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30B65B" w14:textId="77777777" w:rsidR="00816AB1" w:rsidRDefault="00816AB1" w:rsidP="00BE1581">
      <w:pPr>
        <w:jc w:val="center"/>
        <w:rPr>
          <w:rFonts w:ascii="Times New Roman" w:hAnsi="Times New Roman" w:cs="Times New Roman"/>
          <w:b/>
          <w:sz w:val="24"/>
          <w:szCs w:val="24"/>
          <w:lang w:val="en-US"/>
        </w:rPr>
      </w:pPr>
      <w:r w:rsidRPr="00816AB1">
        <w:rPr>
          <w:rFonts w:ascii="Times New Roman" w:hAnsi="Times New Roman" w:cs="Times New Roman"/>
          <w:b/>
          <w:sz w:val="24"/>
          <w:szCs w:val="24"/>
          <w:lang w:val="en-US"/>
        </w:rPr>
        <w:t>Lost in Translation? Corporate Governance, Independent Boards and Blockholder Appropriation</w:t>
      </w:r>
    </w:p>
    <w:p w14:paraId="78180C9C" w14:textId="77777777" w:rsidR="00816AB1" w:rsidRDefault="00816AB1" w:rsidP="00BE1581">
      <w:pPr>
        <w:jc w:val="center"/>
        <w:rPr>
          <w:rFonts w:ascii="Times New Roman" w:hAnsi="Times New Roman" w:cs="Times New Roman"/>
          <w:b/>
          <w:sz w:val="24"/>
          <w:szCs w:val="24"/>
          <w:lang w:val="en-US"/>
        </w:rPr>
      </w:pPr>
    </w:p>
    <w:p w14:paraId="535D58DC" w14:textId="6DD0A35D" w:rsidR="00816AB1" w:rsidRDefault="00816AB1" w:rsidP="00BE1581">
      <w:pPr>
        <w:jc w:val="center"/>
        <w:rPr>
          <w:rFonts w:ascii="Times New Roman" w:hAnsi="Times New Roman" w:cs="Times New Roman"/>
          <w:b/>
          <w:sz w:val="24"/>
          <w:szCs w:val="24"/>
          <w:lang w:val="en-US"/>
        </w:rPr>
      </w:pPr>
      <w:r w:rsidRPr="00816AB1">
        <w:rPr>
          <w:rFonts w:ascii="Times New Roman" w:hAnsi="Times New Roman" w:cs="Times New Roman"/>
          <w:b/>
          <w:sz w:val="24"/>
          <w:szCs w:val="24"/>
          <w:lang w:val="en-US"/>
        </w:rPr>
        <w:t>Anna Grosman</w:t>
      </w:r>
    </w:p>
    <w:p w14:paraId="3B6B5569" w14:textId="773649DF" w:rsidR="00816AB1" w:rsidRPr="00816AB1" w:rsidRDefault="00816AB1" w:rsidP="00BE1581">
      <w:pPr>
        <w:jc w:val="center"/>
        <w:rPr>
          <w:rFonts w:ascii="Times New Roman" w:hAnsi="Times New Roman" w:cs="Times New Roman"/>
          <w:b/>
          <w:sz w:val="24"/>
          <w:szCs w:val="24"/>
          <w:lang w:val="en-US"/>
        </w:rPr>
      </w:pPr>
      <w:r w:rsidRPr="00816AB1">
        <w:rPr>
          <w:rFonts w:ascii="Times New Roman" w:hAnsi="Times New Roman" w:cs="Times New Roman"/>
          <w:b/>
          <w:sz w:val="24"/>
          <w:szCs w:val="24"/>
          <w:lang w:val="en-US"/>
        </w:rPr>
        <w:t>Loughborough University London, UK</w:t>
      </w:r>
    </w:p>
    <w:p w14:paraId="78BCEE90" w14:textId="77777777" w:rsidR="00816AB1" w:rsidRDefault="00816AB1" w:rsidP="00BE1581">
      <w:pPr>
        <w:jc w:val="center"/>
        <w:rPr>
          <w:rFonts w:ascii="Times New Roman" w:hAnsi="Times New Roman" w:cs="Times New Roman"/>
          <w:b/>
          <w:sz w:val="24"/>
          <w:szCs w:val="24"/>
          <w:lang w:val="en-US"/>
        </w:rPr>
      </w:pPr>
      <w:bookmarkStart w:id="0" w:name="_GoBack"/>
      <w:bookmarkEnd w:id="0"/>
    </w:p>
    <w:p w14:paraId="03190294" w14:textId="77777777" w:rsidR="00816AB1" w:rsidRDefault="00816AB1" w:rsidP="00BE1581">
      <w:pPr>
        <w:jc w:val="center"/>
        <w:rPr>
          <w:rFonts w:ascii="Times New Roman" w:hAnsi="Times New Roman" w:cs="Times New Roman"/>
          <w:b/>
          <w:sz w:val="24"/>
          <w:szCs w:val="24"/>
          <w:lang w:val="en-US"/>
        </w:rPr>
      </w:pPr>
      <w:r w:rsidRPr="00816AB1">
        <w:rPr>
          <w:rFonts w:ascii="Times New Roman" w:hAnsi="Times New Roman" w:cs="Times New Roman"/>
          <w:b/>
          <w:sz w:val="24"/>
          <w:szCs w:val="24"/>
          <w:lang w:val="en-US"/>
        </w:rPr>
        <w:t>Ruth Aguilera</w:t>
      </w:r>
    </w:p>
    <w:p w14:paraId="1FB871E4" w14:textId="615ADBA7" w:rsidR="00816AB1" w:rsidRPr="00816AB1" w:rsidRDefault="00816AB1" w:rsidP="00BE1581">
      <w:pPr>
        <w:jc w:val="center"/>
        <w:rPr>
          <w:rFonts w:ascii="Times New Roman" w:hAnsi="Times New Roman" w:cs="Times New Roman"/>
          <w:b/>
          <w:sz w:val="24"/>
          <w:szCs w:val="24"/>
          <w:lang w:val="en-US"/>
        </w:rPr>
      </w:pPr>
      <w:r w:rsidRPr="00816AB1">
        <w:rPr>
          <w:rFonts w:ascii="Times New Roman" w:hAnsi="Times New Roman" w:cs="Times New Roman"/>
          <w:b/>
          <w:sz w:val="24"/>
          <w:szCs w:val="24"/>
          <w:lang w:val="en-US"/>
        </w:rPr>
        <w:t>Northeastern University, US</w:t>
      </w:r>
    </w:p>
    <w:p w14:paraId="75A97BB8" w14:textId="77777777" w:rsidR="00816AB1" w:rsidRDefault="00816AB1" w:rsidP="00BE1581">
      <w:pPr>
        <w:jc w:val="center"/>
        <w:rPr>
          <w:rFonts w:ascii="Times New Roman" w:hAnsi="Times New Roman" w:cs="Times New Roman"/>
          <w:b/>
          <w:sz w:val="24"/>
          <w:szCs w:val="24"/>
          <w:lang w:val="en-US"/>
        </w:rPr>
      </w:pPr>
    </w:p>
    <w:p w14:paraId="01FC2AD3" w14:textId="77777777" w:rsidR="00816AB1" w:rsidRDefault="00816AB1" w:rsidP="00BE1581">
      <w:pPr>
        <w:jc w:val="center"/>
        <w:rPr>
          <w:rFonts w:ascii="Times New Roman" w:hAnsi="Times New Roman" w:cs="Times New Roman"/>
          <w:b/>
          <w:sz w:val="24"/>
          <w:szCs w:val="24"/>
          <w:lang w:val="en-US"/>
        </w:rPr>
      </w:pPr>
      <w:r w:rsidRPr="00816AB1">
        <w:rPr>
          <w:rFonts w:ascii="Times New Roman" w:hAnsi="Times New Roman" w:cs="Times New Roman"/>
          <w:b/>
          <w:sz w:val="24"/>
          <w:szCs w:val="24"/>
          <w:lang w:val="en-US"/>
        </w:rPr>
        <w:t>Mike Wright</w:t>
      </w:r>
    </w:p>
    <w:p w14:paraId="25530A9C" w14:textId="4DA8B72E" w:rsidR="00816AB1" w:rsidRDefault="00816AB1" w:rsidP="00BE1581">
      <w:pPr>
        <w:jc w:val="center"/>
        <w:rPr>
          <w:rFonts w:ascii="Times New Roman" w:hAnsi="Times New Roman" w:cs="Times New Roman"/>
          <w:b/>
          <w:sz w:val="24"/>
          <w:szCs w:val="24"/>
          <w:lang w:val="en-US"/>
        </w:rPr>
      </w:pPr>
      <w:r w:rsidRPr="00816AB1">
        <w:rPr>
          <w:rFonts w:ascii="Times New Roman" w:hAnsi="Times New Roman" w:cs="Times New Roman"/>
          <w:b/>
          <w:sz w:val="24"/>
          <w:szCs w:val="24"/>
          <w:lang w:val="en-US"/>
        </w:rPr>
        <w:t>CMBOR,</w:t>
      </w:r>
    </w:p>
    <w:p w14:paraId="5C8838F3" w14:textId="77777777" w:rsidR="00816AB1" w:rsidRDefault="00816AB1" w:rsidP="00BE1581">
      <w:pPr>
        <w:jc w:val="center"/>
        <w:rPr>
          <w:rFonts w:ascii="Times New Roman" w:hAnsi="Times New Roman" w:cs="Times New Roman"/>
          <w:b/>
          <w:sz w:val="24"/>
          <w:szCs w:val="24"/>
          <w:lang w:val="en-US"/>
        </w:rPr>
      </w:pPr>
      <w:r w:rsidRPr="00816AB1">
        <w:rPr>
          <w:rFonts w:ascii="Times New Roman" w:hAnsi="Times New Roman" w:cs="Times New Roman"/>
          <w:b/>
          <w:sz w:val="24"/>
          <w:szCs w:val="24"/>
          <w:lang w:val="en-US"/>
        </w:rPr>
        <w:t>Imperial College, UK</w:t>
      </w:r>
    </w:p>
    <w:p w14:paraId="4E468674" w14:textId="77777777" w:rsidR="00816AB1" w:rsidRDefault="00816AB1" w:rsidP="00BE1581">
      <w:pPr>
        <w:jc w:val="center"/>
        <w:rPr>
          <w:rFonts w:ascii="Times New Roman" w:hAnsi="Times New Roman" w:cs="Times New Roman"/>
          <w:b/>
          <w:sz w:val="24"/>
          <w:szCs w:val="24"/>
          <w:lang w:val="en-US"/>
        </w:rPr>
      </w:pPr>
    </w:p>
    <w:p w14:paraId="02A101D0" w14:textId="77777777" w:rsidR="00816AB1" w:rsidRDefault="00816AB1" w:rsidP="00BE1581">
      <w:pPr>
        <w:jc w:val="center"/>
        <w:rPr>
          <w:rFonts w:ascii="Times New Roman" w:hAnsi="Times New Roman" w:cs="Times New Roman"/>
          <w:b/>
          <w:sz w:val="24"/>
          <w:szCs w:val="24"/>
          <w:lang w:val="en-US"/>
        </w:rPr>
      </w:pPr>
    </w:p>
    <w:p w14:paraId="2DF46345" w14:textId="77777777" w:rsidR="00816AB1" w:rsidRDefault="00816AB1" w:rsidP="00BE1581">
      <w:pPr>
        <w:jc w:val="center"/>
        <w:rPr>
          <w:rFonts w:ascii="Times New Roman" w:hAnsi="Times New Roman" w:cs="Times New Roman"/>
          <w:b/>
          <w:sz w:val="24"/>
          <w:szCs w:val="24"/>
          <w:lang w:val="en-US"/>
        </w:rPr>
      </w:pPr>
      <w:r>
        <w:rPr>
          <w:rFonts w:ascii="Times New Roman" w:hAnsi="Times New Roman" w:cs="Times New Roman"/>
          <w:b/>
          <w:sz w:val="24"/>
          <w:szCs w:val="24"/>
          <w:lang w:val="en-US"/>
        </w:rPr>
        <w:t>Journal of World Business</w:t>
      </w:r>
    </w:p>
    <w:p w14:paraId="55E1F62C" w14:textId="08A2AC75" w:rsidR="00816AB1" w:rsidRDefault="00816AB1" w:rsidP="00BE1581">
      <w:pPr>
        <w:jc w:val="center"/>
        <w:rPr>
          <w:rFonts w:ascii="Times New Roman" w:hAnsi="Times New Roman" w:cs="Times New Roman"/>
          <w:b/>
          <w:sz w:val="24"/>
          <w:szCs w:val="24"/>
          <w:lang w:val="en-US"/>
        </w:rPr>
      </w:pPr>
      <w:r>
        <w:rPr>
          <w:rFonts w:ascii="Times New Roman" w:hAnsi="Times New Roman" w:cs="Times New Roman"/>
          <w:b/>
          <w:sz w:val="24"/>
          <w:szCs w:val="24"/>
          <w:lang w:val="en-US"/>
        </w:rPr>
        <w:t>forthcoming</w:t>
      </w:r>
      <w:r>
        <w:rPr>
          <w:rFonts w:ascii="Times New Roman" w:hAnsi="Times New Roman" w:cs="Times New Roman"/>
          <w:b/>
          <w:sz w:val="24"/>
          <w:szCs w:val="24"/>
          <w:lang w:val="en-US"/>
        </w:rPr>
        <w:br w:type="page"/>
      </w:r>
    </w:p>
    <w:p w14:paraId="5739D45C" w14:textId="751230AB" w:rsidR="00395019" w:rsidRPr="00E85554" w:rsidRDefault="00395019" w:rsidP="00395019">
      <w:pPr>
        <w:spacing w:line="480" w:lineRule="auto"/>
        <w:jc w:val="center"/>
        <w:rPr>
          <w:rFonts w:ascii="Times New Roman" w:hAnsi="Times New Roman" w:cs="Times New Roman"/>
          <w:b/>
          <w:sz w:val="24"/>
          <w:szCs w:val="24"/>
          <w:lang w:val="en-US"/>
        </w:rPr>
      </w:pPr>
      <w:r w:rsidRPr="00E85554">
        <w:rPr>
          <w:rFonts w:ascii="Times New Roman" w:hAnsi="Times New Roman" w:cs="Times New Roman"/>
          <w:b/>
          <w:sz w:val="24"/>
          <w:szCs w:val="24"/>
          <w:lang w:val="en-US"/>
        </w:rPr>
        <w:lastRenderedPageBreak/>
        <w:t xml:space="preserve">Lost in Translation? </w:t>
      </w:r>
      <w:r w:rsidR="002765E3">
        <w:rPr>
          <w:rFonts w:ascii="Times New Roman" w:hAnsi="Times New Roman" w:cs="Times New Roman"/>
          <w:b/>
          <w:sz w:val="24"/>
          <w:szCs w:val="24"/>
          <w:lang w:val="en-US"/>
        </w:rPr>
        <w:t xml:space="preserve">Corporate Governance, </w:t>
      </w:r>
      <w:r w:rsidRPr="00E85554">
        <w:rPr>
          <w:rFonts w:ascii="Times New Roman" w:hAnsi="Times New Roman" w:cs="Times New Roman"/>
          <w:b/>
          <w:sz w:val="24"/>
          <w:szCs w:val="24"/>
          <w:lang w:val="en-US"/>
        </w:rPr>
        <w:t>Independent Board</w:t>
      </w:r>
      <w:r w:rsidR="00E93558">
        <w:rPr>
          <w:rFonts w:ascii="Times New Roman" w:hAnsi="Times New Roman" w:cs="Times New Roman"/>
          <w:b/>
          <w:sz w:val="24"/>
          <w:szCs w:val="24"/>
          <w:lang w:val="en-US"/>
        </w:rPr>
        <w:t>s and Blockholder Appropriation</w:t>
      </w:r>
    </w:p>
    <w:p w14:paraId="6094B8CB" w14:textId="77777777" w:rsidR="00395019" w:rsidRPr="00E85554" w:rsidRDefault="00395019" w:rsidP="00395019">
      <w:pPr>
        <w:spacing w:line="480" w:lineRule="auto"/>
        <w:jc w:val="center"/>
        <w:rPr>
          <w:rFonts w:ascii="Times New Roman" w:hAnsi="Times New Roman" w:cs="Times New Roman"/>
          <w:b/>
          <w:sz w:val="24"/>
          <w:szCs w:val="24"/>
          <w:lang w:val="en-US"/>
        </w:rPr>
      </w:pPr>
    </w:p>
    <w:p w14:paraId="448228C0" w14:textId="77777777" w:rsidR="00612687" w:rsidRPr="00E85554" w:rsidRDefault="00F77C01" w:rsidP="00395019">
      <w:pPr>
        <w:spacing w:line="480" w:lineRule="auto"/>
        <w:jc w:val="center"/>
        <w:rPr>
          <w:rFonts w:ascii="Times New Roman" w:hAnsi="Times New Roman" w:cs="Times New Roman"/>
          <w:b/>
          <w:sz w:val="24"/>
          <w:szCs w:val="24"/>
          <w:lang w:val="en-US"/>
        </w:rPr>
      </w:pPr>
      <w:r w:rsidRPr="00E85554">
        <w:rPr>
          <w:rFonts w:ascii="Times New Roman" w:hAnsi="Times New Roman" w:cs="Times New Roman"/>
          <w:b/>
          <w:sz w:val="24"/>
          <w:szCs w:val="24"/>
          <w:lang w:val="en-US"/>
        </w:rPr>
        <w:t>ABSTRACT</w:t>
      </w:r>
    </w:p>
    <w:p w14:paraId="506221E5" w14:textId="49E8086F" w:rsidR="001F01E1" w:rsidRPr="00E85554" w:rsidRDefault="00E56E15" w:rsidP="009301F1">
      <w:pPr>
        <w:spacing w:line="480" w:lineRule="auto"/>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Emerging </w:t>
      </w:r>
      <w:r w:rsidR="000C3039" w:rsidRPr="00E85554">
        <w:rPr>
          <w:rFonts w:ascii="Times New Roman" w:hAnsi="Times New Roman" w:cs="Times New Roman"/>
          <w:sz w:val="24"/>
          <w:szCs w:val="24"/>
          <w:lang w:val="en-US"/>
        </w:rPr>
        <w:t>economies</w:t>
      </w:r>
      <w:r w:rsidR="003B4EF4" w:rsidRPr="00E85554">
        <w:rPr>
          <w:rFonts w:ascii="Times New Roman" w:hAnsi="Times New Roman" w:cs="Times New Roman"/>
          <w:sz w:val="24"/>
          <w:szCs w:val="24"/>
          <w:lang w:val="en-US"/>
        </w:rPr>
        <w:t xml:space="preserve"> </w:t>
      </w:r>
      <w:r w:rsidR="00ED334A" w:rsidRPr="00E85554">
        <w:rPr>
          <w:rFonts w:ascii="Times New Roman" w:hAnsi="Times New Roman" w:cs="Times New Roman"/>
          <w:sz w:val="24"/>
          <w:szCs w:val="24"/>
          <w:lang w:val="en-US"/>
        </w:rPr>
        <w:t xml:space="preserve">are </w:t>
      </w:r>
      <w:r w:rsidR="005A63F0" w:rsidRPr="00E85554">
        <w:rPr>
          <w:rFonts w:ascii="Times New Roman" w:hAnsi="Times New Roman" w:cs="Times New Roman"/>
          <w:sz w:val="24"/>
          <w:szCs w:val="24"/>
          <w:lang w:val="en-US"/>
        </w:rPr>
        <w:t xml:space="preserve">oftentimes </w:t>
      </w:r>
      <w:r w:rsidR="000C3039" w:rsidRPr="00E85554">
        <w:rPr>
          <w:rFonts w:ascii="Times New Roman" w:hAnsi="Times New Roman" w:cs="Times New Roman"/>
          <w:sz w:val="24"/>
          <w:szCs w:val="24"/>
          <w:lang w:val="en-US"/>
        </w:rPr>
        <w:t xml:space="preserve">characterized by </w:t>
      </w:r>
      <w:r w:rsidR="007D0B96" w:rsidRPr="00E85554">
        <w:rPr>
          <w:rFonts w:ascii="Times New Roman" w:hAnsi="Times New Roman" w:cs="Times New Roman"/>
          <w:sz w:val="24"/>
          <w:szCs w:val="24"/>
          <w:lang w:val="en-US"/>
        </w:rPr>
        <w:t>state capitalism</w:t>
      </w:r>
      <w:r w:rsidR="00CA0A09" w:rsidRPr="00E85554">
        <w:rPr>
          <w:rFonts w:ascii="Times New Roman" w:hAnsi="Times New Roman" w:cs="Times New Roman"/>
          <w:sz w:val="24"/>
          <w:szCs w:val="24"/>
          <w:lang w:val="en-US"/>
        </w:rPr>
        <w:t>, concentrated ownership</w:t>
      </w:r>
      <w:r w:rsidR="005728BB" w:rsidRPr="00E85554">
        <w:rPr>
          <w:rFonts w:ascii="Times New Roman" w:hAnsi="Times New Roman" w:cs="Times New Roman"/>
          <w:sz w:val="24"/>
          <w:szCs w:val="24"/>
          <w:lang w:val="en-US"/>
        </w:rPr>
        <w:t xml:space="preserve"> and constrained resources</w:t>
      </w:r>
      <w:r w:rsidR="00A01C75" w:rsidRPr="00E85554">
        <w:rPr>
          <w:rFonts w:ascii="Times New Roman" w:hAnsi="Times New Roman" w:cs="Times New Roman"/>
          <w:sz w:val="24"/>
          <w:szCs w:val="24"/>
          <w:lang w:val="en-US"/>
        </w:rPr>
        <w:t xml:space="preserve">, </w:t>
      </w:r>
      <w:r w:rsidR="00ED334A" w:rsidRPr="00E85554">
        <w:rPr>
          <w:rFonts w:ascii="Times New Roman" w:hAnsi="Times New Roman" w:cs="Times New Roman"/>
          <w:sz w:val="24"/>
          <w:szCs w:val="24"/>
          <w:lang w:val="en-US"/>
        </w:rPr>
        <w:t xml:space="preserve">where </w:t>
      </w:r>
      <w:r w:rsidR="009301F1" w:rsidRPr="00E85554">
        <w:rPr>
          <w:rFonts w:ascii="Times New Roman" w:hAnsi="Times New Roman" w:cs="Times New Roman"/>
          <w:sz w:val="24"/>
          <w:szCs w:val="24"/>
          <w:lang w:val="en-US"/>
        </w:rPr>
        <w:t xml:space="preserve">firms </w:t>
      </w:r>
      <w:r w:rsidR="005728BB" w:rsidRPr="00E85554">
        <w:rPr>
          <w:rFonts w:ascii="Times New Roman" w:hAnsi="Times New Roman" w:cs="Times New Roman"/>
          <w:sz w:val="24"/>
          <w:szCs w:val="24"/>
          <w:lang w:val="en-US"/>
        </w:rPr>
        <w:t xml:space="preserve">face underinvestment due to </w:t>
      </w:r>
      <w:r w:rsidR="005A63F0" w:rsidRPr="00E85554">
        <w:rPr>
          <w:rFonts w:ascii="Times New Roman" w:hAnsi="Times New Roman" w:cs="Times New Roman"/>
          <w:sz w:val="24"/>
          <w:szCs w:val="24"/>
          <w:lang w:val="en-US"/>
        </w:rPr>
        <w:t>resource</w:t>
      </w:r>
      <w:r w:rsidR="005728BB" w:rsidRPr="00E85554">
        <w:rPr>
          <w:rFonts w:ascii="Times New Roman" w:hAnsi="Times New Roman" w:cs="Times New Roman"/>
          <w:sz w:val="24"/>
          <w:szCs w:val="24"/>
          <w:lang w:val="en-US"/>
        </w:rPr>
        <w:t xml:space="preserve"> </w:t>
      </w:r>
      <w:r w:rsidR="00C26B7C" w:rsidRPr="00E85554">
        <w:rPr>
          <w:rFonts w:ascii="Times New Roman" w:hAnsi="Times New Roman" w:cs="Times New Roman"/>
          <w:sz w:val="24"/>
          <w:szCs w:val="24"/>
          <w:lang w:val="en-US"/>
        </w:rPr>
        <w:t>misappropriation</w:t>
      </w:r>
      <w:r w:rsidR="005728BB" w:rsidRPr="00E85554">
        <w:rPr>
          <w:rFonts w:ascii="Times New Roman" w:hAnsi="Times New Roman" w:cs="Times New Roman"/>
          <w:sz w:val="24"/>
          <w:szCs w:val="24"/>
          <w:lang w:val="en-US"/>
        </w:rPr>
        <w:t>.</w:t>
      </w:r>
      <w:r w:rsidR="0096137F" w:rsidRPr="00E85554">
        <w:rPr>
          <w:rFonts w:ascii="Times New Roman" w:hAnsi="Times New Roman" w:cs="Times New Roman"/>
          <w:sz w:val="24"/>
          <w:szCs w:val="24"/>
          <w:lang w:val="en-US"/>
        </w:rPr>
        <w:t xml:space="preserve"> </w:t>
      </w:r>
      <w:r w:rsidR="006525E8">
        <w:rPr>
          <w:rFonts w:ascii="Times New Roman" w:hAnsi="Times New Roman" w:cs="Times New Roman"/>
          <w:sz w:val="24"/>
          <w:szCs w:val="24"/>
          <w:lang w:val="en-US"/>
        </w:rPr>
        <w:t>T</w:t>
      </w:r>
      <w:r w:rsidR="007A15F2" w:rsidRPr="00E85554">
        <w:rPr>
          <w:rFonts w:ascii="Times New Roman" w:hAnsi="Times New Roman" w:cs="Times New Roman"/>
          <w:sz w:val="24"/>
          <w:szCs w:val="24"/>
          <w:lang w:val="en-US"/>
        </w:rPr>
        <w:t>he a</w:t>
      </w:r>
      <w:r w:rsidR="005A63F0" w:rsidRPr="00E85554">
        <w:rPr>
          <w:rFonts w:ascii="Times New Roman" w:hAnsi="Times New Roman" w:cs="Times New Roman"/>
          <w:sz w:val="24"/>
          <w:szCs w:val="24"/>
          <w:lang w:val="en-US"/>
        </w:rPr>
        <w:t>doption of</w:t>
      </w:r>
      <w:r w:rsidRPr="00E85554">
        <w:rPr>
          <w:rFonts w:ascii="Times New Roman" w:hAnsi="Times New Roman" w:cs="Times New Roman"/>
          <w:sz w:val="24"/>
          <w:szCs w:val="24"/>
          <w:lang w:val="en-US"/>
        </w:rPr>
        <w:t xml:space="preserve"> </w:t>
      </w:r>
      <w:r w:rsidR="005C7CFE" w:rsidRPr="00E85554">
        <w:rPr>
          <w:rFonts w:ascii="Times New Roman" w:hAnsi="Times New Roman" w:cs="Times New Roman"/>
          <w:sz w:val="24"/>
          <w:szCs w:val="24"/>
          <w:lang w:val="en-US"/>
        </w:rPr>
        <w:t>Ang</w:t>
      </w:r>
      <w:r w:rsidR="005A63F0" w:rsidRPr="00E85554">
        <w:rPr>
          <w:rFonts w:ascii="Times New Roman" w:hAnsi="Times New Roman" w:cs="Times New Roman"/>
          <w:sz w:val="24"/>
          <w:szCs w:val="24"/>
          <w:lang w:val="en-US"/>
        </w:rPr>
        <w:t>l</w:t>
      </w:r>
      <w:r w:rsidR="005C7CFE" w:rsidRPr="00E85554">
        <w:rPr>
          <w:rFonts w:ascii="Times New Roman" w:hAnsi="Times New Roman" w:cs="Times New Roman"/>
          <w:sz w:val="24"/>
          <w:szCs w:val="24"/>
          <w:lang w:val="en-US"/>
        </w:rPr>
        <w:t>o-American</w:t>
      </w:r>
      <w:r w:rsidR="00944C20" w:rsidRPr="00E85554">
        <w:rPr>
          <w:rFonts w:ascii="Times New Roman" w:hAnsi="Times New Roman" w:cs="Times New Roman"/>
          <w:sz w:val="24"/>
          <w:szCs w:val="24"/>
          <w:lang w:val="en-US"/>
        </w:rPr>
        <w:t xml:space="preserve"> corporate governance </w:t>
      </w:r>
      <w:r w:rsidR="007726E9" w:rsidRPr="00E85554">
        <w:rPr>
          <w:rFonts w:ascii="Times New Roman" w:hAnsi="Times New Roman" w:cs="Times New Roman"/>
          <w:sz w:val="24"/>
          <w:szCs w:val="24"/>
          <w:lang w:val="en-US"/>
        </w:rPr>
        <w:t>practices</w:t>
      </w:r>
      <w:r w:rsidR="005A63F0" w:rsidRPr="00E85554">
        <w:rPr>
          <w:rFonts w:ascii="Times New Roman" w:hAnsi="Times New Roman" w:cs="Times New Roman"/>
          <w:sz w:val="24"/>
          <w:szCs w:val="24"/>
          <w:lang w:val="en-US"/>
        </w:rPr>
        <w:t xml:space="preserve"> may result in sub-optimal outcomes</w:t>
      </w:r>
      <w:r w:rsidR="0053485D" w:rsidRPr="00E85554">
        <w:rPr>
          <w:rFonts w:ascii="Times New Roman" w:hAnsi="Times New Roman" w:cs="Times New Roman"/>
          <w:sz w:val="24"/>
          <w:szCs w:val="24"/>
          <w:lang w:val="en-US"/>
        </w:rPr>
        <w:t xml:space="preserve">. </w:t>
      </w:r>
      <w:r w:rsidR="00CA0A09" w:rsidRPr="00E85554">
        <w:rPr>
          <w:rFonts w:ascii="Times New Roman" w:hAnsi="Times New Roman" w:cs="Times New Roman"/>
          <w:sz w:val="24"/>
          <w:szCs w:val="24"/>
          <w:lang w:val="en-US"/>
        </w:rPr>
        <w:t xml:space="preserve">We </w:t>
      </w:r>
      <w:r w:rsidR="009301F1" w:rsidRPr="00E85554">
        <w:rPr>
          <w:rFonts w:ascii="Times New Roman" w:hAnsi="Times New Roman" w:cs="Times New Roman"/>
          <w:sz w:val="24"/>
          <w:szCs w:val="24"/>
          <w:lang w:val="en-US"/>
        </w:rPr>
        <w:t xml:space="preserve">draw on the </w:t>
      </w:r>
      <w:r w:rsidR="00CA0A09" w:rsidRPr="00E85554">
        <w:rPr>
          <w:rFonts w:ascii="Times New Roman" w:hAnsi="Times New Roman" w:cs="Times New Roman"/>
          <w:sz w:val="24"/>
          <w:szCs w:val="24"/>
          <w:lang w:val="en-US"/>
        </w:rPr>
        <w:t xml:space="preserve">multiple agency </w:t>
      </w:r>
      <w:r w:rsidR="009301F1" w:rsidRPr="00E85554">
        <w:rPr>
          <w:rFonts w:ascii="Times New Roman" w:hAnsi="Times New Roman" w:cs="Times New Roman"/>
          <w:sz w:val="24"/>
          <w:szCs w:val="24"/>
          <w:lang w:val="en-US"/>
        </w:rPr>
        <w:t>perspective</w:t>
      </w:r>
      <w:r w:rsidR="00CA0A09" w:rsidRPr="00E85554">
        <w:rPr>
          <w:rFonts w:ascii="Times New Roman" w:hAnsi="Times New Roman" w:cs="Times New Roman"/>
          <w:sz w:val="24"/>
          <w:szCs w:val="24"/>
          <w:lang w:val="en-US"/>
        </w:rPr>
        <w:t xml:space="preserve"> </w:t>
      </w:r>
      <w:r w:rsidR="00CE18BB">
        <w:rPr>
          <w:rFonts w:ascii="Times New Roman" w:hAnsi="Times New Roman" w:cs="Times New Roman"/>
          <w:sz w:val="24"/>
          <w:szCs w:val="24"/>
          <w:lang w:val="en-US"/>
        </w:rPr>
        <w:t xml:space="preserve">and research on cross-national governance </w:t>
      </w:r>
      <w:r w:rsidR="0053485D" w:rsidRPr="00E85554">
        <w:rPr>
          <w:rFonts w:ascii="Times New Roman" w:hAnsi="Times New Roman" w:cs="Times New Roman"/>
          <w:sz w:val="24"/>
          <w:szCs w:val="24"/>
          <w:lang w:val="en-US"/>
        </w:rPr>
        <w:t xml:space="preserve">to </w:t>
      </w:r>
      <w:r w:rsidR="00CA0A09" w:rsidRPr="00E85554">
        <w:rPr>
          <w:rFonts w:ascii="Times New Roman" w:hAnsi="Times New Roman" w:cs="Times New Roman"/>
          <w:sz w:val="24"/>
          <w:szCs w:val="24"/>
          <w:lang w:val="en-US"/>
        </w:rPr>
        <w:t>e</w:t>
      </w:r>
      <w:r w:rsidR="0085149D" w:rsidRPr="00E85554">
        <w:rPr>
          <w:rFonts w:ascii="Times New Roman" w:hAnsi="Times New Roman" w:cs="Times New Roman"/>
          <w:sz w:val="24"/>
          <w:szCs w:val="24"/>
          <w:lang w:val="en-US"/>
        </w:rPr>
        <w:t>xamin</w:t>
      </w:r>
      <w:r w:rsidR="0053485D" w:rsidRPr="00E85554">
        <w:rPr>
          <w:rFonts w:ascii="Times New Roman" w:hAnsi="Times New Roman" w:cs="Times New Roman"/>
          <w:sz w:val="24"/>
          <w:szCs w:val="24"/>
          <w:lang w:val="en-US"/>
        </w:rPr>
        <w:t xml:space="preserve">e </w:t>
      </w:r>
      <w:r w:rsidR="0085149D" w:rsidRPr="00E85554">
        <w:rPr>
          <w:rFonts w:ascii="Times New Roman" w:hAnsi="Times New Roman" w:cs="Times New Roman"/>
          <w:sz w:val="24"/>
          <w:szCs w:val="24"/>
          <w:lang w:val="en-US"/>
        </w:rPr>
        <w:t>how</w:t>
      </w:r>
      <w:r w:rsidR="00CA0A09" w:rsidRPr="00E85554">
        <w:rPr>
          <w:rFonts w:ascii="Times New Roman" w:hAnsi="Times New Roman" w:cs="Times New Roman"/>
          <w:sz w:val="24"/>
          <w:szCs w:val="24"/>
          <w:lang w:val="en-US"/>
        </w:rPr>
        <w:t xml:space="preserve"> independent directors</w:t>
      </w:r>
      <w:r w:rsidR="007A15F2" w:rsidRPr="00E85554">
        <w:rPr>
          <w:rFonts w:ascii="Times New Roman" w:hAnsi="Times New Roman" w:cs="Times New Roman"/>
          <w:sz w:val="24"/>
          <w:szCs w:val="24"/>
          <w:lang w:val="en-US"/>
        </w:rPr>
        <w:t>,</w:t>
      </w:r>
      <w:r w:rsidR="00CA0A09" w:rsidRPr="00E85554">
        <w:rPr>
          <w:rFonts w:ascii="Times New Roman" w:hAnsi="Times New Roman" w:cs="Times New Roman"/>
          <w:sz w:val="24"/>
          <w:szCs w:val="24"/>
          <w:lang w:val="en-US"/>
        </w:rPr>
        <w:t xml:space="preserve"> as agents </w:t>
      </w:r>
      <w:r w:rsidR="00AE4B82" w:rsidRPr="00E85554">
        <w:rPr>
          <w:rFonts w:ascii="Times New Roman" w:hAnsi="Times New Roman" w:cs="Times New Roman"/>
          <w:sz w:val="24"/>
          <w:szCs w:val="24"/>
          <w:lang w:val="en-US"/>
        </w:rPr>
        <w:t>with multiple roles</w:t>
      </w:r>
      <w:r w:rsidR="007A15F2" w:rsidRPr="00E85554">
        <w:rPr>
          <w:rFonts w:ascii="Times New Roman" w:hAnsi="Times New Roman" w:cs="Times New Roman"/>
          <w:sz w:val="24"/>
          <w:szCs w:val="24"/>
          <w:lang w:val="en-US"/>
        </w:rPr>
        <w:t>,</w:t>
      </w:r>
      <w:r w:rsidR="0085149D" w:rsidRPr="00E85554">
        <w:rPr>
          <w:rFonts w:ascii="Times New Roman" w:hAnsi="Times New Roman" w:cs="Times New Roman"/>
          <w:sz w:val="24"/>
          <w:szCs w:val="24"/>
          <w:lang w:val="en-US"/>
        </w:rPr>
        <w:t xml:space="preserve"> </w:t>
      </w:r>
      <w:r w:rsidR="009301F1" w:rsidRPr="00E85554">
        <w:rPr>
          <w:rFonts w:ascii="Times New Roman" w:hAnsi="Times New Roman" w:cs="Times New Roman"/>
          <w:sz w:val="24"/>
          <w:szCs w:val="24"/>
          <w:lang w:val="en-US"/>
        </w:rPr>
        <w:t xml:space="preserve">might </w:t>
      </w:r>
      <w:r w:rsidR="007726E9" w:rsidRPr="00E85554">
        <w:rPr>
          <w:rFonts w:ascii="Times New Roman" w:hAnsi="Times New Roman" w:cs="Times New Roman"/>
          <w:sz w:val="24"/>
          <w:szCs w:val="24"/>
          <w:lang w:val="en-US"/>
        </w:rPr>
        <w:t>mitigate blockholder appropriation</w:t>
      </w:r>
      <w:r w:rsidR="00CA0A09" w:rsidRPr="00E85554">
        <w:rPr>
          <w:rFonts w:ascii="Times New Roman" w:hAnsi="Times New Roman" w:cs="Times New Roman"/>
          <w:sz w:val="24"/>
          <w:szCs w:val="24"/>
          <w:lang w:val="en-US"/>
        </w:rPr>
        <w:t xml:space="preserve">. </w:t>
      </w:r>
      <w:r w:rsidR="009D4F8B" w:rsidRPr="00E85554">
        <w:rPr>
          <w:rFonts w:ascii="Times New Roman" w:hAnsi="Times New Roman" w:cs="Times New Roman"/>
          <w:sz w:val="24"/>
          <w:szCs w:val="24"/>
          <w:lang w:val="en-US"/>
        </w:rPr>
        <w:t xml:space="preserve">Using </w:t>
      </w:r>
      <w:r w:rsidR="006D0B20" w:rsidRPr="00E85554">
        <w:rPr>
          <w:rFonts w:ascii="Times New Roman" w:hAnsi="Times New Roman" w:cs="Times New Roman"/>
          <w:sz w:val="24"/>
          <w:szCs w:val="24"/>
          <w:lang w:val="en-US"/>
        </w:rPr>
        <w:t xml:space="preserve">unique </w:t>
      </w:r>
      <w:r w:rsidR="009D4A1E" w:rsidRPr="00E85554">
        <w:rPr>
          <w:rFonts w:ascii="Times New Roman" w:hAnsi="Times New Roman" w:cs="Times New Roman"/>
          <w:sz w:val="24"/>
          <w:szCs w:val="24"/>
          <w:lang w:val="en-US"/>
        </w:rPr>
        <w:t>panel data from</w:t>
      </w:r>
      <w:r w:rsidR="006D0B20" w:rsidRPr="00E85554">
        <w:rPr>
          <w:rFonts w:ascii="Times New Roman" w:hAnsi="Times New Roman" w:cs="Times New Roman"/>
          <w:sz w:val="24"/>
          <w:szCs w:val="24"/>
          <w:lang w:val="en-US"/>
        </w:rPr>
        <w:t xml:space="preserve"> </w:t>
      </w:r>
      <w:r w:rsidR="00E247E8" w:rsidRPr="00E85554">
        <w:rPr>
          <w:rFonts w:ascii="Times New Roman" w:hAnsi="Times New Roman" w:cs="Times New Roman"/>
          <w:sz w:val="24"/>
          <w:szCs w:val="24"/>
          <w:lang w:val="en-US"/>
        </w:rPr>
        <w:t>Russian</w:t>
      </w:r>
      <w:r w:rsidR="009D4A1E" w:rsidRPr="00E85554">
        <w:rPr>
          <w:rFonts w:ascii="Times New Roman" w:hAnsi="Times New Roman" w:cs="Times New Roman"/>
          <w:sz w:val="24"/>
          <w:szCs w:val="24"/>
          <w:lang w:val="en-US"/>
        </w:rPr>
        <w:t xml:space="preserve"> </w:t>
      </w:r>
      <w:r w:rsidR="00D92541" w:rsidRPr="00E85554">
        <w:rPr>
          <w:rFonts w:ascii="Times New Roman" w:hAnsi="Times New Roman" w:cs="Times New Roman"/>
          <w:sz w:val="24"/>
          <w:szCs w:val="24"/>
          <w:lang w:val="en-US"/>
        </w:rPr>
        <w:t>public</w:t>
      </w:r>
      <w:r w:rsidR="009301F1" w:rsidRPr="00E85554">
        <w:rPr>
          <w:rFonts w:ascii="Times New Roman" w:hAnsi="Times New Roman" w:cs="Times New Roman"/>
          <w:sz w:val="24"/>
          <w:szCs w:val="24"/>
          <w:lang w:val="en-US"/>
        </w:rPr>
        <w:t>ly traded</w:t>
      </w:r>
      <w:r w:rsidR="00E247E8" w:rsidRPr="00E85554">
        <w:rPr>
          <w:rFonts w:ascii="Times New Roman" w:hAnsi="Times New Roman" w:cs="Times New Roman"/>
          <w:sz w:val="24"/>
          <w:szCs w:val="24"/>
          <w:lang w:val="en-US"/>
        </w:rPr>
        <w:t xml:space="preserve"> </w:t>
      </w:r>
      <w:r w:rsidR="006D0B20" w:rsidRPr="00E85554">
        <w:rPr>
          <w:rFonts w:ascii="Times New Roman" w:hAnsi="Times New Roman" w:cs="Times New Roman"/>
          <w:sz w:val="24"/>
          <w:szCs w:val="24"/>
          <w:lang w:val="en-US"/>
        </w:rPr>
        <w:t>firms</w:t>
      </w:r>
      <w:r w:rsidR="009D4F8B" w:rsidRPr="00E85554">
        <w:rPr>
          <w:rFonts w:ascii="Times New Roman" w:hAnsi="Times New Roman" w:cs="Times New Roman"/>
          <w:sz w:val="24"/>
          <w:szCs w:val="24"/>
          <w:lang w:val="en-US"/>
        </w:rPr>
        <w:t xml:space="preserve"> </w:t>
      </w:r>
      <w:r w:rsidR="00B76479" w:rsidRPr="00E85554">
        <w:rPr>
          <w:rFonts w:ascii="Times New Roman" w:hAnsi="Times New Roman" w:cs="Times New Roman"/>
          <w:sz w:val="24"/>
          <w:szCs w:val="24"/>
          <w:lang w:val="en-US"/>
        </w:rPr>
        <w:t xml:space="preserve">where the government and </w:t>
      </w:r>
      <w:r w:rsidR="007D0B96" w:rsidRPr="00E85554">
        <w:rPr>
          <w:rFonts w:ascii="Times New Roman" w:hAnsi="Times New Roman" w:cs="Times New Roman"/>
          <w:sz w:val="24"/>
          <w:szCs w:val="24"/>
          <w:lang w:val="en-US"/>
        </w:rPr>
        <w:t>the business elite</w:t>
      </w:r>
      <w:r w:rsidR="009C3128" w:rsidRPr="00E85554">
        <w:rPr>
          <w:rFonts w:ascii="Times New Roman" w:hAnsi="Times New Roman" w:cs="Times New Roman"/>
          <w:sz w:val="24"/>
          <w:szCs w:val="24"/>
          <w:lang w:val="en-US"/>
        </w:rPr>
        <w:t xml:space="preserve"> </w:t>
      </w:r>
      <w:r w:rsidR="009301F1" w:rsidRPr="00E85554">
        <w:rPr>
          <w:rFonts w:ascii="Times New Roman" w:hAnsi="Times New Roman" w:cs="Times New Roman"/>
          <w:sz w:val="24"/>
          <w:szCs w:val="24"/>
          <w:lang w:val="en-US"/>
        </w:rPr>
        <w:t>are predominant blockholders</w:t>
      </w:r>
      <w:r w:rsidR="00B76479" w:rsidRPr="00E85554">
        <w:rPr>
          <w:rFonts w:ascii="Times New Roman" w:hAnsi="Times New Roman" w:cs="Times New Roman"/>
          <w:sz w:val="24"/>
          <w:szCs w:val="24"/>
          <w:lang w:val="en-US"/>
        </w:rPr>
        <w:t xml:space="preserve">, </w:t>
      </w:r>
      <w:r w:rsidR="009D4F8B" w:rsidRPr="00E85554">
        <w:rPr>
          <w:rFonts w:ascii="Times New Roman" w:hAnsi="Times New Roman" w:cs="Times New Roman"/>
          <w:sz w:val="24"/>
          <w:szCs w:val="24"/>
          <w:lang w:val="en-US"/>
        </w:rPr>
        <w:t>w</w:t>
      </w:r>
      <w:r w:rsidR="00612687" w:rsidRPr="00E85554">
        <w:rPr>
          <w:rFonts w:ascii="Times New Roman" w:hAnsi="Times New Roman" w:cs="Times New Roman"/>
          <w:sz w:val="24"/>
          <w:szCs w:val="24"/>
          <w:lang w:val="en-US"/>
        </w:rPr>
        <w:t>e fi</w:t>
      </w:r>
      <w:r w:rsidR="00901FF6" w:rsidRPr="00E85554">
        <w:rPr>
          <w:rFonts w:ascii="Times New Roman" w:hAnsi="Times New Roman" w:cs="Times New Roman"/>
          <w:sz w:val="24"/>
          <w:szCs w:val="24"/>
          <w:lang w:val="en-US"/>
        </w:rPr>
        <w:t xml:space="preserve">nd </w:t>
      </w:r>
      <w:r w:rsidR="00CA0A09" w:rsidRPr="00E85554">
        <w:rPr>
          <w:rFonts w:ascii="Times New Roman" w:hAnsi="Times New Roman" w:cs="Times New Roman"/>
          <w:sz w:val="24"/>
          <w:szCs w:val="24"/>
          <w:lang w:val="en-US"/>
        </w:rPr>
        <w:t xml:space="preserve">that independent directors in </w:t>
      </w:r>
      <w:r w:rsidR="009C3128" w:rsidRPr="00E85554">
        <w:rPr>
          <w:rFonts w:ascii="Times New Roman" w:hAnsi="Times New Roman" w:cs="Times New Roman"/>
          <w:sz w:val="24"/>
          <w:szCs w:val="24"/>
          <w:lang w:val="en-US"/>
        </w:rPr>
        <w:t>private</w:t>
      </w:r>
      <w:r w:rsidR="008C36C6" w:rsidRPr="00E85554">
        <w:rPr>
          <w:rFonts w:ascii="Times New Roman" w:hAnsi="Times New Roman" w:cs="Times New Roman"/>
          <w:sz w:val="24"/>
          <w:szCs w:val="24"/>
          <w:lang w:val="en-US"/>
        </w:rPr>
        <w:t xml:space="preserve"> firms</w:t>
      </w:r>
      <w:r w:rsidR="0085149D" w:rsidRPr="00E85554">
        <w:rPr>
          <w:rFonts w:ascii="Times New Roman" w:hAnsi="Times New Roman" w:cs="Times New Roman"/>
          <w:sz w:val="24"/>
          <w:szCs w:val="24"/>
          <w:lang w:val="en-US"/>
        </w:rPr>
        <w:t xml:space="preserve"> </w:t>
      </w:r>
      <w:r w:rsidR="00E93558">
        <w:rPr>
          <w:rFonts w:ascii="Times New Roman" w:hAnsi="Times New Roman" w:cs="Times New Roman"/>
          <w:sz w:val="24"/>
          <w:szCs w:val="24"/>
          <w:lang w:val="en-US"/>
        </w:rPr>
        <w:t>are less effective</w:t>
      </w:r>
      <w:r w:rsidR="008C36C6" w:rsidRPr="00E85554">
        <w:rPr>
          <w:rFonts w:ascii="Times New Roman" w:hAnsi="Times New Roman" w:cs="Times New Roman"/>
          <w:sz w:val="24"/>
          <w:szCs w:val="24"/>
          <w:lang w:val="en-US"/>
        </w:rPr>
        <w:t xml:space="preserve"> in mitigating</w:t>
      </w:r>
      <w:r w:rsidR="00E93558">
        <w:rPr>
          <w:rFonts w:ascii="Times New Roman" w:hAnsi="Times New Roman" w:cs="Times New Roman"/>
          <w:sz w:val="24"/>
          <w:szCs w:val="24"/>
          <w:lang w:val="en-US"/>
        </w:rPr>
        <w:t xml:space="preserve"> block</w:t>
      </w:r>
      <w:r w:rsidR="00CA0A09" w:rsidRPr="00E85554">
        <w:rPr>
          <w:rFonts w:ascii="Times New Roman" w:hAnsi="Times New Roman" w:cs="Times New Roman"/>
          <w:sz w:val="24"/>
          <w:szCs w:val="24"/>
          <w:lang w:val="en-US"/>
        </w:rPr>
        <w:t>holder appropriation</w:t>
      </w:r>
      <w:r w:rsidR="008C36C6" w:rsidRPr="00E85554">
        <w:rPr>
          <w:rFonts w:ascii="Times New Roman" w:hAnsi="Times New Roman" w:cs="Times New Roman"/>
          <w:sz w:val="24"/>
          <w:szCs w:val="24"/>
          <w:lang w:val="en-US"/>
        </w:rPr>
        <w:t xml:space="preserve"> </w:t>
      </w:r>
      <w:r w:rsidR="007A15F2" w:rsidRPr="00E85554">
        <w:rPr>
          <w:rFonts w:ascii="Times New Roman" w:hAnsi="Times New Roman" w:cs="Times New Roman"/>
          <w:sz w:val="24"/>
          <w:szCs w:val="24"/>
          <w:lang w:val="en-US"/>
        </w:rPr>
        <w:t>than in state-owned enterprises</w:t>
      </w:r>
      <w:r w:rsidR="00CA0A09" w:rsidRPr="00E85554">
        <w:rPr>
          <w:rFonts w:ascii="Times New Roman" w:hAnsi="Times New Roman" w:cs="Times New Roman"/>
          <w:sz w:val="24"/>
          <w:szCs w:val="24"/>
          <w:lang w:val="en-US"/>
        </w:rPr>
        <w:t>.</w:t>
      </w:r>
      <w:r w:rsidR="005A06C9" w:rsidRPr="00E85554">
        <w:rPr>
          <w:rFonts w:ascii="Times New Roman" w:hAnsi="Times New Roman" w:cs="Times New Roman"/>
          <w:sz w:val="24"/>
          <w:szCs w:val="24"/>
          <w:lang w:val="en-US"/>
        </w:rPr>
        <w:t xml:space="preserve"> </w:t>
      </w:r>
      <w:r w:rsidR="005A63F0" w:rsidRPr="00E85554">
        <w:rPr>
          <w:rFonts w:ascii="Times New Roman" w:hAnsi="Times New Roman" w:cs="Times New Roman"/>
          <w:sz w:val="24"/>
          <w:szCs w:val="24"/>
          <w:lang w:val="en-US"/>
        </w:rPr>
        <w:t>We</w:t>
      </w:r>
      <w:r w:rsidR="0085089B" w:rsidRPr="00E85554">
        <w:rPr>
          <w:rFonts w:ascii="Times New Roman" w:hAnsi="Times New Roman" w:cs="Times New Roman"/>
          <w:sz w:val="24"/>
          <w:szCs w:val="24"/>
          <w:lang w:val="en-US"/>
        </w:rPr>
        <w:t xml:space="preserve"> further investigate </w:t>
      </w:r>
      <w:r w:rsidR="00CE18BB">
        <w:rPr>
          <w:rFonts w:ascii="Times New Roman" w:hAnsi="Times New Roman" w:cs="Times New Roman"/>
          <w:sz w:val="24"/>
          <w:szCs w:val="24"/>
          <w:lang w:val="en-US"/>
        </w:rPr>
        <w:t xml:space="preserve">board independence effects driven by </w:t>
      </w:r>
      <w:r w:rsidR="0085089B" w:rsidRPr="00E85554">
        <w:rPr>
          <w:rFonts w:ascii="Times New Roman" w:hAnsi="Times New Roman" w:cs="Times New Roman"/>
          <w:sz w:val="24"/>
          <w:szCs w:val="24"/>
          <w:lang w:val="en-US"/>
        </w:rPr>
        <w:t>t</w:t>
      </w:r>
      <w:r w:rsidR="009301F1" w:rsidRPr="00E85554">
        <w:rPr>
          <w:rFonts w:ascii="Times New Roman" w:hAnsi="Times New Roman" w:cs="Times New Roman"/>
          <w:sz w:val="24"/>
          <w:szCs w:val="24"/>
          <w:lang w:val="en-US"/>
        </w:rPr>
        <w:t>he exposure to t</w:t>
      </w:r>
      <w:r w:rsidR="0085089B" w:rsidRPr="00E85554">
        <w:rPr>
          <w:rFonts w:ascii="Times New Roman" w:hAnsi="Times New Roman" w:cs="Times New Roman"/>
          <w:sz w:val="24"/>
          <w:szCs w:val="24"/>
          <w:lang w:val="en-US"/>
        </w:rPr>
        <w:t xml:space="preserve">hree </w:t>
      </w:r>
      <w:r w:rsidR="008A3FE0" w:rsidRPr="00E85554">
        <w:rPr>
          <w:rFonts w:ascii="Times New Roman" w:hAnsi="Times New Roman" w:cs="Times New Roman"/>
          <w:sz w:val="24"/>
          <w:szCs w:val="24"/>
          <w:lang w:val="en-US"/>
        </w:rPr>
        <w:t xml:space="preserve">international </w:t>
      </w:r>
      <w:r w:rsidR="009301F1" w:rsidRPr="00E85554">
        <w:rPr>
          <w:rFonts w:ascii="Times New Roman" w:hAnsi="Times New Roman" w:cs="Times New Roman"/>
          <w:sz w:val="24"/>
          <w:szCs w:val="24"/>
          <w:lang w:val="en-US"/>
        </w:rPr>
        <w:t xml:space="preserve">governance </w:t>
      </w:r>
      <w:r w:rsidR="008A3FE0" w:rsidRPr="00E85554">
        <w:rPr>
          <w:rFonts w:ascii="Times New Roman" w:hAnsi="Times New Roman" w:cs="Times New Roman"/>
          <w:sz w:val="24"/>
          <w:szCs w:val="24"/>
          <w:lang w:val="en-US"/>
        </w:rPr>
        <w:t>boundary condition</w:t>
      </w:r>
      <w:r w:rsidR="0085089B" w:rsidRPr="00E85554">
        <w:rPr>
          <w:rFonts w:ascii="Times New Roman" w:hAnsi="Times New Roman" w:cs="Times New Roman"/>
          <w:sz w:val="24"/>
          <w:szCs w:val="24"/>
          <w:lang w:val="en-US"/>
        </w:rPr>
        <w:t>s</w:t>
      </w:r>
      <w:r w:rsidR="007C7A66" w:rsidRPr="00E85554">
        <w:rPr>
          <w:rFonts w:ascii="Times New Roman" w:hAnsi="Times New Roman" w:cs="Times New Roman"/>
          <w:sz w:val="24"/>
          <w:szCs w:val="24"/>
          <w:lang w:val="en-US"/>
        </w:rPr>
        <w:t xml:space="preserve">, namely Russian </w:t>
      </w:r>
      <w:r w:rsidR="007216AD" w:rsidRPr="00E85554">
        <w:rPr>
          <w:rFonts w:ascii="Times New Roman" w:hAnsi="Times New Roman" w:cs="Times New Roman"/>
          <w:sz w:val="24"/>
          <w:szCs w:val="24"/>
          <w:lang w:val="en-US"/>
        </w:rPr>
        <w:t>Multi</w:t>
      </w:r>
      <w:r w:rsidR="0053485D" w:rsidRPr="00E85554">
        <w:rPr>
          <w:rFonts w:ascii="Times New Roman" w:hAnsi="Times New Roman" w:cs="Times New Roman"/>
          <w:sz w:val="24"/>
          <w:szCs w:val="24"/>
          <w:lang w:val="en-US"/>
        </w:rPr>
        <w:t>n</w:t>
      </w:r>
      <w:r w:rsidR="008616A8">
        <w:rPr>
          <w:rFonts w:ascii="Times New Roman" w:hAnsi="Times New Roman" w:cs="Times New Roman"/>
          <w:sz w:val="24"/>
          <w:szCs w:val="24"/>
          <w:lang w:val="en-US"/>
        </w:rPr>
        <w:t>ational Enterprises</w:t>
      </w:r>
      <w:r w:rsidR="00D92541" w:rsidRPr="00E85554">
        <w:rPr>
          <w:rFonts w:ascii="Times New Roman" w:hAnsi="Times New Roman" w:cs="Times New Roman"/>
          <w:sz w:val="24"/>
          <w:szCs w:val="24"/>
          <w:lang w:val="en-US"/>
        </w:rPr>
        <w:t>,</w:t>
      </w:r>
      <w:r w:rsidR="007C7A66" w:rsidRPr="00E85554">
        <w:rPr>
          <w:rFonts w:ascii="Times New Roman" w:hAnsi="Times New Roman" w:cs="Times New Roman"/>
          <w:sz w:val="24"/>
          <w:szCs w:val="24"/>
          <w:lang w:val="en-US"/>
        </w:rPr>
        <w:t xml:space="preserve"> </w:t>
      </w:r>
      <w:r w:rsidR="00E93558" w:rsidRPr="00E85554">
        <w:rPr>
          <w:rFonts w:ascii="Times New Roman" w:hAnsi="Times New Roman" w:cs="Times New Roman"/>
          <w:sz w:val="24"/>
          <w:szCs w:val="24"/>
          <w:lang w:val="en-US"/>
        </w:rPr>
        <w:t xml:space="preserve">foreign listings of Russian firms, </w:t>
      </w:r>
      <w:r w:rsidR="007C7A66" w:rsidRPr="00E85554">
        <w:rPr>
          <w:rFonts w:ascii="Times New Roman" w:hAnsi="Times New Roman" w:cs="Times New Roman"/>
          <w:sz w:val="24"/>
          <w:szCs w:val="24"/>
          <w:lang w:val="en-US"/>
        </w:rPr>
        <w:t xml:space="preserve">and </w:t>
      </w:r>
      <w:r w:rsidR="005C7CFE" w:rsidRPr="00E85554">
        <w:rPr>
          <w:rFonts w:ascii="Times New Roman" w:hAnsi="Times New Roman" w:cs="Times New Roman"/>
          <w:sz w:val="24"/>
          <w:szCs w:val="24"/>
          <w:lang w:val="en-US"/>
        </w:rPr>
        <w:t>foreign</w:t>
      </w:r>
      <w:r w:rsidR="007C7A66" w:rsidRPr="00E85554">
        <w:rPr>
          <w:rFonts w:ascii="Times New Roman" w:hAnsi="Times New Roman" w:cs="Times New Roman"/>
          <w:sz w:val="24"/>
          <w:szCs w:val="24"/>
          <w:lang w:val="en-US"/>
        </w:rPr>
        <w:t xml:space="preserve"> independent directors on Russian boards</w:t>
      </w:r>
      <w:r w:rsidR="0085089B" w:rsidRPr="00E85554">
        <w:rPr>
          <w:rFonts w:ascii="Times New Roman" w:hAnsi="Times New Roman" w:cs="Times New Roman"/>
          <w:sz w:val="24"/>
          <w:szCs w:val="24"/>
          <w:lang w:val="en-US"/>
        </w:rPr>
        <w:t xml:space="preserve">. </w:t>
      </w:r>
      <w:r w:rsidR="00383C37" w:rsidRPr="00E85554">
        <w:rPr>
          <w:rFonts w:ascii="Times New Roman" w:hAnsi="Times New Roman" w:cs="Times New Roman"/>
          <w:sz w:val="24"/>
          <w:szCs w:val="24"/>
          <w:lang w:val="en-US"/>
        </w:rPr>
        <w:t xml:space="preserve">Our study </w:t>
      </w:r>
      <w:r w:rsidR="00CE18BB">
        <w:rPr>
          <w:rFonts w:ascii="Times New Roman" w:hAnsi="Times New Roman" w:cs="Times New Roman"/>
          <w:sz w:val="24"/>
          <w:szCs w:val="24"/>
          <w:lang w:val="en-US"/>
        </w:rPr>
        <w:t xml:space="preserve">focuses on the agents that </w:t>
      </w:r>
      <w:r w:rsidR="008616A8">
        <w:rPr>
          <w:rFonts w:ascii="Times New Roman" w:hAnsi="Times New Roman" w:cs="Times New Roman"/>
          <w:sz w:val="24"/>
          <w:szCs w:val="24"/>
          <w:lang w:val="en-US"/>
        </w:rPr>
        <w:t xml:space="preserve">might </w:t>
      </w:r>
      <w:r w:rsidR="006525E8">
        <w:rPr>
          <w:rFonts w:ascii="Times New Roman" w:hAnsi="Times New Roman" w:cs="Times New Roman"/>
          <w:sz w:val="24"/>
          <w:szCs w:val="24"/>
          <w:lang w:val="en-US"/>
        </w:rPr>
        <w:t xml:space="preserve">assuage </w:t>
      </w:r>
      <w:r w:rsidR="00CE18BB">
        <w:rPr>
          <w:rFonts w:ascii="Times New Roman" w:hAnsi="Times New Roman" w:cs="Times New Roman"/>
          <w:sz w:val="24"/>
          <w:szCs w:val="24"/>
          <w:lang w:val="en-US"/>
        </w:rPr>
        <w:t xml:space="preserve">principal-principal </w:t>
      </w:r>
      <w:r w:rsidR="008616A8">
        <w:rPr>
          <w:rFonts w:ascii="Times New Roman" w:hAnsi="Times New Roman" w:cs="Times New Roman"/>
          <w:sz w:val="24"/>
          <w:szCs w:val="24"/>
          <w:lang w:val="en-US"/>
        </w:rPr>
        <w:t>conflicts, explores when</w:t>
      </w:r>
      <w:r w:rsidR="006D7ACB" w:rsidRPr="00E85554">
        <w:rPr>
          <w:rFonts w:ascii="Times New Roman" w:hAnsi="Times New Roman" w:cs="Times New Roman"/>
          <w:sz w:val="24"/>
          <w:szCs w:val="24"/>
          <w:lang w:val="en-US"/>
        </w:rPr>
        <w:t xml:space="preserve"> ineffective governance can be </w:t>
      </w:r>
      <w:r w:rsidR="006525E8">
        <w:rPr>
          <w:rFonts w:ascii="Times New Roman" w:hAnsi="Times New Roman" w:cs="Times New Roman"/>
          <w:sz w:val="24"/>
          <w:szCs w:val="24"/>
          <w:lang w:val="en-US"/>
        </w:rPr>
        <w:t>minimized</w:t>
      </w:r>
      <w:r w:rsidR="006D7ACB" w:rsidRPr="00E85554">
        <w:rPr>
          <w:rFonts w:ascii="Times New Roman" w:hAnsi="Times New Roman" w:cs="Times New Roman"/>
          <w:sz w:val="24"/>
          <w:szCs w:val="24"/>
          <w:lang w:val="en-US"/>
        </w:rPr>
        <w:t xml:space="preserve">, and </w:t>
      </w:r>
      <w:r w:rsidR="0053485D" w:rsidRPr="00E85554">
        <w:rPr>
          <w:rFonts w:ascii="Times New Roman" w:hAnsi="Times New Roman" w:cs="Times New Roman"/>
          <w:sz w:val="24"/>
          <w:szCs w:val="24"/>
          <w:lang w:val="en-US"/>
        </w:rPr>
        <w:t>contribute</w:t>
      </w:r>
      <w:r w:rsidR="00383C37" w:rsidRPr="00E85554">
        <w:rPr>
          <w:rFonts w:ascii="Times New Roman" w:hAnsi="Times New Roman" w:cs="Times New Roman"/>
          <w:sz w:val="24"/>
          <w:szCs w:val="24"/>
          <w:lang w:val="en-US"/>
        </w:rPr>
        <w:t>s</w:t>
      </w:r>
      <w:r w:rsidR="0053485D" w:rsidRPr="00E85554">
        <w:rPr>
          <w:rFonts w:ascii="Times New Roman" w:hAnsi="Times New Roman" w:cs="Times New Roman"/>
          <w:sz w:val="24"/>
          <w:szCs w:val="24"/>
          <w:lang w:val="en-US"/>
        </w:rPr>
        <w:t xml:space="preserve"> to research on how governance practices </w:t>
      </w:r>
      <w:r w:rsidRPr="00E85554">
        <w:rPr>
          <w:rFonts w:ascii="Times New Roman" w:hAnsi="Times New Roman" w:cs="Times New Roman"/>
          <w:sz w:val="24"/>
          <w:szCs w:val="24"/>
          <w:lang w:val="en-US"/>
        </w:rPr>
        <w:t xml:space="preserve">developed in advanced economies </w:t>
      </w:r>
      <w:r w:rsidR="0053485D" w:rsidRPr="00E85554">
        <w:rPr>
          <w:rFonts w:ascii="Times New Roman" w:hAnsi="Times New Roman" w:cs="Times New Roman"/>
          <w:sz w:val="24"/>
          <w:szCs w:val="24"/>
          <w:lang w:val="en-US"/>
        </w:rPr>
        <w:t>get</w:t>
      </w:r>
      <w:r w:rsidR="008E1D24" w:rsidRPr="00E85554">
        <w:rPr>
          <w:rFonts w:ascii="Times New Roman" w:hAnsi="Times New Roman" w:cs="Times New Roman"/>
          <w:sz w:val="24"/>
          <w:szCs w:val="24"/>
          <w:lang w:val="en-US"/>
        </w:rPr>
        <w:t xml:space="preserve"> translated </w:t>
      </w:r>
      <w:r w:rsidR="0053485D" w:rsidRPr="00E85554">
        <w:rPr>
          <w:rFonts w:ascii="Times New Roman" w:hAnsi="Times New Roman" w:cs="Times New Roman"/>
          <w:sz w:val="24"/>
          <w:szCs w:val="24"/>
          <w:lang w:val="en-US"/>
        </w:rPr>
        <w:t xml:space="preserve">in </w:t>
      </w:r>
      <w:r w:rsidR="008E1D24" w:rsidRPr="00E85554">
        <w:rPr>
          <w:rFonts w:ascii="Times New Roman" w:hAnsi="Times New Roman" w:cs="Times New Roman"/>
          <w:sz w:val="24"/>
          <w:szCs w:val="24"/>
          <w:lang w:val="en-US"/>
        </w:rPr>
        <w:t xml:space="preserve">emerging market </w:t>
      </w:r>
      <w:r w:rsidRPr="00E85554">
        <w:rPr>
          <w:rFonts w:ascii="Times New Roman" w:hAnsi="Times New Roman" w:cs="Times New Roman"/>
          <w:sz w:val="24"/>
          <w:szCs w:val="24"/>
          <w:lang w:val="en-US"/>
        </w:rPr>
        <w:t>economies</w:t>
      </w:r>
      <w:r w:rsidR="008E1D24" w:rsidRPr="00E85554">
        <w:rPr>
          <w:rFonts w:ascii="Times New Roman" w:hAnsi="Times New Roman" w:cs="Times New Roman"/>
          <w:sz w:val="24"/>
          <w:szCs w:val="24"/>
          <w:lang w:val="en-US"/>
        </w:rPr>
        <w:t xml:space="preserve">. </w:t>
      </w:r>
    </w:p>
    <w:p w14:paraId="5FBB275B" w14:textId="77777777" w:rsidR="00E93558" w:rsidRDefault="00E93558" w:rsidP="009301F1">
      <w:pPr>
        <w:spacing w:line="480" w:lineRule="auto"/>
        <w:rPr>
          <w:rFonts w:ascii="Times New Roman" w:hAnsi="Times New Roman" w:cs="Times New Roman"/>
          <w:b/>
          <w:sz w:val="24"/>
          <w:szCs w:val="24"/>
          <w:lang w:val="en-US"/>
        </w:rPr>
      </w:pPr>
    </w:p>
    <w:p w14:paraId="29E1ADBE" w14:textId="77777777" w:rsidR="00612687" w:rsidRPr="00E85554" w:rsidRDefault="00612687" w:rsidP="009301F1">
      <w:pPr>
        <w:spacing w:line="480" w:lineRule="auto"/>
        <w:rPr>
          <w:rFonts w:ascii="Times New Roman" w:hAnsi="Times New Roman" w:cs="Times New Roman"/>
          <w:sz w:val="24"/>
          <w:szCs w:val="24"/>
          <w:lang w:val="en-US"/>
        </w:rPr>
      </w:pPr>
      <w:r w:rsidRPr="00E85554">
        <w:rPr>
          <w:rFonts w:ascii="Times New Roman" w:hAnsi="Times New Roman" w:cs="Times New Roman"/>
          <w:b/>
          <w:sz w:val="24"/>
          <w:szCs w:val="24"/>
          <w:lang w:val="en-US"/>
        </w:rPr>
        <w:t xml:space="preserve">Keywords: </w:t>
      </w:r>
      <w:r w:rsidR="00F75B8A" w:rsidRPr="00E85554">
        <w:rPr>
          <w:rFonts w:ascii="Times New Roman" w:hAnsi="Times New Roman" w:cs="Times New Roman"/>
          <w:b/>
          <w:sz w:val="24"/>
          <w:szCs w:val="24"/>
          <w:lang w:val="en-US"/>
        </w:rPr>
        <w:br/>
      </w:r>
      <w:r w:rsidR="003B15F6" w:rsidRPr="00E85554">
        <w:rPr>
          <w:rFonts w:ascii="Times New Roman" w:hAnsi="Times New Roman" w:cs="Times New Roman"/>
          <w:sz w:val="24"/>
          <w:szCs w:val="24"/>
          <w:lang w:val="en-US"/>
        </w:rPr>
        <w:t xml:space="preserve">Corporate governance, </w:t>
      </w:r>
      <w:r w:rsidR="006436C5" w:rsidRPr="00E85554">
        <w:rPr>
          <w:rFonts w:ascii="Times New Roman" w:hAnsi="Times New Roman" w:cs="Times New Roman"/>
          <w:sz w:val="24"/>
          <w:szCs w:val="24"/>
          <w:lang w:val="en-US"/>
        </w:rPr>
        <w:t xml:space="preserve">blockholders, boards, </w:t>
      </w:r>
      <w:r w:rsidR="00340E5D" w:rsidRPr="00E85554">
        <w:rPr>
          <w:rFonts w:ascii="Times New Roman" w:hAnsi="Times New Roman" w:cs="Times New Roman"/>
          <w:sz w:val="24"/>
          <w:szCs w:val="24"/>
          <w:lang w:val="en-US"/>
        </w:rPr>
        <w:t xml:space="preserve">multiple agency </w:t>
      </w:r>
      <w:r w:rsidR="007F6C89">
        <w:rPr>
          <w:rFonts w:ascii="Times New Roman" w:hAnsi="Times New Roman" w:cs="Times New Roman"/>
          <w:sz w:val="24"/>
          <w:szCs w:val="24"/>
          <w:lang w:val="en-US"/>
        </w:rPr>
        <w:t>perspective</w:t>
      </w:r>
      <w:r w:rsidR="001C3483" w:rsidRPr="00E85554">
        <w:rPr>
          <w:rFonts w:ascii="Times New Roman" w:hAnsi="Times New Roman" w:cs="Times New Roman"/>
          <w:sz w:val="24"/>
          <w:szCs w:val="24"/>
          <w:lang w:val="en-US"/>
        </w:rPr>
        <w:t xml:space="preserve">, </w:t>
      </w:r>
      <w:r w:rsidR="006436C5" w:rsidRPr="00E85554">
        <w:rPr>
          <w:rFonts w:ascii="Times New Roman" w:hAnsi="Times New Roman" w:cs="Times New Roman"/>
          <w:sz w:val="24"/>
          <w:szCs w:val="24"/>
          <w:lang w:val="en-US"/>
        </w:rPr>
        <w:t xml:space="preserve">Russia, </w:t>
      </w:r>
      <w:r w:rsidR="00A31A25" w:rsidRPr="00E85554">
        <w:rPr>
          <w:rFonts w:ascii="Times New Roman" w:hAnsi="Times New Roman" w:cs="Times New Roman"/>
          <w:sz w:val="24"/>
          <w:szCs w:val="24"/>
          <w:lang w:val="en-US"/>
        </w:rPr>
        <w:t xml:space="preserve">MNEs, foreign directors, cross-listings, </w:t>
      </w:r>
      <w:r w:rsidR="00E17CCA" w:rsidRPr="00E85554">
        <w:rPr>
          <w:rFonts w:ascii="Times New Roman" w:hAnsi="Times New Roman" w:cs="Times New Roman"/>
          <w:sz w:val="24"/>
          <w:szCs w:val="24"/>
          <w:lang w:val="en-US"/>
        </w:rPr>
        <w:t xml:space="preserve">SOEs </w:t>
      </w:r>
      <w:r w:rsidRPr="00E85554">
        <w:rPr>
          <w:rFonts w:ascii="Times New Roman" w:hAnsi="Times New Roman" w:cs="Times New Roman"/>
          <w:sz w:val="24"/>
          <w:szCs w:val="24"/>
          <w:lang w:val="en-US"/>
        </w:rPr>
        <w:t xml:space="preserve"> </w:t>
      </w:r>
    </w:p>
    <w:p w14:paraId="51D32A23" w14:textId="77777777" w:rsidR="00D35A7D" w:rsidRPr="00E85554" w:rsidRDefault="005B41CA" w:rsidP="007A15F2">
      <w:pPr>
        <w:spacing w:after="0" w:line="480" w:lineRule="auto"/>
        <w:rPr>
          <w:rFonts w:ascii="Times New Roman" w:hAnsi="Times New Roman" w:cs="Times New Roman"/>
          <w:b/>
          <w:sz w:val="24"/>
          <w:szCs w:val="24"/>
          <w:lang w:val="en-US"/>
        </w:rPr>
      </w:pPr>
      <w:r w:rsidRPr="00E85554">
        <w:rPr>
          <w:rFonts w:ascii="Times New Roman" w:hAnsi="Times New Roman" w:cs="Times New Roman"/>
          <w:b/>
          <w:sz w:val="24"/>
          <w:szCs w:val="24"/>
          <w:lang w:val="en-US"/>
        </w:rPr>
        <w:br w:type="page"/>
      </w:r>
      <w:bookmarkStart w:id="1" w:name="_Toc356314573"/>
      <w:bookmarkStart w:id="2" w:name="_Toc356314676"/>
      <w:bookmarkStart w:id="3" w:name="_Toc356314780"/>
      <w:bookmarkStart w:id="4" w:name="_Toc356399742"/>
      <w:bookmarkStart w:id="5" w:name="_Toc356410855"/>
      <w:bookmarkStart w:id="6" w:name="_Toc356416268"/>
      <w:bookmarkStart w:id="7" w:name="_Toc356417855"/>
      <w:bookmarkStart w:id="8" w:name="_Toc356418857"/>
      <w:bookmarkStart w:id="9" w:name="_Toc356419310"/>
      <w:bookmarkStart w:id="10" w:name="_Toc356419408"/>
      <w:bookmarkStart w:id="11" w:name="_Toc356420582"/>
      <w:bookmarkStart w:id="12" w:name="_Toc356420634"/>
      <w:bookmarkStart w:id="13" w:name="_Toc356421110"/>
      <w:bookmarkStart w:id="14" w:name="_Toc356421546"/>
      <w:bookmarkStart w:id="15" w:name="_Toc360530720"/>
      <w:bookmarkStart w:id="16" w:name="_Toc367205988"/>
      <w:bookmarkStart w:id="17" w:name="_Toc367206045"/>
      <w:bookmarkStart w:id="18" w:name="_Toc367206203"/>
      <w:bookmarkStart w:id="19" w:name="_Toc367206258"/>
      <w:bookmarkStart w:id="20" w:name="_Toc367207634"/>
      <w:bookmarkStart w:id="21" w:name="_Toc367207749"/>
      <w:bookmarkStart w:id="22" w:name="_Toc367211384"/>
      <w:bookmarkStart w:id="23" w:name="_Toc367213187"/>
      <w:bookmarkStart w:id="24" w:name="_Toc367213250"/>
      <w:bookmarkStart w:id="25" w:name="_Toc367216709"/>
      <w:bookmarkStart w:id="26" w:name="_Toc367304858"/>
      <w:bookmarkStart w:id="27" w:name="_Toc367314142"/>
      <w:bookmarkStart w:id="28" w:name="_Toc367315135"/>
      <w:bookmarkStart w:id="29" w:name="_Toc36731513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00F77C01" w:rsidRPr="00E85554">
        <w:rPr>
          <w:rFonts w:ascii="Times New Roman" w:hAnsi="Times New Roman" w:cs="Times New Roman"/>
          <w:b/>
          <w:sz w:val="24"/>
          <w:szCs w:val="24"/>
          <w:lang w:val="en-US"/>
        </w:rPr>
        <w:lastRenderedPageBreak/>
        <w:t>INTRODUCTION</w:t>
      </w:r>
      <w:bookmarkEnd w:id="29"/>
    </w:p>
    <w:p w14:paraId="2D0471EF" w14:textId="050E4FF0" w:rsidR="00873FEB" w:rsidRPr="00E85554" w:rsidRDefault="009F6454" w:rsidP="007A15F2">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Blockholders are often accused of extracting private benefits from minority shareholders and creditors </w:t>
      </w:r>
      <w:r w:rsidR="002C5D63" w:rsidRPr="00E85554">
        <w:rPr>
          <w:rFonts w:ascii="Times New Roman" w:hAnsi="Times New Roman" w:cs="Times New Roman"/>
          <w:sz w:val="24"/>
          <w:szCs w:val="24"/>
          <w:lang w:val="en-US"/>
        </w:rPr>
        <w:fldChar w:fldCharType="begin"/>
      </w:r>
      <w:r w:rsidR="009F0F53" w:rsidRPr="00E85554">
        <w:rPr>
          <w:rFonts w:ascii="Times New Roman" w:hAnsi="Times New Roman" w:cs="Times New Roman"/>
          <w:sz w:val="24"/>
          <w:szCs w:val="24"/>
          <w:lang w:val="en-US"/>
        </w:rPr>
        <w:instrText xml:space="preserve"> ADDIN EN.CITE &lt;EndNote&gt;&lt;Cite&gt;&lt;Author&gt;Douma&lt;/Author&gt;&lt;Year&gt;2006&lt;/Year&gt;&lt;RecNum&gt;35&lt;/RecNum&gt;&lt;DisplayText&gt;(Douma et al., 2006)&lt;/DisplayText&gt;&lt;record&gt;&lt;rec-number&gt;35&lt;/rec-number&gt;&lt;foreign-keys&gt;&lt;key app="EN" db-id="xdsfzvadmzzxdzereeq5xdf7eaxsdwfdfave" timestamp="1389482284"&gt;35&lt;/key&gt;&lt;/foreign-keys&gt;&lt;ref-type name="Journal Article"&gt;17&lt;/ref-type&gt;&lt;contributors&gt;&lt;authors&gt;&lt;author&gt;Douma, Sytse&lt;/author&gt;&lt;author&gt;George, Rejie&lt;/author&gt;&lt;author&gt;Kabir, Rezaul&lt;/author&gt;&lt;/authors&gt;&lt;/contributors&gt;&lt;titles&gt;&lt;title&gt;Foreign and domestic ownership, business groups, and firm performance: Evidence from a large emerging market&lt;/title&gt;&lt;secondary-title&gt;Strategic Management Journal&lt;/secondary-title&gt;&lt;/titles&gt;&lt;periodical&gt;&lt;full-title&gt;Strategic Management Journal&lt;/full-title&gt;&lt;/periodical&gt;&lt;pages&gt;637-657&lt;/pages&gt;&lt;volume&gt;27&lt;/volume&gt;&lt;number&gt;7&lt;/number&gt;&lt;dates&gt;&lt;year&gt;2006&lt;/year&gt;&lt;/dates&gt;&lt;isbn&gt;1097-0266&lt;/isbn&gt;&lt;urls&gt;&lt;/urls&gt;&lt;/record&gt;&lt;/Cite&gt;&lt;/EndNote&gt;</w:instrText>
      </w:r>
      <w:r w:rsidR="002C5D63" w:rsidRPr="00E85554">
        <w:rPr>
          <w:rFonts w:ascii="Times New Roman" w:hAnsi="Times New Roman" w:cs="Times New Roman"/>
          <w:sz w:val="24"/>
          <w:szCs w:val="24"/>
          <w:lang w:val="en-US"/>
        </w:rPr>
        <w:fldChar w:fldCharType="separate"/>
      </w:r>
      <w:r w:rsidR="009F0F53" w:rsidRPr="00E85554">
        <w:rPr>
          <w:rFonts w:ascii="Times New Roman" w:hAnsi="Times New Roman" w:cs="Times New Roman"/>
          <w:noProof/>
          <w:sz w:val="24"/>
          <w:szCs w:val="24"/>
          <w:lang w:val="en-US"/>
        </w:rPr>
        <w:t>(</w:t>
      </w:r>
      <w:hyperlink w:anchor="_ENREF_41" w:tooltip="Douma, 2006 #35" w:history="1">
        <w:r w:rsidR="00266C78" w:rsidRPr="00E85554">
          <w:rPr>
            <w:rFonts w:ascii="Times New Roman" w:hAnsi="Times New Roman" w:cs="Times New Roman"/>
            <w:noProof/>
            <w:sz w:val="24"/>
            <w:szCs w:val="24"/>
            <w:lang w:val="en-US"/>
          </w:rPr>
          <w:t>Douma et al., 2006</w:t>
        </w:r>
      </w:hyperlink>
      <w:r w:rsidR="009F0F53" w:rsidRPr="00E85554">
        <w:rPr>
          <w:rFonts w:ascii="Times New Roman" w:hAnsi="Times New Roman" w:cs="Times New Roman"/>
          <w:noProof/>
          <w:sz w:val="24"/>
          <w:szCs w:val="24"/>
          <w:lang w:val="en-US"/>
        </w:rPr>
        <w:t>)</w:t>
      </w:r>
      <w:r w:rsidR="002C5D63"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w:t>
      </w:r>
      <w:r w:rsidR="00252740" w:rsidRPr="00E85554">
        <w:rPr>
          <w:rFonts w:ascii="Times New Roman" w:hAnsi="Times New Roman" w:cs="Times New Roman"/>
          <w:sz w:val="24"/>
          <w:szCs w:val="24"/>
          <w:lang w:val="en-US"/>
        </w:rPr>
        <w:t xml:space="preserve">or, as in the case of state-owned enterprises, of mismanagement of funds </w:t>
      </w:r>
      <w:r w:rsidR="002C5D63" w:rsidRPr="00E85554">
        <w:rPr>
          <w:rFonts w:ascii="Times New Roman" w:hAnsi="Times New Roman" w:cs="Times New Roman"/>
          <w:sz w:val="24"/>
          <w:szCs w:val="24"/>
          <w:lang w:val="en-US"/>
        </w:rPr>
        <w:fldChar w:fldCharType="begin"/>
      </w:r>
      <w:r w:rsidR="009F0F53" w:rsidRPr="00E85554">
        <w:rPr>
          <w:rFonts w:ascii="Times New Roman" w:hAnsi="Times New Roman" w:cs="Times New Roman"/>
          <w:sz w:val="24"/>
          <w:szCs w:val="24"/>
          <w:lang w:val="en-US"/>
        </w:rPr>
        <w:instrText xml:space="preserve"> ADDIN EN.CITE &lt;EndNote&gt;&lt;Cite&gt;&lt;Author&gt;Kornai&lt;/Author&gt;&lt;Year&gt;1986&lt;/Year&gt;&lt;RecNum&gt;69&lt;/RecNum&gt;&lt;DisplayText&gt;(Kornai, 1986)&lt;/DisplayText&gt;&lt;record&gt;&lt;rec-number&gt;69&lt;/rec-number&gt;&lt;foreign-keys&gt;&lt;key app="EN" db-id="xdsfzvadmzzxdzereeq5xdf7eaxsdwfdfave" timestamp="1389485917"&gt;69&lt;/key&gt;&lt;/foreign-keys&gt;&lt;ref-type name="Journal Article"&gt;17&lt;/ref-type&gt;&lt;contributors&gt;&lt;authors&gt;&lt;author&gt;Kornai, Janos&lt;/author&gt;&lt;/authors&gt;&lt;/contributors&gt;&lt;titles&gt;&lt;title&gt;The soft budget constraint&lt;/title&gt;&lt;secondary-title&gt;Kyklos&lt;/secondary-title&gt;&lt;/titles&gt;&lt;periodical&gt;&lt;full-title&gt;Kyklos&lt;/full-title&gt;&lt;/periodical&gt;&lt;pages&gt;3-30&lt;/pages&gt;&lt;volume&gt;39&lt;/volume&gt;&lt;number&gt;1&lt;/number&gt;&lt;dates&gt;&lt;year&gt;1986&lt;/year&gt;&lt;/dates&gt;&lt;urls&gt;&lt;/urls&gt;&lt;/record&gt;&lt;/Cite&gt;&lt;/EndNote&gt;</w:instrText>
      </w:r>
      <w:r w:rsidR="002C5D63" w:rsidRPr="00E85554">
        <w:rPr>
          <w:rFonts w:ascii="Times New Roman" w:hAnsi="Times New Roman" w:cs="Times New Roman"/>
          <w:sz w:val="24"/>
          <w:szCs w:val="24"/>
          <w:lang w:val="en-US"/>
        </w:rPr>
        <w:fldChar w:fldCharType="separate"/>
      </w:r>
      <w:r w:rsidR="009F0F53" w:rsidRPr="00E85554">
        <w:rPr>
          <w:rFonts w:ascii="Times New Roman" w:hAnsi="Times New Roman" w:cs="Times New Roman"/>
          <w:noProof/>
          <w:sz w:val="24"/>
          <w:szCs w:val="24"/>
          <w:lang w:val="en-US"/>
        </w:rPr>
        <w:t>(</w:t>
      </w:r>
      <w:hyperlink w:anchor="_ENREF_64" w:tooltip="Kornai, 1986 #69" w:history="1">
        <w:r w:rsidR="00266C78" w:rsidRPr="00E85554">
          <w:rPr>
            <w:rFonts w:ascii="Times New Roman" w:hAnsi="Times New Roman" w:cs="Times New Roman"/>
            <w:noProof/>
            <w:sz w:val="24"/>
            <w:szCs w:val="24"/>
            <w:lang w:val="en-US"/>
          </w:rPr>
          <w:t>Kornai, 1986</w:t>
        </w:r>
      </w:hyperlink>
      <w:r w:rsidR="009F0F53" w:rsidRPr="00E85554">
        <w:rPr>
          <w:rFonts w:ascii="Times New Roman" w:hAnsi="Times New Roman" w:cs="Times New Roman"/>
          <w:noProof/>
          <w:sz w:val="24"/>
          <w:szCs w:val="24"/>
          <w:lang w:val="en-US"/>
        </w:rPr>
        <w:t>)</w:t>
      </w:r>
      <w:r w:rsidR="002C5D63" w:rsidRPr="00E85554">
        <w:rPr>
          <w:rFonts w:ascii="Times New Roman" w:hAnsi="Times New Roman" w:cs="Times New Roman"/>
          <w:sz w:val="24"/>
          <w:szCs w:val="24"/>
          <w:lang w:val="en-US"/>
        </w:rPr>
        <w:fldChar w:fldCharType="end"/>
      </w:r>
      <w:r w:rsidR="00F567E5" w:rsidRPr="00E85554">
        <w:rPr>
          <w:rFonts w:ascii="Times New Roman" w:hAnsi="Times New Roman" w:cs="Times New Roman"/>
          <w:sz w:val="24"/>
          <w:szCs w:val="24"/>
          <w:lang w:val="en-US"/>
        </w:rPr>
        <w:t>, resulting in “principal-principal agency” conflicts</w:t>
      </w:r>
      <w:r w:rsidR="000A691C" w:rsidRPr="00E85554">
        <w:rPr>
          <w:rFonts w:ascii="Times New Roman" w:hAnsi="Times New Roman" w:cs="Times New Roman"/>
          <w:sz w:val="24"/>
          <w:szCs w:val="24"/>
          <w:lang w:val="en-US"/>
        </w:rPr>
        <w:t xml:space="preserve"> characteristic of emerging </w:t>
      </w:r>
      <w:r w:rsidR="00EA0360">
        <w:rPr>
          <w:rFonts w:ascii="Times New Roman" w:hAnsi="Times New Roman" w:cs="Times New Roman"/>
          <w:sz w:val="24"/>
          <w:szCs w:val="24"/>
          <w:lang w:val="en-US"/>
        </w:rPr>
        <w:t xml:space="preserve">market </w:t>
      </w:r>
      <w:r w:rsidR="000A691C" w:rsidRPr="00E85554">
        <w:rPr>
          <w:rFonts w:ascii="Times New Roman" w:hAnsi="Times New Roman" w:cs="Times New Roman"/>
          <w:sz w:val="24"/>
          <w:szCs w:val="24"/>
          <w:lang w:val="en-US"/>
        </w:rPr>
        <w:t xml:space="preserve">economies </w:t>
      </w:r>
      <w:r w:rsidR="001C62D3" w:rsidRPr="00E85554">
        <w:rPr>
          <w:rFonts w:ascii="Times New Roman" w:hAnsi="Times New Roman" w:cs="Times New Roman"/>
          <w:sz w:val="24"/>
          <w:szCs w:val="24"/>
          <w:lang w:val="en-US"/>
        </w:rPr>
        <w:t>(EEM</w:t>
      </w:r>
      <w:r w:rsidR="00001575" w:rsidRPr="00E85554">
        <w:rPr>
          <w:rFonts w:ascii="Times New Roman" w:hAnsi="Times New Roman" w:cs="Times New Roman"/>
          <w:sz w:val="24"/>
          <w:szCs w:val="24"/>
          <w:lang w:val="en-US"/>
        </w:rPr>
        <w:t>M</w:t>
      </w:r>
      <w:r w:rsidR="001C62D3" w:rsidRPr="00E85554">
        <w:rPr>
          <w:rFonts w:ascii="Times New Roman" w:hAnsi="Times New Roman" w:cs="Times New Roman"/>
          <w:sz w:val="24"/>
          <w:szCs w:val="24"/>
          <w:lang w:val="en-US"/>
        </w:rPr>
        <w:t>)</w:t>
      </w:r>
      <w:r w:rsidR="00F567E5" w:rsidRPr="00E85554">
        <w:rPr>
          <w:rFonts w:ascii="Times New Roman" w:hAnsi="Times New Roman" w:cs="Times New Roman"/>
          <w:sz w:val="24"/>
          <w:szCs w:val="24"/>
          <w:lang w:val="en-US"/>
        </w:rPr>
        <w:t xml:space="preserve"> </w:t>
      </w:r>
      <w:r w:rsidR="002C5D63" w:rsidRPr="00E85554">
        <w:rPr>
          <w:rFonts w:ascii="Times New Roman" w:hAnsi="Times New Roman" w:cs="Times New Roman"/>
          <w:sz w:val="24"/>
          <w:szCs w:val="24"/>
          <w:lang w:val="en-US"/>
        </w:rPr>
        <w:fldChar w:fldCharType="begin"/>
      </w:r>
      <w:r w:rsidR="009F0F53" w:rsidRPr="00E85554">
        <w:rPr>
          <w:rFonts w:ascii="Times New Roman" w:hAnsi="Times New Roman" w:cs="Times New Roman"/>
          <w:sz w:val="24"/>
          <w:szCs w:val="24"/>
          <w:lang w:val="en-US"/>
        </w:rPr>
        <w:instrText xml:space="preserve"> ADDIN EN.CITE &lt;EndNote&gt;&lt;Cite&gt;&lt;Author&gt;Dharwadkar&lt;/Author&gt;&lt;Year&gt;2000&lt;/Year&gt;&lt;RecNum&gt;34&lt;/RecNum&gt;&lt;DisplayText&gt;(Dharwadkar et al., 2000; Young et al., 2008)&lt;/DisplayText&gt;&lt;record&gt;&lt;rec-number&gt;34&lt;/rec-number&gt;&lt;foreign-keys&gt;&lt;key app="EN" db-id="xdsfzvadmzzxdzereeq5xdf7eaxsdwfdfave" timestamp="1389482236"&gt;34&lt;/key&gt;&lt;/foreign-keys&gt;&lt;ref-type name="Journal Article"&gt;17&lt;/ref-type&gt;&lt;contributors&gt;&lt;authors&gt;&lt;author&gt;Dharwadkar, Bavi&lt;/author&gt;&lt;author&gt;George, Gerald&lt;/author&gt;&lt;author&gt;Brandes, Pamela&lt;/author&gt;&lt;/authors&gt;&lt;/contributors&gt;&lt;titles&gt;&lt;title&gt;Privatization in emerging economies: An agency theory perspective&lt;/title&gt;&lt;secondary-title&gt;Academy of Management Review&lt;/secondary-title&gt;&lt;/titles&gt;&lt;periodical&gt;&lt;full-title&gt;Academy of Management Review&lt;/full-title&gt;&lt;/periodical&gt;&lt;pages&gt;650-669&lt;/pages&gt;&lt;volume&gt;25&lt;/volume&gt;&lt;number&gt;3&lt;/number&gt;&lt;dates&gt;&lt;year&gt;2000&lt;/year&gt;&lt;/dates&gt;&lt;isbn&gt;0363-7425&lt;/isbn&gt;&lt;urls&gt;&lt;/urls&gt;&lt;/record&gt;&lt;/Cite&gt;&lt;Cite&gt;&lt;Author&gt;Young&lt;/Author&gt;&lt;Year&gt;2008&lt;/Year&gt;&lt;RecNum&gt;139&lt;/RecNum&gt;&lt;record&gt;&lt;rec-number&gt;139&lt;/rec-number&gt;&lt;foreign-keys&gt;&lt;key app="EN" db-id="xdsfzvadmzzxdzereeq5xdf7eaxsdwfdfave" timestamp="1398421478"&gt;139&lt;/key&gt;&lt;/foreign-keys&gt;&lt;ref-type name="Journal Article"&gt;17&lt;/ref-type&gt;&lt;contributors&gt;&lt;authors&gt;&lt;author&gt;Young, Michael N&lt;/author&gt;&lt;author&gt;Peng, Mike W&lt;/author&gt;&lt;author&gt;Ahlstrom, David&lt;/author&gt;&lt;author&gt;Bruton, Garry D&lt;/author&gt;&lt;author&gt;Jiang, Yi&lt;/author&gt;&lt;/authors&gt;&lt;/contributors&gt;&lt;titles&gt;&lt;title&gt;Corporate governance in emerging economies: A review of the principal–principal perspective&lt;/title&gt;&lt;secondary-title&gt;Journal of Management Studies&lt;/secondary-title&gt;&lt;/titles&gt;&lt;periodical&gt;&lt;full-title&gt;Journal of Management Studies&lt;/full-title&gt;&lt;/periodical&gt;&lt;pages&gt;196-220&lt;/pages&gt;&lt;volume&gt;45&lt;/volume&gt;&lt;number&gt;1&lt;/number&gt;&lt;dates&gt;&lt;year&gt;2008&lt;/year&gt;&lt;/dates&gt;&lt;isbn&gt;1467-6486&lt;/isbn&gt;&lt;urls&gt;&lt;/urls&gt;&lt;/record&gt;&lt;/Cite&gt;&lt;/EndNote&gt;</w:instrText>
      </w:r>
      <w:r w:rsidR="002C5D63" w:rsidRPr="00E85554">
        <w:rPr>
          <w:rFonts w:ascii="Times New Roman" w:hAnsi="Times New Roman" w:cs="Times New Roman"/>
          <w:sz w:val="24"/>
          <w:szCs w:val="24"/>
          <w:lang w:val="en-US"/>
        </w:rPr>
        <w:fldChar w:fldCharType="separate"/>
      </w:r>
      <w:r w:rsidR="009F0F53" w:rsidRPr="00E85554">
        <w:rPr>
          <w:rFonts w:ascii="Times New Roman" w:hAnsi="Times New Roman" w:cs="Times New Roman"/>
          <w:noProof/>
          <w:sz w:val="24"/>
          <w:szCs w:val="24"/>
          <w:lang w:val="en-US"/>
        </w:rPr>
        <w:t>(</w:t>
      </w:r>
      <w:hyperlink w:anchor="_ENREF_38" w:tooltip="Dharwadkar, 2000 #34" w:history="1">
        <w:r w:rsidR="00266C78" w:rsidRPr="00E85554">
          <w:rPr>
            <w:rFonts w:ascii="Times New Roman" w:hAnsi="Times New Roman" w:cs="Times New Roman"/>
            <w:noProof/>
            <w:sz w:val="24"/>
            <w:szCs w:val="24"/>
            <w:lang w:val="en-US"/>
          </w:rPr>
          <w:t>Dharwadkar et al., 2000</w:t>
        </w:r>
      </w:hyperlink>
      <w:r w:rsidR="009F0F53" w:rsidRPr="00E85554">
        <w:rPr>
          <w:rFonts w:ascii="Times New Roman" w:hAnsi="Times New Roman" w:cs="Times New Roman"/>
          <w:noProof/>
          <w:sz w:val="24"/>
          <w:szCs w:val="24"/>
          <w:lang w:val="en-US"/>
        </w:rPr>
        <w:t xml:space="preserve">; </w:t>
      </w:r>
      <w:hyperlink w:anchor="_ENREF_108" w:tooltip="Young, 2008 #139" w:history="1">
        <w:r w:rsidR="00266C78" w:rsidRPr="00E85554">
          <w:rPr>
            <w:rFonts w:ascii="Times New Roman" w:hAnsi="Times New Roman" w:cs="Times New Roman"/>
            <w:noProof/>
            <w:sz w:val="24"/>
            <w:szCs w:val="24"/>
            <w:lang w:val="en-US"/>
          </w:rPr>
          <w:t>Young et al., 2008</w:t>
        </w:r>
      </w:hyperlink>
      <w:r w:rsidR="009F0F53" w:rsidRPr="00E85554">
        <w:rPr>
          <w:rFonts w:ascii="Times New Roman" w:hAnsi="Times New Roman" w:cs="Times New Roman"/>
          <w:noProof/>
          <w:sz w:val="24"/>
          <w:szCs w:val="24"/>
          <w:lang w:val="en-US"/>
        </w:rPr>
        <w:t>)</w:t>
      </w:r>
      <w:r w:rsidR="002C5D63" w:rsidRPr="00E85554">
        <w:rPr>
          <w:rFonts w:ascii="Times New Roman" w:hAnsi="Times New Roman" w:cs="Times New Roman"/>
          <w:sz w:val="24"/>
          <w:szCs w:val="24"/>
          <w:lang w:val="en-US"/>
        </w:rPr>
        <w:fldChar w:fldCharType="end"/>
      </w:r>
      <w:r w:rsidR="00F567E5" w:rsidRPr="00E85554">
        <w:rPr>
          <w:rFonts w:ascii="Times New Roman" w:hAnsi="Times New Roman" w:cs="Times New Roman"/>
          <w:sz w:val="24"/>
          <w:szCs w:val="24"/>
          <w:lang w:val="en-US"/>
        </w:rPr>
        <w:t>.</w:t>
      </w:r>
      <w:r w:rsidRPr="00E85554">
        <w:rPr>
          <w:rFonts w:ascii="Times New Roman" w:hAnsi="Times New Roman" w:cs="Times New Roman"/>
          <w:sz w:val="24"/>
          <w:szCs w:val="24"/>
          <w:lang w:val="en-US"/>
        </w:rPr>
        <w:t xml:space="preserve"> </w:t>
      </w:r>
      <w:r w:rsidR="00163C15" w:rsidRPr="00E85554">
        <w:rPr>
          <w:rFonts w:ascii="Times New Roman" w:hAnsi="Times New Roman" w:cs="Times New Roman"/>
          <w:sz w:val="24"/>
          <w:szCs w:val="24"/>
          <w:lang w:val="en-US"/>
        </w:rPr>
        <w:t xml:space="preserve">Such </w:t>
      </w:r>
      <w:r w:rsidR="00F91F80" w:rsidRPr="00E85554">
        <w:rPr>
          <w:rFonts w:ascii="Times New Roman" w:hAnsi="Times New Roman" w:cs="Times New Roman"/>
          <w:sz w:val="24"/>
          <w:szCs w:val="24"/>
          <w:lang w:val="en-US"/>
        </w:rPr>
        <w:t>mis</w:t>
      </w:r>
      <w:r w:rsidR="00163C15" w:rsidRPr="00E85554">
        <w:rPr>
          <w:rFonts w:ascii="Times New Roman" w:hAnsi="Times New Roman" w:cs="Times New Roman"/>
          <w:sz w:val="24"/>
          <w:szCs w:val="24"/>
          <w:lang w:val="en-US"/>
        </w:rPr>
        <w:t>appropriation can take a variety of forms</w:t>
      </w:r>
      <w:r w:rsidR="00BF35BA" w:rsidRPr="00E85554">
        <w:rPr>
          <w:rFonts w:ascii="Times New Roman" w:hAnsi="Times New Roman" w:cs="Times New Roman"/>
          <w:sz w:val="24"/>
          <w:szCs w:val="24"/>
          <w:lang w:val="en-US"/>
        </w:rPr>
        <w:t xml:space="preserve"> such as </w:t>
      </w:r>
      <w:r w:rsidR="00D72A87" w:rsidRPr="00E85554">
        <w:rPr>
          <w:rFonts w:ascii="Times New Roman" w:hAnsi="Times New Roman" w:cs="Times New Roman"/>
          <w:sz w:val="24"/>
          <w:szCs w:val="24"/>
          <w:lang w:val="en-US"/>
        </w:rPr>
        <w:t>appointing</w:t>
      </w:r>
      <w:r w:rsidR="00163C15" w:rsidRPr="00E85554">
        <w:rPr>
          <w:rFonts w:ascii="Times New Roman" w:hAnsi="Times New Roman" w:cs="Times New Roman"/>
          <w:sz w:val="24"/>
          <w:szCs w:val="24"/>
          <w:lang w:val="en-US"/>
        </w:rPr>
        <w:t xml:space="preserve"> unqualified </w:t>
      </w:r>
      <w:r w:rsidR="00F91F80" w:rsidRPr="00E85554">
        <w:rPr>
          <w:rFonts w:ascii="Times New Roman" w:hAnsi="Times New Roman" w:cs="Times New Roman"/>
          <w:sz w:val="24"/>
          <w:szCs w:val="24"/>
          <w:lang w:val="en-US"/>
        </w:rPr>
        <w:t>executives</w:t>
      </w:r>
      <w:r w:rsidR="00163C15" w:rsidRPr="00E85554">
        <w:rPr>
          <w:rFonts w:ascii="Times New Roman" w:hAnsi="Times New Roman" w:cs="Times New Roman"/>
          <w:sz w:val="24"/>
          <w:szCs w:val="24"/>
          <w:lang w:val="en-US"/>
        </w:rPr>
        <w:t xml:space="preserve"> in </w:t>
      </w:r>
      <w:r w:rsidR="00F91F80" w:rsidRPr="00E85554">
        <w:rPr>
          <w:rFonts w:ascii="Times New Roman" w:hAnsi="Times New Roman" w:cs="Times New Roman"/>
          <w:sz w:val="24"/>
          <w:szCs w:val="24"/>
          <w:lang w:val="en-US"/>
        </w:rPr>
        <w:t xml:space="preserve">affiliate </w:t>
      </w:r>
      <w:r w:rsidR="00163C15" w:rsidRPr="00E85554">
        <w:rPr>
          <w:rFonts w:ascii="Times New Roman" w:hAnsi="Times New Roman" w:cs="Times New Roman"/>
          <w:sz w:val="24"/>
          <w:szCs w:val="24"/>
          <w:lang w:val="en-US"/>
        </w:rPr>
        <w:t>positions</w:t>
      </w:r>
      <w:r w:rsidR="00BF35BA" w:rsidRPr="00E85554">
        <w:rPr>
          <w:rFonts w:ascii="Times New Roman" w:hAnsi="Times New Roman" w:cs="Times New Roman"/>
          <w:sz w:val="24"/>
          <w:szCs w:val="24"/>
          <w:lang w:val="en-US"/>
        </w:rPr>
        <w:t>,</w:t>
      </w:r>
      <w:r w:rsidR="00163C15" w:rsidRPr="00E85554">
        <w:rPr>
          <w:rFonts w:ascii="Times New Roman" w:hAnsi="Times New Roman" w:cs="Times New Roman"/>
          <w:sz w:val="24"/>
          <w:szCs w:val="24"/>
          <w:lang w:val="en-US"/>
        </w:rPr>
        <w:t xml:space="preserve"> pursuing projects that advance </w:t>
      </w:r>
      <w:r w:rsidR="00F64A64" w:rsidRPr="00E85554">
        <w:rPr>
          <w:rFonts w:ascii="Times New Roman" w:hAnsi="Times New Roman" w:cs="Times New Roman"/>
          <w:sz w:val="24"/>
          <w:szCs w:val="24"/>
          <w:lang w:val="en-US"/>
        </w:rPr>
        <w:t>blockholder</w:t>
      </w:r>
      <w:r w:rsidR="00BF35BA" w:rsidRPr="00E85554">
        <w:rPr>
          <w:rFonts w:ascii="Times New Roman" w:hAnsi="Times New Roman" w:cs="Times New Roman"/>
          <w:sz w:val="24"/>
          <w:szCs w:val="24"/>
          <w:lang w:val="en-US"/>
        </w:rPr>
        <w:t>s’</w:t>
      </w:r>
      <w:r w:rsidR="00163C15" w:rsidRPr="00E85554">
        <w:rPr>
          <w:rFonts w:ascii="Times New Roman" w:hAnsi="Times New Roman" w:cs="Times New Roman"/>
          <w:sz w:val="24"/>
          <w:szCs w:val="24"/>
          <w:lang w:val="en-US"/>
        </w:rPr>
        <w:t xml:space="preserve"> private interests</w:t>
      </w:r>
      <w:r w:rsidR="00BF35BA" w:rsidRPr="00E85554">
        <w:rPr>
          <w:rFonts w:ascii="Times New Roman" w:hAnsi="Times New Roman" w:cs="Times New Roman"/>
          <w:sz w:val="24"/>
          <w:szCs w:val="24"/>
          <w:lang w:val="en-US"/>
        </w:rPr>
        <w:t xml:space="preserve">, </w:t>
      </w:r>
      <w:r w:rsidR="00F64A64" w:rsidRPr="00E85554">
        <w:rPr>
          <w:rFonts w:ascii="Times New Roman" w:hAnsi="Times New Roman" w:cs="Times New Roman"/>
          <w:sz w:val="24"/>
          <w:szCs w:val="24"/>
          <w:lang w:val="en-US"/>
        </w:rPr>
        <w:t>and</w:t>
      </w:r>
      <w:r w:rsidR="00163C15" w:rsidRPr="00E85554">
        <w:rPr>
          <w:rFonts w:ascii="Times New Roman" w:hAnsi="Times New Roman" w:cs="Times New Roman"/>
          <w:sz w:val="24"/>
          <w:szCs w:val="24"/>
          <w:lang w:val="en-US"/>
        </w:rPr>
        <w:t xml:space="preserve"> </w:t>
      </w:r>
      <w:r w:rsidR="00D72A87" w:rsidRPr="00E85554">
        <w:rPr>
          <w:rFonts w:ascii="Times New Roman" w:hAnsi="Times New Roman" w:cs="Times New Roman"/>
          <w:sz w:val="24"/>
          <w:szCs w:val="24"/>
          <w:lang w:val="en-US"/>
        </w:rPr>
        <w:t>diver</w:t>
      </w:r>
      <w:r w:rsidR="00BF35BA" w:rsidRPr="00E85554">
        <w:rPr>
          <w:rFonts w:ascii="Times New Roman" w:hAnsi="Times New Roman" w:cs="Times New Roman"/>
          <w:sz w:val="24"/>
          <w:szCs w:val="24"/>
          <w:lang w:val="en-US"/>
        </w:rPr>
        <w:t>ting</w:t>
      </w:r>
      <w:r w:rsidR="00F64A64" w:rsidRPr="00E85554">
        <w:rPr>
          <w:rFonts w:ascii="Times New Roman" w:hAnsi="Times New Roman" w:cs="Times New Roman"/>
          <w:sz w:val="24"/>
          <w:szCs w:val="24"/>
          <w:lang w:val="en-US"/>
        </w:rPr>
        <w:t xml:space="preserve"> </w:t>
      </w:r>
      <w:r w:rsidR="00D72A87" w:rsidRPr="00E85554">
        <w:rPr>
          <w:rFonts w:ascii="Times New Roman" w:hAnsi="Times New Roman" w:cs="Times New Roman"/>
          <w:sz w:val="24"/>
          <w:szCs w:val="24"/>
          <w:lang w:val="en-US"/>
        </w:rPr>
        <w:t>assets and cash-</w:t>
      </w:r>
      <w:r w:rsidR="00163C15" w:rsidRPr="00E85554">
        <w:rPr>
          <w:rFonts w:ascii="Times New Roman" w:hAnsi="Times New Roman" w:cs="Times New Roman"/>
          <w:sz w:val="24"/>
          <w:szCs w:val="24"/>
          <w:lang w:val="en-US"/>
        </w:rPr>
        <w:t xml:space="preserve">flows away from publicly </w:t>
      </w:r>
      <w:r w:rsidR="0070603A" w:rsidRPr="00E85554">
        <w:rPr>
          <w:rFonts w:ascii="Times New Roman" w:hAnsi="Times New Roman" w:cs="Times New Roman"/>
          <w:sz w:val="24"/>
          <w:szCs w:val="24"/>
          <w:lang w:val="en-US"/>
        </w:rPr>
        <w:t>listed firms</w:t>
      </w:r>
      <w:r w:rsidR="00163C15" w:rsidRPr="00E85554">
        <w:rPr>
          <w:rFonts w:ascii="Times New Roman" w:hAnsi="Times New Roman" w:cs="Times New Roman"/>
          <w:sz w:val="24"/>
          <w:szCs w:val="24"/>
          <w:lang w:val="en-US"/>
        </w:rPr>
        <w:t xml:space="preserve"> to parent firms or unlisted subsidiaries through self-dealing transactions. </w:t>
      </w:r>
      <w:r w:rsidR="00875C4B" w:rsidRPr="00E85554">
        <w:rPr>
          <w:rFonts w:ascii="Times New Roman" w:hAnsi="Times New Roman" w:cs="Times New Roman"/>
          <w:sz w:val="24"/>
          <w:szCs w:val="24"/>
          <w:lang w:val="en-US"/>
        </w:rPr>
        <w:t>W</w:t>
      </w:r>
      <w:r w:rsidR="00163C15" w:rsidRPr="00E85554">
        <w:rPr>
          <w:rFonts w:ascii="Times New Roman" w:hAnsi="Times New Roman" w:cs="Times New Roman"/>
          <w:sz w:val="24"/>
          <w:szCs w:val="24"/>
          <w:lang w:val="en-US"/>
        </w:rPr>
        <w:t xml:space="preserve">e </w:t>
      </w:r>
      <w:r w:rsidR="00875C4B" w:rsidRPr="00E85554">
        <w:rPr>
          <w:rFonts w:ascii="Times New Roman" w:hAnsi="Times New Roman" w:cs="Times New Roman"/>
          <w:sz w:val="24"/>
          <w:szCs w:val="24"/>
          <w:lang w:val="en-US"/>
        </w:rPr>
        <w:t xml:space="preserve">follow the literature in </w:t>
      </w:r>
      <w:r w:rsidR="00163C15" w:rsidRPr="00E85554">
        <w:rPr>
          <w:rFonts w:ascii="Times New Roman" w:hAnsi="Times New Roman" w:cs="Times New Roman"/>
          <w:sz w:val="24"/>
          <w:szCs w:val="24"/>
          <w:lang w:val="en-US"/>
        </w:rPr>
        <w:t>defin</w:t>
      </w:r>
      <w:r w:rsidR="00875C4B" w:rsidRPr="00E85554">
        <w:rPr>
          <w:rFonts w:ascii="Times New Roman" w:hAnsi="Times New Roman" w:cs="Times New Roman"/>
          <w:sz w:val="24"/>
          <w:szCs w:val="24"/>
          <w:lang w:val="en-US"/>
        </w:rPr>
        <w:t>ing</w:t>
      </w:r>
      <w:r w:rsidR="00163C15" w:rsidRPr="00E85554">
        <w:rPr>
          <w:rFonts w:ascii="Times New Roman" w:hAnsi="Times New Roman" w:cs="Times New Roman"/>
          <w:sz w:val="24"/>
          <w:szCs w:val="24"/>
          <w:lang w:val="en-US"/>
        </w:rPr>
        <w:t xml:space="preserve"> such appropriation of firm wealth as ‘</w:t>
      </w:r>
      <w:r w:rsidR="00163C15" w:rsidRPr="00E85554">
        <w:rPr>
          <w:rFonts w:ascii="Times New Roman" w:hAnsi="Times New Roman" w:cs="Times New Roman"/>
          <w:i/>
          <w:sz w:val="24"/>
          <w:szCs w:val="24"/>
          <w:lang w:val="en-US"/>
        </w:rPr>
        <w:t>blockholder appropriation’</w:t>
      </w:r>
      <w:r w:rsidR="00163C15" w:rsidRPr="00E85554">
        <w:rPr>
          <w:rFonts w:ascii="Times New Roman" w:hAnsi="Times New Roman" w:cs="Times New Roman"/>
          <w:sz w:val="24"/>
          <w:szCs w:val="24"/>
          <w:lang w:val="en-US"/>
        </w:rPr>
        <w:t xml:space="preserve"> </w:t>
      </w:r>
      <w:r w:rsidR="00CB0652" w:rsidRPr="00E85554">
        <w:rPr>
          <w:rFonts w:ascii="Times New Roman" w:hAnsi="Times New Roman" w:cs="Times New Roman"/>
          <w:sz w:val="24"/>
          <w:szCs w:val="24"/>
          <w:lang w:val="en-US"/>
        </w:rPr>
        <w:fldChar w:fldCharType="begin"/>
      </w:r>
      <w:r w:rsidR="009F0F53" w:rsidRPr="00E85554">
        <w:rPr>
          <w:rFonts w:ascii="Times New Roman" w:hAnsi="Times New Roman" w:cs="Times New Roman"/>
          <w:sz w:val="24"/>
          <w:szCs w:val="24"/>
          <w:lang w:val="en-US"/>
        </w:rPr>
        <w:instrText xml:space="preserve"> ADDIN EN.CITE &lt;EndNote&gt;&lt;Cite&gt;&lt;Author&gt;Sun&lt;/Author&gt;&lt;Year&gt;2015&lt;/Year&gt;&lt;RecNum&gt;635&lt;/RecNum&gt;&lt;DisplayText&gt;(Sun et al., 2015; Young et al., 2008)&lt;/DisplayText&gt;&lt;record&gt;&lt;rec-number&gt;635&lt;/rec-number&gt;&lt;foreign-keys&gt;&lt;key app="EN" db-id="xdsfzvadmzzxdzereeq5xdf7eaxsdwfdfave" timestamp="1476975061"&gt;635&lt;/key&gt;&lt;/foreign-keys&gt;&lt;ref-type name="Journal Article"&gt;17&lt;/ref-type&gt;&lt;contributors&gt;&lt;authors&gt;&lt;author&gt;Sun, Pei&lt;/author&gt;&lt;author&gt;Hu, Helen W&lt;/author&gt;&lt;author&gt;Hillman, Amy&lt;/author&gt;&lt;/authors&gt;&lt;/contributors&gt;&lt;titles&gt;&lt;title&gt;The dark side of board political capital: Enabling blockholder rent appropriation&lt;/title&gt;&lt;secondary-title&gt;Academy of Management Journal&lt;/secondary-title&gt;&lt;/titles&gt;&lt;periodical&gt;&lt;full-title&gt;Academy of Management Journal&lt;/full-title&gt;&lt;/periodical&gt;&lt;pages&gt;amj. 2014.0425&lt;/pages&gt;&lt;dates&gt;&lt;year&gt;2015&lt;/year&gt;&lt;/dates&gt;&lt;isbn&gt;0001-4273&lt;/isbn&gt;&lt;urls&gt;&lt;/urls&gt;&lt;/record&gt;&lt;/Cite&gt;&lt;Cite&gt;&lt;Author&gt;Young&lt;/Author&gt;&lt;Year&gt;2008&lt;/Year&gt;&lt;RecNum&gt;139&lt;/RecNum&gt;&lt;record&gt;&lt;rec-number&gt;139&lt;/rec-number&gt;&lt;foreign-keys&gt;&lt;key app="EN" db-id="xdsfzvadmzzxdzereeq5xdf7eaxsdwfdfave" timestamp="1398421478"&gt;139&lt;/key&gt;&lt;/foreign-keys&gt;&lt;ref-type name="Journal Article"&gt;17&lt;/ref-type&gt;&lt;contributors&gt;&lt;authors&gt;&lt;author&gt;Young, Michael N&lt;/author&gt;&lt;author&gt;Peng, Mike W&lt;/author&gt;&lt;author&gt;Ahlstrom, David&lt;/author&gt;&lt;author&gt;Bruton, Garry D&lt;/author&gt;&lt;author&gt;Jiang, Yi&lt;/author&gt;&lt;/authors&gt;&lt;/contributors&gt;&lt;titles&gt;&lt;title&gt;Corporate governance in emerging economies: A review of the principal–principal perspective&lt;/title&gt;&lt;secondary-title&gt;Journal of Management Studies&lt;/secondary-title&gt;&lt;/titles&gt;&lt;periodical&gt;&lt;full-title&gt;Journal of Management Studies&lt;/full-title&gt;&lt;/periodical&gt;&lt;pages&gt;196-220&lt;/pages&gt;&lt;volume&gt;45&lt;/volume&gt;&lt;number&gt;1&lt;/number&gt;&lt;dates&gt;&lt;year&gt;2008&lt;/year&gt;&lt;/dates&gt;&lt;isbn&gt;1467-6486&lt;/isbn&gt;&lt;urls&gt;&lt;/urls&gt;&lt;/record&gt;&lt;/Cite&gt;&lt;/EndNote&gt;</w:instrText>
      </w:r>
      <w:r w:rsidR="00CB0652" w:rsidRPr="00E85554">
        <w:rPr>
          <w:rFonts w:ascii="Times New Roman" w:hAnsi="Times New Roman" w:cs="Times New Roman"/>
          <w:sz w:val="24"/>
          <w:szCs w:val="24"/>
          <w:lang w:val="en-US"/>
        </w:rPr>
        <w:fldChar w:fldCharType="separate"/>
      </w:r>
      <w:r w:rsidR="009F0F53" w:rsidRPr="00E85554">
        <w:rPr>
          <w:rFonts w:ascii="Times New Roman" w:hAnsi="Times New Roman" w:cs="Times New Roman"/>
          <w:noProof/>
          <w:sz w:val="24"/>
          <w:szCs w:val="24"/>
          <w:lang w:val="en-US"/>
        </w:rPr>
        <w:t>(</w:t>
      </w:r>
      <w:hyperlink w:anchor="_ENREF_102" w:tooltip="Sun, 2015 #635" w:history="1">
        <w:r w:rsidR="00266C78" w:rsidRPr="00E85554">
          <w:rPr>
            <w:rFonts w:ascii="Times New Roman" w:hAnsi="Times New Roman" w:cs="Times New Roman"/>
            <w:noProof/>
            <w:sz w:val="24"/>
            <w:szCs w:val="24"/>
            <w:lang w:val="en-US"/>
          </w:rPr>
          <w:t>Sun et al., 2015</w:t>
        </w:r>
      </w:hyperlink>
      <w:r w:rsidR="009F0F53" w:rsidRPr="00E85554">
        <w:rPr>
          <w:rFonts w:ascii="Times New Roman" w:hAnsi="Times New Roman" w:cs="Times New Roman"/>
          <w:noProof/>
          <w:sz w:val="24"/>
          <w:szCs w:val="24"/>
          <w:lang w:val="en-US"/>
        </w:rPr>
        <w:t xml:space="preserve">; </w:t>
      </w:r>
      <w:hyperlink w:anchor="_ENREF_108" w:tooltip="Young, 2008 #139" w:history="1">
        <w:r w:rsidR="00266C78" w:rsidRPr="00E85554">
          <w:rPr>
            <w:rFonts w:ascii="Times New Roman" w:hAnsi="Times New Roman" w:cs="Times New Roman"/>
            <w:noProof/>
            <w:sz w:val="24"/>
            <w:szCs w:val="24"/>
            <w:lang w:val="en-US"/>
          </w:rPr>
          <w:t>Young et al., 2008</w:t>
        </w:r>
      </w:hyperlink>
      <w:r w:rsidR="009F0F53" w:rsidRPr="00E85554">
        <w:rPr>
          <w:rFonts w:ascii="Times New Roman" w:hAnsi="Times New Roman" w:cs="Times New Roman"/>
          <w:noProof/>
          <w:sz w:val="24"/>
          <w:szCs w:val="24"/>
          <w:lang w:val="en-US"/>
        </w:rPr>
        <w:t>)</w:t>
      </w:r>
      <w:r w:rsidR="00CB0652" w:rsidRPr="00E85554">
        <w:rPr>
          <w:rFonts w:ascii="Times New Roman" w:hAnsi="Times New Roman" w:cs="Times New Roman"/>
          <w:sz w:val="24"/>
          <w:szCs w:val="24"/>
          <w:lang w:val="en-US"/>
        </w:rPr>
        <w:fldChar w:fldCharType="end"/>
      </w:r>
      <w:r w:rsidR="00163C15" w:rsidRPr="00E85554">
        <w:rPr>
          <w:rFonts w:ascii="Times New Roman" w:hAnsi="Times New Roman" w:cs="Times New Roman"/>
          <w:sz w:val="24"/>
          <w:szCs w:val="24"/>
          <w:lang w:val="en-US"/>
        </w:rPr>
        <w:t>.</w:t>
      </w:r>
      <w:r w:rsidR="00F567E5" w:rsidRPr="00E85554">
        <w:rPr>
          <w:rFonts w:ascii="Times New Roman" w:hAnsi="Times New Roman" w:cs="Times New Roman"/>
          <w:sz w:val="24"/>
          <w:szCs w:val="24"/>
          <w:lang w:val="en-US"/>
        </w:rPr>
        <w:t xml:space="preserve"> </w:t>
      </w:r>
    </w:p>
    <w:p w14:paraId="1E93A2E9" w14:textId="65985806" w:rsidR="001C19EB" w:rsidRPr="00E85554" w:rsidRDefault="003A57BF" w:rsidP="00BF35BA">
      <w:pPr>
        <w:spacing w:after="0"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Blockholder appropriation might not be as feasible when firms are exposed to stronger institutional environments. For example, MNCs from emerging markets operating in stronger institutional environments might be pressured to adhere to more effective corporate governance practices. Thus, </w:t>
      </w:r>
      <w:r w:rsidR="005C7CFE" w:rsidRPr="00E85554">
        <w:rPr>
          <w:rFonts w:ascii="Times New Roman" w:hAnsi="Times New Roman" w:cs="Times New Roman"/>
          <w:sz w:val="24"/>
          <w:szCs w:val="24"/>
          <w:lang w:val="en-US"/>
        </w:rPr>
        <w:t>Anglo-American</w:t>
      </w:r>
      <w:r w:rsidR="008C75A7" w:rsidRPr="00E85554">
        <w:rPr>
          <w:rFonts w:ascii="Times New Roman" w:hAnsi="Times New Roman" w:cs="Times New Roman"/>
          <w:sz w:val="24"/>
          <w:szCs w:val="24"/>
          <w:lang w:val="en-US"/>
        </w:rPr>
        <w:t xml:space="preserve"> governance regimes have promoted the role of independent directors to protect shareholders’ interests </w:t>
      </w:r>
      <w:r w:rsidR="00255C08" w:rsidRPr="00E85554">
        <w:rPr>
          <w:rFonts w:ascii="Times New Roman" w:hAnsi="Times New Roman" w:cs="Times New Roman"/>
          <w:sz w:val="24"/>
          <w:szCs w:val="24"/>
          <w:lang w:val="en-US"/>
        </w:rPr>
        <w:t xml:space="preserve">in general </w:t>
      </w:r>
      <w:r w:rsidR="001F4883" w:rsidRPr="00E85554">
        <w:rPr>
          <w:rFonts w:ascii="Times New Roman" w:hAnsi="Times New Roman" w:cs="Times New Roman"/>
          <w:sz w:val="24"/>
          <w:szCs w:val="24"/>
          <w:lang w:val="en-US"/>
        </w:rPr>
        <w:fldChar w:fldCharType="begin">
          <w:fldData xml:space="preserve">PEVuZE5vdGU+PENpdGU+PEF1dGhvcj5EYWx0b248L0F1dGhvcj48WWVhcj4yMDA3PC9ZZWFyPjxS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</w:fldData>
        </w:fldChar>
      </w:r>
      <w:r w:rsidR="009F0F53" w:rsidRPr="00E85554">
        <w:rPr>
          <w:rFonts w:ascii="Times New Roman" w:hAnsi="Times New Roman" w:cs="Times New Roman"/>
          <w:sz w:val="24"/>
          <w:szCs w:val="24"/>
          <w:lang w:val="en-US"/>
        </w:rPr>
        <w:instrText xml:space="preserve"> ADDIN EN.CITE </w:instrText>
      </w:r>
      <w:r w:rsidR="009F0F53" w:rsidRPr="00E85554">
        <w:rPr>
          <w:rFonts w:ascii="Times New Roman" w:hAnsi="Times New Roman" w:cs="Times New Roman"/>
          <w:sz w:val="24"/>
          <w:szCs w:val="24"/>
          <w:lang w:val="en-US"/>
        </w:rPr>
        <w:fldChar w:fldCharType="begin">
          <w:fldData xml:space="preserve">PEVuZE5vdGU+PENpdGU+PEF1dGhvcj5EYWx0b248L0F1dGhvcj48WWVhcj4yMDA3PC9ZZWFyPjxS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</w:fldData>
        </w:fldChar>
      </w:r>
      <w:r w:rsidR="009F0F53" w:rsidRPr="00E85554">
        <w:rPr>
          <w:rFonts w:ascii="Times New Roman" w:hAnsi="Times New Roman" w:cs="Times New Roman"/>
          <w:sz w:val="24"/>
          <w:szCs w:val="24"/>
          <w:lang w:val="en-US"/>
        </w:rPr>
        <w:instrText xml:space="preserve"> ADDIN EN.CITE.DATA </w:instrText>
      </w:r>
      <w:r w:rsidR="009F0F53" w:rsidRPr="00E85554">
        <w:rPr>
          <w:rFonts w:ascii="Times New Roman" w:hAnsi="Times New Roman" w:cs="Times New Roman"/>
          <w:sz w:val="24"/>
          <w:szCs w:val="24"/>
          <w:lang w:val="en-US"/>
        </w:rPr>
      </w:r>
      <w:r w:rsidR="009F0F53" w:rsidRPr="00E85554">
        <w:rPr>
          <w:rFonts w:ascii="Times New Roman" w:hAnsi="Times New Roman" w:cs="Times New Roman"/>
          <w:sz w:val="24"/>
          <w:szCs w:val="24"/>
          <w:lang w:val="en-US"/>
        </w:rPr>
        <w:fldChar w:fldCharType="end"/>
      </w:r>
      <w:r w:rsidR="001F4883" w:rsidRPr="00E85554">
        <w:rPr>
          <w:rFonts w:ascii="Times New Roman" w:hAnsi="Times New Roman" w:cs="Times New Roman"/>
          <w:sz w:val="24"/>
          <w:szCs w:val="24"/>
          <w:lang w:val="en-US"/>
        </w:rPr>
      </w:r>
      <w:r w:rsidR="001F4883" w:rsidRPr="00E85554">
        <w:rPr>
          <w:rFonts w:ascii="Times New Roman" w:hAnsi="Times New Roman" w:cs="Times New Roman"/>
          <w:sz w:val="24"/>
          <w:szCs w:val="24"/>
          <w:lang w:val="en-US"/>
        </w:rPr>
        <w:fldChar w:fldCharType="separate"/>
      </w:r>
      <w:r w:rsidR="009F0F53" w:rsidRPr="00E85554">
        <w:rPr>
          <w:rFonts w:ascii="Times New Roman" w:hAnsi="Times New Roman" w:cs="Times New Roman"/>
          <w:noProof/>
          <w:sz w:val="24"/>
          <w:szCs w:val="24"/>
          <w:lang w:val="en-US"/>
        </w:rPr>
        <w:t>(</w:t>
      </w:r>
      <w:hyperlink w:anchor="_ENREF_35" w:tooltip="Dalton, 2007 #660" w:history="1">
        <w:r w:rsidR="00266C78" w:rsidRPr="00E85554">
          <w:rPr>
            <w:rFonts w:ascii="Times New Roman" w:hAnsi="Times New Roman" w:cs="Times New Roman"/>
            <w:noProof/>
            <w:sz w:val="24"/>
            <w:szCs w:val="24"/>
            <w:lang w:val="en-US"/>
          </w:rPr>
          <w:t>Dalton et al., 2007</w:t>
        </w:r>
      </w:hyperlink>
      <w:r w:rsidR="009F0F53" w:rsidRPr="00E85554">
        <w:rPr>
          <w:rFonts w:ascii="Times New Roman" w:hAnsi="Times New Roman" w:cs="Times New Roman"/>
          <w:noProof/>
          <w:sz w:val="24"/>
          <w:szCs w:val="24"/>
          <w:lang w:val="en-US"/>
        </w:rPr>
        <w:t xml:space="preserve">; </w:t>
      </w:r>
      <w:hyperlink w:anchor="_ENREF_54" w:tooltip="Hermalin, 1991 #661" w:history="1">
        <w:r w:rsidR="00266C78" w:rsidRPr="00E85554">
          <w:rPr>
            <w:rFonts w:ascii="Times New Roman" w:hAnsi="Times New Roman" w:cs="Times New Roman"/>
            <w:noProof/>
            <w:sz w:val="24"/>
            <w:szCs w:val="24"/>
            <w:lang w:val="en-US"/>
          </w:rPr>
          <w:t>Hermalin et al., 1991</w:t>
        </w:r>
      </w:hyperlink>
      <w:r w:rsidR="009F0F53" w:rsidRPr="00E85554">
        <w:rPr>
          <w:rFonts w:ascii="Times New Roman" w:hAnsi="Times New Roman" w:cs="Times New Roman"/>
          <w:noProof/>
          <w:sz w:val="24"/>
          <w:szCs w:val="24"/>
          <w:lang w:val="en-US"/>
        </w:rPr>
        <w:t xml:space="preserve">; </w:t>
      </w:r>
      <w:hyperlink w:anchor="_ENREF_80" w:tooltip="Nguyen, 2010 #662" w:history="1">
        <w:r w:rsidR="00266C78" w:rsidRPr="00E85554">
          <w:rPr>
            <w:rFonts w:ascii="Times New Roman" w:hAnsi="Times New Roman" w:cs="Times New Roman"/>
            <w:noProof/>
            <w:sz w:val="24"/>
            <w:szCs w:val="24"/>
            <w:lang w:val="en-US"/>
          </w:rPr>
          <w:t>Nguyen et al., 2010</w:t>
        </w:r>
      </w:hyperlink>
      <w:r w:rsidR="009F0F53" w:rsidRPr="00E85554">
        <w:rPr>
          <w:rFonts w:ascii="Times New Roman" w:hAnsi="Times New Roman" w:cs="Times New Roman"/>
          <w:noProof/>
          <w:sz w:val="24"/>
          <w:szCs w:val="24"/>
          <w:lang w:val="en-US"/>
        </w:rPr>
        <w:t>)</w:t>
      </w:r>
      <w:r w:rsidR="001F4883" w:rsidRPr="00E85554">
        <w:rPr>
          <w:rFonts w:ascii="Times New Roman" w:hAnsi="Times New Roman" w:cs="Times New Roman"/>
          <w:sz w:val="24"/>
          <w:szCs w:val="24"/>
          <w:lang w:val="en-US"/>
        </w:rPr>
        <w:fldChar w:fldCharType="end"/>
      </w:r>
      <w:r w:rsidR="00255C08" w:rsidRPr="00E85554">
        <w:rPr>
          <w:rFonts w:ascii="Times New Roman" w:hAnsi="Times New Roman" w:cs="Times New Roman"/>
          <w:sz w:val="24"/>
          <w:szCs w:val="24"/>
          <w:lang w:val="en-US"/>
        </w:rPr>
        <w:t xml:space="preserve"> and against blockholder self-dealings in particular </w:t>
      </w:r>
      <w:r w:rsidR="00255C08" w:rsidRPr="00E85554">
        <w:rPr>
          <w:rFonts w:ascii="Times New Roman" w:hAnsi="Times New Roman" w:cs="Times New Roman"/>
          <w:sz w:val="24"/>
          <w:szCs w:val="24"/>
          <w:lang w:val="en-US"/>
        </w:rPr>
        <w:fldChar w:fldCharType="begin"/>
      </w:r>
      <w:r w:rsidR="00255C08" w:rsidRPr="00E85554">
        <w:rPr>
          <w:rFonts w:ascii="Times New Roman" w:hAnsi="Times New Roman" w:cs="Times New Roman"/>
          <w:sz w:val="24"/>
          <w:szCs w:val="24"/>
          <w:lang w:val="en-US"/>
        </w:rPr>
        <w:instrText xml:space="preserve"> ADDIN EN.CITE &lt;EndNote&gt;&lt;Cite&gt;&lt;Author&gt;Linck&lt;/Author&gt;&lt;Year&gt;2008&lt;/Year&gt;&lt;RecNum&gt;725&lt;/RecNum&gt;&lt;DisplayText&gt;(Linck et al., 2008)&lt;/DisplayText&gt;&lt;record&gt;&lt;rec-number&gt;725&lt;/rec-number&gt;&lt;foreign-keys&gt;&lt;key app="EN" db-id="xdsfzvadmzzxdzereeq5xdf7eaxsdwfdfave" timestamp="1493305848"&gt;725&lt;/key&gt;&lt;/foreign-keys&gt;&lt;ref-type name="Journal Article"&gt;17&lt;/ref-type&gt;&lt;contributors&gt;&lt;authors&gt;&lt;author&gt;Linck, James S&lt;/author&gt;&lt;author&gt;Netter, Jeffry M&lt;/author&gt;&lt;author&gt;Yang, Tina&lt;/author&gt;&lt;/authors&gt;&lt;/contributors&gt;&lt;titles&gt;&lt;title&gt;The determinants of board structure&lt;/title&gt;&lt;secondary-title&gt;Journal of Financial Economics&lt;/secondary-title&gt;&lt;/titles&gt;&lt;periodical&gt;&lt;full-title&gt;Journal of Financial Economics&lt;/full-title&gt;&lt;/periodical&gt;&lt;pages&gt;308-328&lt;/pages&gt;&lt;volume&gt;87&lt;/volume&gt;&lt;number&gt;2&lt;/number&gt;&lt;dates&gt;&lt;year&gt;2008&lt;/year&gt;&lt;/dates&gt;&lt;isbn&gt;0304-405X&lt;/isbn&gt;&lt;urls&gt;&lt;/urls&gt;&lt;/record&gt;&lt;/Cite&gt;&lt;/EndNote&gt;</w:instrText>
      </w:r>
      <w:r w:rsidR="00255C08" w:rsidRPr="00E85554">
        <w:rPr>
          <w:rFonts w:ascii="Times New Roman" w:hAnsi="Times New Roman" w:cs="Times New Roman"/>
          <w:sz w:val="24"/>
          <w:szCs w:val="24"/>
          <w:lang w:val="en-US"/>
        </w:rPr>
        <w:fldChar w:fldCharType="separate"/>
      </w:r>
      <w:r w:rsidR="00255C08" w:rsidRPr="00E85554">
        <w:rPr>
          <w:rFonts w:ascii="Times New Roman" w:hAnsi="Times New Roman" w:cs="Times New Roman"/>
          <w:noProof/>
          <w:sz w:val="24"/>
          <w:szCs w:val="24"/>
          <w:lang w:val="en-US"/>
        </w:rPr>
        <w:t>(</w:t>
      </w:r>
      <w:hyperlink w:anchor="_ENREF_70" w:tooltip="Linck, 2008 #725" w:history="1">
        <w:r w:rsidR="00266C78" w:rsidRPr="00E85554">
          <w:rPr>
            <w:rFonts w:ascii="Times New Roman" w:hAnsi="Times New Roman" w:cs="Times New Roman"/>
            <w:noProof/>
            <w:sz w:val="24"/>
            <w:szCs w:val="24"/>
            <w:lang w:val="en-US"/>
          </w:rPr>
          <w:t>Linck et al., 2008</w:t>
        </w:r>
      </w:hyperlink>
      <w:r w:rsidR="00255C08" w:rsidRPr="00E85554">
        <w:rPr>
          <w:rFonts w:ascii="Times New Roman" w:hAnsi="Times New Roman" w:cs="Times New Roman"/>
          <w:noProof/>
          <w:sz w:val="24"/>
          <w:szCs w:val="24"/>
          <w:lang w:val="en-US"/>
        </w:rPr>
        <w:t>)</w:t>
      </w:r>
      <w:r w:rsidR="00255C08" w:rsidRPr="00E85554">
        <w:rPr>
          <w:rFonts w:ascii="Times New Roman" w:hAnsi="Times New Roman" w:cs="Times New Roman"/>
          <w:sz w:val="24"/>
          <w:szCs w:val="24"/>
          <w:lang w:val="en-US"/>
        </w:rPr>
        <w:fldChar w:fldCharType="end"/>
      </w:r>
      <w:r w:rsidR="008C75A7" w:rsidRPr="00E85554">
        <w:rPr>
          <w:rFonts w:ascii="Times New Roman" w:hAnsi="Times New Roman" w:cs="Times New Roman"/>
          <w:sz w:val="24"/>
          <w:szCs w:val="24"/>
          <w:lang w:val="en-US"/>
        </w:rPr>
        <w:t xml:space="preserve">. </w:t>
      </w:r>
      <w:r w:rsidR="00F64A64" w:rsidRPr="00E85554">
        <w:rPr>
          <w:rFonts w:ascii="Times New Roman" w:hAnsi="Times New Roman" w:cs="Times New Roman"/>
          <w:sz w:val="24"/>
          <w:szCs w:val="24"/>
          <w:lang w:val="en-US"/>
        </w:rPr>
        <w:t>I</w:t>
      </w:r>
      <w:r w:rsidR="00F91F80" w:rsidRPr="00E85554">
        <w:rPr>
          <w:rFonts w:ascii="Times New Roman" w:hAnsi="Times New Roman" w:cs="Times New Roman"/>
          <w:sz w:val="24"/>
          <w:szCs w:val="24"/>
          <w:lang w:val="en-US"/>
        </w:rPr>
        <w:t>n economies with weak institutional environments such as Russia</w:t>
      </w:r>
      <w:r w:rsidR="00F64A64" w:rsidRPr="00E85554">
        <w:rPr>
          <w:rFonts w:ascii="Times New Roman" w:hAnsi="Times New Roman" w:cs="Times New Roman"/>
          <w:sz w:val="24"/>
          <w:szCs w:val="24"/>
          <w:lang w:val="en-US"/>
        </w:rPr>
        <w:t>, b</w:t>
      </w:r>
      <w:r w:rsidR="00EC1493" w:rsidRPr="00E85554">
        <w:rPr>
          <w:rFonts w:ascii="Times New Roman" w:hAnsi="Times New Roman" w:cs="Times New Roman"/>
          <w:sz w:val="24"/>
          <w:szCs w:val="24"/>
          <w:lang w:val="en-US"/>
        </w:rPr>
        <w:t xml:space="preserve">oards </w:t>
      </w:r>
      <w:r w:rsidR="00F91F80" w:rsidRPr="00E85554">
        <w:rPr>
          <w:rFonts w:ascii="Times New Roman" w:hAnsi="Times New Roman" w:cs="Times New Roman"/>
          <w:sz w:val="24"/>
          <w:szCs w:val="24"/>
          <w:lang w:val="en-US"/>
        </w:rPr>
        <w:t xml:space="preserve">have evolved from being a mere façade </w:t>
      </w:r>
      <w:r w:rsidR="00EC1493" w:rsidRPr="00E85554">
        <w:rPr>
          <w:rFonts w:ascii="Times New Roman" w:hAnsi="Times New Roman" w:cs="Times New Roman"/>
          <w:sz w:val="24"/>
          <w:szCs w:val="24"/>
          <w:lang w:val="en-US"/>
        </w:rPr>
        <w:t xml:space="preserve">imported from the West </w:t>
      </w:r>
      <w:r w:rsidR="00F91F80" w:rsidRPr="00E85554">
        <w:rPr>
          <w:rFonts w:ascii="Times New Roman" w:hAnsi="Times New Roman" w:cs="Times New Roman"/>
          <w:sz w:val="24"/>
          <w:szCs w:val="24"/>
          <w:lang w:val="en-US"/>
        </w:rPr>
        <w:t>to a</w:t>
      </w:r>
      <w:r w:rsidR="00EC1493" w:rsidRPr="00E85554">
        <w:rPr>
          <w:rFonts w:ascii="Times New Roman" w:hAnsi="Times New Roman" w:cs="Times New Roman"/>
          <w:sz w:val="24"/>
          <w:szCs w:val="24"/>
          <w:lang w:val="en-US"/>
        </w:rPr>
        <w:t xml:space="preserve"> potential </w:t>
      </w:r>
      <w:r w:rsidR="00EA0360">
        <w:rPr>
          <w:rFonts w:ascii="Times New Roman" w:hAnsi="Times New Roman" w:cs="Times New Roman"/>
          <w:sz w:val="24"/>
          <w:szCs w:val="24"/>
          <w:lang w:val="en-US"/>
        </w:rPr>
        <w:t xml:space="preserve">effective </w:t>
      </w:r>
      <w:r w:rsidR="00F91F80" w:rsidRPr="00E85554">
        <w:rPr>
          <w:rFonts w:ascii="Times New Roman" w:hAnsi="Times New Roman" w:cs="Times New Roman"/>
          <w:sz w:val="24"/>
          <w:szCs w:val="24"/>
          <w:lang w:val="en-US"/>
        </w:rPr>
        <w:t xml:space="preserve">instrument </w:t>
      </w:r>
      <w:r w:rsidR="00750497" w:rsidRPr="00E85554">
        <w:rPr>
          <w:rFonts w:ascii="Times New Roman" w:hAnsi="Times New Roman" w:cs="Times New Roman"/>
          <w:sz w:val="24"/>
          <w:szCs w:val="24"/>
          <w:lang w:val="en-US"/>
        </w:rPr>
        <w:t>for monitoring</w:t>
      </w:r>
      <w:r w:rsidR="00BC3A34">
        <w:rPr>
          <w:rFonts w:ascii="Times New Roman" w:hAnsi="Times New Roman" w:cs="Times New Roman"/>
          <w:sz w:val="24"/>
          <w:szCs w:val="24"/>
          <w:lang w:val="en-US"/>
        </w:rPr>
        <w:t>, and extenuating blockholder abuse.</w:t>
      </w:r>
      <w:r w:rsidR="008C75A7" w:rsidRPr="00E85554">
        <w:rPr>
          <w:rFonts w:ascii="Times New Roman" w:hAnsi="Times New Roman" w:cs="Times New Roman"/>
          <w:sz w:val="24"/>
          <w:szCs w:val="24"/>
          <w:lang w:val="en-US"/>
        </w:rPr>
        <w:t xml:space="preserve"> </w:t>
      </w:r>
      <w:r w:rsidR="001C19EB" w:rsidRPr="00E85554">
        <w:rPr>
          <w:rFonts w:ascii="Times New Roman" w:hAnsi="Times New Roman" w:cs="Times New Roman"/>
          <w:sz w:val="24"/>
          <w:szCs w:val="24"/>
          <w:lang w:val="en-US"/>
        </w:rPr>
        <w:t xml:space="preserve">However, </w:t>
      </w:r>
      <w:r w:rsidR="00BC3A34">
        <w:rPr>
          <w:rFonts w:ascii="Times New Roman" w:hAnsi="Times New Roman" w:cs="Times New Roman"/>
          <w:sz w:val="24"/>
          <w:szCs w:val="24"/>
          <w:lang w:val="en-US"/>
        </w:rPr>
        <w:t>we do not know what firm-level factors might trigger these independent boards to f</w:t>
      </w:r>
      <w:r w:rsidR="00EA0360">
        <w:rPr>
          <w:rFonts w:ascii="Times New Roman" w:hAnsi="Times New Roman" w:cs="Times New Roman"/>
          <w:sz w:val="24"/>
          <w:szCs w:val="24"/>
          <w:lang w:val="en-US"/>
        </w:rPr>
        <w:t>ulfill the role of reining in blockholder appropriation</w:t>
      </w:r>
      <w:r w:rsidR="001C19EB" w:rsidRPr="00E85554">
        <w:rPr>
          <w:rFonts w:ascii="Times New Roman" w:hAnsi="Times New Roman" w:cs="Times New Roman"/>
          <w:sz w:val="24"/>
          <w:szCs w:val="24"/>
          <w:lang w:val="en-US"/>
        </w:rPr>
        <w:t xml:space="preserve"> </w:t>
      </w:r>
      <w:r w:rsidR="001C19EB" w:rsidRPr="00E85554">
        <w:rPr>
          <w:rFonts w:ascii="Times New Roman" w:hAnsi="Times New Roman" w:cs="Times New Roman"/>
          <w:sz w:val="24"/>
          <w:szCs w:val="24"/>
          <w:lang w:val="en-US"/>
        </w:rPr>
        <w:fldChar w:fldCharType="begin"/>
      </w:r>
      <w:r w:rsidR="00492F20" w:rsidRPr="00E85554">
        <w:rPr>
          <w:rFonts w:ascii="Times New Roman" w:hAnsi="Times New Roman" w:cs="Times New Roman"/>
          <w:sz w:val="24"/>
          <w:szCs w:val="24"/>
          <w:lang w:val="en-US"/>
        </w:rPr>
        <w:instrText xml:space="preserve"> ADDIN EN.CITE &lt;EndNote&gt;&lt;Cite&gt;&lt;Author&gt;Iwasaki&lt;/Author&gt;&lt;Year&gt;2008&lt;/Year&gt;&lt;RecNum&gt;62&lt;/RecNum&gt;&lt;DisplayText&gt;(Iwasaki, 2008; Melkumov, 2009)&lt;/DisplayText&gt;&lt;record&gt;&lt;rec-number&gt;62&lt;/rec-number&gt;&lt;foreign-keys&gt;&lt;key app="EN" db-id="xdsfzvadmzzxdzereeq5xdf7eaxsdwfdfave" timestamp="1389485150"&gt;62&lt;/key&gt;&lt;/foreign-keys&gt;&lt;ref-type name="Journal Article"&gt;17&lt;/ref-type&gt;&lt;contributors&gt;&lt;authors&gt;&lt;author&gt;Iwasaki, Ichiro&lt;/author&gt;&lt;/authors&gt;&lt;/contributors&gt;&lt;titles&gt;&lt;title&gt;The determinants of board composition in a transforming economy: Evidence from Russia&lt;/title&gt;&lt;secondary-title&gt;Journal of corporate finance&lt;/secondary-title&gt;&lt;/titles&gt;&lt;periodical&gt;&lt;full-title&gt;Journal of Corporate Finance&lt;/full-title&gt;&lt;/periodical&gt;&lt;pages&gt;532-549&lt;/pages&gt;&lt;volume&gt;14&lt;/volume&gt;&lt;number&gt;5&lt;/number&gt;&lt;dates&gt;&lt;year&gt;2008&lt;/year&gt;&lt;/dates&gt;&lt;isbn&gt;0929-1199&lt;/isbn&gt;&lt;urls&gt;&lt;/urls&gt;&lt;/record&gt;&lt;/Cite&gt;&lt;Cite&gt;&lt;Author&gt;Melkumov&lt;/Author&gt;&lt;Year&gt;2009&lt;/Year&gt;&lt;RecNum&gt;339&lt;/RecNum&gt;&lt;record&gt;&lt;rec-number&gt;339&lt;/rec-number&gt;&lt;foreign-keys&gt;&lt;key app="EN" db-id="xdsfzvadmzzxdzereeq5xdf7eaxsdwfdfave" timestamp="1448289516"&gt;339&lt;/key&gt;&lt;/foreign-keys&gt;&lt;ref-type name="Journal Article"&gt;17&lt;/ref-type&gt;&lt;contributors&gt;&lt;authors&gt;&lt;author&gt;Melkumov, Dmitri&lt;/author&gt;&lt;/authors&gt;&lt;/contributors&gt;&lt;titles&gt;&lt;title&gt;Institutional background as a determinant of boards of directors’ internal and external roles: The case of Russia&lt;/title&gt;&lt;secondary-title&gt;Journal of World Business&lt;/secondary-title&gt;&lt;/titles&gt;&lt;periodical&gt;&lt;full-title&gt;Journal of World Business&lt;/full-title&gt;&lt;/periodical&gt;&lt;pages&gt;94-103&lt;/pages&gt;&lt;volume&gt;44&lt;/volume&gt;&lt;number&gt;1&lt;/number&gt;&lt;dates&gt;&lt;year&gt;2009&lt;/year&gt;&lt;/dates&gt;&lt;isbn&gt;1090-9516&lt;/isbn&gt;&lt;urls&gt;&lt;/urls&gt;&lt;/record&gt;&lt;/Cite&gt;&lt;/EndNote&gt;</w:instrText>
      </w:r>
      <w:r w:rsidR="001C19EB" w:rsidRPr="00E85554">
        <w:rPr>
          <w:rFonts w:ascii="Times New Roman" w:hAnsi="Times New Roman" w:cs="Times New Roman"/>
          <w:sz w:val="24"/>
          <w:szCs w:val="24"/>
          <w:lang w:val="en-US"/>
        </w:rPr>
        <w:fldChar w:fldCharType="separate"/>
      </w:r>
      <w:r w:rsidR="00492F20" w:rsidRPr="00E85554">
        <w:rPr>
          <w:rFonts w:ascii="Times New Roman" w:hAnsi="Times New Roman" w:cs="Times New Roman"/>
          <w:noProof/>
          <w:sz w:val="24"/>
          <w:szCs w:val="24"/>
          <w:lang w:val="en-US"/>
        </w:rPr>
        <w:t>(</w:t>
      </w:r>
      <w:hyperlink w:anchor="_ENREF_60" w:tooltip="Iwasaki, 2008 #62" w:history="1">
        <w:r w:rsidR="00266C78" w:rsidRPr="00E85554">
          <w:rPr>
            <w:rFonts w:ascii="Times New Roman" w:hAnsi="Times New Roman" w:cs="Times New Roman"/>
            <w:noProof/>
            <w:sz w:val="24"/>
            <w:szCs w:val="24"/>
            <w:lang w:val="en-US"/>
          </w:rPr>
          <w:t>Iwasaki, 2008</w:t>
        </w:r>
      </w:hyperlink>
      <w:r w:rsidR="00492F20" w:rsidRPr="00E85554">
        <w:rPr>
          <w:rFonts w:ascii="Times New Roman" w:hAnsi="Times New Roman" w:cs="Times New Roman"/>
          <w:noProof/>
          <w:sz w:val="24"/>
          <w:szCs w:val="24"/>
          <w:lang w:val="en-US"/>
        </w:rPr>
        <w:t xml:space="preserve">; </w:t>
      </w:r>
      <w:hyperlink w:anchor="_ENREF_73" w:tooltip="Melkumov, 2009 #339" w:history="1">
        <w:r w:rsidR="00266C78" w:rsidRPr="00E85554">
          <w:rPr>
            <w:rFonts w:ascii="Times New Roman" w:hAnsi="Times New Roman" w:cs="Times New Roman"/>
            <w:noProof/>
            <w:sz w:val="24"/>
            <w:szCs w:val="24"/>
            <w:lang w:val="en-US"/>
          </w:rPr>
          <w:t>Melkumov, 2009</w:t>
        </w:r>
      </w:hyperlink>
      <w:r w:rsidR="00492F20" w:rsidRPr="00E85554">
        <w:rPr>
          <w:rFonts w:ascii="Times New Roman" w:hAnsi="Times New Roman" w:cs="Times New Roman"/>
          <w:noProof/>
          <w:sz w:val="24"/>
          <w:szCs w:val="24"/>
          <w:lang w:val="en-US"/>
        </w:rPr>
        <w:t>)</w:t>
      </w:r>
      <w:r w:rsidR="001C19EB" w:rsidRPr="00E85554">
        <w:rPr>
          <w:rFonts w:ascii="Times New Roman" w:hAnsi="Times New Roman" w:cs="Times New Roman"/>
          <w:sz w:val="24"/>
          <w:szCs w:val="24"/>
          <w:lang w:val="en-US"/>
        </w:rPr>
        <w:fldChar w:fldCharType="end"/>
      </w:r>
      <w:r w:rsidR="001C19EB" w:rsidRPr="00E85554">
        <w:rPr>
          <w:rFonts w:ascii="Times New Roman" w:hAnsi="Times New Roman" w:cs="Times New Roman"/>
          <w:sz w:val="24"/>
          <w:szCs w:val="24"/>
          <w:lang w:val="en-US"/>
        </w:rPr>
        <w:t>. This is a</w:t>
      </w:r>
      <w:r w:rsidR="00BC3A34">
        <w:rPr>
          <w:rFonts w:ascii="Times New Roman" w:hAnsi="Times New Roman" w:cs="Times New Roman"/>
          <w:sz w:val="24"/>
          <w:szCs w:val="24"/>
          <w:lang w:val="en-US"/>
        </w:rPr>
        <w:t xml:space="preserve"> serious </w:t>
      </w:r>
      <w:r w:rsidR="001C19EB" w:rsidRPr="00E85554">
        <w:rPr>
          <w:rFonts w:ascii="Times New Roman" w:hAnsi="Times New Roman" w:cs="Times New Roman"/>
          <w:sz w:val="24"/>
          <w:szCs w:val="24"/>
          <w:lang w:val="en-US"/>
        </w:rPr>
        <w:t xml:space="preserve">omission since </w:t>
      </w:r>
      <w:r w:rsidR="00BC3A34">
        <w:rPr>
          <w:rFonts w:ascii="Times New Roman" w:hAnsi="Times New Roman" w:cs="Times New Roman"/>
          <w:sz w:val="24"/>
          <w:szCs w:val="24"/>
          <w:lang w:val="en-US"/>
        </w:rPr>
        <w:t xml:space="preserve">the </w:t>
      </w:r>
      <w:r w:rsidR="00BF35BA" w:rsidRPr="00E85554">
        <w:rPr>
          <w:rFonts w:ascii="Times New Roman" w:hAnsi="Times New Roman" w:cs="Times New Roman"/>
          <w:sz w:val="24"/>
          <w:szCs w:val="24"/>
          <w:lang w:val="en-US"/>
        </w:rPr>
        <w:t>effective</w:t>
      </w:r>
      <w:r w:rsidR="00BC3A34">
        <w:rPr>
          <w:rFonts w:ascii="Times New Roman" w:hAnsi="Times New Roman" w:cs="Times New Roman"/>
          <w:sz w:val="24"/>
          <w:szCs w:val="24"/>
          <w:lang w:val="en-US"/>
        </w:rPr>
        <w:t>ness of</w:t>
      </w:r>
      <w:r w:rsidR="001C19EB" w:rsidRPr="00E85554">
        <w:rPr>
          <w:rFonts w:ascii="Times New Roman" w:hAnsi="Times New Roman" w:cs="Times New Roman"/>
          <w:sz w:val="24"/>
          <w:szCs w:val="24"/>
          <w:lang w:val="en-US"/>
        </w:rPr>
        <w:t xml:space="preserve"> corporate governance </w:t>
      </w:r>
      <w:r w:rsidR="00BC3A34">
        <w:rPr>
          <w:rFonts w:ascii="Times New Roman" w:hAnsi="Times New Roman" w:cs="Times New Roman"/>
          <w:sz w:val="24"/>
          <w:szCs w:val="24"/>
          <w:lang w:val="en-US"/>
        </w:rPr>
        <w:t xml:space="preserve">practices is </w:t>
      </w:r>
      <w:r w:rsidR="001C19EB" w:rsidRPr="00E85554">
        <w:rPr>
          <w:rFonts w:ascii="Times New Roman" w:hAnsi="Times New Roman" w:cs="Times New Roman"/>
          <w:sz w:val="24"/>
          <w:szCs w:val="24"/>
          <w:lang w:val="en-US"/>
        </w:rPr>
        <w:t xml:space="preserve">contingent </w:t>
      </w:r>
      <w:r w:rsidR="0012006A" w:rsidRPr="00E85554">
        <w:rPr>
          <w:rFonts w:ascii="Times New Roman" w:hAnsi="Times New Roman" w:cs="Times New Roman"/>
          <w:sz w:val="24"/>
          <w:szCs w:val="24"/>
          <w:lang w:val="en-US"/>
        </w:rPr>
        <w:t>on the envir</w:t>
      </w:r>
      <w:r w:rsidR="00BC3A34">
        <w:rPr>
          <w:rFonts w:ascii="Times New Roman" w:hAnsi="Times New Roman" w:cs="Times New Roman"/>
          <w:sz w:val="24"/>
          <w:szCs w:val="24"/>
          <w:lang w:val="en-US"/>
        </w:rPr>
        <w:t>onment in which they are adopted</w:t>
      </w:r>
      <w:r w:rsidR="0012006A" w:rsidRPr="00E85554">
        <w:rPr>
          <w:rFonts w:ascii="Times New Roman" w:hAnsi="Times New Roman" w:cs="Times New Roman"/>
          <w:sz w:val="24"/>
          <w:szCs w:val="24"/>
          <w:lang w:val="en-US"/>
        </w:rPr>
        <w:t xml:space="preserve"> </w:t>
      </w:r>
      <w:r w:rsidR="00355863" w:rsidRPr="00E85554">
        <w:rPr>
          <w:rFonts w:ascii="Times New Roman" w:hAnsi="Times New Roman" w:cs="Times New Roman"/>
          <w:sz w:val="24"/>
          <w:szCs w:val="24"/>
          <w:lang w:val="en-US"/>
        </w:rPr>
        <w:fldChar w:fldCharType="begin">
          <w:fldData xml:space="preserve">PEVuZE5vdGU+PENpdGU+PEF1dGhvcj5Zb3NoaWthd2E8L0F1dGhvcj48WWVhcj4yMDA5PC9ZZWFy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==
</w:fldData>
        </w:fldChar>
      </w:r>
      <w:r w:rsidR="00EB72B1" w:rsidRPr="00E85554">
        <w:rPr>
          <w:rFonts w:ascii="Times New Roman" w:hAnsi="Times New Roman" w:cs="Times New Roman"/>
          <w:sz w:val="24"/>
          <w:szCs w:val="24"/>
          <w:lang w:val="en-US"/>
        </w:rPr>
        <w:instrText xml:space="preserve"> ADDIN EN.CITE </w:instrText>
      </w:r>
      <w:r w:rsidR="00EB72B1" w:rsidRPr="00E85554">
        <w:rPr>
          <w:rFonts w:ascii="Times New Roman" w:hAnsi="Times New Roman" w:cs="Times New Roman"/>
          <w:sz w:val="24"/>
          <w:szCs w:val="24"/>
          <w:lang w:val="en-US"/>
        </w:rPr>
        <w:fldChar w:fldCharType="begin">
          <w:fldData xml:space="preserve">PEVuZE5vdGU+PENpdGU+PEF1dGhvcj5Zb3NoaWthd2E8L0F1dGhvcj48WWVhcj4yMDA5PC9ZZWFy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==
</w:fldData>
        </w:fldChar>
      </w:r>
      <w:r w:rsidR="00EB72B1" w:rsidRPr="00E85554">
        <w:rPr>
          <w:rFonts w:ascii="Times New Roman" w:hAnsi="Times New Roman" w:cs="Times New Roman"/>
          <w:sz w:val="24"/>
          <w:szCs w:val="24"/>
          <w:lang w:val="en-US"/>
        </w:rPr>
        <w:instrText xml:space="preserve"> ADDIN EN.CITE.DATA </w:instrText>
      </w:r>
      <w:r w:rsidR="00EB72B1" w:rsidRPr="00E85554">
        <w:rPr>
          <w:rFonts w:ascii="Times New Roman" w:hAnsi="Times New Roman" w:cs="Times New Roman"/>
          <w:sz w:val="24"/>
          <w:szCs w:val="24"/>
          <w:lang w:val="en-US"/>
        </w:rPr>
      </w:r>
      <w:r w:rsidR="00EB72B1" w:rsidRPr="00E85554">
        <w:rPr>
          <w:rFonts w:ascii="Times New Roman" w:hAnsi="Times New Roman" w:cs="Times New Roman"/>
          <w:sz w:val="24"/>
          <w:szCs w:val="24"/>
          <w:lang w:val="en-US"/>
        </w:rPr>
        <w:fldChar w:fldCharType="end"/>
      </w:r>
      <w:r w:rsidR="00355863" w:rsidRPr="00E85554">
        <w:rPr>
          <w:rFonts w:ascii="Times New Roman" w:hAnsi="Times New Roman" w:cs="Times New Roman"/>
          <w:sz w:val="24"/>
          <w:szCs w:val="24"/>
          <w:lang w:val="en-US"/>
        </w:rPr>
      </w:r>
      <w:r w:rsidR="00355863" w:rsidRPr="00E85554">
        <w:rPr>
          <w:rFonts w:ascii="Times New Roman" w:hAnsi="Times New Roman" w:cs="Times New Roman"/>
          <w:sz w:val="24"/>
          <w:szCs w:val="24"/>
          <w:lang w:val="en-US"/>
        </w:rPr>
        <w:fldChar w:fldCharType="separate"/>
      </w:r>
      <w:r w:rsidR="00EB72B1" w:rsidRPr="00E85554">
        <w:rPr>
          <w:rFonts w:ascii="Times New Roman" w:hAnsi="Times New Roman" w:cs="Times New Roman"/>
          <w:noProof/>
          <w:sz w:val="24"/>
          <w:szCs w:val="24"/>
          <w:lang w:val="en-US"/>
        </w:rPr>
        <w:t>(</w:t>
      </w:r>
      <w:hyperlink w:anchor="_ENREF_4" w:tooltip="Aguilera, 2016 #721" w:history="1">
        <w:r w:rsidR="00266C78" w:rsidRPr="00E85554">
          <w:rPr>
            <w:rFonts w:ascii="Times New Roman" w:hAnsi="Times New Roman" w:cs="Times New Roman"/>
            <w:noProof/>
            <w:sz w:val="24"/>
            <w:szCs w:val="24"/>
            <w:lang w:val="en-US"/>
          </w:rPr>
          <w:t>Aguilera et al., 2016</w:t>
        </w:r>
      </w:hyperlink>
      <w:r w:rsidR="00EB72B1" w:rsidRPr="00E85554">
        <w:rPr>
          <w:rFonts w:ascii="Times New Roman" w:hAnsi="Times New Roman" w:cs="Times New Roman"/>
          <w:noProof/>
          <w:sz w:val="24"/>
          <w:szCs w:val="24"/>
          <w:lang w:val="en-US"/>
        </w:rPr>
        <w:t xml:space="preserve">; </w:t>
      </w:r>
      <w:hyperlink w:anchor="_ENREF_81" w:tooltip="Oehmichen, 2016 #664" w:history="1">
        <w:r w:rsidR="00266C78" w:rsidRPr="00E85554">
          <w:rPr>
            <w:rFonts w:ascii="Times New Roman" w:hAnsi="Times New Roman" w:cs="Times New Roman"/>
            <w:noProof/>
            <w:sz w:val="24"/>
            <w:szCs w:val="24"/>
            <w:lang w:val="en-US"/>
          </w:rPr>
          <w:t>Oehmichen et al., 2016</w:t>
        </w:r>
      </w:hyperlink>
      <w:r w:rsidR="00EB72B1" w:rsidRPr="00E85554">
        <w:rPr>
          <w:rFonts w:ascii="Times New Roman" w:hAnsi="Times New Roman" w:cs="Times New Roman"/>
          <w:noProof/>
          <w:sz w:val="24"/>
          <w:szCs w:val="24"/>
          <w:lang w:val="en-US"/>
        </w:rPr>
        <w:t xml:space="preserve">; </w:t>
      </w:r>
      <w:hyperlink w:anchor="_ENREF_90" w:tooltip="Puffer, 2011 #665" w:history="1">
        <w:r w:rsidR="00266C78" w:rsidRPr="00E85554">
          <w:rPr>
            <w:rFonts w:ascii="Times New Roman" w:hAnsi="Times New Roman" w:cs="Times New Roman"/>
            <w:noProof/>
            <w:sz w:val="24"/>
            <w:szCs w:val="24"/>
            <w:lang w:val="en-US"/>
          </w:rPr>
          <w:t>Puffer et al., 2011</w:t>
        </w:r>
      </w:hyperlink>
      <w:r w:rsidR="00EB72B1" w:rsidRPr="00E85554">
        <w:rPr>
          <w:rFonts w:ascii="Times New Roman" w:hAnsi="Times New Roman" w:cs="Times New Roman"/>
          <w:noProof/>
          <w:sz w:val="24"/>
          <w:szCs w:val="24"/>
          <w:lang w:val="en-US"/>
        </w:rPr>
        <w:t xml:space="preserve">; </w:t>
      </w:r>
      <w:hyperlink w:anchor="_ENREF_106" w:tooltip="Yoshikawa, 2009 #663" w:history="1">
        <w:r w:rsidR="00266C78" w:rsidRPr="00E85554">
          <w:rPr>
            <w:rFonts w:ascii="Times New Roman" w:hAnsi="Times New Roman" w:cs="Times New Roman"/>
            <w:noProof/>
            <w:sz w:val="24"/>
            <w:szCs w:val="24"/>
            <w:lang w:val="en-US"/>
          </w:rPr>
          <w:t>Yoshikawa et al., 2009</w:t>
        </w:r>
      </w:hyperlink>
      <w:r w:rsidR="00EB72B1" w:rsidRPr="00E85554">
        <w:rPr>
          <w:rFonts w:ascii="Times New Roman" w:hAnsi="Times New Roman" w:cs="Times New Roman"/>
          <w:noProof/>
          <w:sz w:val="24"/>
          <w:szCs w:val="24"/>
          <w:lang w:val="en-US"/>
        </w:rPr>
        <w:t>)</w:t>
      </w:r>
      <w:r w:rsidR="00355863" w:rsidRPr="00E85554">
        <w:rPr>
          <w:rFonts w:ascii="Times New Roman" w:hAnsi="Times New Roman" w:cs="Times New Roman"/>
          <w:sz w:val="24"/>
          <w:szCs w:val="24"/>
          <w:lang w:val="en-US"/>
        </w:rPr>
        <w:fldChar w:fldCharType="end"/>
      </w:r>
      <w:r w:rsidR="00E252AF" w:rsidRPr="00E85554">
        <w:rPr>
          <w:rFonts w:ascii="Times New Roman" w:hAnsi="Times New Roman" w:cs="Times New Roman"/>
          <w:sz w:val="24"/>
          <w:szCs w:val="24"/>
          <w:lang w:val="en-US"/>
        </w:rPr>
        <w:t xml:space="preserve">. </w:t>
      </w:r>
      <w:r w:rsidR="00F64A64" w:rsidRPr="00E85554">
        <w:rPr>
          <w:rFonts w:ascii="Times New Roman" w:hAnsi="Times New Roman" w:cs="Times New Roman"/>
          <w:sz w:val="24"/>
          <w:szCs w:val="24"/>
          <w:lang w:val="en-US"/>
        </w:rPr>
        <w:t>B</w:t>
      </w:r>
      <w:r w:rsidR="001C19EB" w:rsidRPr="00E85554">
        <w:rPr>
          <w:rFonts w:ascii="Times New Roman" w:hAnsi="Times New Roman" w:cs="Times New Roman"/>
          <w:sz w:val="24"/>
          <w:szCs w:val="24"/>
          <w:lang w:val="en-US"/>
        </w:rPr>
        <w:t xml:space="preserve">oard structures designed to address principal-agent </w:t>
      </w:r>
      <w:r w:rsidR="001C19EB" w:rsidRPr="00E85554">
        <w:rPr>
          <w:rFonts w:ascii="Times New Roman" w:hAnsi="Times New Roman" w:cs="Times New Roman"/>
          <w:sz w:val="24"/>
          <w:szCs w:val="24"/>
          <w:lang w:val="en-US"/>
        </w:rPr>
        <w:lastRenderedPageBreak/>
        <w:t xml:space="preserve">problems in developed economies may be </w:t>
      </w:r>
      <w:r w:rsidR="00F64A64" w:rsidRPr="00E85554">
        <w:rPr>
          <w:rFonts w:ascii="Times New Roman" w:hAnsi="Times New Roman" w:cs="Times New Roman"/>
          <w:sz w:val="24"/>
          <w:szCs w:val="24"/>
          <w:lang w:val="en-US"/>
        </w:rPr>
        <w:t>ineffective</w:t>
      </w:r>
      <w:r w:rsidR="001C19EB" w:rsidRPr="00E85554">
        <w:rPr>
          <w:rFonts w:ascii="Times New Roman" w:hAnsi="Times New Roman" w:cs="Times New Roman"/>
          <w:sz w:val="24"/>
          <w:szCs w:val="24"/>
          <w:lang w:val="en-US"/>
        </w:rPr>
        <w:t xml:space="preserve"> when applied to weak institutional contexts chara</w:t>
      </w:r>
      <w:r w:rsidR="0012006A" w:rsidRPr="00E85554">
        <w:rPr>
          <w:rFonts w:ascii="Times New Roman" w:hAnsi="Times New Roman" w:cs="Times New Roman"/>
          <w:sz w:val="24"/>
          <w:szCs w:val="24"/>
          <w:lang w:val="en-US"/>
        </w:rPr>
        <w:t xml:space="preserve">cterized by principal-principal </w:t>
      </w:r>
      <w:r w:rsidR="001C19EB" w:rsidRPr="00E85554">
        <w:rPr>
          <w:rFonts w:ascii="Times New Roman" w:hAnsi="Times New Roman" w:cs="Times New Roman"/>
          <w:sz w:val="24"/>
          <w:szCs w:val="24"/>
          <w:lang w:val="en-US"/>
        </w:rPr>
        <w:t xml:space="preserve">agency conflicts. </w:t>
      </w:r>
      <w:r w:rsidR="0012006A" w:rsidRPr="00E85554">
        <w:rPr>
          <w:rFonts w:ascii="Times New Roman" w:hAnsi="Times New Roman" w:cs="Times New Roman"/>
          <w:sz w:val="24"/>
          <w:szCs w:val="24"/>
          <w:lang w:val="en-US"/>
        </w:rPr>
        <w:t>Moreover,</w:t>
      </w:r>
      <w:r w:rsidR="00204994" w:rsidRPr="00E85554">
        <w:rPr>
          <w:rFonts w:ascii="Times New Roman" w:hAnsi="Times New Roman" w:cs="Times New Roman"/>
          <w:sz w:val="24"/>
          <w:szCs w:val="24"/>
          <w:lang w:val="en-US"/>
        </w:rPr>
        <w:t xml:space="preserve"> </w:t>
      </w:r>
      <w:r w:rsidR="0012006A" w:rsidRPr="00E85554">
        <w:rPr>
          <w:rFonts w:ascii="Times New Roman" w:hAnsi="Times New Roman" w:cs="Times New Roman"/>
          <w:sz w:val="24"/>
          <w:szCs w:val="24"/>
          <w:lang w:val="en-US"/>
        </w:rPr>
        <w:t xml:space="preserve">the consequences of heterogeneous </w:t>
      </w:r>
      <w:r w:rsidR="00BF35BA" w:rsidRPr="00E85554">
        <w:rPr>
          <w:rFonts w:ascii="Times New Roman" w:hAnsi="Times New Roman" w:cs="Times New Roman"/>
          <w:sz w:val="24"/>
          <w:szCs w:val="24"/>
          <w:lang w:val="en-US"/>
        </w:rPr>
        <w:t>blockholder interests</w:t>
      </w:r>
      <w:r w:rsidR="00C36E45" w:rsidRPr="00E85554">
        <w:rPr>
          <w:rFonts w:ascii="Times New Roman" w:hAnsi="Times New Roman" w:cs="Times New Roman"/>
          <w:sz w:val="24"/>
          <w:szCs w:val="24"/>
          <w:lang w:val="en-US"/>
        </w:rPr>
        <w:t xml:space="preserve"> </w:t>
      </w:r>
      <w:r w:rsidR="005E2F7B" w:rsidRPr="00E85554">
        <w:rPr>
          <w:rFonts w:ascii="Times New Roman" w:hAnsi="Times New Roman" w:cs="Times New Roman"/>
          <w:sz w:val="24"/>
          <w:szCs w:val="24"/>
          <w:lang w:val="en-US"/>
        </w:rPr>
        <w:fldChar w:fldCharType="begin"/>
      </w:r>
      <w:r w:rsidR="009F0F53" w:rsidRPr="00E85554">
        <w:rPr>
          <w:rFonts w:ascii="Times New Roman" w:hAnsi="Times New Roman" w:cs="Times New Roman"/>
          <w:sz w:val="24"/>
          <w:szCs w:val="24"/>
          <w:lang w:val="en-US"/>
        </w:rPr>
        <w:instrText xml:space="preserve"> ADDIN EN.CITE &lt;EndNote&gt;&lt;Cite&gt;&lt;Author&gt;Hoskisson&lt;/Author&gt;&lt;Year&gt;2002&lt;/Year&gt;&lt;RecNum&gt;666&lt;/RecNum&gt;&lt;DisplayText&gt;(Hoskisson et al., 2002)&lt;/DisplayText&gt;&lt;record&gt;&lt;rec-number&gt;666&lt;/rec-number&gt;&lt;foreign-keys&gt;&lt;key app="EN" db-id="xdsfzvadmzzxdzereeq5xdf7eaxsdwfdfave" timestamp="1477912484"&gt;666&lt;/key&gt;&lt;/foreign-keys&gt;&lt;ref-type name="Journal Article"&gt;17&lt;/ref-type&gt;&lt;contributors&gt;&lt;authors&gt;&lt;author&gt;Hoskisson, Robert E&lt;/author&gt;&lt;author&gt;Hitt, Michael A&lt;/author&gt;&lt;author&gt;Johnson, Richard A&lt;/author&gt;&lt;author&gt;Grossman, Wayne&lt;/author&gt;&lt;/authors&gt;&lt;/contributors&gt;&lt;titles&gt;&lt;title&gt;Conflicting voices: The effects of institutional ownership heterogeneity and internal governance on corporate innovation strategies&lt;/title&gt;&lt;secondary-title&gt;Academy of Management journal&lt;/secondary-title&gt;&lt;/titles&gt;&lt;periodical&gt;&lt;full-title&gt;Academy of Management Journal&lt;/full-title&gt;&lt;/periodical&gt;&lt;pages&gt;697-716&lt;/pages&gt;&lt;volume&gt;45&lt;/volume&gt;&lt;number&gt;4&lt;/number&gt;&lt;dates&gt;&lt;year&gt;2002&lt;/year&gt;&lt;/dates&gt;&lt;isbn&gt;0001-4273&lt;/isbn&gt;&lt;urls&gt;&lt;/urls&gt;&lt;/record&gt;&lt;/Cite&gt;&lt;/EndNote&gt;</w:instrText>
      </w:r>
      <w:r w:rsidR="005E2F7B" w:rsidRPr="00E85554">
        <w:rPr>
          <w:rFonts w:ascii="Times New Roman" w:hAnsi="Times New Roman" w:cs="Times New Roman"/>
          <w:sz w:val="24"/>
          <w:szCs w:val="24"/>
          <w:lang w:val="en-US"/>
        </w:rPr>
        <w:fldChar w:fldCharType="separate"/>
      </w:r>
      <w:r w:rsidR="009F0F53" w:rsidRPr="00E85554">
        <w:rPr>
          <w:rFonts w:ascii="Times New Roman" w:hAnsi="Times New Roman" w:cs="Times New Roman"/>
          <w:noProof/>
          <w:sz w:val="24"/>
          <w:szCs w:val="24"/>
          <w:lang w:val="en-US"/>
        </w:rPr>
        <w:t>(</w:t>
      </w:r>
      <w:hyperlink w:anchor="_ENREF_57" w:tooltip="Hoskisson, 2002 #666" w:history="1">
        <w:r w:rsidR="00266C78" w:rsidRPr="00E85554">
          <w:rPr>
            <w:rFonts w:ascii="Times New Roman" w:hAnsi="Times New Roman" w:cs="Times New Roman"/>
            <w:noProof/>
            <w:sz w:val="24"/>
            <w:szCs w:val="24"/>
            <w:lang w:val="en-US"/>
          </w:rPr>
          <w:t>Hoskisson et al., 2002</w:t>
        </w:r>
      </w:hyperlink>
      <w:r w:rsidR="009F0F53" w:rsidRPr="00E85554">
        <w:rPr>
          <w:rFonts w:ascii="Times New Roman" w:hAnsi="Times New Roman" w:cs="Times New Roman"/>
          <w:noProof/>
          <w:sz w:val="24"/>
          <w:szCs w:val="24"/>
          <w:lang w:val="en-US"/>
        </w:rPr>
        <w:t>)</w:t>
      </w:r>
      <w:r w:rsidR="005E2F7B" w:rsidRPr="00E85554">
        <w:rPr>
          <w:rFonts w:ascii="Times New Roman" w:hAnsi="Times New Roman" w:cs="Times New Roman"/>
          <w:sz w:val="24"/>
          <w:szCs w:val="24"/>
          <w:lang w:val="en-US"/>
        </w:rPr>
        <w:fldChar w:fldCharType="end"/>
      </w:r>
      <w:r w:rsidR="002F196F" w:rsidRPr="00E85554">
        <w:rPr>
          <w:rFonts w:ascii="Times New Roman" w:hAnsi="Times New Roman" w:cs="Times New Roman"/>
          <w:sz w:val="24"/>
          <w:szCs w:val="24"/>
          <w:lang w:val="en-US"/>
        </w:rPr>
        <w:t xml:space="preserve"> </w:t>
      </w:r>
      <w:r w:rsidR="00A34185" w:rsidRPr="00E85554">
        <w:rPr>
          <w:rFonts w:ascii="Times New Roman" w:hAnsi="Times New Roman" w:cs="Times New Roman"/>
          <w:sz w:val="24"/>
          <w:szCs w:val="24"/>
          <w:lang w:val="en-US"/>
        </w:rPr>
        <w:t>differ in weak institutional envir</w:t>
      </w:r>
      <w:r w:rsidR="0016180D" w:rsidRPr="00E85554">
        <w:rPr>
          <w:rFonts w:ascii="Times New Roman" w:hAnsi="Times New Roman" w:cs="Times New Roman"/>
          <w:sz w:val="24"/>
          <w:szCs w:val="24"/>
          <w:lang w:val="en-US"/>
        </w:rPr>
        <w:t>onments</w:t>
      </w:r>
      <w:r w:rsidR="00F64A64" w:rsidRPr="00E85554">
        <w:rPr>
          <w:rFonts w:ascii="Times New Roman" w:hAnsi="Times New Roman" w:cs="Times New Roman"/>
          <w:sz w:val="24"/>
          <w:szCs w:val="24"/>
          <w:lang w:val="en-US"/>
        </w:rPr>
        <w:t xml:space="preserve"> compared to the West</w:t>
      </w:r>
      <w:r w:rsidR="005D4006" w:rsidRPr="00E85554">
        <w:rPr>
          <w:rFonts w:ascii="Times New Roman" w:hAnsi="Times New Roman" w:cs="Times New Roman"/>
          <w:sz w:val="24"/>
          <w:szCs w:val="24"/>
          <w:lang w:val="en-US"/>
        </w:rPr>
        <w:t xml:space="preserve">, </w:t>
      </w:r>
      <w:r w:rsidR="00F64A64" w:rsidRPr="00E85554">
        <w:rPr>
          <w:rFonts w:ascii="Times New Roman" w:hAnsi="Times New Roman" w:cs="Times New Roman"/>
          <w:sz w:val="24"/>
          <w:szCs w:val="24"/>
          <w:lang w:val="en-US"/>
        </w:rPr>
        <w:t>notably</w:t>
      </w:r>
      <w:r w:rsidR="005D4006" w:rsidRPr="00E85554">
        <w:rPr>
          <w:rFonts w:ascii="Times New Roman" w:hAnsi="Times New Roman" w:cs="Times New Roman"/>
          <w:sz w:val="24"/>
          <w:szCs w:val="24"/>
          <w:lang w:val="en-US"/>
        </w:rPr>
        <w:t xml:space="preserve"> creat</w:t>
      </w:r>
      <w:r w:rsidR="00F64A64" w:rsidRPr="00E85554">
        <w:rPr>
          <w:rFonts w:ascii="Times New Roman" w:hAnsi="Times New Roman" w:cs="Times New Roman"/>
          <w:sz w:val="24"/>
          <w:szCs w:val="24"/>
          <w:lang w:val="en-US"/>
        </w:rPr>
        <w:t>ing</w:t>
      </w:r>
      <w:r w:rsidR="005D4006" w:rsidRPr="00E85554">
        <w:rPr>
          <w:rFonts w:ascii="Times New Roman" w:hAnsi="Times New Roman" w:cs="Times New Roman"/>
          <w:sz w:val="24"/>
          <w:szCs w:val="24"/>
          <w:lang w:val="en-US"/>
        </w:rPr>
        <w:t xml:space="preserve"> a multiple agency setting </w:t>
      </w:r>
      <w:r w:rsidR="00C36E45" w:rsidRPr="00E85554">
        <w:rPr>
          <w:rFonts w:ascii="Times New Roman" w:hAnsi="Times New Roman" w:cs="Times New Roman"/>
          <w:sz w:val="24"/>
          <w:szCs w:val="24"/>
          <w:lang w:val="en-US"/>
        </w:rPr>
        <w:t>where agents have multiple princ</w:t>
      </w:r>
      <w:r w:rsidR="0012006A" w:rsidRPr="00E85554">
        <w:rPr>
          <w:rFonts w:ascii="Times New Roman" w:hAnsi="Times New Roman" w:cs="Times New Roman"/>
          <w:sz w:val="24"/>
          <w:szCs w:val="24"/>
          <w:lang w:val="en-US"/>
        </w:rPr>
        <w:t xml:space="preserve">ipals in conflict </w:t>
      </w:r>
      <w:r w:rsidR="00C36E45" w:rsidRPr="00E85554">
        <w:rPr>
          <w:rFonts w:ascii="Times New Roman" w:hAnsi="Times New Roman" w:cs="Times New Roman"/>
          <w:sz w:val="24"/>
          <w:szCs w:val="24"/>
          <w:lang w:val="en-US"/>
        </w:rPr>
        <w:t>to attend to</w:t>
      </w:r>
      <w:r w:rsidR="003B2947">
        <w:rPr>
          <w:rFonts w:ascii="Times New Roman" w:hAnsi="Times New Roman" w:cs="Times New Roman"/>
          <w:sz w:val="24"/>
          <w:szCs w:val="24"/>
          <w:lang w:val="en-US"/>
        </w:rPr>
        <w:t xml:space="preserve"> </w:t>
      </w:r>
      <w:r w:rsidR="003B2947" w:rsidRPr="00E85554">
        <w:rPr>
          <w:rFonts w:ascii="Times New Roman" w:hAnsi="Times New Roman" w:cs="Times New Roman"/>
          <w:sz w:val="24"/>
          <w:szCs w:val="24"/>
          <w:lang w:val="en-US"/>
        </w:rPr>
        <w:fldChar w:fldCharType="begin"/>
      </w:r>
      <w:r w:rsidR="003B2947" w:rsidRPr="00E85554">
        <w:rPr>
          <w:rFonts w:ascii="Times New Roman" w:hAnsi="Times New Roman" w:cs="Times New Roman"/>
          <w:sz w:val="24"/>
          <w:szCs w:val="24"/>
          <w:lang w:val="en-US"/>
        </w:rPr>
        <w:instrText xml:space="preserve"> ADDIN EN.CITE &lt;EndNote&gt;&lt;Cite&gt;&lt;Author&gt;Arthurs&lt;/Author&gt;&lt;Year&gt;2008&lt;/Year&gt;&lt;RecNum&gt;8&lt;/RecNum&gt;&lt;DisplayText&gt;(Arthurs et al., 2008)&lt;/DisplayText&gt;&lt;record&gt;&lt;rec-number&gt;8&lt;/rec-number&gt;&lt;foreign-keys&gt;&lt;key app="EN" db-id="xdsfzvadmzzxdzereeq5xdf7eaxsdwfdfave" timestamp="1389310368"&gt;8&lt;/key&gt;&lt;/foreign-keys&gt;&lt;ref-type name="Journal Article"&gt;17&lt;/ref-type&gt;&lt;contributors&gt;&lt;authors&gt;&lt;author&gt;Arthurs, Jonathan D&lt;/author&gt;&lt;author&gt;Hoskisson, Robert E&lt;/author&gt;&lt;author&gt;Busenitz, Lowell W&lt;/author&gt;&lt;author&gt;Johnson, Richard A&lt;/author&gt;&lt;/authors&gt;&lt;/contributors&gt;&lt;titles&gt;&lt;title&gt;Managerial agents watching other agents: Multiple agency conflicts regarding underpricing in IPO firms&lt;/title&gt;&lt;secondary-title&gt;Academy of Management Journal&lt;/secondary-title&gt;&lt;/titles&gt;&lt;periodical&gt;&lt;full-title&gt;Academy of Management Journal&lt;/full-title&gt;&lt;/periodical&gt;&lt;pages&gt;277-294&lt;/pages&gt;&lt;volume&gt;51&lt;/volume&gt;&lt;number&gt;2&lt;/number&gt;&lt;dates&gt;&lt;year&gt;2008&lt;/year&gt;&lt;/dates&gt;&lt;isbn&gt;0001-4273&lt;/isbn&gt;&lt;urls&gt;&lt;/urls&gt;&lt;/record&gt;&lt;/Cite&gt;&lt;/EndNote&gt;</w:instrText>
      </w:r>
      <w:r w:rsidR="003B2947" w:rsidRPr="00E85554">
        <w:rPr>
          <w:rFonts w:ascii="Times New Roman" w:hAnsi="Times New Roman" w:cs="Times New Roman"/>
          <w:sz w:val="24"/>
          <w:szCs w:val="24"/>
          <w:lang w:val="en-US"/>
        </w:rPr>
        <w:fldChar w:fldCharType="separate"/>
      </w:r>
      <w:r w:rsidR="003B2947" w:rsidRPr="00E85554">
        <w:rPr>
          <w:rFonts w:ascii="Times New Roman" w:hAnsi="Times New Roman" w:cs="Times New Roman"/>
          <w:noProof/>
          <w:sz w:val="24"/>
          <w:szCs w:val="24"/>
          <w:lang w:val="en-US"/>
        </w:rPr>
        <w:t>(</w:t>
      </w:r>
      <w:hyperlink w:anchor="_ENREF_8" w:tooltip="Arthurs, 2008 #8" w:history="1">
        <w:r w:rsidR="00266C78" w:rsidRPr="00E85554">
          <w:rPr>
            <w:rFonts w:ascii="Times New Roman" w:hAnsi="Times New Roman" w:cs="Times New Roman"/>
            <w:noProof/>
            <w:sz w:val="24"/>
            <w:szCs w:val="24"/>
            <w:lang w:val="en-US"/>
          </w:rPr>
          <w:t>Arthurs et al., 2008</w:t>
        </w:r>
      </w:hyperlink>
      <w:r w:rsidR="003B2947" w:rsidRPr="00E85554">
        <w:rPr>
          <w:rFonts w:ascii="Times New Roman" w:hAnsi="Times New Roman" w:cs="Times New Roman"/>
          <w:noProof/>
          <w:sz w:val="24"/>
          <w:szCs w:val="24"/>
          <w:lang w:val="en-US"/>
        </w:rPr>
        <w:t>)</w:t>
      </w:r>
      <w:r w:rsidR="003B2947" w:rsidRPr="00E85554">
        <w:rPr>
          <w:rFonts w:ascii="Times New Roman" w:hAnsi="Times New Roman" w:cs="Times New Roman"/>
          <w:sz w:val="24"/>
          <w:szCs w:val="24"/>
          <w:lang w:val="en-US"/>
        </w:rPr>
        <w:fldChar w:fldCharType="end"/>
      </w:r>
      <w:r w:rsidR="00C36E45" w:rsidRPr="00E85554">
        <w:rPr>
          <w:rFonts w:ascii="Times New Roman" w:hAnsi="Times New Roman" w:cs="Times New Roman"/>
          <w:sz w:val="24"/>
          <w:szCs w:val="24"/>
          <w:lang w:val="en-US"/>
        </w:rPr>
        <w:t xml:space="preserve">. </w:t>
      </w:r>
      <w:r w:rsidR="00A34185" w:rsidRPr="00E85554">
        <w:rPr>
          <w:rFonts w:ascii="Times New Roman" w:hAnsi="Times New Roman" w:cs="Times New Roman"/>
          <w:sz w:val="24"/>
          <w:szCs w:val="24"/>
          <w:lang w:val="en-US"/>
        </w:rPr>
        <w:t xml:space="preserve"> </w:t>
      </w:r>
    </w:p>
    <w:p w14:paraId="20DD8A41" w14:textId="49A06695" w:rsidR="00F91F80" w:rsidRPr="00E85554" w:rsidRDefault="001C19EB" w:rsidP="007C67C0">
      <w:pPr>
        <w:tabs>
          <w:tab w:val="left" w:pos="6300"/>
        </w:tabs>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Accordingly, we examine the role of </w:t>
      </w:r>
      <w:r w:rsidR="00DE27B6" w:rsidRPr="00E85554">
        <w:rPr>
          <w:rFonts w:ascii="Times New Roman" w:hAnsi="Times New Roman" w:cs="Times New Roman"/>
          <w:sz w:val="24"/>
          <w:szCs w:val="24"/>
          <w:lang w:val="en-US"/>
        </w:rPr>
        <w:t>independent directors</w:t>
      </w:r>
      <w:r w:rsidR="00C36E45" w:rsidRPr="00E85554">
        <w:rPr>
          <w:rFonts w:ascii="Times New Roman" w:hAnsi="Times New Roman" w:cs="Times New Roman"/>
          <w:sz w:val="24"/>
          <w:szCs w:val="24"/>
          <w:lang w:val="en-US"/>
        </w:rPr>
        <w:t xml:space="preserve"> as</w:t>
      </w:r>
      <w:r w:rsidR="00DE27B6" w:rsidRPr="00E85554">
        <w:rPr>
          <w:rFonts w:ascii="Times New Roman" w:hAnsi="Times New Roman" w:cs="Times New Roman"/>
          <w:sz w:val="24"/>
          <w:szCs w:val="24"/>
          <w:lang w:val="en-US"/>
        </w:rPr>
        <w:t xml:space="preserve"> </w:t>
      </w:r>
      <w:r w:rsidR="00C36E45" w:rsidRPr="00E85554">
        <w:rPr>
          <w:rFonts w:ascii="Times New Roman" w:hAnsi="Times New Roman" w:cs="Times New Roman"/>
          <w:sz w:val="24"/>
          <w:szCs w:val="24"/>
          <w:lang w:val="en-US"/>
        </w:rPr>
        <w:t>agents of multiple blockholders</w:t>
      </w:r>
      <w:r w:rsidR="003B2947">
        <w:rPr>
          <w:rFonts w:ascii="Times New Roman" w:hAnsi="Times New Roman" w:cs="Times New Roman"/>
          <w:sz w:val="24"/>
          <w:szCs w:val="24"/>
          <w:lang w:val="en-US"/>
        </w:rPr>
        <w:t xml:space="preserve"> (principals). In addition,</w:t>
      </w:r>
      <w:r w:rsidR="00C36E45" w:rsidRPr="00E85554">
        <w:rPr>
          <w:rFonts w:ascii="Times New Roman" w:hAnsi="Times New Roman" w:cs="Times New Roman"/>
          <w:sz w:val="24"/>
          <w:szCs w:val="24"/>
          <w:lang w:val="en-US"/>
        </w:rPr>
        <w:t xml:space="preserve"> independent directors also represent the adoption of a </w:t>
      </w:r>
      <w:r w:rsidR="00E252AF" w:rsidRPr="00E85554">
        <w:rPr>
          <w:rFonts w:ascii="Times New Roman" w:hAnsi="Times New Roman" w:cs="Times New Roman"/>
          <w:sz w:val="24"/>
          <w:szCs w:val="24"/>
          <w:lang w:val="en-US"/>
        </w:rPr>
        <w:t>foreign legitimate board practice</w:t>
      </w:r>
      <w:r w:rsidR="00C36E45" w:rsidRPr="00E85554">
        <w:rPr>
          <w:rFonts w:ascii="Times New Roman" w:hAnsi="Times New Roman" w:cs="Times New Roman"/>
          <w:sz w:val="24"/>
          <w:szCs w:val="24"/>
          <w:lang w:val="en-US"/>
        </w:rPr>
        <w:t xml:space="preserve"> that through monitoring is intended to </w:t>
      </w:r>
      <w:r w:rsidR="0012006A" w:rsidRPr="00E85554">
        <w:rPr>
          <w:rFonts w:ascii="Times New Roman" w:hAnsi="Times New Roman" w:cs="Times New Roman"/>
          <w:sz w:val="24"/>
          <w:szCs w:val="24"/>
          <w:lang w:val="en-US"/>
        </w:rPr>
        <w:t>rein in</w:t>
      </w:r>
      <w:r w:rsidR="00C36E45" w:rsidRPr="00E85554">
        <w:rPr>
          <w:rFonts w:ascii="Times New Roman" w:hAnsi="Times New Roman" w:cs="Times New Roman"/>
          <w:sz w:val="24"/>
          <w:szCs w:val="24"/>
          <w:lang w:val="en-US"/>
        </w:rPr>
        <w:t xml:space="preserve"> </w:t>
      </w:r>
      <w:r w:rsidR="0012006A" w:rsidRPr="00E85554">
        <w:rPr>
          <w:rFonts w:ascii="Times New Roman" w:hAnsi="Times New Roman" w:cs="Times New Roman"/>
          <w:sz w:val="24"/>
          <w:szCs w:val="24"/>
          <w:lang w:val="en-US"/>
        </w:rPr>
        <w:t xml:space="preserve">systemic </w:t>
      </w:r>
      <w:r w:rsidRPr="00E85554">
        <w:rPr>
          <w:rFonts w:ascii="Times New Roman" w:hAnsi="Times New Roman" w:cs="Times New Roman"/>
          <w:sz w:val="24"/>
          <w:szCs w:val="24"/>
          <w:lang w:val="en-US"/>
        </w:rPr>
        <w:t>blockholder appropriation</w:t>
      </w:r>
      <w:r w:rsidR="00C36E45" w:rsidRPr="00E85554">
        <w:rPr>
          <w:rFonts w:ascii="Times New Roman" w:hAnsi="Times New Roman" w:cs="Times New Roman"/>
          <w:sz w:val="24"/>
          <w:szCs w:val="24"/>
          <w:lang w:val="en-US"/>
        </w:rPr>
        <w:t>.</w:t>
      </w:r>
      <w:r w:rsidR="007C67C0" w:rsidRPr="00E85554">
        <w:rPr>
          <w:rFonts w:ascii="Times New Roman" w:hAnsi="Times New Roman" w:cs="Times New Roman"/>
          <w:sz w:val="24"/>
          <w:szCs w:val="24"/>
          <w:lang w:val="en-US"/>
        </w:rPr>
        <w:t xml:space="preserve"> Specifically, we begin by asking whether</w:t>
      </w:r>
      <w:r w:rsidRPr="00E85554">
        <w:rPr>
          <w:rFonts w:ascii="Times New Roman" w:hAnsi="Times New Roman" w:cs="Times New Roman"/>
          <w:sz w:val="24"/>
          <w:szCs w:val="24"/>
          <w:lang w:val="en-US"/>
        </w:rPr>
        <w:t xml:space="preserve"> blockholder appropriation of firm wealth </w:t>
      </w:r>
      <w:r w:rsidR="007C67C0" w:rsidRPr="00E85554">
        <w:rPr>
          <w:rFonts w:ascii="Times New Roman" w:hAnsi="Times New Roman" w:cs="Times New Roman"/>
          <w:sz w:val="24"/>
          <w:szCs w:val="24"/>
          <w:lang w:val="en-US"/>
        </w:rPr>
        <w:t xml:space="preserve">is </w:t>
      </w:r>
      <w:r w:rsidRPr="00E85554">
        <w:rPr>
          <w:rFonts w:ascii="Times New Roman" w:hAnsi="Times New Roman" w:cs="Times New Roman"/>
          <w:sz w:val="24"/>
          <w:szCs w:val="24"/>
          <w:lang w:val="en-US"/>
        </w:rPr>
        <w:t xml:space="preserve">mitigated by </w:t>
      </w:r>
      <w:r w:rsidR="007C67C0" w:rsidRPr="00E85554">
        <w:rPr>
          <w:rFonts w:ascii="Times New Roman" w:hAnsi="Times New Roman" w:cs="Times New Roman"/>
          <w:sz w:val="24"/>
          <w:szCs w:val="24"/>
          <w:lang w:val="en-US"/>
        </w:rPr>
        <w:t xml:space="preserve">the presence of </w:t>
      </w:r>
      <w:r w:rsidRPr="00E85554">
        <w:rPr>
          <w:rFonts w:ascii="Times New Roman" w:hAnsi="Times New Roman" w:cs="Times New Roman"/>
          <w:sz w:val="24"/>
          <w:szCs w:val="24"/>
          <w:lang w:val="en-US"/>
        </w:rPr>
        <w:t>independent directors in a constrained and weak institutional environmen</w:t>
      </w:r>
      <w:r w:rsidR="007C67C0" w:rsidRPr="00E85554">
        <w:rPr>
          <w:rFonts w:ascii="Times New Roman" w:hAnsi="Times New Roman" w:cs="Times New Roman"/>
          <w:sz w:val="24"/>
          <w:szCs w:val="24"/>
          <w:lang w:val="en-US"/>
        </w:rPr>
        <w:t>t.</w:t>
      </w:r>
      <w:r w:rsidR="00F91F80" w:rsidRPr="00E85554">
        <w:rPr>
          <w:rFonts w:ascii="Times New Roman" w:hAnsi="Times New Roman" w:cs="Times New Roman"/>
          <w:sz w:val="24"/>
          <w:szCs w:val="24"/>
          <w:lang w:val="en-US"/>
        </w:rPr>
        <w:t xml:space="preserve"> </w:t>
      </w:r>
      <w:r w:rsidR="007C67C0" w:rsidRPr="00E85554">
        <w:rPr>
          <w:rFonts w:ascii="Times New Roman" w:hAnsi="Times New Roman" w:cs="Times New Roman"/>
          <w:sz w:val="24"/>
          <w:szCs w:val="24"/>
          <w:lang w:val="en-US"/>
        </w:rPr>
        <w:t xml:space="preserve">We then explore two </w:t>
      </w:r>
      <w:r w:rsidR="006525E8">
        <w:rPr>
          <w:rFonts w:ascii="Times New Roman" w:hAnsi="Times New Roman" w:cs="Times New Roman"/>
          <w:sz w:val="24"/>
          <w:szCs w:val="24"/>
          <w:lang w:val="en-US"/>
        </w:rPr>
        <w:t xml:space="preserve">key </w:t>
      </w:r>
      <w:r w:rsidR="007C67C0" w:rsidRPr="00E85554">
        <w:rPr>
          <w:rFonts w:ascii="Times New Roman" w:hAnsi="Times New Roman" w:cs="Times New Roman"/>
          <w:sz w:val="24"/>
          <w:szCs w:val="24"/>
          <w:lang w:val="en-US"/>
        </w:rPr>
        <w:t xml:space="preserve">governance contingencies. First, we examine the </w:t>
      </w:r>
      <w:r w:rsidR="0012006A" w:rsidRPr="00E85554">
        <w:rPr>
          <w:rFonts w:ascii="Times New Roman" w:hAnsi="Times New Roman" w:cs="Times New Roman"/>
          <w:sz w:val="24"/>
          <w:szCs w:val="24"/>
          <w:lang w:val="en-US"/>
        </w:rPr>
        <w:t xml:space="preserve">effects of </w:t>
      </w:r>
      <w:r w:rsidR="007C67C0" w:rsidRPr="00E85554">
        <w:rPr>
          <w:rFonts w:ascii="Times New Roman" w:hAnsi="Times New Roman" w:cs="Times New Roman"/>
          <w:sz w:val="24"/>
          <w:szCs w:val="24"/>
          <w:lang w:val="en-US"/>
        </w:rPr>
        <w:t xml:space="preserve">internal governance factors, that is, how the relationship between presence of independent directors and blockholder appropriation </w:t>
      </w:r>
      <w:r w:rsidR="00B51EC7" w:rsidRPr="00E85554">
        <w:rPr>
          <w:rFonts w:ascii="Times New Roman" w:hAnsi="Times New Roman" w:cs="Times New Roman"/>
          <w:sz w:val="24"/>
          <w:szCs w:val="24"/>
          <w:lang w:val="en-US"/>
        </w:rPr>
        <w:t xml:space="preserve">is </w:t>
      </w:r>
      <w:r w:rsidR="007C67C0" w:rsidRPr="00E85554">
        <w:rPr>
          <w:rFonts w:ascii="Times New Roman" w:hAnsi="Times New Roman" w:cs="Times New Roman"/>
          <w:sz w:val="24"/>
          <w:szCs w:val="24"/>
          <w:lang w:val="en-US"/>
        </w:rPr>
        <w:t xml:space="preserve">affected by the ownership type of the majority blockholder? And second, we analyze how </w:t>
      </w:r>
      <w:r w:rsidR="00C36E45" w:rsidRPr="00E85554">
        <w:rPr>
          <w:rFonts w:ascii="Times New Roman" w:hAnsi="Times New Roman" w:cs="Times New Roman"/>
          <w:sz w:val="24"/>
          <w:szCs w:val="24"/>
          <w:lang w:val="en-US"/>
        </w:rPr>
        <w:t xml:space="preserve">exposure to </w:t>
      </w:r>
      <w:r w:rsidR="00E252AF" w:rsidRPr="00E85554">
        <w:rPr>
          <w:rFonts w:ascii="Times New Roman" w:hAnsi="Times New Roman" w:cs="Times New Roman"/>
          <w:sz w:val="24"/>
          <w:szCs w:val="24"/>
          <w:lang w:val="en-US"/>
        </w:rPr>
        <w:t xml:space="preserve">international </w:t>
      </w:r>
      <w:r w:rsidR="00C36E45" w:rsidRPr="00E85554">
        <w:rPr>
          <w:rFonts w:ascii="Times New Roman" w:hAnsi="Times New Roman" w:cs="Times New Roman"/>
          <w:sz w:val="24"/>
          <w:szCs w:val="24"/>
          <w:lang w:val="en-US"/>
        </w:rPr>
        <w:t>governance</w:t>
      </w:r>
      <w:r w:rsidR="006525E8">
        <w:rPr>
          <w:rFonts w:ascii="Times New Roman" w:hAnsi="Times New Roman" w:cs="Times New Roman"/>
          <w:sz w:val="24"/>
          <w:szCs w:val="24"/>
          <w:lang w:val="en-US"/>
        </w:rPr>
        <w:t>, and in particular the enabling role of MNCs and foreign directors,</w:t>
      </w:r>
      <w:r w:rsidR="00C36E45" w:rsidRPr="00E85554">
        <w:rPr>
          <w:rFonts w:ascii="Times New Roman" w:hAnsi="Times New Roman" w:cs="Times New Roman"/>
          <w:sz w:val="24"/>
          <w:szCs w:val="24"/>
          <w:lang w:val="en-US"/>
        </w:rPr>
        <w:t xml:space="preserve"> affect</w:t>
      </w:r>
      <w:r w:rsidR="007C67C0" w:rsidRPr="00E85554">
        <w:rPr>
          <w:rFonts w:ascii="Times New Roman" w:hAnsi="Times New Roman" w:cs="Times New Roman"/>
          <w:sz w:val="24"/>
          <w:szCs w:val="24"/>
          <w:lang w:val="en-US"/>
        </w:rPr>
        <w:t>s</w:t>
      </w:r>
      <w:r w:rsidR="00C36E45" w:rsidRPr="00E85554">
        <w:rPr>
          <w:rFonts w:ascii="Times New Roman" w:hAnsi="Times New Roman" w:cs="Times New Roman"/>
          <w:sz w:val="24"/>
          <w:szCs w:val="24"/>
          <w:lang w:val="en-US"/>
        </w:rPr>
        <w:t xml:space="preserve"> </w:t>
      </w:r>
      <w:r w:rsidR="008A3FE0" w:rsidRPr="00E85554">
        <w:rPr>
          <w:rFonts w:ascii="Times New Roman" w:hAnsi="Times New Roman" w:cs="Times New Roman"/>
          <w:sz w:val="24"/>
          <w:szCs w:val="24"/>
          <w:lang w:val="en-US"/>
        </w:rPr>
        <w:t>this direct relationship</w:t>
      </w:r>
      <w:r w:rsidR="00755613" w:rsidRPr="00E85554">
        <w:rPr>
          <w:rFonts w:ascii="Times New Roman" w:hAnsi="Times New Roman" w:cs="Times New Roman"/>
          <w:sz w:val="24"/>
          <w:szCs w:val="24"/>
          <w:lang w:val="en-US"/>
        </w:rPr>
        <w:t xml:space="preserve"> by activating the monitoring role of independent directors. </w:t>
      </w:r>
    </w:p>
    <w:p w14:paraId="6E0DAFA2" w14:textId="5A69939A" w:rsidR="00D35A7D" w:rsidRPr="00E85554" w:rsidRDefault="00D05F8D" w:rsidP="007C67C0">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W</w:t>
      </w:r>
      <w:r w:rsidR="00C901B1" w:rsidRPr="00E85554">
        <w:rPr>
          <w:rFonts w:ascii="Times New Roman" w:hAnsi="Times New Roman" w:cs="Times New Roman"/>
          <w:sz w:val="24"/>
          <w:szCs w:val="24"/>
          <w:lang w:val="en-US"/>
        </w:rPr>
        <w:t>e</w:t>
      </w:r>
      <w:r w:rsidR="00D35A7D" w:rsidRPr="00E85554">
        <w:rPr>
          <w:rFonts w:ascii="Times New Roman" w:hAnsi="Times New Roman" w:cs="Times New Roman"/>
          <w:sz w:val="24"/>
          <w:szCs w:val="24"/>
          <w:lang w:val="en-US"/>
        </w:rPr>
        <w:t xml:space="preserve"> focus on Russia, </w:t>
      </w:r>
      <w:r w:rsidR="008B01DD">
        <w:rPr>
          <w:rFonts w:ascii="Times New Roman" w:hAnsi="Times New Roman" w:cs="Times New Roman"/>
          <w:sz w:val="24"/>
          <w:szCs w:val="24"/>
          <w:lang w:val="en-US"/>
        </w:rPr>
        <w:t>an</w:t>
      </w:r>
      <w:r w:rsidR="00DC45BA" w:rsidRPr="00E85554">
        <w:rPr>
          <w:rFonts w:ascii="Times New Roman" w:hAnsi="Times New Roman" w:cs="Times New Roman"/>
          <w:sz w:val="24"/>
          <w:szCs w:val="24"/>
          <w:lang w:val="en-US"/>
        </w:rPr>
        <w:t xml:space="preserve"> important </w:t>
      </w:r>
      <w:r w:rsidR="00EE1C54" w:rsidRPr="00E85554">
        <w:rPr>
          <w:rFonts w:ascii="Times New Roman" w:hAnsi="Times New Roman" w:cs="Times New Roman"/>
          <w:sz w:val="24"/>
          <w:szCs w:val="24"/>
          <w:lang w:val="en-US"/>
        </w:rPr>
        <w:t>transition econom</w:t>
      </w:r>
      <w:r w:rsidR="008B01DD">
        <w:rPr>
          <w:rFonts w:ascii="Times New Roman" w:hAnsi="Times New Roman" w:cs="Times New Roman"/>
          <w:sz w:val="24"/>
          <w:szCs w:val="24"/>
          <w:lang w:val="en-US"/>
        </w:rPr>
        <w:t>y</w:t>
      </w:r>
      <w:r w:rsidR="00137D8D">
        <w:rPr>
          <w:rFonts w:ascii="Times New Roman" w:hAnsi="Times New Roman" w:cs="Times New Roman"/>
          <w:sz w:val="24"/>
          <w:szCs w:val="24"/>
          <w:lang w:val="en-US"/>
        </w:rPr>
        <w:t>,</w:t>
      </w:r>
      <w:r w:rsidR="00E77202" w:rsidRPr="00E85554">
        <w:rPr>
          <w:rFonts w:ascii="Times New Roman" w:hAnsi="Times New Roman" w:cs="Times New Roman"/>
          <w:sz w:val="24"/>
          <w:szCs w:val="24"/>
          <w:lang w:val="en-US"/>
        </w:rPr>
        <w:t xml:space="preserve"> </w:t>
      </w:r>
      <w:r w:rsidR="008B01DD">
        <w:rPr>
          <w:rFonts w:ascii="Times New Roman" w:hAnsi="Times New Roman" w:cs="Times New Roman"/>
          <w:sz w:val="24"/>
          <w:szCs w:val="24"/>
          <w:lang w:val="en-US"/>
        </w:rPr>
        <w:t xml:space="preserve">because it is </w:t>
      </w:r>
      <w:r w:rsidR="00EE1C54" w:rsidRPr="00E85554">
        <w:rPr>
          <w:rFonts w:ascii="Times New Roman" w:hAnsi="Times New Roman" w:cs="Times New Roman"/>
          <w:sz w:val="24"/>
          <w:szCs w:val="24"/>
          <w:lang w:val="en-US"/>
        </w:rPr>
        <w:t>a particularly appropriate setting for testing our arguments</w:t>
      </w:r>
      <w:r w:rsidR="00DC45BA" w:rsidRPr="00E85554">
        <w:rPr>
          <w:rFonts w:ascii="Times New Roman" w:hAnsi="Times New Roman" w:cs="Times New Roman"/>
          <w:sz w:val="24"/>
          <w:szCs w:val="24"/>
          <w:lang w:val="en-US"/>
        </w:rPr>
        <w:t>.</w:t>
      </w:r>
      <w:r w:rsidR="006D1468" w:rsidRPr="00E85554">
        <w:rPr>
          <w:rFonts w:ascii="Times New Roman" w:hAnsi="Times New Roman" w:cs="Times New Roman"/>
          <w:sz w:val="24"/>
          <w:szCs w:val="24"/>
          <w:lang w:val="en-US"/>
        </w:rPr>
        <w:t xml:space="preserve"> First, Russian </w:t>
      </w:r>
      <w:r w:rsidR="00C100D1" w:rsidRPr="00E85554">
        <w:rPr>
          <w:rFonts w:ascii="Times New Roman" w:hAnsi="Times New Roman" w:cs="Times New Roman"/>
          <w:sz w:val="24"/>
          <w:szCs w:val="24"/>
          <w:lang w:val="en-US"/>
        </w:rPr>
        <w:t xml:space="preserve">corporate governance </w:t>
      </w:r>
      <w:r w:rsidR="002A4BF5" w:rsidRPr="00E85554">
        <w:rPr>
          <w:rFonts w:ascii="Times New Roman" w:hAnsi="Times New Roman" w:cs="Times New Roman"/>
          <w:sz w:val="24"/>
          <w:szCs w:val="24"/>
          <w:lang w:val="en-US"/>
        </w:rPr>
        <w:t xml:space="preserve">practices </w:t>
      </w:r>
      <w:r w:rsidR="006D1468" w:rsidRPr="00E85554">
        <w:rPr>
          <w:rFonts w:ascii="Times New Roman" w:hAnsi="Times New Roman" w:cs="Times New Roman"/>
          <w:sz w:val="24"/>
          <w:szCs w:val="24"/>
          <w:lang w:val="en-US"/>
        </w:rPr>
        <w:t xml:space="preserve">contrast sharply with </w:t>
      </w:r>
      <w:r w:rsidR="005C7CFE" w:rsidRPr="00E85554">
        <w:rPr>
          <w:rFonts w:ascii="Times New Roman" w:hAnsi="Times New Roman" w:cs="Times New Roman"/>
          <w:sz w:val="24"/>
          <w:szCs w:val="24"/>
          <w:lang w:val="en-US"/>
        </w:rPr>
        <w:t xml:space="preserve">Anglo-American </w:t>
      </w:r>
      <w:r w:rsidR="006D1468" w:rsidRPr="00E85554">
        <w:rPr>
          <w:rFonts w:ascii="Times New Roman" w:hAnsi="Times New Roman" w:cs="Times New Roman"/>
          <w:sz w:val="24"/>
          <w:szCs w:val="24"/>
          <w:lang w:val="en-US"/>
        </w:rPr>
        <w:t>practice</w:t>
      </w:r>
      <w:r w:rsidR="00C100D1" w:rsidRPr="00E85554">
        <w:rPr>
          <w:rFonts w:ascii="Times New Roman" w:hAnsi="Times New Roman" w:cs="Times New Roman"/>
          <w:sz w:val="24"/>
          <w:szCs w:val="24"/>
          <w:lang w:val="en-US"/>
        </w:rPr>
        <w:t>s</w:t>
      </w:r>
      <w:r w:rsidR="006D1468" w:rsidRPr="00E85554">
        <w:rPr>
          <w:rFonts w:ascii="Times New Roman" w:hAnsi="Times New Roman" w:cs="Times New Roman"/>
          <w:sz w:val="24"/>
          <w:szCs w:val="24"/>
          <w:lang w:val="en-US"/>
        </w:rPr>
        <w:t>, even though company law and corporate governance codes have been largely i</w:t>
      </w:r>
      <w:r w:rsidR="00EC1493" w:rsidRPr="00E85554">
        <w:rPr>
          <w:rFonts w:ascii="Times New Roman" w:hAnsi="Times New Roman" w:cs="Times New Roman"/>
          <w:sz w:val="24"/>
          <w:szCs w:val="24"/>
          <w:lang w:val="en-US"/>
        </w:rPr>
        <w:t>nspired</w:t>
      </w:r>
      <w:r w:rsidR="006D1468" w:rsidRPr="00E85554">
        <w:rPr>
          <w:rFonts w:ascii="Times New Roman" w:hAnsi="Times New Roman" w:cs="Times New Roman"/>
          <w:sz w:val="24"/>
          <w:szCs w:val="24"/>
          <w:lang w:val="en-US"/>
        </w:rPr>
        <w:t xml:space="preserve"> by Anglo-American rule-making. </w:t>
      </w:r>
      <w:r w:rsidR="00C100D1" w:rsidRPr="00E85554">
        <w:rPr>
          <w:rFonts w:ascii="Times New Roman" w:hAnsi="Times New Roman" w:cs="Times New Roman"/>
          <w:sz w:val="24"/>
          <w:szCs w:val="24"/>
          <w:lang w:val="en-US"/>
        </w:rPr>
        <w:t xml:space="preserve">The clash between Anglo-American and Russian </w:t>
      </w:r>
      <w:r w:rsidR="00C82932" w:rsidRPr="00E85554">
        <w:rPr>
          <w:rFonts w:ascii="Times New Roman" w:hAnsi="Times New Roman" w:cs="Times New Roman"/>
          <w:sz w:val="24"/>
          <w:szCs w:val="24"/>
          <w:lang w:val="en-US"/>
        </w:rPr>
        <w:t>socioeconomic environments</w:t>
      </w:r>
      <w:r w:rsidR="00C100D1" w:rsidRPr="00E85554">
        <w:rPr>
          <w:rFonts w:ascii="Times New Roman" w:hAnsi="Times New Roman" w:cs="Times New Roman"/>
          <w:sz w:val="24"/>
          <w:szCs w:val="24"/>
          <w:lang w:val="en-US"/>
        </w:rPr>
        <w:t xml:space="preserve"> </w:t>
      </w:r>
      <w:r w:rsidR="001C19EB" w:rsidRPr="00E85554">
        <w:rPr>
          <w:rFonts w:ascii="Times New Roman" w:hAnsi="Times New Roman" w:cs="Times New Roman"/>
          <w:sz w:val="24"/>
          <w:szCs w:val="24"/>
          <w:lang w:val="en-US"/>
        </w:rPr>
        <w:t>meant</w:t>
      </w:r>
      <w:r w:rsidR="00C100D1" w:rsidRPr="00E85554">
        <w:rPr>
          <w:rFonts w:ascii="Times New Roman" w:hAnsi="Times New Roman" w:cs="Times New Roman"/>
          <w:sz w:val="24"/>
          <w:szCs w:val="24"/>
          <w:lang w:val="en-US"/>
        </w:rPr>
        <w:t xml:space="preserve"> </w:t>
      </w:r>
      <w:r w:rsidR="0052059D" w:rsidRPr="00E85554">
        <w:rPr>
          <w:rFonts w:ascii="Times New Roman" w:hAnsi="Times New Roman" w:cs="Times New Roman"/>
          <w:sz w:val="24"/>
          <w:szCs w:val="24"/>
          <w:lang w:val="en-US"/>
        </w:rPr>
        <w:t>that</w:t>
      </w:r>
      <w:r w:rsidR="00B33D64" w:rsidRPr="00E85554">
        <w:rPr>
          <w:rFonts w:ascii="Times New Roman" w:hAnsi="Times New Roman" w:cs="Times New Roman"/>
          <w:sz w:val="24"/>
          <w:szCs w:val="24"/>
          <w:lang w:val="en-US"/>
        </w:rPr>
        <w:t>,</w:t>
      </w:r>
      <w:r w:rsidR="0052059D" w:rsidRPr="00E85554">
        <w:rPr>
          <w:rFonts w:ascii="Times New Roman" w:hAnsi="Times New Roman" w:cs="Times New Roman"/>
          <w:sz w:val="24"/>
          <w:szCs w:val="24"/>
          <w:lang w:val="en-US"/>
        </w:rPr>
        <w:t xml:space="preserve"> </w:t>
      </w:r>
      <w:r w:rsidR="007C67C0" w:rsidRPr="00E85554">
        <w:rPr>
          <w:rFonts w:ascii="Times New Roman" w:hAnsi="Times New Roman" w:cs="Times New Roman"/>
          <w:sz w:val="24"/>
          <w:szCs w:val="24"/>
          <w:lang w:val="en-US"/>
        </w:rPr>
        <w:t>at least initially</w:t>
      </w:r>
      <w:r w:rsidR="00B33D64" w:rsidRPr="00E85554">
        <w:rPr>
          <w:rFonts w:ascii="Times New Roman" w:hAnsi="Times New Roman" w:cs="Times New Roman"/>
          <w:sz w:val="24"/>
          <w:szCs w:val="24"/>
          <w:lang w:val="en-US"/>
        </w:rPr>
        <w:t xml:space="preserve">, when </w:t>
      </w:r>
      <w:r w:rsidR="00C54ADB" w:rsidRPr="00E85554">
        <w:rPr>
          <w:rFonts w:ascii="Times New Roman" w:hAnsi="Times New Roman" w:cs="Times New Roman"/>
          <w:sz w:val="24"/>
          <w:szCs w:val="24"/>
          <w:lang w:val="en-US"/>
        </w:rPr>
        <w:t>the country</w:t>
      </w:r>
      <w:r w:rsidR="00B33D64" w:rsidRPr="00E85554">
        <w:rPr>
          <w:rFonts w:ascii="Times New Roman" w:hAnsi="Times New Roman" w:cs="Times New Roman"/>
          <w:sz w:val="24"/>
          <w:szCs w:val="24"/>
          <w:lang w:val="en-US"/>
        </w:rPr>
        <w:t xml:space="preserve"> became a market economy, </w:t>
      </w:r>
      <w:r w:rsidR="00C100D1" w:rsidRPr="00E85554">
        <w:rPr>
          <w:rFonts w:ascii="Times New Roman" w:hAnsi="Times New Roman" w:cs="Times New Roman"/>
          <w:sz w:val="24"/>
          <w:szCs w:val="24"/>
          <w:lang w:val="en-US"/>
        </w:rPr>
        <w:t xml:space="preserve">Russian companies </w:t>
      </w:r>
      <w:r w:rsidR="00EC1493" w:rsidRPr="00E85554">
        <w:rPr>
          <w:rFonts w:ascii="Times New Roman" w:hAnsi="Times New Roman" w:cs="Times New Roman"/>
          <w:sz w:val="24"/>
          <w:szCs w:val="24"/>
          <w:lang w:val="en-US"/>
        </w:rPr>
        <w:t xml:space="preserve">only </w:t>
      </w:r>
      <w:r w:rsidR="0052059D" w:rsidRPr="00E85554">
        <w:rPr>
          <w:rFonts w:ascii="Times New Roman" w:hAnsi="Times New Roman" w:cs="Times New Roman"/>
          <w:sz w:val="24"/>
          <w:szCs w:val="24"/>
          <w:lang w:val="en-US"/>
        </w:rPr>
        <w:t xml:space="preserve">partially </w:t>
      </w:r>
      <w:r w:rsidR="00C100D1" w:rsidRPr="00E85554">
        <w:rPr>
          <w:rFonts w:ascii="Times New Roman" w:hAnsi="Times New Roman" w:cs="Times New Roman"/>
          <w:sz w:val="24"/>
          <w:szCs w:val="24"/>
          <w:lang w:val="en-US"/>
        </w:rPr>
        <w:t>adopt</w:t>
      </w:r>
      <w:r w:rsidR="0052059D" w:rsidRPr="00E85554">
        <w:rPr>
          <w:rFonts w:ascii="Times New Roman" w:hAnsi="Times New Roman" w:cs="Times New Roman"/>
          <w:sz w:val="24"/>
          <w:szCs w:val="24"/>
          <w:lang w:val="en-US"/>
        </w:rPr>
        <w:t>ed</w:t>
      </w:r>
      <w:r w:rsidR="00B33D64" w:rsidRPr="00E85554">
        <w:rPr>
          <w:rFonts w:ascii="Times New Roman" w:hAnsi="Times New Roman" w:cs="Times New Roman"/>
          <w:sz w:val="24"/>
          <w:szCs w:val="24"/>
          <w:lang w:val="en-US"/>
        </w:rPr>
        <w:t xml:space="preserve"> well-established</w:t>
      </w:r>
      <w:r w:rsidR="00C100D1" w:rsidRPr="00E85554">
        <w:rPr>
          <w:rFonts w:ascii="Times New Roman" w:hAnsi="Times New Roman" w:cs="Times New Roman"/>
          <w:sz w:val="24"/>
          <w:szCs w:val="24"/>
          <w:lang w:val="en-US"/>
        </w:rPr>
        <w:t xml:space="preserve"> Anglo-American practices. </w:t>
      </w:r>
      <w:r w:rsidR="0023452A" w:rsidRPr="00E85554">
        <w:rPr>
          <w:rFonts w:ascii="Times New Roman" w:hAnsi="Times New Roman" w:cs="Times New Roman"/>
          <w:sz w:val="24"/>
          <w:szCs w:val="24"/>
          <w:lang w:val="en-US"/>
        </w:rPr>
        <w:t xml:space="preserve">Second, </w:t>
      </w:r>
      <w:r w:rsidR="00EC59F1" w:rsidRPr="00E85554">
        <w:rPr>
          <w:rFonts w:ascii="Times New Roman" w:hAnsi="Times New Roman" w:cs="Times New Roman"/>
          <w:sz w:val="24"/>
          <w:szCs w:val="24"/>
          <w:lang w:val="en-US"/>
        </w:rPr>
        <w:t>the presence of independent directors has increased significantly since the early 2000s</w:t>
      </w:r>
      <w:r w:rsidR="00B33D64" w:rsidRPr="00E85554">
        <w:rPr>
          <w:rFonts w:ascii="Times New Roman" w:hAnsi="Times New Roman" w:cs="Times New Roman"/>
          <w:sz w:val="24"/>
          <w:szCs w:val="24"/>
          <w:lang w:val="en-US"/>
        </w:rPr>
        <w:t>,</w:t>
      </w:r>
      <w:r w:rsidR="00EC59F1" w:rsidRPr="00E85554">
        <w:rPr>
          <w:rFonts w:ascii="Times New Roman" w:hAnsi="Times New Roman" w:cs="Times New Roman"/>
          <w:sz w:val="24"/>
          <w:szCs w:val="24"/>
          <w:lang w:val="en-US"/>
        </w:rPr>
        <w:t xml:space="preserve"> when the concept of independent </w:t>
      </w:r>
      <w:r w:rsidR="00EC59F1" w:rsidRPr="00E85554">
        <w:rPr>
          <w:rFonts w:ascii="Times New Roman" w:hAnsi="Times New Roman" w:cs="Times New Roman"/>
          <w:sz w:val="24"/>
          <w:szCs w:val="24"/>
          <w:lang w:val="en-US"/>
        </w:rPr>
        <w:lastRenderedPageBreak/>
        <w:t xml:space="preserve">directors was introduced with the first corporate governance code. </w:t>
      </w:r>
      <w:r w:rsidR="000D19B4">
        <w:rPr>
          <w:rFonts w:ascii="Times New Roman" w:hAnsi="Times New Roman" w:cs="Times New Roman"/>
          <w:sz w:val="24"/>
          <w:szCs w:val="24"/>
          <w:lang w:val="en-US"/>
        </w:rPr>
        <w:t>In 2</w:t>
      </w:r>
      <w:r w:rsidR="007D77A4" w:rsidRPr="00E85554">
        <w:rPr>
          <w:rFonts w:ascii="Times New Roman" w:hAnsi="Times New Roman" w:cs="Times New Roman"/>
          <w:sz w:val="24"/>
          <w:szCs w:val="24"/>
          <w:lang w:val="en-US"/>
        </w:rPr>
        <w:t>005, it</w:t>
      </w:r>
      <w:r w:rsidR="00EC59F1" w:rsidRPr="00E85554">
        <w:rPr>
          <w:rFonts w:ascii="Times New Roman" w:hAnsi="Times New Roman" w:cs="Times New Roman"/>
          <w:sz w:val="24"/>
          <w:szCs w:val="24"/>
          <w:lang w:val="en-US"/>
        </w:rPr>
        <w:t xml:space="preserve"> was uncommon to find</w:t>
      </w:r>
      <w:r w:rsidR="007D77A4" w:rsidRPr="00E85554">
        <w:rPr>
          <w:rFonts w:ascii="Times New Roman" w:hAnsi="Times New Roman" w:cs="Times New Roman"/>
          <w:sz w:val="24"/>
          <w:szCs w:val="24"/>
          <w:lang w:val="en-US"/>
        </w:rPr>
        <w:t xml:space="preserve"> independent directors in Russia</w:t>
      </w:r>
      <w:r w:rsidR="00EC59F1" w:rsidRPr="00E85554">
        <w:rPr>
          <w:rFonts w:ascii="Times New Roman" w:hAnsi="Times New Roman" w:cs="Times New Roman"/>
          <w:sz w:val="24"/>
          <w:szCs w:val="24"/>
          <w:lang w:val="en-US"/>
        </w:rPr>
        <w:t xml:space="preserve"> </w:t>
      </w:r>
      <w:r w:rsidR="00EC59F1" w:rsidRPr="00E85554">
        <w:rPr>
          <w:rFonts w:ascii="Times New Roman" w:hAnsi="Times New Roman" w:cs="Times New Roman"/>
          <w:sz w:val="24"/>
          <w:szCs w:val="24"/>
          <w:lang w:val="en-US"/>
        </w:rPr>
        <w:fldChar w:fldCharType="begin"/>
      </w:r>
      <w:r w:rsidR="009F0F53" w:rsidRPr="00E85554">
        <w:rPr>
          <w:rFonts w:ascii="Times New Roman" w:hAnsi="Times New Roman" w:cs="Times New Roman"/>
          <w:sz w:val="24"/>
          <w:szCs w:val="24"/>
          <w:lang w:val="en-US"/>
        </w:rPr>
        <w:instrText xml:space="preserve"> ADDIN EN.CITE &lt;EndNote&gt;&lt;Cite&gt;&lt;Author&gt;Iwasaki&lt;/Author&gt;&lt;Year&gt;2008&lt;/Year&gt;&lt;RecNum&gt;62&lt;/RecNum&gt;&lt;DisplayText&gt;(Iwasaki, 2008)&lt;/DisplayText&gt;&lt;record&gt;&lt;rec-number&gt;62&lt;/rec-number&gt;&lt;foreign-keys&gt;&lt;key app="EN" db-id="xdsfzvadmzzxdzereeq5xdf7eaxsdwfdfave" timestamp="1389485150"&gt;62&lt;/key&gt;&lt;/foreign-keys&gt;&lt;ref-type name="Journal Article"&gt;17&lt;/ref-type&gt;&lt;contributors&gt;&lt;authors&gt;&lt;author&gt;Iwasaki, Ichiro&lt;/author&gt;&lt;/authors&gt;&lt;/contributors&gt;&lt;titles&gt;&lt;title&gt;The determinants of board composition in a transforming economy: Evidence from Russia&lt;/title&gt;&lt;secondary-title&gt;Journal of corporate finance&lt;/secondary-title&gt;&lt;/titles&gt;&lt;periodical&gt;&lt;full-title&gt;Journal of Corporate Finance&lt;/full-title&gt;&lt;/periodical&gt;&lt;pages&gt;532-549&lt;/pages&gt;&lt;volume&gt;14&lt;/volume&gt;&lt;number&gt;5&lt;/number&gt;&lt;dates&gt;&lt;year&gt;2008&lt;/year&gt;&lt;/dates&gt;&lt;isbn&gt;0929-1199&lt;/isbn&gt;&lt;urls&gt;&lt;/urls&gt;&lt;/record&gt;&lt;/Cite&gt;&lt;/EndNote&gt;</w:instrText>
      </w:r>
      <w:r w:rsidR="00EC59F1" w:rsidRPr="00E85554">
        <w:rPr>
          <w:rFonts w:ascii="Times New Roman" w:hAnsi="Times New Roman" w:cs="Times New Roman"/>
          <w:sz w:val="24"/>
          <w:szCs w:val="24"/>
          <w:lang w:val="en-US"/>
        </w:rPr>
        <w:fldChar w:fldCharType="separate"/>
      </w:r>
      <w:r w:rsidR="009F0F53" w:rsidRPr="00E85554">
        <w:rPr>
          <w:rFonts w:ascii="Times New Roman" w:hAnsi="Times New Roman" w:cs="Times New Roman"/>
          <w:noProof/>
          <w:sz w:val="24"/>
          <w:szCs w:val="24"/>
          <w:lang w:val="en-US"/>
        </w:rPr>
        <w:t>(</w:t>
      </w:r>
      <w:hyperlink w:anchor="_ENREF_60" w:tooltip="Iwasaki, 2008 #62" w:history="1">
        <w:r w:rsidR="00266C78" w:rsidRPr="00E85554">
          <w:rPr>
            <w:rFonts w:ascii="Times New Roman" w:hAnsi="Times New Roman" w:cs="Times New Roman"/>
            <w:noProof/>
            <w:sz w:val="24"/>
            <w:szCs w:val="24"/>
            <w:lang w:val="en-US"/>
          </w:rPr>
          <w:t>Iwasaki, 2008</w:t>
        </w:r>
      </w:hyperlink>
      <w:r w:rsidR="009F0F53" w:rsidRPr="00E85554">
        <w:rPr>
          <w:rFonts w:ascii="Times New Roman" w:hAnsi="Times New Roman" w:cs="Times New Roman"/>
          <w:noProof/>
          <w:sz w:val="24"/>
          <w:szCs w:val="24"/>
          <w:lang w:val="en-US"/>
        </w:rPr>
        <w:t>)</w:t>
      </w:r>
      <w:r w:rsidR="00EC59F1" w:rsidRPr="00E85554">
        <w:rPr>
          <w:rFonts w:ascii="Times New Roman" w:hAnsi="Times New Roman" w:cs="Times New Roman"/>
          <w:sz w:val="24"/>
          <w:szCs w:val="24"/>
          <w:lang w:val="en-US"/>
        </w:rPr>
        <w:fldChar w:fldCharType="end"/>
      </w:r>
      <w:r w:rsidR="00492F20" w:rsidRPr="00E85554">
        <w:rPr>
          <w:rFonts w:ascii="Times New Roman" w:hAnsi="Times New Roman" w:cs="Times New Roman"/>
          <w:sz w:val="24"/>
          <w:szCs w:val="24"/>
          <w:lang w:val="en-US"/>
        </w:rPr>
        <w:t>, where firm boards were largely dominated by inside directors affi</w:t>
      </w:r>
      <w:r w:rsidR="007C67C0" w:rsidRPr="00E85554">
        <w:rPr>
          <w:rFonts w:ascii="Times New Roman" w:hAnsi="Times New Roman" w:cs="Times New Roman"/>
          <w:sz w:val="24"/>
          <w:szCs w:val="24"/>
          <w:lang w:val="en-US"/>
        </w:rPr>
        <w:t>liated with the two types of owners: wealthy private individuals or the state</w:t>
      </w:r>
      <w:r w:rsidR="00EC59F1" w:rsidRPr="00E85554">
        <w:rPr>
          <w:rFonts w:ascii="Times New Roman" w:hAnsi="Times New Roman" w:cs="Times New Roman"/>
          <w:sz w:val="24"/>
          <w:szCs w:val="24"/>
          <w:lang w:val="en-US"/>
        </w:rPr>
        <w:t>. However, by 2015, independent directors on average accounted for 30% of board</w:t>
      </w:r>
      <w:r w:rsidR="008B01DD">
        <w:rPr>
          <w:rFonts w:ascii="Times New Roman" w:hAnsi="Times New Roman" w:cs="Times New Roman"/>
          <w:sz w:val="24"/>
          <w:szCs w:val="24"/>
          <w:lang w:val="en-US"/>
        </w:rPr>
        <w:t>s</w:t>
      </w:r>
      <w:r w:rsidR="00EC59F1" w:rsidRPr="00E85554">
        <w:rPr>
          <w:rFonts w:ascii="Times New Roman" w:hAnsi="Times New Roman" w:cs="Times New Roman"/>
          <w:sz w:val="24"/>
          <w:szCs w:val="24"/>
          <w:lang w:val="en-US"/>
        </w:rPr>
        <w:t xml:space="preserve"> </w:t>
      </w:r>
      <w:r w:rsidR="00EC59F1" w:rsidRPr="00E85554">
        <w:rPr>
          <w:rFonts w:ascii="Times New Roman" w:hAnsi="Times New Roman" w:cs="Times New Roman"/>
          <w:sz w:val="24"/>
          <w:szCs w:val="24"/>
          <w:lang w:val="en-US"/>
        </w:rPr>
        <w:fldChar w:fldCharType="begin"/>
      </w:r>
      <w:r w:rsidR="009F0F53" w:rsidRPr="00E85554">
        <w:rPr>
          <w:rFonts w:ascii="Times New Roman" w:hAnsi="Times New Roman" w:cs="Times New Roman"/>
          <w:sz w:val="24"/>
          <w:szCs w:val="24"/>
          <w:lang w:val="en-US"/>
        </w:rPr>
        <w:instrText xml:space="preserve"> ADDIN EN.CITE &lt;EndNote&gt;&lt;Cite&gt;&lt;Author&gt;RID&lt;/Author&gt;&lt;Year&gt;2015&lt;/Year&gt;&lt;RecNum&gt;637&lt;/RecNum&gt;&lt;DisplayText&gt;(RID, 2015)&lt;/DisplayText&gt;&lt;record&gt;&lt;rec-number&gt;637&lt;/rec-number&gt;&lt;foreign-keys&gt;&lt;key app="EN" db-id="xdsfzvadmzzxdzereeq5xdf7eaxsdwfdfave" timestamp="1477055039"&gt;637&lt;/key&gt;&lt;/foreign-keys&gt;&lt;ref-type name="Report"&gt;27&lt;/ref-type&gt;&lt;contributors&gt;&lt;authors&gt;&lt;author&gt;RID&lt;/author&gt;&lt;/authors&gt;&lt;/contributors&gt;&lt;titles&gt;&lt;title&gt;&lt;style face="normal" font="default" charset="204" size="100%"&gt;Исследование&lt;/style&gt;&lt;style face="normal" font="default" size="100%"&gt; &lt;/style&gt;&lt;style face="normal" font="default" charset="204" size="100%"&gt;практики корпоративного управления в &lt;/style&gt;&lt;style face="normal" font="default" size="100%"&gt;P&lt;/style&gt;&lt;style face="normal" font="default" charset="204" size="100%"&gt;оссии:&lt;/style&gt;&lt;style face="normal" font="default" size="100%"&gt; C&lt;/style&gt;&lt;style face="normal" font="default" charset="204" size="100%"&gt;равнительный анализ по итогам 2004 &lt;/style&gt;&lt;style face="normal" font="default" size="100%"&gt;– 2014 &lt;/style&gt;&lt;style face="normal" font="default" charset="204" size="100%"&gt;гг&lt;/style&gt;&lt;style face="normal" font="default" size="100%"&gt; (In Russian)&lt;/style&gt;&lt;/title&gt;&lt;/titles&gt;&lt;dates&gt;&lt;year&gt;2015&lt;/year&gt;&lt;/dates&gt;&lt;publisher&gt;Russian Institute of Directors&lt;/publisher&gt;&lt;urls&gt;&lt;/urls&gt;&lt;/record&gt;&lt;/Cite&gt;&lt;/EndNote&gt;</w:instrText>
      </w:r>
      <w:r w:rsidR="00EC59F1" w:rsidRPr="00E85554">
        <w:rPr>
          <w:rFonts w:ascii="Times New Roman" w:hAnsi="Times New Roman" w:cs="Times New Roman"/>
          <w:sz w:val="24"/>
          <w:szCs w:val="24"/>
          <w:lang w:val="en-US"/>
        </w:rPr>
        <w:fldChar w:fldCharType="separate"/>
      </w:r>
      <w:r w:rsidR="009F0F53" w:rsidRPr="00E85554">
        <w:rPr>
          <w:rFonts w:ascii="Times New Roman" w:hAnsi="Times New Roman" w:cs="Times New Roman"/>
          <w:noProof/>
          <w:sz w:val="24"/>
          <w:szCs w:val="24"/>
          <w:lang w:val="en-US"/>
        </w:rPr>
        <w:t>(</w:t>
      </w:r>
      <w:hyperlink w:anchor="_ENREF_96" w:tooltip="RID, 2015 #637" w:history="1">
        <w:r w:rsidR="00266C78" w:rsidRPr="00E85554">
          <w:rPr>
            <w:rFonts w:ascii="Times New Roman" w:hAnsi="Times New Roman" w:cs="Times New Roman"/>
            <w:noProof/>
            <w:sz w:val="24"/>
            <w:szCs w:val="24"/>
            <w:lang w:val="en-US"/>
          </w:rPr>
          <w:t>RID, 2015</w:t>
        </w:r>
      </w:hyperlink>
      <w:r w:rsidR="009F0F53" w:rsidRPr="00E85554">
        <w:rPr>
          <w:rFonts w:ascii="Times New Roman" w:hAnsi="Times New Roman" w:cs="Times New Roman"/>
          <w:noProof/>
          <w:sz w:val="24"/>
          <w:szCs w:val="24"/>
          <w:lang w:val="en-US"/>
        </w:rPr>
        <w:t>)</w:t>
      </w:r>
      <w:r w:rsidR="00EC59F1" w:rsidRPr="00E85554">
        <w:rPr>
          <w:rFonts w:ascii="Times New Roman" w:hAnsi="Times New Roman" w:cs="Times New Roman"/>
          <w:sz w:val="24"/>
          <w:szCs w:val="24"/>
          <w:lang w:val="en-US"/>
        </w:rPr>
        <w:fldChar w:fldCharType="end"/>
      </w:r>
      <w:r w:rsidR="00EC59F1" w:rsidRPr="00E85554">
        <w:rPr>
          <w:rFonts w:ascii="Times New Roman" w:hAnsi="Times New Roman" w:cs="Times New Roman"/>
          <w:sz w:val="24"/>
          <w:szCs w:val="24"/>
          <w:lang w:val="en-US"/>
        </w:rPr>
        <w:t xml:space="preserve">, a threshold in line with the recommendations of the 2014 Corporate Governance Code. </w:t>
      </w:r>
      <w:r w:rsidR="007D77A4" w:rsidRPr="00E85554">
        <w:rPr>
          <w:rFonts w:ascii="Times New Roman" w:hAnsi="Times New Roman" w:cs="Times New Roman"/>
          <w:sz w:val="24"/>
          <w:szCs w:val="24"/>
          <w:lang w:val="en-US"/>
        </w:rPr>
        <w:t xml:space="preserve">Yet, </w:t>
      </w:r>
      <w:r w:rsidR="00C732E6" w:rsidRPr="00E85554">
        <w:rPr>
          <w:rFonts w:ascii="Times New Roman" w:hAnsi="Times New Roman" w:cs="Times New Roman"/>
          <w:sz w:val="24"/>
          <w:szCs w:val="24"/>
          <w:lang w:val="en-US"/>
        </w:rPr>
        <w:t xml:space="preserve">scarce </w:t>
      </w:r>
      <w:r w:rsidR="007D77A4" w:rsidRPr="00E85554">
        <w:rPr>
          <w:rFonts w:ascii="Times New Roman" w:hAnsi="Times New Roman" w:cs="Times New Roman"/>
          <w:sz w:val="24"/>
          <w:szCs w:val="24"/>
          <w:lang w:val="en-US"/>
        </w:rPr>
        <w:t xml:space="preserve">research exploring </w:t>
      </w:r>
      <w:r w:rsidR="004D01E4" w:rsidRPr="00E85554">
        <w:rPr>
          <w:rFonts w:ascii="Times New Roman" w:hAnsi="Times New Roman" w:cs="Times New Roman"/>
          <w:sz w:val="24"/>
          <w:szCs w:val="24"/>
          <w:lang w:val="en-US"/>
        </w:rPr>
        <w:t>the effect</w:t>
      </w:r>
      <w:r w:rsidR="007D77A4" w:rsidRPr="00E85554">
        <w:rPr>
          <w:rFonts w:ascii="Times New Roman" w:hAnsi="Times New Roman" w:cs="Times New Roman"/>
          <w:sz w:val="24"/>
          <w:szCs w:val="24"/>
          <w:lang w:val="en-US"/>
        </w:rPr>
        <w:t xml:space="preserve">iveness </w:t>
      </w:r>
      <w:r w:rsidR="004D01E4" w:rsidRPr="00E85554">
        <w:rPr>
          <w:rFonts w:ascii="Times New Roman" w:hAnsi="Times New Roman" w:cs="Times New Roman"/>
          <w:sz w:val="24"/>
          <w:szCs w:val="24"/>
          <w:lang w:val="en-US"/>
        </w:rPr>
        <w:t xml:space="preserve">of independent directors in Russia </w:t>
      </w:r>
      <w:r w:rsidR="00DA06F5" w:rsidRPr="00E85554">
        <w:rPr>
          <w:rFonts w:ascii="Times New Roman" w:hAnsi="Times New Roman" w:cs="Times New Roman"/>
          <w:sz w:val="24"/>
          <w:szCs w:val="24"/>
          <w:lang w:val="en-US"/>
        </w:rPr>
        <w:t>i</w:t>
      </w:r>
      <w:r w:rsidR="00582DAD" w:rsidRPr="00E85554">
        <w:rPr>
          <w:rFonts w:ascii="Times New Roman" w:hAnsi="Times New Roman" w:cs="Times New Roman"/>
          <w:sz w:val="24"/>
          <w:szCs w:val="24"/>
          <w:lang w:val="en-US"/>
        </w:rPr>
        <w:t>s</w:t>
      </w:r>
      <w:r w:rsidR="00DA06F5" w:rsidRPr="00E85554">
        <w:rPr>
          <w:rFonts w:ascii="Times New Roman" w:hAnsi="Times New Roman" w:cs="Times New Roman"/>
          <w:sz w:val="24"/>
          <w:szCs w:val="24"/>
          <w:lang w:val="en-US"/>
        </w:rPr>
        <w:t xml:space="preserve"> </w:t>
      </w:r>
      <w:r w:rsidR="004D01E4" w:rsidRPr="00E85554">
        <w:rPr>
          <w:rFonts w:ascii="Times New Roman" w:hAnsi="Times New Roman" w:cs="Times New Roman"/>
          <w:sz w:val="24"/>
          <w:szCs w:val="24"/>
          <w:lang w:val="en-US"/>
        </w:rPr>
        <w:t>inconclusive</w:t>
      </w:r>
      <w:r w:rsidR="00DA06F5" w:rsidRPr="00E85554">
        <w:rPr>
          <w:rFonts w:ascii="Times New Roman" w:hAnsi="Times New Roman" w:cs="Times New Roman"/>
          <w:sz w:val="24"/>
          <w:szCs w:val="24"/>
          <w:lang w:val="en-US"/>
        </w:rPr>
        <w:t xml:space="preserve">, </w:t>
      </w:r>
      <w:r w:rsidR="00C732E6" w:rsidRPr="00E85554">
        <w:rPr>
          <w:rFonts w:ascii="Times New Roman" w:hAnsi="Times New Roman" w:cs="Times New Roman"/>
          <w:sz w:val="24"/>
          <w:szCs w:val="24"/>
          <w:lang w:val="en-US"/>
        </w:rPr>
        <w:t>with the majority of studies find</w:t>
      </w:r>
      <w:r w:rsidR="001B715C" w:rsidRPr="00E85554">
        <w:rPr>
          <w:rFonts w:ascii="Times New Roman" w:hAnsi="Times New Roman" w:cs="Times New Roman"/>
          <w:sz w:val="24"/>
          <w:szCs w:val="24"/>
          <w:lang w:val="en-US"/>
        </w:rPr>
        <w:t>ing</w:t>
      </w:r>
      <w:r w:rsidR="00C732E6" w:rsidRPr="00E85554">
        <w:rPr>
          <w:rFonts w:ascii="Times New Roman" w:hAnsi="Times New Roman" w:cs="Times New Roman"/>
          <w:sz w:val="24"/>
          <w:szCs w:val="24"/>
          <w:lang w:val="en-US"/>
        </w:rPr>
        <w:t xml:space="preserve"> a positive effect of </w:t>
      </w:r>
      <w:r w:rsidR="002411E0" w:rsidRPr="00E85554">
        <w:rPr>
          <w:rFonts w:ascii="Times New Roman" w:hAnsi="Times New Roman" w:cs="Times New Roman"/>
          <w:sz w:val="24"/>
          <w:szCs w:val="24"/>
          <w:lang w:val="en-US"/>
        </w:rPr>
        <w:t>independent</w:t>
      </w:r>
      <w:r w:rsidR="00C732E6" w:rsidRPr="00E85554">
        <w:rPr>
          <w:rFonts w:ascii="Times New Roman" w:hAnsi="Times New Roman" w:cs="Times New Roman"/>
          <w:sz w:val="24"/>
          <w:szCs w:val="24"/>
          <w:lang w:val="en-US"/>
        </w:rPr>
        <w:t xml:space="preserve"> directors on firm performance, while a minority</w:t>
      </w:r>
      <w:r w:rsidR="0085396C" w:rsidRPr="00E85554">
        <w:rPr>
          <w:rFonts w:ascii="Times New Roman" w:hAnsi="Times New Roman" w:cs="Times New Roman"/>
          <w:sz w:val="24"/>
          <w:szCs w:val="24"/>
          <w:lang w:val="en-US"/>
        </w:rPr>
        <w:t xml:space="preserve"> argu</w:t>
      </w:r>
      <w:r w:rsidR="00C732E6" w:rsidRPr="00E85554">
        <w:rPr>
          <w:rFonts w:ascii="Times New Roman" w:hAnsi="Times New Roman" w:cs="Times New Roman"/>
          <w:sz w:val="24"/>
          <w:szCs w:val="24"/>
          <w:lang w:val="en-US"/>
        </w:rPr>
        <w:t>ing</w:t>
      </w:r>
      <w:r w:rsidR="0085396C" w:rsidRPr="00E85554">
        <w:rPr>
          <w:rFonts w:ascii="Times New Roman" w:hAnsi="Times New Roman" w:cs="Times New Roman"/>
          <w:sz w:val="24"/>
          <w:szCs w:val="24"/>
          <w:lang w:val="en-US"/>
        </w:rPr>
        <w:t xml:space="preserve"> that </w:t>
      </w:r>
      <w:r w:rsidR="00DA06F5" w:rsidRPr="00E85554">
        <w:rPr>
          <w:rFonts w:ascii="Times New Roman" w:hAnsi="Times New Roman" w:cs="Times New Roman"/>
          <w:sz w:val="24"/>
          <w:szCs w:val="24"/>
          <w:lang w:val="en-US"/>
        </w:rPr>
        <w:t xml:space="preserve">independent directors </w:t>
      </w:r>
      <w:r w:rsidR="004D01E4" w:rsidRPr="00E85554">
        <w:rPr>
          <w:rFonts w:ascii="Times New Roman" w:hAnsi="Times New Roman" w:cs="Times New Roman"/>
          <w:sz w:val="24"/>
          <w:szCs w:val="24"/>
          <w:lang w:val="en-US"/>
        </w:rPr>
        <w:t xml:space="preserve">do not seem to help improve corporate governance </w:t>
      </w:r>
      <w:r w:rsidR="00DA06F5" w:rsidRPr="00E85554">
        <w:rPr>
          <w:rFonts w:ascii="Times New Roman" w:hAnsi="Times New Roman" w:cs="Times New Roman"/>
          <w:sz w:val="24"/>
          <w:szCs w:val="24"/>
          <w:lang w:val="en-US"/>
        </w:rPr>
        <w:t xml:space="preserve">or </w:t>
      </w:r>
      <w:r w:rsidR="004D01E4" w:rsidRPr="00E85554">
        <w:rPr>
          <w:rFonts w:ascii="Times New Roman" w:hAnsi="Times New Roman" w:cs="Times New Roman"/>
          <w:sz w:val="24"/>
          <w:szCs w:val="24"/>
          <w:lang w:val="en-US"/>
        </w:rPr>
        <w:t>mitigate the private benefits of control</w:t>
      </w:r>
      <w:r w:rsidR="00C732E6" w:rsidRPr="00E85554">
        <w:rPr>
          <w:rFonts w:ascii="Times New Roman" w:hAnsi="Times New Roman" w:cs="Times New Roman"/>
          <w:sz w:val="24"/>
          <w:szCs w:val="24"/>
          <w:lang w:val="en-US"/>
        </w:rPr>
        <w:t xml:space="preserve"> </w:t>
      </w:r>
      <w:r w:rsidR="00DA06F5" w:rsidRPr="00E85554">
        <w:rPr>
          <w:rFonts w:ascii="Times New Roman" w:hAnsi="Times New Roman" w:cs="Times New Roman"/>
          <w:sz w:val="24"/>
          <w:szCs w:val="24"/>
          <w:lang w:val="en-US"/>
        </w:rPr>
        <w:fldChar w:fldCharType="begin"/>
      </w:r>
      <w:r w:rsidR="00137D8D">
        <w:rPr>
          <w:rFonts w:ascii="Times New Roman" w:hAnsi="Times New Roman" w:cs="Times New Roman"/>
          <w:sz w:val="24"/>
          <w:szCs w:val="24"/>
          <w:lang w:val="en-US"/>
        </w:rPr>
        <w:instrText xml:space="preserve"> ADDIN EN.CITE &lt;EndNote&gt;&lt;Cite&gt;&lt;Author&gt;Muravyev&lt;/Author&gt;&lt;Year&gt;2014&lt;/Year&gt;&lt;RecNum&gt;790&lt;/RecNum&gt;&lt;DisplayText&gt;(Muravyev, 2017; Muravyev et al., 2014)&lt;/DisplayText&gt;&lt;record&gt;&lt;rec-number&gt;790&lt;/rec-number&gt;&lt;foreign-keys&gt;&lt;key app="EN" db-id="xdsfzvadmzzxdzereeq5xdf7eaxsdwfdfave" timestamp="1512601804"&gt;790&lt;/key&gt;&lt;/foreign-keys&gt;&lt;ref-type name="Journal Article"&gt;17&lt;/ref-type&gt;&lt;contributors&gt;&lt;authors&gt;&lt;author&gt;Muravyev, Alexander&lt;/author&gt;&lt;author&gt;Berezinets, Irina&lt;/author&gt;&lt;author&gt;Ilina, Yulia&lt;/author&gt;&lt;/authors&gt;&lt;/contributors&gt;&lt;titles&gt;&lt;title&gt;The structure of corporate boards and private benefits of control: evidence from the Russian stock exchange&lt;/title&gt;&lt;secondary-title&gt;International Review of Financial Analysis&lt;/secondary-title&gt;&lt;/titles&gt;&lt;periodical&gt;&lt;full-title&gt;International Review of Financial Analysis&lt;/full-title&gt;&lt;/periodical&gt;&lt;pages&gt;247-261&lt;/pages&gt;&lt;volume&gt;34&lt;/volume&gt;&lt;dates&gt;&lt;year&gt;2014&lt;/year&gt;&lt;/dates&gt;&lt;isbn&gt;1057-5219&lt;/isbn&gt;&lt;urls&gt;&lt;/urls&gt;&lt;/record&gt;&lt;/Cite&gt;&lt;Cite&gt;&lt;Author&gt;Muravyev&lt;/Author&gt;&lt;Year&gt;2017&lt;/Year&gt;&lt;RecNum&gt;843&lt;/RecNum&gt;&lt;record&gt;&lt;rec-number&gt;843&lt;/rec-number&gt;&lt;foreign-keys&gt;&lt;key app="EN" db-id="xdsfzvadmzzxdzereeq5xdf7eaxsdwfdfave" timestamp="1516279009"&gt;843&lt;/key&gt;&lt;/foreign-keys&gt;&lt;ref-type name="Journal Article"&gt;17&lt;/ref-type&gt;&lt;contributors&gt;&lt;authors&gt;&lt;author&gt;Muravyev, Alexander&lt;/author&gt;&lt;/authors&gt;&lt;/contributors&gt;&lt;titles&gt;&lt;title&gt;Boards of directors in Russian publicly traded companies in 1998–2014: Structure, dynamics and performance effects&lt;/title&gt;&lt;secondary-title&gt;Economic Systems&lt;/secondary-title&gt;&lt;/titles&gt;&lt;periodical&gt;&lt;full-title&gt;Economic Systems&lt;/full-title&gt;&lt;/periodical&gt;&lt;pages&gt;5-25&lt;/pages&gt;&lt;volume&gt;41&lt;/volume&gt;&lt;number&gt;1&lt;/number&gt;&lt;dates&gt;&lt;year&gt;2017&lt;/year&gt;&lt;/dates&gt;&lt;isbn&gt;0939-3625&lt;/isbn&gt;&lt;urls&gt;&lt;/urls&gt;&lt;/record&gt;&lt;/Cite&gt;&lt;/EndNote&gt;</w:instrText>
      </w:r>
      <w:r w:rsidR="00DA06F5" w:rsidRPr="00E85554">
        <w:rPr>
          <w:rFonts w:ascii="Times New Roman" w:hAnsi="Times New Roman" w:cs="Times New Roman"/>
          <w:sz w:val="24"/>
          <w:szCs w:val="24"/>
          <w:lang w:val="en-US"/>
        </w:rPr>
        <w:fldChar w:fldCharType="separate"/>
      </w:r>
      <w:r w:rsidR="00137D8D">
        <w:rPr>
          <w:rFonts w:ascii="Times New Roman" w:hAnsi="Times New Roman" w:cs="Times New Roman"/>
          <w:noProof/>
          <w:sz w:val="24"/>
          <w:szCs w:val="24"/>
          <w:lang w:val="en-US"/>
        </w:rPr>
        <w:t>(</w:t>
      </w:r>
      <w:hyperlink w:anchor="_ENREF_76" w:tooltip="Muravyev, 2017 #843" w:history="1">
        <w:r w:rsidR="00266C78">
          <w:rPr>
            <w:rFonts w:ascii="Times New Roman" w:hAnsi="Times New Roman" w:cs="Times New Roman"/>
            <w:noProof/>
            <w:sz w:val="24"/>
            <w:szCs w:val="24"/>
            <w:lang w:val="en-US"/>
          </w:rPr>
          <w:t>Muravyev, 2017</w:t>
        </w:r>
      </w:hyperlink>
      <w:r w:rsidR="00137D8D">
        <w:rPr>
          <w:rFonts w:ascii="Times New Roman" w:hAnsi="Times New Roman" w:cs="Times New Roman"/>
          <w:noProof/>
          <w:sz w:val="24"/>
          <w:szCs w:val="24"/>
          <w:lang w:val="en-US"/>
        </w:rPr>
        <w:t xml:space="preserve">; </w:t>
      </w:r>
      <w:hyperlink w:anchor="_ENREF_77" w:tooltip="Muravyev, 2014 #842" w:history="1">
        <w:r w:rsidR="00266C78">
          <w:rPr>
            <w:rFonts w:ascii="Times New Roman" w:hAnsi="Times New Roman" w:cs="Times New Roman"/>
            <w:noProof/>
            <w:sz w:val="24"/>
            <w:szCs w:val="24"/>
            <w:lang w:val="en-US"/>
          </w:rPr>
          <w:t>Muravyev et al., 2014</w:t>
        </w:r>
      </w:hyperlink>
      <w:r w:rsidR="00137D8D">
        <w:rPr>
          <w:rFonts w:ascii="Times New Roman" w:hAnsi="Times New Roman" w:cs="Times New Roman"/>
          <w:noProof/>
          <w:sz w:val="24"/>
          <w:szCs w:val="24"/>
          <w:lang w:val="en-US"/>
        </w:rPr>
        <w:t>)</w:t>
      </w:r>
      <w:r w:rsidR="00DA06F5" w:rsidRPr="00E85554">
        <w:rPr>
          <w:rFonts w:ascii="Times New Roman" w:hAnsi="Times New Roman" w:cs="Times New Roman"/>
          <w:sz w:val="24"/>
          <w:szCs w:val="24"/>
          <w:lang w:val="en-US"/>
        </w:rPr>
        <w:fldChar w:fldCharType="end"/>
      </w:r>
      <w:r w:rsidR="00DA06F5" w:rsidRPr="00E85554">
        <w:rPr>
          <w:rFonts w:ascii="Times New Roman" w:hAnsi="Times New Roman" w:cs="Times New Roman"/>
          <w:sz w:val="24"/>
          <w:szCs w:val="24"/>
          <w:lang w:val="en-US"/>
        </w:rPr>
        <w:t>.</w:t>
      </w:r>
      <w:r w:rsidR="007C67C0" w:rsidRPr="00E85554">
        <w:rPr>
          <w:rFonts w:ascii="Times New Roman" w:hAnsi="Times New Roman" w:cs="Times New Roman"/>
          <w:sz w:val="24"/>
          <w:szCs w:val="24"/>
          <w:lang w:val="en-US"/>
        </w:rPr>
        <w:t xml:space="preserve"> </w:t>
      </w:r>
      <w:r w:rsidR="00B379CE" w:rsidRPr="00E85554">
        <w:rPr>
          <w:rFonts w:ascii="Times New Roman" w:hAnsi="Times New Roman" w:cs="Times New Roman"/>
          <w:sz w:val="24"/>
          <w:szCs w:val="24"/>
          <w:lang w:val="en-US"/>
        </w:rPr>
        <w:t xml:space="preserve">Finally, </w:t>
      </w:r>
      <w:r w:rsidR="00B20F2C" w:rsidRPr="00E85554">
        <w:rPr>
          <w:rFonts w:ascii="Times New Roman" w:hAnsi="Times New Roman" w:cs="Times New Roman"/>
          <w:sz w:val="24"/>
          <w:szCs w:val="24"/>
          <w:lang w:val="en-US"/>
        </w:rPr>
        <w:t>t</w:t>
      </w:r>
      <w:r w:rsidR="00C26512" w:rsidRPr="00E85554">
        <w:rPr>
          <w:rFonts w:ascii="Times New Roman" w:hAnsi="Times New Roman" w:cs="Times New Roman"/>
          <w:sz w:val="24"/>
          <w:szCs w:val="24"/>
          <w:lang w:val="en-US"/>
        </w:rPr>
        <w:t xml:space="preserve">he </w:t>
      </w:r>
      <w:r w:rsidR="007D77A4" w:rsidRPr="00E85554">
        <w:rPr>
          <w:rFonts w:ascii="Times New Roman" w:hAnsi="Times New Roman" w:cs="Times New Roman"/>
          <w:sz w:val="24"/>
          <w:szCs w:val="24"/>
          <w:lang w:val="en-US"/>
        </w:rPr>
        <w:t xml:space="preserve">two </w:t>
      </w:r>
      <w:r w:rsidR="00C26512" w:rsidRPr="00E85554">
        <w:rPr>
          <w:rFonts w:ascii="Times New Roman" w:hAnsi="Times New Roman" w:cs="Times New Roman"/>
          <w:sz w:val="24"/>
          <w:szCs w:val="24"/>
          <w:lang w:val="en-US"/>
        </w:rPr>
        <w:t>distinctive blockholders</w:t>
      </w:r>
      <w:r w:rsidR="00CB2215" w:rsidRPr="00E85554">
        <w:rPr>
          <w:rFonts w:ascii="Times New Roman" w:hAnsi="Times New Roman" w:cs="Times New Roman"/>
          <w:sz w:val="24"/>
          <w:szCs w:val="24"/>
          <w:lang w:val="en-US"/>
        </w:rPr>
        <w:t xml:space="preserve"> </w:t>
      </w:r>
      <w:r w:rsidR="00B20F2C" w:rsidRPr="00E85554">
        <w:rPr>
          <w:rFonts w:ascii="Times New Roman" w:hAnsi="Times New Roman" w:cs="Times New Roman"/>
          <w:sz w:val="24"/>
          <w:szCs w:val="24"/>
          <w:lang w:val="en-US"/>
        </w:rPr>
        <w:t>in</w:t>
      </w:r>
      <w:r w:rsidR="00CB2215" w:rsidRPr="00E85554">
        <w:rPr>
          <w:rFonts w:ascii="Times New Roman" w:hAnsi="Times New Roman" w:cs="Times New Roman"/>
          <w:sz w:val="24"/>
          <w:szCs w:val="24"/>
          <w:lang w:val="en-US"/>
        </w:rPr>
        <w:t xml:space="preserve"> Russia </w:t>
      </w:r>
      <w:r w:rsidR="007D77A4" w:rsidRPr="00E85554">
        <w:rPr>
          <w:rFonts w:ascii="Times New Roman" w:hAnsi="Times New Roman" w:cs="Times New Roman"/>
          <w:sz w:val="24"/>
          <w:szCs w:val="24"/>
          <w:lang w:val="en-US"/>
        </w:rPr>
        <w:t xml:space="preserve">(oligarchs and the state) </w:t>
      </w:r>
      <w:r w:rsidR="00CB2215" w:rsidRPr="00E85554">
        <w:rPr>
          <w:rFonts w:ascii="Times New Roman" w:hAnsi="Times New Roman" w:cs="Times New Roman"/>
          <w:sz w:val="24"/>
          <w:szCs w:val="24"/>
          <w:lang w:val="en-US"/>
        </w:rPr>
        <w:t xml:space="preserve">are quite different from institutional blockholders </w:t>
      </w:r>
      <w:r w:rsidR="00582DAD" w:rsidRPr="00E85554">
        <w:rPr>
          <w:rFonts w:ascii="Times New Roman" w:hAnsi="Times New Roman" w:cs="Times New Roman"/>
          <w:sz w:val="24"/>
          <w:szCs w:val="24"/>
          <w:lang w:val="en-US"/>
        </w:rPr>
        <w:t>in</w:t>
      </w:r>
      <w:r w:rsidR="00C26512" w:rsidRPr="00E85554">
        <w:rPr>
          <w:rFonts w:ascii="Times New Roman" w:hAnsi="Times New Roman" w:cs="Times New Roman"/>
          <w:sz w:val="24"/>
          <w:szCs w:val="24"/>
          <w:lang w:val="en-US"/>
        </w:rPr>
        <w:t xml:space="preserve"> </w:t>
      </w:r>
      <w:r w:rsidR="0053119F" w:rsidRPr="00E85554">
        <w:rPr>
          <w:rFonts w:ascii="Times New Roman" w:hAnsi="Times New Roman" w:cs="Times New Roman"/>
          <w:sz w:val="24"/>
          <w:szCs w:val="24"/>
          <w:lang w:val="en-US"/>
        </w:rPr>
        <w:t xml:space="preserve">developed countries </w:t>
      </w:r>
      <w:r w:rsidR="00582DAD" w:rsidRPr="00E85554">
        <w:rPr>
          <w:rFonts w:ascii="Times New Roman" w:hAnsi="Times New Roman" w:cs="Times New Roman"/>
          <w:sz w:val="24"/>
          <w:szCs w:val="24"/>
          <w:lang w:val="en-US"/>
        </w:rPr>
        <w:t>as</w:t>
      </w:r>
      <w:r w:rsidR="00CB2215" w:rsidRPr="00E85554">
        <w:rPr>
          <w:rFonts w:ascii="Times New Roman" w:hAnsi="Times New Roman" w:cs="Times New Roman"/>
          <w:sz w:val="24"/>
          <w:szCs w:val="24"/>
          <w:lang w:val="en-US"/>
        </w:rPr>
        <w:t xml:space="preserve"> they have exhibited greater control over the firm assets and boards</w:t>
      </w:r>
      <w:r w:rsidR="00137D8D">
        <w:rPr>
          <w:rFonts w:ascii="Times New Roman" w:hAnsi="Times New Roman" w:cs="Times New Roman"/>
          <w:sz w:val="24"/>
          <w:szCs w:val="24"/>
          <w:lang w:val="en-US"/>
        </w:rPr>
        <w:t xml:space="preserve"> </w:t>
      </w:r>
      <w:r w:rsidR="00137D8D">
        <w:rPr>
          <w:rFonts w:ascii="Times New Roman" w:hAnsi="Times New Roman" w:cs="Times New Roman"/>
          <w:sz w:val="24"/>
          <w:szCs w:val="24"/>
          <w:lang w:val="en-US"/>
        </w:rPr>
        <w:fldChar w:fldCharType="begin"/>
      </w:r>
      <w:r w:rsidR="00137D8D">
        <w:rPr>
          <w:rFonts w:ascii="Times New Roman" w:hAnsi="Times New Roman" w:cs="Times New Roman"/>
          <w:sz w:val="24"/>
          <w:szCs w:val="24"/>
          <w:lang w:val="en-US"/>
        </w:rPr>
        <w:instrText xml:space="preserve"> ADDIN EN.CITE &lt;EndNote&gt;&lt;Cite&gt;&lt;Author&gt;Grosman&lt;/Author&gt;&lt;Year&gt;2016&lt;/Year&gt;&lt;RecNum&gt;385&lt;/RecNum&gt;&lt;DisplayText&gt;(Grosman et al., 2016)&lt;/DisplayText&gt;&lt;record&gt;&lt;rec-number&gt;385&lt;/rec-number&gt;&lt;foreign-keys&gt;&lt;key app="EN" db-id="xdsfzvadmzzxdzereeq5xdf7eaxsdwfdfave" timestamp="1454333041"&gt;385&lt;/key&gt;&lt;/foreign-keys&gt;&lt;ref-type name="Journal Article"&gt;17&lt;/ref-type&gt;&lt;contributors&gt;&lt;authors&gt;&lt;author&gt;Grosman, Anna&lt;/author&gt;&lt;author&gt;Okhmatovskiy, Ilya&lt;/author&gt;&lt;author&gt;Wright, Mike&lt;/author&gt;&lt;/authors&gt;&lt;/contributors&gt;&lt;titles&gt;&lt;title&gt;State Control and Corporate Governance in Transition Economies: 25 Years on from 1989&lt;/title&gt;&lt;secondary-title&gt;Corporate Governance: An International Review&lt;/secondary-title&gt;&lt;/titles&gt;&lt;periodical&gt;&lt;full-title&gt;Corporate Governance: An International Review&lt;/full-title&gt;&lt;/periodical&gt;&lt;pages&gt;200-221&lt;/pages&gt;&lt;volume&gt;24&lt;/volume&gt;&lt;number&gt;3&lt;/number&gt;&lt;dates&gt;&lt;year&gt;2016&lt;/year&gt;&lt;/dates&gt;&lt;isbn&gt;1467-8683&lt;/isbn&gt;&lt;urls&gt;&lt;/urls&gt;&lt;/record&gt;&lt;/Cite&gt;&lt;/EndNote&gt;</w:instrText>
      </w:r>
      <w:r w:rsidR="00137D8D">
        <w:rPr>
          <w:rFonts w:ascii="Times New Roman" w:hAnsi="Times New Roman" w:cs="Times New Roman"/>
          <w:sz w:val="24"/>
          <w:szCs w:val="24"/>
          <w:lang w:val="en-US"/>
        </w:rPr>
        <w:fldChar w:fldCharType="separate"/>
      </w:r>
      <w:r w:rsidR="00137D8D">
        <w:rPr>
          <w:rFonts w:ascii="Times New Roman" w:hAnsi="Times New Roman" w:cs="Times New Roman"/>
          <w:noProof/>
          <w:sz w:val="24"/>
          <w:szCs w:val="24"/>
          <w:lang w:val="en-US"/>
        </w:rPr>
        <w:t>(</w:t>
      </w:r>
      <w:hyperlink w:anchor="_ENREF_52" w:tooltip="Grosman, 2016 #385" w:history="1">
        <w:r w:rsidR="00266C78">
          <w:rPr>
            <w:rFonts w:ascii="Times New Roman" w:hAnsi="Times New Roman" w:cs="Times New Roman"/>
            <w:noProof/>
            <w:sz w:val="24"/>
            <w:szCs w:val="24"/>
            <w:lang w:val="en-US"/>
          </w:rPr>
          <w:t>Grosman et al., 2016</w:t>
        </w:r>
      </w:hyperlink>
      <w:r w:rsidR="00137D8D">
        <w:rPr>
          <w:rFonts w:ascii="Times New Roman" w:hAnsi="Times New Roman" w:cs="Times New Roman"/>
          <w:noProof/>
          <w:sz w:val="24"/>
          <w:szCs w:val="24"/>
          <w:lang w:val="en-US"/>
        </w:rPr>
        <w:t>)</w:t>
      </w:r>
      <w:r w:rsidR="00137D8D">
        <w:rPr>
          <w:rFonts w:ascii="Times New Roman" w:hAnsi="Times New Roman" w:cs="Times New Roman"/>
          <w:sz w:val="24"/>
          <w:szCs w:val="24"/>
          <w:lang w:val="en-US"/>
        </w:rPr>
        <w:fldChar w:fldCharType="end"/>
      </w:r>
      <w:r w:rsidR="00C26512" w:rsidRPr="00E85554">
        <w:rPr>
          <w:rFonts w:ascii="Times New Roman" w:hAnsi="Times New Roman" w:cs="Times New Roman"/>
          <w:sz w:val="24"/>
          <w:szCs w:val="24"/>
          <w:lang w:val="en-US"/>
        </w:rPr>
        <w:t xml:space="preserve">. </w:t>
      </w:r>
      <w:r w:rsidR="00CC4323" w:rsidRPr="00E85554">
        <w:rPr>
          <w:rFonts w:ascii="Times New Roman" w:hAnsi="Times New Roman" w:cs="Times New Roman"/>
          <w:sz w:val="24"/>
          <w:szCs w:val="24"/>
          <w:lang w:val="en-US"/>
        </w:rPr>
        <w:t xml:space="preserve">Hence, the severity of </w:t>
      </w:r>
      <w:r w:rsidR="000A691C" w:rsidRPr="00882E96">
        <w:rPr>
          <w:rFonts w:ascii="Times New Roman" w:hAnsi="Times New Roman" w:cs="Times New Roman"/>
          <w:sz w:val="24"/>
          <w:szCs w:val="24"/>
          <w:lang w:val="en-US"/>
        </w:rPr>
        <w:t xml:space="preserve">systematic </w:t>
      </w:r>
      <w:r w:rsidR="00CC4323" w:rsidRPr="00E85554">
        <w:rPr>
          <w:rFonts w:ascii="Times New Roman" w:hAnsi="Times New Roman" w:cs="Times New Roman"/>
          <w:sz w:val="24"/>
          <w:szCs w:val="24"/>
          <w:lang w:val="en-US"/>
        </w:rPr>
        <w:t>blockholder appropriation</w:t>
      </w:r>
      <w:r w:rsidR="000A691C" w:rsidRPr="00E85554">
        <w:rPr>
          <w:rFonts w:ascii="Times New Roman" w:hAnsi="Times New Roman" w:cs="Times New Roman"/>
          <w:sz w:val="24"/>
          <w:szCs w:val="24"/>
          <w:lang w:val="en-US"/>
        </w:rPr>
        <w:t xml:space="preserve"> </w:t>
      </w:r>
      <w:r w:rsidR="000A691C" w:rsidRPr="00882E96">
        <w:rPr>
          <w:rFonts w:ascii="Times New Roman" w:hAnsi="Times New Roman" w:cs="Times New Roman"/>
          <w:sz w:val="24"/>
          <w:szCs w:val="24"/>
          <w:lang w:val="en-US"/>
        </w:rPr>
        <w:t xml:space="preserve">and stealing </w:t>
      </w:r>
      <w:r w:rsidR="000A691C" w:rsidRPr="00E85554">
        <w:rPr>
          <w:rFonts w:ascii="Times New Roman" w:hAnsi="Times New Roman" w:cs="Times New Roman"/>
          <w:sz w:val="24"/>
          <w:szCs w:val="24"/>
          <w:lang w:val="en-US"/>
        </w:rPr>
        <w:t>in Russia</w:t>
      </w:r>
      <w:r w:rsidR="00CC4323" w:rsidRPr="00E85554">
        <w:rPr>
          <w:rFonts w:ascii="Times New Roman" w:hAnsi="Times New Roman" w:cs="Times New Roman"/>
          <w:sz w:val="24"/>
          <w:szCs w:val="24"/>
          <w:lang w:val="en-US"/>
        </w:rPr>
        <w:t xml:space="preserve"> and the need for stronger boards to tilt the power balance away from blockholders make the Russian corporate sector an ideal context to examine </w:t>
      </w:r>
      <w:r w:rsidR="00C26512" w:rsidRPr="00E85554">
        <w:rPr>
          <w:rFonts w:ascii="Times New Roman" w:hAnsi="Times New Roman" w:cs="Times New Roman"/>
          <w:sz w:val="24"/>
          <w:szCs w:val="24"/>
          <w:lang w:val="en-US"/>
        </w:rPr>
        <w:t xml:space="preserve">how </w:t>
      </w:r>
      <w:r w:rsidR="00CC4323" w:rsidRPr="00E85554">
        <w:rPr>
          <w:rFonts w:ascii="Times New Roman" w:hAnsi="Times New Roman" w:cs="Times New Roman"/>
          <w:sz w:val="24"/>
          <w:szCs w:val="24"/>
          <w:lang w:val="en-US"/>
        </w:rPr>
        <w:t>the roles of independent directors</w:t>
      </w:r>
      <w:r w:rsidR="004A58D8" w:rsidRPr="00E85554">
        <w:rPr>
          <w:rFonts w:ascii="Times New Roman" w:hAnsi="Times New Roman" w:cs="Times New Roman"/>
          <w:sz w:val="24"/>
          <w:szCs w:val="24"/>
          <w:lang w:val="en-US"/>
        </w:rPr>
        <w:t xml:space="preserve"> </w:t>
      </w:r>
      <w:r w:rsidR="00C26512" w:rsidRPr="00E85554">
        <w:rPr>
          <w:rFonts w:ascii="Times New Roman" w:hAnsi="Times New Roman" w:cs="Times New Roman"/>
          <w:sz w:val="24"/>
          <w:szCs w:val="24"/>
          <w:lang w:val="en-US"/>
        </w:rPr>
        <w:t xml:space="preserve">get shaped by blockholders </w:t>
      </w:r>
      <w:r w:rsidR="007D77A4" w:rsidRPr="00E85554">
        <w:rPr>
          <w:rFonts w:ascii="Times New Roman" w:hAnsi="Times New Roman" w:cs="Times New Roman"/>
          <w:sz w:val="24"/>
          <w:szCs w:val="24"/>
          <w:lang w:val="en-US"/>
        </w:rPr>
        <w:t>and the exposure to foreign practices</w:t>
      </w:r>
      <w:r w:rsidR="00CC4323" w:rsidRPr="00E85554">
        <w:rPr>
          <w:rFonts w:ascii="Times New Roman" w:hAnsi="Times New Roman" w:cs="Times New Roman"/>
          <w:sz w:val="24"/>
          <w:szCs w:val="24"/>
          <w:lang w:val="en-US"/>
        </w:rPr>
        <w:t>.</w:t>
      </w:r>
    </w:p>
    <w:p w14:paraId="1E17D9C2" w14:textId="4D0838E8" w:rsidR="00D82C73" w:rsidRPr="00E85554" w:rsidRDefault="00D8681E" w:rsidP="007C67C0">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We</w:t>
      </w:r>
      <w:r w:rsidR="00D35A7D" w:rsidRPr="00E85554">
        <w:rPr>
          <w:rFonts w:ascii="Times New Roman" w:hAnsi="Times New Roman" w:cs="Times New Roman"/>
          <w:sz w:val="24"/>
          <w:szCs w:val="24"/>
          <w:lang w:val="en-US"/>
        </w:rPr>
        <w:t xml:space="preserve"> make the following contributions</w:t>
      </w:r>
      <w:r w:rsidR="00E64932" w:rsidRPr="00E85554">
        <w:rPr>
          <w:rFonts w:ascii="Times New Roman" w:hAnsi="Times New Roman" w:cs="Times New Roman"/>
          <w:sz w:val="24"/>
          <w:szCs w:val="24"/>
          <w:lang w:val="en-US"/>
        </w:rPr>
        <w:t xml:space="preserve"> to the</w:t>
      </w:r>
      <w:r w:rsidR="00B92ECA" w:rsidRPr="00E85554">
        <w:rPr>
          <w:rFonts w:ascii="Times New Roman" w:hAnsi="Times New Roman" w:cs="Times New Roman"/>
          <w:sz w:val="24"/>
          <w:szCs w:val="24"/>
          <w:lang w:val="en-US"/>
        </w:rPr>
        <w:t xml:space="preserve"> </w:t>
      </w:r>
      <w:r w:rsidR="00E64932" w:rsidRPr="00E85554">
        <w:rPr>
          <w:rFonts w:ascii="Times New Roman" w:hAnsi="Times New Roman" w:cs="Times New Roman"/>
          <w:sz w:val="24"/>
          <w:szCs w:val="24"/>
          <w:lang w:val="en-US"/>
        </w:rPr>
        <w:t>literature</w:t>
      </w:r>
      <w:r w:rsidR="00D35A7D" w:rsidRPr="00E85554">
        <w:rPr>
          <w:rFonts w:ascii="Times New Roman" w:hAnsi="Times New Roman" w:cs="Times New Roman"/>
          <w:sz w:val="24"/>
          <w:szCs w:val="24"/>
          <w:lang w:val="en-US"/>
        </w:rPr>
        <w:t xml:space="preserve">. </w:t>
      </w:r>
      <w:r w:rsidR="000B6461" w:rsidRPr="00E85554">
        <w:rPr>
          <w:rFonts w:ascii="Times New Roman" w:hAnsi="Times New Roman" w:cs="Times New Roman"/>
          <w:sz w:val="24"/>
          <w:szCs w:val="24"/>
          <w:lang w:val="en-US"/>
        </w:rPr>
        <w:t>First</w:t>
      </w:r>
      <w:r w:rsidR="00935224" w:rsidRPr="00E85554">
        <w:rPr>
          <w:rFonts w:ascii="Times New Roman" w:hAnsi="Times New Roman" w:cs="Times New Roman"/>
          <w:sz w:val="24"/>
          <w:szCs w:val="24"/>
          <w:lang w:val="en-US"/>
        </w:rPr>
        <w:t xml:space="preserve">, we </w:t>
      </w:r>
      <w:r w:rsidR="000B6461" w:rsidRPr="00E85554">
        <w:rPr>
          <w:rFonts w:ascii="Times New Roman" w:hAnsi="Times New Roman" w:cs="Times New Roman"/>
          <w:sz w:val="24"/>
          <w:szCs w:val="24"/>
          <w:lang w:val="en-US"/>
        </w:rPr>
        <w:t>extend the boundary conditions of</w:t>
      </w:r>
      <w:r w:rsidR="00935224" w:rsidRPr="00E85554">
        <w:rPr>
          <w:rFonts w:ascii="Times New Roman" w:hAnsi="Times New Roman" w:cs="Times New Roman"/>
          <w:sz w:val="24"/>
          <w:szCs w:val="24"/>
          <w:lang w:val="en-US"/>
        </w:rPr>
        <w:t xml:space="preserve"> multiple agency </w:t>
      </w:r>
      <w:r w:rsidR="007F6C89">
        <w:rPr>
          <w:rFonts w:ascii="Times New Roman" w:hAnsi="Times New Roman" w:cs="Times New Roman"/>
          <w:sz w:val="24"/>
          <w:szCs w:val="24"/>
          <w:lang w:val="en-US"/>
        </w:rPr>
        <w:t>perspective</w:t>
      </w:r>
      <w:r w:rsidR="00EC1493" w:rsidRPr="00E85554">
        <w:rPr>
          <w:rFonts w:ascii="Times New Roman" w:hAnsi="Times New Roman" w:cs="Times New Roman"/>
          <w:sz w:val="24"/>
          <w:szCs w:val="24"/>
          <w:lang w:val="en-US"/>
        </w:rPr>
        <w:t xml:space="preserve"> by </w:t>
      </w:r>
      <w:r w:rsidR="00935224" w:rsidRPr="00E85554">
        <w:rPr>
          <w:rFonts w:ascii="Times New Roman" w:hAnsi="Times New Roman" w:cs="Times New Roman"/>
          <w:sz w:val="24"/>
          <w:szCs w:val="24"/>
          <w:lang w:val="en-US"/>
        </w:rPr>
        <w:t>examin</w:t>
      </w:r>
      <w:r w:rsidR="00EC1493" w:rsidRPr="00E85554">
        <w:rPr>
          <w:rFonts w:ascii="Times New Roman" w:hAnsi="Times New Roman" w:cs="Times New Roman"/>
          <w:sz w:val="24"/>
          <w:szCs w:val="24"/>
          <w:lang w:val="en-US"/>
        </w:rPr>
        <w:t xml:space="preserve">ing </w:t>
      </w:r>
      <w:r w:rsidR="00442C4D" w:rsidRPr="00E85554">
        <w:rPr>
          <w:rFonts w:ascii="Times New Roman" w:hAnsi="Times New Roman" w:cs="Times New Roman"/>
          <w:sz w:val="24"/>
          <w:szCs w:val="24"/>
          <w:lang w:val="en-US"/>
        </w:rPr>
        <w:t xml:space="preserve">multiple </w:t>
      </w:r>
      <w:r w:rsidR="00B51EC7" w:rsidRPr="00E85554">
        <w:rPr>
          <w:rFonts w:ascii="Times New Roman" w:hAnsi="Times New Roman" w:cs="Times New Roman"/>
          <w:sz w:val="24"/>
          <w:szCs w:val="24"/>
          <w:lang w:val="en-US"/>
        </w:rPr>
        <w:t xml:space="preserve">demands on </w:t>
      </w:r>
      <w:r w:rsidR="0053119F" w:rsidRPr="00E85554">
        <w:rPr>
          <w:rFonts w:ascii="Times New Roman" w:hAnsi="Times New Roman" w:cs="Times New Roman"/>
          <w:sz w:val="24"/>
          <w:szCs w:val="24"/>
          <w:lang w:val="en-US"/>
        </w:rPr>
        <w:t>agents</w:t>
      </w:r>
      <w:r w:rsidR="00442C4D" w:rsidRPr="00E85554">
        <w:rPr>
          <w:rFonts w:ascii="Times New Roman" w:hAnsi="Times New Roman" w:cs="Times New Roman"/>
          <w:sz w:val="24"/>
          <w:szCs w:val="24"/>
          <w:lang w:val="en-US"/>
        </w:rPr>
        <w:t xml:space="preserve"> </w:t>
      </w:r>
      <w:r w:rsidR="003E5B05" w:rsidRPr="00E85554">
        <w:rPr>
          <w:rFonts w:ascii="Times New Roman" w:hAnsi="Times New Roman" w:cs="Times New Roman"/>
          <w:sz w:val="24"/>
          <w:szCs w:val="24"/>
          <w:lang w:val="en-US"/>
        </w:rPr>
        <w:fldChar w:fldCharType="begin"/>
      </w:r>
      <w:r w:rsidR="009F0F53" w:rsidRPr="00E85554">
        <w:rPr>
          <w:rFonts w:ascii="Times New Roman" w:hAnsi="Times New Roman" w:cs="Times New Roman"/>
          <w:sz w:val="24"/>
          <w:szCs w:val="24"/>
          <w:lang w:val="en-US"/>
        </w:rPr>
        <w:instrText xml:space="preserve"> ADDIN EN.CITE &lt;EndNote&gt;&lt;Cite&gt;&lt;Author&gt;Arthurs&lt;/Author&gt;&lt;Year&gt;2008&lt;/Year&gt;&lt;RecNum&gt;8&lt;/RecNum&gt;&lt;DisplayText&gt;(Arthurs et al., 2008; Bruton et al., 2010)&lt;/DisplayText&gt;&lt;record&gt;&lt;rec-number&gt;8&lt;/rec-number&gt;&lt;foreign-keys&gt;&lt;key app="EN" db-id="xdsfzvadmzzxdzereeq5xdf7eaxsdwfdfave" timestamp="1389310368"&gt;8&lt;/key&gt;&lt;/foreign-keys&gt;&lt;ref-type name="Journal Article"&gt;17&lt;/ref-type&gt;&lt;contributors&gt;&lt;authors&gt;&lt;author&gt;Arthurs, Jonathan D&lt;/author&gt;&lt;author&gt;Hoskisson, Robert E&lt;/author&gt;&lt;author&gt;Busenitz, Lowell W&lt;/author&gt;&lt;author&gt;Johnson, Richard A&lt;/author&gt;&lt;/authors&gt;&lt;/contributors&gt;&lt;titles&gt;&lt;title&gt;Managerial agents watching other agents: Multiple agency conflicts regarding underpricing in IPO firms&lt;/title&gt;&lt;secondary-title&gt;Academy of Management Journal&lt;/secondary-title&gt;&lt;/titles&gt;&lt;periodical&gt;&lt;full-title&gt;Academy of Management Journal&lt;/full-title&gt;&lt;/periodical&gt;&lt;pages&gt;277-294&lt;/pages&gt;&lt;volume&gt;51&lt;/volume&gt;&lt;number&gt;2&lt;/number&gt;&lt;dates&gt;&lt;year&gt;2008&lt;/year&gt;&lt;/dates&gt;&lt;isbn&gt;0001-4273&lt;/isbn&gt;&lt;urls&gt;&lt;/urls&gt;&lt;/record&gt;&lt;/Cite&gt;&lt;Cite&gt;&lt;Author&gt;Bruton&lt;/Author&gt;&lt;Year&gt;2010&lt;/Year&gt;&lt;RecNum&gt;642&lt;/RecNum&gt;&lt;record&gt;&lt;rec-number&gt;642&lt;/rec-number&gt;&lt;foreign-keys&gt;&lt;key app="EN" db-id="xdsfzvadmzzxdzereeq5xdf7eaxsdwfdfave" timestamp="1477841647"&gt;642&lt;/key&gt;&lt;/foreign-keys&gt;&lt;ref-type name="Journal Article"&gt;17&lt;/ref-type&gt;&lt;contributors&gt;&lt;authors&gt;&lt;author&gt;Bruton, Garry D&lt;/author&gt;&lt;author&gt;Filatotchev, Igor&lt;/author&gt;&lt;author&gt;Chahine, Salim&lt;/author&gt;&lt;author&gt;Wright, Mike&lt;/author&gt;&lt;/authors&gt;&lt;/contributors&gt;&lt;titles&gt;&lt;title&gt;Governance, ownership structure, and performance of IPO firms: The impact of different types of private equity investors and institutional environments&lt;/title&gt;&lt;secondary-title&gt;Strategic management journal&lt;/secondary-title&gt;&lt;/titles&gt;&lt;periodical&gt;&lt;full-title&gt;Strategic Management Journal&lt;/full-title&gt;&lt;/periodical&gt;&lt;pages&gt;491-509&lt;/pages&gt;&lt;volume&gt;31&lt;/volume&gt;&lt;number&gt;5&lt;/number&gt;&lt;dates&gt;&lt;year&gt;2010&lt;/year&gt;&lt;/dates&gt;&lt;isbn&gt;1097-0266&lt;/isbn&gt;&lt;urls&gt;&lt;/urls&gt;&lt;/record&gt;&lt;/Cite&gt;&lt;/EndNote&gt;</w:instrText>
      </w:r>
      <w:r w:rsidR="003E5B05" w:rsidRPr="00E85554">
        <w:rPr>
          <w:rFonts w:ascii="Times New Roman" w:hAnsi="Times New Roman" w:cs="Times New Roman"/>
          <w:sz w:val="24"/>
          <w:szCs w:val="24"/>
          <w:lang w:val="en-US"/>
        </w:rPr>
        <w:fldChar w:fldCharType="separate"/>
      </w:r>
      <w:r w:rsidR="009F0F53" w:rsidRPr="00E85554">
        <w:rPr>
          <w:rFonts w:ascii="Times New Roman" w:hAnsi="Times New Roman" w:cs="Times New Roman"/>
          <w:noProof/>
          <w:sz w:val="24"/>
          <w:szCs w:val="24"/>
          <w:lang w:val="en-US"/>
        </w:rPr>
        <w:t>(</w:t>
      </w:r>
      <w:hyperlink w:anchor="_ENREF_8" w:tooltip="Arthurs, 2008 #8" w:history="1">
        <w:r w:rsidR="00266C78" w:rsidRPr="00E85554">
          <w:rPr>
            <w:rFonts w:ascii="Times New Roman" w:hAnsi="Times New Roman" w:cs="Times New Roman"/>
            <w:noProof/>
            <w:sz w:val="24"/>
            <w:szCs w:val="24"/>
            <w:lang w:val="en-US"/>
          </w:rPr>
          <w:t>Arthurs et al., 2008</w:t>
        </w:r>
      </w:hyperlink>
      <w:r w:rsidR="009F0F53" w:rsidRPr="00E85554">
        <w:rPr>
          <w:rFonts w:ascii="Times New Roman" w:hAnsi="Times New Roman" w:cs="Times New Roman"/>
          <w:noProof/>
          <w:sz w:val="24"/>
          <w:szCs w:val="24"/>
          <w:lang w:val="en-US"/>
        </w:rPr>
        <w:t xml:space="preserve">; </w:t>
      </w:r>
      <w:hyperlink w:anchor="_ENREF_27" w:tooltip="Bruton, 2010 #642" w:history="1">
        <w:r w:rsidR="00266C78" w:rsidRPr="00E85554">
          <w:rPr>
            <w:rFonts w:ascii="Times New Roman" w:hAnsi="Times New Roman" w:cs="Times New Roman"/>
            <w:noProof/>
            <w:sz w:val="24"/>
            <w:szCs w:val="24"/>
            <w:lang w:val="en-US"/>
          </w:rPr>
          <w:t>Bruton et al., 2010</w:t>
        </w:r>
      </w:hyperlink>
      <w:r w:rsidR="009F0F53" w:rsidRPr="00E85554">
        <w:rPr>
          <w:rFonts w:ascii="Times New Roman" w:hAnsi="Times New Roman" w:cs="Times New Roman"/>
          <w:noProof/>
          <w:sz w:val="24"/>
          <w:szCs w:val="24"/>
          <w:lang w:val="en-US"/>
        </w:rPr>
        <w:t>)</w:t>
      </w:r>
      <w:r w:rsidR="003E5B05" w:rsidRPr="00E85554">
        <w:rPr>
          <w:rFonts w:ascii="Times New Roman" w:hAnsi="Times New Roman" w:cs="Times New Roman"/>
          <w:sz w:val="24"/>
          <w:szCs w:val="24"/>
          <w:lang w:val="en-US"/>
        </w:rPr>
        <w:fldChar w:fldCharType="end"/>
      </w:r>
      <w:r w:rsidR="00442C4D" w:rsidRPr="00E85554">
        <w:rPr>
          <w:rFonts w:ascii="Times New Roman" w:hAnsi="Times New Roman" w:cs="Times New Roman"/>
          <w:sz w:val="24"/>
          <w:szCs w:val="24"/>
          <w:lang w:val="en-US"/>
        </w:rPr>
        <w:t xml:space="preserve"> in an institutional context distinct from the </w:t>
      </w:r>
      <w:r w:rsidR="005C7CFE" w:rsidRPr="00E85554">
        <w:rPr>
          <w:rFonts w:ascii="Times New Roman" w:hAnsi="Times New Roman" w:cs="Times New Roman"/>
          <w:sz w:val="24"/>
          <w:szCs w:val="24"/>
          <w:lang w:val="en-US"/>
        </w:rPr>
        <w:t>Anglo-American</w:t>
      </w:r>
      <w:r w:rsidR="00442C4D" w:rsidRPr="00E85554">
        <w:rPr>
          <w:rFonts w:ascii="Times New Roman" w:hAnsi="Times New Roman" w:cs="Times New Roman"/>
          <w:sz w:val="24"/>
          <w:szCs w:val="24"/>
          <w:lang w:val="en-US"/>
        </w:rPr>
        <w:t xml:space="preserve"> model</w:t>
      </w:r>
      <w:r w:rsidR="00320FE3" w:rsidRPr="00E85554">
        <w:rPr>
          <w:rFonts w:ascii="Times New Roman" w:hAnsi="Times New Roman" w:cs="Times New Roman"/>
          <w:sz w:val="24"/>
          <w:szCs w:val="24"/>
          <w:lang w:val="en-US"/>
        </w:rPr>
        <w:t>.</w:t>
      </w:r>
      <w:r w:rsidR="00251A53" w:rsidRPr="00E85554">
        <w:rPr>
          <w:rFonts w:ascii="Times New Roman" w:hAnsi="Times New Roman" w:cs="Times New Roman"/>
          <w:sz w:val="24"/>
          <w:szCs w:val="24"/>
          <w:lang w:val="en-US"/>
        </w:rPr>
        <w:t xml:space="preserve"> </w:t>
      </w:r>
      <w:r w:rsidR="00B51EC7" w:rsidRPr="00E85554">
        <w:rPr>
          <w:rFonts w:ascii="Times New Roman" w:hAnsi="Times New Roman" w:cs="Times New Roman"/>
          <w:sz w:val="24"/>
          <w:szCs w:val="24"/>
          <w:lang w:val="en-US"/>
        </w:rPr>
        <w:t>We identify the</w:t>
      </w:r>
      <w:r w:rsidR="0019537A" w:rsidRPr="00E85554">
        <w:rPr>
          <w:rFonts w:ascii="Times New Roman" w:hAnsi="Times New Roman" w:cs="Times New Roman"/>
          <w:sz w:val="24"/>
          <w:szCs w:val="24"/>
          <w:lang w:val="en-US"/>
        </w:rPr>
        <w:t xml:space="preserve"> heterogeneity of owners </w:t>
      </w:r>
      <w:r w:rsidR="00B51EC7" w:rsidRPr="00E85554">
        <w:rPr>
          <w:rFonts w:ascii="Times New Roman" w:hAnsi="Times New Roman" w:cs="Times New Roman"/>
          <w:sz w:val="24"/>
          <w:szCs w:val="24"/>
          <w:lang w:val="en-US"/>
        </w:rPr>
        <w:t xml:space="preserve">and acknowledge the presence of the </w:t>
      </w:r>
      <w:r w:rsidR="00D67EF2" w:rsidRPr="00E85554">
        <w:rPr>
          <w:rFonts w:ascii="Times New Roman" w:hAnsi="Times New Roman" w:cs="Times New Roman"/>
          <w:sz w:val="24"/>
          <w:szCs w:val="24"/>
          <w:lang w:val="en-US"/>
        </w:rPr>
        <w:t>principal-principal</w:t>
      </w:r>
      <w:r w:rsidR="0019537A" w:rsidRPr="00E85554">
        <w:rPr>
          <w:rFonts w:ascii="Times New Roman" w:hAnsi="Times New Roman" w:cs="Times New Roman"/>
          <w:sz w:val="24"/>
          <w:szCs w:val="24"/>
          <w:lang w:val="en-US"/>
        </w:rPr>
        <w:t xml:space="preserve"> </w:t>
      </w:r>
      <w:r w:rsidR="00D67EF2" w:rsidRPr="00E85554">
        <w:rPr>
          <w:rFonts w:ascii="Times New Roman" w:hAnsi="Times New Roman" w:cs="Times New Roman"/>
          <w:sz w:val="24"/>
          <w:szCs w:val="24"/>
          <w:lang w:val="en-US"/>
        </w:rPr>
        <w:t>conflicts</w:t>
      </w:r>
      <w:r w:rsidR="00B51EC7" w:rsidRPr="00E85554">
        <w:rPr>
          <w:rFonts w:ascii="Times New Roman" w:hAnsi="Times New Roman" w:cs="Times New Roman"/>
          <w:sz w:val="24"/>
          <w:szCs w:val="24"/>
          <w:lang w:val="en-US"/>
        </w:rPr>
        <w:t xml:space="preserve"> that might lead to </w:t>
      </w:r>
      <w:r w:rsidR="00D67EF2" w:rsidRPr="00E85554">
        <w:rPr>
          <w:rFonts w:ascii="Times New Roman" w:hAnsi="Times New Roman" w:cs="Times New Roman"/>
          <w:sz w:val="24"/>
          <w:szCs w:val="24"/>
          <w:lang w:val="en-US"/>
        </w:rPr>
        <w:t>blockholder appropriation and minority shareholders’ expropriation</w:t>
      </w:r>
      <w:r w:rsidR="00A1607C" w:rsidRPr="00E85554">
        <w:rPr>
          <w:rFonts w:ascii="Times New Roman" w:hAnsi="Times New Roman" w:cs="Times New Roman"/>
          <w:sz w:val="24"/>
          <w:szCs w:val="24"/>
          <w:lang w:val="en-US"/>
        </w:rPr>
        <w:t xml:space="preserve">. We </w:t>
      </w:r>
      <w:r w:rsidR="00B51EC7" w:rsidRPr="00E85554">
        <w:rPr>
          <w:rFonts w:ascii="Times New Roman" w:hAnsi="Times New Roman" w:cs="Times New Roman"/>
          <w:sz w:val="24"/>
          <w:szCs w:val="24"/>
          <w:lang w:val="en-US"/>
        </w:rPr>
        <w:t xml:space="preserve">turn our attention </w:t>
      </w:r>
      <w:r w:rsidR="00A1607C" w:rsidRPr="00E85554">
        <w:rPr>
          <w:rFonts w:ascii="Times New Roman" w:hAnsi="Times New Roman" w:cs="Times New Roman"/>
          <w:sz w:val="24"/>
          <w:szCs w:val="24"/>
          <w:lang w:val="en-US"/>
        </w:rPr>
        <w:t>beyond the principal</w:t>
      </w:r>
      <w:r w:rsidR="00CB403B" w:rsidRPr="00E85554">
        <w:rPr>
          <w:rFonts w:ascii="Times New Roman" w:hAnsi="Times New Roman" w:cs="Times New Roman"/>
          <w:sz w:val="24"/>
          <w:szCs w:val="24"/>
          <w:lang w:val="en-US"/>
        </w:rPr>
        <w:t>-principal relation</w:t>
      </w:r>
      <w:r w:rsidR="00A1607C" w:rsidRPr="00E85554">
        <w:rPr>
          <w:rFonts w:ascii="Times New Roman" w:hAnsi="Times New Roman" w:cs="Times New Roman"/>
          <w:sz w:val="24"/>
          <w:szCs w:val="24"/>
          <w:lang w:val="en-US"/>
        </w:rPr>
        <w:t xml:space="preserve"> to</w:t>
      </w:r>
      <w:r w:rsidR="00B51EC7" w:rsidRPr="00E85554">
        <w:rPr>
          <w:rFonts w:ascii="Times New Roman" w:hAnsi="Times New Roman" w:cs="Times New Roman"/>
          <w:sz w:val="24"/>
          <w:szCs w:val="24"/>
          <w:lang w:val="en-US"/>
        </w:rPr>
        <w:t xml:space="preserve"> focus on the demands that agents, in our case directors, might get from these heterogeneous blockholders, what is refer</w:t>
      </w:r>
      <w:r w:rsidR="007D77A4" w:rsidRPr="00E85554">
        <w:rPr>
          <w:rFonts w:ascii="Times New Roman" w:hAnsi="Times New Roman" w:cs="Times New Roman"/>
          <w:sz w:val="24"/>
          <w:szCs w:val="24"/>
          <w:lang w:val="en-US"/>
        </w:rPr>
        <w:t>red</w:t>
      </w:r>
      <w:r w:rsidR="00B51EC7" w:rsidRPr="00E85554">
        <w:rPr>
          <w:rFonts w:ascii="Times New Roman" w:hAnsi="Times New Roman" w:cs="Times New Roman"/>
          <w:sz w:val="24"/>
          <w:szCs w:val="24"/>
          <w:lang w:val="en-US"/>
        </w:rPr>
        <w:t xml:space="preserve"> to as multiple agency conflict. </w:t>
      </w:r>
      <w:r w:rsidR="00251A53" w:rsidRPr="00E85554">
        <w:rPr>
          <w:rFonts w:ascii="Times New Roman" w:hAnsi="Times New Roman" w:cs="Times New Roman"/>
          <w:sz w:val="24"/>
          <w:szCs w:val="24"/>
          <w:lang w:val="en-US"/>
        </w:rPr>
        <w:t xml:space="preserve">Specifically, we show that the effect of independent directors </w:t>
      </w:r>
      <w:r w:rsidR="007D77A4" w:rsidRPr="00E85554">
        <w:rPr>
          <w:rFonts w:ascii="Times New Roman" w:hAnsi="Times New Roman" w:cs="Times New Roman"/>
          <w:sz w:val="24"/>
          <w:szCs w:val="24"/>
          <w:lang w:val="en-US"/>
        </w:rPr>
        <w:t>i</w:t>
      </w:r>
      <w:r w:rsidR="0019537A" w:rsidRPr="00E85554">
        <w:rPr>
          <w:rFonts w:ascii="Times New Roman" w:hAnsi="Times New Roman" w:cs="Times New Roman"/>
          <w:sz w:val="24"/>
          <w:szCs w:val="24"/>
          <w:lang w:val="en-US"/>
        </w:rPr>
        <w:t xml:space="preserve">n </w:t>
      </w:r>
      <w:r w:rsidR="00B51EC7" w:rsidRPr="00E85554">
        <w:rPr>
          <w:rFonts w:ascii="Times New Roman" w:hAnsi="Times New Roman" w:cs="Times New Roman"/>
          <w:sz w:val="24"/>
          <w:szCs w:val="24"/>
          <w:lang w:val="en-US"/>
        </w:rPr>
        <w:t xml:space="preserve">mitigating </w:t>
      </w:r>
      <w:r w:rsidR="0019537A" w:rsidRPr="00E85554">
        <w:rPr>
          <w:rFonts w:ascii="Times New Roman" w:hAnsi="Times New Roman" w:cs="Times New Roman"/>
          <w:sz w:val="24"/>
          <w:szCs w:val="24"/>
          <w:lang w:val="en-US"/>
        </w:rPr>
        <w:t xml:space="preserve">blockholder appropriation </w:t>
      </w:r>
      <w:r w:rsidR="00B51EC7" w:rsidRPr="00E85554">
        <w:rPr>
          <w:rFonts w:ascii="Times New Roman" w:hAnsi="Times New Roman" w:cs="Times New Roman"/>
          <w:sz w:val="24"/>
          <w:szCs w:val="24"/>
          <w:lang w:val="en-US"/>
        </w:rPr>
        <w:t xml:space="preserve">is contingent </w:t>
      </w:r>
      <w:r w:rsidR="00251A53" w:rsidRPr="00E85554">
        <w:rPr>
          <w:rFonts w:ascii="Times New Roman" w:hAnsi="Times New Roman" w:cs="Times New Roman"/>
          <w:sz w:val="24"/>
          <w:szCs w:val="24"/>
          <w:lang w:val="en-US"/>
        </w:rPr>
        <w:t xml:space="preserve">on the </w:t>
      </w:r>
      <w:r w:rsidR="00251A53" w:rsidRPr="00E85554">
        <w:rPr>
          <w:rFonts w:ascii="Times New Roman" w:hAnsi="Times New Roman" w:cs="Times New Roman"/>
          <w:sz w:val="24"/>
          <w:szCs w:val="24"/>
          <w:lang w:val="en-US"/>
        </w:rPr>
        <w:lastRenderedPageBreak/>
        <w:t>type of block ownership</w:t>
      </w:r>
      <w:r w:rsidR="00B51EC7" w:rsidRPr="00E85554">
        <w:rPr>
          <w:rFonts w:ascii="Times New Roman" w:hAnsi="Times New Roman" w:cs="Times New Roman"/>
          <w:sz w:val="24"/>
          <w:szCs w:val="24"/>
          <w:lang w:val="en-US"/>
        </w:rPr>
        <w:t xml:space="preserve"> to which these agents are exposed</w:t>
      </w:r>
      <w:r w:rsidR="00251A53" w:rsidRPr="00E85554">
        <w:rPr>
          <w:rFonts w:ascii="Times New Roman" w:hAnsi="Times New Roman" w:cs="Times New Roman"/>
          <w:sz w:val="24"/>
          <w:szCs w:val="24"/>
          <w:lang w:val="en-US"/>
        </w:rPr>
        <w:t>.</w:t>
      </w:r>
      <w:r w:rsidR="00320FE3" w:rsidRPr="00E85554">
        <w:rPr>
          <w:rFonts w:ascii="Times New Roman" w:hAnsi="Times New Roman" w:cs="Times New Roman"/>
          <w:sz w:val="24"/>
          <w:szCs w:val="24"/>
          <w:lang w:val="en-US"/>
        </w:rPr>
        <w:t xml:space="preserve"> </w:t>
      </w:r>
      <w:r w:rsidR="00442C4D" w:rsidRPr="00E85554">
        <w:rPr>
          <w:rFonts w:ascii="Times New Roman" w:hAnsi="Times New Roman" w:cs="Times New Roman"/>
          <w:sz w:val="24"/>
          <w:szCs w:val="24"/>
          <w:lang w:val="en-US"/>
        </w:rPr>
        <w:t xml:space="preserve">To the best of our knowledge, there are no prior studies </w:t>
      </w:r>
      <w:r w:rsidR="00B51EC7" w:rsidRPr="00E85554">
        <w:rPr>
          <w:rFonts w:ascii="Times New Roman" w:hAnsi="Times New Roman" w:cs="Times New Roman"/>
          <w:sz w:val="24"/>
          <w:szCs w:val="24"/>
          <w:lang w:val="en-US"/>
        </w:rPr>
        <w:t xml:space="preserve">drawing on </w:t>
      </w:r>
      <w:r w:rsidR="00442C4D" w:rsidRPr="00E85554">
        <w:rPr>
          <w:rFonts w:ascii="Times New Roman" w:hAnsi="Times New Roman" w:cs="Times New Roman"/>
          <w:sz w:val="24"/>
          <w:szCs w:val="24"/>
          <w:lang w:val="en-US"/>
        </w:rPr>
        <w:t xml:space="preserve">multiple agency </w:t>
      </w:r>
      <w:r w:rsidR="007F6C89">
        <w:rPr>
          <w:rFonts w:ascii="Times New Roman" w:hAnsi="Times New Roman" w:cs="Times New Roman"/>
          <w:sz w:val="24"/>
          <w:szCs w:val="24"/>
          <w:lang w:val="en-US"/>
        </w:rPr>
        <w:t>perspective</w:t>
      </w:r>
      <w:r w:rsidR="00442C4D" w:rsidRPr="00E85554">
        <w:rPr>
          <w:rFonts w:ascii="Times New Roman" w:hAnsi="Times New Roman" w:cs="Times New Roman"/>
          <w:sz w:val="24"/>
          <w:szCs w:val="24"/>
          <w:lang w:val="en-US"/>
        </w:rPr>
        <w:t xml:space="preserve"> t</w:t>
      </w:r>
      <w:r w:rsidR="007D77A4" w:rsidRPr="00E85554">
        <w:rPr>
          <w:rFonts w:ascii="Times New Roman" w:hAnsi="Times New Roman" w:cs="Times New Roman"/>
          <w:sz w:val="24"/>
          <w:szCs w:val="24"/>
          <w:lang w:val="en-US"/>
        </w:rPr>
        <w:t>hat</w:t>
      </w:r>
      <w:r w:rsidR="00442C4D" w:rsidRPr="00E85554">
        <w:rPr>
          <w:rFonts w:ascii="Times New Roman" w:hAnsi="Times New Roman" w:cs="Times New Roman"/>
          <w:sz w:val="24"/>
          <w:szCs w:val="24"/>
          <w:lang w:val="en-US"/>
        </w:rPr>
        <w:t xml:space="preserve"> explain the multiplicity of </w:t>
      </w:r>
      <w:r w:rsidR="00B51EC7" w:rsidRPr="00E85554">
        <w:rPr>
          <w:rFonts w:ascii="Times New Roman" w:hAnsi="Times New Roman" w:cs="Times New Roman"/>
          <w:sz w:val="24"/>
          <w:szCs w:val="24"/>
          <w:lang w:val="en-US"/>
        </w:rPr>
        <w:t xml:space="preserve">demands on </w:t>
      </w:r>
      <w:r w:rsidR="00442C4D" w:rsidRPr="00E85554">
        <w:rPr>
          <w:rFonts w:ascii="Times New Roman" w:hAnsi="Times New Roman" w:cs="Times New Roman"/>
          <w:i/>
          <w:sz w:val="24"/>
          <w:szCs w:val="24"/>
          <w:lang w:val="en-US"/>
        </w:rPr>
        <w:t>agents</w:t>
      </w:r>
      <w:r w:rsidR="00442C4D" w:rsidRPr="00E85554">
        <w:rPr>
          <w:rFonts w:ascii="Times New Roman" w:hAnsi="Times New Roman" w:cs="Times New Roman"/>
          <w:sz w:val="24"/>
          <w:szCs w:val="24"/>
          <w:lang w:val="en-US"/>
        </w:rPr>
        <w:t xml:space="preserve"> in </w:t>
      </w:r>
      <w:r w:rsidR="0053119F" w:rsidRPr="00E85554">
        <w:rPr>
          <w:rFonts w:ascii="Times New Roman" w:hAnsi="Times New Roman" w:cs="Times New Roman"/>
          <w:sz w:val="24"/>
          <w:szCs w:val="24"/>
          <w:lang w:val="en-US"/>
        </w:rPr>
        <w:t xml:space="preserve">emerging </w:t>
      </w:r>
      <w:r w:rsidR="00442C4D" w:rsidRPr="00E85554">
        <w:rPr>
          <w:rFonts w:ascii="Times New Roman" w:hAnsi="Times New Roman" w:cs="Times New Roman"/>
          <w:sz w:val="24"/>
          <w:szCs w:val="24"/>
          <w:lang w:val="en-US"/>
        </w:rPr>
        <w:t xml:space="preserve">economies </w:t>
      </w:r>
      <w:r w:rsidR="005E52D2" w:rsidRPr="00E85554">
        <w:rPr>
          <w:rFonts w:ascii="Times New Roman" w:hAnsi="Times New Roman" w:cs="Times New Roman"/>
          <w:sz w:val="24"/>
          <w:szCs w:val="24"/>
          <w:lang w:val="en-US"/>
        </w:rPr>
        <w:t xml:space="preserve">as most literature </w:t>
      </w:r>
      <w:r w:rsidR="007D77A4" w:rsidRPr="00E85554">
        <w:rPr>
          <w:rFonts w:ascii="Times New Roman" w:hAnsi="Times New Roman" w:cs="Times New Roman"/>
          <w:sz w:val="24"/>
          <w:szCs w:val="24"/>
          <w:lang w:val="en-US"/>
        </w:rPr>
        <w:t>i</w:t>
      </w:r>
      <w:r w:rsidR="005E52D2" w:rsidRPr="00E85554">
        <w:rPr>
          <w:rFonts w:ascii="Times New Roman" w:hAnsi="Times New Roman" w:cs="Times New Roman"/>
          <w:sz w:val="24"/>
          <w:szCs w:val="24"/>
          <w:lang w:val="en-US"/>
        </w:rPr>
        <w:t>n these markets focuses on</w:t>
      </w:r>
      <w:r w:rsidR="00442C4D" w:rsidRPr="00E85554">
        <w:rPr>
          <w:rFonts w:ascii="Times New Roman" w:hAnsi="Times New Roman" w:cs="Times New Roman"/>
          <w:sz w:val="24"/>
          <w:szCs w:val="24"/>
          <w:lang w:val="en-US"/>
        </w:rPr>
        <w:t xml:space="preserve"> the multiplicity or duality of </w:t>
      </w:r>
      <w:r w:rsidR="00442C4D" w:rsidRPr="00E85554">
        <w:rPr>
          <w:rFonts w:ascii="Times New Roman" w:hAnsi="Times New Roman" w:cs="Times New Roman"/>
          <w:i/>
          <w:sz w:val="24"/>
          <w:szCs w:val="24"/>
          <w:lang w:val="en-US"/>
        </w:rPr>
        <w:t>principals</w:t>
      </w:r>
      <w:r w:rsidR="005E52D2" w:rsidRPr="00E85554">
        <w:rPr>
          <w:rFonts w:ascii="Times New Roman" w:hAnsi="Times New Roman" w:cs="Times New Roman"/>
          <w:sz w:val="24"/>
          <w:szCs w:val="24"/>
          <w:lang w:val="en-US"/>
        </w:rPr>
        <w:t xml:space="preserve"> </w:t>
      </w:r>
      <w:r w:rsidR="005E52D2" w:rsidRPr="00E85554">
        <w:rPr>
          <w:rFonts w:ascii="Times New Roman" w:hAnsi="Times New Roman" w:cs="Times New Roman"/>
          <w:sz w:val="24"/>
          <w:szCs w:val="24"/>
          <w:lang w:val="en-US"/>
        </w:rPr>
        <w:fldChar w:fldCharType="begin">
          <w:fldData xml:space="preserve">PEVuZE5vdGU+PENpdGU+PEF1dGhvcj5GaWxhdG90Y2hldjwvQXV0aG9yPjxZZWFyPjIwMTE8L1ll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</w:fldData>
        </w:fldChar>
      </w:r>
      <w:r w:rsidR="009F0F53" w:rsidRPr="00E85554">
        <w:rPr>
          <w:rFonts w:ascii="Times New Roman" w:hAnsi="Times New Roman" w:cs="Times New Roman"/>
          <w:sz w:val="24"/>
          <w:szCs w:val="24"/>
          <w:lang w:val="en-US"/>
        </w:rPr>
        <w:instrText xml:space="preserve"> ADDIN EN.CITE </w:instrText>
      </w:r>
      <w:r w:rsidR="009F0F53" w:rsidRPr="00E85554">
        <w:rPr>
          <w:rFonts w:ascii="Times New Roman" w:hAnsi="Times New Roman" w:cs="Times New Roman"/>
          <w:sz w:val="24"/>
          <w:szCs w:val="24"/>
          <w:lang w:val="en-US"/>
        </w:rPr>
        <w:fldChar w:fldCharType="begin">
          <w:fldData xml:space="preserve">PEVuZE5vdGU+PENpdGU+PEF1dGhvcj5GaWxhdG90Y2hldjwvQXV0aG9yPjxZZWFyPjIwMTE8L1ll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</w:fldData>
        </w:fldChar>
      </w:r>
      <w:r w:rsidR="009F0F53" w:rsidRPr="00E85554">
        <w:rPr>
          <w:rFonts w:ascii="Times New Roman" w:hAnsi="Times New Roman" w:cs="Times New Roman"/>
          <w:sz w:val="24"/>
          <w:szCs w:val="24"/>
          <w:lang w:val="en-US"/>
        </w:rPr>
        <w:instrText xml:space="preserve"> ADDIN EN.CITE.DATA </w:instrText>
      </w:r>
      <w:r w:rsidR="009F0F53" w:rsidRPr="00E85554">
        <w:rPr>
          <w:rFonts w:ascii="Times New Roman" w:hAnsi="Times New Roman" w:cs="Times New Roman"/>
          <w:sz w:val="24"/>
          <w:szCs w:val="24"/>
          <w:lang w:val="en-US"/>
        </w:rPr>
      </w:r>
      <w:r w:rsidR="009F0F53" w:rsidRPr="00E85554">
        <w:rPr>
          <w:rFonts w:ascii="Times New Roman" w:hAnsi="Times New Roman" w:cs="Times New Roman"/>
          <w:sz w:val="24"/>
          <w:szCs w:val="24"/>
          <w:lang w:val="en-US"/>
        </w:rPr>
        <w:fldChar w:fldCharType="end"/>
      </w:r>
      <w:r w:rsidR="005E52D2" w:rsidRPr="00E85554">
        <w:rPr>
          <w:rFonts w:ascii="Times New Roman" w:hAnsi="Times New Roman" w:cs="Times New Roman"/>
          <w:sz w:val="24"/>
          <w:szCs w:val="24"/>
          <w:lang w:val="en-US"/>
        </w:rPr>
      </w:r>
      <w:r w:rsidR="005E52D2" w:rsidRPr="00E85554">
        <w:rPr>
          <w:rFonts w:ascii="Times New Roman" w:hAnsi="Times New Roman" w:cs="Times New Roman"/>
          <w:sz w:val="24"/>
          <w:szCs w:val="24"/>
          <w:lang w:val="en-US"/>
        </w:rPr>
        <w:fldChar w:fldCharType="separate"/>
      </w:r>
      <w:r w:rsidR="009F0F53" w:rsidRPr="00E85554">
        <w:rPr>
          <w:rFonts w:ascii="Times New Roman" w:hAnsi="Times New Roman" w:cs="Times New Roman"/>
          <w:noProof/>
          <w:sz w:val="24"/>
          <w:szCs w:val="24"/>
          <w:lang w:val="en-US"/>
        </w:rPr>
        <w:t>(</w:t>
      </w:r>
      <w:hyperlink w:anchor="_ENREF_50" w:tooltip="Filatotchev, 2011 #656" w:history="1">
        <w:r w:rsidR="00266C78" w:rsidRPr="00E85554">
          <w:rPr>
            <w:rFonts w:ascii="Times New Roman" w:hAnsi="Times New Roman" w:cs="Times New Roman"/>
            <w:noProof/>
            <w:sz w:val="24"/>
            <w:szCs w:val="24"/>
            <w:lang w:val="en-US"/>
          </w:rPr>
          <w:t>Filatotchev et al., 2011</w:t>
        </w:r>
      </w:hyperlink>
      <w:r w:rsidR="009F0F53" w:rsidRPr="00E85554">
        <w:rPr>
          <w:rFonts w:ascii="Times New Roman" w:hAnsi="Times New Roman" w:cs="Times New Roman"/>
          <w:noProof/>
          <w:sz w:val="24"/>
          <w:szCs w:val="24"/>
          <w:lang w:val="en-US"/>
        </w:rPr>
        <w:t xml:space="preserve">; </w:t>
      </w:r>
      <w:hyperlink w:anchor="_ENREF_62" w:tooltip="Jiang, 2011 #671" w:history="1">
        <w:r w:rsidR="00266C78" w:rsidRPr="00E85554">
          <w:rPr>
            <w:rFonts w:ascii="Times New Roman" w:hAnsi="Times New Roman" w:cs="Times New Roman"/>
            <w:noProof/>
            <w:sz w:val="24"/>
            <w:szCs w:val="24"/>
            <w:lang w:val="en-US"/>
          </w:rPr>
          <w:t>Jiang et al., 2011</w:t>
        </w:r>
      </w:hyperlink>
      <w:r w:rsidR="009F0F53" w:rsidRPr="00E85554">
        <w:rPr>
          <w:rFonts w:ascii="Times New Roman" w:hAnsi="Times New Roman" w:cs="Times New Roman"/>
          <w:noProof/>
          <w:sz w:val="24"/>
          <w:szCs w:val="24"/>
          <w:lang w:val="en-US"/>
        </w:rPr>
        <w:t xml:space="preserve">; </w:t>
      </w:r>
      <w:hyperlink w:anchor="_ENREF_108" w:tooltip="Young, 2008 #139" w:history="1">
        <w:r w:rsidR="00266C78" w:rsidRPr="00E85554">
          <w:rPr>
            <w:rFonts w:ascii="Times New Roman" w:hAnsi="Times New Roman" w:cs="Times New Roman"/>
            <w:noProof/>
            <w:sz w:val="24"/>
            <w:szCs w:val="24"/>
            <w:lang w:val="en-US"/>
          </w:rPr>
          <w:t>Young et al., 2008</w:t>
        </w:r>
      </w:hyperlink>
      <w:r w:rsidR="009F0F53" w:rsidRPr="00E85554">
        <w:rPr>
          <w:rFonts w:ascii="Times New Roman" w:hAnsi="Times New Roman" w:cs="Times New Roman"/>
          <w:noProof/>
          <w:sz w:val="24"/>
          <w:szCs w:val="24"/>
          <w:lang w:val="en-US"/>
        </w:rPr>
        <w:t>)</w:t>
      </w:r>
      <w:r w:rsidR="005E52D2" w:rsidRPr="00E85554">
        <w:rPr>
          <w:rFonts w:ascii="Times New Roman" w:hAnsi="Times New Roman" w:cs="Times New Roman"/>
          <w:sz w:val="24"/>
          <w:szCs w:val="24"/>
          <w:lang w:val="en-US"/>
        </w:rPr>
        <w:fldChar w:fldCharType="end"/>
      </w:r>
      <w:r w:rsidR="00442C4D" w:rsidRPr="00E85554">
        <w:rPr>
          <w:rFonts w:ascii="Times New Roman" w:hAnsi="Times New Roman" w:cs="Times New Roman"/>
          <w:sz w:val="24"/>
          <w:szCs w:val="24"/>
          <w:lang w:val="en-US"/>
        </w:rPr>
        <w:t xml:space="preserve">. </w:t>
      </w:r>
      <w:r w:rsidR="00B153C8" w:rsidRPr="00E85554">
        <w:rPr>
          <w:rFonts w:ascii="Times New Roman" w:hAnsi="Times New Roman" w:cs="Times New Roman"/>
          <w:sz w:val="24"/>
          <w:szCs w:val="24"/>
          <w:lang w:val="en-US"/>
        </w:rPr>
        <w:t xml:space="preserve">We respond to the recent call in </w:t>
      </w:r>
      <w:hyperlink w:anchor="_ENREF_4" w:tooltip="Aguilera, 2016 #721" w:history="1">
        <w:r w:rsidR="00266C78" w:rsidRPr="00E85554">
          <w:rPr>
            <w:rFonts w:ascii="Times New Roman" w:hAnsi="Times New Roman" w:cs="Times New Roman"/>
            <w:sz w:val="24"/>
            <w:szCs w:val="24"/>
            <w:lang w:val="en-US"/>
          </w:rPr>
          <w:fldChar w:fldCharType="begin"/>
        </w:r>
        <w:r w:rsidR="00266C78" w:rsidRPr="00E85554">
          <w:rPr>
            <w:rFonts w:ascii="Times New Roman" w:hAnsi="Times New Roman" w:cs="Times New Roman"/>
            <w:sz w:val="24"/>
            <w:szCs w:val="24"/>
            <w:lang w:val="en-US"/>
          </w:rPr>
          <w:instrText xml:space="preserve"> ADDIN EN.CITE &lt;EndNote&gt;&lt;Cite AuthorYear="1"&gt;&lt;Author&gt;Aguilera&lt;/Author&gt;&lt;Year&gt;2016&lt;/Year&gt;&lt;RecNum&gt;721&lt;/RecNum&gt;&lt;DisplayText&gt;Aguilera et al. (2016)&lt;/DisplayText&gt;&lt;record&gt;&lt;rec-number&gt;721&lt;/rec-number&gt;&lt;foreign-keys&gt;&lt;key app="EN" db-id="xdsfzvadmzzxdzereeq5xdf7eaxsdwfdfave" timestamp="1493050936"&gt;721&lt;/key&gt;&lt;/foreign-keys&gt;&lt;ref-type name="Journal Article"&gt;17&lt;/ref-type&gt;&lt;contributors&gt;&lt;authors&gt;&lt;author&gt;Aguilera, Ruth V&lt;/author&gt;&lt;author&gt;Crespi-Cladera, Rafel&lt;/author&gt;&lt;/authors&gt;&lt;/contributors&gt;&lt;titles&gt;&lt;title&gt;Global corporate governance: On the relevance of firms’ ownership structure&lt;/title&gt;&lt;secondary-title&gt;Journal of World Business&lt;/secondary-title&gt;&lt;/titles&gt;&lt;periodical&gt;&lt;full-title&gt;Journal of World Business&lt;/full-title&gt;&lt;/periodical&gt;&lt;pages&gt;50-57&lt;/pages&gt;&lt;volume&gt;51&lt;/volume&gt;&lt;number&gt;1&lt;/number&gt;&lt;dates&gt;&lt;year&gt;2016&lt;/year&gt;&lt;/dates&gt;&lt;isbn&gt;1090-9516&lt;/isbn&gt;&lt;urls&gt;&lt;/urls&gt;&lt;/record&gt;&lt;/Cite&gt;&lt;/EndNote&gt;</w:instrText>
        </w:r>
        <w:r w:rsidR="00266C78" w:rsidRPr="00E85554">
          <w:rPr>
            <w:rFonts w:ascii="Times New Roman" w:hAnsi="Times New Roman" w:cs="Times New Roman"/>
            <w:sz w:val="24"/>
            <w:szCs w:val="24"/>
            <w:lang w:val="en-US"/>
          </w:rPr>
          <w:fldChar w:fldCharType="separate"/>
        </w:r>
        <w:r w:rsidR="00266C78" w:rsidRPr="00E85554">
          <w:rPr>
            <w:rFonts w:ascii="Times New Roman" w:hAnsi="Times New Roman" w:cs="Times New Roman"/>
            <w:noProof/>
            <w:sz w:val="24"/>
            <w:szCs w:val="24"/>
            <w:lang w:val="en-US"/>
          </w:rPr>
          <w:t>Aguilera et al. (2016)</w:t>
        </w:r>
        <w:r w:rsidR="00266C78" w:rsidRPr="00E85554">
          <w:rPr>
            <w:rFonts w:ascii="Times New Roman" w:hAnsi="Times New Roman" w:cs="Times New Roman"/>
            <w:sz w:val="24"/>
            <w:szCs w:val="24"/>
            <w:lang w:val="en-US"/>
          </w:rPr>
          <w:fldChar w:fldCharType="end"/>
        </w:r>
      </w:hyperlink>
      <w:r w:rsidR="000F200F" w:rsidRPr="00E85554">
        <w:rPr>
          <w:rFonts w:ascii="Times New Roman" w:hAnsi="Times New Roman" w:cs="Times New Roman"/>
          <w:sz w:val="24"/>
          <w:szCs w:val="24"/>
          <w:lang w:val="en-US"/>
        </w:rPr>
        <w:t xml:space="preserve"> </w:t>
      </w:r>
      <w:r w:rsidR="00B153C8" w:rsidRPr="00E85554">
        <w:rPr>
          <w:rFonts w:ascii="Times New Roman" w:hAnsi="Times New Roman" w:cs="Times New Roman"/>
          <w:sz w:val="24"/>
          <w:szCs w:val="24"/>
          <w:lang w:val="en-US"/>
        </w:rPr>
        <w:t xml:space="preserve">for future research on </w:t>
      </w:r>
      <w:r w:rsidR="00B51EC7" w:rsidRPr="00E85554">
        <w:rPr>
          <w:rFonts w:ascii="Times New Roman" w:hAnsi="Times New Roman" w:cs="Times New Roman"/>
          <w:sz w:val="24"/>
          <w:szCs w:val="24"/>
          <w:lang w:val="en-US"/>
        </w:rPr>
        <w:t xml:space="preserve">the effects of </w:t>
      </w:r>
      <w:r w:rsidR="00B153C8" w:rsidRPr="00E85554">
        <w:rPr>
          <w:rFonts w:ascii="Times New Roman" w:hAnsi="Times New Roman" w:cs="Times New Roman"/>
          <w:sz w:val="24"/>
          <w:szCs w:val="24"/>
          <w:lang w:val="en-US"/>
        </w:rPr>
        <w:t>firm-level ownership structures</w:t>
      </w:r>
      <w:r w:rsidR="007D77A4" w:rsidRPr="00E85554">
        <w:rPr>
          <w:rFonts w:ascii="Times New Roman" w:hAnsi="Times New Roman" w:cs="Times New Roman"/>
          <w:sz w:val="24"/>
          <w:szCs w:val="24"/>
          <w:lang w:val="en-US"/>
        </w:rPr>
        <w:t xml:space="preserve"> on firm behavior and outcomes</w:t>
      </w:r>
      <w:r w:rsidR="00B153C8" w:rsidRPr="00E85554">
        <w:rPr>
          <w:rFonts w:ascii="Times New Roman" w:hAnsi="Times New Roman" w:cs="Times New Roman"/>
          <w:sz w:val="24"/>
          <w:szCs w:val="24"/>
          <w:lang w:val="en-US"/>
        </w:rPr>
        <w:t>.</w:t>
      </w:r>
    </w:p>
    <w:p w14:paraId="14099D5A" w14:textId="79B6BB22" w:rsidR="0099591C" w:rsidRPr="00E85554" w:rsidRDefault="00BD0B03" w:rsidP="00755613">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Second</w:t>
      </w:r>
      <w:r w:rsidR="000B6461" w:rsidRPr="00E85554">
        <w:rPr>
          <w:rFonts w:ascii="Times New Roman" w:hAnsi="Times New Roman" w:cs="Times New Roman"/>
          <w:sz w:val="24"/>
          <w:szCs w:val="24"/>
          <w:lang w:val="en-US"/>
        </w:rPr>
        <w:t xml:space="preserve">, we investigate </w:t>
      </w:r>
      <w:r w:rsidR="00755613" w:rsidRPr="00E85554">
        <w:rPr>
          <w:rFonts w:ascii="Times New Roman" w:hAnsi="Times New Roman" w:cs="Times New Roman"/>
          <w:sz w:val="24"/>
          <w:szCs w:val="24"/>
          <w:lang w:val="en-US"/>
        </w:rPr>
        <w:t>how exposure to international corporate governance practices might activate the role of independent directors. In particular, we explore three key</w:t>
      </w:r>
      <w:r w:rsidR="00D13355" w:rsidRPr="00E85554">
        <w:rPr>
          <w:rFonts w:ascii="Times New Roman" w:hAnsi="Times New Roman" w:cs="Times New Roman"/>
          <w:sz w:val="24"/>
          <w:szCs w:val="24"/>
          <w:lang w:val="en-US"/>
        </w:rPr>
        <w:t xml:space="preserve"> international governance</w:t>
      </w:r>
      <w:r w:rsidR="00755613" w:rsidRPr="00E85554">
        <w:rPr>
          <w:rFonts w:ascii="Times New Roman" w:hAnsi="Times New Roman" w:cs="Times New Roman"/>
          <w:sz w:val="24"/>
          <w:szCs w:val="24"/>
          <w:lang w:val="en-US"/>
        </w:rPr>
        <w:t xml:space="preserve"> contingencies that </w:t>
      </w:r>
      <w:r w:rsidR="00D13355" w:rsidRPr="00E85554">
        <w:rPr>
          <w:rFonts w:ascii="Times New Roman" w:hAnsi="Times New Roman" w:cs="Times New Roman"/>
          <w:sz w:val="24"/>
          <w:szCs w:val="24"/>
          <w:lang w:val="en-US"/>
        </w:rPr>
        <w:t xml:space="preserve">might influence how boards behave when the firm is a </w:t>
      </w:r>
      <w:r w:rsidR="00EA6FC2" w:rsidRPr="00E85554">
        <w:rPr>
          <w:rFonts w:ascii="Times New Roman" w:hAnsi="Times New Roman" w:cs="Times New Roman"/>
          <w:sz w:val="24"/>
          <w:szCs w:val="24"/>
          <w:lang w:val="en-US"/>
        </w:rPr>
        <w:t>Russian Multinational Enterprises (MNEs)</w:t>
      </w:r>
      <w:r w:rsidR="00F45EA2" w:rsidRPr="00E85554">
        <w:rPr>
          <w:rFonts w:ascii="Times New Roman" w:hAnsi="Times New Roman" w:cs="Times New Roman"/>
          <w:sz w:val="24"/>
          <w:szCs w:val="24"/>
          <w:lang w:val="en-US"/>
        </w:rPr>
        <w:t xml:space="preserve">, is listed in a foreign stock market, or </w:t>
      </w:r>
      <w:r w:rsidR="00492DBC" w:rsidRPr="00E85554">
        <w:rPr>
          <w:rFonts w:ascii="Times New Roman" w:hAnsi="Times New Roman" w:cs="Times New Roman"/>
          <w:sz w:val="24"/>
          <w:szCs w:val="24"/>
          <w:lang w:val="en-US"/>
        </w:rPr>
        <w:t xml:space="preserve">when </w:t>
      </w:r>
      <w:r w:rsidR="00F45EA2" w:rsidRPr="00E85554">
        <w:rPr>
          <w:rFonts w:ascii="Times New Roman" w:hAnsi="Times New Roman" w:cs="Times New Roman"/>
          <w:sz w:val="24"/>
          <w:szCs w:val="24"/>
          <w:lang w:val="en-US"/>
        </w:rPr>
        <w:t>their independent directors are foreign</w:t>
      </w:r>
      <w:r w:rsidR="00A0578A" w:rsidRPr="00E85554">
        <w:rPr>
          <w:rFonts w:ascii="Times New Roman" w:hAnsi="Times New Roman" w:cs="Times New Roman"/>
          <w:sz w:val="24"/>
          <w:szCs w:val="24"/>
          <w:lang w:val="en-US"/>
        </w:rPr>
        <w:t>.</w:t>
      </w:r>
      <w:r w:rsidR="00EA6FC2" w:rsidRPr="00E85554">
        <w:rPr>
          <w:rFonts w:ascii="Times New Roman" w:hAnsi="Times New Roman" w:cs="Times New Roman"/>
          <w:sz w:val="24"/>
          <w:szCs w:val="24"/>
          <w:lang w:val="en-US"/>
        </w:rPr>
        <w:t xml:space="preserve"> </w:t>
      </w:r>
      <w:r w:rsidR="003245E2" w:rsidRPr="00E85554">
        <w:rPr>
          <w:rFonts w:ascii="Times New Roman" w:hAnsi="Times New Roman" w:cs="Times New Roman"/>
          <w:sz w:val="24"/>
          <w:szCs w:val="24"/>
          <w:lang w:val="en-US"/>
        </w:rPr>
        <w:t>In doing so, w</w:t>
      </w:r>
      <w:r w:rsidR="00ED7D6F" w:rsidRPr="00E85554">
        <w:rPr>
          <w:rFonts w:ascii="Times New Roman" w:hAnsi="Times New Roman" w:cs="Times New Roman"/>
          <w:sz w:val="24"/>
          <w:szCs w:val="24"/>
          <w:lang w:val="en-US"/>
        </w:rPr>
        <w:t xml:space="preserve">e also contribute </w:t>
      </w:r>
      <w:r w:rsidR="00EA6FC2" w:rsidRPr="00E85554">
        <w:rPr>
          <w:rFonts w:ascii="Times New Roman" w:hAnsi="Times New Roman" w:cs="Times New Roman"/>
          <w:sz w:val="24"/>
          <w:szCs w:val="24"/>
          <w:lang w:val="en-US"/>
        </w:rPr>
        <w:t xml:space="preserve">to </w:t>
      </w:r>
      <w:r w:rsidR="00D13355" w:rsidRPr="00E85554">
        <w:rPr>
          <w:rFonts w:ascii="Times New Roman" w:hAnsi="Times New Roman" w:cs="Times New Roman"/>
          <w:sz w:val="24"/>
          <w:szCs w:val="24"/>
          <w:lang w:val="en-US"/>
        </w:rPr>
        <w:t xml:space="preserve">IB </w:t>
      </w:r>
      <w:r w:rsidR="00EA6FC2" w:rsidRPr="00E85554">
        <w:rPr>
          <w:rFonts w:ascii="Times New Roman" w:hAnsi="Times New Roman" w:cs="Times New Roman"/>
          <w:sz w:val="24"/>
          <w:szCs w:val="24"/>
          <w:lang w:val="en-US"/>
        </w:rPr>
        <w:t xml:space="preserve">research </w:t>
      </w:r>
      <w:r w:rsidR="00D13355" w:rsidRPr="00E85554">
        <w:rPr>
          <w:rFonts w:ascii="Times New Roman" w:hAnsi="Times New Roman" w:cs="Times New Roman"/>
          <w:sz w:val="24"/>
          <w:szCs w:val="24"/>
          <w:lang w:val="en-US"/>
        </w:rPr>
        <w:t xml:space="preserve">by </w:t>
      </w:r>
      <w:r w:rsidR="00874DB0">
        <w:rPr>
          <w:rFonts w:ascii="Times New Roman" w:hAnsi="Times New Roman" w:cs="Times New Roman"/>
          <w:sz w:val="24"/>
          <w:szCs w:val="24"/>
          <w:lang w:val="en-US"/>
        </w:rPr>
        <w:t>studying</w:t>
      </w:r>
      <w:r w:rsidR="00D13355" w:rsidRPr="00E85554">
        <w:rPr>
          <w:rFonts w:ascii="Times New Roman" w:hAnsi="Times New Roman" w:cs="Times New Roman"/>
          <w:sz w:val="24"/>
          <w:szCs w:val="24"/>
          <w:lang w:val="en-US"/>
        </w:rPr>
        <w:t xml:space="preserve"> </w:t>
      </w:r>
      <w:r w:rsidR="00EA6FC2" w:rsidRPr="00E85554">
        <w:rPr>
          <w:rFonts w:ascii="Times New Roman" w:hAnsi="Times New Roman" w:cs="Times New Roman"/>
          <w:sz w:val="24"/>
          <w:szCs w:val="24"/>
          <w:lang w:val="en-US"/>
        </w:rPr>
        <w:t xml:space="preserve">how </w:t>
      </w:r>
      <w:r w:rsidR="00D13355" w:rsidRPr="00E85554">
        <w:rPr>
          <w:rFonts w:ascii="Times New Roman" w:hAnsi="Times New Roman" w:cs="Times New Roman"/>
          <w:sz w:val="24"/>
          <w:szCs w:val="24"/>
          <w:lang w:val="en-US"/>
        </w:rPr>
        <w:t>foreign</w:t>
      </w:r>
      <w:r w:rsidR="00580DC8" w:rsidRPr="00E85554">
        <w:rPr>
          <w:rFonts w:ascii="Times New Roman" w:hAnsi="Times New Roman" w:cs="Times New Roman"/>
          <w:sz w:val="24"/>
          <w:szCs w:val="24"/>
          <w:lang w:val="en-US"/>
        </w:rPr>
        <w:t xml:space="preserve"> </w:t>
      </w:r>
      <w:r w:rsidR="00D13355" w:rsidRPr="00E85554">
        <w:rPr>
          <w:rFonts w:ascii="Times New Roman" w:hAnsi="Times New Roman" w:cs="Times New Roman"/>
          <w:sz w:val="24"/>
          <w:szCs w:val="24"/>
          <w:lang w:val="en-US"/>
        </w:rPr>
        <w:t>governance practices might</w:t>
      </w:r>
      <w:r w:rsidR="00EA6FC2" w:rsidRPr="00E85554">
        <w:rPr>
          <w:rFonts w:ascii="Times New Roman" w:hAnsi="Times New Roman" w:cs="Times New Roman"/>
          <w:sz w:val="24"/>
          <w:szCs w:val="24"/>
          <w:lang w:val="en-US"/>
        </w:rPr>
        <w:t xml:space="preserve"> </w:t>
      </w:r>
      <w:r w:rsidR="00D13355" w:rsidRPr="00E85554">
        <w:rPr>
          <w:rFonts w:ascii="Times New Roman" w:hAnsi="Times New Roman" w:cs="Times New Roman"/>
          <w:sz w:val="24"/>
          <w:szCs w:val="24"/>
          <w:lang w:val="en-US"/>
        </w:rPr>
        <w:t xml:space="preserve">get </w:t>
      </w:r>
      <w:r w:rsidR="00EA6FC2" w:rsidRPr="00E85554">
        <w:rPr>
          <w:rFonts w:ascii="Times New Roman" w:hAnsi="Times New Roman" w:cs="Times New Roman"/>
          <w:sz w:val="24"/>
          <w:szCs w:val="24"/>
          <w:lang w:val="en-US"/>
        </w:rPr>
        <w:t xml:space="preserve">‘lost in translation’ </w:t>
      </w:r>
      <w:r w:rsidR="00D13355" w:rsidRPr="00E85554">
        <w:rPr>
          <w:rFonts w:ascii="Times New Roman" w:hAnsi="Times New Roman" w:cs="Times New Roman"/>
          <w:sz w:val="24"/>
          <w:szCs w:val="24"/>
          <w:lang w:val="en-US"/>
        </w:rPr>
        <w:t xml:space="preserve">unless properly activated through internal governance mechanisms (ownership) or </w:t>
      </w:r>
      <w:r w:rsidR="00EA6FC2" w:rsidRPr="00E85554">
        <w:rPr>
          <w:rFonts w:ascii="Times New Roman" w:hAnsi="Times New Roman" w:cs="Times New Roman"/>
          <w:sz w:val="24"/>
          <w:szCs w:val="24"/>
          <w:lang w:val="en-US"/>
        </w:rPr>
        <w:t xml:space="preserve">when </w:t>
      </w:r>
      <w:r w:rsidR="00D13355" w:rsidRPr="00E85554">
        <w:rPr>
          <w:rFonts w:ascii="Times New Roman" w:hAnsi="Times New Roman" w:cs="Times New Roman"/>
          <w:sz w:val="24"/>
          <w:szCs w:val="24"/>
          <w:lang w:val="en-US"/>
        </w:rPr>
        <w:t>sufficiently exposed to international governance pressures</w:t>
      </w:r>
      <w:r w:rsidR="00F45EA2" w:rsidRPr="00E85554">
        <w:rPr>
          <w:rFonts w:ascii="Times New Roman" w:hAnsi="Times New Roman" w:cs="Times New Roman"/>
          <w:sz w:val="24"/>
          <w:szCs w:val="24"/>
          <w:lang w:val="en-US"/>
        </w:rPr>
        <w:t xml:space="preserve"> </w:t>
      </w:r>
      <w:r w:rsidR="00F45EA2" w:rsidRPr="00E85554">
        <w:rPr>
          <w:rFonts w:ascii="Times New Roman" w:hAnsi="Times New Roman" w:cs="Times New Roman"/>
          <w:sz w:val="24"/>
          <w:szCs w:val="24"/>
          <w:lang w:val="en-US"/>
        </w:rPr>
        <w:fldChar w:fldCharType="begin"/>
      </w:r>
      <w:r w:rsidR="00F45EA2" w:rsidRPr="00E85554">
        <w:rPr>
          <w:rFonts w:ascii="Times New Roman" w:hAnsi="Times New Roman" w:cs="Times New Roman"/>
          <w:sz w:val="24"/>
          <w:szCs w:val="24"/>
          <w:lang w:val="en-US"/>
        </w:rPr>
        <w:instrText xml:space="preserve"> ADDIN EN.CITE &lt;EndNote&gt;&lt;Cite&gt;&lt;Author&gt;Bell&lt;/Author&gt;&lt;Year&gt;2014&lt;/Year&gt;&lt;RecNum&gt;649&lt;/RecNum&gt;&lt;DisplayText&gt;(Aguilera et al., 2017; Bell et al., 2014)&lt;/DisplayText&gt;&lt;record&gt;&lt;rec-number&gt;649&lt;/rec-number&gt;&lt;foreign-keys&gt;&lt;key app="EN" db-id="xdsfzvadmzzxdzereeq5xdf7eaxsdwfdfave" timestamp="1477858417"&gt;649&lt;/key&gt;&lt;/foreign-keys&gt;&lt;ref-type name="Journal Article"&gt;17&lt;/ref-type&gt;&lt;contributors&gt;&lt;authors&gt;&lt;author&gt;Bell, R Greg&lt;/author&gt;&lt;author&gt;Filatotchev, Igor&lt;/author&gt;&lt;author&gt;Aguilera, Ruth V&lt;/author&gt;&lt;/authors&gt;&lt;/contributors&gt;&lt;titles&gt;&lt;title&gt;Corporate governance and investors&amp;apos; perceptions of foreign IPO value: An institutional perspective&lt;/title&gt;&lt;secondary-title&gt;Academy of Management Journal&lt;/secondary-title&gt;&lt;/titles&gt;&lt;periodical&gt;&lt;full-title&gt;Academy of Management Journal&lt;/full-title&gt;&lt;/periodical&gt;&lt;pages&gt;301-320&lt;/pages&gt;&lt;volume&gt;57&lt;/volume&gt;&lt;number&gt;1&lt;/number&gt;&lt;dates&gt;&lt;year&gt;2014&lt;/year&gt;&lt;/dates&gt;&lt;isbn&gt;0001-4273&lt;/isbn&gt;&lt;urls&gt;&lt;/urls&gt;&lt;/record&gt;&lt;/Cite&gt;&lt;Cite&gt;&lt;Author&gt;Aguilera&lt;/Author&gt;&lt;Year&gt;2017&lt;/Year&gt;&lt;RecNum&gt;730&lt;/RecNum&gt;&lt;record&gt;&lt;rec-number&gt;730&lt;/rec-number&gt;&lt;foreign-keys&gt;&lt;key app="EN" db-id="xdsfzvadmzzxdzereeq5xdf7eaxsdwfdfave" timestamp="1493370923"&gt;730&lt;/key&gt;&lt;/foreign-keys&gt;&lt;ref-type name="Journal Article"&gt;17&lt;/ref-type&gt;&lt;contributors&gt;&lt;authors&gt;&lt;author&gt;Aguilera, Ruth V&lt;/author&gt;&lt;author&gt;Desender, Kurt A&lt;/author&gt;&lt;author&gt;Lamy, Mónica López-Puertas&lt;/author&gt;&lt;author&gt;Lee, Jun Ho&lt;/author&gt;&lt;/authors&gt;&lt;/contributors&gt;&lt;titles&gt;&lt;title&gt;The governance impact of a changing investor landscape&lt;/title&gt;&lt;secondary-title&gt;Journal of International Business Studies&lt;/secondary-title&gt;&lt;/titles&gt;&lt;periodical&gt;&lt;full-title&gt;Journal of International Business Studies&lt;/full-title&gt;&lt;/periodical&gt;&lt;pages&gt;195-221&lt;/pages&gt;&lt;volume&gt;48&lt;/volume&gt;&lt;number&gt;2&lt;/number&gt;&lt;dates&gt;&lt;year&gt;2017&lt;/year&gt;&lt;/dates&gt;&lt;isbn&gt;0047-2506&lt;/isbn&gt;&lt;urls&gt;&lt;/urls&gt;&lt;/record&gt;&lt;/Cite&gt;&lt;/EndNote&gt;</w:instrText>
      </w:r>
      <w:r w:rsidR="00F45EA2" w:rsidRPr="00E85554">
        <w:rPr>
          <w:rFonts w:ascii="Times New Roman" w:hAnsi="Times New Roman" w:cs="Times New Roman"/>
          <w:sz w:val="24"/>
          <w:szCs w:val="24"/>
          <w:lang w:val="en-US"/>
        </w:rPr>
        <w:fldChar w:fldCharType="separate"/>
      </w:r>
      <w:r w:rsidR="00F45EA2" w:rsidRPr="00E85554">
        <w:rPr>
          <w:rFonts w:ascii="Times New Roman" w:hAnsi="Times New Roman" w:cs="Times New Roman"/>
          <w:noProof/>
          <w:sz w:val="24"/>
          <w:szCs w:val="24"/>
          <w:lang w:val="en-US"/>
        </w:rPr>
        <w:t>(</w:t>
      </w:r>
      <w:hyperlink w:anchor="_ENREF_5" w:tooltip="Aguilera, 2017 #730" w:history="1">
        <w:r w:rsidR="00266C78" w:rsidRPr="00E85554">
          <w:rPr>
            <w:rFonts w:ascii="Times New Roman" w:hAnsi="Times New Roman" w:cs="Times New Roman"/>
            <w:noProof/>
            <w:sz w:val="24"/>
            <w:szCs w:val="24"/>
            <w:lang w:val="en-US"/>
          </w:rPr>
          <w:t>Aguilera et al., 2017</w:t>
        </w:r>
      </w:hyperlink>
      <w:r w:rsidR="00F45EA2" w:rsidRPr="00E85554">
        <w:rPr>
          <w:rFonts w:ascii="Times New Roman" w:hAnsi="Times New Roman" w:cs="Times New Roman"/>
          <w:noProof/>
          <w:sz w:val="24"/>
          <w:szCs w:val="24"/>
          <w:lang w:val="en-US"/>
        </w:rPr>
        <w:t xml:space="preserve">; </w:t>
      </w:r>
      <w:hyperlink w:anchor="_ENREF_11" w:tooltip="Bell, 2014 #649" w:history="1">
        <w:r w:rsidR="00266C78" w:rsidRPr="00E85554">
          <w:rPr>
            <w:rFonts w:ascii="Times New Roman" w:hAnsi="Times New Roman" w:cs="Times New Roman"/>
            <w:noProof/>
            <w:sz w:val="24"/>
            <w:szCs w:val="24"/>
            <w:lang w:val="en-US"/>
          </w:rPr>
          <w:t>Bell et al., 2014</w:t>
        </w:r>
      </w:hyperlink>
      <w:r w:rsidR="00F45EA2" w:rsidRPr="00E85554">
        <w:rPr>
          <w:rFonts w:ascii="Times New Roman" w:hAnsi="Times New Roman" w:cs="Times New Roman"/>
          <w:noProof/>
          <w:sz w:val="24"/>
          <w:szCs w:val="24"/>
          <w:lang w:val="en-US"/>
        </w:rPr>
        <w:t>)</w:t>
      </w:r>
      <w:r w:rsidR="00F45EA2" w:rsidRPr="00E85554">
        <w:rPr>
          <w:rFonts w:ascii="Times New Roman" w:hAnsi="Times New Roman" w:cs="Times New Roman"/>
          <w:sz w:val="24"/>
          <w:szCs w:val="24"/>
          <w:lang w:val="en-US"/>
        </w:rPr>
        <w:fldChar w:fldCharType="end"/>
      </w:r>
      <w:r w:rsidR="000B6461" w:rsidRPr="00E85554">
        <w:rPr>
          <w:rFonts w:ascii="Times New Roman" w:hAnsi="Times New Roman" w:cs="Times New Roman"/>
          <w:sz w:val="24"/>
          <w:szCs w:val="24"/>
          <w:lang w:val="en-US"/>
        </w:rPr>
        <w:t xml:space="preserve">. </w:t>
      </w:r>
    </w:p>
    <w:p w14:paraId="4FE6502C" w14:textId="27C9C2C9" w:rsidR="000E5628" w:rsidRPr="00E85554" w:rsidRDefault="00BD0B03" w:rsidP="00755613">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Third</w:t>
      </w:r>
      <w:r w:rsidR="000B6461" w:rsidRPr="00E85554">
        <w:rPr>
          <w:rFonts w:ascii="Times New Roman" w:hAnsi="Times New Roman" w:cs="Times New Roman"/>
          <w:sz w:val="24"/>
          <w:szCs w:val="24"/>
          <w:lang w:val="en-US"/>
        </w:rPr>
        <w:t xml:space="preserve">, we contribute to </w:t>
      </w:r>
      <w:r w:rsidR="00453645" w:rsidRPr="00E85554">
        <w:rPr>
          <w:rFonts w:ascii="Times New Roman" w:hAnsi="Times New Roman" w:cs="Times New Roman"/>
          <w:sz w:val="24"/>
          <w:szCs w:val="24"/>
          <w:lang w:val="en-US"/>
        </w:rPr>
        <w:t xml:space="preserve">contextual </w:t>
      </w:r>
      <w:r w:rsidR="000B6461" w:rsidRPr="00E85554">
        <w:rPr>
          <w:rFonts w:ascii="Times New Roman" w:hAnsi="Times New Roman" w:cs="Times New Roman"/>
          <w:sz w:val="24"/>
          <w:szCs w:val="24"/>
          <w:lang w:val="en-US"/>
        </w:rPr>
        <w:t xml:space="preserve">research on state capitalism </w:t>
      </w:r>
      <w:r w:rsidR="000B6461" w:rsidRPr="00E85554">
        <w:rPr>
          <w:rFonts w:ascii="Times New Roman" w:hAnsi="Times New Roman" w:cs="Times New Roman"/>
          <w:sz w:val="24"/>
          <w:szCs w:val="24"/>
          <w:lang w:val="en-US"/>
        </w:rPr>
        <w:fldChar w:fldCharType="begin">
          <w:fldData xml:space="preserve">PEVuZE5vdGU+PENpdGU+PEF1dGhvcj5NdXNhY2NoaW88L0F1dGhvcj48WWVhcj4yMDE1PC9ZZWFy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</w:fldData>
        </w:fldChar>
      </w:r>
      <w:r w:rsidR="00572B64" w:rsidRPr="00E85554">
        <w:rPr>
          <w:rFonts w:ascii="Times New Roman" w:hAnsi="Times New Roman" w:cs="Times New Roman"/>
          <w:sz w:val="24"/>
          <w:szCs w:val="24"/>
          <w:lang w:val="en-US"/>
        </w:rPr>
        <w:instrText xml:space="preserve"> ADDIN EN.CITE </w:instrText>
      </w:r>
      <w:r w:rsidR="00572B64" w:rsidRPr="00E85554">
        <w:rPr>
          <w:rFonts w:ascii="Times New Roman" w:hAnsi="Times New Roman" w:cs="Times New Roman"/>
          <w:sz w:val="24"/>
          <w:szCs w:val="24"/>
          <w:lang w:val="en-US"/>
        </w:rPr>
        <w:fldChar w:fldCharType="begin">
          <w:fldData xml:space="preserve">PEVuZE5vdGU+PENpdGU+PEF1dGhvcj5NdXNhY2NoaW88L0F1dGhvcj48WWVhcj4yMDE1PC9ZZWFy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</w:fldData>
        </w:fldChar>
      </w:r>
      <w:r w:rsidR="00572B64" w:rsidRPr="00E85554">
        <w:rPr>
          <w:rFonts w:ascii="Times New Roman" w:hAnsi="Times New Roman" w:cs="Times New Roman"/>
          <w:sz w:val="24"/>
          <w:szCs w:val="24"/>
          <w:lang w:val="en-US"/>
        </w:rPr>
        <w:instrText xml:space="preserve"> ADDIN EN.CITE.DATA </w:instrText>
      </w:r>
      <w:r w:rsidR="00572B64" w:rsidRPr="00E85554">
        <w:rPr>
          <w:rFonts w:ascii="Times New Roman" w:hAnsi="Times New Roman" w:cs="Times New Roman"/>
          <w:sz w:val="24"/>
          <w:szCs w:val="24"/>
          <w:lang w:val="en-US"/>
        </w:rPr>
      </w:r>
      <w:r w:rsidR="00572B64" w:rsidRPr="00E85554">
        <w:rPr>
          <w:rFonts w:ascii="Times New Roman" w:hAnsi="Times New Roman" w:cs="Times New Roman"/>
          <w:sz w:val="24"/>
          <w:szCs w:val="24"/>
          <w:lang w:val="en-US"/>
        </w:rPr>
        <w:fldChar w:fldCharType="end"/>
      </w:r>
      <w:r w:rsidR="000B6461" w:rsidRPr="00E85554">
        <w:rPr>
          <w:rFonts w:ascii="Times New Roman" w:hAnsi="Times New Roman" w:cs="Times New Roman"/>
          <w:sz w:val="24"/>
          <w:szCs w:val="24"/>
          <w:lang w:val="en-US"/>
        </w:rPr>
      </w:r>
      <w:r w:rsidR="000B6461" w:rsidRPr="00E85554">
        <w:rPr>
          <w:rFonts w:ascii="Times New Roman" w:hAnsi="Times New Roman" w:cs="Times New Roman"/>
          <w:sz w:val="24"/>
          <w:szCs w:val="24"/>
          <w:lang w:val="en-US"/>
        </w:rPr>
        <w:fldChar w:fldCharType="separate"/>
      </w:r>
      <w:r w:rsidR="00C44E26" w:rsidRPr="00E85554">
        <w:rPr>
          <w:rFonts w:ascii="Times New Roman" w:hAnsi="Times New Roman" w:cs="Times New Roman"/>
          <w:noProof/>
          <w:sz w:val="24"/>
          <w:szCs w:val="24"/>
          <w:lang w:val="en-US"/>
        </w:rPr>
        <w:t>(</w:t>
      </w:r>
      <w:hyperlink w:anchor="_ENREF_52" w:tooltip="Grosman, 2016 #385" w:history="1">
        <w:r w:rsidR="00266C78" w:rsidRPr="00E85554">
          <w:rPr>
            <w:rFonts w:ascii="Times New Roman" w:hAnsi="Times New Roman" w:cs="Times New Roman"/>
            <w:noProof/>
            <w:sz w:val="24"/>
            <w:szCs w:val="24"/>
            <w:lang w:val="en-US"/>
          </w:rPr>
          <w:t>Grosman et al., 2016</w:t>
        </w:r>
      </w:hyperlink>
      <w:r w:rsidR="00C44E26" w:rsidRPr="00E85554">
        <w:rPr>
          <w:rFonts w:ascii="Times New Roman" w:hAnsi="Times New Roman" w:cs="Times New Roman"/>
          <w:noProof/>
          <w:sz w:val="24"/>
          <w:szCs w:val="24"/>
          <w:lang w:val="en-US"/>
        </w:rPr>
        <w:t xml:space="preserve">; </w:t>
      </w:r>
      <w:hyperlink w:anchor="_ENREF_67" w:tooltip="Lazzarini, 2015 #594" w:history="1">
        <w:r w:rsidR="00266C78" w:rsidRPr="00E85554">
          <w:rPr>
            <w:rFonts w:ascii="Times New Roman" w:hAnsi="Times New Roman" w:cs="Times New Roman"/>
            <w:noProof/>
            <w:sz w:val="24"/>
            <w:szCs w:val="24"/>
            <w:lang w:val="en-US"/>
          </w:rPr>
          <w:t>Lazzarini, 2015</w:t>
        </w:r>
      </w:hyperlink>
      <w:r w:rsidR="00C44E26" w:rsidRPr="00E85554">
        <w:rPr>
          <w:rFonts w:ascii="Times New Roman" w:hAnsi="Times New Roman" w:cs="Times New Roman"/>
          <w:noProof/>
          <w:sz w:val="24"/>
          <w:szCs w:val="24"/>
          <w:lang w:val="en-US"/>
        </w:rPr>
        <w:t xml:space="preserve">; </w:t>
      </w:r>
      <w:hyperlink w:anchor="_ENREF_72" w:tooltip="Megginson, 2017 #791" w:history="1">
        <w:r w:rsidR="00266C78" w:rsidRPr="00E85554">
          <w:rPr>
            <w:rFonts w:ascii="Times New Roman" w:hAnsi="Times New Roman" w:cs="Times New Roman"/>
            <w:noProof/>
            <w:sz w:val="24"/>
            <w:szCs w:val="24"/>
            <w:lang w:val="en-US"/>
          </w:rPr>
          <w:t>Megginson, 2017</w:t>
        </w:r>
      </w:hyperlink>
      <w:r w:rsidR="00C44E26" w:rsidRPr="00E85554">
        <w:rPr>
          <w:rFonts w:ascii="Times New Roman" w:hAnsi="Times New Roman" w:cs="Times New Roman"/>
          <w:noProof/>
          <w:sz w:val="24"/>
          <w:szCs w:val="24"/>
          <w:lang w:val="en-US"/>
        </w:rPr>
        <w:t xml:space="preserve">; </w:t>
      </w:r>
      <w:hyperlink w:anchor="_ENREF_78" w:tooltip="Musacchio, 2015 #272" w:history="1">
        <w:r w:rsidR="00266C78" w:rsidRPr="00E85554">
          <w:rPr>
            <w:rFonts w:ascii="Times New Roman" w:hAnsi="Times New Roman" w:cs="Times New Roman"/>
            <w:noProof/>
            <w:sz w:val="24"/>
            <w:szCs w:val="24"/>
            <w:lang w:val="en-US"/>
          </w:rPr>
          <w:t>Musacchio et al., 2015</w:t>
        </w:r>
      </w:hyperlink>
      <w:r w:rsidR="00C44E26" w:rsidRPr="00E85554">
        <w:rPr>
          <w:rFonts w:ascii="Times New Roman" w:hAnsi="Times New Roman" w:cs="Times New Roman"/>
          <w:noProof/>
          <w:sz w:val="24"/>
          <w:szCs w:val="24"/>
          <w:lang w:val="en-US"/>
        </w:rPr>
        <w:t>)</w:t>
      </w:r>
      <w:r w:rsidR="000B6461" w:rsidRPr="00E85554">
        <w:rPr>
          <w:rFonts w:ascii="Times New Roman" w:hAnsi="Times New Roman" w:cs="Times New Roman"/>
          <w:sz w:val="24"/>
          <w:szCs w:val="24"/>
          <w:lang w:val="en-US"/>
        </w:rPr>
        <w:fldChar w:fldCharType="end"/>
      </w:r>
      <w:r w:rsidR="000B6461" w:rsidRPr="00E85554">
        <w:rPr>
          <w:rFonts w:ascii="Times New Roman" w:hAnsi="Times New Roman" w:cs="Times New Roman"/>
          <w:sz w:val="24"/>
          <w:szCs w:val="24"/>
          <w:lang w:val="en-US"/>
        </w:rPr>
        <w:t xml:space="preserve"> by </w:t>
      </w:r>
      <w:r w:rsidR="0099591C" w:rsidRPr="00E85554">
        <w:rPr>
          <w:rFonts w:ascii="Times New Roman" w:hAnsi="Times New Roman" w:cs="Times New Roman"/>
          <w:sz w:val="24"/>
          <w:szCs w:val="24"/>
          <w:lang w:val="en-US"/>
        </w:rPr>
        <w:t xml:space="preserve">extending the </w:t>
      </w:r>
      <w:r w:rsidR="00453645" w:rsidRPr="00E85554">
        <w:rPr>
          <w:rFonts w:ascii="Times New Roman" w:hAnsi="Times New Roman" w:cs="Times New Roman"/>
          <w:sz w:val="24"/>
          <w:szCs w:val="24"/>
          <w:lang w:val="en-US"/>
        </w:rPr>
        <w:t xml:space="preserve">emerging </w:t>
      </w:r>
      <w:r w:rsidR="0099591C" w:rsidRPr="00E85554">
        <w:rPr>
          <w:rFonts w:ascii="Times New Roman" w:hAnsi="Times New Roman" w:cs="Times New Roman"/>
          <w:sz w:val="24"/>
          <w:szCs w:val="24"/>
          <w:lang w:val="en-US"/>
        </w:rPr>
        <w:t xml:space="preserve">literature on boards </w:t>
      </w:r>
      <w:r w:rsidR="0099591C" w:rsidRPr="00E85554">
        <w:rPr>
          <w:rFonts w:ascii="Times New Roman" w:hAnsi="Times New Roman" w:cs="Times New Roman"/>
          <w:sz w:val="24"/>
          <w:szCs w:val="24"/>
          <w:lang w:val="en-US"/>
        </w:rPr>
        <w:fldChar w:fldCharType="begin"/>
      </w:r>
      <w:r w:rsidR="0099591C" w:rsidRPr="00E85554">
        <w:rPr>
          <w:rFonts w:ascii="Times New Roman" w:hAnsi="Times New Roman" w:cs="Times New Roman"/>
          <w:sz w:val="24"/>
          <w:szCs w:val="24"/>
          <w:lang w:val="en-US"/>
        </w:rPr>
        <w:instrText xml:space="preserve"> ADDIN EN.CITE &lt;EndNote&gt;&lt;Cite&gt;&lt;Author&gt;Muravyev&lt;/Author&gt;&lt;Year&gt;2014&lt;/Year&gt;&lt;RecNum&gt;790&lt;/RecNum&gt;&lt;DisplayText&gt;(Muravyev, 2017; Muravyev et al., 2014)&lt;/DisplayText&gt;&lt;record&gt;&lt;rec-number&gt;790&lt;/rec-number&gt;&lt;foreign-keys&gt;&lt;key app="EN" db-id="xdsfzvadmzzxdzereeq5xdf7eaxsdwfdfave" timestamp="1512601804"&gt;790&lt;/key&gt;&lt;/foreign-keys&gt;&lt;ref-type name="Journal Article"&gt;17&lt;/ref-type&gt;&lt;contributors&gt;&lt;authors&gt;&lt;author&gt;Muravyev, Alexander&lt;/author&gt;&lt;author&gt;Berezinets, Irina&lt;/author&gt;&lt;author&gt;Ilina, Yulia&lt;/author&gt;&lt;/authors&gt;&lt;/contributors&gt;&lt;titles&gt;&lt;title&gt;The structure of corporate boards and private benefits of control: evidence from the Russian stock exchange&lt;/title&gt;&lt;secondary-title&gt;International Review of Financial Analysis&lt;/secondary-title&gt;&lt;/titles&gt;&lt;periodical&gt;&lt;full-title&gt;International Review of Financial Analysis&lt;/full-title&gt;&lt;/periodical&gt;&lt;pages&gt;247-261&lt;/pages&gt;&lt;volume&gt;34&lt;/volume&gt;&lt;dates&gt;&lt;year&gt;2014&lt;/year&gt;&lt;/dates&gt;&lt;isbn&gt;1057-5219&lt;/isbn&gt;&lt;urls&gt;&lt;/urls&gt;&lt;/record&gt;&lt;/Cite&gt;&lt;Cite&gt;&lt;Author&gt;Muravyev&lt;/Author&gt;&lt;Year&gt;2017&lt;/Year&gt;&lt;RecNum&gt;843&lt;/RecNum&gt;&lt;record&gt;&lt;rec-number&gt;843&lt;/rec-number&gt;&lt;foreign-keys&gt;&lt;key app="EN" db-id="xdsfzvadmzzxdzereeq5xdf7eaxsdwfdfave" timestamp="1516279009"&gt;843&lt;/key&gt;&lt;/foreign-keys&gt;&lt;ref-type name="Journal Article"&gt;17&lt;/ref-type&gt;&lt;contributors&gt;&lt;authors&gt;&lt;author&gt;Muravyev, Alexander&lt;/author&gt;&lt;/authors&gt;&lt;/contributors&gt;&lt;titles&gt;&lt;title&gt;Boards of directors in Russian publicly traded companies in 1998–2014: Structure, dynamics and performance effects&lt;/title&gt;&lt;secondary-title&gt;Economic Systems&lt;/secondary-title&gt;&lt;/titles&gt;&lt;periodical&gt;&lt;full-title&gt;Economic Systems&lt;/full-title&gt;&lt;/periodical&gt;&lt;pages&gt;5-25&lt;/pages&gt;&lt;volume&gt;41&lt;/volume&gt;&lt;number&gt;1&lt;/number&gt;&lt;dates&gt;&lt;year&gt;2017&lt;/year&gt;&lt;/dates&gt;&lt;isbn&gt;0939-3625&lt;/isbn&gt;&lt;urls&gt;&lt;/urls&gt;&lt;/record&gt;&lt;/Cite&gt;&lt;/EndNote&gt;</w:instrText>
      </w:r>
      <w:r w:rsidR="0099591C" w:rsidRPr="00E85554">
        <w:rPr>
          <w:rFonts w:ascii="Times New Roman" w:hAnsi="Times New Roman" w:cs="Times New Roman"/>
          <w:sz w:val="24"/>
          <w:szCs w:val="24"/>
          <w:lang w:val="en-US"/>
        </w:rPr>
        <w:fldChar w:fldCharType="separate"/>
      </w:r>
      <w:r w:rsidR="0099591C" w:rsidRPr="00E85554">
        <w:rPr>
          <w:rFonts w:ascii="Times New Roman" w:hAnsi="Times New Roman" w:cs="Times New Roman"/>
          <w:noProof/>
          <w:sz w:val="24"/>
          <w:szCs w:val="24"/>
          <w:lang w:val="en-US"/>
        </w:rPr>
        <w:t>(</w:t>
      </w:r>
      <w:hyperlink w:anchor="_ENREF_76" w:tooltip="Muravyev, 2017 #843" w:history="1">
        <w:r w:rsidR="00266C78" w:rsidRPr="00E85554">
          <w:rPr>
            <w:rFonts w:ascii="Times New Roman" w:hAnsi="Times New Roman" w:cs="Times New Roman"/>
            <w:noProof/>
            <w:sz w:val="24"/>
            <w:szCs w:val="24"/>
            <w:lang w:val="en-US"/>
          </w:rPr>
          <w:t>Muravyev, 2017</w:t>
        </w:r>
      </w:hyperlink>
      <w:r w:rsidR="0099591C" w:rsidRPr="00E85554">
        <w:rPr>
          <w:rFonts w:ascii="Times New Roman" w:hAnsi="Times New Roman" w:cs="Times New Roman"/>
          <w:noProof/>
          <w:sz w:val="24"/>
          <w:szCs w:val="24"/>
          <w:lang w:val="en-US"/>
        </w:rPr>
        <w:t xml:space="preserve">; </w:t>
      </w:r>
      <w:hyperlink w:anchor="_ENREF_77" w:tooltip="Muravyev, 2014 #842" w:history="1">
        <w:r w:rsidR="00266C78" w:rsidRPr="00E85554">
          <w:rPr>
            <w:rFonts w:ascii="Times New Roman" w:hAnsi="Times New Roman" w:cs="Times New Roman"/>
            <w:noProof/>
            <w:sz w:val="24"/>
            <w:szCs w:val="24"/>
            <w:lang w:val="en-US"/>
          </w:rPr>
          <w:t>Muravyev et al., 2014</w:t>
        </w:r>
      </w:hyperlink>
      <w:r w:rsidR="0099591C" w:rsidRPr="00E85554">
        <w:rPr>
          <w:rFonts w:ascii="Times New Roman" w:hAnsi="Times New Roman" w:cs="Times New Roman"/>
          <w:noProof/>
          <w:sz w:val="24"/>
          <w:szCs w:val="24"/>
          <w:lang w:val="en-US"/>
        </w:rPr>
        <w:t>)</w:t>
      </w:r>
      <w:r w:rsidR="0099591C" w:rsidRPr="00E85554">
        <w:rPr>
          <w:rFonts w:ascii="Times New Roman" w:hAnsi="Times New Roman" w:cs="Times New Roman"/>
          <w:sz w:val="24"/>
          <w:szCs w:val="24"/>
          <w:lang w:val="en-US"/>
        </w:rPr>
        <w:fldChar w:fldCharType="end"/>
      </w:r>
      <w:r w:rsidR="00453645" w:rsidRPr="00E85554">
        <w:rPr>
          <w:rFonts w:ascii="Times New Roman" w:hAnsi="Times New Roman" w:cs="Times New Roman"/>
          <w:sz w:val="24"/>
          <w:szCs w:val="24"/>
          <w:lang w:val="en-US"/>
        </w:rPr>
        <w:t xml:space="preserve"> to consider the relationship with ownership types (Chernykh, 2008; Durnev et al., 2005; Iwasaki et al., 2017)</w:t>
      </w:r>
      <w:r w:rsidR="002A5144" w:rsidRPr="00E85554">
        <w:rPr>
          <w:rFonts w:ascii="Times New Roman" w:hAnsi="Times New Roman" w:cs="Times New Roman"/>
          <w:sz w:val="24"/>
          <w:szCs w:val="24"/>
          <w:lang w:val="en-US"/>
        </w:rPr>
        <w:t xml:space="preserve">. </w:t>
      </w:r>
      <w:r w:rsidR="00453645" w:rsidRPr="00E85554">
        <w:rPr>
          <w:rFonts w:ascii="Times New Roman" w:hAnsi="Times New Roman" w:cs="Times New Roman"/>
          <w:sz w:val="24"/>
          <w:szCs w:val="24"/>
          <w:lang w:val="en-US"/>
        </w:rPr>
        <w:t xml:space="preserve">Specifically, we </w:t>
      </w:r>
      <w:r w:rsidR="007E5185" w:rsidRPr="00E85554">
        <w:rPr>
          <w:rFonts w:ascii="Times New Roman" w:hAnsi="Times New Roman" w:cs="Times New Roman"/>
          <w:sz w:val="24"/>
          <w:szCs w:val="24"/>
          <w:lang w:val="en-US"/>
        </w:rPr>
        <w:t xml:space="preserve">offer insights </w:t>
      </w:r>
      <w:r w:rsidR="002549F7" w:rsidRPr="00E85554">
        <w:rPr>
          <w:rFonts w:ascii="Times New Roman" w:hAnsi="Times New Roman" w:cs="Times New Roman"/>
          <w:sz w:val="24"/>
          <w:szCs w:val="24"/>
          <w:lang w:val="en-US"/>
        </w:rPr>
        <w:t xml:space="preserve">adding </w:t>
      </w:r>
      <w:r w:rsidR="007E5185" w:rsidRPr="00E85554">
        <w:rPr>
          <w:rFonts w:ascii="Times New Roman" w:hAnsi="Times New Roman" w:cs="Times New Roman"/>
          <w:sz w:val="24"/>
          <w:szCs w:val="24"/>
          <w:lang w:val="en-US"/>
        </w:rPr>
        <w:t>to</w:t>
      </w:r>
      <w:r w:rsidR="00453645" w:rsidRPr="00E85554">
        <w:rPr>
          <w:rFonts w:ascii="Times New Roman" w:hAnsi="Times New Roman" w:cs="Times New Roman"/>
          <w:sz w:val="24"/>
          <w:szCs w:val="24"/>
          <w:lang w:val="en-US"/>
        </w:rPr>
        <w:t xml:space="preserve"> the limited analysis of the effect of independent directors on firm performance in Russia (Muravyev et al., 2014; </w:t>
      </w:r>
      <w:r w:rsidR="001144C5" w:rsidRPr="00E85554">
        <w:rPr>
          <w:rFonts w:ascii="Times New Roman" w:hAnsi="Times New Roman" w:cs="Times New Roman"/>
          <w:sz w:val="24"/>
          <w:szCs w:val="24"/>
          <w:lang w:val="en-US"/>
        </w:rPr>
        <w:t>Muravyev</w:t>
      </w:r>
      <w:r w:rsidR="00453645" w:rsidRPr="00E85554">
        <w:rPr>
          <w:rFonts w:ascii="Times New Roman" w:hAnsi="Times New Roman" w:cs="Times New Roman"/>
          <w:sz w:val="24"/>
          <w:szCs w:val="24"/>
          <w:lang w:val="en-US"/>
        </w:rPr>
        <w:t>,</w:t>
      </w:r>
      <w:r w:rsidR="001144C5" w:rsidRPr="00E85554">
        <w:rPr>
          <w:rFonts w:ascii="Times New Roman" w:hAnsi="Times New Roman" w:cs="Times New Roman"/>
          <w:sz w:val="24"/>
          <w:szCs w:val="24"/>
          <w:lang w:val="en-US"/>
        </w:rPr>
        <w:t xml:space="preserve"> </w:t>
      </w:r>
      <w:r w:rsidR="007E5185" w:rsidRPr="00E85554">
        <w:rPr>
          <w:rFonts w:ascii="Times New Roman" w:hAnsi="Times New Roman" w:cs="Times New Roman"/>
          <w:sz w:val="24"/>
          <w:szCs w:val="24"/>
          <w:lang w:val="en-US"/>
        </w:rPr>
        <w:t>2017)</w:t>
      </w:r>
      <w:r w:rsidR="001144C5" w:rsidRPr="00E85554">
        <w:rPr>
          <w:rFonts w:ascii="Times New Roman" w:hAnsi="Times New Roman" w:cs="Times New Roman"/>
          <w:sz w:val="24"/>
          <w:szCs w:val="24"/>
          <w:lang w:val="en-US"/>
        </w:rPr>
        <w:t xml:space="preserve"> by analyzing the moderating effects of independent directors for different types of firms’ exposure to </w:t>
      </w:r>
      <w:r w:rsidR="00755613" w:rsidRPr="00E85554">
        <w:rPr>
          <w:rFonts w:ascii="Times New Roman" w:hAnsi="Times New Roman" w:cs="Times New Roman"/>
          <w:sz w:val="24"/>
          <w:szCs w:val="24"/>
          <w:lang w:val="en-US"/>
        </w:rPr>
        <w:t>Anglo-American governance</w:t>
      </w:r>
      <w:r w:rsidR="001144C5" w:rsidRPr="00E85554">
        <w:rPr>
          <w:rFonts w:ascii="Times New Roman" w:hAnsi="Times New Roman" w:cs="Times New Roman"/>
          <w:sz w:val="24"/>
          <w:szCs w:val="24"/>
          <w:lang w:val="en-US"/>
        </w:rPr>
        <w:t xml:space="preserve"> practices and firm ownership.</w:t>
      </w:r>
      <w:r w:rsidR="00EF0717" w:rsidRPr="00E85554">
        <w:rPr>
          <w:rFonts w:ascii="Times New Roman" w:hAnsi="Times New Roman" w:cs="Times New Roman"/>
          <w:sz w:val="24"/>
          <w:szCs w:val="24"/>
          <w:lang w:val="en-US"/>
        </w:rPr>
        <w:t xml:space="preserve"> </w:t>
      </w:r>
    </w:p>
    <w:p w14:paraId="519E96F4" w14:textId="2D2908C2" w:rsidR="00935224" w:rsidRPr="00E85554" w:rsidRDefault="00EF0717" w:rsidP="00D13355">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There are no studies in leading international business journals on corporate governance in </w:t>
      </w:r>
      <w:r w:rsidR="007E5185" w:rsidRPr="00E85554">
        <w:rPr>
          <w:rFonts w:ascii="Times New Roman" w:hAnsi="Times New Roman" w:cs="Times New Roman"/>
          <w:sz w:val="24"/>
          <w:szCs w:val="24"/>
          <w:lang w:val="en-US"/>
        </w:rPr>
        <w:t xml:space="preserve">the </w:t>
      </w:r>
      <w:r w:rsidRPr="00E85554">
        <w:rPr>
          <w:rFonts w:ascii="Times New Roman" w:hAnsi="Times New Roman" w:cs="Times New Roman"/>
          <w:sz w:val="24"/>
          <w:szCs w:val="24"/>
          <w:lang w:val="en-US"/>
        </w:rPr>
        <w:t>‘new’ Russia, with the exception of a few multi-country studies where the focus is not on Russia alone</w:t>
      </w:r>
      <w:r w:rsidR="007E5185" w:rsidRPr="00E85554">
        <w:rPr>
          <w:rFonts w:ascii="Times New Roman" w:hAnsi="Times New Roman" w:cs="Times New Roman"/>
          <w:sz w:val="24"/>
          <w:szCs w:val="24"/>
          <w:lang w:val="en-US"/>
        </w:rPr>
        <w:t xml:space="preserve">, and one purely conceptual </w:t>
      </w:r>
      <w:r w:rsidR="00137D8D">
        <w:rPr>
          <w:rFonts w:ascii="Times New Roman" w:hAnsi="Times New Roman" w:cs="Times New Roman"/>
          <w:sz w:val="24"/>
          <w:szCs w:val="24"/>
          <w:lang w:val="en-US"/>
        </w:rPr>
        <w:t>study</w:t>
      </w:r>
      <w:r w:rsidRPr="00E85554">
        <w:rPr>
          <w:rFonts w:ascii="Times New Roman" w:hAnsi="Times New Roman" w:cs="Times New Roman"/>
          <w:sz w:val="24"/>
          <w:szCs w:val="24"/>
          <w:lang w:val="en-US"/>
        </w:rPr>
        <w:t xml:space="preserve">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&lt;EndNote&gt;&lt;Cite&gt;&lt;Author&gt;Melkumov&lt;/Author&gt;&lt;Year&gt;2009&lt;/Year&gt;&lt;RecNum&gt;339&lt;/RecNum&gt;&lt;DisplayText&gt;(Melkumov, 2009)&lt;/DisplayText&gt;&lt;record&gt;&lt;rec-number&gt;339&lt;/rec-number&gt;&lt;foreign-keys&gt;&lt;key app="EN" db-id="xdsfzvadmzzxdzereeq5xdf7eaxsdwfdfave" timestamp="1448289516"&gt;339&lt;/key&gt;&lt;/foreign-keys&gt;&lt;ref-type name="Journal Article"&gt;17&lt;/ref-type&gt;&lt;contributors&gt;&lt;authors&gt;&lt;author&gt;Melkumov, Dmitri&lt;/author&gt;&lt;/authors&gt;&lt;/contributors&gt;&lt;titles&gt;&lt;title&gt;Institutional background as a determinant of boards of directors’ internal and external roles: The case of Russia&lt;/title&gt;&lt;secondary-title&gt;Journal of World Business&lt;/secondary-title&gt;&lt;/titles&gt;&lt;periodical&gt;&lt;full-title&gt;Journal of World Business&lt;/full-title&gt;&lt;/periodical&gt;&lt;pages&gt;94-103&lt;/pages&gt;&lt;volume&gt;44&lt;/volume&gt;&lt;number&gt;1&lt;/number&gt;&lt;dates&gt;&lt;year&gt;2009&lt;/year&gt;&lt;/dates&gt;&lt;isbn&gt;1090-9516&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73" w:tooltip="Melkumov, 2009 #339" w:history="1">
        <w:r w:rsidR="00266C78" w:rsidRPr="00E85554">
          <w:rPr>
            <w:rFonts w:ascii="Times New Roman" w:hAnsi="Times New Roman" w:cs="Times New Roman"/>
            <w:noProof/>
            <w:sz w:val="24"/>
            <w:szCs w:val="24"/>
            <w:lang w:val="en-US"/>
          </w:rPr>
          <w:t>Melkumov, 2009</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w:t>
      </w:r>
      <w:r w:rsidR="007E5185" w:rsidRPr="00E85554">
        <w:rPr>
          <w:rFonts w:ascii="Times New Roman" w:hAnsi="Times New Roman" w:cs="Times New Roman"/>
          <w:sz w:val="24"/>
          <w:szCs w:val="24"/>
          <w:lang w:val="en-US"/>
        </w:rPr>
        <w:t xml:space="preserve"> Hence, we </w:t>
      </w:r>
      <w:r w:rsidR="007E5185" w:rsidRPr="00E85554">
        <w:rPr>
          <w:rFonts w:ascii="Times New Roman" w:hAnsi="Times New Roman" w:cs="Times New Roman"/>
          <w:sz w:val="24"/>
          <w:szCs w:val="24"/>
          <w:lang w:val="en-US"/>
        </w:rPr>
        <w:lastRenderedPageBreak/>
        <w:t xml:space="preserve">think this </w:t>
      </w:r>
      <w:r w:rsidR="00137D8D">
        <w:rPr>
          <w:rFonts w:ascii="Times New Roman" w:hAnsi="Times New Roman" w:cs="Times New Roman"/>
          <w:sz w:val="24"/>
          <w:szCs w:val="24"/>
          <w:lang w:val="en-US"/>
        </w:rPr>
        <w:t>research</w:t>
      </w:r>
      <w:r w:rsidR="007E5185" w:rsidRPr="00E85554">
        <w:rPr>
          <w:rFonts w:ascii="Times New Roman" w:hAnsi="Times New Roman" w:cs="Times New Roman"/>
          <w:sz w:val="24"/>
          <w:szCs w:val="24"/>
          <w:lang w:val="en-US"/>
        </w:rPr>
        <w:t xml:space="preserve"> is timely and also joins the comparative corporate governance debate on how governance practices travel across different institutional environments</w:t>
      </w:r>
      <w:r w:rsidR="00E0250D">
        <w:rPr>
          <w:rFonts w:ascii="Times New Roman" w:hAnsi="Times New Roman" w:cs="Times New Roman"/>
          <w:sz w:val="24"/>
          <w:szCs w:val="24"/>
          <w:lang w:val="en-US"/>
        </w:rPr>
        <w:t xml:space="preserve"> and the role of MNEs in bridging these two governance worlds</w:t>
      </w:r>
      <w:r w:rsidR="007E5185" w:rsidRPr="00E85554">
        <w:rPr>
          <w:rFonts w:ascii="Times New Roman" w:hAnsi="Times New Roman" w:cs="Times New Roman"/>
          <w:sz w:val="24"/>
          <w:szCs w:val="24"/>
          <w:lang w:val="en-US"/>
        </w:rPr>
        <w:t xml:space="preserve">. </w:t>
      </w:r>
    </w:p>
    <w:p w14:paraId="661EE7B5" w14:textId="77777777" w:rsidR="0009730A" w:rsidRPr="00E85554" w:rsidRDefault="00B374EF" w:rsidP="00283928">
      <w:pPr>
        <w:rPr>
          <w:rFonts w:ascii="Times New Roman" w:hAnsi="Times New Roman" w:cs="Times New Roman"/>
          <w:sz w:val="24"/>
          <w:szCs w:val="24"/>
          <w:lang w:val="en-US"/>
        </w:rPr>
      </w:pPr>
      <w:r w:rsidRPr="00E85554">
        <w:rPr>
          <w:rFonts w:ascii="Times New Roman" w:hAnsi="Times New Roman" w:cs="Times New Roman"/>
          <w:sz w:val="24"/>
          <w:szCs w:val="24"/>
          <w:lang w:val="en-US"/>
        </w:rPr>
        <w:t>EVOLUTION OF NATIONAL CORPORATE GOVERNANCE</w:t>
      </w:r>
    </w:p>
    <w:p w14:paraId="4AABF5E7" w14:textId="77777777" w:rsidR="006C3FEA" w:rsidRPr="00E85554" w:rsidRDefault="006C3FEA" w:rsidP="00D13355">
      <w:pPr>
        <w:spacing w:after="0" w:line="480" w:lineRule="auto"/>
        <w:rPr>
          <w:rFonts w:ascii="Times New Roman" w:hAnsi="Times New Roman" w:cs="Times New Roman"/>
          <w:b/>
          <w:sz w:val="24"/>
          <w:szCs w:val="24"/>
          <w:lang w:val="en-US"/>
        </w:rPr>
      </w:pPr>
      <w:r w:rsidRPr="00E85554">
        <w:rPr>
          <w:rFonts w:ascii="Times New Roman" w:hAnsi="Times New Roman" w:cs="Times New Roman"/>
          <w:b/>
          <w:sz w:val="24"/>
          <w:szCs w:val="24"/>
          <w:lang w:val="en-US"/>
        </w:rPr>
        <w:t>Institutional background</w:t>
      </w:r>
    </w:p>
    <w:p w14:paraId="42056F04" w14:textId="0B899D50" w:rsidR="00FB7A93" w:rsidRPr="00E85554" w:rsidRDefault="0009730A" w:rsidP="00D13355">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The </w:t>
      </w:r>
      <w:r w:rsidR="003C665B" w:rsidRPr="00E85554">
        <w:rPr>
          <w:rFonts w:ascii="Times New Roman" w:hAnsi="Times New Roman" w:cs="Times New Roman"/>
          <w:sz w:val="24"/>
          <w:szCs w:val="24"/>
          <w:lang w:val="en-US"/>
        </w:rPr>
        <w:t>initial Law on Joint Stock Companies (JSC), the main legislative act regulating corporate governance in early 2000</w:t>
      </w:r>
      <w:r w:rsidR="000543B3" w:rsidRPr="00E85554">
        <w:rPr>
          <w:rFonts w:ascii="Times New Roman" w:hAnsi="Times New Roman" w:cs="Times New Roman"/>
          <w:sz w:val="24"/>
          <w:szCs w:val="24"/>
          <w:lang w:val="en-US"/>
        </w:rPr>
        <w:t xml:space="preserve"> and</w:t>
      </w:r>
      <w:r w:rsidR="003C665B" w:rsidRPr="00E85554">
        <w:rPr>
          <w:rFonts w:ascii="Times New Roman" w:hAnsi="Times New Roman" w:cs="Times New Roman"/>
          <w:sz w:val="24"/>
          <w:szCs w:val="24"/>
          <w:lang w:val="en-US"/>
        </w:rPr>
        <w:t xml:space="preserve"> the voluntary </w:t>
      </w:r>
      <w:r w:rsidR="00C85B05" w:rsidRPr="00E85554">
        <w:rPr>
          <w:rFonts w:ascii="Times New Roman" w:hAnsi="Times New Roman" w:cs="Times New Roman"/>
          <w:sz w:val="24"/>
          <w:szCs w:val="24"/>
          <w:lang w:val="en-US"/>
        </w:rPr>
        <w:t xml:space="preserve">Corporate Governance </w:t>
      </w:r>
      <w:r w:rsidR="000543B3" w:rsidRPr="00E85554">
        <w:rPr>
          <w:rFonts w:ascii="Times New Roman" w:hAnsi="Times New Roman" w:cs="Times New Roman"/>
          <w:sz w:val="24"/>
          <w:szCs w:val="24"/>
          <w:lang w:val="en-US"/>
        </w:rPr>
        <w:t xml:space="preserve">Code issued in 2002 </w:t>
      </w:r>
      <w:r w:rsidR="000879AF" w:rsidRPr="00E85554">
        <w:rPr>
          <w:rFonts w:ascii="Times New Roman" w:hAnsi="Times New Roman" w:cs="Times New Roman"/>
          <w:sz w:val="24"/>
          <w:szCs w:val="24"/>
          <w:lang w:val="en-US"/>
        </w:rPr>
        <w:t xml:space="preserve">are </w:t>
      </w:r>
      <w:r w:rsidR="003C665B" w:rsidRPr="00E85554">
        <w:rPr>
          <w:rFonts w:ascii="Times New Roman" w:hAnsi="Times New Roman" w:cs="Times New Roman"/>
          <w:sz w:val="24"/>
          <w:szCs w:val="24"/>
          <w:lang w:val="en-US"/>
        </w:rPr>
        <w:t>seen as attempt</w:t>
      </w:r>
      <w:r w:rsidR="000543B3" w:rsidRPr="00E85554">
        <w:rPr>
          <w:rFonts w:ascii="Times New Roman" w:hAnsi="Times New Roman" w:cs="Times New Roman"/>
          <w:sz w:val="24"/>
          <w:szCs w:val="24"/>
          <w:lang w:val="en-US"/>
        </w:rPr>
        <w:t>s</w:t>
      </w:r>
      <w:r w:rsidR="003C665B" w:rsidRPr="00E85554">
        <w:rPr>
          <w:rFonts w:ascii="Times New Roman" w:hAnsi="Times New Roman" w:cs="Times New Roman"/>
          <w:sz w:val="24"/>
          <w:szCs w:val="24"/>
          <w:lang w:val="en-US"/>
        </w:rPr>
        <w:t xml:space="preserve"> to </w:t>
      </w:r>
      <w:r w:rsidR="00EA78B7" w:rsidRPr="00E85554">
        <w:rPr>
          <w:rFonts w:ascii="Times New Roman" w:hAnsi="Times New Roman" w:cs="Times New Roman"/>
          <w:sz w:val="24"/>
          <w:szCs w:val="24"/>
          <w:lang w:val="en-US"/>
        </w:rPr>
        <w:t xml:space="preserve">integrate </w:t>
      </w:r>
      <w:r w:rsidR="003C665B" w:rsidRPr="00E85554">
        <w:rPr>
          <w:rFonts w:ascii="Times New Roman" w:hAnsi="Times New Roman" w:cs="Times New Roman"/>
          <w:sz w:val="24"/>
          <w:szCs w:val="24"/>
          <w:lang w:val="en-US"/>
        </w:rPr>
        <w:t>an Anglo-</w:t>
      </w:r>
      <w:r w:rsidR="00137D8D">
        <w:rPr>
          <w:rFonts w:ascii="Times New Roman" w:hAnsi="Times New Roman" w:cs="Times New Roman"/>
          <w:sz w:val="24"/>
          <w:szCs w:val="24"/>
          <w:lang w:val="en-US"/>
        </w:rPr>
        <w:t>American</w:t>
      </w:r>
      <w:r w:rsidR="003C665B" w:rsidRPr="00E85554">
        <w:rPr>
          <w:rFonts w:ascii="Times New Roman" w:hAnsi="Times New Roman" w:cs="Times New Roman"/>
          <w:sz w:val="24"/>
          <w:szCs w:val="24"/>
          <w:lang w:val="en-US"/>
        </w:rPr>
        <w:t xml:space="preserve"> model of governance by emphasizing shareholder rights protection </w:t>
      </w:r>
      <w:r w:rsidR="00DA088E">
        <w:rPr>
          <w:rFonts w:ascii="Times New Roman" w:hAnsi="Times New Roman" w:cs="Times New Roman"/>
          <w:sz w:val="24"/>
          <w:szCs w:val="24"/>
          <w:lang w:val="en-US"/>
        </w:rPr>
        <w:fldChar w:fldCharType="begin"/>
      </w:r>
      <w:r w:rsidR="00524332">
        <w:rPr>
          <w:rFonts w:ascii="Times New Roman" w:hAnsi="Times New Roman" w:cs="Times New Roman"/>
          <w:sz w:val="24"/>
          <w:szCs w:val="24"/>
          <w:lang w:val="en-US"/>
        </w:rPr>
        <w:instrText xml:space="preserve"> ADDIN EN.CITE &lt;EndNote&gt;&lt;Cite&gt;&lt;Author&gt;Roberts&lt;/Author&gt;&lt;Year&gt;2004&lt;/Year&gt;&lt;RecNum&gt;633&lt;/RecNum&gt;&lt;DisplayText&gt;(Roberts, 2004)&lt;/DisplayText&gt;&lt;record&gt;&lt;rec-number&gt;633&lt;/rec-number&gt;&lt;foreign-keys&gt;&lt;key app="EN" db-id="xdsfzvadmzzxdzereeq5xdf7eaxsdwfdfave" timestamp="1476974762"&gt;633&lt;/key&gt;&lt;/foreign-keys&gt;&lt;ref-type name="Journal Article"&gt;17&lt;/ref-type&gt;&lt;contributors&gt;&lt;authors&gt;&lt;author&gt;Roberts, Graham H&lt;/author&gt;&lt;/authors&gt;&lt;/contributors&gt;&lt;titles&gt;&lt;title&gt;Convergent capitalisms? The internationalisation of financial markets and the 2002 Russian corporate governance code&lt;/title&gt;&lt;secondary-title&gt;Europe-Asia Studies&lt;/secondary-title&gt;&lt;/titles&gt;&lt;periodical&gt;&lt;full-title&gt;Europe-Asia Studies&lt;/full-title&gt;&lt;/periodical&gt;&lt;pages&gt;1235-1248&lt;/pages&gt;&lt;volume&gt;56&lt;/volume&gt;&lt;number&gt;8&lt;/number&gt;&lt;dates&gt;&lt;year&gt;2004&lt;/year&gt;&lt;/dates&gt;&lt;isbn&gt;0966-8136&lt;/isbn&gt;&lt;urls&gt;&lt;/urls&gt;&lt;/record&gt;&lt;/Cite&gt;&lt;/EndNote&gt;</w:instrText>
      </w:r>
      <w:r w:rsidR="00DA088E">
        <w:rPr>
          <w:rFonts w:ascii="Times New Roman" w:hAnsi="Times New Roman" w:cs="Times New Roman"/>
          <w:sz w:val="24"/>
          <w:szCs w:val="24"/>
          <w:lang w:val="en-US"/>
        </w:rPr>
        <w:fldChar w:fldCharType="separate"/>
      </w:r>
      <w:r w:rsidR="00DA088E">
        <w:rPr>
          <w:rFonts w:ascii="Times New Roman" w:hAnsi="Times New Roman" w:cs="Times New Roman"/>
          <w:noProof/>
          <w:sz w:val="24"/>
          <w:szCs w:val="24"/>
          <w:lang w:val="en-US"/>
        </w:rPr>
        <w:t>(</w:t>
      </w:r>
      <w:hyperlink w:anchor="_ENREF_97" w:tooltip="Roberts, 2004 #633" w:history="1">
        <w:r w:rsidR="00266C78">
          <w:rPr>
            <w:rFonts w:ascii="Times New Roman" w:hAnsi="Times New Roman" w:cs="Times New Roman"/>
            <w:noProof/>
            <w:sz w:val="24"/>
            <w:szCs w:val="24"/>
            <w:lang w:val="en-US"/>
          </w:rPr>
          <w:t>Roberts, 2004</w:t>
        </w:r>
      </w:hyperlink>
      <w:r w:rsidR="00DA088E">
        <w:rPr>
          <w:rFonts w:ascii="Times New Roman" w:hAnsi="Times New Roman" w:cs="Times New Roman"/>
          <w:noProof/>
          <w:sz w:val="24"/>
          <w:szCs w:val="24"/>
          <w:lang w:val="en-US"/>
        </w:rPr>
        <w:t>)</w:t>
      </w:r>
      <w:r w:rsidR="00DA088E">
        <w:rPr>
          <w:rFonts w:ascii="Times New Roman" w:hAnsi="Times New Roman" w:cs="Times New Roman"/>
          <w:sz w:val="24"/>
          <w:szCs w:val="24"/>
          <w:lang w:val="en-US"/>
        </w:rPr>
        <w:fldChar w:fldCharType="end"/>
      </w:r>
      <w:r w:rsidR="004E5DD7" w:rsidRPr="00E85554">
        <w:rPr>
          <w:rFonts w:ascii="Times New Roman" w:hAnsi="Times New Roman" w:cs="Times New Roman"/>
          <w:sz w:val="24"/>
          <w:szCs w:val="24"/>
          <w:lang w:val="en-US"/>
        </w:rPr>
        <w:t>.</w:t>
      </w:r>
      <w:r w:rsidRPr="00E85554">
        <w:rPr>
          <w:rFonts w:ascii="Times New Roman" w:hAnsi="Times New Roman" w:cs="Times New Roman"/>
          <w:sz w:val="24"/>
          <w:szCs w:val="24"/>
          <w:lang w:val="en-US"/>
        </w:rPr>
        <w:t xml:space="preserve"> </w:t>
      </w:r>
      <w:r w:rsidR="00A31A25" w:rsidRPr="00E85554">
        <w:rPr>
          <w:rFonts w:ascii="Times New Roman" w:hAnsi="Times New Roman" w:cs="Times New Roman"/>
          <w:sz w:val="24"/>
          <w:szCs w:val="24"/>
          <w:lang w:val="en-US"/>
        </w:rPr>
        <w:t>In the early years of transition</w:t>
      </w:r>
      <w:r w:rsidR="000879AF" w:rsidRPr="00E85554">
        <w:rPr>
          <w:rFonts w:ascii="Times New Roman" w:hAnsi="Times New Roman" w:cs="Times New Roman"/>
          <w:sz w:val="24"/>
          <w:szCs w:val="24"/>
          <w:lang w:val="en-US"/>
        </w:rPr>
        <w:t xml:space="preserve"> to a market economy</w:t>
      </w:r>
      <w:r w:rsidRPr="00E85554">
        <w:rPr>
          <w:rFonts w:ascii="Times New Roman" w:hAnsi="Times New Roman" w:cs="Times New Roman"/>
          <w:sz w:val="24"/>
          <w:szCs w:val="24"/>
          <w:lang w:val="en-US"/>
        </w:rPr>
        <w:t>, Russian companies were careful to adher</w:t>
      </w:r>
      <w:r w:rsidR="00901495" w:rsidRPr="00E85554">
        <w:rPr>
          <w:rFonts w:ascii="Times New Roman" w:hAnsi="Times New Roman" w:cs="Times New Roman"/>
          <w:sz w:val="24"/>
          <w:szCs w:val="24"/>
          <w:lang w:val="en-US"/>
        </w:rPr>
        <w:t>e</w:t>
      </w:r>
      <w:r w:rsidRPr="00E85554">
        <w:rPr>
          <w:rFonts w:ascii="Times New Roman" w:hAnsi="Times New Roman" w:cs="Times New Roman"/>
          <w:sz w:val="24"/>
          <w:szCs w:val="24"/>
          <w:lang w:val="en-US"/>
        </w:rPr>
        <w:t xml:space="preserve"> to the letter of the law but in a context where the laws themselves were incomplete or imperfect, the intention of the law was purposely circumvented</w:t>
      </w:r>
      <w:r w:rsidR="000142D2" w:rsidRPr="00E85554">
        <w:rPr>
          <w:rFonts w:ascii="Times New Roman" w:hAnsi="Times New Roman" w:cs="Times New Roman"/>
          <w:sz w:val="24"/>
          <w:szCs w:val="24"/>
          <w:lang w:val="en-US"/>
        </w:rPr>
        <w:t>, often at the expense of minority shareholders</w:t>
      </w:r>
      <w:r w:rsidR="000B664A" w:rsidRPr="00E85554">
        <w:rPr>
          <w:rFonts w:ascii="Times New Roman" w:hAnsi="Times New Roman" w:cs="Times New Roman"/>
          <w:sz w:val="24"/>
          <w:szCs w:val="24"/>
          <w:lang w:val="en-US"/>
        </w:rPr>
        <w:t xml:space="preserve">, such as </w:t>
      </w:r>
      <w:r w:rsidR="00110A01" w:rsidRPr="00E85554">
        <w:rPr>
          <w:rFonts w:ascii="Times New Roman" w:hAnsi="Times New Roman" w:cs="Times New Roman"/>
          <w:sz w:val="24"/>
          <w:szCs w:val="24"/>
          <w:lang w:val="en-US"/>
        </w:rPr>
        <w:t xml:space="preserve">dilution of capital, unfair transfer pricing, unlawful transactions with related parties, and </w:t>
      </w:r>
      <w:r w:rsidR="000B664A" w:rsidRPr="00E85554">
        <w:rPr>
          <w:rFonts w:ascii="Times New Roman" w:hAnsi="Times New Roman" w:cs="Times New Roman"/>
          <w:sz w:val="24"/>
          <w:szCs w:val="24"/>
          <w:lang w:val="en-US"/>
        </w:rPr>
        <w:t xml:space="preserve">outright stealing </w:t>
      </w:r>
      <w:r w:rsidR="00882E96">
        <w:rPr>
          <w:rFonts w:ascii="Times New Roman" w:hAnsi="Times New Roman" w:cs="Times New Roman"/>
          <w:sz w:val="24"/>
          <w:szCs w:val="24"/>
          <w:lang w:val="en-US"/>
        </w:rPr>
        <w:t>(</w:t>
      </w:r>
      <w:r w:rsidR="00110A01" w:rsidRPr="00E85554">
        <w:rPr>
          <w:rFonts w:ascii="Times New Roman" w:hAnsi="Times New Roman" w:cs="Times New Roman"/>
          <w:sz w:val="24"/>
          <w:szCs w:val="24"/>
          <w:lang w:val="en-US"/>
        </w:rPr>
        <w:t>e.g.</w:t>
      </w:r>
      <w:r w:rsidR="00874DB0">
        <w:rPr>
          <w:rFonts w:ascii="Times New Roman" w:hAnsi="Times New Roman" w:cs="Times New Roman"/>
          <w:sz w:val="24"/>
          <w:szCs w:val="24"/>
          <w:lang w:val="en-US"/>
        </w:rPr>
        <w:t>,</w:t>
      </w:r>
      <w:r w:rsidR="00110A01" w:rsidRPr="00E85554">
        <w:rPr>
          <w:rFonts w:ascii="Times New Roman" w:hAnsi="Times New Roman" w:cs="Times New Roman"/>
          <w:sz w:val="24"/>
          <w:szCs w:val="24"/>
          <w:lang w:val="en-US"/>
        </w:rPr>
        <w:t xml:space="preserve"> </w:t>
      </w:r>
      <w:hyperlink w:anchor="_ENREF_88" w:tooltip="Puffer, 2003 #845" w:history="1">
        <w:r w:rsidR="00266C78" w:rsidRPr="00E85554">
          <w:rPr>
            <w:rFonts w:ascii="Times New Roman" w:hAnsi="Times New Roman" w:cs="Times New Roman"/>
            <w:sz w:val="24"/>
            <w:szCs w:val="24"/>
            <w:lang w:val="en-US"/>
          </w:rPr>
          <w:fldChar w:fldCharType="begin"/>
        </w:r>
        <w:r w:rsidR="00266C78">
          <w:rPr>
            <w:rFonts w:ascii="Times New Roman" w:hAnsi="Times New Roman" w:cs="Times New Roman"/>
            <w:sz w:val="24"/>
            <w:szCs w:val="24"/>
            <w:lang w:val="en-US"/>
          </w:rPr>
          <w:instrText xml:space="preserve"> ADDIN EN.CITE &lt;EndNote&gt;&lt;Cite AuthorYear="1"&gt;&lt;Author&gt;Puffer&lt;/Author&gt;&lt;Year&gt;2003&lt;/Year&gt;&lt;RecNum&gt;845&lt;/RecNum&gt;&lt;DisplayText&gt;Puffer et al. (2003)&lt;/DisplayText&gt;&lt;record&gt;&lt;rec-number&gt;845&lt;/rec-number&gt;&lt;foreign-keys&gt;&lt;key app="EN" db-id="xdsfzvadmzzxdzereeq5xdf7eaxsdwfdfave" timestamp="1516549704"&gt;845&lt;/key&gt;&lt;/foreign-keys&gt;&lt;ref-type name="Journal Article"&gt;17&lt;/ref-type&gt;&lt;contributors&gt;&lt;authors&gt;&lt;author&gt;Puffer, Sheila M&lt;/author&gt;&lt;author&gt;McCarthy, Daniel J&lt;/author&gt;&lt;/authors&gt;&lt;/contributors&gt;&lt;titles&gt;&lt;title&gt;The emergence of corporate governance in Russia&lt;/title&gt;&lt;secondary-title&gt;Journal of World Business&lt;/secondary-title&gt;&lt;/titles&gt;&lt;periodical&gt;&lt;full-title&gt;Journal of World Business&lt;/full-title&gt;&lt;/periodical&gt;&lt;pages&gt;284-298&lt;/pages&gt;&lt;volume&gt;38&lt;/volume&gt;&lt;number&gt;4&lt;/number&gt;&lt;dates&gt;&lt;year&gt;2003&lt;/year&gt;&lt;/dates&gt;&lt;isbn&gt;1090-9516&lt;/isbn&gt;&lt;urls&gt;&lt;/urls&gt;&lt;/record&gt;&lt;/Cite&gt;&lt;/EndNote&gt;</w:instrText>
        </w:r>
        <w:r w:rsidR="00266C78" w:rsidRPr="00E85554">
          <w:rPr>
            <w:rFonts w:ascii="Times New Roman" w:hAnsi="Times New Roman" w:cs="Times New Roman"/>
            <w:sz w:val="24"/>
            <w:szCs w:val="24"/>
            <w:lang w:val="en-US"/>
          </w:rPr>
          <w:fldChar w:fldCharType="separate"/>
        </w:r>
        <w:r w:rsidR="00266C78">
          <w:rPr>
            <w:rFonts w:ascii="Times New Roman" w:hAnsi="Times New Roman" w:cs="Times New Roman"/>
            <w:noProof/>
            <w:sz w:val="24"/>
            <w:szCs w:val="24"/>
            <w:lang w:val="en-US"/>
          </w:rPr>
          <w:t>Puffer et al. (2003)</w:t>
        </w:r>
        <w:r w:rsidR="00266C78" w:rsidRPr="00E85554">
          <w:rPr>
            <w:rFonts w:ascii="Times New Roman" w:hAnsi="Times New Roman" w:cs="Times New Roman"/>
            <w:sz w:val="24"/>
            <w:szCs w:val="24"/>
            <w:lang w:val="en-US"/>
          </w:rPr>
          <w:fldChar w:fldCharType="end"/>
        </w:r>
      </w:hyperlink>
      <w:r w:rsidR="000B664A" w:rsidRPr="00E85554">
        <w:rPr>
          <w:rFonts w:ascii="Times New Roman" w:hAnsi="Times New Roman" w:cs="Times New Roman"/>
          <w:sz w:val="24"/>
          <w:szCs w:val="24"/>
          <w:lang w:val="en-US"/>
        </w:rPr>
        <w:t xml:space="preserve"> provide examples of early abuses by blockholders</w:t>
      </w:r>
      <w:r w:rsidR="00110A01" w:rsidRPr="00E85554">
        <w:rPr>
          <w:rFonts w:ascii="Times New Roman" w:hAnsi="Times New Roman" w:cs="Times New Roman"/>
          <w:sz w:val="24"/>
          <w:szCs w:val="24"/>
          <w:lang w:val="en-US"/>
        </w:rPr>
        <w:t>)</w:t>
      </w:r>
      <w:r w:rsidRPr="00E85554">
        <w:rPr>
          <w:rFonts w:ascii="Times New Roman" w:hAnsi="Times New Roman" w:cs="Times New Roman"/>
          <w:sz w:val="24"/>
          <w:szCs w:val="24"/>
          <w:lang w:val="en-US"/>
        </w:rPr>
        <w:t xml:space="preserve">. </w:t>
      </w:r>
      <w:r w:rsidR="00FB7A93" w:rsidRPr="00E85554">
        <w:rPr>
          <w:rFonts w:ascii="Times New Roman" w:hAnsi="Times New Roman" w:cs="Times New Roman"/>
          <w:sz w:val="24"/>
          <w:szCs w:val="24"/>
          <w:lang w:val="en-US"/>
        </w:rPr>
        <w:t xml:space="preserve">In subsequent years, </w:t>
      </w:r>
      <w:r w:rsidR="000879AF" w:rsidRPr="00E85554">
        <w:rPr>
          <w:rFonts w:ascii="Times New Roman" w:hAnsi="Times New Roman" w:cs="Times New Roman"/>
          <w:sz w:val="24"/>
          <w:szCs w:val="24"/>
          <w:lang w:val="en-US"/>
        </w:rPr>
        <w:t xml:space="preserve">the </w:t>
      </w:r>
      <w:r w:rsidR="00FB7A93" w:rsidRPr="00E85554">
        <w:rPr>
          <w:rFonts w:ascii="Times New Roman" w:hAnsi="Times New Roman" w:cs="Times New Roman"/>
          <w:sz w:val="24"/>
          <w:szCs w:val="24"/>
          <w:lang w:val="en-US"/>
        </w:rPr>
        <w:t xml:space="preserve">introduction of </w:t>
      </w:r>
      <w:r w:rsidR="000142D2" w:rsidRPr="00E85554">
        <w:rPr>
          <w:rFonts w:ascii="Times New Roman" w:hAnsi="Times New Roman" w:cs="Times New Roman"/>
          <w:sz w:val="24"/>
          <w:szCs w:val="24"/>
          <w:lang w:val="en-US"/>
        </w:rPr>
        <w:t xml:space="preserve">the </w:t>
      </w:r>
      <w:r w:rsidR="00C85B05" w:rsidRPr="00E85554">
        <w:rPr>
          <w:rFonts w:ascii="Times New Roman" w:hAnsi="Times New Roman" w:cs="Times New Roman"/>
          <w:sz w:val="24"/>
          <w:szCs w:val="24"/>
          <w:lang w:val="en-US"/>
        </w:rPr>
        <w:t>new Corporate Governance Code</w:t>
      </w:r>
      <w:r w:rsidR="00FB7A93" w:rsidRPr="00E85554">
        <w:rPr>
          <w:rFonts w:ascii="Times New Roman" w:hAnsi="Times New Roman" w:cs="Times New Roman"/>
          <w:sz w:val="24"/>
          <w:szCs w:val="24"/>
          <w:lang w:val="en-US"/>
        </w:rPr>
        <w:t xml:space="preserve"> </w:t>
      </w:r>
      <w:r w:rsidR="000142D2" w:rsidRPr="00E85554">
        <w:rPr>
          <w:rFonts w:ascii="Times New Roman" w:hAnsi="Times New Roman" w:cs="Times New Roman"/>
          <w:sz w:val="24"/>
          <w:szCs w:val="24"/>
          <w:lang w:val="en-US"/>
        </w:rPr>
        <w:t xml:space="preserve">in 2014 </w:t>
      </w:r>
      <w:r w:rsidR="00FB7A93" w:rsidRPr="00E85554">
        <w:rPr>
          <w:rFonts w:ascii="Times New Roman" w:hAnsi="Times New Roman" w:cs="Times New Roman"/>
          <w:sz w:val="24"/>
          <w:szCs w:val="24"/>
          <w:lang w:val="en-US"/>
        </w:rPr>
        <w:t xml:space="preserve">and the </w:t>
      </w:r>
      <w:r w:rsidR="000879AF" w:rsidRPr="00E85554">
        <w:rPr>
          <w:rFonts w:ascii="Times New Roman" w:hAnsi="Times New Roman" w:cs="Times New Roman"/>
          <w:sz w:val="24"/>
          <w:szCs w:val="24"/>
          <w:lang w:val="en-US"/>
        </w:rPr>
        <w:t>eagerness</w:t>
      </w:r>
      <w:r w:rsidR="00FB7A93" w:rsidRPr="00E85554">
        <w:rPr>
          <w:rFonts w:ascii="Times New Roman" w:hAnsi="Times New Roman" w:cs="Times New Roman"/>
          <w:sz w:val="24"/>
          <w:szCs w:val="24"/>
          <w:lang w:val="en-US"/>
        </w:rPr>
        <w:t xml:space="preserve"> of </w:t>
      </w:r>
      <w:r w:rsidR="00A31A25" w:rsidRPr="00E85554">
        <w:rPr>
          <w:rFonts w:ascii="Times New Roman" w:hAnsi="Times New Roman" w:cs="Times New Roman"/>
          <w:sz w:val="24"/>
          <w:szCs w:val="24"/>
          <w:lang w:val="en-US"/>
        </w:rPr>
        <w:t>private blockholders</w:t>
      </w:r>
      <w:r w:rsidR="00FB7A93" w:rsidRPr="00E85554">
        <w:rPr>
          <w:rFonts w:ascii="Times New Roman" w:hAnsi="Times New Roman" w:cs="Times New Roman"/>
          <w:sz w:val="24"/>
          <w:szCs w:val="24"/>
          <w:lang w:val="en-US"/>
        </w:rPr>
        <w:t xml:space="preserve"> to attract external </w:t>
      </w:r>
      <w:r w:rsidR="00BA3E8D">
        <w:rPr>
          <w:rFonts w:ascii="Times New Roman" w:hAnsi="Times New Roman" w:cs="Times New Roman"/>
          <w:sz w:val="24"/>
          <w:szCs w:val="24"/>
          <w:lang w:val="en-US"/>
        </w:rPr>
        <w:t>capital by listing their firms i</w:t>
      </w:r>
      <w:r w:rsidR="00FB7A93" w:rsidRPr="00E85554">
        <w:rPr>
          <w:rFonts w:ascii="Times New Roman" w:hAnsi="Times New Roman" w:cs="Times New Roman"/>
          <w:sz w:val="24"/>
          <w:szCs w:val="24"/>
          <w:lang w:val="en-US"/>
        </w:rPr>
        <w:t xml:space="preserve">n foreign stock exchanges led to gradual </w:t>
      </w:r>
      <w:r w:rsidR="00EA78B7" w:rsidRPr="00E85554">
        <w:rPr>
          <w:rFonts w:ascii="Times New Roman" w:hAnsi="Times New Roman" w:cs="Times New Roman"/>
          <w:sz w:val="24"/>
          <w:szCs w:val="24"/>
          <w:lang w:val="en-US"/>
        </w:rPr>
        <w:t>integration of host</w:t>
      </w:r>
      <w:r w:rsidR="00FB7A93" w:rsidRPr="00E85554">
        <w:rPr>
          <w:rFonts w:ascii="Times New Roman" w:hAnsi="Times New Roman" w:cs="Times New Roman"/>
          <w:sz w:val="24"/>
          <w:szCs w:val="24"/>
          <w:lang w:val="en-US"/>
        </w:rPr>
        <w:t xml:space="preserve"> corporate governance </w:t>
      </w:r>
      <w:r w:rsidR="00702D12" w:rsidRPr="00E85554">
        <w:rPr>
          <w:rFonts w:ascii="Times New Roman" w:hAnsi="Times New Roman" w:cs="Times New Roman"/>
          <w:sz w:val="24"/>
          <w:szCs w:val="24"/>
          <w:lang w:val="en-US"/>
        </w:rPr>
        <w:t>practices</w:t>
      </w:r>
      <w:r w:rsidR="00110A01" w:rsidRPr="00E85554">
        <w:rPr>
          <w:rFonts w:ascii="Times New Roman" w:hAnsi="Times New Roman" w:cs="Times New Roman"/>
          <w:sz w:val="24"/>
          <w:szCs w:val="24"/>
          <w:lang w:val="en-US"/>
        </w:rPr>
        <w:t xml:space="preserve"> </w:t>
      </w:r>
      <w:r w:rsidR="002411E0" w:rsidRPr="00E85554">
        <w:rPr>
          <w:rFonts w:ascii="Times New Roman" w:hAnsi="Times New Roman" w:cs="Times New Roman"/>
          <w:sz w:val="24"/>
          <w:szCs w:val="24"/>
          <w:lang w:val="en-US"/>
        </w:rPr>
        <w:t xml:space="preserve">and mitigation of blockholders’ abuses </w:t>
      </w:r>
      <w:r w:rsidR="001D788C" w:rsidRPr="00E85554">
        <w:rPr>
          <w:rFonts w:ascii="Times New Roman" w:hAnsi="Times New Roman" w:cs="Times New Roman"/>
          <w:sz w:val="24"/>
          <w:szCs w:val="24"/>
          <w:lang w:val="en-US"/>
        </w:rPr>
        <w:fldChar w:fldCharType="begin"/>
      </w:r>
      <w:r w:rsidR="001D788C" w:rsidRPr="00E85554">
        <w:rPr>
          <w:rFonts w:ascii="Times New Roman" w:hAnsi="Times New Roman" w:cs="Times New Roman"/>
          <w:sz w:val="24"/>
          <w:szCs w:val="24"/>
          <w:lang w:val="en-US"/>
        </w:rPr>
        <w:instrText xml:space="preserve"> ADDIN EN.CITE &lt;EndNote&gt;&lt;Cite&gt;&lt;Author&gt;Muravyev&lt;/Author&gt;&lt;Year&gt;2017&lt;/Year&gt;&lt;RecNum&gt;843&lt;/RecNum&gt;&lt;DisplayText&gt;(Muravyev, 2017)&lt;/DisplayText&gt;&lt;record&gt;&lt;rec-number&gt;843&lt;/rec-number&gt;&lt;foreign-keys&gt;&lt;key app="EN" db-id="xdsfzvadmzzxdzereeq5xdf7eaxsdwfdfave" timestamp="1516279009"&gt;843&lt;/key&gt;&lt;/foreign-keys&gt;&lt;ref-type name="Journal Article"&gt;17&lt;/ref-type&gt;&lt;contributors&gt;&lt;authors&gt;&lt;author&gt;Muravyev, Alexander&lt;/author&gt;&lt;/authors&gt;&lt;/contributors&gt;&lt;titles&gt;&lt;title&gt;Boards of directors in Russian publicly traded companies in 1998–2014: Structure, dynamics and performance effects&lt;/title&gt;&lt;secondary-title&gt;Economic Systems&lt;/secondary-title&gt;&lt;/titles&gt;&lt;periodical&gt;&lt;full-title&gt;Economic Systems&lt;/full-title&gt;&lt;/periodical&gt;&lt;pages&gt;5-25&lt;/pages&gt;&lt;volume&gt;41&lt;/volume&gt;&lt;number&gt;1&lt;/number&gt;&lt;dates&gt;&lt;year&gt;2017&lt;/year&gt;&lt;/dates&gt;&lt;isbn&gt;0939-3625&lt;/isbn&gt;&lt;urls&gt;&lt;/urls&gt;&lt;/record&gt;&lt;/Cite&gt;&lt;/EndNote&gt;</w:instrText>
      </w:r>
      <w:r w:rsidR="001D788C" w:rsidRPr="00E85554">
        <w:rPr>
          <w:rFonts w:ascii="Times New Roman" w:hAnsi="Times New Roman" w:cs="Times New Roman"/>
          <w:sz w:val="24"/>
          <w:szCs w:val="24"/>
          <w:lang w:val="en-US"/>
        </w:rPr>
        <w:fldChar w:fldCharType="separate"/>
      </w:r>
      <w:r w:rsidR="001D788C" w:rsidRPr="00E85554">
        <w:rPr>
          <w:rFonts w:ascii="Times New Roman" w:hAnsi="Times New Roman" w:cs="Times New Roman"/>
          <w:noProof/>
          <w:sz w:val="24"/>
          <w:szCs w:val="24"/>
          <w:lang w:val="en-US"/>
        </w:rPr>
        <w:t>(</w:t>
      </w:r>
      <w:hyperlink w:anchor="_ENREF_76" w:tooltip="Muravyev, 2017 #843" w:history="1">
        <w:r w:rsidR="00266C78" w:rsidRPr="00E85554">
          <w:rPr>
            <w:rFonts w:ascii="Times New Roman" w:hAnsi="Times New Roman" w:cs="Times New Roman"/>
            <w:noProof/>
            <w:sz w:val="24"/>
            <w:szCs w:val="24"/>
            <w:lang w:val="en-US"/>
          </w:rPr>
          <w:t>Muravyev, 2017</w:t>
        </w:r>
      </w:hyperlink>
      <w:r w:rsidR="001D788C" w:rsidRPr="00E85554">
        <w:rPr>
          <w:rFonts w:ascii="Times New Roman" w:hAnsi="Times New Roman" w:cs="Times New Roman"/>
          <w:noProof/>
          <w:sz w:val="24"/>
          <w:szCs w:val="24"/>
          <w:lang w:val="en-US"/>
        </w:rPr>
        <w:t>)</w:t>
      </w:r>
      <w:r w:rsidR="001D788C" w:rsidRPr="00E85554">
        <w:rPr>
          <w:rFonts w:ascii="Times New Roman" w:hAnsi="Times New Roman" w:cs="Times New Roman"/>
          <w:sz w:val="24"/>
          <w:szCs w:val="24"/>
          <w:lang w:val="en-US"/>
        </w:rPr>
        <w:fldChar w:fldCharType="end"/>
      </w:r>
      <w:r w:rsidR="00FB7A93" w:rsidRPr="00E85554">
        <w:rPr>
          <w:rFonts w:ascii="Times New Roman" w:hAnsi="Times New Roman" w:cs="Times New Roman"/>
          <w:sz w:val="24"/>
          <w:szCs w:val="24"/>
          <w:lang w:val="en-US"/>
        </w:rPr>
        <w:t>.</w:t>
      </w:r>
      <w:r w:rsidR="00445AFA" w:rsidRPr="00E85554">
        <w:rPr>
          <w:rFonts w:ascii="Times New Roman" w:hAnsi="Times New Roman" w:cs="Times New Roman"/>
          <w:sz w:val="24"/>
          <w:szCs w:val="24"/>
          <w:lang w:val="en-US"/>
        </w:rPr>
        <w:t xml:space="preserve"> </w:t>
      </w:r>
    </w:p>
    <w:p w14:paraId="6580CCF5" w14:textId="72C42D09" w:rsidR="009559BA" w:rsidRPr="00E85554" w:rsidRDefault="00901495" w:rsidP="00D13355">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T</w:t>
      </w:r>
      <w:r w:rsidR="009559BA" w:rsidRPr="00E85554">
        <w:rPr>
          <w:rFonts w:ascii="Times New Roman" w:hAnsi="Times New Roman" w:cs="Times New Roman"/>
          <w:sz w:val="24"/>
          <w:szCs w:val="24"/>
          <w:lang w:val="en-US"/>
        </w:rPr>
        <w:t xml:space="preserve">he </w:t>
      </w:r>
      <w:r w:rsidR="00BA3E8D">
        <w:rPr>
          <w:rFonts w:ascii="Times New Roman" w:hAnsi="Times New Roman" w:cs="Times New Roman"/>
          <w:sz w:val="24"/>
          <w:szCs w:val="24"/>
          <w:lang w:val="en-US"/>
        </w:rPr>
        <w:t>adopting</w:t>
      </w:r>
      <w:r w:rsidR="008A4C29" w:rsidRPr="00E85554">
        <w:rPr>
          <w:rFonts w:ascii="Times New Roman" w:hAnsi="Times New Roman" w:cs="Times New Roman"/>
          <w:sz w:val="24"/>
          <w:szCs w:val="24"/>
          <w:lang w:val="en-US"/>
        </w:rPr>
        <w:t xml:space="preserve"> </w:t>
      </w:r>
      <w:r w:rsidR="009559BA" w:rsidRPr="00E85554">
        <w:rPr>
          <w:rFonts w:ascii="Times New Roman" w:hAnsi="Times New Roman" w:cs="Times New Roman"/>
          <w:sz w:val="24"/>
          <w:szCs w:val="24"/>
          <w:lang w:val="en-US"/>
        </w:rPr>
        <w:t xml:space="preserve">of </w:t>
      </w:r>
      <w:r w:rsidR="005C7CFE" w:rsidRPr="00E85554">
        <w:rPr>
          <w:rFonts w:ascii="Times New Roman" w:hAnsi="Times New Roman" w:cs="Times New Roman"/>
          <w:sz w:val="24"/>
          <w:szCs w:val="24"/>
          <w:lang w:val="en-US"/>
        </w:rPr>
        <w:t>Anglo-American</w:t>
      </w:r>
      <w:r w:rsidR="003F2F35" w:rsidRPr="00E85554">
        <w:rPr>
          <w:rFonts w:ascii="Times New Roman" w:hAnsi="Times New Roman" w:cs="Times New Roman"/>
          <w:sz w:val="24"/>
          <w:szCs w:val="24"/>
          <w:lang w:val="en-US"/>
        </w:rPr>
        <w:t xml:space="preserve"> </w:t>
      </w:r>
      <w:r w:rsidR="000879AF" w:rsidRPr="00E85554">
        <w:rPr>
          <w:rFonts w:ascii="Times New Roman" w:hAnsi="Times New Roman" w:cs="Times New Roman"/>
          <w:sz w:val="24"/>
          <w:szCs w:val="24"/>
          <w:lang w:val="en-US"/>
        </w:rPr>
        <w:t xml:space="preserve">inspired </w:t>
      </w:r>
      <w:r w:rsidR="009559BA" w:rsidRPr="00E85554">
        <w:rPr>
          <w:rFonts w:ascii="Times New Roman" w:hAnsi="Times New Roman" w:cs="Times New Roman"/>
          <w:sz w:val="24"/>
          <w:szCs w:val="24"/>
          <w:lang w:val="en-US"/>
        </w:rPr>
        <w:t xml:space="preserve">laws and regulations was not without </w:t>
      </w:r>
      <w:r w:rsidR="000879AF" w:rsidRPr="00E85554">
        <w:rPr>
          <w:rFonts w:ascii="Times New Roman" w:hAnsi="Times New Roman" w:cs="Times New Roman"/>
          <w:sz w:val="24"/>
          <w:szCs w:val="24"/>
          <w:lang w:val="en-US"/>
        </w:rPr>
        <w:t xml:space="preserve">challenges </w:t>
      </w:r>
      <w:r w:rsidR="009559BA" w:rsidRPr="00E85554">
        <w:rPr>
          <w:rFonts w:ascii="Times New Roman" w:hAnsi="Times New Roman" w:cs="Times New Roman"/>
          <w:sz w:val="24"/>
          <w:szCs w:val="24"/>
          <w:lang w:val="en-US"/>
        </w:rPr>
        <w:t xml:space="preserve">in </w:t>
      </w:r>
      <w:r w:rsidR="00BA123F" w:rsidRPr="00E85554">
        <w:rPr>
          <w:rFonts w:ascii="Times New Roman" w:hAnsi="Times New Roman" w:cs="Times New Roman"/>
          <w:sz w:val="24"/>
          <w:szCs w:val="24"/>
          <w:lang w:val="en-US"/>
        </w:rPr>
        <w:t>State-Owned Enterprises (</w:t>
      </w:r>
      <w:r w:rsidR="009559BA" w:rsidRPr="00E85554">
        <w:rPr>
          <w:rFonts w:ascii="Times New Roman" w:hAnsi="Times New Roman" w:cs="Times New Roman"/>
          <w:sz w:val="24"/>
          <w:szCs w:val="24"/>
          <w:lang w:val="en-US"/>
        </w:rPr>
        <w:t>SOEs</w:t>
      </w:r>
      <w:r w:rsidR="00BA123F" w:rsidRPr="00E85554">
        <w:rPr>
          <w:rFonts w:ascii="Times New Roman" w:hAnsi="Times New Roman" w:cs="Times New Roman"/>
          <w:sz w:val="24"/>
          <w:szCs w:val="24"/>
          <w:lang w:val="en-US"/>
        </w:rPr>
        <w:t>)</w:t>
      </w:r>
      <w:r w:rsidR="009559BA" w:rsidRPr="00E85554">
        <w:rPr>
          <w:rFonts w:ascii="Times New Roman" w:hAnsi="Times New Roman" w:cs="Times New Roman"/>
          <w:sz w:val="24"/>
          <w:szCs w:val="24"/>
          <w:lang w:val="en-US"/>
        </w:rPr>
        <w:t xml:space="preserve">. While perhaps less prone to private blockholder expropriation (state managers and board directors typically </w:t>
      </w:r>
      <w:r w:rsidR="000879AF" w:rsidRPr="00E85554">
        <w:rPr>
          <w:rFonts w:ascii="Times New Roman" w:hAnsi="Times New Roman" w:cs="Times New Roman"/>
          <w:sz w:val="24"/>
          <w:szCs w:val="24"/>
          <w:lang w:val="en-US"/>
        </w:rPr>
        <w:t>do not own</w:t>
      </w:r>
      <w:r w:rsidR="009559BA" w:rsidRPr="00E85554">
        <w:rPr>
          <w:rFonts w:ascii="Times New Roman" w:hAnsi="Times New Roman" w:cs="Times New Roman"/>
          <w:sz w:val="24"/>
          <w:szCs w:val="24"/>
          <w:lang w:val="en-US"/>
        </w:rPr>
        <w:t xml:space="preserve"> substantial share capital), the </w:t>
      </w:r>
      <w:r w:rsidR="00E40D0B" w:rsidRPr="00E85554">
        <w:rPr>
          <w:rFonts w:ascii="Times New Roman" w:hAnsi="Times New Roman" w:cs="Times New Roman"/>
          <w:sz w:val="24"/>
          <w:szCs w:val="24"/>
          <w:lang w:val="en-US"/>
        </w:rPr>
        <w:t>pyramidal structures o</w:t>
      </w:r>
      <w:r w:rsidRPr="00E85554">
        <w:rPr>
          <w:rFonts w:ascii="Times New Roman" w:hAnsi="Times New Roman" w:cs="Times New Roman"/>
          <w:sz w:val="24"/>
          <w:szCs w:val="24"/>
          <w:lang w:val="en-US"/>
        </w:rPr>
        <w:t>f</w:t>
      </w:r>
      <w:r w:rsidR="00E40D0B" w:rsidRPr="00E85554">
        <w:rPr>
          <w:rFonts w:ascii="Times New Roman" w:hAnsi="Times New Roman" w:cs="Times New Roman"/>
          <w:sz w:val="24"/>
          <w:szCs w:val="24"/>
          <w:lang w:val="en-US"/>
        </w:rPr>
        <w:t xml:space="preserve"> state-owned holding companies, originally set up to facilitate the monitoring and management of a large p</w:t>
      </w:r>
      <w:r w:rsidR="009605F6" w:rsidRPr="00E85554">
        <w:rPr>
          <w:rFonts w:ascii="Times New Roman" w:hAnsi="Times New Roman" w:cs="Times New Roman"/>
          <w:sz w:val="24"/>
          <w:szCs w:val="24"/>
          <w:lang w:val="en-US"/>
        </w:rPr>
        <w:t xml:space="preserve">ortfolio of firms, ended up being cumbersome and </w:t>
      </w:r>
      <w:r w:rsidR="000879AF" w:rsidRPr="00E85554">
        <w:rPr>
          <w:rFonts w:ascii="Times New Roman" w:hAnsi="Times New Roman" w:cs="Times New Roman"/>
          <w:sz w:val="24"/>
          <w:szCs w:val="24"/>
          <w:lang w:val="en-US"/>
        </w:rPr>
        <w:t>not a</w:t>
      </w:r>
      <w:r w:rsidR="009605F6" w:rsidRPr="00E85554">
        <w:rPr>
          <w:rFonts w:ascii="Times New Roman" w:hAnsi="Times New Roman" w:cs="Times New Roman"/>
          <w:sz w:val="24"/>
          <w:szCs w:val="24"/>
          <w:lang w:val="en-US"/>
        </w:rPr>
        <w:t xml:space="preserve">s </w:t>
      </w:r>
      <w:r w:rsidR="000879AF" w:rsidRPr="00E85554">
        <w:rPr>
          <w:rFonts w:ascii="Times New Roman" w:hAnsi="Times New Roman" w:cs="Times New Roman"/>
          <w:sz w:val="24"/>
          <w:szCs w:val="24"/>
          <w:lang w:val="en-US"/>
        </w:rPr>
        <w:t>t</w:t>
      </w:r>
      <w:r w:rsidR="009605F6" w:rsidRPr="00E85554">
        <w:rPr>
          <w:rFonts w:ascii="Times New Roman" w:hAnsi="Times New Roman" w:cs="Times New Roman"/>
          <w:sz w:val="24"/>
          <w:szCs w:val="24"/>
          <w:lang w:val="en-US"/>
        </w:rPr>
        <w:t xml:space="preserve">ransparent as </w:t>
      </w:r>
      <w:r w:rsidR="00A31C34" w:rsidRPr="00E85554">
        <w:rPr>
          <w:rFonts w:ascii="Times New Roman" w:hAnsi="Times New Roman" w:cs="Times New Roman"/>
          <w:sz w:val="24"/>
          <w:szCs w:val="24"/>
          <w:lang w:val="en-US"/>
        </w:rPr>
        <w:t>privately owned</w:t>
      </w:r>
      <w:r w:rsidR="009605F6" w:rsidRPr="00E85554">
        <w:rPr>
          <w:rFonts w:ascii="Times New Roman" w:hAnsi="Times New Roman" w:cs="Times New Roman"/>
          <w:sz w:val="24"/>
          <w:szCs w:val="24"/>
          <w:lang w:val="en-US"/>
        </w:rPr>
        <w:t xml:space="preserve"> </w:t>
      </w:r>
      <w:r w:rsidR="00A31C34" w:rsidRPr="00E85554">
        <w:rPr>
          <w:rFonts w:ascii="Times New Roman" w:hAnsi="Times New Roman" w:cs="Times New Roman"/>
          <w:sz w:val="24"/>
          <w:szCs w:val="24"/>
          <w:lang w:val="en-US"/>
        </w:rPr>
        <w:t>firms</w:t>
      </w:r>
      <w:r w:rsidR="009605F6" w:rsidRPr="00E85554">
        <w:rPr>
          <w:rFonts w:ascii="Times New Roman" w:hAnsi="Times New Roman" w:cs="Times New Roman"/>
          <w:sz w:val="24"/>
          <w:szCs w:val="24"/>
          <w:lang w:val="en-US"/>
        </w:rPr>
        <w:t>.</w:t>
      </w:r>
      <w:r w:rsidR="00E40D0B" w:rsidRPr="00E85554">
        <w:rPr>
          <w:rFonts w:ascii="Times New Roman" w:hAnsi="Times New Roman" w:cs="Times New Roman"/>
          <w:sz w:val="24"/>
          <w:szCs w:val="24"/>
          <w:lang w:val="en-US"/>
        </w:rPr>
        <w:t xml:space="preserve"> </w:t>
      </w:r>
      <w:r w:rsidR="009605F6" w:rsidRPr="00E85554">
        <w:rPr>
          <w:rFonts w:ascii="Times New Roman" w:hAnsi="Times New Roman" w:cs="Times New Roman"/>
          <w:sz w:val="24"/>
          <w:szCs w:val="24"/>
          <w:lang w:val="en-US"/>
        </w:rPr>
        <w:t xml:space="preserve">For example, Gazprom, a natural gas SOE, </w:t>
      </w:r>
      <w:r w:rsidR="00A31C34" w:rsidRPr="00E85554">
        <w:rPr>
          <w:rFonts w:ascii="Times New Roman" w:hAnsi="Times New Roman" w:cs="Times New Roman"/>
          <w:sz w:val="24"/>
          <w:szCs w:val="24"/>
          <w:lang w:val="en-US"/>
        </w:rPr>
        <w:t>was</w:t>
      </w:r>
      <w:r w:rsidR="0069590E" w:rsidRPr="00E85554">
        <w:rPr>
          <w:rFonts w:ascii="Times New Roman" w:hAnsi="Times New Roman" w:cs="Times New Roman"/>
          <w:sz w:val="24"/>
          <w:szCs w:val="24"/>
          <w:lang w:val="en-US"/>
        </w:rPr>
        <w:t xml:space="preserve"> one of the worst firms in terms of corporate governance </w:t>
      </w:r>
      <w:r w:rsidR="0069590E" w:rsidRPr="00E85554">
        <w:rPr>
          <w:rFonts w:ascii="Times New Roman" w:hAnsi="Times New Roman" w:cs="Times New Roman"/>
          <w:sz w:val="24"/>
          <w:szCs w:val="24"/>
          <w:lang w:val="en-US"/>
        </w:rPr>
        <w:lastRenderedPageBreak/>
        <w:t xml:space="preserve">standards for which the company is heavily penalized in terms of market </w:t>
      </w:r>
      <w:r w:rsidR="009F357B" w:rsidRPr="00E85554">
        <w:rPr>
          <w:rFonts w:ascii="Times New Roman" w:hAnsi="Times New Roman" w:cs="Times New Roman"/>
          <w:sz w:val="24"/>
          <w:szCs w:val="24"/>
          <w:lang w:val="en-US"/>
        </w:rPr>
        <w:t>value</w:t>
      </w:r>
      <w:r w:rsidR="0069590E" w:rsidRPr="00E85554">
        <w:rPr>
          <w:rFonts w:ascii="Times New Roman" w:hAnsi="Times New Roman" w:cs="Times New Roman"/>
          <w:sz w:val="24"/>
          <w:szCs w:val="24"/>
          <w:lang w:val="en-US"/>
        </w:rPr>
        <w:t xml:space="preserve"> </w:t>
      </w:r>
      <w:r w:rsidR="00CB7466" w:rsidRPr="00E85554">
        <w:rPr>
          <w:rFonts w:ascii="Times New Roman" w:hAnsi="Times New Roman" w:cs="Times New Roman"/>
          <w:sz w:val="24"/>
          <w:szCs w:val="24"/>
          <w:lang w:val="en-US"/>
        </w:rPr>
        <w:fldChar w:fldCharType="begin"/>
      </w:r>
      <w:r w:rsidR="00572B64" w:rsidRPr="00E85554">
        <w:rPr>
          <w:rFonts w:ascii="Times New Roman" w:hAnsi="Times New Roman" w:cs="Times New Roman"/>
          <w:sz w:val="24"/>
          <w:szCs w:val="24"/>
          <w:lang w:val="en-US"/>
        </w:rPr>
        <w:instrText xml:space="preserve"> ADDIN EN.CITE &lt;EndNote&gt;&lt;Cite&gt;&lt;Author&gt;Black&lt;/Author&gt;&lt;Year&gt;2001&lt;/Year&gt;&lt;RecNum&gt;165&lt;/RecNum&gt;&lt;DisplayText&gt;(Black, 2001)&lt;/DisplayText&gt;&lt;record&gt;&lt;rec-number&gt;165&lt;/rec-number&gt;&lt;foreign-keys&gt;&lt;key app="EN" db-id="xdsfzvadmzzxdzereeq5xdf7eaxsdwfdfave" timestamp="1398427891"&gt;165&lt;/key&gt;&lt;/foreign-keys&gt;&lt;ref-type name="Journal Article"&gt;17&lt;/ref-type&gt;&lt;contributors&gt;&lt;authors&gt;&lt;author&gt;Black, Bernard&lt;/author&gt;&lt;/authors&gt;&lt;/contributors&gt;&lt;titles&gt;&lt;title&gt;The corporate governance behavior and market value of Russian firms&lt;/title&gt;&lt;secondary-title&gt;Emerging Markets Review&lt;/secondary-title&gt;&lt;/titles&gt;&lt;periodical&gt;&lt;full-title&gt;Emerging Markets Review&lt;/full-title&gt;&lt;/periodical&gt;&lt;pages&gt;89-108&lt;/pages&gt;&lt;volume&gt;2&lt;/volume&gt;&lt;number&gt;2&lt;/number&gt;&lt;dates&gt;&lt;year&gt;2001&lt;/year&gt;&lt;/dates&gt;&lt;isbn&gt;1566-0141&lt;/isbn&gt;&lt;urls&gt;&lt;/urls&gt;&lt;/record&gt;&lt;/Cite&gt;&lt;/EndNote&gt;</w:instrText>
      </w:r>
      <w:r w:rsidR="00CB7466" w:rsidRPr="00E85554">
        <w:rPr>
          <w:rFonts w:ascii="Times New Roman" w:hAnsi="Times New Roman" w:cs="Times New Roman"/>
          <w:sz w:val="24"/>
          <w:szCs w:val="24"/>
          <w:lang w:val="en-US"/>
        </w:rPr>
        <w:fldChar w:fldCharType="separate"/>
      </w:r>
      <w:r w:rsidR="00572B64" w:rsidRPr="00E85554">
        <w:rPr>
          <w:rFonts w:ascii="Times New Roman" w:hAnsi="Times New Roman" w:cs="Times New Roman"/>
          <w:noProof/>
          <w:sz w:val="24"/>
          <w:szCs w:val="24"/>
          <w:lang w:val="en-US"/>
        </w:rPr>
        <w:t>(</w:t>
      </w:r>
      <w:hyperlink w:anchor="_ENREF_17" w:tooltip="Black, 2001 #165" w:history="1">
        <w:r w:rsidR="00266C78" w:rsidRPr="00E85554">
          <w:rPr>
            <w:rFonts w:ascii="Times New Roman" w:hAnsi="Times New Roman" w:cs="Times New Roman"/>
            <w:noProof/>
            <w:sz w:val="24"/>
            <w:szCs w:val="24"/>
            <w:lang w:val="en-US"/>
          </w:rPr>
          <w:t>Black, 2001</w:t>
        </w:r>
      </w:hyperlink>
      <w:r w:rsidR="00572B64" w:rsidRPr="00E85554">
        <w:rPr>
          <w:rFonts w:ascii="Times New Roman" w:hAnsi="Times New Roman" w:cs="Times New Roman"/>
          <w:noProof/>
          <w:sz w:val="24"/>
          <w:szCs w:val="24"/>
          <w:lang w:val="en-US"/>
        </w:rPr>
        <w:t>)</w:t>
      </w:r>
      <w:r w:rsidR="00CB7466" w:rsidRPr="00E85554">
        <w:rPr>
          <w:rFonts w:ascii="Times New Roman" w:hAnsi="Times New Roman" w:cs="Times New Roman"/>
          <w:sz w:val="24"/>
          <w:szCs w:val="24"/>
          <w:lang w:val="en-US"/>
        </w:rPr>
        <w:fldChar w:fldCharType="end"/>
      </w:r>
      <w:r w:rsidR="0069590E" w:rsidRPr="00E85554">
        <w:rPr>
          <w:rFonts w:ascii="Times New Roman" w:hAnsi="Times New Roman" w:cs="Times New Roman"/>
          <w:sz w:val="24"/>
          <w:szCs w:val="24"/>
          <w:lang w:val="en-US"/>
        </w:rPr>
        <w:t xml:space="preserve">. </w:t>
      </w:r>
      <w:r w:rsidR="00445AFA" w:rsidRPr="00E85554">
        <w:rPr>
          <w:rFonts w:ascii="Times New Roman" w:hAnsi="Times New Roman" w:cs="Times New Roman"/>
          <w:sz w:val="24"/>
          <w:szCs w:val="24"/>
          <w:lang w:val="en-US"/>
        </w:rPr>
        <w:t xml:space="preserve">These problems have led to increased government involvement with Putin replacing the CEO of Gazprom with his own appointee </w:t>
      </w:r>
      <w:r w:rsidR="00445AFA" w:rsidRPr="00E85554">
        <w:rPr>
          <w:rFonts w:ascii="Times New Roman" w:hAnsi="Times New Roman" w:cs="Times New Roman"/>
          <w:sz w:val="24"/>
          <w:szCs w:val="24"/>
          <w:lang w:val="en-US"/>
        </w:rPr>
        <w:fldChar w:fldCharType="begin"/>
      </w:r>
      <w:r w:rsidR="00445AFA" w:rsidRPr="00E85554">
        <w:rPr>
          <w:rFonts w:ascii="Times New Roman" w:hAnsi="Times New Roman" w:cs="Times New Roman"/>
          <w:sz w:val="24"/>
          <w:szCs w:val="24"/>
          <w:lang w:val="en-US"/>
        </w:rPr>
        <w:instrText xml:space="preserve"> ADDIN EN.CITE &lt;EndNote&gt;&lt;Cite&gt;&lt;Author&gt;Puffer&lt;/Author&gt;&lt;Year&gt;2003&lt;/Year&gt;&lt;RecNum&gt;845&lt;/RecNum&gt;&lt;DisplayText&gt;(Puffer et al., 2003)&lt;/DisplayText&gt;&lt;record&gt;&lt;rec-number&gt;845&lt;/rec-number&gt;&lt;foreign-keys&gt;&lt;key app="EN" db-id="xdsfzvadmzzxdzereeq5xdf7eaxsdwfdfave" timestamp="1516549704"&gt;845&lt;/key&gt;&lt;/foreign-keys&gt;&lt;ref-type name="Journal Article"&gt;17&lt;/ref-type&gt;&lt;contributors&gt;&lt;authors&gt;&lt;author&gt;Puffer, Sheila M&lt;/author&gt;&lt;author&gt;McCarthy, Daniel J&lt;/author&gt;&lt;/authors&gt;&lt;/contributors&gt;&lt;titles&gt;&lt;title&gt;The emergence of corporate governance in Russia&lt;/title&gt;&lt;secondary-title&gt;Journal of World Business&lt;/secondary-title&gt;&lt;/titles&gt;&lt;periodical&gt;&lt;full-title&gt;Journal of World Business&lt;/full-title&gt;&lt;/periodical&gt;&lt;pages&gt;284-298&lt;/pages&gt;&lt;volume&gt;38&lt;/volume&gt;&lt;number&gt;4&lt;/number&gt;&lt;dates&gt;&lt;year&gt;2003&lt;/year&gt;&lt;/dates&gt;&lt;isbn&gt;1090-9516&lt;/isbn&gt;&lt;urls&gt;&lt;/urls&gt;&lt;/record&gt;&lt;/Cite&gt;&lt;/EndNote&gt;</w:instrText>
      </w:r>
      <w:r w:rsidR="00445AFA" w:rsidRPr="00E85554">
        <w:rPr>
          <w:rFonts w:ascii="Times New Roman" w:hAnsi="Times New Roman" w:cs="Times New Roman"/>
          <w:sz w:val="24"/>
          <w:szCs w:val="24"/>
          <w:lang w:val="en-US"/>
        </w:rPr>
        <w:fldChar w:fldCharType="separate"/>
      </w:r>
      <w:r w:rsidR="00445AFA" w:rsidRPr="00E85554">
        <w:rPr>
          <w:rFonts w:ascii="Times New Roman" w:hAnsi="Times New Roman" w:cs="Times New Roman"/>
          <w:noProof/>
          <w:sz w:val="24"/>
          <w:szCs w:val="24"/>
          <w:lang w:val="en-US"/>
        </w:rPr>
        <w:t>(</w:t>
      </w:r>
      <w:hyperlink w:anchor="_ENREF_88" w:tooltip="Puffer, 2003 #845" w:history="1">
        <w:r w:rsidR="00266C78" w:rsidRPr="00E85554">
          <w:rPr>
            <w:rFonts w:ascii="Times New Roman" w:hAnsi="Times New Roman" w:cs="Times New Roman"/>
            <w:noProof/>
            <w:sz w:val="24"/>
            <w:szCs w:val="24"/>
            <w:lang w:val="en-US"/>
          </w:rPr>
          <w:t>Puffer et al., 2003</w:t>
        </w:r>
      </w:hyperlink>
      <w:r w:rsidR="00445AFA" w:rsidRPr="00E85554">
        <w:rPr>
          <w:rFonts w:ascii="Times New Roman" w:hAnsi="Times New Roman" w:cs="Times New Roman"/>
          <w:noProof/>
          <w:sz w:val="24"/>
          <w:szCs w:val="24"/>
          <w:lang w:val="en-US"/>
        </w:rPr>
        <w:t>)</w:t>
      </w:r>
      <w:r w:rsidR="00445AFA" w:rsidRPr="00E85554">
        <w:rPr>
          <w:rFonts w:ascii="Times New Roman" w:hAnsi="Times New Roman" w:cs="Times New Roman"/>
          <w:sz w:val="24"/>
          <w:szCs w:val="24"/>
          <w:lang w:val="en-US"/>
        </w:rPr>
        <w:fldChar w:fldCharType="end"/>
      </w:r>
      <w:r w:rsidR="00445AFA" w:rsidRPr="00E85554">
        <w:rPr>
          <w:rFonts w:ascii="Times New Roman" w:hAnsi="Times New Roman" w:cs="Times New Roman"/>
          <w:sz w:val="24"/>
          <w:szCs w:val="24"/>
          <w:lang w:val="en-US"/>
        </w:rPr>
        <w:t>.</w:t>
      </w:r>
    </w:p>
    <w:p w14:paraId="1943D169" w14:textId="77777777" w:rsidR="00D3733A" w:rsidRPr="00E85554" w:rsidRDefault="00D3733A" w:rsidP="00D13355">
      <w:pPr>
        <w:spacing w:after="0" w:line="480" w:lineRule="auto"/>
        <w:rPr>
          <w:rFonts w:ascii="Times New Roman" w:hAnsi="Times New Roman" w:cs="Times New Roman"/>
          <w:b/>
          <w:sz w:val="24"/>
          <w:szCs w:val="24"/>
          <w:lang w:val="en-US"/>
        </w:rPr>
      </w:pPr>
      <w:r w:rsidRPr="00E85554">
        <w:rPr>
          <w:rFonts w:ascii="Times New Roman" w:hAnsi="Times New Roman" w:cs="Times New Roman"/>
          <w:b/>
          <w:sz w:val="24"/>
          <w:szCs w:val="24"/>
          <w:lang w:val="en-US"/>
        </w:rPr>
        <w:t>Ownership</w:t>
      </w:r>
    </w:p>
    <w:p w14:paraId="59C56D07" w14:textId="566BB039" w:rsidR="00667E88" w:rsidRPr="00E85554" w:rsidRDefault="00D3733A" w:rsidP="00A20B15">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The main corporate governance </w:t>
      </w:r>
      <w:r w:rsidR="00901495" w:rsidRPr="00E85554">
        <w:rPr>
          <w:rFonts w:ascii="Times New Roman" w:hAnsi="Times New Roman" w:cs="Times New Roman"/>
          <w:sz w:val="24"/>
          <w:szCs w:val="24"/>
          <w:lang w:val="en-US"/>
        </w:rPr>
        <w:t xml:space="preserve">features </w:t>
      </w:r>
      <w:r w:rsidRPr="00E85554">
        <w:rPr>
          <w:rFonts w:ascii="Times New Roman" w:hAnsi="Times New Roman" w:cs="Times New Roman"/>
          <w:sz w:val="24"/>
          <w:szCs w:val="24"/>
          <w:lang w:val="en-US"/>
        </w:rPr>
        <w:t>in EEM</w:t>
      </w:r>
      <w:r w:rsidR="00001575" w:rsidRPr="00E85554">
        <w:rPr>
          <w:rFonts w:ascii="Times New Roman" w:hAnsi="Times New Roman" w:cs="Times New Roman"/>
          <w:sz w:val="24"/>
          <w:szCs w:val="24"/>
          <w:lang w:val="en-US"/>
        </w:rPr>
        <w:t>M</w:t>
      </w:r>
      <w:r w:rsidR="000879AF" w:rsidRPr="00E85554">
        <w:rPr>
          <w:rFonts w:ascii="Times New Roman" w:hAnsi="Times New Roman" w:cs="Times New Roman"/>
          <w:sz w:val="24"/>
          <w:szCs w:val="24"/>
          <w:lang w:val="en-US"/>
        </w:rPr>
        <w:t>,</w:t>
      </w:r>
      <w:r w:rsidRPr="00E85554">
        <w:rPr>
          <w:rFonts w:ascii="Times New Roman" w:hAnsi="Times New Roman" w:cs="Times New Roman"/>
          <w:sz w:val="24"/>
          <w:szCs w:val="24"/>
          <w:lang w:val="en-US"/>
        </w:rPr>
        <w:t xml:space="preserve"> and Russia in particular</w:t>
      </w:r>
      <w:r w:rsidR="000879AF" w:rsidRPr="00E85554">
        <w:rPr>
          <w:rFonts w:ascii="Times New Roman" w:hAnsi="Times New Roman" w:cs="Times New Roman"/>
          <w:sz w:val="24"/>
          <w:szCs w:val="24"/>
          <w:lang w:val="en-US"/>
        </w:rPr>
        <w:t>,</w:t>
      </w:r>
      <w:r w:rsidRPr="00E85554">
        <w:rPr>
          <w:rFonts w:ascii="Times New Roman" w:hAnsi="Times New Roman" w:cs="Times New Roman"/>
          <w:sz w:val="24"/>
          <w:szCs w:val="24"/>
          <w:lang w:val="en-US"/>
        </w:rPr>
        <w:t xml:space="preserve"> are high ownership concentration and high private b</w:t>
      </w:r>
      <w:r w:rsidR="00410882" w:rsidRPr="00E85554">
        <w:rPr>
          <w:rFonts w:ascii="Times New Roman" w:hAnsi="Times New Roman" w:cs="Times New Roman"/>
          <w:sz w:val="24"/>
          <w:szCs w:val="24"/>
          <w:lang w:val="en-US"/>
        </w:rPr>
        <w:t>enefits of control</w:t>
      </w:r>
      <w:r w:rsidR="00901495" w:rsidRPr="00E85554">
        <w:rPr>
          <w:rFonts w:ascii="Times New Roman" w:hAnsi="Times New Roman" w:cs="Times New Roman"/>
          <w:sz w:val="24"/>
          <w:szCs w:val="24"/>
          <w:lang w:val="en-US"/>
        </w:rPr>
        <w:t xml:space="preserve"> </w:t>
      </w:r>
      <w:r w:rsidR="00410882" w:rsidRPr="00E85554">
        <w:rPr>
          <w:rFonts w:ascii="Times New Roman" w:hAnsi="Times New Roman" w:cs="Times New Roman"/>
          <w:sz w:val="24"/>
          <w:szCs w:val="24"/>
          <w:lang w:val="en-US"/>
        </w:rPr>
        <w:t>result</w:t>
      </w:r>
      <w:r w:rsidR="00901495" w:rsidRPr="00E85554">
        <w:rPr>
          <w:rFonts w:ascii="Times New Roman" w:hAnsi="Times New Roman" w:cs="Times New Roman"/>
          <w:sz w:val="24"/>
          <w:szCs w:val="24"/>
          <w:lang w:val="en-US"/>
        </w:rPr>
        <w:t>ing from</w:t>
      </w:r>
      <w:r w:rsidR="00410882" w:rsidRPr="00E85554">
        <w:rPr>
          <w:rFonts w:ascii="Times New Roman" w:hAnsi="Times New Roman" w:cs="Times New Roman"/>
          <w:sz w:val="24"/>
          <w:szCs w:val="24"/>
          <w:lang w:val="en-US"/>
        </w:rPr>
        <w:t xml:space="preserve"> weak property rights </w:t>
      </w:r>
      <w:r w:rsidR="00901495" w:rsidRPr="00E85554">
        <w:rPr>
          <w:rFonts w:ascii="Times New Roman" w:hAnsi="Times New Roman" w:cs="Times New Roman"/>
          <w:sz w:val="24"/>
          <w:szCs w:val="24"/>
          <w:lang w:val="en-US"/>
        </w:rPr>
        <w:t xml:space="preserve">protection </w:t>
      </w:r>
      <w:r w:rsidR="00410882" w:rsidRPr="00E85554">
        <w:rPr>
          <w:rFonts w:ascii="Times New Roman" w:hAnsi="Times New Roman" w:cs="Times New Roman"/>
          <w:sz w:val="24"/>
          <w:szCs w:val="24"/>
          <w:lang w:val="en-US"/>
        </w:rPr>
        <w:t xml:space="preserve">and underdeveloped capital markets </w:t>
      </w:r>
      <w:r w:rsidR="00410882" w:rsidRPr="00E85554">
        <w:rPr>
          <w:rFonts w:ascii="Times New Roman" w:hAnsi="Times New Roman" w:cs="Times New Roman"/>
          <w:sz w:val="24"/>
          <w:szCs w:val="24"/>
          <w:lang w:val="en-US"/>
        </w:rPr>
        <w:fldChar w:fldCharType="begin"/>
      </w:r>
      <w:r w:rsidR="00410882" w:rsidRPr="00E85554">
        <w:rPr>
          <w:rFonts w:ascii="Times New Roman" w:hAnsi="Times New Roman" w:cs="Times New Roman"/>
          <w:sz w:val="24"/>
          <w:szCs w:val="24"/>
          <w:lang w:val="en-US"/>
        </w:rPr>
        <w:instrText xml:space="preserve"> ADDIN EN.CITE &lt;EndNote&gt;&lt;Cite&gt;&lt;Author&gt;Enikolopov&lt;/Author&gt;&lt;Year&gt;2013&lt;/Year&gt;&lt;RecNum&gt;489&lt;/RecNum&gt;&lt;DisplayText&gt;(Enikolopov et al., 2013)&lt;/DisplayText&gt;&lt;record&gt;&lt;rec-number&gt;489&lt;/rec-number&gt;&lt;foreign-keys&gt;&lt;key app="EN" db-id="xdsfzvadmzzxdzereeq5xdf7eaxsdwfdfave" timestamp="1461839561"&gt;489&lt;/key&gt;&lt;/foreign-keys&gt;&lt;ref-type name="Book Section"&gt;5&lt;/ref-type&gt;&lt;contributors&gt;&lt;authors&gt;&lt;author&gt;Enikolopov, Ruben&lt;/author&gt;&lt;author&gt;Stepanov, Sergey&lt;/author&gt;&lt;/authors&gt;&lt;secondary-authors&gt;&lt;author&gt;Alexeev, Michael&lt;/author&gt;&lt;author&gt;Weber, Shlomo&lt;/author&gt;&lt;/secondary-authors&gt;&lt;/contributors&gt;&lt;titles&gt;&lt;title&gt;Corporate governance in Russia&lt;/title&gt;&lt;secondary-title&gt;The Oxford handbook of the Russian economy&lt;/secondary-title&gt;&lt;/titles&gt;&lt;pages&gt;221-245&lt;/pages&gt;&lt;dates&gt;&lt;year&gt;2013&lt;/year&gt;&lt;/dates&gt;&lt;pub-location&gt;Oxford&lt;/pub-location&gt;&lt;publisher&gt;Oxford University Press&lt;/publisher&gt;&lt;urls&gt;&lt;/urls&gt;&lt;/record&gt;&lt;/Cite&gt;&lt;/EndNote&gt;</w:instrText>
      </w:r>
      <w:r w:rsidR="00410882" w:rsidRPr="00E85554">
        <w:rPr>
          <w:rFonts w:ascii="Times New Roman" w:hAnsi="Times New Roman" w:cs="Times New Roman"/>
          <w:sz w:val="24"/>
          <w:szCs w:val="24"/>
          <w:lang w:val="en-US"/>
        </w:rPr>
        <w:fldChar w:fldCharType="separate"/>
      </w:r>
      <w:r w:rsidR="00410882" w:rsidRPr="00E85554">
        <w:rPr>
          <w:rFonts w:ascii="Times New Roman" w:hAnsi="Times New Roman" w:cs="Times New Roman"/>
          <w:noProof/>
          <w:sz w:val="24"/>
          <w:szCs w:val="24"/>
          <w:lang w:val="en-US"/>
        </w:rPr>
        <w:t>(</w:t>
      </w:r>
      <w:hyperlink w:anchor="_ENREF_45" w:tooltip="Enikolopov, 2013 #489" w:history="1">
        <w:r w:rsidR="00266C78" w:rsidRPr="00E85554">
          <w:rPr>
            <w:rFonts w:ascii="Times New Roman" w:hAnsi="Times New Roman" w:cs="Times New Roman"/>
            <w:noProof/>
            <w:sz w:val="24"/>
            <w:szCs w:val="24"/>
            <w:lang w:val="en-US"/>
          </w:rPr>
          <w:t>Enikolopov et al., 2013</w:t>
        </w:r>
      </w:hyperlink>
      <w:r w:rsidR="00410882" w:rsidRPr="00E85554">
        <w:rPr>
          <w:rFonts w:ascii="Times New Roman" w:hAnsi="Times New Roman" w:cs="Times New Roman"/>
          <w:noProof/>
          <w:sz w:val="24"/>
          <w:szCs w:val="24"/>
          <w:lang w:val="en-US"/>
        </w:rPr>
        <w:t>)</w:t>
      </w:r>
      <w:r w:rsidR="00410882" w:rsidRPr="00E85554">
        <w:rPr>
          <w:rFonts w:ascii="Times New Roman" w:hAnsi="Times New Roman" w:cs="Times New Roman"/>
          <w:sz w:val="24"/>
          <w:szCs w:val="24"/>
          <w:lang w:val="en-US"/>
        </w:rPr>
        <w:fldChar w:fldCharType="end"/>
      </w:r>
      <w:r w:rsidR="00410882" w:rsidRPr="00E85554">
        <w:rPr>
          <w:rFonts w:ascii="Times New Roman" w:hAnsi="Times New Roman" w:cs="Times New Roman"/>
          <w:sz w:val="24"/>
          <w:szCs w:val="24"/>
          <w:lang w:val="en-US"/>
        </w:rPr>
        <w:t xml:space="preserve">. </w:t>
      </w:r>
      <w:hyperlink w:anchor="_ENREF_61" w:tooltip="Iwasaki, 2017 #836" w:history="1">
        <w:r w:rsidR="00266C78" w:rsidRPr="00E85554">
          <w:rPr>
            <w:rFonts w:ascii="Times New Roman" w:hAnsi="Times New Roman" w:cs="Times New Roman"/>
            <w:sz w:val="24"/>
            <w:szCs w:val="24"/>
            <w:lang w:val="en-US"/>
          </w:rPr>
          <w:fldChar w:fldCharType="begin"/>
        </w:r>
        <w:r w:rsidR="00266C78">
          <w:rPr>
            <w:rFonts w:ascii="Times New Roman" w:hAnsi="Times New Roman" w:cs="Times New Roman"/>
            <w:sz w:val="24"/>
            <w:szCs w:val="24"/>
            <w:lang w:val="en-US"/>
          </w:rPr>
          <w:instrText xml:space="preserve"> ADDIN EN.CITE &lt;EndNote&gt;&lt;Cite AuthorYear="1"&gt;&lt;Author&gt;Iwasaki&lt;/Author&gt;&lt;Year&gt;2017&lt;/Year&gt;&lt;RecNum&gt;836&lt;/RecNum&gt;&lt;DisplayText&gt;Iwasaki et al. (2017)&lt;/DisplayText&gt;&lt;record&gt;&lt;rec-number&gt;836&lt;/rec-number&gt;&lt;foreign-keys&gt;&lt;key app="EN" db-id="xdsfzvadmzzxdzereeq5xdf7eaxsdwfdfave" timestamp="1516122976"&gt;836&lt;/key&gt;&lt;/foreign-keys&gt;&lt;ref-type name="Unpublished Work"&gt;34&lt;/ref-type&gt;&lt;contributors&gt;&lt;authors&gt;&lt;author&gt;Iwasaki, Ichiro&lt;/author&gt;&lt;author&gt;Mizobata, Satoshi&lt;/author&gt;&lt;author&gt;Muravyev, Alexander A&lt;/author&gt;&lt;/authors&gt;&lt;/contributors&gt;&lt;titles&gt;&lt;title&gt;Ownership Dynamics and Firm Performance in an Emerging Economy: A Meta-Analysis of the Russian Literature&lt;/title&gt;&lt;secondary-title&gt;Kier Discussion Paper Series&lt;/secondary-title&gt;&lt;/titles&gt;&lt;number&gt;955&lt;/number&gt;&lt;dates&gt;&lt;year&gt;2017&lt;/year&gt;&lt;/dates&gt;&lt;pub-location&gt;Kyoto, Japan&lt;/pub-location&gt;&lt;publisher&gt;Kyoto Institute of Economic Research&lt;/publisher&gt;&lt;urls&gt;&lt;/urls&gt;&lt;/record&gt;&lt;/Cite&gt;&lt;/EndNote&gt;</w:instrText>
        </w:r>
        <w:r w:rsidR="00266C78" w:rsidRPr="00E85554">
          <w:rPr>
            <w:rFonts w:ascii="Times New Roman" w:hAnsi="Times New Roman" w:cs="Times New Roman"/>
            <w:sz w:val="24"/>
            <w:szCs w:val="24"/>
            <w:lang w:val="en-US"/>
          </w:rPr>
          <w:fldChar w:fldCharType="separate"/>
        </w:r>
        <w:r w:rsidR="00266C78">
          <w:rPr>
            <w:rFonts w:ascii="Times New Roman" w:hAnsi="Times New Roman" w:cs="Times New Roman"/>
            <w:noProof/>
            <w:sz w:val="24"/>
            <w:szCs w:val="24"/>
            <w:lang w:val="en-US"/>
          </w:rPr>
          <w:t>Iwasaki et al. (2017)</w:t>
        </w:r>
        <w:r w:rsidR="00266C78" w:rsidRPr="00E85554">
          <w:rPr>
            <w:rFonts w:ascii="Times New Roman" w:hAnsi="Times New Roman" w:cs="Times New Roman"/>
            <w:sz w:val="24"/>
            <w:szCs w:val="24"/>
            <w:lang w:val="en-US"/>
          </w:rPr>
          <w:fldChar w:fldCharType="end"/>
        </w:r>
      </w:hyperlink>
      <w:r w:rsidR="00410882" w:rsidRPr="00E85554">
        <w:rPr>
          <w:rFonts w:ascii="Times New Roman" w:hAnsi="Times New Roman" w:cs="Times New Roman"/>
          <w:sz w:val="24"/>
          <w:szCs w:val="24"/>
          <w:lang w:val="en-US"/>
        </w:rPr>
        <w:t xml:space="preserve"> </w:t>
      </w:r>
      <w:r w:rsidR="00192AAC" w:rsidRPr="00E85554">
        <w:rPr>
          <w:rFonts w:ascii="Times New Roman" w:hAnsi="Times New Roman" w:cs="Times New Roman"/>
          <w:sz w:val="24"/>
          <w:szCs w:val="24"/>
          <w:lang w:val="en-US"/>
        </w:rPr>
        <w:t xml:space="preserve">meta-analysis </w:t>
      </w:r>
      <w:r w:rsidR="00410882" w:rsidRPr="00E85554">
        <w:rPr>
          <w:rFonts w:ascii="Times New Roman" w:hAnsi="Times New Roman" w:cs="Times New Roman"/>
          <w:sz w:val="24"/>
          <w:szCs w:val="24"/>
          <w:lang w:val="en-US"/>
        </w:rPr>
        <w:t>find</w:t>
      </w:r>
      <w:r w:rsidR="00901495" w:rsidRPr="00E85554">
        <w:rPr>
          <w:rFonts w:ascii="Times New Roman" w:hAnsi="Times New Roman" w:cs="Times New Roman"/>
          <w:sz w:val="24"/>
          <w:szCs w:val="24"/>
          <w:lang w:val="en-US"/>
        </w:rPr>
        <w:t>s</w:t>
      </w:r>
      <w:r w:rsidR="00410882" w:rsidRPr="00E85554">
        <w:rPr>
          <w:rFonts w:ascii="Times New Roman" w:hAnsi="Times New Roman" w:cs="Times New Roman"/>
          <w:sz w:val="24"/>
          <w:szCs w:val="24"/>
          <w:lang w:val="en-US"/>
        </w:rPr>
        <w:t xml:space="preserve"> that state ownership negatively impacts firm performance</w:t>
      </w:r>
      <w:r w:rsidR="00901495" w:rsidRPr="00E85554">
        <w:rPr>
          <w:rFonts w:ascii="Times New Roman" w:hAnsi="Times New Roman" w:cs="Times New Roman"/>
          <w:sz w:val="24"/>
          <w:szCs w:val="24"/>
          <w:lang w:val="en-US"/>
        </w:rPr>
        <w:t xml:space="preserve"> in Russia</w:t>
      </w:r>
      <w:r w:rsidR="00410882" w:rsidRPr="00E85554">
        <w:rPr>
          <w:rFonts w:ascii="Times New Roman" w:hAnsi="Times New Roman" w:cs="Times New Roman"/>
          <w:sz w:val="24"/>
          <w:szCs w:val="24"/>
          <w:lang w:val="en-US"/>
        </w:rPr>
        <w:t xml:space="preserve">, while private ownership is positively associated with firm performance. </w:t>
      </w:r>
      <w:r w:rsidR="00901495" w:rsidRPr="00E85554">
        <w:rPr>
          <w:rFonts w:ascii="Times New Roman" w:hAnsi="Times New Roman" w:cs="Times New Roman"/>
          <w:sz w:val="24"/>
          <w:szCs w:val="24"/>
          <w:lang w:val="en-US"/>
        </w:rPr>
        <w:t>B</w:t>
      </w:r>
      <w:r w:rsidR="00410882" w:rsidRPr="00E85554">
        <w:rPr>
          <w:rFonts w:ascii="Times New Roman" w:hAnsi="Times New Roman" w:cs="Times New Roman"/>
          <w:sz w:val="24"/>
          <w:szCs w:val="24"/>
          <w:lang w:val="en-US"/>
        </w:rPr>
        <w:t>ehind nominee an</w:t>
      </w:r>
      <w:r w:rsidR="00192AAC" w:rsidRPr="00E85554">
        <w:rPr>
          <w:rFonts w:ascii="Times New Roman" w:hAnsi="Times New Roman" w:cs="Times New Roman"/>
          <w:sz w:val="24"/>
          <w:szCs w:val="24"/>
          <w:lang w:val="en-US"/>
        </w:rPr>
        <w:t>d foreign offshore arrangements</w:t>
      </w:r>
      <w:r w:rsidR="00410882" w:rsidRPr="00E85554">
        <w:rPr>
          <w:rFonts w:ascii="Times New Roman" w:hAnsi="Times New Roman" w:cs="Times New Roman"/>
          <w:sz w:val="24"/>
          <w:szCs w:val="24"/>
          <w:lang w:val="en-US"/>
        </w:rPr>
        <w:t xml:space="preserve"> there are ultimate controlling owners who are either the state or </w:t>
      </w:r>
      <w:r w:rsidR="00192AAC" w:rsidRPr="00E85554">
        <w:rPr>
          <w:rFonts w:ascii="Times New Roman" w:hAnsi="Times New Roman" w:cs="Times New Roman"/>
          <w:sz w:val="24"/>
          <w:szCs w:val="24"/>
          <w:lang w:val="en-US"/>
        </w:rPr>
        <w:t xml:space="preserve">domestic </w:t>
      </w:r>
      <w:r w:rsidR="00410882" w:rsidRPr="00E85554">
        <w:rPr>
          <w:rFonts w:ascii="Times New Roman" w:hAnsi="Times New Roman" w:cs="Times New Roman"/>
          <w:sz w:val="24"/>
          <w:szCs w:val="24"/>
          <w:lang w:val="en-US"/>
        </w:rPr>
        <w:t xml:space="preserve">private </w:t>
      </w:r>
      <w:r w:rsidR="00192AAC" w:rsidRPr="00E85554">
        <w:rPr>
          <w:rFonts w:ascii="Times New Roman" w:hAnsi="Times New Roman" w:cs="Times New Roman"/>
          <w:sz w:val="24"/>
          <w:szCs w:val="24"/>
          <w:lang w:val="en-US"/>
        </w:rPr>
        <w:t>individuals</w:t>
      </w:r>
      <w:r w:rsidR="00B062DD" w:rsidRPr="00E85554">
        <w:rPr>
          <w:rFonts w:ascii="Times New Roman" w:hAnsi="Times New Roman" w:cs="Times New Roman"/>
          <w:sz w:val="24"/>
          <w:szCs w:val="24"/>
          <w:lang w:val="en-US"/>
        </w:rPr>
        <w:t xml:space="preserve"> </w:t>
      </w:r>
      <w:r w:rsidR="003C4790" w:rsidRPr="00E85554">
        <w:rPr>
          <w:rFonts w:ascii="Times New Roman" w:hAnsi="Times New Roman" w:cs="Times New Roman"/>
          <w:sz w:val="24"/>
          <w:szCs w:val="24"/>
          <w:lang w:val="en-US"/>
        </w:rPr>
        <w:t>(</w:t>
      </w:r>
      <w:r w:rsidR="00901495" w:rsidRPr="00E85554">
        <w:rPr>
          <w:rFonts w:ascii="Times New Roman" w:hAnsi="Times New Roman" w:cs="Times New Roman"/>
          <w:sz w:val="24"/>
          <w:szCs w:val="24"/>
          <w:lang w:val="en-US"/>
        </w:rPr>
        <w:t>Chernykh, 2008). Since t</w:t>
      </w:r>
      <w:r w:rsidR="00B062DD" w:rsidRPr="00E85554">
        <w:rPr>
          <w:rFonts w:ascii="Times New Roman" w:hAnsi="Times New Roman" w:cs="Times New Roman"/>
          <w:sz w:val="24"/>
          <w:szCs w:val="24"/>
          <w:lang w:val="en-US"/>
        </w:rPr>
        <w:t xml:space="preserve">he state plays </w:t>
      </w:r>
      <w:r w:rsidR="003C4790" w:rsidRPr="00E85554">
        <w:rPr>
          <w:rFonts w:ascii="Times New Roman" w:hAnsi="Times New Roman" w:cs="Times New Roman"/>
          <w:sz w:val="24"/>
          <w:szCs w:val="24"/>
          <w:lang w:val="en-US"/>
        </w:rPr>
        <w:t xml:space="preserve">a key </w:t>
      </w:r>
      <w:r w:rsidR="00901495" w:rsidRPr="00E85554">
        <w:rPr>
          <w:rFonts w:ascii="Times New Roman" w:hAnsi="Times New Roman" w:cs="Times New Roman"/>
          <w:sz w:val="24"/>
          <w:szCs w:val="24"/>
          <w:lang w:val="en-US"/>
        </w:rPr>
        <w:t xml:space="preserve">role </w:t>
      </w:r>
      <w:r w:rsidR="00B062DD" w:rsidRPr="00E85554">
        <w:rPr>
          <w:rFonts w:ascii="Times New Roman" w:hAnsi="Times New Roman" w:cs="Times New Roman"/>
          <w:sz w:val="24"/>
          <w:szCs w:val="24"/>
          <w:lang w:val="en-US"/>
        </w:rPr>
        <w:t>in the economy</w:t>
      </w:r>
      <w:r w:rsidR="00667E88" w:rsidRPr="00E85554">
        <w:rPr>
          <w:rFonts w:ascii="Times New Roman" w:hAnsi="Times New Roman" w:cs="Times New Roman"/>
          <w:sz w:val="24"/>
          <w:szCs w:val="24"/>
          <w:lang w:val="en-US"/>
        </w:rPr>
        <w:t>, some independent directors are very strongly associated with the state</w:t>
      </w:r>
      <w:r w:rsidR="00901495" w:rsidRPr="00E85554">
        <w:rPr>
          <w:rFonts w:ascii="Times New Roman" w:hAnsi="Times New Roman" w:cs="Times New Roman"/>
          <w:sz w:val="24"/>
          <w:szCs w:val="24"/>
          <w:lang w:val="en-US"/>
        </w:rPr>
        <w:t xml:space="preserve"> (Megginson, 2017)</w:t>
      </w:r>
      <w:r w:rsidR="00667E88" w:rsidRPr="00E85554">
        <w:rPr>
          <w:rFonts w:ascii="Times New Roman" w:hAnsi="Times New Roman" w:cs="Times New Roman"/>
          <w:sz w:val="24"/>
          <w:szCs w:val="24"/>
          <w:lang w:val="en-US"/>
        </w:rPr>
        <w:t>. Candidates are nominated by a government body rather than by independent nomination committee. Further, in SOEs, independent directors are obliged to follow government directives in v</w:t>
      </w:r>
      <w:r w:rsidR="009365DD" w:rsidRPr="00E85554">
        <w:rPr>
          <w:rFonts w:ascii="Times New Roman" w:hAnsi="Times New Roman" w:cs="Times New Roman"/>
          <w:sz w:val="24"/>
          <w:szCs w:val="24"/>
          <w:lang w:val="en-US"/>
        </w:rPr>
        <w:t xml:space="preserve">oting on many </w:t>
      </w:r>
      <w:r w:rsidR="003C4790" w:rsidRPr="00E85554">
        <w:rPr>
          <w:rFonts w:ascii="Times New Roman" w:hAnsi="Times New Roman" w:cs="Times New Roman"/>
          <w:sz w:val="24"/>
          <w:szCs w:val="24"/>
          <w:lang w:val="en-US"/>
        </w:rPr>
        <w:t xml:space="preserve">strategic </w:t>
      </w:r>
      <w:r w:rsidR="009365DD" w:rsidRPr="00E85554">
        <w:rPr>
          <w:rFonts w:ascii="Times New Roman" w:hAnsi="Times New Roman" w:cs="Times New Roman"/>
          <w:sz w:val="24"/>
          <w:szCs w:val="24"/>
          <w:lang w:val="en-US"/>
        </w:rPr>
        <w:t xml:space="preserve">issues </w:t>
      </w:r>
      <w:r w:rsidR="009365DD" w:rsidRPr="00E85554">
        <w:rPr>
          <w:rFonts w:ascii="Times New Roman" w:hAnsi="Times New Roman" w:cs="Times New Roman"/>
          <w:sz w:val="24"/>
          <w:szCs w:val="24"/>
          <w:lang w:val="en-US"/>
        </w:rPr>
        <w:fldChar w:fldCharType="begin"/>
      </w:r>
      <w:r w:rsidR="009365DD" w:rsidRPr="00E85554">
        <w:rPr>
          <w:rFonts w:ascii="Times New Roman" w:hAnsi="Times New Roman" w:cs="Times New Roman"/>
          <w:sz w:val="24"/>
          <w:szCs w:val="24"/>
          <w:lang w:val="en-US"/>
        </w:rPr>
        <w:instrText xml:space="preserve"> ADDIN EN.CITE &lt;EndNote&gt;&lt;Cite&gt;&lt;Author&gt;Enikolopov&lt;/Author&gt;&lt;Year&gt;2013&lt;/Year&gt;&lt;RecNum&gt;489&lt;/RecNum&gt;&lt;DisplayText&gt;(Enikolopov et al., 2013)&lt;/DisplayText&gt;&lt;record&gt;&lt;rec-number&gt;489&lt;/rec-number&gt;&lt;foreign-keys&gt;&lt;key app="EN" db-id="xdsfzvadmzzxdzereeq5xdf7eaxsdwfdfave" timestamp="1461839561"&gt;489&lt;/key&gt;&lt;/foreign-keys&gt;&lt;ref-type name="Book Section"&gt;5&lt;/ref-type&gt;&lt;contributors&gt;&lt;authors&gt;&lt;author&gt;Enikolopov, Ruben&lt;/author&gt;&lt;author&gt;Stepanov, Sergey&lt;/author&gt;&lt;/authors&gt;&lt;secondary-authors&gt;&lt;author&gt;Alexeev, Michael&lt;/author&gt;&lt;author&gt;Weber, Shlomo&lt;/author&gt;&lt;/secondary-authors&gt;&lt;/contributors&gt;&lt;titles&gt;&lt;title&gt;Corporate governance in Russia&lt;/title&gt;&lt;secondary-title&gt;The Oxford handbook of the Russian economy&lt;/secondary-title&gt;&lt;/titles&gt;&lt;pages&gt;221-245&lt;/pages&gt;&lt;dates&gt;&lt;year&gt;2013&lt;/year&gt;&lt;/dates&gt;&lt;pub-location&gt;Oxford&lt;/pub-location&gt;&lt;publisher&gt;Oxford University Press&lt;/publisher&gt;&lt;urls&gt;&lt;/urls&gt;&lt;/record&gt;&lt;/Cite&gt;&lt;/EndNote&gt;</w:instrText>
      </w:r>
      <w:r w:rsidR="009365DD" w:rsidRPr="00E85554">
        <w:rPr>
          <w:rFonts w:ascii="Times New Roman" w:hAnsi="Times New Roman" w:cs="Times New Roman"/>
          <w:sz w:val="24"/>
          <w:szCs w:val="24"/>
          <w:lang w:val="en-US"/>
        </w:rPr>
        <w:fldChar w:fldCharType="separate"/>
      </w:r>
      <w:r w:rsidR="009365DD" w:rsidRPr="00E85554">
        <w:rPr>
          <w:rFonts w:ascii="Times New Roman" w:hAnsi="Times New Roman" w:cs="Times New Roman"/>
          <w:noProof/>
          <w:sz w:val="24"/>
          <w:szCs w:val="24"/>
          <w:lang w:val="en-US"/>
        </w:rPr>
        <w:t>(</w:t>
      </w:r>
      <w:hyperlink w:anchor="_ENREF_45" w:tooltip="Enikolopov, 2013 #489" w:history="1">
        <w:r w:rsidR="00266C78" w:rsidRPr="00E85554">
          <w:rPr>
            <w:rFonts w:ascii="Times New Roman" w:hAnsi="Times New Roman" w:cs="Times New Roman"/>
            <w:noProof/>
            <w:sz w:val="24"/>
            <w:szCs w:val="24"/>
            <w:lang w:val="en-US"/>
          </w:rPr>
          <w:t>Enikolopov et al., 2013</w:t>
        </w:r>
      </w:hyperlink>
      <w:r w:rsidR="009365DD" w:rsidRPr="00E85554">
        <w:rPr>
          <w:rFonts w:ascii="Times New Roman" w:hAnsi="Times New Roman" w:cs="Times New Roman"/>
          <w:noProof/>
          <w:sz w:val="24"/>
          <w:szCs w:val="24"/>
          <w:lang w:val="en-US"/>
        </w:rPr>
        <w:t>)</w:t>
      </w:r>
      <w:r w:rsidR="009365DD" w:rsidRPr="00E85554">
        <w:rPr>
          <w:rFonts w:ascii="Times New Roman" w:hAnsi="Times New Roman" w:cs="Times New Roman"/>
          <w:sz w:val="24"/>
          <w:szCs w:val="24"/>
          <w:lang w:val="en-US"/>
        </w:rPr>
        <w:fldChar w:fldCharType="end"/>
      </w:r>
      <w:r w:rsidR="00667E88" w:rsidRPr="00E85554">
        <w:rPr>
          <w:rFonts w:ascii="Times New Roman" w:hAnsi="Times New Roman" w:cs="Times New Roman"/>
          <w:sz w:val="24"/>
          <w:szCs w:val="24"/>
          <w:lang w:val="en-US"/>
        </w:rPr>
        <w:t>. In 2008, the government announced that state officials in SOE boards</w:t>
      </w:r>
      <w:r w:rsidR="008B362F" w:rsidRPr="00E85554">
        <w:rPr>
          <w:rFonts w:ascii="Times New Roman" w:hAnsi="Times New Roman" w:cs="Times New Roman"/>
          <w:sz w:val="24"/>
          <w:szCs w:val="24"/>
          <w:lang w:val="en-US"/>
        </w:rPr>
        <w:t xml:space="preserve"> we</w:t>
      </w:r>
      <w:r w:rsidR="00667E88" w:rsidRPr="00E85554">
        <w:rPr>
          <w:rFonts w:ascii="Times New Roman" w:hAnsi="Times New Roman" w:cs="Times New Roman"/>
          <w:sz w:val="24"/>
          <w:szCs w:val="24"/>
          <w:lang w:val="en-US"/>
        </w:rPr>
        <w:t>re to be substituted with independent directors and professionals, such as attorneys</w:t>
      </w:r>
      <w:r w:rsidR="008B362F" w:rsidRPr="00E85554">
        <w:rPr>
          <w:rFonts w:ascii="Times New Roman" w:hAnsi="Times New Roman" w:cs="Times New Roman"/>
          <w:sz w:val="24"/>
          <w:szCs w:val="24"/>
          <w:lang w:val="en-US"/>
        </w:rPr>
        <w:t xml:space="preserve">, who would represent their interests </w:t>
      </w:r>
      <w:r w:rsidR="003C4790" w:rsidRPr="00E85554">
        <w:rPr>
          <w:rFonts w:ascii="Times New Roman" w:hAnsi="Times New Roman" w:cs="Times New Roman"/>
          <w:sz w:val="24"/>
          <w:szCs w:val="24"/>
          <w:lang w:val="en-US"/>
        </w:rPr>
        <w:t>and minimize</w:t>
      </w:r>
      <w:r w:rsidR="008B362F" w:rsidRPr="00E85554">
        <w:rPr>
          <w:rFonts w:ascii="Times New Roman" w:hAnsi="Times New Roman" w:cs="Times New Roman"/>
          <w:sz w:val="24"/>
          <w:szCs w:val="24"/>
          <w:lang w:val="en-US"/>
        </w:rPr>
        <w:t xml:space="preserve"> </w:t>
      </w:r>
      <w:r w:rsidR="00667E88" w:rsidRPr="00E85554">
        <w:rPr>
          <w:rFonts w:ascii="Times New Roman" w:hAnsi="Times New Roman" w:cs="Times New Roman"/>
          <w:sz w:val="24"/>
          <w:szCs w:val="24"/>
          <w:lang w:val="en-US"/>
        </w:rPr>
        <w:t>conflict</w:t>
      </w:r>
      <w:r w:rsidR="008B362F" w:rsidRPr="00E85554">
        <w:rPr>
          <w:rFonts w:ascii="Times New Roman" w:hAnsi="Times New Roman" w:cs="Times New Roman"/>
          <w:sz w:val="24"/>
          <w:szCs w:val="24"/>
          <w:lang w:val="en-US"/>
        </w:rPr>
        <w:t>s</w:t>
      </w:r>
      <w:r w:rsidR="00667E88" w:rsidRPr="00E85554">
        <w:rPr>
          <w:rFonts w:ascii="Times New Roman" w:hAnsi="Times New Roman" w:cs="Times New Roman"/>
          <w:sz w:val="24"/>
          <w:szCs w:val="24"/>
          <w:lang w:val="en-US"/>
        </w:rPr>
        <w:t xml:space="preserve"> of interest</w:t>
      </w:r>
      <w:r w:rsidR="003C4790" w:rsidRPr="00E85554">
        <w:rPr>
          <w:rFonts w:ascii="Times New Roman" w:hAnsi="Times New Roman" w:cs="Times New Roman"/>
          <w:sz w:val="24"/>
          <w:szCs w:val="24"/>
          <w:lang w:val="en-US"/>
        </w:rPr>
        <w:t xml:space="preserve"> with minority owners</w:t>
      </w:r>
      <w:r w:rsidR="008B362F" w:rsidRPr="00E85554">
        <w:rPr>
          <w:rFonts w:ascii="Times New Roman" w:hAnsi="Times New Roman" w:cs="Times New Roman"/>
          <w:sz w:val="24"/>
          <w:szCs w:val="24"/>
          <w:lang w:val="en-US"/>
        </w:rPr>
        <w:t xml:space="preserve"> </w:t>
      </w:r>
      <w:r w:rsidR="009365DD" w:rsidRPr="00E85554">
        <w:rPr>
          <w:rFonts w:ascii="Times New Roman" w:hAnsi="Times New Roman" w:cs="Times New Roman"/>
          <w:sz w:val="24"/>
          <w:szCs w:val="24"/>
          <w:lang w:val="en-US"/>
        </w:rPr>
        <w:fldChar w:fldCharType="begin"/>
      </w:r>
      <w:r w:rsidR="009365DD" w:rsidRPr="00E85554">
        <w:rPr>
          <w:rFonts w:ascii="Times New Roman" w:hAnsi="Times New Roman" w:cs="Times New Roman"/>
          <w:sz w:val="24"/>
          <w:szCs w:val="24"/>
          <w:lang w:val="en-US"/>
        </w:rPr>
        <w:instrText xml:space="preserve"> ADDIN EN.CITE &lt;EndNote&gt;&lt;Cite&gt;&lt;Author&gt;Enikolopov&lt;/Author&gt;&lt;Year&gt;2013&lt;/Year&gt;&lt;RecNum&gt;489&lt;/RecNum&gt;&lt;DisplayText&gt;(Enikolopov et al., 2013)&lt;/DisplayText&gt;&lt;record&gt;&lt;rec-number&gt;489&lt;/rec-number&gt;&lt;foreign-keys&gt;&lt;key app="EN" db-id="xdsfzvadmzzxdzereeq5xdf7eaxsdwfdfave" timestamp="1461839561"&gt;489&lt;/key&gt;&lt;/foreign-keys&gt;&lt;ref-type name="Book Section"&gt;5&lt;/ref-type&gt;&lt;contributors&gt;&lt;authors&gt;&lt;author&gt;Enikolopov, Ruben&lt;/author&gt;&lt;author&gt;Stepanov, Sergey&lt;/author&gt;&lt;/authors&gt;&lt;secondary-authors&gt;&lt;author&gt;Alexeev, Michael&lt;/author&gt;&lt;author&gt;Weber, Shlomo&lt;/author&gt;&lt;/secondary-authors&gt;&lt;/contributors&gt;&lt;titles&gt;&lt;title&gt;Corporate governance in Russia&lt;/title&gt;&lt;secondary-title&gt;The Oxford handbook of the Russian economy&lt;/secondary-title&gt;&lt;/titles&gt;&lt;pages&gt;221-245&lt;/pages&gt;&lt;dates&gt;&lt;year&gt;2013&lt;/year&gt;&lt;/dates&gt;&lt;pub-location&gt;Oxford&lt;/pub-location&gt;&lt;publisher&gt;Oxford University Press&lt;/publisher&gt;&lt;urls&gt;&lt;/urls&gt;&lt;/record&gt;&lt;/Cite&gt;&lt;/EndNote&gt;</w:instrText>
      </w:r>
      <w:r w:rsidR="009365DD" w:rsidRPr="00E85554">
        <w:rPr>
          <w:rFonts w:ascii="Times New Roman" w:hAnsi="Times New Roman" w:cs="Times New Roman"/>
          <w:sz w:val="24"/>
          <w:szCs w:val="24"/>
          <w:lang w:val="en-US"/>
        </w:rPr>
        <w:fldChar w:fldCharType="separate"/>
      </w:r>
      <w:r w:rsidR="009365DD" w:rsidRPr="00E85554">
        <w:rPr>
          <w:rFonts w:ascii="Times New Roman" w:hAnsi="Times New Roman" w:cs="Times New Roman"/>
          <w:noProof/>
          <w:sz w:val="24"/>
          <w:szCs w:val="24"/>
          <w:lang w:val="en-US"/>
        </w:rPr>
        <w:t>(</w:t>
      </w:r>
      <w:hyperlink w:anchor="_ENREF_45" w:tooltip="Enikolopov, 2013 #489" w:history="1">
        <w:r w:rsidR="00266C78" w:rsidRPr="00E85554">
          <w:rPr>
            <w:rFonts w:ascii="Times New Roman" w:hAnsi="Times New Roman" w:cs="Times New Roman"/>
            <w:noProof/>
            <w:sz w:val="24"/>
            <w:szCs w:val="24"/>
            <w:lang w:val="en-US"/>
          </w:rPr>
          <w:t>Enikolopov et al., 2013</w:t>
        </w:r>
      </w:hyperlink>
      <w:r w:rsidR="009365DD" w:rsidRPr="00E85554">
        <w:rPr>
          <w:rFonts w:ascii="Times New Roman" w:hAnsi="Times New Roman" w:cs="Times New Roman"/>
          <w:noProof/>
          <w:sz w:val="24"/>
          <w:szCs w:val="24"/>
          <w:lang w:val="en-US"/>
        </w:rPr>
        <w:t>)</w:t>
      </w:r>
      <w:r w:rsidR="009365DD" w:rsidRPr="00E85554">
        <w:rPr>
          <w:rFonts w:ascii="Times New Roman" w:hAnsi="Times New Roman" w:cs="Times New Roman"/>
          <w:sz w:val="24"/>
          <w:szCs w:val="24"/>
          <w:lang w:val="en-US"/>
        </w:rPr>
        <w:fldChar w:fldCharType="end"/>
      </w:r>
      <w:r w:rsidR="00667E88" w:rsidRPr="00E85554">
        <w:rPr>
          <w:rFonts w:ascii="Times New Roman" w:hAnsi="Times New Roman" w:cs="Times New Roman"/>
          <w:sz w:val="24"/>
          <w:szCs w:val="24"/>
          <w:lang w:val="en-US"/>
        </w:rPr>
        <w:t xml:space="preserve">.  </w:t>
      </w:r>
    </w:p>
    <w:p w14:paraId="05F4951D" w14:textId="147AD66B" w:rsidR="002411E0" w:rsidRPr="00E85554" w:rsidRDefault="002411E0" w:rsidP="00A20B15">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In the</w:t>
      </w:r>
      <w:r w:rsidR="00BA3E8D">
        <w:rPr>
          <w:rFonts w:ascii="Times New Roman" w:hAnsi="Times New Roman" w:cs="Times New Roman"/>
          <w:sz w:val="24"/>
          <w:szCs w:val="24"/>
          <w:lang w:val="en-US"/>
        </w:rPr>
        <w:t xml:space="preserve">ir </w:t>
      </w:r>
      <w:r w:rsidRPr="00E85554">
        <w:rPr>
          <w:rFonts w:ascii="Times New Roman" w:hAnsi="Times New Roman" w:cs="Times New Roman"/>
          <w:sz w:val="24"/>
          <w:szCs w:val="24"/>
          <w:lang w:val="en-US"/>
        </w:rPr>
        <w:t>cross-country study on corporate governance</w:t>
      </w:r>
      <w:r w:rsidR="00BA3E8D">
        <w:rPr>
          <w:rFonts w:ascii="Times New Roman" w:hAnsi="Times New Roman" w:cs="Times New Roman"/>
          <w:sz w:val="24"/>
          <w:szCs w:val="24"/>
          <w:lang w:val="en-US"/>
        </w:rPr>
        <w:t xml:space="preserve"> (which excludes Russia),</w:t>
      </w:r>
      <w:r w:rsidRPr="00E85554">
        <w:rPr>
          <w:rFonts w:ascii="Times New Roman" w:hAnsi="Times New Roman" w:cs="Times New Roman"/>
          <w:sz w:val="24"/>
          <w:szCs w:val="24"/>
          <w:lang w:val="en-US"/>
        </w:rPr>
        <w:t xml:space="preserve"> </w:t>
      </w:r>
      <w:hyperlink w:anchor="_ENREF_42" w:tooltip="Durnev, 2005 #839" w:history="1">
        <w:r w:rsidR="00266C78" w:rsidRPr="00E85554">
          <w:rPr>
            <w:rFonts w:ascii="Times New Roman" w:hAnsi="Times New Roman" w:cs="Times New Roman"/>
            <w:sz w:val="24"/>
            <w:szCs w:val="24"/>
            <w:lang w:val="en-US"/>
          </w:rPr>
          <w:fldChar w:fldCharType="begin"/>
        </w:r>
        <w:r w:rsidR="00266C78" w:rsidRPr="00E85554">
          <w:rPr>
            <w:rFonts w:ascii="Times New Roman" w:hAnsi="Times New Roman" w:cs="Times New Roman"/>
            <w:sz w:val="24"/>
            <w:szCs w:val="24"/>
            <w:lang w:val="en-US"/>
          </w:rPr>
          <w:instrText xml:space="preserve"> ADDIN EN.CITE &lt;EndNote&gt;&lt;Cite AuthorYear="1"&gt;&lt;Author&gt;Durnev&lt;/Author&gt;&lt;Year&gt;2005&lt;/Year&gt;&lt;RecNum&gt;839&lt;/RecNum&gt;&lt;DisplayText&gt;Durnev et al. (2005)&lt;/DisplayText&gt;&lt;record&gt;&lt;rec-number&gt;839&lt;/rec-number&gt;&lt;foreign-keys&gt;&lt;key app="EN" db-id="xdsfzvadmzzxdzereeq5xdf7eaxsdwfdfave" timestamp="1516276569"&gt;839&lt;/key&gt;&lt;/foreign-keys&gt;&lt;ref-type name="Journal Article"&gt;17&lt;/ref-type&gt;&lt;contributors&gt;&lt;authors&gt;&lt;author&gt;Durnev, Art&lt;/author&gt;&lt;author&gt;Kim, E. Han&lt;/author&gt;&lt;/authors&gt;&lt;/contributors&gt;&lt;titles&gt;&lt;title&gt;To steal or not to steal: Firm attributes, legal environment, and valuation&lt;/title&gt;&lt;secondary-title&gt;The Journal of Finance&lt;/secondary-title&gt;&lt;/titles&gt;&lt;periodical&gt;&lt;full-title&gt;The Journal of Finance&lt;/full-title&gt;&lt;/periodical&gt;&lt;pages&gt;1461-1493&lt;/pages&gt;&lt;volume&gt;60&lt;/volume&gt;&lt;number&gt;3&lt;/number&gt;&lt;dates&gt;&lt;year&gt;2005&lt;/year&gt;&lt;/dates&gt;&lt;isbn&gt;1540-6261&lt;/isbn&gt;&lt;urls&gt;&lt;/urls&gt;&lt;/record&gt;&lt;/Cite&gt;&lt;/EndNote&gt;</w:instrText>
        </w:r>
        <w:r w:rsidR="00266C78" w:rsidRPr="00E85554">
          <w:rPr>
            <w:rFonts w:ascii="Times New Roman" w:hAnsi="Times New Roman" w:cs="Times New Roman"/>
            <w:sz w:val="24"/>
            <w:szCs w:val="24"/>
            <w:lang w:val="en-US"/>
          </w:rPr>
          <w:fldChar w:fldCharType="separate"/>
        </w:r>
        <w:r w:rsidR="00266C78" w:rsidRPr="00E85554">
          <w:rPr>
            <w:rFonts w:ascii="Times New Roman" w:hAnsi="Times New Roman" w:cs="Times New Roman"/>
            <w:noProof/>
            <w:sz w:val="24"/>
            <w:szCs w:val="24"/>
            <w:lang w:val="en-US"/>
          </w:rPr>
          <w:t>Durnev et al. (2005)</w:t>
        </w:r>
        <w:r w:rsidR="00266C78" w:rsidRPr="00E85554">
          <w:rPr>
            <w:rFonts w:ascii="Times New Roman" w:hAnsi="Times New Roman" w:cs="Times New Roman"/>
            <w:sz w:val="24"/>
            <w:szCs w:val="24"/>
            <w:lang w:val="en-US"/>
          </w:rPr>
          <w:fldChar w:fldCharType="end"/>
        </w:r>
      </w:hyperlink>
      <w:r w:rsidRPr="00E85554">
        <w:rPr>
          <w:rFonts w:ascii="Times New Roman" w:hAnsi="Times New Roman" w:cs="Times New Roman"/>
          <w:sz w:val="24"/>
          <w:szCs w:val="24"/>
          <w:lang w:val="en-US"/>
        </w:rPr>
        <w:t xml:space="preserve"> highlight the significance of ownership concentration, and conclude that having more share capital deters owners from stealing. </w:t>
      </w:r>
      <w:r w:rsidR="000A691C" w:rsidRPr="00E85554">
        <w:rPr>
          <w:rFonts w:ascii="Times New Roman" w:hAnsi="Times New Roman" w:cs="Times New Roman"/>
          <w:sz w:val="24"/>
          <w:szCs w:val="24"/>
          <w:lang w:val="en-US"/>
        </w:rPr>
        <w:t xml:space="preserve">However, in </w:t>
      </w:r>
      <w:r w:rsidR="00E92521" w:rsidRPr="00E85554">
        <w:rPr>
          <w:rFonts w:ascii="Times New Roman" w:hAnsi="Times New Roman" w:cs="Times New Roman"/>
          <w:sz w:val="24"/>
          <w:szCs w:val="24"/>
          <w:lang w:val="en-US"/>
        </w:rPr>
        <w:t xml:space="preserve">transitioning </w:t>
      </w:r>
      <w:r w:rsidR="000A691C" w:rsidRPr="00E85554">
        <w:rPr>
          <w:rFonts w:ascii="Times New Roman" w:hAnsi="Times New Roman" w:cs="Times New Roman"/>
          <w:sz w:val="24"/>
          <w:szCs w:val="24"/>
          <w:lang w:val="en-US"/>
        </w:rPr>
        <w:t>Russia,</w:t>
      </w:r>
      <w:r w:rsidR="004E14A3" w:rsidRPr="00E85554">
        <w:rPr>
          <w:rFonts w:ascii="Times New Roman" w:hAnsi="Times New Roman" w:cs="Times New Roman"/>
          <w:sz w:val="24"/>
          <w:szCs w:val="24"/>
          <w:lang w:val="en-US"/>
        </w:rPr>
        <w:t xml:space="preserve"> quite the opposite </w:t>
      </w:r>
      <w:r w:rsidR="00E92521" w:rsidRPr="00E85554">
        <w:rPr>
          <w:rFonts w:ascii="Times New Roman" w:hAnsi="Times New Roman" w:cs="Times New Roman"/>
          <w:sz w:val="24"/>
          <w:szCs w:val="24"/>
          <w:lang w:val="en-US"/>
        </w:rPr>
        <w:t>applied</w:t>
      </w:r>
      <w:r w:rsidR="004E14A3" w:rsidRPr="00E85554">
        <w:rPr>
          <w:rFonts w:ascii="Times New Roman" w:hAnsi="Times New Roman" w:cs="Times New Roman"/>
          <w:sz w:val="24"/>
          <w:szCs w:val="24"/>
          <w:lang w:val="en-US"/>
        </w:rPr>
        <w:t xml:space="preserve"> as</w:t>
      </w:r>
      <w:r w:rsidR="000A691C" w:rsidRPr="00E85554">
        <w:rPr>
          <w:rFonts w:ascii="Times New Roman" w:hAnsi="Times New Roman" w:cs="Times New Roman"/>
          <w:sz w:val="24"/>
          <w:szCs w:val="24"/>
          <w:lang w:val="en-US"/>
        </w:rPr>
        <w:t xml:space="preserve"> the insecurity of property rights resulted in a deterioration of corporate governance practices</w:t>
      </w:r>
      <w:r w:rsidR="004E14A3" w:rsidRPr="00E85554">
        <w:rPr>
          <w:rFonts w:ascii="Times New Roman" w:hAnsi="Times New Roman" w:cs="Times New Roman"/>
          <w:sz w:val="24"/>
          <w:szCs w:val="24"/>
          <w:lang w:val="en-US"/>
        </w:rPr>
        <w:t xml:space="preserve"> through ownership concentration</w:t>
      </w:r>
      <w:r w:rsidR="000A691C" w:rsidRPr="00E85554">
        <w:rPr>
          <w:rFonts w:ascii="Times New Roman" w:hAnsi="Times New Roman" w:cs="Times New Roman"/>
          <w:sz w:val="24"/>
          <w:szCs w:val="24"/>
          <w:lang w:val="en-US"/>
        </w:rPr>
        <w:t>. Private blockholders sought to increase their stakes in other firms by diluting shares of minority shareholders</w:t>
      </w:r>
      <w:r w:rsidR="00B25B8C" w:rsidRPr="00E85554">
        <w:rPr>
          <w:rFonts w:ascii="Times New Roman" w:hAnsi="Times New Roman" w:cs="Times New Roman"/>
          <w:sz w:val="24"/>
          <w:szCs w:val="24"/>
          <w:lang w:val="en-US"/>
        </w:rPr>
        <w:t xml:space="preserve">, which they achieved by using loopholes in the legal system, and outright theft. Maximizing investments </w:t>
      </w:r>
      <w:r w:rsidR="00B25B8C" w:rsidRPr="00E85554">
        <w:rPr>
          <w:rFonts w:ascii="Times New Roman" w:hAnsi="Times New Roman" w:cs="Times New Roman"/>
          <w:sz w:val="24"/>
          <w:szCs w:val="24"/>
          <w:lang w:val="en-US"/>
        </w:rPr>
        <w:lastRenderedPageBreak/>
        <w:t xml:space="preserve">and value of assets through improving corporate governance was at best a secondary issue and for private blockholders even undesirable, because it could have limited their ability to expropriate </w:t>
      </w:r>
      <w:r w:rsidR="00B25B8C" w:rsidRPr="00E85554">
        <w:rPr>
          <w:rFonts w:ascii="Times New Roman" w:hAnsi="Times New Roman" w:cs="Times New Roman"/>
          <w:sz w:val="24"/>
          <w:szCs w:val="24"/>
          <w:lang w:val="en-US"/>
        </w:rPr>
        <w:fldChar w:fldCharType="begin"/>
      </w:r>
      <w:r w:rsidR="00B25B8C" w:rsidRPr="00E85554">
        <w:rPr>
          <w:rFonts w:ascii="Times New Roman" w:hAnsi="Times New Roman" w:cs="Times New Roman"/>
          <w:sz w:val="24"/>
          <w:szCs w:val="24"/>
          <w:lang w:val="en-US"/>
        </w:rPr>
        <w:instrText xml:space="preserve"> ADDIN EN.CITE &lt;EndNote&gt;&lt;Cite&gt;&lt;Author&gt;Enikolopov&lt;/Author&gt;&lt;Year&gt;2013&lt;/Year&gt;&lt;RecNum&gt;489&lt;/RecNum&gt;&lt;DisplayText&gt;(Enikolopov et al., 2013)&lt;/DisplayText&gt;&lt;record&gt;&lt;rec-number&gt;489&lt;/rec-number&gt;&lt;foreign-keys&gt;&lt;key app="EN" db-id="xdsfzvadmzzxdzereeq5xdf7eaxsdwfdfave" timestamp="1461839561"&gt;489&lt;/key&gt;&lt;/foreign-keys&gt;&lt;ref-type name="Book Section"&gt;5&lt;/ref-type&gt;&lt;contributors&gt;&lt;authors&gt;&lt;author&gt;Enikolopov, Ruben&lt;/author&gt;&lt;author&gt;Stepanov, Sergey&lt;/author&gt;&lt;/authors&gt;&lt;secondary-authors&gt;&lt;author&gt;Alexeev, Michael&lt;/author&gt;&lt;author&gt;Weber, Shlomo&lt;/author&gt;&lt;/secondary-authors&gt;&lt;/contributors&gt;&lt;titles&gt;&lt;title&gt;Corporate governance in Russia&lt;/title&gt;&lt;secondary-title&gt;The Oxford handbook of the Russian economy&lt;/secondary-title&gt;&lt;/titles&gt;&lt;pages&gt;221-245&lt;/pages&gt;&lt;dates&gt;&lt;year&gt;2013&lt;/year&gt;&lt;/dates&gt;&lt;pub-location&gt;Oxford&lt;/pub-location&gt;&lt;publisher&gt;Oxford University Press&lt;/publisher&gt;&lt;urls&gt;&lt;/urls&gt;&lt;/record&gt;&lt;/Cite&gt;&lt;/EndNote&gt;</w:instrText>
      </w:r>
      <w:r w:rsidR="00B25B8C" w:rsidRPr="00E85554">
        <w:rPr>
          <w:rFonts w:ascii="Times New Roman" w:hAnsi="Times New Roman" w:cs="Times New Roman"/>
          <w:sz w:val="24"/>
          <w:szCs w:val="24"/>
          <w:lang w:val="en-US"/>
        </w:rPr>
        <w:fldChar w:fldCharType="separate"/>
      </w:r>
      <w:r w:rsidR="00B25B8C" w:rsidRPr="00E85554">
        <w:rPr>
          <w:rFonts w:ascii="Times New Roman" w:hAnsi="Times New Roman" w:cs="Times New Roman"/>
          <w:noProof/>
          <w:sz w:val="24"/>
          <w:szCs w:val="24"/>
          <w:lang w:val="en-US"/>
        </w:rPr>
        <w:t>(</w:t>
      </w:r>
      <w:hyperlink w:anchor="_ENREF_45" w:tooltip="Enikolopov, 2013 #489" w:history="1">
        <w:r w:rsidR="00266C78" w:rsidRPr="00E85554">
          <w:rPr>
            <w:rFonts w:ascii="Times New Roman" w:hAnsi="Times New Roman" w:cs="Times New Roman"/>
            <w:noProof/>
            <w:sz w:val="24"/>
            <w:szCs w:val="24"/>
            <w:lang w:val="en-US"/>
          </w:rPr>
          <w:t>Enikolopov et al., 2013</w:t>
        </w:r>
      </w:hyperlink>
      <w:r w:rsidR="00B25B8C" w:rsidRPr="00E85554">
        <w:rPr>
          <w:rFonts w:ascii="Times New Roman" w:hAnsi="Times New Roman" w:cs="Times New Roman"/>
          <w:noProof/>
          <w:sz w:val="24"/>
          <w:szCs w:val="24"/>
          <w:lang w:val="en-US"/>
        </w:rPr>
        <w:t>)</w:t>
      </w:r>
      <w:r w:rsidR="00B25B8C" w:rsidRPr="00E85554">
        <w:rPr>
          <w:rFonts w:ascii="Times New Roman" w:hAnsi="Times New Roman" w:cs="Times New Roman"/>
          <w:sz w:val="24"/>
          <w:szCs w:val="24"/>
          <w:lang w:val="en-US"/>
        </w:rPr>
        <w:fldChar w:fldCharType="end"/>
      </w:r>
      <w:r w:rsidR="00B25B8C" w:rsidRPr="00E85554">
        <w:rPr>
          <w:rFonts w:ascii="Times New Roman" w:hAnsi="Times New Roman" w:cs="Times New Roman"/>
          <w:sz w:val="24"/>
          <w:szCs w:val="24"/>
          <w:lang w:val="en-US"/>
        </w:rPr>
        <w:t>.</w:t>
      </w:r>
      <w:r w:rsidR="000A691C" w:rsidRPr="00E85554">
        <w:rPr>
          <w:rFonts w:ascii="Times New Roman" w:hAnsi="Times New Roman" w:cs="Times New Roman"/>
          <w:sz w:val="24"/>
          <w:szCs w:val="24"/>
          <w:lang w:val="en-US"/>
        </w:rPr>
        <w:t xml:space="preserve"> </w:t>
      </w:r>
      <w:r w:rsidR="00E92521" w:rsidRPr="00E85554">
        <w:rPr>
          <w:rFonts w:ascii="Times New Roman" w:hAnsi="Times New Roman" w:cs="Times New Roman"/>
          <w:sz w:val="24"/>
          <w:szCs w:val="24"/>
          <w:lang w:val="en-US"/>
        </w:rPr>
        <w:t>This situation began to change at the beginning of 2000s, as the focus of attention started to shift towards increasing market value of the assets already owned</w:t>
      </w:r>
      <w:r w:rsidR="00E23E3C" w:rsidRPr="00E85554">
        <w:rPr>
          <w:rFonts w:ascii="Times New Roman" w:hAnsi="Times New Roman" w:cs="Times New Roman"/>
          <w:sz w:val="24"/>
          <w:szCs w:val="24"/>
          <w:lang w:val="en-US"/>
        </w:rPr>
        <w:t xml:space="preserve"> and as a result, blockholders made significant improvements in corporate governance. </w:t>
      </w:r>
      <w:r w:rsidRPr="00E85554">
        <w:rPr>
          <w:rFonts w:ascii="Times New Roman" w:hAnsi="Times New Roman" w:cs="Times New Roman"/>
          <w:sz w:val="24"/>
          <w:szCs w:val="24"/>
          <w:lang w:val="en-US"/>
        </w:rPr>
        <w:t xml:space="preserve">We address </w:t>
      </w:r>
      <w:r w:rsidR="00E23E3C" w:rsidRPr="00E85554">
        <w:rPr>
          <w:rFonts w:ascii="Times New Roman" w:hAnsi="Times New Roman" w:cs="Times New Roman"/>
          <w:sz w:val="24"/>
          <w:szCs w:val="24"/>
          <w:lang w:val="en-US"/>
        </w:rPr>
        <w:t xml:space="preserve">this relationship between ownership and appropriation </w:t>
      </w:r>
      <w:r w:rsidRPr="00E85554">
        <w:rPr>
          <w:rFonts w:ascii="Times New Roman" w:hAnsi="Times New Roman" w:cs="Times New Roman"/>
          <w:sz w:val="24"/>
          <w:szCs w:val="24"/>
          <w:lang w:val="en-US"/>
        </w:rPr>
        <w:t xml:space="preserve">by distinguishing between the types of concentrated </w:t>
      </w:r>
      <w:r w:rsidR="00BA3E8D">
        <w:rPr>
          <w:rFonts w:ascii="Times New Roman" w:hAnsi="Times New Roman" w:cs="Times New Roman"/>
          <w:sz w:val="24"/>
          <w:szCs w:val="24"/>
          <w:lang w:val="en-US"/>
        </w:rPr>
        <w:t xml:space="preserve">blockholders: </w:t>
      </w:r>
      <w:r w:rsidRPr="00E85554">
        <w:rPr>
          <w:rFonts w:ascii="Times New Roman" w:hAnsi="Times New Roman" w:cs="Times New Roman"/>
          <w:sz w:val="24"/>
          <w:szCs w:val="24"/>
          <w:lang w:val="en-US"/>
        </w:rPr>
        <w:t xml:space="preserve">state </w:t>
      </w:r>
      <w:r w:rsidR="00BA3E8D">
        <w:rPr>
          <w:rFonts w:ascii="Times New Roman" w:hAnsi="Times New Roman" w:cs="Times New Roman"/>
          <w:sz w:val="24"/>
          <w:szCs w:val="24"/>
          <w:lang w:val="en-US"/>
        </w:rPr>
        <w:t xml:space="preserve">and </w:t>
      </w:r>
      <w:r w:rsidRPr="00E85554">
        <w:rPr>
          <w:rFonts w:ascii="Times New Roman" w:hAnsi="Times New Roman" w:cs="Times New Roman"/>
          <w:sz w:val="24"/>
          <w:szCs w:val="24"/>
          <w:lang w:val="en-US"/>
        </w:rPr>
        <w:t>private</w:t>
      </w:r>
      <w:r w:rsidR="00BA3E8D">
        <w:rPr>
          <w:rFonts w:ascii="Times New Roman" w:hAnsi="Times New Roman" w:cs="Times New Roman"/>
          <w:sz w:val="24"/>
          <w:szCs w:val="24"/>
          <w:lang w:val="en-US"/>
        </w:rPr>
        <w:t xml:space="preserve"> individuals.</w:t>
      </w:r>
    </w:p>
    <w:p w14:paraId="13093EC6" w14:textId="77777777" w:rsidR="0009730A" w:rsidRPr="00E85554" w:rsidRDefault="00BA123F" w:rsidP="00A20B15">
      <w:pPr>
        <w:spacing w:after="0" w:line="480" w:lineRule="auto"/>
        <w:rPr>
          <w:rFonts w:ascii="Times New Roman" w:hAnsi="Times New Roman" w:cs="Times New Roman"/>
          <w:b/>
          <w:sz w:val="24"/>
          <w:szCs w:val="24"/>
          <w:lang w:val="en-US"/>
        </w:rPr>
      </w:pPr>
      <w:r w:rsidRPr="00E85554">
        <w:rPr>
          <w:rFonts w:ascii="Times New Roman" w:hAnsi="Times New Roman" w:cs="Times New Roman"/>
          <w:b/>
          <w:sz w:val="24"/>
          <w:szCs w:val="24"/>
          <w:lang w:val="en-US"/>
        </w:rPr>
        <w:t>THEORETICAL FRAMEWORK AND HYPOTHESES</w:t>
      </w:r>
    </w:p>
    <w:p w14:paraId="64B9DF1C" w14:textId="77777777" w:rsidR="006F3C71" w:rsidRPr="00E85554" w:rsidRDefault="006C5B5C" w:rsidP="00BA3E8D">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W</w:t>
      </w:r>
      <w:r w:rsidR="006F3C71" w:rsidRPr="00E85554">
        <w:rPr>
          <w:rFonts w:ascii="Times New Roman" w:hAnsi="Times New Roman" w:cs="Times New Roman"/>
          <w:sz w:val="24"/>
          <w:szCs w:val="24"/>
          <w:lang w:val="en-US"/>
        </w:rPr>
        <w:t>e develop an organizing framework to examine whether</w:t>
      </w:r>
      <w:r w:rsidR="00A20B15" w:rsidRPr="00E85554">
        <w:rPr>
          <w:rFonts w:ascii="Times New Roman" w:hAnsi="Times New Roman" w:cs="Times New Roman"/>
          <w:sz w:val="24"/>
          <w:szCs w:val="24"/>
          <w:lang w:val="en-US"/>
        </w:rPr>
        <w:t xml:space="preserve"> the introduction of Anglo-America</w:t>
      </w:r>
      <w:r w:rsidR="002A42BD" w:rsidRPr="00E85554">
        <w:rPr>
          <w:rFonts w:ascii="Times New Roman" w:hAnsi="Times New Roman" w:cs="Times New Roman"/>
          <w:sz w:val="24"/>
          <w:szCs w:val="24"/>
          <w:lang w:val="en-US"/>
        </w:rPr>
        <w:t>n</w:t>
      </w:r>
      <w:r w:rsidR="00A20B15" w:rsidRPr="00E85554">
        <w:rPr>
          <w:rFonts w:ascii="Times New Roman" w:hAnsi="Times New Roman" w:cs="Times New Roman"/>
          <w:sz w:val="24"/>
          <w:szCs w:val="24"/>
          <w:lang w:val="en-US"/>
        </w:rPr>
        <w:t xml:space="preserve"> governance practices </w:t>
      </w:r>
      <w:r w:rsidR="0002385A" w:rsidRPr="00E85554">
        <w:rPr>
          <w:rFonts w:ascii="Times New Roman" w:hAnsi="Times New Roman" w:cs="Times New Roman"/>
          <w:sz w:val="24"/>
          <w:szCs w:val="24"/>
          <w:lang w:val="en-US"/>
        </w:rPr>
        <w:t xml:space="preserve">enhances the effectiveness </w:t>
      </w:r>
      <w:r w:rsidR="00137D8D">
        <w:rPr>
          <w:rFonts w:ascii="Times New Roman" w:hAnsi="Times New Roman" w:cs="Times New Roman"/>
          <w:sz w:val="24"/>
          <w:szCs w:val="24"/>
          <w:lang w:val="en-US"/>
        </w:rPr>
        <w:t>of</w:t>
      </w:r>
      <w:r w:rsidR="00A20B15" w:rsidRPr="00E85554">
        <w:rPr>
          <w:rFonts w:ascii="Times New Roman" w:hAnsi="Times New Roman" w:cs="Times New Roman"/>
          <w:sz w:val="24"/>
          <w:szCs w:val="24"/>
          <w:lang w:val="en-US"/>
        </w:rPr>
        <w:t xml:space="preserve"> </w:t>
      </w:r>
      <w:r w:rsidR="0002385A" w:rsidRPr="00E85554">
        <w:rPr>
          <w:rFonts w:ascii="Times New Roman" w:hAnsi="Times New Roman" w:cs="Times New Roman"/>
          <w:sz w:val="24"/>
          <w:szCs w:val="24"/>
          <w:lang w:val="en-US"/>
        </w:rPr>
        <w:t>corporate govern</w:t>
      </w:r>
      <w:r w:rsidR="00A20B15" w:rsidRPr="00E85554">
        <w:rPr>
          <w:rFonts w:ascii="Times New Roman" w:hAnsi="Times New Roman" w:cs="Times New Roman"/>
          <w:sz w:val="24"/>
          <w:szCs w:val="24"/>
          <w:lang w:val="en-US"/>
        </w:rPr>
        <w:t>ance</w:t>
      </w:r>
      <w:r w:rsidR="00137D8D">
        <w:rPr>
          <w:rFonts w:ascii="Times New Roman" w:hAnsi="Times New Roman" w:cs="Times New Roman"/>
          <w:sz w:val="24"/>
          <w:szCs w:val="24"/>
          <w:lang w:val="en-US"/>
        </w:rPr>
        <w:t xml:space="preserve"> in EEMM</w:t>
      </w:r>
      <w:r w:rsidR="00A20B15" w:rsidRPr="00E85554">
        <w:rPr>
          <w:rFonts w:ascii="Times New Roman" w:hAnsi="Times New Roman" w:cs="Times New Roman"/>
          <w:sz w:val="24"/>
          <w:szCs w:val="24"/>
          <w:lang w:val="en-US"/>
        </w:rPr>
        <w:t xml:space="preserve">. In </w:t>
      </w:r>
      <w:r w:rsidR="0002385A" w:rsidRPr="00E85554">
        <w:rPr>
          <w:rFonts w:ascii="Times New Roman" w:hAnsi="Times New Roman" w:cs="Times New Roman"/>
          <w:sz w:val="24"/>
          <w:szCs w:val="24"/>
          <w:lang w:val="en-US"/>
        </w:rPr>
        <w:t xml:space="preserve">particular, </w:t>
      </w:r>
      <w:r w:rsidR="00A20B15" w:rsidRPr="00E85554">
        <w:rPr>
          <w:rFonts w:ascii="Times New Roman" w:hAnsi="Times New Roman" w:cs="Times New Roman"/>
          <w:sz w:val="24"/>
          <w:szCs w:val="24"/>
          <w:lang w:val="en-US"/>
        </w:rPr>
        <w:t xml:space="preserve">we explore whether </w:t>
      </w:r>
      <w:r w:rsidR="001172B5" w:rsidRPr="00E85554">
        <w:rPr>
          <w:rFonts w:ascii="Times New Roman" w:hAnsi="Times New Roman" w:cs="Times New Roman"/>
          <w:sz w:val="24"/>
          <w:szCs w:val="24"/>
          <w:lang w:val="en-US"/>
        </w:rPr>
        <w:t xml:space="preserve">the </w:t>
      </w:r>
      <w:r w:rsidR="00A20B15" w:rsidRPr="00E85554">
        <w:rPr>
          <w:rFonts w:ascii="Times New Roman" w:hAnsi="Times New Roman" w:cs="Times New Roman"/>
          <w:sz w:val="24"/>
          <w:szCs w:val="24"/>
          <w:lang w:val="en-US"/>
        </w:rPr>
        <w:t xml:space="preserve">presence of independent directors </w:t>
      </w:r>
      <w:r w:rsidR="006F3C71" w:rsidRPr="00E85554">
        <w:rPr>
          <w:rFonts w:ascii="Times New Roman" w:hAnsi="Times New Roman" w:cs="Times New Roman"/>
          <w:sz w:val="24"/>
          <w:szCs w:val="24"/>
          <w:lang w:val="en-US"/>
        </w:rPr>
        <w:t xml:space="preserve">attenuates the degree of </w:t>
      </w:r>
      <w:r w:rsidR="0002385A" w:rsidRPr="00E85554">
        <w:rPr>
          <w:rFonts w:ascii="Times New Roman" w:hAnsi="Times New Roman" w:cs="Times New Roman"/>
          <w:sz w:val="24"/>
          <w:szCs w:val="24"/>
          <w:lang w:val="en-US"/>
        </w:rPr>
        <w:t xml:space="preserve">blockholder </w:t>
      </w:r>
      <w:r w:rsidR="006F3C71" w:rsidRPr="00E85554">
        <w:rPr>
          <w:rFonts w:ascii="Times New Roman" w:hAnsi="Times New Roman" w:cs="Times New Roman"/>
          <w:sz w:val="24"/>
          <w:szCs w:val="24"/>
          <w:lang w:val="en-US"/>
        </w:rPr>
        <w:t>appropriation (baseline hypothesis)</w:t>
      </w:r>
      <w:r w:rsidR="00A20B15" w:rsidRPr="00E85554">
        <w:rPr>
          <w:rFonts w:ascii="Times New Roman" w:hAnsi="Times New Roman" w:cs="Times New Roman"/>
          <w:sz w:val="24"/>
          <w:szCs w:val="24"/>
          <w:lang w:val="en-US"/>
        </w:rPr>
        <w:t>, commonly referred to as</w:t>
      </w:r>
      <w:r w:rsidR="0002385A" w:rsidRPr="00E85554">
        <w:rPr>
          <w:rFonts w:ascii="Times New Roman" w:hAnsi="Times New Roman" w:cs="Times New Roman"/>
          <w:sz w:val="24"/>
          <w:szCs w:val="24"/>
          <w:lang w:val="en-US"/>
        </w:rPr>
        <w:t xml:space="preserve"> ste</w:t>
      </w:r>
      <w:r w:rsidR="002A42BD" w:rsidRPr="00E85554">
        <w:rPr>
          <w:rFonts w:ascii="Times New Roman" w:hAnsi="Times New Roman" w:cs="Times New Roman"/>
          <w:sz w:val="24"/>
          <w:szCs w:val="24"/>
          <w:lang w:val="en-US"/>
        </w:rPr>
        <w:t>a</w:t>
      </w:r>
      <w:r w:rsidR="0002385A" w:rsidRPr="00E85554">
        <w:rPr>
          <w:rFonts w:ascii="Times New Roman" w:hAnsi="Times New Roman" w:cs="Times New Roman"/>
          <w:sz w:val="24"/>
          <w:szCs w:val="24"/>
          <w:lang w:val="en-US"/>
        </w:rPr>
        <w:t>ling</w:t>
      </w:r>
      <w:r w:rsidR="006F3C71" w:rsidRPr="00E85554">
        <w:rPr>
          <w:rFonts w:ascii="Times New Roman" w:hAnsi="Times New Roman" w:cs="Times New Roman"/>
          <w:sz w:val="24"/>
          <w:szCs w:val="24"/>
          <w:lang w:val="en-US"/>
        </w:rPr>
        <w:t xml:space="preserve">. </w:t>
      </w:r>
      <w:r w:rsidR="0002385A" w:rsidRPr="00E85554">
        <w:rPr>
          <w:rFonts w:ascii="Times New Roman" w:hAnsi="Times New Roman" w:cs="Times New Roman"/>
          <w:sz w:val="24"/>
          <w:szCs w:val="24"/>
          <w:lang w:val="en-US"/>
        </w:rPr>
        <w:t>Next, we analyze</w:t>
      </w:r>
      <w:r w:rsidR="006F3C71" w:rsidRPr="00E85554">
        <w:rPr>
          <w:rFonts w:ascii="Times New Roman" w:hAnsi="Times New Roman" w:cs="Times New Roman"/>
          <w:sz w:val="24"/>
          <w:szCs w:val="24"/>
          <w:lang w:val="en-US"/>
        </w:rPr>
        <w:t xml:space="preserve"> how effective independent directors are in deterring </w:t>
      </w:r>
      <w:r w:rsidR="005D2536" w:rsidRPr="00E85554">
        <w:rPr>
          <w:rFonts w:ascii="Times New Roman" w:hAnsi="Times New Roman" w:cs="Times New Roman"/>
          <w:sz w:val="24"/>
          <w:szCs w:val="24"/>
          <w:lang w:val="en-US"/>
        </w:rPr>
        <w:t xml:space="preserve">blockholder </w:t>
      </w:r>
      <w:r w:rsidR="006F3C71" w:rsidRPr="00E85554">
        <w:rPr>
          <w:rFonts w:ascii="Times New Roman" w:hAnsi="Times New Roman" w:cs="Times New Roman"/>
          <w:sz w:val="24"/>
          <w:szCs w:val="24"/>
          <w:lang w:val="en-US"/>
        </w:rPr>
        <w:t>appropriation contingent on: (1)</w:t>
      </w:r>
      <w:r w:rsidR="005D2536" w:rsidRPr="00E85554">
        <w:rPr>
          <w:rFonts w:ascii="Times New Roman" w:hAnsi="Times New Roman" w:cs="Times New Roman"/>
          <w:sz w:val="24"/>
          <w:szCs w:val="24"/>
          <w:lang w:val="en-US"/>
        </w:rPr>
        <w:t xml:space="preserve"> internal corporate governance controls, that is,</w:t>
      </w:r>
      <w:r w:rsidR="006F3C71" w:rsidRPr="00E85554">
        <w:rPr>
          <w:rFonts w:ascii="Times New Roman" w:hAnsi="Times New Roman" w:cs="Times New Roman"/>
          <w:sz w:val="24"/>
          <w:szCs w:val="24"/>
          <w:lang w:val="en-US"/>
        </w:rPr>
        <w:t xml:space="preserve"> the identity of the blockholder they represent, and (2) </w:t>
      </w:r>
      <w:r w:rsidR="005D2536" w:rsidRPr="00E85554">
        <w:rPr>
          <w:rFonts w:ascii="Times New Roman" w:hAnsi="Times New Roman" w:cs="Times New Roman"/>
          <w:sz w:val="24"/>
          <w:szCs w:val="24"/>
          <w:lang w:val="en-US"/>
        </w:rPr>
        <w:t xml:space="preserve">external corporate governance pressures, that is, </w:t>
      </w:r>
      <w:r w:rsidR="006F3C71" w:rsidRPr="00E85554">
        <w:rPr>
          <w:rFonts w:ascii="Times New Roman" w:hAnsi="Times New Roman" w:cs="Times New Roman"/>
          <w:sz w:val="24"/>
          <w:szCs w:val="24"/>
          <w:lang w:val="en-US"/>
        </w:rPr>
        <w:t>the</w:t>
      </w:r>
      <w:r w:rsidR="005D2536" w:rsidRPr="00E85554">
        <w:rPr>
          <w:rFonts w:ascii="Times New Roman" w:hAnsi="Times New Roman" w:cs="Times New Roman"/>
          <w:sz w:val="24"/>
          <w:szCs w:val="24"/>
          <w:lang w:val="en-US"/>
        </w:rPr>
        <w:t xml:space="preserve"> firm</w:t>
      </w:r>
      <w:r w:rsidR="006F3C71" w:rsidRPr="00E85554">
        <w:rPr>
          <w:rFonts w:ascii="Times New Roman" w:hAnsi="Times New Roman" w:cs="Times New Roman"/>
          <w:sz w:val="24"/>
          <w:szCs w:val="24"/>
          <w:lang w:val="en-US"/>
        </w:rPr>
        <w:t xml:space="preserve"> exposure to Anglo-American practice</w:t>
      </w:r>
      <w:r w:rsidR="005D2536" w:rsidRPr="00E85554">
        <w:rPr>
          <w:rFonts w:ascii="Times New Roman" w:hAnsi="Times New Roman" w:cs="Times New Roman"/>
          <w:sz w:val="24"/>
          <w:szCs w:val="24"/>
          <w:lang w:val="en-US"/>
        </w:rPr>
        <w:t>s</w:t>
      </w:r>
      <w:r w:rsidR="006F3C71" w:rsidRPr="00E85554">
        <w:rPr>
          <w:rFonts w:ascii="Times New Roman" w:hAnsi="Times New Roman" w:cs="Times New Roman"/>
          <w:sz w:val="24"/>
          <w:szCs w:val="24"/>
          <w:lang w:val="en-US"/>
        </w:rPr>
        <w:t xml:space="preserve">, which might activate </w:t>
      </w:r>
      <w:r w:rsidR="005D2536" w:rsidRPr="00E85554">
        <w:rPr>
          <w:rFonts w:ascii="Times New Roman" w:hAnsi="Times New Roman" w:cs="Times New Roman"/>
          <w:sz w:val="24"/>
          <w:szCs w:val="24"/>
          <w:lang w:val="en-US"/>
        </w:rPr>
        <w:t>the spirit of their independent director role</w:t>
      </w:r>
      <w:r w:rsidR="006F3C71" w:rsidRPr="00E85554">
        <w:rPr>
          <w:rFonts w:ascii="Times New Roman" w:hAnsi="Times New Roman" w:cs="Times New Roman"/>
          <w:sz w:val="24"/>
          <w:szCs w:val="24"/>
          <w:lang w:val="en-US"/>
        </w:rPr>
        <w:t>.</w:t>
      </w:r>
    </w:p>
    <w:p w14:paraId="49B12351" w14:textId="77777777" w:rsidR="006F3C71" w:rsidRPr="00E85554" w:rsidRDefault="006F3C71" w:rsidP="00A423B4">
      <w:pPr>
        <w:spacing w:after="0" w:line="240" w:lineRule="auto"/>
        <w:jc w:val="center"/>
        <w:rPr>
          <w:rFonts w:ascii="Times New Roman" w:hAnsi="Times New Roman" w:cs="Times New Roman"/>
          <w:sz w:val="24"/>
          <w:szCs w:val="24"/>
          <w:lang w:val="en-US"/>
        </w:rPr>
      </w:pPr>
      <w:r w:rsidRPr="00E85554">
        <w:rPr>
          <w:rFonts w:ascii="Times New Roman" w:hAnsi="Times New Roman" w:cs="Times New Roman"/>
          <w:sz w:val="24"/>
          <w:szCs w:val="24"/>
          <w:lang w:val="en-US"/>
        </w:rPr>
        <w:t>--------------------------------------------------------</w:t>
      </w:r>
    </w:p>
    <w:p w14:paraId="2BA4B4B7" w14:textId="77777777" w:rsidR="006F3C71" w:rsidRPr="00E85554" w:rsidRDefault="006F3C71" w:rsidP="00A423B4">
      <w:pPr>
        <w:spacing w:after="0" w:line="240" w:lineRule="auto"/>
        <w:jc w:val="center"/>
        <w:rPr>
          <w:rFonts w:ascii="Times New Roman" w:hAnsi="Times New Roman" w:cs="Times New Roman"/>
          <w:sz w:val="24"/>
          <w:szCs w:val="24"/>
          <w:lang w:val="en-US"/>
        </w:rPr>
      </w:pPr>
      <w:r w:rsidRPr="00E85554">
        <w:rPr>
          <w:rFonts w:ascii="Times New Roman" w:hAnsi="Times New Roman" w:cs="Times New Roman"/>
          <w:sz w:val="24"/>
          <w:szCs w:val="24"/>
          <w:lang w:val="en-US"/>
        </w:rPr>
        <w:t>I</w:t>
      </w:r>
      <w:r w:rsidR="00A423B4">
        <w:rPr>
          <w:rFonts w:ascii="Times New Roman" w:hAnsi="Times New Roman" w:cs="Times New Roman"/>
          <w:sz w:val="24"/>
          <w:szCs w:val="24"/>
          <w:lang w:val="en-US"/>
        </w:rPr>
        <w:t>nsert</w:t>
      </w:r>
      <w:r w:rsidRPr="00E85554">
        <w:rPr>
          <w:rFonts w:ascii="Times New Roman" w:hAnsi="Times New Roman" w:cs="Times New Roman"/>
          <w:sz w:val="24"/>
          <w:szCs w:val="24"/>
          <w:lang w:val="en-US"/>
        </w:rPr>
        <w:t xml:space="preserve"> </w:t>
      </w:r>
      <w:r w:rsidR="00A423B4">
        <w:rPr>
          <w:rFonts w:ascii="Times New Roman" w:hAnsi="Times New Roman" w:cs="Times New Roman"/>
          <w:sz w:val="24"/>
          <w:szCs w:val="24"/>
          <w:lang w:val="en-US"/>
        </w:rPr>
        <w:t>Figure 1 about here</w:t>
      </w:r>
    </w:p>
    <w:p w14:paraId="68B5A599" w14:textId="77777777" w:rsidR="006F3C71" w:rsidRPr="00E85554" w:rsidRDefault="006F3C71" w:rsidP="00A423B4">
      <w:pPr>
        <w:spacing w:after="0" w:line="480" w:lineRule="auto"/>
        <w:jc w:val="center"/>
        <w:rPr>
          <w:rFonts w:ascii="Times New Roman" w:hAnsi="Times New Roman" w:cs="Times New Roman"/>
          <w:sz w:val="24"/>
          <w:szCs w:val="24"/>
          <w:lang w:val="en-US"/>
        </w:rPr>
      </w:pPr>
      <w:r w:rsidRPr="00E85554">
        <w:rPr>
          <w:rFonts w:ascii="Times New Roman" w:hAnsi="Times New Roman" w:cs="Times New Roman"/>
          <w:sz w:val="24"/>
          <w:szCs w:val="24"/>
          <w:lang w:val="en-US"/>
        </w:rPr>
        <w:t>--------------------------------------------------------</w:t>
      </w:r>
    </w:p>
    <w:p w14:paraId="1B9EC59C" w14:textId="77777777" w:rsidR="006F3C71" w:rsidRPr="00E85554" w:rsidRDefault="006F3C71" w:rsidP="00BA3E8D">
      <w:pPr>
        <w:pStyle w:val="ListParagraph"/>
        <w:spacing w:after="0" w:line="480" w:lineRule="auto"/>
        <w:ind w:left="0"/>
        <w:rPr>
          <w:rFonts w:ascii="Times New Roman" w:hAnsi="Times New Roman" w:cs="Times New Roman"/>
          <w:b/>
          <w:sz w:val="24"/>
          <w:szCs w:val="24"/>
          <w:lang w:val="en-US"/>
        </w:rPr>
      </w:pPr>
      <w:r w:rsidRPr="00E85554">
        <w:rPr>
          <w:rFonts w:ascii="Times New Roman" w:hAnsi="Times New Roman" w:cs="Times New Roman"/>
          <w:b/>
          <w:sz w:val="24"/>
          <w:szCs w:val="24"/>
          <w:lang w:val="en-US"/>
        </w:rPr>
        <w:t xml:space="preserve">Effective corporate governance </w:t>
      </w:r>
      <w:r w:rsidR="003715DF" w:rsidRPr="00E85554">
        <w:rPr>
          <w:rFonts w:ascii="Times New Roman" w:hAnsi="Times New Roman" w:cs="Times New Roman"/>
          <w:b/>
          <w:sz w:val="24"/>
          <w:szCs w:val="24"/>
          <w:lang w:val="en-US"/>
        </w:rPr>
        <w:t>through independent directors</w:t>
      </w:r>
    </w:p>
    <w:p w14:paraId="350FC225" w14:textId="6B68F2F6" w:rsidR="006F3C71" w:rsidRPr="00E85554" w:rsidRDefault="006F3C71" w:rsidP="00BA3E8D">
      <w:pPr>
        <w:pStyle w:val="ListParagraph"/>
        <w:spacing w:after="0" w:line="480" w:lineRule="auto"/>
        <w:ind w:left="0"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While non-executive directors’ independence is a common governance practice, the notion and functions of independent directors vary remarkably across different jurisdictions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&lt;EndNote&gt;&lt;Cite&gt;&lt;Author&gt;Ferrarini&lt;/Author&gt;&lt;Year&gt;2014&lt;/Year&gt;&lt;RecNum&gt;831&lt;/RecNum&gt;&lt;DisplayText&gt;(Ferrarini et al., 2014)&lt;/DisplayText&gt;&lt;record&gt;&lt;rec-number&gt;831&lt;/rec-number&gt;&lt;foreign-keys&gt;&lt;key app="EN" db-id="xdsfzvadmzzxdzereeq5xdf7eaxsdwfdfave" timestamp="1516105186"&gt;831&lt;/key&gt;&lt;/foreign-keys&gt;&lt;ref-type name="Journal Article"&gt;17&lt;/ref-type&gt;&lt;contributors&gt;&lt;authors&gt;&lt;author&gt;Ferrarini, Guido&lt;/author&gt;&lt;author&gt;Filippelli, Marilena&lt;/author&gt;&lt;/authors&gt;&lt;/contributors&gt;&lt;titles&gt;&lt;title&gt;Independent directors and controlling shareholders around the world&lt;/title&gt;&lt;/titles&gt;&lt;dates&gt;&lt;year&gt;2014&lt;/year&gt;&lt;/dates&gt;&lt;urls&gt;&lt;/urls&gt;&lt;/record&gt;&lt;/Cite&gt;&lt;/EndNote&gt;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48" w:tooltip="Ferrarini, 2014 #831" w:history="1">
        <w:r w:rsidR="00266C78" w:rsidRPr="00E85554">
          <w:rPr>
            <w:rFonts w:ascii="Times New Roman" w:hAnsi="Times New Roman" w:cs="Times New Roman"/>
            <w:noProof/>
            <w:sz w:val="24"/>
            <w:szCs w:val="24"/>
            <w:lang w:val="en-US"/>
          </w:rPr>
          <w:t>Ferrarini et al., 2014</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w:t>
      </w:r>
      <w:r w:rsidR="006C5B5C" w:rsidRPr="00E85554">
        <w:rPr>
          <w:rFonts w:ascii="Times New Roman" w:hAnsi="Times New Roman" w:cs="Times New Roman"/>
          <w:sz w:val="24"/>
          <w:szCs w:val="24"/>
          <w:lang w:val="en-US"/>
        </w:rPr>
        <w:t>T</w:t>
      </w:r>
      <w:r w:rsidRPr="00E85554">
        <w:rPr>
          <w:rFonts w:ascii="Times New Roman" w:hAnsi="Times New Roman" w:cs="Times New Roman"/>
          <w:sz w:val="24"/>
          <w:szCs w:val="24"/>
          <w:lang w:val="en-US"/>
        </w:rPr>
        <w:t xml:space="preserve">he most common approach defines independent directors as individuals without a business or family relationship with the firm, to prevent conflicts of interests with the corporation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&lt;EndNote&gt;&lt;Cite&gt;&lt;Author&gt;Zattoni&lt;/Author&gt;&lt;Year&gt;2010&lt;/Year&gt;&lt;RecNum&gt;832&lt;/RecNum&gt;&lt;DisplayText&gt;(Zattoni et al., 2010)&lt;/DisplayText&gt;&lt;record&gt;&lt;rec-number&gt;832&lt;/rec-number&gt;&lt;foreign-keys&gt;&lt;key app="EN" db-id="xdsfzvadmzzxdzereeq5xdf7eaxsdwfdfave" timestamp="1516105399"&gt;832&lt;/key&gt;&lt;/foreign-keys&gt;&lt;ref-type name="Journal Article"&gt;17&lt;/ref-type&gt;&lt;contributors&gt;&lt;authors&gt;&lt;author&gt;Zattoni, Alessandro&lt;/author&gt;&lt;author&gt;Cuomo, Francesca&lt;/author&gt;&lt;/authors&gt;&lt;/contributors&gt;&lt;titles&gt;&lt;title&gt;How Independent, Competent and Incentivized Should Non</w:instrText>
      </w:r>
      <w:r w:rsidRPr="00E85554">
        <w:rPr>
          <w:rFonts w:ascii="Cambria Math" w:hAnsi="Cambria Math" w:cs="Cambria Math"/>
          <w:sz w:val="24"/>
          <w:szCs w:val="24"/>
          <w:lang w:val="en-US"/>
        </w:rPr>
        <w:instrText>‐</w:instrText>
      </w:r>
      <w:r w:rsidRPr="00E85554">
        <w:rPr>
          <w:rFonts w:ascii="Times New Roman" w:hAnsi="Times New Roman" w:cs="Times New Roman"/>
          <w:sz w:val="24"/>
          <w:szCs w:val="24"/>
          <w:lang w:val="en-US"/>
        </w:rPr>
        <w:instrText>executive Directors Be? An Empirical Investigation of Good Governance Codes&lt;/title&gt;&lt;secondary-title&gt;British Journal of Management&lt;/secondary-title&gt;&lt;/titles&gt;&lt;periodical&gt;&lt;full-title&gt;British Journal of Management&lt;/full-title&gt;&lt;/periodical&gt;&lt;pages&gt;63-79&lt;/pages&gt;&lt;volume&gt;21&lt;/volume&gt;&lt;number&gt;1&lt;/number&gt;&lt;dates&gt;&lt;year&gt;2010&lt;/year&gt;&lt;/dates&gt;&lt;isbn&gt;1467-8551&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110" w:tooltip="Zattoni, 2010 #832" w:history="1">
        <w:r w:rsidR="00266C78" w:rsidRPr="00E85554">
          <w:rPr>
            <w:rFonts w:ascii="Times New Roman" w:hAnsi="Times New Roman" w:cs="Times New Roman"/>
            <w:noProof/>
            <w:sz w:val="24"/>
            <w:szCs w:val="24"/>
            <w:lang w:val="en-US"/>
          </w:rPr>
          <w:t>Zattoni et al., 2010</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w:t>
      </w:r>
      <w:r w:rsidR="003715DF" w:rsidRPr="00E85554">
        <w:rPr>
          <w:rFonts w:ascii="Times New Roman" w:hAnsi="Times New Roman" w:cs="Times New Roman"/>
          <w:sz w:val="24"/>
          <w:szCs w:val="24"/>
          <w:lang w:val="en-US"/>
        </w:rPr>
        <w:t xml:space="preserve"> Given the</w:t>
      </w:r>
      <w:r w:rsidRPr="00E85554">
        <w:rPr>
          <w:rFonts w:ascii="Times New Roman" w:hAnsi="Times New Roman" w:cs="Times New Roman"/>
          <w:sz w:val="24"/>
          <w:szCs w:val="24"/>
          <w:lang w:val="en-US"/>
        </w:rPr>
        <w:t xml:space="preserve"> different institutional context in </w:t>
      </w:r>
      <w:r w:rsidRPr="00E85554">
        <w:rPr>
          <w:rFonts w:ascii="Times New Roman" w:hAnsi="Times New Roman" w:cs="Times New Roman"/>
          <w:sz w:val="24"/>
          <w:szCs w:val="24"/>
          <w:lang w:val="en-US"/>
        </w:rPr>
        <w:lastRenderedPageBreak/>
        <w:t>E</w:t>
      </w:r>
      <w:r w:rsidR="002A42BD" w:rsidRPr="00E85554">
        <w:rPr>
          <w:rFonts w:ascii="Times New Roman" w:hAnsi="Times New Roman" w:cs="Times New Roman"/>
          <w:sz w:val="24"/>
          <w:szCs w:val="24"/>
          <w:lang w:val="en-US"/>
        </w:rPr>
        <w:t>E</w:t>
      </w:r>
      <w:r w:rsidRPr="00E85554">
        <w:rPr>
          <w:rFonts w:ascii="Times New Roman" w:hAnsi="Times New Roman" w:cs="Times New Roman"/>
          <w:sz w:val="24"/>
          <w:szCs w:val="24"/>
          <w:lang w:val="en-US"/>
        </w:rPr>
        <w:t>MM related to the strong role of state in the economy, the Russian governance code has a unique additional exclusion – an independent director cannot be a representative of the Russian government. Further, after seven years of service on a company board, a director can no longer be considered as independent.</w:t>
      </w:r>
      <w:r w:rsidR="005F35CB" w:rsidRPr="00E85554">
        <w:rPr>
          <w:rFonts w:ascii="Times New Roman" w:hAnsi="Times New Roman" w:cs="Times New Roman"/>
          <w:sz w:val="24"/>
          <w:szCs w:val="24"/>
          <w:lang w:val="en-US"/>
        </w:rPr>
        <w:t xml:space="preserve"> Moreover, </w:t>
      </w:r>
      <w:r w:rsidRPr="00E85554">
        <w:rPr>
          <w:rFonts w:ascii="Times New Roman" w:hAnsi="Times New Roman" w:cs="Times New Roman"/>
          <w:sz w:val="24"/>
          <w:szCs w:val="24"/>
          <w:lang w:val="en-US"/>
        </w:rPr>
        <w:t>Anglo-American listing rules and codes require at least the majority of board seats to be composed by independent directors. The composition requirements are less stringent for E</w:t>
      </w:r>
      <w:r w:rsidR="002A42BD" w:rsidRPr="00E85554">
        <w:rPr>
          <w:rFonts w:ascii="Times New Roman" w:hAnsi="Times New Roman" w:cs="Times New Roman"/>
          <w:sz w:val="24"/>
          <w:szCs w:val="24"/>
          <w:lang w:val="en-US"/>
        </w:rPr>
        <w:t>E</w:t>
      </w:r>
      <w:r w:rsidRPr="00E85554">
        <w:rPr>
          <w:rFonts w:ascii="Times New Roman" w:hAnsi="Times New Roman" w:cs="Times New Roman"/>
          <w:sz w:val="24"/>
          <w:szCs w:val="24"/>
          <w:lang w:val="en-US"/>
        </w:rPr>
        <w:t>M</w:t>
      </w:r>
      <w:r w:rsidR="00882E96">
        <w:rPr>
          <w:rFonts w:ascii="Times New Roman" w:hAnsi="Times New Roman" w:cs="Times New Roman"/>
          <w:sz w:val="24"/>
          <w:szCs w:val="24"/>
          <w:lang w:val="en-US"/>
        </w:rPr>
        <w:t>M</w:t>
      </w:r>
      <w:r w:rsidRPr="00E85554">
        <w:rPr>
          <w:rFonts w:ascii="Times New Roman" w:hAnsi="Times New Roman" w:cs="Times New Roman"/>
          <w:sz w:val="24"/>
          <w:szCs w:val="24"/>
          <w:lang w:val="en-US"/>
        </w:rPr>
        <w:t xml:space="preserve">, given the relative infancy of </w:t>
      </w:r>
      <w:r w:rsidR="00DC5675" w:rsidRPr="00E85554">
        <w:rPr>
          <w:rFonts w:ascii="Times New Roman" w:hAnsi="Times New Roman" w:cs="Times New Roman"/>
          <w:sz w:val="24"/>
          <w:szCs w:val="24"/>
          <w:lang w:val="en-US"/>
        </w:rPr>
        <w:t xml:space="preserve">corporate governance practices. </w:t>
      </w:r>
      <w:r w:rsidRPr="00E85554">
        <w:rPr>
          <w:rFonts w:ascii="Times New Roman" w:hAnsi="Times New Roman" w:cs="Times New Roman"/>
          <w:sz w:val="24"/>
          <w:szCs w:val="24"/>
          <w:lang w:val="en-US"/>
        </w:rPr>
        <w:t xml:space="preserve">In Russia for instance, the corporate governance </w:t>
      </w:r>
      <w:r w:rsidR="006C5B5C" w:rsidRPr="00E85554">
        <w:rPr>
          <w:rFonts w:ascii="Times New Roman" w:hAnsi="Times New Roman" w:cs="Times New Roman"/>
          <w:sz w:val="24"/>
          <w:szCs w:val="24"/>
          <w:lang w:val="en-US"/>
        </w:rPr>
        <w:t xml:space="preserve">code </w:t>
      </w:r>
      <w:r w:rsidRPr="00E85554">
        <w:rPr>
          <w:rFonts w:ascii="Times New Roman" w:hAnsi="Times New Roman" w:cs="Times New Roman"/>
          <w:sz w:val="24"/>
          <w:szCs w:val="24"/>
          <w:lang w:val="en-US"/>
        </w:rPr>
        <w:t xml:space="preserve">recommends at least 25% of total board for independent directors and at least three independent directors in absolute numbers. </w:t>
      </w:r>
    </w:p>
    <w:p w14:paraId="3897E26E" w14:textId="300EC3D9" w:rsidR="006F3C71" w:rsidRPr="00E85554" w:rsidRDefault="00DC5675" w:rsidP="00DC5675">
      <w:pPr>
        <w:pStyle w:val="ListParagraph"/>
        <w:spacing w:line="480" w:lineRule="auto"/>
        <w:ind w:left="0"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The governance </w:t>
      </w:r>
      <w:r w:rsidR="006F3C71" w:rsidRPr="00E85554">
        <w:rPr>
          <w:rFonts w:ascii="Times New Roman" w:hAnsi="Times New Roman" w:cs="Times New Roman"/>
          <w:sz w:val="24"/>
          <w:szCs w:val="24"/>
          <w:lang w:val="en-US"/>
        </w:rPr>
        <w:t xml:space="preserve">literature indicates that directors should have both functional and firm specific skills. </w:t>
      </w:r>
      <w:r w:rsidR="001B7EFD" w:rsidRPr="00E85554">
        <w:rPr>
          <w:rFonts w:ascii="Times New Roman" w:hAnsi="Times New Roman" w:cs="Times New Roman"/>
          <w:sz w:val="24"/>
          <w:szCs w:val="24"/>
          <w:lang w:val="en-US"/>
        </w:rPr>
        <w:t>I</w:t>
      </w:r>
      <w:r w:rsidR="006F3C71" w:rsidRPr="00E85554">
        <w:rPr>
          <w:rFonts w:ascii="Times New Roman" w:hAnsi="Times New Roman" w:cs="Times New Roman"/>
          <w:sz w:val="24"/>
          <w:szCs w:val="24"/>
          <w:lang w:val="en-US"/>
        </w:rPr>
        <w:t>ndependent directors are valuable in providing oversight of a firm’s financial practices</w:t>
      </w:r>
      <w:r w:rsidR="004959D5" w:rsidRPr="00E85554">
        <w:rPr>
          <w:rFonts w:ascii="Times New Roman" w:hAnsi="Times New Roman" w:cs="Times New Roman"/>
          <w:sz w:val="24"/>
          <w:szCs w:val="24"/>
          <w:lang w:val="en-US"/>
        </w:rPr>
        <w:t xml:space="preserve"> and</w:t>
      </w:r>
      <w:r w:rsidR="006F3C71" w:rsidRPr="00E85554">
        <w:rPr>
          <w:rFonts w:ascii="Times New Roman" w:hAnsi="Times New Roman" w:cs="Times New Roman"/>
          <w:sz w:val="24"/>
          <w:szCs w:val="24"/>
          <w:lang w:val="en-US"/>
        </w:rPr>
        <w:t xml:space="preserve"> may protect shareholder’s interests affecting important board outcomes, such as CEO substitution, the reaction to potential takeovers, and top management’s compensation </w:t>
      </w:r>
      <w:r w:rsidR="006F3C71" w:rsidRPr="00E85554">
        <w:rPr>
          <w:rFonts w:ascii="Times New Roman" w:hAnsi="Times New Roman" w:cs="Times New Roman"/>
          <w:sz w:val="24"/>
          <w:szCs w:val="24"/>
          <w:lang w:val="en-US"/>
        </w:rPr>
        <w:fldChar w:fldCharType="begin"/>
      </w:r>
      <w:r w:rsidR="006F3C71" w:rsidRPr="00E85554">
        <w:rPr>
          <w:rFonts w:ascii="Times New Roman" w:hAnsi="Times New Roman" w:cs="Times New Roman"/>
          <w:sz w:val="24"/>
          <w:szCs w:val="24"/>
          <w:lang w:val="en-US"/>
        </w:rPr>
        <w:instrText xml:space="preserve"> ADDIN EN.CITE &lt;EndNote&gt;&lt;Cite&gt;&lt;Author&gt;Zattoni&lt;/Author&gt;&lt;Year&gt;2008&lt;/Year&gt;&lt;RecNum&gt;833&lt;/RecNum&gt;&lt;DisplayText&gt;(Zattoni et al., 2008)&lt;/DisplayText&gt;&lt;record&gt;&lt;rec-number&gt;833&lt;/rec-number&gt;&lt;foreign-keys&gt;&lt;key app="EN" db-id="xdsfzvadmzzxdzereeq5xdf7eaxsdwfdfave" timestamp="1516109769"&gt;833&lt;/key&gt;&lt;/foreign-keys&gt;&lt;ref-type name="Journal Article"&gt;17&lt;/ref-type&gt;&lt;contributors&gt;&lt;authors&gt;&lt;author&gt;Zattoni, Alessandro&lt;/author&gt;&lt;author&gt;Cuomo, Francesca&lt;/author&gt;&lt;/authors&gt;&lt;/contributors&gt;&lt;titles&gt;&lt;title&gt;Why adopt codes of good governance? A comparison of institutional and efficiency perspectives&lt;/title&gt;&lt;secondary-title&gt;Corporate governance: an international review&lt;/secondary-title&gt;&lt;/titles&gt;&lt;periodical&gt;&lt;full-title&gt;Corporate Governance: An International Review&lt;/full-title&gt;&lt;/periodical&gt;&lt;pages&gt;1-15&lt;/pages&gt;&lt;volume&gt;16&lt;/volume&gt;&lt;number&gt;1&lt;/number&gt;&lt;dates&gt;&lt;year&gt;2008&lt;/year&gt;&lt;/dates&gt;&lt;isbn&gt;1467-8683&lt;/isbn&gt;&lt;urls&gt;&lt;/urls&gt;&lt;/record&gt;&lt;/Cite&gt;&lt;/EndNote&gt;</w:instrText>
      </w:r>
      <w:r w:rsidR="006F3C71" w:rsidRPr="00E85554">
        <w:rPr>
          <w:rFonts w:ascii="Times New Roman" w:hAnsi="Times New Roman" w:cs="Times New Roman"/>
          <w:sz w:val="24"/>
          <w:szCs w:val="24"/>
          <w:lang w:val="en-US"/>
        </w:rPr>
        <w:fldChar w:fldCharType="separate"/>
      </w:r>
      <w:r w:rsidR="006F3C71" w:rsidRPr="00E85554">
        <w:rPr>
          <w:rFonts w:ascii="Times New Roman" w:hAnsi="Times New Roman" w:cs="Times New Roman"/>
          <w:noProof/>
          <w:sz w:val="24"/>
          <w:szCs w:val="24"/>
          <w:lang w:val="en-US"/>
        </w:rPr>
        <w:t>(</w:t>
      </w:r>
      <w:hyperlink w:anchor="_ENREF_109" w:tooltip="Zattoni, 2008 #833" w:history="1">
        <w:r w:rsidR="00266C78" w:rsidRPr="00E85554">
          <w:rPr>
            <w:rFonts w:ascii="Times New Roman" w:hAnsi="Times New Roman" w:cs="Times New Roman"/>
            <w:noProof/>
            <w:sz w:val="24"/>
            <w:szCs w:val="24"/>
            <w:lang w:val="en-US"/>
          </w:rPr>
          <w:t>Zattoni et al., 2008</w:t>
        </w:r>
      </w:hyperlink>
      <w:r w:rsidR="006F3C71" w:rsidRPr="00E85554">
        <w:rPr>
          <w:rFonts w:ascii="Times New Roman" w:hAnsi="Times New Roman" w:cs="Times New Roman"/>
          <w:noProof/>
          <w:sz w:val="24"/>
          <w:szCs w:val="24"/>
          <w:lang w:val="en-US"/>
        </w:rPr>
        <w:t>)</w:t>
      </w:r>
      <w:r w:rsidR="006F3C71" w:rsidRPr="00E85554">
        <w:rPr>
          <w:rFonts w:ascii="Times New Roman" w:hAnsi="Times New Roman" w:cs="Times New Roman"/>
          <w:sz w:val="24"/>
          <w:szCs w:val="24"/>
          <w:lang w:val="en-US"/>
        </w:rPr>
        <w:fldChar w:fldCharType="end"/>
      </w:r>
      <w:r w:rsidR="006F3C71" w:rsidRPr="00E85554">
        <w:rPr>
          <w:rFonts w:ascii="Times New Roman" w:hAnsi="Times New Roman" w:cs="Times New Roman"/>
          <w:sz w:val="24"/>
          <w:szCs w:val="24"/>
          <w:lang w:val="en-US"/>
        </w:rPr>
        <w:t xml:space="preserve">. Independent directors offer different perspectives from executives on strategic decisions, and this increases the likelihood of creative and innovative solutions </w:t>
      </w:r>
      <w:r w:rsidR="006F3C71" w:rsidRPr="00E85554">
        <w:rPr>
          <w:rFonts w:ascii="Times New Roman" w:hAnsi="Times New Roman" w:cs="Times New Roman"/>
          <w:sz w:val="24"/>
          <w:szCs w:val="24"/>
          <w:lang w:val="en-US"/>
        </w:rPr>
        <w:fldChar w:fldCharType="begin"/>
      </w:r>
      <w:r w:rsidR="00DA088E">
        <w:rPr>
          <w:rFonts w:ascii="Times New Roman" w:hAnsi="Times New Roman" w:cs="Times New Roman"/>
          <w:sz w:val="24"/>
          <w:szCs w:val="24"/>
          <w:lang w:val="en-US"/>
        </w:rPr>
        <w:instrText xml:space="preserve"> ADDIN EN.CITE &lt;EndNote&gt;&lt;Cite&gt;&lt;Author&gt;Roberts&lt;/Author&gt;&lt;Year&gt;2005&lt;/Year&gt;&lt;RecNum&gt;807&lt;/RecNum&gt;&lt;DisplayText&gt;(Roberts et al., 2005)&lt;/DisplayText&gt;&lt;record&gt;&lt;rec-number&gt;807&lt;/rec-number&gt;&lt;foreign-keys&gt;&lt;key app="EN" db-id="xdsfzvadmzzxdzereeq5xdf7eaxsdwfdfave" timestamp="1514935443"&gt;807&lt;/key&gt;&lt;/foreign-keys&gt;&lt;ref-type name="Journal Article"&gt;17&lt;/ref-type&gt;&lt;contributors&gt;&lt;authors&gt;&lt;author&gt;Roberts, John&lt;/author&gt;&lt;author&gt;McNulty, Terry&lt;/author&gt;&lt;author&gt;Stiles, Philip&lt;/author&gt;&lt;/authors&gt;&lt;/contributors&gt;&lt;titles&gt;&lt;title&gt;Beyond agency conceptions of the work of the non</w:instrText>
      </w:r>
      <w:r w:rsidR="00DA088E">
        <w:rPr>
          <w:rFonts w:ascii="Cambria Math" w:hAnsi="Cambria Math" w:cs="Cambria Math"/>
          <w:sz w:val="24"/>
          <w:szCs w:val="24"/>
          <w:lang w:val="en-US"/>
        </w:rPr>
        <w:instrText>‐</w:instrText>
      </w:r>
      <w:r w:rsidR="00DA088E">
        <w:rPr>
          <w:rFonts w:ascii="Times New Roman" w:hAnsi="Times New Roman" w:cs="Times New Roman"/>
          <w:sz w:val="24"/>
          <w:szCs w:val="24"/>
          <w:lang w:val="en-US"/>
        </w:rPr>
        <w:instrText>executive director: Creating accountability in the boardroom&lt;/title&gt;&lt;secondary-title&gt;British Journal of Management&lt;/secondary-title&gt;&lt;/titles&gt;&lt;periodical&gt;&lt;full-title&gt;British Journal of Management&lt;/full-title&gt;&lt;/periodical&gt;&lt;volume&gt;16&lt;/volume&gt;&lt;number&gt;s1&lt;/number&gt;&lt;dates&gt;&lt;year&gt;2005&lt;/year&gt;&lt;/dates&gt;&lt;isbn&gt;1467-8551&lt;/isbn&gt;&lt;urls&gt;&lt;/urls&gt;&lt;/record&gt;&lt;/Cite&gt;&lt;/EndNote&gt;</w:instrText>
      </w:r>
      <w:r w:rsidR="006F3C71" w:rsidRPr="00E85554">
        <w:rPr>
          <w:rFonts w:ascii="Times New Roman" w:hAnsi="Times New Roman" w:cs="Times New Roman"/>
          <w:sz w:val="24"/>
          <w:szCs w:val="24"/>
          <w:lang w:val="en-US"/>
        </w:rPr>
        <w:fldChar w:fldCharType="separate"/>
      </w:r>
      <w:r w:rsidR="00DA088E">
        <w:rPr>
          <w:rFonts w:ascii="Times New Roman" w:hAnsi="Times New Roman" w:cs="Times New Roman"/>
          <w:noProof/>
          <w:sz w:val="24"/>
          <w:szCs w:val="24"/>
          <w:lang w:val="en-US"/>
        </w:rPr>
        <w:t>(</w:t>
      </w:r>
      <w:hyperlink w:anchor="_ENREF_98" w:tooltip="Roberts, 2005 #807" w:history="1">
        <w:r w:rsidR="00266C78">
          <w:rPr>
            <w:rFonts w:ascii="Times New Roman" w:hAnsi="Times New Roman" w:cs="Times New Roman"/>
            <w:noProof/>
            <w:sz w:val="24"/>
            <w:szCs w:val="24"/>
            <w:lang w:val="en-US"/>
          </w:rPr>
          <w:t>Roberts et al., 2005</w:t>
        </w:r>
      </w:hyperlink>
      <w:r w:rsidR="00DA088E">
        <w:rPr>
          <w:rFonts w:ascii="Times New Roman" w:hAnsi="Times New Roman" w:cs="Times New Roman"/>
          <w:noProof/>
          <w:sz w:val="24"/>
          <w:szCs w:val="24"/>
          <w:lang w:val="en-US"/>
        </w:rPr>
        <w:t>)</w:t>
      </w:r>
      <w:r w:rsidR="006F3C71" w:rsidRPr="00E85554">
        <w:rPr>
          <w:rFonts w:ascii="Times New Roman" w:hAnsi="Times New Roman" w:cs="Times New Roman"/>
          <w:sz w:val="24"/>
          <w:szCs w:val="24"/>
          <w:lang w:val="en-US"/>
        </w:rPr>
        <w:fldChar w:fldCharType="end"/>
      </w:r>
      <w:r w:rsidR="006F3C71" w:rsidRPr="00E85554">
        <w:rPr>
          <w:rFonts w:ascii="Times New Roman" w:hAnsi="Times New Roman" w:cs="Times New Roman"/>
          <w:sz w:val="24"/>
          <w:szCs w:val="24"/>
          <w:lang w:val="en-US"/>
        </w:rPr>
        <w:t xml:space="preserve">. </w:t>
      </w:r>
    </w:p>
    <w:p w14:paraId="35D65966" w14:textId="3CDF8A4A" w:rsidR="006F3C71" w:rsidRPr="00E85554" w:rsidRDefault="001B7EFD" w:rsidP="00BA3E8D">
      <w:pPr>
        <w:pStyle w:val="ListParagraph"/>
        <w:spacing w:line="480" w:lineRule="auto"/>
        <w:ind w:left="0"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Research on </w:t>
      </w:r>
      <w:r w:rsidR="006F3C71" w:rsidRPr="00E85554">
        <w:rPr>
          <w:rFonts w:ascii="Times New Roman" w:hAnsi="Times New Roman" w:cs="Times New Roman"/>
          <w:sz w:val="24"/>
          <w:szCs w:val="24"/>
          <w:lang w:val="en-US"/>
        </w:rPr>
        <w:t>understanding the function</w:t>
      </w:r>
      <w:r w:rsidR="00137D8D">
        <w:rPr>
          <w:rFonts w:ascii="Times New Roman" w:hAnsi="Times New Roman" w:cs="Times New Roman"/>
          <w:sz w:val="24"/>
          <w:szCs w:val="24"/>
          <w:lang w:val="en-US"/>
        </w:rPr>
        <w:t>s of independent directors in EE</w:t>
      </w:r>
      <w:r w:rsidR="006F3C71" w:rsidRPr="00E85554">
        <w:rPr>
          <w:rFonts w:ascii="Times New Roman" w:hAnsi="Times New Roman" w:cs="Times New Roman"/>
          <w:sz w:val="24"/>
          <w:szCs w:val="24"/>
          <w:lang w:val="en-US"/>
        </w:rPr>
        <w:t>M</w:t>
      </w:r>
      <w:r w:rsidR="00137D8D">
        <w:rPr>
          <w:rFonts w:ascii="Times New Roman" w:hAnsi="Times New Roman" w:cs="Times New Roman"/>
          <w:sz w:val="24"/>
          <w:szCs w:val="24"/>
          <w:lang w:val="en-US"/>
        </w:rPr>
        <w:t>M</w:t>
      </w:r>
      <w:r w:rsidR="006F3C71" w:rsidRPr="00E85554">
        <w:rPr>
          <w:rFonts w:ascii="Times New Roman" w:hAnsi="Times New Roman" w:cs="Times New Roman"/>
          <w:sz w:val="24"/>
          <w:szCs w:val="24"/>
          <w:lang w:val="en-US"/>
        </w:rPr>
        <w:t xml:space="preserve"> is rather scarce. During the earlier period of transition, independent directors in EEM</w:t>
      </w:r>
      <w:r w:rsidR="00001575" w:rsidRPr="00E85554">
        <w:rPr>
          <w:rFonts w:ascii="Times New Roman" w:hAnsi="Times New Roman" w:cs="Times New Roman"/>
          <w:sz w:val="24"/>
          <w:szCs w:val="24"/>
          <w:lang w:val="en-US"/>
        </w:rPr>
        <w:t>M</w:t>
      </w:r>
      <w:r w:rsidR="006F3C71" w:rsidRPr="00E85554">
        <w:rPr>
          <w:rFonts w:ascii="Times New Roman" w:hAnsi="Times New Roman" w:cs="Times New Roman"/>
          <w:sz w:val="24"/>
          <w:szCs w:val="24"/>
          <w:lang w:val="en-US"/>
        </w:rPr>
        <w:t xml:space="preserve"> were not fully fulfilling their roles</w:t>
      </w:r>
      <w:r w:rsidR="004959D5" w:rsidRPr="00E85554">
        <w:rPr>
          <w:rFonts w:ascii="Times New Roman" w:hAnsi="Times New Roman" w:cs="Times New Roman"/>
          <w:sz w:val="24"/>
          <w:szCs w:val="24"/>
          <w:lang w:val="en-US"/>
        </w:rPr>
        <w:t>,</w:t>
      </w:r>
      <w:r w:rsidR="006F3C71" w:rsidRPr="00E85554">
        <w:rPr>
          <w:rFonts w:ascii="Times New Roman" w:hAnsi="Times New Roman" w:cs="Times New Roman"/>
          <w:sz w:val="24"/>
          <w:szCs w:val="24"/>
          <w:lang w:val="en-US"/>
        </w:rPr>
        <w:t xml:space="preserve"> largely due to the lack of guidance in the corporate governance code </w:t>
      </w:r>
      <w:r w:rsidR="006F3C71" w:rsidRPr="00E85554">
        <w:rPr>
          <w:rFonts w:ascii="Times New Roman" w:hAnsi="Times New Roman" w:cs="Times New Roman"/>
          <w:sz w:val="24"/>
          <w:szCs w:val="24"/>
          <w:lang w:val="en-US"/>
        </w:rPr>
        <w:fldChar w:fldCharType="begin"/>
      </w:r>
      <w:r w:rsidR="006F3C71" w:rsidRPr="00E85554">
        <w:rPr>
          <w:rFonts w:ascii="Times New Roman" w:hAnsi="Times New Roman" w:cs="Times New Roman"/>
          <w:sz w:val="24"/>
          <w:szCs w:val="24"/>
          <w:lang w:val="en-US"/>
        </w:rPr>
        <w:instrText xml:space="preserve"> ADDIN EN.CITE &lt;EndNote&gt;&lt;Cite&gt;&lt;Author&gt;Braendle&lt;/Author&gt;&lt;Year&gt;2015&lt;/Year&gt;&lt;RecNum&gt;835&lt;/RecNum&gt;&lt;DisplayText&gt;(Braendle, 2015)&lt;/DisplayText&gt;&lt;record&gt;&lt;rec-number&gt;835&lt;/rec-number&gt;&lt;foreign-keys&gt;&lt;key app="EN" db-id="xdsfzvadmzzxdzereeq5xdf7eaxsdwfdfave" timestamp="1516114139"&gt;835&lt;/key&gt;&lt;/foreign-keys&gt;&lt;ref-type name="Journal Article"&gt;17&lt;/ref-type&gt;&lt;contributors&gt;&lt;authors&gt;&lt;author&gt;Braendle, U. C.&lt;/author&gt;&lt;/authors&gt;&lt;/contributors&gt;&lt;titles&gt;&lt;title&gt;New corporate governance norms for Russia–What will change?&lt;/title&gt;&lt;secondary-title&gt;Corporate Board: Role, Duties and Composition&lt;/secondary-title&gt;&lt;/titles&gt;&lt;periodical&gt;&lt;full-title&gt;Corporate Board: Role, Duties and Composition&lt;/full-title&gt;&lt;/periodical&gt;&lt;pages&gt;21-29&lt;/pages&gt;&lt;volume&gt;11&lt;/volume&gt;&lt;number&gt;1&lt;/number&gt;&lt;dates&gt;&lt;year&gt;2015&lt;/year&gt;&lt;/dates&gt;&lt;urls&gt;&lt;/urls&gt;&lt;/record&gt;&lt;/Cite&gt;&lt;/EndNote&gt;</w:instrText>
      </w:r>
      <w:r w:rsidR="006F3C71" w:rsidRPr="00E85554">
        <w:rPr>
          <w:rFonts w:ascii="Times New Roman" w:hAnsi="Times New Roman" w:cs="Times New Roman"/>
          <w:sz w:val="24"/>
          <w:szCs w:val="24"/>
          <w:lang w:val="en-US"/>
        </w:rPr>
        <w:fldChar w:fldCharType="separate"/>
      </w:r>
      <w:r w:rsidR="006F3C71" w:rsidRPr="00E85554">
        <w:rPr>
          <w:rFonts w:ascii="Times New Roman" w:hAnsi="Times New Roman" w:cs="Times New Roman"/>
          <w:noProof/>
          <w:sz w:val="24"/>
          <w:szCs w:val="24"/>
          <w:lang w:val="en-US"/>
        </w:rPr>
        <w:t>(</w:t>
      </w:r>
      <w:hyperlink w:anchor="_ENREF_22" w:tooltip="Braendle, 2015 #835" w:history="1">
        <w:r w:rsidR="00266C78" w:rsidRPr="00E85554">
          <w:rPr>
            <w:rFonts w:ascii="Times New Roman" w:hAnsi="Times New Roman" w:cs="Times New Roman"/>
            <w:noProof/>
            <w:sz w:val="24"/>
            <w:szCs w:val="24"/>
            <w:lang w:val="en-US"/>
          </w:rPr>
          <w:t>Braendle, 2015</w:t>
        </w:r>
      </w:hyperlink>
      <w:r w:rsidR="006F3C71" w:rsidRPr="00E85554">
        <w:rPr>
          <w:rFonts w:ascii="Times New Roman" w:hAnsi="Times New Roman" w:cs="Times New Roman"/>
          <w:noProof/>
          <w:sz w:val="24"/>
          <w:szCs w:val="24"/>
          <w:lang w:val="en-US"/>
        </w:rPr>
        <w:t>)</w:t>
      </w:r>
      <w:r w:rsidR="006F3C71" w:rsidRPr="00E85554">
        <w:rPr>
          <w:rFonts w:ascii="Times New Roman" w:hAnsi="Times New Roman" w:cs="Times New Roman"/>
          <w:sz w:val="24"/>
          <w:szCs w:val="24"/>
          <w:lang w:val="en-US"/>
        </w:rPr>
        <w:fldChar w:fldCharType="end"/>
      </w:r>
      <w:r w:rsidR="006F3C71" w:rsidRPr="00E85554">
        <w:rPr>
          <w:rFonts w:ascii="Times New Roman" w:hAnsi="Times New Roman" w:cs="Times New Roman"/>
          <w:sz w:val="24"/>
          <w:szCs w:val="24"/>
          <w:lang w:val="en-US"/>
        </w:rPr>
        <w:t>.</w:t>
      </w:r>
      <w:r w:rsidRPr="00E85554">
        <w:rPr>
          <w:rFonts w:ascii="Times New Roman" w:hAnsi="Times New Roman" w:cs="Times New Roman"/>
          <w:sz w:val="24"/>
          <w:szCs w:val="24"/>
          <w:lang w:val="en-US"/>
        </w:rPr>
        <w:t xml:space="preserve"> Subsequently, directors were given more rights and power in order to signal efforts to improve the governance of </w:t>
      </w:r>
      <w:r w:rsidR="00137D8D">
        <w:rPr>
          <w:rFonts w:ascii="Times New Roman" w:hAnsi="Times New Roman" w:cs="Times New Roman"/>
          <w:sz w:val="24"/>
          <w:szCs w:val="24"/>
          <w:lang w:val="en-US"/>
        </w:rPr>
        <w:t>EEMM</w:t>
      </w:r>
      <w:r w:rsidRPr="00E85554">
        <w:rPr>
          <w:rFonts w:ascii="Times New Roman" w:hAnsi="Times New Roman" w:cs="Times New Roman"/>
          <w:sz w:val="24"/>
          <w:szCs w:val="24"/>
          <w:lang w:val="en-US"/>
        </w:rPr>
        <w:t xml:space="preserve"> firms and to attract investors. For instance, </w:t>
      </w:r>
      <w:hyperlink w:anchor="_ENREF_36" w:tooltip="de Haas, 2017 #834" w:history="1">
        <w:r w:rsidR="00266C78" w:rsidRPr="00E85554">
          <w:rPr>
            <w:rFonts w:ascii="Times New Roman" w:hAnsi="Times New Roman" w:cs="Times New Roman"/>
            <w:sz w:val="24"/>
            <w:szCs w:val="24"/>
            <w:lang w:val="en-US"/>
          </w:rPr>
          <w:fldChar w:fldCharType="begin"/>
        </w:r>
        <w:r w:rsidR="00266C78">
          <w:rPr>
            <w:rFonts w:ascii="Times New Roman" w:hAnsi="Times New Roman" w:cs="Times New Roman"/>
            <w:sz w:val="24"/>
            <w:szCs w:val="24"/>
            <w:lang w:val="en-US"/>
          </w:rPr>
          <w:instrText xml:space="preserve"> ADDIN EN.CITE &lt;EndNote&gt;&lt;Cite AuthorYear="1"&gt;&lt;Author&gt;de Haas&lt;/Author&gt;&lt;Year&gt;2017&lt;/Year&gt;&lt;RecNum&gt;834&lt;/RecNum&gt;&lt;DisplayText&gt;de Haas et al. (2017)&lt;/DisplayText&gt;&lt;record&gt;&lt;rec-number&gt;834&lt;/rec-number&gt;&lt;foreign-keys&gt;&lt;key app="EN" db-id="xdsfzvadmzzxdzereeq5xdf7eaxsdwfdfave" timestamp="1516111371"&gt;834&lt;/key&gt;&lt;/foreign-keys&gt;&lt;ref-type name="Unpublished Work"&gt;34&lt;/ref-type&gt;&lt;contributors&gt;&lt;authors&gt;&lt;author&gt;de Haas, R.&lt;/author&gt;&lt;author&gt;Ferreira, Daniel&lt;/author&gt;&lt;author&gt;Kirchmaier, T.&lt;/author&gt;&lt;/authors&gt;&lt;/contributors&gt;&lt;titles&gt;&lt;title&gt;The inner working of the board: Evidence from the emerging markets.&lt;/title&gt;&lt;secondary-title&gt;European Banking Center Discussion Paper Series&lt;/secondary-title&gt;&lt;/titles&gt;&lt;number&gt;2017-002&lt;/number&gt;&lt;dates&gt;&lt;year&gt;2017&lt;/year&gt;&lt;/dates&gt;&lt;pub-location&gt;European Banking Center&lt;/pub-location&gt;&lt;publisher&gt;Tilburg: Department of Finance&lt;/publisher&gt;&lt;urls&gt;&lt;/urls&gt;&lt;/record&gt;&lt;/Cite&gt;&lt;/EndNote&gt;</w:instrText>
        </w:r>
        <w:r w:rsidR="00266C78" w:rsidRPr="00E85554">
          <w:rPr>
            <w:rFonts w:ascii="Times New Roman" w:hAnsi="Times New Roman" w:cs="Times New Roman"/>
            <w:sz w:val="24"/>
            <w:szCs w:val="24"/>
            <w:lang w:val="en-US"/>
          </w:rPr>
          <w:fldChar w:fldCharType="separate"/>
        </w:r>
        <w:r w:rsidR="00266C78">
          <w:rPr>
            <w:rFonts w:ascii="Times New Roman" w:hAnsi="Times New Roman" w:cs="Times New Roman"/>
            <w:noProof/>
            <w:sz w:val="24"/>
            <w:szCs w:val="24"/>
            <w:lang w:val="en-US"/>
          </w:rPr>
          <w:t>de Haas et al. (2017)</w:t>
        </w:r>
        <w:r w:rsidR="00266C78" w:rsidRPr="00E85554">
          <w:rPr>
            <w:rFonts w:ascii="Times New Roman" w:hAnsi="Times New Roman" w:cs="Times New Roman"/>
            <w:sz w:val="24"/>
            <w:szCs w:val="24"/>
            <w:lang w:val="en-US"/>
          </w:rPr>
          <w:fldChar w:fldCharType="end"/>
        </w:r>
      </w:hyperlink>
      <w:r w:rsidR="006F3C71" w:rsidRPr="00E85554">
        <w:rPr>
          <w:rFonts w:ascii="Times New Roman" w:hAnsi="Times New Roman" w:cs="Times New Roman"/>
          <w:sz w:val="24"/>
          <w:szCs w:val="24"/>
          <w:lang w:val="en-US"/>
        </w:rPr>
        <w:t xml:space="preserve"> analy</w:t>
      </w:r>
      <w:r w:rsidR="004959D5" w:rsidRPr="00E85554">
        <w:rPr>
          <w:rFonts w:ascii="Times New Roman" w:hAnsi="Times New Roman" w:cs="Times New Roman"/>
          <w:sz w:val="24"/>
          <w:szCs w:val="24"/>
          <w:lang w:val="en-US"/>
        </w:rPr>
        <w:t>sis</w:t>
      </w:r>
      <w:r w:rsidR="00137D8D">
        <w:rPr>
          <w:rFonts w:ascii="Times New Roman" w:hAnsi="Times New Roman" w:cs="Times New Roman"/>
          <w:sz w:val="24"/>
          <w:szCs w:val="24"/>
          <w:lang w:val="en-US"/>
        </w:rPr>
        <w:t xml:space="preserve"> </w:t>
      </w:r>
      <w:r w:rsidR="006F3C71" w:rsidRPr="00E85554">
        <w:rPr>
          <w:rFonts w:ascii="Times New Roman" w:hAnsi="Times New Roman" w:cs="Times New Roman"/>
          <w:sz w:val="24"/>
          <w:szCs w:val="24"/>
          <w:lang w:val="en-US"/>
        </w:rPr>
        <w:t>o</w:t>
      </w:r>
      <w:r w:rsidR="004959D5" w:rsidRPr="00E85554">
        <w:rPr>
          <w:rFonts w:ascii="Times New Roman" w:hAnsi="Times New Roman" w:cs="Times New Roman"/>
          <w:sz w:val="24"/>
          <w:szCs w:val="24"/>
          <w:lang w:val="en-US"/>
        </w:rPr>
        <w:t>f</w:t>
      </w:r>
      <w:r w:rsidR="006F3C71" w:rsidRPr="00E85554">
        <w:rPr>
          <w:rFonts w:ascii="Times New Roman" w:hAnsi="Times New Roman" w:cs="Times New Roman"/>
          <w:sz w:val="24"/>
          <w:szCs w:val="24"/>
          <w:lang w:val="en-US"/>
        </w:rPr>
        <w:t xml:space="preserve"> directors appointed by the European Bank for Reconstruction and Development (EBRD) to companies in which EBRD is a shareholder</w:t>
      </w:r>
      <w:r w:rsidR="004959D5" w:rsidRPr="00E85554">
        <w:rPr>
          <w:rFonts w:ascii="Times New Roman" w:hAnsi="Times New Roman" w:cs="Times New Roman"/>
          <w:sz w:val="24"/>
          <w:szCs w:val="24"/>
          <w:lang w:val="en-US"/>
        </w:rPr>
        <w:t xml:space="preserve"> </w:t>
      </w:r>
      <w:r w:rsidR="006F3C71" w:rsidRPr="00E85554">
        <w:rPr>
          <w:rFonts w:ascii="Times New Roman" w:hAnsi="Times New Roman" w:cs="Times New Roman"/>
          <w:sz w:val="24"/>
          <w:szCs w:val="24"/>
          <w:lang w:val="en-US"/>
        </w:rPr>
        <w:t>suggest</w:t>
      </w:r>
      <w:r w:rsidR="004959D5" w:rsidRPr="00E85554">
        <w:rPr>
          <w:rFonts w:ascii="Times New Roman" w:hAnsi="Times New Roman" w:cs="Times New Roman"/>
          <w:sz w:val="24"/>
          <w:szCs w:val="24"/>
          <w:lang w:val="en-US"/>
        </w:rPr>
        <w:t>ed</w:t>
      </w:r>
      <w:r w:rsidR="006F3C71" w:rsidRPr="00E85554">
        <w:rPr>
          <w:rFonts w:ascii="Times New Roman" w:hAnsi="Times New Roman" w:cs="Times New Roman"/>
          <w:sz w:val="24"/>
          <w:szCs w:val="24"/>
          <w:lang w:val="en-US"/>
        </w:rPr>
        <w:t xml:space="preserve"> that independent board directors in EEM</w:t>
      </w:r>
      <w:r w:rsidR="00001575" w:rsidRPr="00E85554">
        <w:rPr>
          <w:rFonts w:ascii="Times New Roman" w:hAnsi="Times New Roman" w:cs="Times New Roman"/>
          <w:sz w:val="24"/>
          <w:szCs w:val="24"/>
          <w:lang w:val="en-US"/>
        </w:rPr>
        <w:t>M</w:t>
      </w:r>
      <w:r w:rsidR="006F3C71" w:rsidRPr="00E85554">
        <w:rPr>
          <w:rFonts w:ascii="Times New Roman" w:hAnsi="Times New Roman" w:cs="Times New Roman"/>
          <w:sz w:val="24"/>
          <w:szCs w:val="24"/>
          <w:lang w:val="en-US"/>
        </w:rPr>
        <w:t xml:space="preserve"> assume the roles of monitoring, advice and resource provision </w:t>
      </w:r>
      <w:r w:rsidR="004959D5" w:rsidRPr="00E85554">
        <w:rPr>
          <w:rFonts w:ascii="Times New Roman" w:hAnsi="Times New Roman" w:cs="Times New Roman"/>
          <w:sz w:val="24"/>
          <w:szCs w:val="24"/>
          <w:lang w:val="en-US"/>
        </w:rPr>
        <w:t xml:space="preserve">broadly </w:t>
      </w:r>
      <w:r w:rsidR="006F3C71" w:rsidRPr="00E85554">
        <w:rPr>
          <w:rFonts w:ascii="Times New Roman" w:hAnsi="Times New Roman" w:cs="Times New Roman"/>
          <w:sz w:val="24"/>
          <w:szCs w:val="24"/>
          <w:lang w:val="en-US"/>
        </w:rPr>
        <w:t xml:space="preserve">similar to what one would expect from independent directors </w:t>
      </w:r>
      <w:r w:rsidR="006F3C71" w:rsidRPr="00E85554">
        <w:rPr>
          <w:rFonts w:ascii="Times New Roman" w:hAnsi="Times New Roman" w:cs="Times New Roman"/>
          <w:sz w:val="24"/>
          <w:szCs w:val="24"/>
          <w:lang w:val="en-US"/>
        </w:rPr>
        <w:lastRenderedPageBreak/>
        <w:t xml:space="preserve">in the Anglo-American environment. </w:t>
      </w:r>
      <w:r w:rsidR="004959D5" w:rsidRPr="00E85554">
        <w:rPr>
          <w:rFonts w:ascii="Times New Roman" w:hAnsi="Times New Roman" w:cs="Times New Roman"/>
          <w:sz w:val="24"/>
          <w:szCs w:val="24"/>
          <w:lang w:val="en-US"/>
        </w:rPr>
        <w:t>On this basis of the</w:t>
      </w:r>
      <w:r w:rsidR="006F3C71" w:rsidRPr="00E85554">
        <w:rPr>
          <w:rFonts w:ascii="Times New Roman" w:hAnsi="Times New Roman" w:cs="Times New Roman"/>
          <w:sz w:val="24"/>
          <w:szCs w:val="24"/>
          <w:lang w:val="en-US"/>
        </w:rPr>
        <w:t xml:space="preserve"> conventional wisdom of board independence as </w:t>
      </w:r>
      <w:r w:rsidR="004959D5" w:rsidRPr="00E85554">
        <w:rPr>
          <w:rFonts w:ascii="Times New Roman" w:hAnsi="Times New Roman" w:cs="Times New Roman"/>
          <w:sz w:val="24"/>
          <w:szCs w:val="24"/>
          <w:lang w:val="en-US"/>
        </w:rPr>
        <w:t>a</w:t>
      </w:r>
      <w:r w:rsidRPr="00E85554">
        <w:rPr>
          <w:rFonts w:ascii="Times New Roman" w:hAnsi="Times New Roman" w:cs="Times New Roman"/>
          <w:sz w:val="24"/>
          <w:szCs w:val="24"/>
          <w:lang w:val="en-US"/>
        </w:rPr>
        <w:t xml:space="preserve"> mechanism</w:t>
      </w:r>
      <w:r w:rsidR="006F3C71" w:rsidRPr="00E85554">
        <w:rPr>
          <w:rFonts w:ascii="Times New Roman" w:hAnsi="Times New Roman" w:cs="Times New Roman"/>
          <w:sz w:val="24"/>
          <w:szCs w:val="24"/>
          <w:lang w:val="en-US"/>
        </w:rPr>
        <w:t xml:space="preserve"> to protect minority shareholders against blockholders’ self-dealings, we </w:t>
      </w:r>
      <w:r w:rsidRPr="00E85554">
        <w:rPr>
          <w:rFonts w:ascii="Times New Roman" w:hAnsi="Times New Roman" w:cs="Times New Roman"/>
          <w:sz w:val="24"/>
          <w:szCs w:val="24"/>
          <w:lang w:val="en-US"/>
        </w:rPr>
        <w:t xml:space="preserve">propose </w:t>
      </w:r>
      <w:r w:rsidR="006F3C71" w:rsidRPr="00E85554">
        <w:rPr>
          <w:rFonts w:ascii="Times New Roman" w:hAnsi="Times New Roman" w:cs="Times New Roman"/>
          <w:sz w:val="24"/>
          <w:szCs w:val="24"/>
          <w:lang w:val="en-US"/>
        </w:rPr>
        <w:t xml:space="preserve">our baseline hypothesis (H0): </w:t>
      </w:r>
    </w:p>
    <w:p w14:paraId="7B3063CF" w14:textId="77777777" w:rsidR="006F3C71" w:rsidRPr="00E85554" w:rsidRDefault="006F3C71" w:rsidP="009301F1">
      <w:pPr>
        <w:pStyle w:val="ListParagraph"/>
        <w:spacing w:line="480" w:lineRule="auto"/>
        <w:ind w:left="0"/>
        <w:rPr>
          <w:rFonts w:ascii="Times New Roman" w:hAnsi="Times New Roman" w:cs="Times New Roman"/>
          <w:sz w:val="24"/>
          <w:szCs w:val="24"/>
          <w:lang w:val="en-US"/>
        </w:rPr>
      </w:pPr>
      <w:r w:rsidRPr="00E85554">
        <w:rPr>
          <w:rFonts w:ascii="Times New Roman" w:hAnsi="Times New Roman" w:cs="Times New Roman"/>
          <w:i/>
          <w:sz w:val="24"/>
          <w:szCs w:val="24"/>
          <w:lang w:val="en-US"/>
        </w:rPr>
        <w:t>H0. A higher proportion of independent directors in emerging market firms is likely to attenuate the degree of blockholder appropriation</w:t>
      </w:r>
      <w:r w:rsidRPr="00E85554">
        <w:rPr>
          <w:rFonts w:ascii="Times New Roman" w:hAnsi="Times New Roman" w:cs="Times New Roman"/>
          <w:sz w:val="24"/>
          <w:szCs w:val="24"/>
          <w:lang w:val="en-US"/>
        </w:rPr>
        <w:t>.</w:t>
      </w:r>
      <w:r w:rsidR="005D2536" w:rsidRPr="00E85554">
        <w:rPr>
          <w:rFonts w:ascii="Times New Roman" w:hAnsi="Times New Roman" w:cs="Times New Roman"/>
          <w:sz w:val="24"/>
          <w:szCs w:val="24"/>
          <w:lang w:val="en-US"/>
        </w:rPr>
        <w:t xml:space="preserve"> </w:t>
      </w:r>
    </w:p>
    <w:p w14:paraId="0A720087" w14:textId="77777777" w:rsidR="006F3C71" w:rsidRPr="00E85554" w:rsidRDefault="006F3C71" w:rsidP="009301F1">
      <w:pPr>
        <w:pStyle w:val="ListParagraph"/>
        <w:spacing w:line="480" w:lineRule="auto"/>
        <w:ind w:left="0"/>
        <w:rPr>
          <w:rFonts w:ascii="Times New Roman" w:hAnsi="Times New Roman" w:cs="Times New Roman"/>
          <w:b/>
          <w:sz w:val="24"/>
          <w:szCs w:val="24"/>
          <w:lang w:val="en-US"/>
        </w:rPr>
      </w:pPr>
      <w:r w:rsidRPr="00E85554">
        <w:rPr>
          <w:rFonts w:ascii="Times New Roman" w:hAnsi="Times New Roman" w:cs="Times New Roman"/>
          <w:b/>
          <w:sz w:val="24"/>
          <w:szCs w:val="24"/>
          <w:lang w:val="en-US"/>
        </w:rPr>
        <w:t>Internal corporate governance</w:t>
      </w:r>
      <w:r w:rsidR="005F35CB" w:rsidRPr="00E85554">
        <w:rPr>
          <w:rFonts w:ascii="Times New Roman" w:hAnsi="Times New Roman" w:cs="Times New Roman"/>
          <w:b/>
          <w:sz w:val="24"/>
          <w:szCs w:val="24"/>
          <w:lang w:val="en-US"/>
        </w:rPr>
        <w:t xml:space="preserve">: </w:t>
      </w:r>
      <w:r w:rsidR="008768AF" w:rsidRPr="00E85554">
        <w:rPr>
          <w:rFonts w:ascii="Times New Roman" w:hAnsi="Times New Roman" w:cs="Times New Roman"/>
          <w:b/>
          <w:sz w:val="24"/>
          <w:szCs w:val="24"/>
          <w:lang w:val="en-US"/>
        </w:rPr>
        <w:t xml:space="preserve">Private vs. State </w:t>
      </w:r>
      <w:r w:rsidR="005F35CB" w:rsidRPr="00E85554">
        <w:rPr>
          <w:rFonts w:ascii="Times New Roman" w:hAnsi="Times New Roman" w:cs="Times New Roman"/>
          <w:b/>
          <w:sz w:val="24"/>
          <w:szCs w:val="24"/>
          <w:lang w:val="en-US"/>
        </w:rPr>
        <w:t>Blockholder</w:t>
      </w:r>
      <w:r w:rsidR="008768AF" w:rsidRPr="00E85554">
        <w:rPr>
          <w:rFonts w:ascii="Times New Roman" w:hAnsi="Times New Roman" w:cs="Times New Roman"/>
          <w:b/>
          <w:sz w:val="24"/>
          <w:szCs w:val="24"/>
          <w:lang w:val="en-US"/>
        </w:rPr>
        <w:t>s</w:t>
      </w:r>
    </w:p>
    <w:p w14:paraId="528AE620" w14:textId="77777777" w:rsidR="006F3C71" w:rsidRPr="00E85554" w:rsidRDefault="006F3C71" w:rsidP="005F35CB">
      <w:pPr>
        <w:pStyle w:val="ListParagraph"/>
        <w:spacing w:after="0" w:line="480" w:lineRule="auto"/>
        <w:ind w:left="0"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In their monitoring role, independent directors in EEM</w:t>
      </w:r>
      <w:r w:rsidR="00001575" w:rsidRPr="00E85554">
        <w:rPr>
          <w:rFonts w:ascii="Times New Roman" w:hAnsi="Times New Roman" w:cs="Times New Roman"/>
          <w:sz w:val="24"/>
          <w:szCs w:val="24"/>
          <w:lang w:val="en-US"/>
        </w:rPr>
        <w:t>M</w:t>
      </w:r>
      <w:r w:rsidRPr="00E85554">
        <w:rPr>
          <w:rFonts w:ascii="Times New Roman" w:hAnsi="Times New Roman" w:cs="Times New Roman"/>
          <w:sz w:val="24"/>
          <w:szCs w:val="24"/>
          <w:lang w:val="en-US"/>
        </w:rPr>
        <w:t xml:space="preserve"> are mandated to protect the interests of all shareholders. Yet, they might face </w:t>
      </w:r>
      <w:r w:rsidR="00503BE3" w:rsidRPr="00E85554">
        <w:rPr>
          <w:rFonts w:ascii="Times New Roman" w:hAnsi="Times New Roman" w:cs="Times New Roman"/>
          <w:sz w:val="24"/>
          <w:szCs w:val="24"/>
          <w:lang w:val="en-US"/>
        </w:rPr>
        <w:t>a</w:t>
      </w:r>
      <w:r w:rsidRPr="00E85554">
        <w:rPr>
          <w:rFonts w:ascii="Times New Roman" w:hAnsi="Times New Roman" w:cs="Times New Roman"/>
          <w:sz w:val="24"/>
          <w:szCs w:val="24"/>
          <w:lang w:val="en-US"/>
        </w:rPr>
        <w:t xml:space="preserve"> principal-principal </w:t>
      </w:r>
      <w:r w:rsidR="00872C82" w:rsidRPr="00E85554">
        <w:rPr>
          <w:rFonts w:ascii="Times New Roman" w:hAnsi="Times New Roman" w:cs="Times New Roman"/>
          <w:sz w:val="24"/>
          <w:szCs w:val="24"/>
          <w:lang w:val="en-US"/>
        </w:rPr>
        <w:t xml:space="preserve">(PP) </w:t>
      </w:r>
      <w:r w:rsidRPr="00E85554">
        <w:rPr>
          <w:rFonts w:ascii="Times New Roman" w:hAnsi="Times New Roman" w:cs="Times New Roman"/>
          <w:sz w:val="24"/>
          <w:szCs w:val="24"/>
          <w:lang w:val="en-US"/>
        </w:rPr>
        <w:t>agency problem between majority and minority shareholders, due to weak minority shareholders’ rights protection and directors’ incentives aligning with</w:t>
      </w:r>
      <w:r w:rsidR="00BA3E8D">
        <w:rPr>
          <w:rFonts w:ascii="Times New Roman" w:hAnsi="Times New Roman" w:cs="Times New Roman"/>
          <w:sz w:val="24"/>
          <w:szCs w:val="24"/>
          <w:lang w:val="en-US"/>
        </w:rPr>
        <w:t xml:space="preserve"> the most powerful blockholder.</w:t>
      </w:r>
      <w:r w:rsidR="00872C82" w:rsidRPr="00E85554">
        <w:rPr>
          <w:rFonts w:ascii="Times New Roman" w:hAnsi="Times New Roman" w:cs="Times New Roman"/>
          <w:sz w:val="24"/>
          <w:szCs w:val="24"/>
          <w:lang w:val="en-US"/>
        </w:rPr>
        <w:t xml:space="preserve"> PP </w:t>
      </w:r>
      <w:r w:rsidRPr="00E85554">
        <w:rPr>
          <w:rFonts w:ascii="Times New Roman" w:hAnsi="Times New Roman" w:cs="Times New Roman"/>
          <w:sz w:val="24"/>
          <w:szCs w:val="24"/>
          <w:lang w:val="en-US"/>
        </w:rPr>
        <w:t>conflicts emerge from differences in pr</w:t>
      </w:r>
      <w:r w:rsidR="00BA3E8D">
        <w:rPr>
          <w:rFonts w:ascii="Times New Roman" w:hAnsi="Times New Roman" w:cs="Times New Roman"/>
          <w:sz w:val="24"/>
          <w:szCs w:val="24"/>
          <w:lang w:val="en-US"/>
        </w:rPr>
        <w:t>incipals’ goals and objectives.</w:t>
      </w:r>
      <w:r w:rsidRPr="00E85554">
        <w:rPr>
          <w:rFonts w:ascii="Times New Roman" w:hAnsi="Times New Roman" w:cs="Times New Roman"/>
          <w:sz w:val="24"/>
          <w:szCs w:val="24"/>
          <w:lang w:val="en-US"/>
        </w:rPr>
        <w:t xml:space="preserve"> One of the consequences of not effectively managing PP conflicts is blockholder appro</w:t>
      </w:r>
      <w:r w:rsidR="005F35CB" w:rsidRPr="00E85554">
        <w:rPr>
          <w:rFonts w:ascii="Times New Roman" w:hAnsi="Times New Roman" w:cs="Times New Roman"/>
          <w:sz w:val="24"/>
          <w:szCs w:val="24"/>
          <w:lang w:val="en-US"/>
        </w:rPr>
        <w:t xml:space="preserve">priation of real firm resources, accomplished through legal or illegal means, resources </w:t>
      </w:r>
      <w:r w:rsidRPr="00E85554">
        <w:rPr>
          <w:rFonts w:ascii="Times New Roman" w:hAnsi="Times New Roman" w:cs="Times New Roman"/>
          <w:sz w:val="24"/>
          <w:szCs w:val="24"/>
          <w:lang w:val="en-US"/>
        </w:rPr>
        <w:t>that would have otherwise been reinvested in the firm i</w:t>
      </w:r>
      <w:r w:rsidR="005F35CB" w:rsidRPr="00E85554">
        <w:rPr>
          <w:rFonts w:ascii="Times New Roman" w:hAnsi="Times New Roman" w:cs="Times New Roman"/>
          <w:sz w:val="24"/>
          <w:szCs w:val="24"/>
          <w:lang w:val="en-US"/>
        </w:rPr>
        <w:t>n the form of fixed investments</w:t>
      </w:r>
      <w:r w:rsidRPr="00E85554">
        <w:rPr>
          <w:rFonts w:ascii="Times New Roman" w:hAnsi="Times New Roman" w:cs="Times New Roman"/>
          <w:sz w:val="24"/>
          <w:szCs w:val="24"/>
          <w:lang w:val="en-US"/>
        </w:rPr>
        <w:t xml:space="preserve">. </w:t>
      </w:r>
    </w:p>
    <w:p w14:paraId="35AB4479" w14:textId="1250E61F" w:rsidR="006F3C71" w:rsidRPr="00E85554" w:rsidRDefault="00503BE3" w:rsidP="005F35CB">
      <w:pPr>
        <w:pStyle w:val="ListParagraph"/>
        <w:spacing w:after="0" w:line="480" w:lineRule="auto"/>
        <w:ind w:left="0"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As independent directors are agents of both majority and minority shareholders,</w:t>
      </w:r>
      <w:r w:rsidR="00BA3E8D">
        <w:rPr>
          <w:rFonts w:ascii="Times New Roman" w:hAnsi="Times New Roman" w:cs="Times New Roman"/>
          <w:sz w:val="24"/>
          <w:szCs w:val="24"/>
          <w:lang w:val="en-US"/>
        </w:rPr>
        <w:t xml:space="preserve"> and respond</w:t>
      </w:r>
      <w:r w:rsidR="00807FE8" w:rsidRPr="00E85554">
        <w:rPr>
          <w:rFonts w:ascii="Times New Roman" w:hAnsi="Times New Roman" w:cs="Times New Roman"/>
          <w:sz w:val="24"/>
          <w:szCs w:val="24"/>
          <w:lang w:val="en-US"/>
        </w:rPr>
        <w:t xml:space="preserve"> to their multiple and often conflicting demands,</w:t>
      </w:r>
      <w:r w:rsidRPr="00E85554">
        <w:rPr>
          <w:rFonts w:ascii="Times New Roman" w:hAnsi="Times New Roman" w:cs="Times New Roman"/>
          <w:sz w:val="24"/>
          <w:szCs w:val="24"/>
          <w:lang w:val="en-US"/>
        </w:rPr>
        <w:t xml:space="preserve"> w</w:t>
      </w:r>
      <w:r w:rsidR="006F3C71" w:rsidRPr="00E85554">
        <w:rPr>
          <w:rFonts w:ascii="Times New Roman" w:hAnsi="Times New Roman" w:cs="Times New Roman"/>
          <w:sz w:val="24"/>
          <w:szCs w:val="24"/>
          <w:lang w:val="en-US"/>
        </w:rPr>
        <w:t xml:space="preserve">e </w:t>
      </w:r>
      <w:r w:rsidRPr="00E85554">
        <w:rPr>
          <w:rFonts w:ascii="Times New Roman" w:hAnsi="Times New Roman" w:cs="Times New Roman"/>
          <w:sz w:val="24"/>
          <w:szCs w:val="24"/>
          <w:lang w:val="en-US"/>
        </w:rPr>
        <w:t>adopt a</w:t>
      </w:r>
      <w:r w:rsidR="006F3C71" w:rsidRPr="00E85554">
        <w:rPr>
          <w:rFonts w:ascii="Times New Roman" w:hAnsi="Times New Roman" w:cs="Times New Roman"/>
          <w:sz w:val="24"/>
          <w:szCs w:val="24"/>
          <w:lang w:val="en-US"/>
        </w:rPr>
        <w:t xml:space="preserve"> </w:t>
      </w:r>
      <w:r w:rsidR="006F3C71" w:rsidRPr="00E85554">
        <w:rPr>
          <w:rFonts w:ascii="Times New Roman" w:hAnsi="Times New Roman" w:cs="Times New Roman"/>
          <w:i/>
          <w:sz w:val="24"/>
          <w:szCs w:val="24"/>
          <w:lang w:val="en-US"/>
        </w:rPr>
        <w:t>multiple agency perspective</w:t>
      </w:r>
      <w:r w:rsidR="006F3C71" w:rsidRPr="00E85554">
        <w:rPr>
          <w:rFonts w:ascii="Times New Roman" w:hAnsi="Times New Roman" w:cs="Times New Roman"/>
          <w:sz w:val="24"/>
          <w:szCs w:val="24"/>
          <w:lang w:val="en-US"/>
        </w:rPr>
        <w:t xml:space="preserve"> (MAP) </w:t>
      </w:r>
      <w:r w:rsidR="002E31B8">
        <w:rPr>
          <w:rFonts w:ascii="Times New Roman" w:hAnsi="Times New Roman" w:cs="Times New Roman"/>
          <w:sz w:val="24"/>
          <w:szCs w:val="24"/>
          <w:lang w:val="en-US"/>
        </w:rPr>
        <w:fldChar w:fldCharType="begin">
          <w:fldData xml:space="preserve">PEVuZE5vdGU+PENpdGU+PEF1dGhvcj5IdW5nPC9BdXRob3I+PFllYXI+MTk5ODwvWWVhcj48UmVj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</w:fldData>
        </w:fldChar>
      </w:r>
      <w:r w:rsidR="002E31B8">
        <w:rPr>
          <w:rFonts w:ascii="Times New Roman" w:hAnsi="Times New Roman" w:cs="Times New Roman"/>
          <w:sz w:val="24"/>
          <w:szCs w:val="24"/>
          <w:lang w:val="en-US"/>
        </w:rPr>
        <w:instrText xml:space="preserve"> ADDIN EN.CITE </w:instrText>
      </w:r>
      <w:r w:rsidR="002E31B8">
        <w:rPr>
          <w:rFonts w:ascii="Times New Roman" w:hAnsi="Times New Roman" w:cs="Times New Roman"/>
          <w:sz w:val="24"/>
          <w:szCs w:val="24"/>
          <w:lang w:val="en-US"/>
        </w:rPr>
        <w:fldChar w:fldCharType="begin">
          <w:fldData xml:space="preserve">PEVuZE5vdGU+PENpdGU+PEF1dGhvcj5IdW5nPC9BdXRob3I+PFllYXI+MTk5ODwvWWVhcj48UmVj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</w:fldData>
        </w:fldChar>
      </w:r>
      <w:r w:rsidR="002E31B8">
        <w:rPr>
          <w:rFonts w:ascii="Times New Roman" w:hAnsi="Times New Roman" w:cs="Times New Roman"/>
          <w:sz w:val="24"/>
          <w:szCs w:val="24"/>
          <w:lang w:val="en-US"/>
        </w:rPr>
        <w:instrText xml:space="preserve"> ADDIN EN.CITE.DATA </w:instrText>
      </w:r>
      <w:r w:rsidR="002E31B8">
        <w:rPr>
          <w:rFonts w:ascii="Times New Roman" w:hAnsi="Times New Roman" w:cs="Times New Roman"/>
          <w:sz w:val="24"/>
          <w:szCs w:val="24"/>
          <w:lang w:val="en-US"/>
        </w:rPr>
      </w:r>
      <w:r w:rsidR="002E31B8">
        <w:rPr>
          <w:rFonts w:ascii="Times New Roman" w:hAnsi="Times New Roman" w:cs="Times New Roman"/>
          <w:sz w:val="24"/>
          <w:szCs w:val="24"/>
          <w:lang w:val="en-US"/>
        </w:rPr>
        <w:fldChar w:fldCharType="end"/>
      </w:r>
      <w:r w:rsidR="002E31B8">
        <w:rPr>
          <w:rFonts w:ascii="Times New Roman" w:hAnsi="Times New Roman" w:cs="Times New Roman"/>
          <w:sz w:val="24"/>
          <w:szCs w:val="24"/>
          <w:lang w:val="en-US"/>
        </w:rPr>
      </w:r>
      <w:r w:rsidR="002E31B8">
        <w:rPr>
          <w:rFonts w:ascii="Times New Roman" w:hAnsi="Times New Roman" w:cs="Times New Roman"/>
          <w:sz w:val="24"/>
          <w:szCs w:val="24"/>
          <w:lang w:val="en-US"/>
        </w:rPr>
        <w:fldChar w:fldCharType="separate"/>
      </w:r>
      <w:r w:rsidR="002E31B8">
        <w:rPr>
          <w:rFonts w:ascii="Times New Roman" w:hAnsi="Times New Roman" w:cs="Times New Roman"/>
          <w:noProof/>
          <w:sz w:val="24"/>
          <w:szCs w:val="24"/>
          <w:lang w:val="en-US"/>
        </w:rPr>
        <w:t>(</w:t>
      </w:r>
      <w:hyperlink w:anchor="_ENREF_6" w:tooltip="Allcock, 2010 #848" w:history="1">
        <w:r w:rsidR="00266C78">
          <w:rPr>
            <w:rFonts w:ascii="Times New Roman" w:hAnsi="Times New Roman" w:cs="Times New Roman"/>
            <w:noProof/>
            <w:sz w:val="24"/>
            <w:szCs w:val="24"/>
            <w:lang w:val="en-US"/>
          </w:rPr>
          <w:t>Allcock et al., 2010</w:t>
        </w:r>
      </w:hyperlink>
      <w:r w:rsidR="002E31B8">
        <w:rPr>
          <w:rFonts w:ascii="Times New Roman" w:hAnsi="Times New Roman" w:cs="Times New Roman"/>
          <w:noProof/>
          <w:sz w:val="24"/>
          <w:szCs w:val="24"/>
          <w:lang w:val="en-US"/>
        </w:rPr>
        <w:t xml:space="preserve">; </w:t>
      </w:r>
      <w:hyperlink w:anchor="_ENREF_8" w:tooltip="Arthurs, 2008 #8" w:history="1">
        <w:r w:rsidR="00266C78">
          <w:rPr>
            <w:rFonts w:ascii="Times New Roman" w:hAnsi="Times New Roman" w:cs="Times New Roman"/>
            <w:noProof/>
            <w:sz w:val="24"/>
            <w:szCs w:val="24"/>
            <w:lang w:val="en-US"/>
          </w:rPr>
          <w:t>Arthurs et al., 2008</w:t>
        </w:r>
      </w:hyperlink>
      <w:r w:rsidR="002E31B8">
        <w:rPr>
          <w:rFonts w:ascii="Times New Roman" w:hAnsi="Times New Roman" w:cs="Times New Roman"/>
          <w:noProof/>
          <w:sz w:val="24"/>
          <w:szCs w:val="24"/>
          <w:lang w:val="en-US"/>
        </w:rPr>
        <w:t xml:space="preserve">; </w:t>
      </w:r>
      <w:hyperlink w:anchor="_ENREF_27" w:tooltip="Bruton, 2010 #642" w:history="1">
        <w:r w:rsidR="00266C78">
          <w:rPr>
            <w:rFonts w:ascii="Times New Roman" w:hAnsi="Times New Roman" w:cs="Times New Roman"/>
            <w:noProof/>
            <w:sz w:val="24"/>
            <w:szCs w:val="24"/>
            <w:lang w:val="en-US"/>
          </w:rPr>
          <w:t>Bruton et al., 2010</w:t>
        </w:r>
      </w:hyperlink>
      <w:r w:rsidR="002E31B8">
        <w:rPr>
          <w:rFonts w:ascii="Times New Roman" w:hAnsi="Times New Roman" w:cs="Times New Roman"/>
          <w:noProof/>
          <w:sz w:val="24"/>
          <w:szCs w:val="24"/>
          <w:lang w:val="en-US"/>
        </w:rPr>
        <w:t xml:space="preserve">; </w:t>
      </w:r>
      <w:hyperlink w:anchor="_ENREF_31" w:tooltip="Child, 2003 #849" w:history="1">
        <w:r w:rsidR="00266C78">
          <w:rPr>
            <w:rFonts w:ascii="Times New Roman" w:hAnsi="Times New Roman" w:cs="Times New Roman"/>
            <w:noProof/>
            <w:sz w:val="24"/>
            <w:szCs w:val="24"/>
            <w:lang w:val="en-US"/>
          </w:rPr>
          <w:t>Child et al., 2003</w:t>
        </w:r>
      </w:hyperlink>
      <w:r w:rsidR="002E31B8">
        <w:rPr>
          <w:rFonts w:ascii="Times New Roman" w:hAnsi="Times New Roman" w:cs="Times New Roman"/>
          <w:noProof/>
          <w:sz w:val="24"/>
          <w:szCs w:val="24"/>
          <w:lang w:val="en-US"/>
        </w:rPr>
        <w:t xml:space="preserve">; </w:t>
      </w:r>
      <w:hyperlink w:anchor="_ENREF_56" w:tooltip="Hoskisson, 2013 #675" w:history="1">
        <w:r w:rsidR="00266C78">
          <w:rPr>
            <w:rFonts w:ascii="Times New Roman" w:hAnsi="Times New Roman" w:cs="Times New Roman"/>
            <w:noProof/>
            <w:sz w:val="24"/>
            <w:szCs w:val="24"/>
            <w:lang w:val="en-US"/>
          </w:rPr>
          <w:t>Hoskisson et al., 2013</w:t>
        </w:r>
      </w:hyperlink>
      <w:r w:rsidR="002E31B8">
        <w:rPr>
          <w:rFonts w:ascii="Times New Roman" w:hAnsi="Times New Roman" w:cs="Times New Roman"/>
          <w:noProof/>
          <w:sz w:val="24"/>
          <w:szCs w:val="24"/>
          <w:lang w:val="en-US"/>
        </w:rPr>
        <w:t xml:space="preserve">; </w:t>
      </w:r>
      <w:hyperlink w:anchor="_ENREF_58" w:tooltip="Hung, 1998 #847" w:history="1">
        <w:r w:rsidR="00266C78">
          <w:rPr>
            <w:rFonts w:ascii="Times New Roman" w:hAnsi="Times New Roman" w:cs="Times New Roman"/>
            <w:noProof/>
            <w:sz w:val="24"/>
            <w:szCs w:val="24"/>
            <w:lang w:val="en-US"/>
          </w:rPr>
          <w:t>Hung, 1998</w:t>
        </w:r>
      </w:hyperlink>
      <w:r w:rsidR="002E31B8">
        <w:rPr>
          <w:rFonts w:ascii="Times New Roman" w:hAnsi="Times New Roman" w:cs="Times New Roman"/>
          <w:noProof/>
          <w:sz w:val="24"/>
          <w:szCs w:val="24"/>
          <w:lang w:val="en-US"/>
        </w:rPr>
        <w:t>)</w:t>
      </w:r>
      <w:r w:rsidR="002E31B8">
        <w:rPr>
          <w:rFonts w:ascii="Times New Roman" w:hAnsi="Times New Roman" w:cs="Times New Roman"/>
          <w:sz w:val="24"/>
          <w:szCs w:val="24"/>
          <w:lang w:val="en-US"/>
        </w:rPr>
        <w:fldChar w:fldCharType="end"/>
      </w:r>
      <w:r w:rsidR="006F3C71" w:rsidRPr="00E85554">
        <w:rPr>
          <w:rFonts w:ascii="Times New Roman" w:hAnsi="Times New Roman" w:cs="Times New Roman"/>
          <w:sz w:val="24"/>
          <w:szCs w:val="24"/>
          <w:lang w:val="en-US"/>
        </w:rPr>
        <w:t xml:space="preserve">. MAP applies to situations in which agents are connected to more than one principal. </w:t>
      </w:r>
      <w:r w:rsidR="000B09BF" w:rsidRPr="00E85554">
        <w:rPr>
          <w:rFonts w:ascii="Times New Roman" w:hAnsi="Times New Roman" w:cs="Times New Roman"/>
          <w:sz w:val="24"/>
          <w:szCs w:val="24"/>
          <w:lang w:val="en-US"/>
        </w:rPr>
        <w:t>Being</w:t>
      </w:r>
      <w:r w:rsidR="006F3C71" w:rsidRPr="00E85554">
        <w:rPr>
          <w:rFonts w:ascii="Times New Roman" w:hAnsi="Times New Roman" w:cs="Times New Roman"/>
          <w:sz w:val="24"/>
          <w:szCs w:val="24"/>
          <w:lang w:val="en-US"/>
        </w:rPr>
        <w:t xml:space="preserve"> connected to more than one principal</w:t>
      </w:r>
      <w:r w:rsidR="000B09BF" w:rsidRPr="00E85554">
        <w:rPr>
          <w:rFonts w:ascii="Times New Roman" w:hAnsi="Times New Roman" w:cs="Times New Roman"/>
          <w:sz w:val="24"/>
          <w:szCs w:val="24"/>
          <w:lang w:val="en-US"/>
        </w:rPr>
        <w:t xml:space="preserve">, </w:t>
      </w:r>
      <w:r w:rsidR="006F3C71" w:rsidRPr="00E85554">
        <w:rPr>
          <w:rFonts w:ascii="Times New Roman" w:hAnsi="Times New Roman" w:cs="Times New Roman"/>
          <w:sz w:val="24"/>
          <w:szCs w:val="24"/>
          <w:lang w:val="en-US"/>
        </w:rPr>
        <w:t>independent director</w:t>
      </w:r>
      <w:r w:rsidR="000B09BF" w:rsidRPr="00E85554">
        <w:rPr>
          <w:rFonts w:ascii="Times New Roman" w:hAnsi="Times New Roman" w:cs="Times New Roman"/>
          <w:sz w:val="24"/>
          <w:szCs w:val="24"/>
          <w:lang w:val="en-US"/>
        </w:rPr>
        <w:t>s as agents</w:t>
      </w:r>
      <w:r w:rsidR="006F3C71" w:rsidRPr="00E85554">
        <w:rPr>
          <w:rFonts w:ascii="Times New Roman" w:hAnsi="Times New Roman" w:cs="Times New Roman"/>
          <w:sz w:val="24"/>
          <w:szCs w:val="24"/>
          <w:lang w:val="en-US"/>
        </w:rPr>
        <w:t xml:space="preserve"> have a dual identity. MAP extends agency theory by considering the potential tensions an independent director</w:t>
      </w:r>
      <w:r w:rsidR="002A42BD" w:rsidRPr="00E85554">
        <w:rPr>
          <w:rFonts w:ascii="Times New Roman" w:hAnsi="Times New Roman" w:cs="Times New Roman"/>
          <w:sz w:val="24"/>
          <w:szCs w:val="24"/>
          <w:lang w:val="en-US"/>
        </w:rPr>
        <w:t xml:space="preserve"> as an agent</w:t>
      </w:r>
      <w:r w:rsidR="006F3C71" w:rsidRPr="00E85554">
        <w:rPr>
          <w:rFonts w:ascii="Times New Roman" w:hAnsi="Times New Roman" w:cs="Times New Roman"/>
          <w:sz w:val="24"/>
          <w:szCs w:val="24"/>
          <w:lang w:val="en-US"/>
        </w:rPr>
        <w:t xml:space="preserve"> </w:t>
      </w:r>
      <w:r w:rsidR="00BA3E8D">
        <w:rPr>
          <w:rFonts w:ascii="Times New Roman" w:hAnsi="Times New Roman" w:cs="Times New Roman"/>
          <w:sz w:val="24"/>
          <w:szCs w:val="24"/>
          <w:lang w:val="en-US"/>
        </w:rPr>
        <w:t xml:space="preserve">might </w:t>
      </w:r>
      <w:r w:rsidR="006F3C71" w:rsidRPr="00E85554">
        <w:rPr>
          <w:rFonts w:ascii="Times New Roman" w:hAnsi="Times New Roman" w:cs="Times New Roman"/>
          <w:sz w:val="24"/>
          <w:szCs w:val="24"/>
          <w:lang w:val="en-US"/>
        </w:rPr>
        <w:t xml:space="preserve">encounter </w:t>
      </w:r>
      <w:r w:rsidR="00BA3E8D">
        <w:rPr>
          <w:rFonts w:ascii="Times New Roman" w:hAnsi="Times New Roman" w:cs="Times New Roman"/>
          <w:sz w:val="24"/>
          <w:szCs w:val="24"/>
          <w:lang w:val="en-US"/>
        </w:rPr>
        <w:t>as a result of t</w:t>
      </w:r>
      <w:r w:rsidR="006F3C71" w:rsidRPr="00E85554">
        <w:rPr>
          <w:rFonts w:ascii="Times New Roman" w:hAnsi="Times New Roman" w:cs="Times New Roman"/>
          <w:sz w:val="24"/>
          <w:szCs w:val="24"/>
          <w:lang w:val="en-US"/>
        </w:rPr>
        <w:t>his dual identity</w:t>
      </w:r>
      <w:r w:rsidR="002E31B8">
        <w:rPr>
          <w:rFonts w:ascii="Times New Roman" w:hAnsi="Times New Roman" w:cs="Times New Roman"/>
          <w:sz w:val="24"/>
          <w:szCs w:val="24"/>
          <w:lang w:val="en-US"/>
        </w:rPr>
        <w:t xml:space="preserve"> </w:t>
      </w:r>
      <w:r w:rsidR="002E31B8">
        <w:rPr>
          <w:rFonts w:ascii="Times New Roman" w:hAnsi="Times New Roman" w:cs="Times New Roman"/>
          <w:sz w:val="24"/>
          <w:szCs w:val="24"/>
          <w:lang w:val="en-US"/>
        </w:rPr>
        <w:fldChar w:fldCharType="begin"/>
      </w:r>
      <w:r w:rsidR="002E31B8">
        <w:rPr>
          <w:rFonts w:ascii="Times New Roman" w:hAnsi="Times New Roman" w:cs="Times New Roman"/>
          <w:sz w:val="24"/>
          <w:szCs w:val="24"/>
          <w:lang w:val="en-US"/>
        </w:rPr>
        <w:instrText xml:space="preserve"> ADDIN EN.CITE &lt;EndNote&gt;&lt;Cite&gt;&lt;Author&gt;Pratt&lt;/Author&gt;&lt;Year&gt;2000&lt;/Year&gt;&lt;RecNum&gt;850&lt;/RecNum&gt;&lt;DisplayText&gt;(Pratt et al., 2000)&lt;/DisplayText&gt;&lt;record&gt;&lt;rec-number&gt;850&lt;/rec-number&gt;&lt;foreign-keys&gt;&lt;key app="EN" db-id="xdsfzvadmzzxdzereeq5xdf7eaxsdwfdfave" timestamp="1516663955"&gt;850&lt;/key&gt;&lt;/foreign-keys&gt;&lt;ref-type name="Journal Article"&gt;17&lt;/ref-type&gt;&lt;contributors&gt;&lt;authors&gt;&lt;author&gt;Pratt, Michael G&lt;/author&gt;&lt;author&gt;Foreman, Peter O&lt;/author&gt;&lt;/authors&gt;&lt;/contributors&gt;&lt;titles&gt;&lt;title&gt;Classifying managerial responses to multiple organizational identities&lt;/title&gt;&lt;secondary-title&gt;Academy of Management Review&lt;/secondary-title&gt;&lt;/titles&gt;&lt;periodical&gt;&lt;full-title&gt;Academy of Management Review&lt;/full-title&gt;&lt;/periodical&gt;&lt;pages&gt;18-42&lt;/pages&gt;&lt;volume&gt;25&lt;/volume&gt;&lt;number&gt;1&lt;/number&gt;&lt;dates&gt;&lt;year&gt;2000&lt;/year&gt;&lt;/dates&gt;&lt;isbn&gt;0363-7425&lt;/isbn&gt;&lt;urls&gt;&lt;/urls&gt;&lt;/record&gt;&lt;/Cite&gt;&lt;/EndNote&gt;</w:instrText>
      </w:r>
      <w:r w:rsidR="002E31B8">
        <w:rPr>
          <w:rFonts w:ascii="Times New Roman" w:hAnsi="Times New Roman" w:cs="Times New Roman"/>
          <w:sz w:val="24"/>
          <w:szCs w:val="24"/>
          <w:lang w:val="en-US"/>
        </w:rPr>
        <w:fldChar w:fldCharType="separate"/>
      </w:r>
      <w:r w:rsidR="002E31B8">
        <w:rPr>
          <w:rFonts w:ascii="Times New Roman" w:hAnsi="Times New Roman" w:cs="Times New Roman"/>
          <w:noProof/>
          <w:sz w:val="24"/>
          <w:szCs w:val="24"/>
          <w:lang w:val="en-US"/>
        </w:rPr>
        <w:t>(</w:t>
      </w:r>
      <w:hyperlink w:anchor="_ENREF_87" w:tooltip="Pratt, 2000 #850" w:history="1">
        <w:r w:rsidR="00266C78">
          <w:rPr>
            <w:rFonts w:ascii="Times New Roman" w:hAnsi="Times New Roman" w:cs="Times New Roman"/>
            <w:noProof/>
            <w:sz w:val="24"/>
            <w:szCs w:val="24"/>
            <w:lang w:val="en-US"/>
          </w:rPr>
          <w:t>Pratt et al., 2000</w:t>
        </w:r>
      </w:hyperlink>
      <w:r w:rsidR="002E31B8">
        <w:rPr>
          <w:rFonts w:ascii="Times New Roman" w:hAnsi="Times New Roman" w:cs="Times New Roman"/>
          <w:noProof/>
          <w:sz w:val="24"/>
          <w:szCs w:val="24"/>
          <w:lang w:val="en-US"/>
        </w:rPr>
        <w:t>)</w:t>
      </w:r>
      <w:r w:rsidR="002E31B8">
        <w:rPr>
          <w:rFonts w:ascii="Times New Roman" w:hAnsi="Times New Roman" w:cs="Times New Roman"/>
          <w:sz w:val="24"/>
          <w:szCs w:val="24"/>
          <w:lang w:val="en-US"/>
        </w:rPr>
        <w:fldChar w:fldCharType="end"/>
      </w:r>
      <w:r w:rsidR="006F3C71" w:rsidRPr="00E85554">
        <w:rPr>
          <w:rFonts w:ascii="Times New Roman" w:hAnsi="Times New Roman" w:cs="Times New Roman"/>
          <w:sz w:val="24"/>
          <w:szCs w:val="24"/>
          <w:lang w:val="en-US"/>
        </w:rPr>
        <w:t>. Unlike traditional agency theory, MAP recognizes that principals and their agents could implement actions which are favorable to some, but detrimental to other</w:t>
      </w:r>
      <w:r w:rsidR="00A255C7">
        <w:rPr>
          <w:rFonts w:ascii="Times New Roman" w:hAnsi="Times New Roman" w:cs="Times New Roman"/>
          <w:sz w:val="24"/>
          <w:szCs w:val="24"/>
          <w:lang w:val="en-US"/>
        </w:rPr>
        <w:t xml:space="preserve"> principal</w:t>
      </w:r>
      <w:r w:rsidR="006F3C71" w:rsidRPr="00E85554">
        <w:rPr>
          <w:rFonts w:ascii="Times New Roman" w:hAnsi="Times New Roman" w:cs="Times New Roman"/>
          <w:sz w:val="24"/>
          <w:szCs w:val="24"/>
          <w:lang w:val="en-US"/>
        </w:rPr>
        <w:t>s</w:t>
      </w:r>
      <w:r w:rsidR="002E31B8">
        <w:rPr>
          <w:rFonts w:ascii="Times New Roman" w:hAnsi="Times New Roman" w:cs="Times New Roman"/>
          <w:sz w:val="24"/>
          <w:szCs w:val="24"/>
          <w:lang w:val="en-US"/>
        </w:rPr>
        <w:t xml:space="preserve"> </w:t>
      </w:r>
      <w:r w:rsidR="002E31B8">
        <w:rPr>
          <w:rFonts w:ascii="Times New Roman" w:hAnsi="Times New Roman" w:cs="Times New Roman"/>
          <w:sz w:val="24"/>
          <w:szCs w:val="24"/>
          <w:lang w:val="en-US"/>
        </w:rPr>
        <w:fldChar w:fldCharType="begin"/>
      </w:r>
      <w:r w:rsidR="002E31B8">
        <w:rPr>
          <w:rFonts w:ascii="Times New Roman" w:hAnsi="Times New Roman" w:cs="Times New Roman"/>
          <w:sz w:val="24"/>
          <w:szCs w:val="24"/>
          <w:lang w:val="en-US"/>
        </w:rPr>
        <w:instrText xml:space="preserve"> ADDIN EN.CITE &lt;EndNote&gt;&lt;Cite&gt;&lt;Author&gt;Sarens&lt;/Author&gt;&lt;Year&gt;2016&lt;/Year&gt;&lt;RecNum&gt;851&lt;/RecNum&gt;&lt;DisplayText&gt;(Sarens et al., 2016)&lt;/DisplayText&gt;&lt;record&gt;&lt;rec-number&gt;851&lt;/rec-number&gt;&lt;foreign-keys&gt;&lt;key app="EN" db-id="xdsfzvadmzzxdzereeq5xdf7eaxsdwfdfave" timestamp="1516664020"&gt;851&lt;/key&gt;&lt;/foreign-keys&gt;&lt;ref-type name="Report"&gt;27&lt;/ref-type&gt;&lt;contributors&gt;&lt;authors&gt;&lt;author&gt;Sarens, Gerrit&lt;/author&gt;&lt;author&gt;Merendino, Alessandro&lt;/author&gt;&lt;/authors&gt;&lt;/contributors&gt;&lt;titles&gt;&lt;title&gt;&amp;quot; Multiple Agency Theory in Corporat Governance: an Alternative Lens to Study Independent Directors&lt;/title&gt;&lt;/titles&gt;&lt;dates&gt;&lt;year&gt;2016&lt;/year&gt;&lt;/dates&gt;&lt;urls&gt;&lt;/urls&gt;&lt;/record&gt;&lt;/Cite&gt;&lt;/EndNote&gt;</w:instrText>
      </w:r>
      <w:r w:rsidR="002E31B8">
        <w:rPr>
          <w:rFonts w:ascii="Times New Roman" w:hAnsi="Times New Roman" w:cs="Times New Roman"/>
          <w:sz w:val="24"/>
          <w:szCs w:val="24"/>
          <w:lang w:val="en-US"/>
        </w:rPr>
        <w:fldChar w:fldCharType="separate"/>
      </w:r>
      <w:r w:rsidR="002E31B8">
        <w:rPr>
          <w:rFonts w:ascii="Times New Roman" w:hAnsi="Times New Roman" w:cs="Times New Roman"/>
          <w:noProof/>
          <w:sz w:val="24"/>
          <w:szCs w:val="24"/>
          <w:lang w:val="en-US"/>
        </w:rPr>
        <w:t>(</w:t>
      </w:r>
      <w:hyperlink w:anchor="_ENREF_100" w:tooltip="Sarens, 2016 #851" w:history="1">
        <w:r w:rsidR="00266C78">
          <w:rPr>
            <w:rFonts w:ascii="Times New Roman" w:hAnsi="Times New Roman" w:cs="Times New Roman"/>
            <w:noProof/>
            <w:sz w:val="24"/>
            <w:szCs w:val="24"/>
            <w:lang w:val="en-US"/>
          </w:rPr>
          <w:t>Sarens et al., 2016</w:t>
        </w:r>
      </w:hyperlink>
      <w:r w:rsidR="002E31B8">
        <w:rPr>
          <w:rFonts w:ascii="Times New Roman" w:hAnsi="Times New Roman" w:cs="Times New Roman"/>
          <w:noProof/>
          <w:sz w:val="24"/>
          <w:szCs w:val="24"/>
          <w:lang w:val="en-US"/>
        </w:rPr>
        <w:t>)</w:t>
      </w:r>
      <w:r w:rsidR="002E31B8">
        <w:rPr>
          <w:rFonts w:ascii="Times New Roman" w:hAnsi="Times New Roman" w:cs="Times New Roman"/>
          <w:sz w:val="24"/>
          <w:szCs w:val="24"/>
          <w:lang w:val="en-US"/>
        </w:rPr>
        <w:fldChar w:fldCharType="end"/>
      </w:r>
      <w:r w:rsidR="006F3C71" w:rsidRPr="00E85554">
        <w:rPr>
          <w:rFonts w:ascii="Times New Roman" w:hAnsi="Times New Roman" w:cs="Times New Roman"/>
          <w:sz w:val="24"/>
          <w:szCs w:val="24"/>
          <w:lang w:val="en-US"/>
        </w:rPr>
        <w:t>.</w:t>
      </w:r>
      <w:r w:rsidR="005F35CB" w:rsidRPr="00E85554">
        <w:rPr>
          <w:rFonts w:ascii="Times New Roman" w:hAnsi="Times New Roman" w:cs="Times New Roman"/>
          <w:sz w:val="24"/>
          <w:szCs w:val="24"/>
          <w:lang w:val="en-US"/>
        </w:rPr>
        <w:t xml:space="preserve"> </w:t>
      </w:r>
      <w:r w:rsidR="006F3C71" w:rsidRPr="00E85554">
        <w:rPr>
          <w:rFonts w:ascii="Times New Roman" w:hAnsi="Times New Roman" w:cs="Times New Roman"/>
          <w:sz w:val="24"/>
          <w:szCs w:val="24"/>
          <w:lang w:val="en-US"/>
        </w:rPr>
        <w:t xml:space="preserve">We extend MAP </w:t>
      </w:r>
      <w:r w:rsidR="000B09BF" w:rsidRPr="00E85554">
        <w:rPr>
          <w:rFonts w:ascii="Times New Roman" w:hAnsi="Times New Roman" w:cs="Times New Roman"/>
          <w:sz w:val="24"/>
          <w:szCs w:val="24"/>
          <w:lang w:val="en-US"/>
        </w:rPr>
        <w:t>by</w:t>
      </w:r>
      <w:r w:rsidR="006F3C71" w:rsidRPr="00E85554">
        <w:rPr>
          <w:rFonts w:ascii="Times New Roman" w:hAnsi="Times New Roman" w:cs="Times New Roman"/>
          <w:sz w:val="24"/>
          <w:szCs w:val="24"/>
          <w:lang w:val="en-US"/>
        </w:rPr>
        <w:t xml:space="preserve"> look</w:t>
      </w:r>
      <w:r w:rsidR="000B09BF" w:rsidRPr="00E85554">
        <w:rPr>
          <w:rFonts w:ascii="Times New Roman" w:hAnsi="Times New Roman" w:cs="Times New Roman"/>
          <w:sz w:val="24"/>
          <w:szCs w:val="24"/>
          <w:lang w:val="en-US"/>
        </w:rPr>
        <w:t>ing</w:t>
      </w:r>
      <w:r w:rsidR="005F35CB" w:rsidRPr="00E85554">
        <w:rPr>
          <w:rFonts w:ascii="Times New Roman" w:hAnsi="Times New Roman" w:cs="Times New Roman"/>
          <w:sz w:val="24"/>
          <w:szCs w:val="24"/>
          <w:lang w:val="en-US"/>
        </w:rPr>
        <w:t xml:space="preserve"> at how effective</w:t>
      </w:r>
      <w:r w:rsidR="006F3C71" w:rsidRPr="00E85554">
        <w:rPr>
          <w:rFonts w:ascii="Times New Roman" w:hAnsi="Times New Roman" w:cs="Times New Roman"/>
          <w:sz w:val="24"/>
          <w:szCs w:val="24"/>
          <w:lang w:val="en-US"/>
        </w:rPr>
        <w:t xml:space="preserve"> independent directors are in tackling blockholder appropriation depending on </w:t>
      </w:r>
      <w:r w:rsidR="006F3C71" w:rsidRPr="00E85554">
        <w:rPr>
          <w:rFonts w:ascii="Times New Roman" w:hAnsi="Times New Roman" w:cs="Times New Roman"/>
          <w:sz w:val="24"/>
          <w:szCs w:val="24"/>
          <w:lang w:val="en-US"/>
        </w:rPr>
        <w:lastRenderedPageBreak/>
        <w:t xml:space="preserve">the identity of </w:t>
      </w:r>
      <w:r w:rsidR="000B09BF" w:rsidRPr="00E85554">
        <w:rPr>
          <w:rFonts w:ascii="Times New Roman" w:hAnsi="Times New Roman" w:cs="Times New Roman"/>
          <w:sz w:val="24"/>
          <w:szCs w:val="24"/>
          <w:lang w:val="en-US"/>
        </w:rPr>
        <w:t xml:space="preserve">the </w:t>
      </w:r>
      <w:r w:rsidR="006F3C71" w:rsidRPr="00E85554">
        <w:rPr>
          <w:rFonts w:ascii="Times New Roman" w:hAnsi="Times New Roman" w:cs="Times New Roman"/>
          <w:sz w:val="24"/>
          <w:szCs w:val="24"/>
          <w:lang w:val="en-US"/>
        </w:rPr>
        <w:t xml:space="preserve">blockholder. The type of blockholder matters because </w:t>
      </w:r>
      <w:r w:rsidR="006F3C71" w:rsidRPr="00E85554">
        <w:rPr>
          <w:rFonts w:ascii="Times New Roman" w:hAnsi="Times New Roman" w:cs="Times New Roman"/>
          <w:i/>
          <w:sz w:val="24"/>
          <w:szCs w:val="24"/>
          <w:lang w:val="en-US"/>
        </w:rPr>
        <w:t>de facto</w:t>
      </w:r>
      <w:r w:rsidR="006F3C71" w:rsidRPr="00E85554">
        <w:rPr>
          <w:rFonts w:ascii="Times New Roman" w:hAnsi="Times New Roman" w:cs="Times New Roman"/>
          <w:sz w:val="24"/>
          <w:szCs w:val="24"/>
          <w:lang w:val="en-US"/>
        </w:rPr>
        <w:t xml:space="preserve">, the independent director is selected by the blockholder.  </w:t>
      </w:r>
    </w:p>
    <w:p w14:paraId="066EB08D" w14:textId="351377F9" w:rsidR="006F3C71" w:rsidRPr="00E85554" w:rsidRDefault="006F3C71" w:rsidP="005F35CB">
      <w:pPr>
        <w:pStyle w:val="ListParagraph"/>
        <w:spacing w:after="0" w:line="480" w:lineRule="auto"/>
        <w:ind w:left="0"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We analyze two types of blockholders – domestic private wealthy individuals (who control private firms) and the state (who control state-affiliated entities or SOEs), as majority ownership by financial institutions and foreigners in Russian firms is very rare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&lt;EndNote&gt;&lt;Cite&gt;&lt;Author&gt;Chernykh&lt;/Author&gt;&lt;Year&gt;2008&lt;/Year&gt;&lt;RecNum&gt;27&lt;/RecNum&gt;&lt;DisplayText&gt;(Chernykh, 2008; Iwasaki et al., 2017)&lt;/DisplayText&gt;&lt;record&gt;&lt;rec-number&gt;27&lt;/rec-number&gt;&lt;foreign-keys&gt;&lt;key app="EN" db-id="xdsfzvadmzzxdzereeq5xdf7eaxsdwfdfave" timestamp="1389481928"&gt;27&lt;/key&gt;&lt;/foreign-keys&gt;&lt;ref-type name="Journal Article"&gt;17&lt;/ref-type&gt;&lt;contributors&gt;&lt;authors&gt;&lt;author&gt;Chernykh, Lucy&lt;/author&gt;&lt;/authors&gt;&lt;/contributors&gt;&lt;titles&gt;&lt;title&gt;Ultimate ownership and control in Russia&lt;/title&gt;&lt;secondary-title&gt;Journal of Financial Economics&lt;/secondary-title&gt;&lt;/titles&gt;&lt;periodical&gt;&lt;full-title&gt;Journal of Financial Economics&lt;/full-title&gt;&lt;/periodical&gt;&lt;pages&gt;169-192&lt;/pages&gt;&lt;volume&gt;88&lt;/volume&gt;&lt;number&gt;1&lt;/number&gt;&lt;dates&gt;&lt;year&gt;2008&lt;/year&gt;&lt;/dates&gt;&lt;isbn&gt;0304-405X&lt;/isbn&gt;&lt;urls&gt;&lt;/urls&gt;&lt;/record&gt;&lt;/Cite&gt;&lt;Cite&gt;&lt;Author&gt;Iwasaki&lt;/Author&gt;&lt;Year&gt;2017&lt;/Year&gt;&lt;RecNum&gt;836&lt;/RecNum&gt;&lt;record&gt;&lt;rec-number&gt;836&lt;/rec-number&gt;&lt;foreign-keys&gt;&lt;key app="EN" db-id="xdsfzvadmzzxdzereeq5xdf7eaxsdwfdfave" timestamp="1516122976"&gt;836&lt;/key&gt;&lt;/foreign-keys&gt;&lt;ref-type name="Unpublished Work"&gt;34&lt;/ref-type&gt;&lt;contributors&gt;&lt;authors&gt;&lt;author&gt;Iwasaki, Ichiro&lt;/author&gt;&lt;author&gt;Mizobata, Satoshi&lt;/author&gt;&lt;author&gt;Muravyev, Alexander A&lt;/author&gt;&lt;/authors&gt;&lt;/contributors&gt;&lt;titles&gt;&lt;title&gt;Ownership Dynamics and Firm Performance in an Emerging Economy: A Meta-Analysis of the Russian Literature&lt;/title&gt;&lt;secondary-title&gt;Kier Discussion Paper Series&lt;/secondary-title&gt;&lt;/titles&gt;&lt;number&gt;955&lt;/number&gt;&lt;dates&gt;&lt;year&gt;2017&lt;/year&gt;&lt;/dates&gt;&lt;pub-location&gt;Kyoto, Japan&lt;/pub-location&gt;&lt;publisher&gt;Kyoto Institute of Economic Research&lt;/publisher&gt;&lt;urls&gt;&lt;/urls&gt;&lt;/record&gt;&lt;/Cite&gt;&lt;/EndNote&gt;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30" w:tooltip="Chernykh, 2008 #27" w:history="1">
        <w:r w:rsidR="00266C78" w:rsidRPr="00E85554">
          <w:rPr>
            <w:rFonts w:ascii="Times New Roman" w:hAnsi="Times New Roman" w:cs="Times New Roman"/>
            <w:noProof/>
            <w:sz w:val="24"/>
            <w:szCs w:val="24"/>
            <w:lang w:val="en-US"/>
          </w:rPr>
          <w:t>Chernykh, 2008</w:t>
        </w:r>
      </w:hyperlink>
      <w:r w:rsidRPr="00E85554">
        <w:rPr>
          <w:rFonts w:ascii="Times New Roman" w:hAnsi="Times New Roman" w:cs="Times New Roman"/>
          <w:noProof/>
          <w:sz w:val="24"/>
          <w:szCs w:val="24"/>
          <w:lang w:val="en-US"/>
        </w:rPr>
        <w:t xml:space="preserve">; </w:t>
      </w:r>
      <w:hyperlink w:anchor="_ENREF_61" w:tooltip="Iwasaki, 2017 #836" w:history="1">
        <w:r w:rsidR="00266C78" w:rsidRPr="00E85554">
          <w:rPr>
            <w:rFonts w:ascii="Times New Roman" w:hAnsi="Times New Roman" w:cs="Times New Roman"/>
            <w:noProof/>
            <w:sz w:val="24"/>
            <w:szCs w:val="24"/>
            <w:lang w:val="en-US"/>
          </w:rPr>
          <w:t>Iwasaki et al., 2017</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There are several reasons for </w:t>
      </w:r>
      <w:r w:rsidR="00046B8F" w:rsidRPr="00E85554">
        <w:rPr>
          <w:rFonts w:ascii="Times New Roman" w:hAnsi="Times New Roman" w:cs="Times New Roman"/>
          <w:sz w:val="24"/>
          <w:szCs w:val="24"/>
          <w:lang w:val="en-US"/>
        </w:rPr>
        <w:t xml:space="preserve">the </w:t>
      </w:r>
      <w:r w:rsidRPr="00E85554">
        <w:rPr>
          <w:rFonts w:ascii="Times New Roman" w:hAnsi="Times New Roman" w:cs="Times New Roman"/>
          <w:sz w:val="24"/>
          <w:szCs w:val="24"/>
          <w:lang w:val="en-US"/>
        </w:rPr>
        <w:t xml:space="preserve">appointment of independent directors in private firms. First, private firms may be in search of external funds, and independent directors </w:t>
      </w:r>
      <w:r w:rsidR="00046B8F" w:rsidRPr="00E85554">
        <w:rPr>
          <w:rFonts w:ascii="Times New Roman" w:hAnsi="Times New Roman" w:cs="Times New Roman"/>
          <w:sz w:val="24"/>
          <w:szCs w:val="24"/>
          <w:lang w:val="en-US"/>
        </w:rPr>
        <w:t xml:space="preserve">might grant </w:t>
      </w:r>
      <w:r w:rsidRPr="00E85554">
        <w:rPr>
          <w:rFonts w:ascii="Times New Roman" w:hAnsi="Times New Roman" w:cs="Times New Roman"/>
          <w:sz w:val="24"/>
          <w:szCs w:val="24"/>
          <w:lang w:val="en-US"/>
        </w:rPr>
        <w:t xml:space="preserve">access to such funds through their external contacts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&lt;EndNote&gt;&lt;Cite&gt;&lt;Author&gt;Hillman&lt;/Author&gt;&lt;Year&gt;2003&lt;/Year&gt;&lt;RecNum&gt;58&lt;/RecNum&gt;&lt;DisplayText&gt;(Hillman et al., 2003)&lt;/DisplayText&gt;&lt;record&gt;&lt;rec-number&gt;58&lt;/rec-number&gt;&lt;foreign-keys&gt;&lt;key app="EN" db-id="xdsfzvadmzzxdzereeq5xdf7eaxsdwfdfave" timestamp="1389484893"&gt;58&lt;/key&gt;&lt;/foreign-keys&gt;&lt;ref-type name="Journal Article"&gt;17&lt;/ref-type&gt;&lt;contributors&gt;&lt;authors&gt;&lt;author&gt;Hillman, Amy J&lt;/author&gt;&lt;author&gt;Dalziel, Thomas&lt;/author&gt;&lt;/authors&gt;&lt;/contributors&gt;&lt;titles&gt;&lt;title&gt;Boards of directors and firm performance: Integrating agency and resource dependence perspectives&lt;/title&gt;&lt;secondary-title&gt;Academy of Management Review&lt;/secondary-title&gt;&lt;/titles&gt;&lt;periodical&gt;&lt;full-title&gt;Academy of Management Review&lt;/full-title&gt;&lt;/periodical&gt;&lt;pages&gt;383-396&lt;/pages&gt;&lt;volume&gt;28&lt;/volume&gt;&lt;number&gt;3&lt;/number&gt;&lt;dates&gt;&lt;year&gt;2003&lt;/year&gt;&lt;/dates&gt;&lt;isbn&gt;0363-7425&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55" w:tooltip="Hillman, 2003 #58" w:history="1">
        <w:r w:rsidR="00266C78" w:rsidRPr="00E85554">
          <w:rPr>
            <w:rFonts w:ascii="Times New Roman" w:hAnsi="Times New Roman" w:cs="Times New Roman"/>
            <w:noProof/>
            <w:sz w:val="24"/>
            <w:szCs w:val="24"/>
            <w:lang w:val="en-US"/>
          </w:rPr>
          <w:t>Hillman et al., 2003</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or by increasing the firm’s credibility</w:t>
      </w:r>
      <w:r w:rsidR="005F35CB" w:rsidRPr="00E85554">
        <w:rPr>
          <w:rFonts w:ascii="Times New Roman" w:hAnsi="Times New Roman" w:cs="Times New Roman"/>
          <w:sz w:val="24"/>
          <w:szCs w:val="24"/>
          <w:lang w:val="en-US"/>
        </w:rPr>
        <w:t xml:space="preserve">. </w:t>
      </w:r>
      <w:r w:rsidRPr="00E85554">
        <w:rPr>
          <w:rFonts w:ascii="Times New Roman" w:hAnsi="Times New Roman" w:cs="Times New Roman"/>
          <w:sz w:val="24"/>
          <w:szCs w:val="24"/>
          <w:lang w:val="en-US"/>
        </w:rPr>
        <w:t xml:space="preserve">Second, independent directors in assuming their external roles act as a bridge between competencies and a conduit for information flow between the company and its economic and political environments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&lt;EndNote&gt;&lt;Cite&gt;&lt;Author&gt;Melkumov&lt;/Author&gt;&lt;Year&gt;2009&lt;/Year&gt;&lt;RecNum&gt;339&lt;/RecNum&gt;&lt;DisplayText&gt;(Melkumov, 2009)&lt;/DisplayText&gt;&lt;record&gt;&lt;rec-number&gt;339&lt;/rec-number&gt;&lt;foreign-keys&gt;&lt;key app="EN" db-id="xdsfzvadmzzxdzereeq5xdf7eaxsdwfdfave" timestamp="1448289516"&gt;339&lt;/key&gt;&lt;/foreign-keys&gt;&lt;ref-type name="Journal Article"&gt;17&lt;/ref-type&gt;&lt;contributors&gt;&lt;authors&gt;&lt;author&gt;Melkumov, Dmitri&lt;/author&gt;&lt;/authors&gt;&lt;/contributors&gt;&lt;titles&gt;&lt;title&gt;Institutional background as a determinant of boards of directors’ internal and external roles: The case of Russia&lt;/title&gt;&lt;secondary-title&gt;Journal of World Business&lt;/secondary-title&gt;&lt;/titles&gt;&lt;periodical&gt;&lt;full-title&gt;Journal of World Business&lt;/full-title&gt;&lt;/periodical&gt;&lt;pages&gt;94-103&lt;/pages&gt;&lt;volume&gt;44&lt;/volume&gt;&lt;number&gt;1&lt;/number&gt;&lt;dates&gt;&lt;year&gt;2009&lt;/year&gt;&lt;/dates&gt;&lt;isbn&gt;1090-9516&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73" w:tooltip="Melkumov, 2009 #339" w:history="1">
        <w:r w:rsidR="00266C78" w:rsidRPr="00E85554">
          <w:rPr>
            <w:rFonts w:ascii="Times New Roman" w:hAnsi="Times New Roman" w:cs="Times New Roman"/>
            <w:noProof/>
            <w:sz w:val="24"/>
            <w:szCs w:val="24"/>
            <w:lang w:val="en-US"/>
          </w:rPr>
          <w:t>Melkumov, 2009</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Third, independent directors’ roles in private firms may also include maintaining stakeholder relations. </w:t>
      </w:r>
      <w:r w:rsidR="00046B8F" w:rsidRPr="00E85554">
        <w:rPr>
          <w:rFonts w:ascii="Times New Roman" w:hAnsi="Times New Roman" w:cs="Times New Roman"/>
          <w:sz w:val="24"/>
          <w:szCs w:val="24"/>
          <w:lang w:val="en-US"/>
        </w:rPr>
        <w:t>More specifically, i</w:t>
      </w:r>
      <w:r w:rsidRPr="00E85554">
        <w:rPr>
          <w:rFonts w:ascii="Times New Roman" w:hAnsi="Times New Roman" w:cs="Times New Roman"/>
          <w:sz w:val="24"/>
          <w:szCs w:val="24"/>
          <w:lang w:val="en-US"/>
        </w:rPr>
        <w:t>n EEM</w:t>
      </w:r>
      <w:r w:rsidR="00001575" w:rsidRPr="00E85554">
        <w:rPr>
          <w:rFonts w:ascii="Times New Roman" w:hAnsi="Times New Roman" w:cs="Times New Roman"/>
          <w:sz w:val="24"/>
          <w:szCs w:val="24"/>
          <w:lang w:val="en-US"/>
        </w:rPr>
        <w:t>M</w:t>
      </w:r>
      <w:r w:rsidRPr="00E85554">
        <w:rPr>
          <w:rFonts w:ascii="Times New Roman" w:hAnsi="Times New Roman" w:cs="Times New Roman"/>
          <w:sz w:val="24"/>
          <w:szCs w:val="24"/>
          <w:lang w:val="en-US"/>
        </w:rPr>
        <w:t>, serving the interests of even distant stakeholders such as media, local authorities, business associations and auditing firms has been historically important as EEM</w:t>
      </w:r>
      <w:r w:rsidR="00001575" w:rsidRPr="00E85554">
        <w:rPr>
          <w:rFonts w:ascii="Times New Roman" w:hAnsi="Times New Roman" w:cs="Times New Roman"/>
          <w:sz w:val="24"/>
          <w:szCs w:val="24"/>
          <w:lang w:val="en-US"/>
        </w:rPr>
        <w:t>M</w:t>
      </w:r>
      <w:r w:rsidRPr="00E85554">
        <w:rPr>
          <w:rFonts w:ascii="Times New Roman" w:hAnsi="Times New Roman" w:cs="Times New Roman"/>
          <w:sz w:val="24"/>
          <w:szCs w:val="24"/>
          <w:lang w:val="en-US"/>
        </w:rPr>
        <w:t xml:space="preserve"> firms still consider operating within the network economy as one of the viable ways of doing business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&lt;EndNote&gt;&lt;Cite&gt;&lt;Author&gt;McCarthy&lt;/Author&gt;&lt;Year&gt;2003&lt;/Year&gt;&lt;RecNum&gt;719&lt;/RecNum&gt;&lt;DisplayText&gt;(McCarthy et al., 2003; Puffer et al., 2007)&lt;/DisplayText&gt;&lt;record&gt;&lt;rec-number&gt;719&lt;/rec-number&gt;&lt;foreign-keys&gt;&lt;key app="EN" db-id="xdsfzvadmzzxdzereeq5xdf7eaxsdwfdfave" timestamp="1493042721"&gt;719&lt;/key&gt;&lt;/foreign-keys&gt;&lt;ref-type name="Journal Article"&gt;17&lt;/ref-type&gt;&lt;contributors&gt;&lt;authors&gt;&lt;author&gt;McCarthy, Daniel J&lt;/author&gt;&lt;author&gt;Puffer, Sheila M&lt;/author&gt;&lt;/authors&gt;&lt;/contributors&gt;&lt;titles&gt;&lt;title&gt;Corporate governance in Russia: A framework for analysis&lt;/title&gt;&lt;secondary-title&gt;Journal of World Business&lt;/secondary-title&gt;&lt;/titles&gt;&lt;periodical&gt;&lt;full-title&gt;Journal of World Business&lt;/full-title&gt;&lt;/periodical&gt;&lt;pages&gt;397-415&lt;/pages&gt;&lt;volume&gt;38&lt;/volume&gt;&lt;number&gt;4&lt;/number&gt;&lt;dates&gt;&lt;year&gt;2003&lt;/year&gt;&lt;/dates&gt;&lt;isbn&gt;1090-9516&lt;/isbn&gt;&lt;urls&gt;&lt;/urls&gt;&lt;/record&gt;&lt;/Cite&gt;&lt;Cite&gt;&lt;Author&gt;Puffer&lt;/Author&gt;&lt;Year&gt;2007&lt;/Year&gt;&lt;RecNum&gt;720&lt;/RecNum&gt;&lt;record&gt;&lt;rec-number&gt;720&lt;/rec-number&gt;&lt;foreign-keys&gt;&lt;key app="EN" db-id="xdsfzvadmzzxdzereeq5xdf7eaxsdwfdfave" timestamp="1493042949"&gt;720&lt;/key&gt;&lt;/foreign-keys&gt;&lt;ref-type name="Journal Article"&gt;17&lt;/ref-type&gt;&lt;contributors&gt;&lt;authors&gt;&lt;author&gt;Puffer, Sheila M&lt;/author&gt;&lt;author&gt;McCarthy, Daniel J&lt;/author&gt;&lt;/authors&gt;&lt;/contributors&gt;&lt;titles&gt;&lt;title&gt;Can Russia&amp;apos;s state-managed, network capitalism be competitive?: Institutional pull versus institutional push&lt;/title&gt;&lt;secondary-title&gt;Journal of World Business&lt;/secondary-title&gt;&lt;/titles&gt;&lt;periodical&gt;&lt;full-title&gt;Journal of World Business&lt;/full-title&gt;&lt;/periodical&gt;&lt;pages&gt;1-13&lt;/pages&gt;&lt;volume&gt;42&lt;/volume&gt;&lt;number&gt;1&lt;/number&gt;&lt;dates&gt;&lt;year&gt;2007&lt;/year&gt;&lt;/dates&gt;&lt;isbn&gt;1090-9516&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71" w:tooltip="McCarthy, 2003 #719" w:history="1">
        <w:r w:rsidR="00266C78" w:rsidRPr="00E85554">
          <w:rPr>
            <w:rFonts w:ascii="Times New Roman" w:hAnsi="Times New Roman" w:cs="Times New Roman"/>
            <w:noProof/>
            <w:sz w:val="24"/>
            <w:szCs w:val="24"/>
            <w:lang w:val="en-US"/>
          </w:rPr>
          <w:t>McCarthy et al., 2003</w:t>
        </w:r>
      </w:hyperlink>
      <w:r w:rsidRPr="00E85554">
        <w:rPr>
          <w:rFonts w:ascii="Times New Roman" w:hAnsi="Times New Roman" w:cs="Times New Roman"/>
          <w:noProof/>
          <w:sz w:val="24"/>
          <w:szCs w:val="24"/>
          <w:lang w:val="en-US"/>
        </w:rPr>
        <w:t xml:space="preserve">; </w:t>
      </w:r>
      <w:hyperlink w:anchor="_ENREF_89" w:tooltip="Puffer, 2007 #720" w:history="1">
        <w:r w:rsidR="00266C78" w:rsidRPr="00E85554">
          <w:rPr>
            <w:rFonts w:ascii="Times New Roman" w:hAnsi="Times New Roman" w:cs="Times New Roman"/>
            <w:noProof/>
            <w:sz w:val="24"/>
            <w:szCs w:val="24"/>
            <w:lang w:val="en-US"/>
          </w:rPr>
          <w:t>Puffer et al., 2007</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We expect that private blockholders </w:t>
      </w:r>
      <w:r w:rsidR="00046B8F" w:rsidRPr="00E85554">
        <w:rPr>
          <w:rFonts w:ascii="Times New Roman" w:hAnsi="Times New Roman" w:cs="Times New Roman"/>
          <w:sz w:val="24"/>
          <w:szCs w:val="24"/>
          <w:lang w:val="en-US"/>
        </w:rPr>
        <w:t xml:space="preserve">in EEMM </w:t>
      </w:r>
      <w:r w:rsidRPr="00E85554">
        <w:rPr>
          <w:rFonts w:ascii="Times New Roman" w:hAnsi="Times New Roman" w:cs="Times New Roman"/>
          <w:sz w:val="24"/>
          <w:szCs w:val="24"/>
          <w:lang w:val="en-US"/>
        </w:rPr>
        <w:t>appoint independent directors to largely fulfil the</w:t>
      </w:r>
      <w:r w:rsidR="00046B8F" w:rsidRPr="00E85554">
        <w:rPr>
          <w:rFonts w:ascii="Times New Roman" w:hAnsi="Times New Roman" w:cs="Times New Roman"/>
          <w:sz w:val="24"/>
          <w:szCs w:val="24"/>
          <w:lang w:val="en-US"/>
        </w:rPr>
        <w:t>se</w:t>
      </w:r>
      <w:r w:rsidRPr="00E85554">
        <w:rPr>
          <w:rFonts w:ascii="Times New Roman" w:hAnsi="Times New Roman" w:cs="Times New Roman"/>
          <w:sz w:val="24"/>
          <w:szCs w:val="24"/>
          <w:lang w:val="en-US"/>
        </w:rPr>
        <w:t xml:space="preserve"> external roles</w:t>
      </w:r>
      <w:r w:rsidR="003A2CD5" w:rsidRPr="00E85554">
        <w:rPr>
          <w:rFonts w:ascii="Times New Roman" w:hAnsi="Times New Roman" w:cs="Times New Roman"/>
          <w:sz w:val="24"/>
          <w:szCs w:val="24"/>
          <w:lang w:val="en-US"/>
        </w:rPr>
        <w:t xml:space="preserve"> </w:t>
      </w:r>
      <w:r w:rsidR="003A2CD5" w:rsidRPr="00E85554">
        <w:rPr>
          <w:rFonts w:ascii="Times New Roman" w:hAnsi="Times New Roman" w:cs="Times New Roman"/>
          <w:sz w:val="24"/>
          <w:szCs w:val="24"/>
          <w:lang w:val="en-US"/>
        </w:rPr>
        <w:fldChar w:fldCharType="begin"/>
      </w:r>
      <w:r w:rsidR="003A2CD5" w:rsidRPr="00E85554">
        <w:rPr>
          <w:rFonts w:ascii="Times New Roman" w:hAnsi="Times New Roman" w:cs="Times New Roman"/>
          <w:sz w:val="24"/>
          <w:szCs w:val="24"/>
          <w:lang w:val="en-US"/>
        </w:rPr>
        <w:instrText xml:space="preserve"> ADDIN EN.CITE &lt;EndNote&gt;&lt;Cite&gt;&lt;Author&gt;Dolgopyatova&lt;/Author&gt;&lt;Year&gt;2015&lt;/Year&gt;&lt;RecNum&gt;645&lt;/RecNum&gt;&lt;DisplayText&gt;(Dolgopyatova et al., 2015)&lt;/DisplayText&gt;&lt;record&gt;&lt;rec-number&gt;645&lt;/rec-number&gt;&lt;foreign-keys&gt;&lt;key app="EN" db-id="xdsfzvadmzzxdzereeq5xdf7eaxsdwfdfave" timestamp="1477848742"&gt;645&lt;/key&gt;&lt;/foreign-keys&gt;&lt;ref-type name="Journal Article"&gt;17&lt;/ref-type&gt;&lt;contributors&gt;&lt;authors&gt;&lt;author&gt;Dolgopyatova, T.G.&lt;/author&gt;&lt;author&gt;Libman, A&lt;/author&gt;&lt;author&gt;Yakovlev, A&lt;/author&gt;&lt;/authors&gt;&lt;/contributors&gt;&lt;titles&gt;&lt;title&gt;The role of board directors in Russian high-growth firms: evidence from AFK Sistema, Part I (in Russian).&lt;/title&gt;&lt;secondary-title&gt;Russian Journal of Management&lt;/secondary-title&gt;&lt;/titles&gt;&lt;periodical&gt;&lt;full-title&gt;Russian Journal of Management&lt;/full-title&gt;&lt;/periodical&gt;&lt;pages&gt;91-112&lt;/pages&gt;&lt;volume&gt;13&lt;/volume&gt;&lt;number&gt;1&lt;/number&gt;&lt;dates&gt;&lt;year&gt;2015&lt;/year&gt;&lt;/dates&gt;&lt;urls&gt;&lt;/urls&gt;&lt;/record&gt;&lt;/Cite&gt;&lt;/EndNote&gt;</w:instrText>
      </w:r>
      <w:r w:rsidR="003A2CD5" w:rsidRPr="00E85554">
        <w:rPr>
          <w:rFonts w:ascii="Times New Roman" w:hAnsi="Times New Roman" w:cs="Times New Roman"/>
          <w:sz w:val="24"/>
          <w:szCs w:val="24"/>
          <w:lang w:val="en-US"/>
        </w:rPr>
        <w:fldChar w:fldCharType="separate"/>
      </w:r>
      <w:r w:rsidR="003A2CD5" w:rsidRPr="00E85554">
        <w:rPr>
          <w:rFonts w:ascii="Times New Roman" w:hAnsi="Times New Roman" w:cs="Times New Roman"/>
          <w:noProof/>
          <w:sz w:val="24"/>
          <w:szCs w:val="24"/>
          <w:lang w:val="en-US"/>
        </w:rPr>
        <w:t>(</w:t>
      </w:r>
      <w:hyperlink w:anchor="_ENREF_40" w:tooltip="Dolgopyatova, 2015 #645" w:history="1">
        <w:r w:rsidR="00266C78" w:rsidRPr="00E85554">
          <w:rPr>
            <w:rFonts w:ascii="Times New Roman" w:hAnsi="Times New Roman" w:cs="Times New Roman"/>
            <w:noProof/>
            <w:sz w:val="24"/>
            <w:szCs w:val="24"/>
            <w:lang w:val="en-US"/>
          </w:rPr>
          <w:t>Dolgopyatova et al., 2015</w:t>
        </w:r>
      </w:hyperlink>
      <w:r w:rsidR="003A2CD5" w:rsidRPr="00E85554">
        <w:rPr>
          <w:rFonts w:ascii="Times New Roman" w:hAnsi="Times New Roman" w:cs="Times New Roman"/>
          <w:noProof/>
          <w:sz w:val="24"/>
          <w:szCs w:val="24"/>
          <w:lang w:val="en-US"/>
        </w:rPr>
        <w:t>)</w:t>
      </w:r>
      <w:r w:rsidR="003A2CD5"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and that such appointments </w:t>
      </w:r>
      <w:r w:rsidR="00046B8F" w:rsidRPr="00E85554">
        <w:rPr>
          <w:rFonts w:ascii="Times New Roman" w:hAnsi="Times New Roman" w:cs="Times New Roman"/>
          <w:sz w:val="24"/>
          <w:szCs w:val="24"/>
          <w:lang w:val="en-US"/>
        </w:rPr>
        <w:t>help</w:t>
      </w:r>
      <w:r w:rsidRPr="00E85554">
        <w:rPr>
          <w:rFonts w:ascii="Times New Roman" w:hAnsi="Times New Roman" w:cs="Times New Roman"/>
          <w:sz w:val="24"/>
          <w:szCs w:val="24"/>
          <w:lang w:val="en-US"/>
        </w:rPr>
        <w:t xml:space="preserve"> blockholders </w:t>
      </w:r>
      <w:r w:rsidR="00046B8F" w:rsidRPr="00E85554">
        <w:rPr>
          <w:rFonts w:ascii="Times New Roman" w:hAnsi="Times New Roman" w:cs="Times New Roman"/>
          <w:sz w:val="24"/>
          <w:szCs w:val="24"/>
          <w:lang w:val="en-US"/>
        </w:rPr>
        <w:t xml:space="preserve">obtain </w:t>
      </w:r>
      <w:r w:rsidRPr="00E85554">
        <w:rPr>
          <w:rFonts w:ascii="Times New Roman" w:hAnsi="Times New Roman" w:cs="Times New Roman"/>
          <w:sz w:val="24"/>
          <w:szCs w:val="24"/>
          <w:lang w:val="en-US"/>
        </w:rPr>
        <w:t xml:space="preserve">additional resources via legal channels, as well as making blockholders more transparent towards </w:t>
      </w:r>
      <w:r w:rsidR="002A42BD" w:rsidRPr="00E85554">
        <w:rPr>
          <w:rFonts w:ascii="Times New Roman" w:hAnsi="Times New Roman" w:cs="Times New Roman"/>
          <w:sz w:val="24"/>
          <w:szCs w:val="24"/>
          <w:lang w:val="en-US"/>
        </w:rPr>
        <w:t xml:space="preserve">the </w:t>
      </w:r>
      <w:r w:rsidRPr="00E85554">
        <w:rPr>
          <w:rFonts w:ascii="Times New Roman" w:hAnsi="Times New Roman" w:cs="Times New Roman"/>
          <w:sz w:val="24"/>
          <w:szCs w:val="24"/>
          <w:lang w:val="en-US"/>
        </w:rPr>
        <w:t>external environment and more accountable towards minority shareholders and stakeholders</w:t>
      </w:r>
      <w:r w:rsidR="00046B8F" w:rsidRPr="00E85554">
        <w:rPr>
          <w:rFonts w:ascii="Times New Roman" w:hAnsi="Times New Roman" w:cs="Times New Roman"/>
          <w:sz w:val="24"/>
          <w:szCs w:val="24"/>
          <w:lang w:val="en-US"/>
        </w:rPr>
        <w:t xml:space="preserve">. </w:t>
      </w:r>
      <w:r w:rsidR="00DC734C" w:rsidRPr="00E85554">
        <w:rPr>
          <w:rFonts w:ascii="Times New Roman" w:hAnsi="Times New Roman" w:cs="Times New Roman"/>
          <w:sz w:val="24"/>
          <w:szCs w:val="24"/>
          <w:lang w:val="en-US"/>
        </w:rPr>
        <w:t xml:space="preserve">The multiplicity of independent directors’ roles </w:t>
      </w:r>
      <w:r w:rsidR="002A42BD" w:rsidRPr="00E85554">
        <w:rPr>
          <w:rFonts w:ascii="Times New Roman" w:hAnsi="Times New Roman" w:cs="Times New Roman"/>
          <w:sz w:val="24"/>
          <w:szCs w:val="24"/>
          <w:lang w:val="en-US"/>
        </w:rPr>
        <w:t xml:space="preserve">is </w:t>
      </w:r>
      <w:r w:rsidR="00DC734C" w:rsidRPr="00E85554">
        <w:rPr>
          <w:rFonts w:ascii="Times New Roman" w:hAnsi="Times New Roman" w:cs="Times New Roman"/>
          <w:sz w:val="24"/>
          <w:szCs w:val="24"/>
          <w:lang w:val="en-US"/>
        </w:rPr>
        <w:t>reflect</w:t>
      </w:r>
      <w:r w:rsidR="002A42BD" w:rsidRPr="00E85554">
        <w:rPr>
          <w:rFonts w:ascii="Times New Roman" w:hAnsi="Times New Roman" w:cs="Times New Roman"/>
          <w:sz w:val="24"/>
          <w:szCs w:val="24"/>
          <w:lang w:val="en-US"/>
        </w:rPr>
        <w:t>ed</w:t>
      </w:r>
      <w:r w:rsidR="00DC734C" w:rsidRPr="00E85554">
        <w:rPr>
          <w:rFonts w:ascii="Times New Roman" w:hAnsi="Times New Roman" w:cs="Times New Roman"/>
          <w:sz w:val="24"/>
          <w:szCs w:val="24"/>
          <w:lang w:val="en-US"/>
        </w:rPr>
        <w:t xml:space="preserve"> in </w:t>
      </w:r>
      <w:r w:rsidR="00DD436E" w:rsidRPr="00E85554">
        <w:rPr>
          <w:rFonts w:ascii="Times New Roman" w:hAnsi="Times New Roman" w:cs="Times New Roman"/>
          <w:sz w:val="24"/>
          <w:szCs w:val="24"/>
          <w:lang w:val="en-US"/>
        </w:rPr>
        <w:t xml:space="preserve">independent directors </w:t>
      </w:r>
      <w:r w:rsidR="00DC734C" w:rsidRPr="00E85554">
        <w:rPr>
          <w:rFonts w:ascii="Times New Roman" w:hAnsi="Times New Roman" w:cs="Times New Roman"/>
          <w:sz w:val="24"/>
          <w:szCs w:val="24"/>
          <w:lang w:val="en-US"/>
        </w:rPr>
        <w:t xml:space="preserve">being closely associated with the private blockholder, fulfilling an external role of capital provision which would benefit the blockholder to a larger extent, </w:t>
      </w:r>
      <w:r w:rsidR="00DD436E" w:rsidRPr="00E85554">
        <w:rPr>
          <w:rFonts w:ascii="Times New Roman" w:hAnsi="Times New Roman" w:cs="Times New Roman"/>
          <w:sz w:val="24"/>
          <w:szCs w:val="24"/>
          <w:lang w:val="en-US"/>
        </w:rPr>
        <w:t>while another role</w:t>
      </w:r>
      <w:r w:rsidR="003A2CD5" w:rsidRPr="00E85554">
        <w:rPr>
          <w:rFonts w:ascii="Times New Roman" w:hAnsi="Times New Roman" w:cs="Times New Roman"/>
          <w:sz w:val="24"/>
          <w:szCs w:val="24"/>
          <w:lang w:val="en-US"/>
        </w:rPr>
        <w:t xml:space="preserve"> is towards minority shareholders</w:t>
      </w:r>
      <w:r w:rsidR="00DD436E" w:rsidRPr="00E85554">
        <w:rPr>
          <w:rFonts w:ascii="Times New Roman" w:hAnsi="Times New Roman" w:cs="Times New Roman"/>
          <w:sz w:val="24"/>
          <w:szCs w:val="24"/>
          <w:lang w:val="en-US"/>
        </w:rPr>
        <w:t xml:space="preserve"> </w:t>
      </w:r>
      <w:r w:rsidR="003A2CD5" w:rsidRPr="00E85554">
        <w:rPr>
          <w:rFonts w:ascii="Times New Roman" w:hAnsi="Times New Roman" w:cs="Times New Roman"/>
          <w:sz w:val="24"/>
          <w:szCs w:val="24"/>
          <w:lang w:val="en-US"/>
        </w:rPr>
        <w:t xml:space="preserve">by bringing </w:t>
      </w:r>
      <w:r w:rsidR="00DC734C" w:rsidRPr="00E85554">
        <w:rPr>
          <w:rFonts w:ascii="Times New Roman" w:hAnsi="Times New Roman" w:cs="Times New Roman"/>
          <w:sz w:val="24"/>
          <w:szCs w:val="24"/>
          <w:lang w:val="en-US"/>
        </w:rPr>
        <w:t>increased transparency towards external environment</w:t>
      </w:r>
      <w:r w:rsidR="003A2CD5" w:rsidRPr="00E85554">
        <w:rPr>
          <w:rFonts w:ascii="Times New Roman" w:hAnsi="Times New Roman" w:cs="Times New Roman"/>
          <w:sz w:val="24"/>
          <w:szCs w:val="24"/>
          <w:lang w:val="en-US"/>
        </w:rPr>
        <w:t xml:space="preserve"> and</w:t>
      </w:r>
      <w:r w:rsidR="00001575" w:rsidRPr="00E85554">
        <w:rPr>
          <w:rFonts w:ascii="Times New Roman" w:hAnsi="Times New Roman" w:cs="Times New Roman"/>
          <w:sz w:val="24"/>
          <w:szCs w:val="24"/>
          <w:lang w:val="en-US"/>
        </w:rPr>
        <w:t xml:space="preserve"> by attempting to make</w:t>
      </w:r>
      <w:r w:rsidR="00DC734C" w:rsidRPr="00E85554">
        <w:rPr>
          <w:rFonts w:ascii="Times New Roman" w:hAnsi="Times New Roman" w:cs="Times New Roman"/>
          <w:sz w:val="24"/>
          <w:szCs w:val="24"/>
          <w:lang w:val="en-US"/>
        </w:rPr>
        <w:t xml:space="preserve"> blockholder </w:t>
      </w:r>
      <w:r w:rsidR="003A2CD5" w:rsidRPr="00E85554">
        <w:rPr>
          <w:rFonts w:ascii="Times New Roman" w:hAnsi="Times New Roman" w:cs="Times New Roman"/>
          <w:sz w:val="24"/>
          <w:szCs w:val="24"/>
          <w:lang w:val="en-US"/>
        </w:rPr>
        <w:t xml:space="preserve">stealing less </w:t>
      </w:r>
      <w:r w:rsidR="003A2CD5" w:rsidRPr="00E85554">
        <w:rPr>
          <w:rFonts w:ascii="Times New Roman" w:hAnsi="Times New Roman" w:cs="Times New Roman"/>
          <w:sz w:val="24"/>
          <w:szCs w:val="24"/>
          <w:lang w:val="en-US"/>
        </w:rPr>
        <w:lastRenderedPageBreak/>
        <w:t>straightforward</w:t>
      </w:r>
      <w:r w:rsidR="00DC734C" w:rsidRPr="00E85554">
        <w:rPr>
          <w:rFonts w:ascii="Times New Roman" w:hAnsi="Times New Roman" w:cs="Times New Roman"/>
          <w:sz w:val="24"/>
          <w:szCs w:val="24"/>
          <w:lang w:val="en-US"/>
        </w:rPr>
        <w:t>.</w:t>
      </w:r>
      <w:r w:rsidR="00DD436E" w:rsidRPr="00E85554">
        <w:rPr>
          <w:rFonts w:ascii="Times New Roman" w:hAnsi="Times New Roman" w:cs="Times New Roman"/>
          <w:sz w:val="24"/>
          <w:szCs w:val="24"/>
          <w:lang w:val="en-US"/>
        </w:rPr>
        <w:t xml:space="preserve"> </w:t>
      </w:r>
      <w:r w:rsidR="00046B8F" w:rsidRPr="00E85554">
        <w:rPr>
          <w:rFonts w:ascii="Times New Roman" w:hAnsi="Times New Roman" w:cs="Times New Roman"/>
          <w:sz w:val="24"/>
          <w:szCs w:val="24"/>
          <w:lang w:val="en-US"/>
        </w:rPr>
        <w:t xml:space="preserve">Taken together, the presence of independent directors in private domestic firms </w:t>
      </w:r>
      <w:r w:rsidRPr="00E85554">
        <w:rPr>
          <w:rFonts w:ascii="Times New Roman" w:hAnsi="Times New Roman" w:cs="Times New Roman"/>
          <w:sz w:val="24"/>
          <w:szCs w:val="24"/>
          <w:lang w:val="en-US"/>
        </w:rPr>
        <w:t xml:space="preserve">leads to lesser degree of blockholder misappropriation of resources. </w:t>
      </w:r>
      <w:r w:rsidR="00046B8F" w:rsidRPr="00E85554">
        <w:rPr>
          <w:rFonts w:ascii="Times New Roman" w:hAnsi="Times New Roman" w:cs="Times New Roman"/>
          <w:sz w:val="24"/>
          <w:szCs w:val="24"/>
          <w:lang w:val="en-US"/>
        </w:rPr>
        <w:t xml:space="preserve">Therefore, we propose, </w:t>
      </w:r>
    </w:p>
    <w:p w14:paraId="5F77B57D" w14:textId="77777777" w:rsidR="006F3C71" w:rsidRPr="00E85554" w:rsidRDefault="006F3C71" w:rsidP="001B7EFD">
      <w:pPr>
        <w:pStyle w:val="ListParagraph"/>
        <w:spacing w:after="0" w:line="480" w:lineRule="auto"/>
        <w:ind w:left="0"/>
        <w:rPr>
          <w:rFonts w:ascii="Times New Roman" w:hAnsi="Times New Roman" w:cs="Times New Roman"/>
          <w:i/>
          <w:sz w:val="24"/>
          <w:szCs w:val="24"/>
          <w:lang w:val="en-US"/>
        </w:rPr>
      </w:pPr>
      <w:r w:rsidRPr="00E85554">
        <w:rPr>
          <w:rFonts w:ascii="Times New Roman" w:hAnsi="Times New Roman" w:cs="Times New Roman"/>
          <w:i/>
          <w:sz w:val="24"/>
          <w:szCs w:val="24"/>
          <w:lang w:val="en-US"/>
        </w:rPr>
        <w:t xml:space="preserve">H1a. </w:t>
      </w:r>
      <w:r w:rsidR="00046B8F" w:rsidRPr="00E85554">
        <w:rPr>
          <w:rFonts w:ascii="Times New Roman" w:hAnsi="Times New Roman" w:cs="Times New Roman"/>
          <w:i/>
          <w:sz w:val="24"/>
          <w:szCs w:val="24"/>
          <w:lang w:val="en-US"/>
        </w:rPr>
        <w:t>In emerging market firms</w:t>
      </w:r>
      <w:r w:rsidRPr="00E85554">
        <w:rPr>
          <w:rFonts w:ascii="Times New Roman" w:hAnsi="Times New Roman" w:cs="Times New Roman"/>
          <w:i/>
          <w:sz w:val="24"/>
          <w:szCs w:val="24"/>
          <w:lang w:val="en-US"/>
        </w:rPr>
        <w:t xml:space="preserve"> controlled by domestic private blockholders, independent directors are likely to attenuate the degree of blockholder appropriation. </w:t>
      </w:r>
    </w:p>
    <w:p w14:paraId="0E7A52F5" w14:textId="392E751B" w:rsidR="006F3C71" w:rsidRPr="00E85554" w:rsidRDefault="006F3C71" w:rsidP="007B6641">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When it comes to SOEs, the roles of independent directors are harder to disentangle</w:t>
      </w:r>
      <w:r w:rsidR="00422697" w:rsidRPr="00E85554">
        <w:rPr>
          <w:rFonts w:ascii="Times New Roman" w:hAnsi="Times New Roman" w:cs="Times New Roman"/>
          <w:sz w:val="24"/>
          <w:szCs w:val="24"/>
          <w:lang w:val="en-US"/>
        </w:rPr>
        <w:t xml:space="preserve"> than for private firms</w:t>
      </w:r>
      <w:r w:rsidRPr="00E85554">
        <w:rPr>
          <w:rFonts w:ascii="Times New Roman" w:hAnsi="Times New Roman" w:cs="Times New Roman"/>
          <w:sz w:val="24"/>
          <w:szCs w:val="24"/>
          <w:lang w:val="en-US"/>
        </w:rPr>
        <w:t xml:space="preserve">. Traditionally, SOEs boards were mostly </w:t>
      </w:r>
      <w:r w:rsidR="00603BB5" w:rsidRPr="00E85554">
        <w:rPr>
          <w:rFonts w:ascii="Times New Roman" w:hAnsi="Times New Roman" w:cs="Times New Roman"/>
          <w:sz w:val="24"/>
          <w:szCs w:val="24"/>
          <w:lang w:val="en-US"/>
        </w:rPr>
        <w:t>filled with i</w:t>
      </w:r>
      <w:r w:rsidRPr="00E85554">
        <w:rPr>
          <w:rFonts w:ascii="Times New Roman" w:hAnsi="Times New Roman" w:cs="Times New Roman"/>
          <w:sz w:val="24"/>
          <w:szCs w:val="24"/>
          <w:lang w:val="en-US"/>
        </w:rPr>
        <w:t xml:space="preserve">nsiders, current or former governmental officials in charge with pursuing political or bureaucratic agenda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&lt;EndNote&gt;&lt;Cite&gt;&lt;Author&gt;Puffer&lt;/Author&gt;&lt;Year&gt;2007&lt;/Year&gt;&lt;RecNum&gt;720&lt;/RecNum&gt;&lt;DisplayText&gt;(Puffer et al., 2007)&lt;/DisplayText&gt;&lt;record&gt;&lt;rec-number&gt;720&lt;/rec-number&gt;&lt;foreign-keys&gt;&lt;key app="EN" db-id="xdsfzvadmzzxdzereeq5xdf7eaxsdwfdfave" timestamp="1493042949"&gt;720&lt;/key&gt;&lt;/foreign-keys&gt;&lt;ref-type name="Journal Article"&gt;17&lt;/ref-type&gt;&lt;contributors&gt;&lt;authors&gt;&lt;author&gt;Puffer, Sheila M&lt;/author&gt;&lt;author&gt;McCarthy, Daniel J&lt;/author&gt;&lt;/authors&gt;&lt;/contributors&gt;&lt;titles&gt;&lt;title&gt;Can Russia&amp;apos;s state-managed, network capitalism be competitive?: Institutional pull versus institutional push&lt;/title&gt;&lt;secondary-title&gt;Journal of World Business&lt;/secondary-title&gt;&lt;/titles&gt;&lt;periodical&gt;&lt;full-title&gt;Journal of World Business&lt;/full-title&gt;&lt;/periodical&gt;&lt;pages&gt;1-13&lt;/pages&gt;&lt;volume&gt;42&lt;/volume&gt;&lt;number&gt;1&lt;/number&gt;&lt;dates&gt;&lt;year&gt;2007&lt;/year&gt;&lt;/dates&gt;&lt;isbn&gt;1090-9516&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89" w:tooltip="Puffer, 2007 #720" w:history="1">
        <w:r w:rsidR="00266C78" w:rsidRPr="00E85554">
          <w:rPr>
            <w:rFonts w:ascii="Times New Roman" w:hAnsi="Times New Roman" w:cs="Times New Roman"/>
            <w:noProof/>
            <w:sz w:val="24"/>
            <w:szCs w:val="24"/>
            <w:lang w:val="en-US"/>
          </w:rPr>
          <w:t>Puffer et al., 2007</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However, SOEs progressively became more market and profit-oriented and this dynamic change led to a redefinition of board roles with more independent directors being appointed.  We argue that when an SOE decides to appoint independent directors to the board, the state and managers are seeking a more efficient internal capital allocation, resulting from better monitoring, advice or sanctioning from independent directors. The state as a shareholder might be looking to diminish the negative effects of soft budgeting. </w:t>
      </w:r>
      <w:r w:rsidR="00D03906" w:rsidRPr="00E85554">
        <w:rPr>
          <w:rFonts w:ascii="Times New Roman" w:hAnsi="Times New Roman" w:cs="Times New Roman"/>
          <w:sz w:val="24"/>
          <w:szCs w:val="24"/>
          <w:lang w:val="en-US"/>
        </w:rPr>
        <w:t xml:space="preserve"> However, the independent director, as an agent, will be conflicted to address the interests of the state as well as those of minority shareholders which might not always be aligned. </w:t>
      </w:r>
    </w:p>
    <w:p w14:paraId="05CD2C9E" w14:textId="4C8E7D91" w:rsidR="006F3C71" w:rsidRPr="00E85554" w:rsidRDefault="006F3C71" w:rsidP="001B7EFD">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Although the number of SOEs appointing independent directors has increased, SOEs are less enthusiastic </w:t>
      </w:r>
      <w:r w:rsidR="00422697" w:rsidRPr="00E85554">
        <w:rPr>
          <w:rFonts w:ascii="Times New Roman" w:hAnsi="Times New Roman" w:cs="Times New Roman"/>
          <w:sz w:val="24"/>
          <w:szCs w:val="24"/>
          <w:lang w:val="en-US"/>
        </w:rPr>
        <w:t>about</w:t>
      </w:r>
      <w:r w:rsidRPr="00E85554">
        <w:rPr>
          <w:rFonts w:ascii="Times New Roman" w:hAnsi="Times New Roman" w:cs="Times New Roman"/>
          <w:sz w:val="24"/>
          <w:szCs w:val="24"/>
          <w:lang w:val="en-US"/>
        </w:rPr>
        <w:t xml:space="preserve"> integrat</w:t>
      </w:r>
      <w:r w:rsidR="00422697" w:rsidRPr="00E85554">
        <w:rPr>
          <w:rFonts w:ascii="Times New Roman" w:hAnsi="Times New Roman" w:cs="Times New Roman"/>
          <w:sz w:val="24"/>
          <w:szCs w:val="24"/>
          <w:lang w:val="en-US"/>
        </w:rPr>
        <w:t>ing</w:t>
      </w:r>
      <w:r w:rsidRPr="00E85554">
        <w:rPr>
          <w:rFonts w:ascii="Times New Roman" w:hAnsi="Times New Roman" w:cs="Times New Roman"/>
          <w:sz w:val="24"/>
          <w:szCs w:val="24"/>
          <w:lang w:val="en-US"/>
        </w:rPr>
        <w:t xml:space="preserve"> </w:t>
      </w:r>
      <w:r w:rsidR="00D03906" w:rsidRPr="00E85554">
        <w:rPr>
          <w:rFonts w:ascii="Times New Roman" w:hAnsi="Times New Roman" w:cs="Times New Roman"/>
          <w:sz w:val="24"/>
          <w:szCs w:val="24"/>
          <w:lang w:val="en-US"/>
        </w:rPr>
        <w:t xml:space="preserve">Anglo-American </w:t>
      </w:r>
      <w:r w:rsidRPr="00E85554">
        <w:rPr>
          <w:rFonts w:ascii="Times New Roman" w:hAnsi="Times New Roman" w:cs="Times New Roman"/>
          <w:sz w:val="24"/>
          <w:szCs w:val="24"/>
          <w:lang w:val="en-US"/>
        </w:rPr>
        <w:t xml:space="preserve">governance practices of advanced market </w:t>
      </w:r>
      <w:r w:rsidR="00603BB5" w:rsidRPr="00E85554">
        <w:rPr>
          <w:rFonts w:ascii="Times New Roman" w:hAnsi="Times New Roman" w:cs="Times New Roman"/>
          <w:sz w:val="24"/>
          <w:szCs w:val="24"/>
          <w:lang w:val="en-US"/>
        </w:rPr>
        <w:t xml:space="preserve">economies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&lt;EndNote&gt;&lt;Cite&gt;&lt;Author&gt;RID&lt;/Author&gt;&lt;Year&gt;2014&lt;/Year&gt;&lt;RecNum&gt;647&lt;/RecNum&gt;&lt;DisplayText&gt;(RID, 2014)&lt;/DisplayText&gt;&lt;record&gt;&lt;rec-number&gt;647&lt;/rec-number&gt;&lt;foreign-keys&gt;&lt;key app="EN" db-id="xdsfzvadmzzxdzereeq5xdf7eaxsdwfdfave" timestamp="1477854637"&gt;647&lt;/key&gt;&lt;/foreign-keys&gt;&lt;ref-type name="Report"&gt;27&lt;/ref-type&gt;&lt;contributors&gt;&lt;authors&gt;&lt;author&gt;RID&lt;/author&gt;&lt;/authors&gt;&lt;/contributors&gt;&lt;titles&gt;&lt;title&gt;&lt;style face="normal" font="default" charset="204" size="100%"&gt;Исследование&lt;/style&gt;&lt;style face="normal" font="default" size="100%"&gt; &lt;/style&gt;&lt;style face="normal" font="default" charset="204" size="100%"&gt;практики корпоративного управления в&lt;/style&gt;&lt;style face="normal" font="default" size="100%"&gt; &lt;/style&gt;&lt;style face="normal" font="default" charset="204" size="100%"&gt;госкомпаниях&lt;/style&gt;&lt;style face="normal" font="default" size="100%"&gt;: &lt;/style&gt;&lt;style face="normal" font="default" charset="204" size="100%"&gt;сравнительный анализ по итогам 2008 &lt;/style&gt;&lt;style face="normal" font="default" size="100%"&gt;– 2013 &lt;/style&gt;&lt;style face="normal" font="default" charset="204" size="100%"&gt;гг.&lt;/style&gt;&lt;style face="normal" font="default" size="100%"&gt; (Corporate governance practices in state-owned companies: A comparative analysis during the 2008-2013 period)&lt;/style&gt;&lt;/title&gt;&lt;/titles&gt;&lt;dates&gt;&lt;year&gt;2014&lt;/year&gt;&lt;/dates&gt;&lt;pub-location&gt;Moscow&lt;/pub-location&gt;&lt;publisher&gt;Russian Institute of Directors&lt;/publisher&gt;&lt;urls&gt;&lt;/urls&gt;&lt;/record&gt;&lt;/Cite&gt;&lt;/EndNote&gt;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95" w:tooltip="RID, 2014 #647" w:history="1">
        <w:r w:rsidR="00266C78" w:rsidRPr="00E85554">
          <w:rPr>
            <w:rFonts w:ascii="Times New Roman" w:hAnsi="Times New Roman" w:cs="Times New Roman"/>
            <w:noProof/>
            <w:sz w:val="24"/>
            <w:szCs w:val="24"/>
            <w:lang w:val="en-US"/>
          </w:rPr>
          <w:t>RID, 2014</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w:t>
      </w:r>
      <w:r w:rsidR="00603BB5" w:rsidRPr="00E85554">
        <w:rPr>
          <w:rFonts w:ascii="Times New Roman" w:hAnsi="Times New Roman" w:cs="Times New Roman"/>
          <w:sz w:val="24"/>
          <w:szCs w:val="24"/>
          <w:lang w:val="en-US"/>
        </w:rPr>
        <w:t>In addition, while</w:t>
      </w:r>
      <w:r w:rsidRPr="00E85554">
        <w:rPr>
          <w:rFonts w:ascii="Times New Roman" w:hAnsi="Times New Roman" w:cs="Times New Roman"/>
          <w:sz w:val="24"/>
          <w:szCs w:val="24"/>
          <w:lang w:val="en-US"/>
        </w:rPr>
        <w:t xml:space="preserve"> some SOEs </w:t>
      </w:r>
      <w:r w:rsidR="00A4002E" w:rsidRPr="00E85554">
        <w:rPr>
          <w:rFonts w:ascii="Times New Roman" w:hAnsi="Times New Roman" w:cs="Times New Roman"/>
          <w:sz w:val="24"/>
          <w:szCs w:val="24"/>
          <w:lang w:val="en-US"/>
        </w:rPr>
        <w:t xml:space="preserve">get </w:t>
      </w:r>
      <w:r w:rsidRPr="00E85554">
        <w:rPr>
          <w:rFonts w:ascii="Times New Roman" w:hAnsi="Times New Roman" w:cs="Times New Roman"/>
          <w:sz w:val="24"/>
          <w:szCs w:val="24"/>
          <w:lang w:val="en-US"/>
        </w:rPr>
        <w:t>list</w:t>
      </w:r>
      <w:r w:rsidR="00A4002E" w:rsidRPr="00E85554">
        <w:rPr>
          <w:rFonts w:ascii="Times New Roman" w:hAnsi="Times New Roman" w:cs="Times New Roman"/>
          <w:sz w:val="24"/>
          <w:szCs w:val="24"/>
          <w:lang w:val="en-US"/>
        </w:rPr>
        <w:t>ed in foreign markets</w:t>
      </w:r>
      <w:r w:rsidRPr="00E85554">
        <w:rPr>
          <w:rFonts w:ascii="Times New Roman" w:hAnsi="Times New Roman" w:cs="Times New Roman"/>
          <w:sz w:val="24"/>
          <w:szCs w:val="24"/>
          <w:lang w:val="en-US"/>
        </w:rPr>
        <w:t xml:space="preserve">, it is unusual for them to appoint foreign independent directors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&lt;EndNote&gt;&lt;Cite&gt;&lt;Author&gt;Kriukova&lt;/Author&gt;&lt;Year&gt;2009&lt;/Year&gt;&lt;RecNum&gt;646&lt;/RecNum&gt;&lt;DisplayText&gt;(Kriukova, 2009)&lt;/DisplayText&gt;&lt;record&gt;&lt;rec-number&gt;646&lt;/rec-number&gt;&lt;foreign-keys&gt;&lt;key app="EN" db-id="xdsfzvadmzzxdzereeq5xdf7eaxsdwfdfave" timestamp="1477854072"&gt;646&lt;/key&gt;&lt;/foreign-keys&gt;&lt;ref-type name="Electronic Book Section"&gt;60&lt;/ref-type&gt;&lt;contributors&gt;&lt;authors&gt;&lt;author&gt;Kriukova, Natalya&lt;/author&gt;&lt;/authors&gt;&lt;secondary-authors&gt;&lt;author&gt;Landia, A&lt;/author&gt;&lt;author&gt;Filatov, Alexander&lt;/author&gt;&lt;/secondary-authors&gt;&lt;/contributors&gt;&lt;titles&gt;&lt;title&gt;Independent directors in Russian companies (in Russian)&lt;/title&gt;&lt;secondary-title&gt;Corporate governance in state and private companies in an era of change&lt;/secondary-title&gt;&lt;/titles&gt;&lt;pages&gt;181&lt;/pages&gt;&lt;dates&gt;&lt;year&gt;2009&lt;/year&gt;&lt;/dates&gt;&lt;pub-location&gt;Moscow&lt;/pub-location&gt;&lt;publisher&gt;Libright&lt;/publisher&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65" w:tooltip="Kriukova, 2009 #646" w:history="1">
        <w:r w:rsidR="00266C78" w:rsidRPr="00E85554">
          <w:rPr>
            <w:rFonts w:ascii="Times New Roman" w:hAnsi="Times New Roman" w:cs="Times New Roman"/>
            <w:noProof/>
            <w:sz w:val="24"/>
            <w:szCs w:val="24"/>
            <w:lang w:val="en-US"/>
          </w:rPr>
          <w:t>Kriukova, 2009</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00603BB5" w:rsidRPr="00E85554">
        <w:rPr>
          <w:rFonts w:ascii="Times New Roman" w:hAnsi="Times New Roman" w:cs="Times New Roman"/>
          <w:sz w:val="24"/>
          <w:szCs w:val="24"/>
          <w:lang w:val="en-US"/>
        </w:rPr>
        <w:t>. This also suggests</w:t>
      </w:r>
      <w:r w:rsidRPr="00E85554">
        <w:rPr>
          <w:rFonts w:ascii="Times New Roman" w:hAnsi="Times New Roman" w:cs="Times New Roman"/>
          <w:sz w:val="24"/>
          <w:szCs w:val="24"/>
          <w:lang w:val="en-US"/>
        </w:rPr>
        <w:t xml:space="preserve"> that the purpose of independent board members in SOEs might be fundamentally different from</w:t>
      </w:r>
      <w:r w:rsidR="00422697" w:rsidRPr="00E85554">
        <w:rPr>
          <w:rFonts w:ascii="Times New Roman" w:hAnsi="Times New Roman" w:cs="Times New Roman"/>
          <w:sz w:val="24"/>
          <w:szCs w:val="24"/>
          <w:lang w:val="en-US"/>
        </w:rPr>
        <w:t xml:space="preserve"> </w:t>
      </w:r>
      <w:r w:rsidR="009C3128" w:rsidRPr="00E85554">
        <w:rPr>
          <w:rFonts w:ascii="Times New Roman" w:hAnsi="Times New Roman" w:cs="Times New Roman"/>
          <w:sz w:val="24"/>
          <w:szCs w:val="24"/>
          <w:lang w:val="en-US"/>
        </w:rPr>
        <w:t>private</w:t>
      </w:r>
      <w:r w:rsidRPr="00E85554">
        <w:rPr>
          <w:rFonts w:ascii="Times New Roman" w:hAnsi="Times New Roman" w:cs="Times New Roman"/>
          <w:sz w:val="24"/>
          <w:szCs w:val="24"/>
          <w:lang w:val="en-US"/>
        </w:rPr>
        <w:t xml:space="preserve"> firm</w:t>
      </w:r>
      <w:r w:rsidR="00422697" w:rsidRPr="00E85554">
        <w:rPr>
          <w:rFonts w:ascii="Times New Roman" w:hAnsi="Times New Roman" w:cs="Times New Roman"/>
          <w:sz w:val="24"/>
          <w:szCs w:val="24"/>
          <w:lang w:val="en-US"/>
        </w:rPr>
        <w:t>s</w:t>
      </w:r>
      <w:r w:rsidRPr="00E85554">
        <w:rPr>
          <w:rFonts w:ascii="Times New Roman" w:hAnsi="Times New Roman" w:cs="Times New Roman"/>
          <w:sz w:val="24"/>
          <w:szCs w:val="24"/>
          <w:lang w:val="en-US"/>
        </w:rPr>
        <w:t xml:space="preserve">. </w:t>
      </w:r>
      <w:r w:rsidR="00A4002E" w:rsidRPr="00E85554">
        <w:rPr>
          <w:rFonts w:ascii="Times New Roman" w:hAnsi="Times New Roman" w:cs="Times New Roman"/>
          <w:sz w:val="24"/>
          <w:szCs w:val="24"/>
          <w:lang w:val="en-US"/>
        </w:rPr>
        <w:t xml:space="preserve">Thus, we argue that </w:t>
      </w:r>
      <w:r w:rsidRPr="00E85554">
        <w:rPr>
          <w:rFonts w:ascii="Times New Roman" w:hAnsi="Times New Roman" w:cs="Times New Roman"/>
          <w:sz w:val="24"/>
          <w:szCs w:val="24"/>
          <w:lang w:val="en-US"/>
        </w:rPr>
        <w:t xml:space="preserve">when SOEs appoint local independent directors, </w:t>
      </w:r>
      <w:r w:rsidR="00A4002E" w:rsidRPr="00E85554">
        <w:rPr>
          <w:rFonts w:ascii="Times New Roman" w:hAnsi="Times New Roman" w:cs="Times New Roman"/>
          <w:sz w:val="24"/>
          <w:szCs w:val="24"/>
          <w:lang w:val="en-US"/>
        </w:rPr>
        <w:t xml:space="preserve">it is not as symbolic as in private firms.  Independent directors’ </w:t>
      </w:r>
      <w:r w:rsidRPr="00E85554">
        <w:rPr>
          <w:rFonts w:ascii="Times New Roman" w:hAnsi="Times New Roman" w:cs="Times New Roman"/>
          <w:sz w:val="24"/>
          <w:szCs w:val="24"/>
          <w:lang w:val="en-US"/>
        </w:rPr>
        <w:t xml:space="preserve">roles are less related to resource provision but </w:t>
      </w:r>
      <w:r w:rsidR="00A4002E" w:rsidRPr="00E85554">
        <w:rPr>
          <w:rFonts w:ascii="Times New Roman" w:hAnsi="Times New Roman" w:cs="Times New Roman"/>
          <w:sz w:val="24"/>
          <w:szCs w:val="24"/>
          <w:lang w:val="en-US"/>
        </w:rPr>
        <w:t xml:space="preserve">to offering professional or industry expertise, as well as to increase </w:t>
      </w:r>
      <w:r w:rsidRPr="00E85554">
        <w:rPr>
          <w:rFonts w:ascii="Times New Roman" w:hAnsi="Times New Roman" w:cs="Times New Roman"/>
          <w:sz w:val="24"/>
          <w:szCs w:val="24"/>
          <w:lang w:val="en-US"/>
        </w:rPr>
        <w:t>monitoring of management and funds allocation</w:t>
      </w:r>
      <w:r w:rsidR="00A4002E" w:rsidRPr="00E85554">
        <w:rPr>
          <w:rFonts w:ascii="Times New Roman" w:hAnsi="Times New Roman" w:cs="Times New Roman"/>
          <w:sz w:val="24"/>
          <w:szCs w:val="24"/>
          <w:lang w:val="en-US"/>
        </w:rPr>
        <w:t>. Conversely, f</w:t>
      </w:r>
      <w:r w:rsidRPr="00E85554">
        <w:rPr>
          <w:rFonts w:ascii="Times New Roman" w:hAnsi="Times New Roman" w:cs="Times New Roman"/>
          <w:sz w:val="24"/>
          <w:szCs w:val="24"/>
          <w:lang w:val="en-US"/>
        </w:rPr>
        <w:t xml:space="preserve">oreign independent </w:t>
      </w:r>
      <w:r w:rsidRPr="00E85554">
        <w:rPr>
          <w:rFonts w:ascii="Times New Roman" w:hAnsi="Times New Roman" w:cs="Times New Roman"/>
          <w:sz w:val="24"/>
          <w:szCs w:val="24"/>
          <w:lang w:val="en-US"/>
        </w:rPr>
        <w:lastRenderedPageBreak/>
        <w:t>directors are more likely to be appointed to boards of private firms, where their main function is resource prov</w:t>
      </w:r>
      <w:r w:rsidR="00A4002E" w:rsidRPr="00E85554">
        <w:rPr>
          <w:rFonts w:ascii="Times New Roman" w:hAnsi="Times New Roman" w:cs="Times New Roman"/>
          <w:sz w:val="24"/>
          <w:szCs w:val="24"/>
          <w:lang w:val="en-US"/>
        </w:rPr>
        <w:t xml:space="preserve">ision, networking and enhance credibility towards </w:t>
      </w:r>
      <w:r w:rsidRPr="00E85554">
        <w:rPr>
          <w:rFonts w:ascii="Times New Roman" w:hAnsi="Times New Roman" w:cs="Times New Roman"/>
          <w:sz w:val="24"/>
          <w:szCs w:val="24"/>
          <w:lang w:val="en-US"/>
        </w:rPr>
        <w:t xml:space="preserve">foreign investors. </w:t>
      </w:r>
    </w:p>
    <w:p w14:paraId="2B3551F0" w14:textId="714FC5D0" w:rsidR="006F3C71" w:rsidRPr="00E85554" w:rsidRDefault="000B6588" w:rsidP="001B7EFD">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In Russia as in other EEM</w:t>
      </w:r>
      <w:r w:rsidR="00A4002E" w:rsidRPr="00E85554">
        <w:rPr>
          <w:rFonts w:ascii="Times New Roman" w:hAnsi="Times New Roman" w:cs="Times New Roman"/>
          <w:sz w:val="24"/>
          <w:szCs w:val="24"/>
          <w:lang w:val="en-US"/>
        </w:rPr>
        <w:t>M</w:t>
      </w:r>
      <w:r w:rsidR="006F3C71" w:rsidRPr="00E85554">
        <w:rPr>
          <w:rFonts w:ascii="Times New Roman" w:hAnsi="Times New Roman" w:cs="Times New Roman"/>
          <w:sz w:val="24"/>
          <w:szCs w:val="24"/>
          <w:lang w:val="en-US"/>
        </w:rPr>
        <w:t xml:space="preserve">, independent directors in SOEs are selected from the national register of independent directors and recommended to the board by the state </w:t>
      </w:r>
      <w:r w:rsidR="006F3C71" w:rsidRPr="00E85554">
        <w:rPr>
          <w:rFonts w:ascii="Times New Roman" w:hAnsi="Times New Roman" w:cs="Times New Roman"/>
          <w:sz w:val="24"/>
          <w:szCs w:val="24"/>
          <w:lang w:val="en-US"/>
        </w:rPr>
        <w:fldChar w:fldCharType="begin"/>
      </w:r>
      <w:r w:rsidR="006F3C71" w:rsidRPr="00E85554">
        <w:rPr>
          <w:rFonts w:ascii="Times New Roman" w:hAnsi="Times New Roman" w:cs="Times New Roman"/>
          <w:sz w:val="24"/>
          <w:szCs w:val="24"/>
          <w:lang w:val="en-US"/>
        </w:rPr>
        <w:instrText xml:space="preserve"> ADDIN EN.CITE &lt;EndNote&gt;&lt;Cite&gt;&lt;Author&gt;PwC&lt;/Author&gt;&lt;Year&gt;2013&lt;/Year&gt;&lt;RecNum&gt;648&lt;/RecNum&gt;&lt;DisplayText&gt;(PwC, 2013)&lt;/DisplayText&gt;&lt;record&gt;&lt;rec-number&gt;648&lt;/rec-number&gt;&lt;foreign-keys&gt;&lt;key app="EN" db-id="xdsfzvadmzzxdzereeq5xdf7eaxsdwfdfave" timestamp="1477855926"&gt;648&lt;/key&gt;&lt;/foreign-keys&gt;&lt;ref-type name="Report"&gt;27&lt;/ref-type&gt;&lt;contributors&gt;&lt;authors&gt;&lt;author&gt;PwC&lt;/author&gt;&lt;/authors&gt;&lt;/contributors&gt;&lt;titles&gt;&lt;title&gt;Russian boards: selection, nomination and election&lt;/title&gt;&lt;/titles&gt;&lt;dates&gt;&lt;year&gt;2013&lt;/year&gt;&lt;/dates&gt;&lt;pub-location&gt;Moscow&lt;/pub-location&gt;&lt;publisher&gt;PwC&lt;/publisher&gt;&lt;urls&gt;&lt;/urls&gt;&lt;/record&gt;&lt;/Cite&gt;&lt;/EndNote&gt;</w:instrText>
      </w:r>
      <w:r w:rsidR="006F3C71" w:rsidRPr="00E85554">
        <w:rPr>
          <w:rFonts w:ascii="Times New Roman" w:hAnsi="Times New Roman" w:cs="Times New Roman"/>
          <w:sz w:val="24"/>
          <w:szCs w:val="24"/>
          <w:lang w:val="en-US"/>
        </w:rPr>
        <w:fldChar w:fldCharType="separate"/>
      </w:r>
      <w:r w:rsidR="006F3C71" w:rsidRPr="00E85554">
        <w:rPr>
          <w:rFonts w:ascii="Times New Roman" w:hAnsi="Times New Roman" w:cs="Times New Roman"/>
          <w:noProof/>
          <w:sz w:val="24"/>
          <w:szCs w:val="24"/>
          <w:lang w:val="en-US"/>
        </w:rPr>
        <w:t>(</w:t>
      </w:r>
      <w:hyperlink w:anchor="_ENREF_91" w:tooltip="PwC, 2013 #648" w:history="1">
        <w:r w:rsidR="00266C78" w:rsidRPr="00E85554">
          <w:rPr>
            <w:rFonts w:ascii="Times New Roman" w:hAnsi="Times New Roman" w:cs="Times New Roman"/>
            <w:noProof/>
            <w:sz w:val="24"/>
            <w:szCs w:val="24"/>
            <w:lang w:val="en-US"/>
          </w:rPr>
          <w:t>PwC, 2013</w:t>
        </w:r>
      </w:hyperlink>
      <w:r w:rsidR="006F3C71" w:rsidRPr="00E85554">
        <w:rPr>
          <w:rFonts w:ascii="Times New Roman" w:hAnsi="Times New Roman" w:cs="Times New Roman"/>
          <w:noProof/>
          <w:sz w:val="24"/>
          <w:szCs w:val="24"/>
          <w:lang w:val="en-US"/>
        </w:rPr>
        <w:t>)</w:t>
      </w:r>
      <w:r w:rsidR="006F3C71" w:rsidRPr="00E85554">
        <w:rPr>
          <w:rFonts w:ascii="Times New Roman" w:hAnsi="Times New Roman" w:cs="Times New Roman"/>
          <w:sz w:val="24"/>
          <w:szCs w:val="24"/>
          <w:lang w:val="en-US"/>
        </w:rPr>
        <w:fldChar w:fldCharType="end"/>
      </w:r>
      <w:r w:rsidR="006F3C71" w:rsidRPr="00E85554">
        <w:rPr>
          <w:rFonts w:ascii="Times New Roman" w:hAnsi="Times New Roman" w:cs="Times New Roman"/>
          <w:sz w:val="24"/>
          <w:szCs w:val="24"/>
          <w:lang w:val="en-US"/>
        </w:rPr>
        <w:t xml:space="preserve">, rather than voted by </w:t>
      </w:r>
      <w:r w:rsidR="00A4002E" w:rsidRPr="00E85554">
        <w:rPr>
          <w:rFonts w:ascii="Times New Roman" w:hAnsi="Times New Roman" w:cs="Times New Roman"/>
          <w:sz w:val="24"/>
          <w:szCs w:val="24"/>
          <w:lang w:val="en-US"/>
        </w:rPr>
        <w:t xml:space="preserve">the </w:t>
      </w:r>
      <w:r w:rsidR="006F3C71" w:rsidRPr="00E85554">
        <w:rPr>
          <w:rFonts w:ascii="Times New Roman" w:hAnsi="Times New Roman" w:cs="Times New Roman"/>
          <w:sz w:val="24"/>
          <w:szCs w:val="24"/>
          <w:lang w:val="en-US"/>
        </w:rPr>
        <w:t>independent nomination</w:t>
      </w:r>
      <w:r w:rsidR="00A4002E" w:rsidRPr="00E85554">
        <w:rPr>
          <w:rFonts w:ascii="Times New Roman" w:hAnsi="Times New Roman" w:cs="Times New Roman"/>
          <w:sz w:val="24"/>
          <w:szCs w:val="24"/>
          <w:lang w:val="en-US"/>
        </w:rPr>
        <w:t>s</w:t>
      </w:r>
      <w:r w:rsidR="006F3C71" w:rsidRPr="00E85554">
        <w:rPr>
          <w:rFonts w:ascii="Times New Roman" w:hAnsi="Times New Roman" w:cs="Times New Roman"/>
          <w:sz w:val="24"/>
          <w:szCs w:val="24"/>
          <w:lang w:val="en-US"/>
        </w:rPr>
        <w:t xml:space="preserve"> committee. </w:t>
      </w:r>
      <w:r w:rsidR="006F3C71" w:rsidRPr="00E85554">
        <w:rPr>
          <w:rFonts w:ascii="Times New Roman" w:hAnsi="Times New Roman" w:cs="Times New Roman"/>
          <w:i/>
          <w:sz w:val="24"/>
          <w:szCs w:val="24"/>
          <w:lang w:val="en-US"/>
        </w:rPr>
        <w:t>De facto</w:t>
      </w:r>
      <w:r w:rsidR="006F3C71" w:rsidRPr="00E85554">
        <w:rPr>
          <w:rFonts w:ascii="Times New Roman" w:hAnsi="Times New Roman" w:cs="Times New Roman"/>
          <w:sz w:val="24"/>
          <w:szCs w:val="24"/>
          <w:lang w:val="en-US"/>
        </w:rPr>
        <w:t xml:space="preserve">, an independent director appointed to the board of an SOE is the one that the state recommends. Further, in SOEs, independent directors are obliged to follow government directives in voting on many </w:t>
      </w:r>
      <w:r w:rsidR="00A4002E" w:rsidRPr="00E85554">
        <w:rPr>
          <w:rFonts w:ascii="Times New Roman" w:hAnsi="Times New Roman" w:cs="Times New Roman"/>
          <w:sz w:val="24"/>
          <w:szCs w:val="24"/>
          <w:lang w:val="en-US"/>
        </w:rPr>
        <w:t xml:space="preserve">strategic </w:t>
      </w:r>
      <w:r w:rsidR="006F3C71" w:rsidRPr="00E85554">
        <w:rPr>
          <w:rFonts w:ascii="Times New Roman" w:hAnsi="Times New Roman" w:cs="Times New Roman"/>
          <w:sz w:val="24"/>
          <w:szCs w:val="24"/>
          <w:lang w:val="en-US"/>
        </w:rPr>
        <w:t xml:space="preserve">issues </w:t>
      </w:r>
      <w:r w:rsidR="006F3C71" w:rsidRPr="00E85554">
        <w:rPr>
          <w:rFonts w:ascii="Times New Roman" w:hAnsi="Times New Roman" w:cs="Times New Roman"/>
          <w:sz w:val="24"/>
          <w:szCs w:val="24"/>
          <w:lang w:val="en-US"/>
        </w:rPr>
        <w:fldChar w:fldCharType="begin"/>
      </w:r>
      <w:r w:rsidR="006F3C71" w:rsidRPr="00E85554">
        <w:rPr>
          <w:rFonts w:ascii="Times New Roman" w:hAnsi="Times New Roman" w:cs="Times New Roman"/>
          <w:sz w:val="24"/>
          <w:szCs w:val="24"/>
          <w:lang w:val="en-US"/>
        </w:rPr>
        <w:instrText xml:space="preserve"> ADDIN EN.CITE &lt;EndNote&gt;&lt;Cite&gt;&lt;Author&gt;Enikolopov&lt;/Author&gt;&lt;Year&gt;2013&lt;/Year&gt;&lt;RecNum&gt;489&lt;/RecNum&gt;&lt;DisplayText&gt;(Enikolopov et al., 2013)&lt;/DisplayText&gt;&lt;record&gt;&lt;rec-number&gt;489&lt;/rec-number&gt;&lt;foreign-keys&gt;&lt;key app="EN" db-id="xdsfzvadmzzxdzereeq5xdf7eaxsdwfdfave" timestamp="1461839561"&gt;489&lt;/key&gt;&lt;/foreign-keys&gt;&lt;ref-type name="Book Section"&gt;5&lt;/ref-type&gt;&lt;contributors&gt;&lt;authors&gt;&lt;author&gt;Enikolopov, Ruben&lt;/author&gt;&lt;author&gt;Stepanov, Sergey&lt;/author&gt;&lt;/authors&gt;&lt;secondary-authors&gt;&lt;author&gt;Alexeev, Michael&lt;/author&gt;&lt;author&gt;Weber, Shlomo&lt;/author&gt;&lt;/secondary-authors&gt;&lt;/contributors&gt;&lt;titles&gt;&lt;title&gt;Corporate governance in Russia&lt;/title&gt;&lt;secondary-title&gt;The Oxford handbook of the Russian economy&lt;/secondary-title&gt;&lt;/titles&gt;&lt;pages&gt;221-245&lt;/pages&gt;&lt;dates&gt;&lt;year&gt;2013&lt;/year&gt;&lt;/dates&gt;&lt;pub-location&gt;Oxford&lt;/pub-location&gt;&lt;publisher&gt;Oxford University Press&lt;/publisher&gt;&lt;urls&gt;&lt;/urls&gt;&lt;/record&gt;&lt;/Cite&gt;&lt;/EndNote&gt;</w:instrText>
      </w:r>
      <w:r w:rsidR="006F3C71" w:rsidRPr="00E85554">
        <w:rPr>
          <w:rFonts w:ascii="Times New Roman" w:hAnsi="Times New Roman" w:cs="Times New Roman"/>
          <w:sz w:val="24"/>
          <w:szCs w:val="24"/>
          <w:lang w:val="en-US"/>
        </w:rPr>
        <w:fldChar w:fldCharType="separate"/>
      </w:r>
      <w:r w:rsidR="006F3C71" w:rsidRPr="00E85554">
        <w:rPr>
          <w:rFonts w:ascii="Times New Roman" w:hAnsi="Times New Roman" w:cs="Times New Roman"/>
          <w:noProof/>
          <w:sz w:val="24"/>
          <w:szCs w:val="24"/>
          <w:lang w:val="en-US"/>
        </w:rPr>
        <w:t>(</w:t>
      </w:r>
      <w:hyperlink w:anchor="_ENREF_45" w:tooltip="Enikolopov, 2013 #489" w:history="1">
        <w:r w:rsidR="00266C78" w:rsidRPr="00E85554">
          <w:rPr>
            <w:rFonts w:ascii="Times New Roman" w:hAnsi="Times New Roman" w:cs="Times New Roman"/>
            <w:noProof/>
            <w:sz w:val="24"/>
            <w:szCs w:val="24"/>
            <w:lang w:val="en-US"/>
          </w:rPr>
          <w:t>Enikolopov et al., 2013</w:t>
        </w:r>
      </w:hyperlink>
      <w:r w:rsidR="006F3C71" w:rsidRPr="00E85554">
        <w:rPr>
          <w:rFonts w:ascii="Times New Roman" w:hAnsi="Times New Roman" w:cs="Times New Roman"/>
          <w:noProof/>
          <w:sz w:val="24"/>
          <w:szCs w:val="24"/>
          <w:lang w:val="en-US"/>
        </w:rPr>
        <w:t>)</w:t>
      </w:r>
      <w:r w:rsidR="006F3C71" w:rsidRPr="00E85554">
        <w:rPr>
          <w:rFonts w:ascii="Times New Roman" w:hAnsi="Times New Roman" w:cs="Times New Roman"/>
          <w:sz w:val="24"/>
          <w:szCs w:val="24"/>
          <w:lang w:val="en-US"/>
        </w:rPr>
        <w:fldChar w:fldCharType="end"/>
      </w:r>
      <w:r w:rsidR="006F3C71" w:rsidRPr="00E85554">
        <w:rPr>
          <w:rFonts w:ascii="Times New Roman" w:hAnsi="Times New Roman" w:cs="Times New Roman"/>
          <w:sz w:val="24"/>
          <w:szCs w:val="24"/>
          <w:lang w:val="en-US"/>
        </w:rPr>
        <w:t xml:space="preserve">. </w:t>
      </w:r>
      <w:r w:rsidR="0084747D" w:rsidRPr="00E85554">
        <w:rPr>
          <w:rFonts w:ascii="Times New Roman" w:hAnsi="Times New Roman" w:cs="Times New Roman"/>
          <w:sz w:val="24"/>
          <w:szCs w:val="24"/>
          <w:lang w:val="en-US"/>
        </w:rPr>
        <w:t>In fact, m</w:t>
      </w:r>
      <w:r w:rsidR="006F3C71" w:rsidRPr="00E85554">
        <w:rPr>
          <w:rFonts w:ascii="Times New Roman" w:hAnsi="Times New Roman" w:cs="Times New Roman"/>
          <w:sz w:val="24"/>
          <w:szCs w:val="24"/>
          <w:lang w:val="en-US"/>
        </w:rPr>
        <w:t xml:space="preserve">any </w:t>
      </w:r>
      <w:r w:rsidR="0084747D" w:rsidRPr="00E85554">
        <w:rPr>
          <w:rFonts w:ascii="Times New Roman" w:hAnsi="Times New Roman" w:cs="Times New Roman"/>
          <w:sz w:val="24"/>
          <w:szCs w:val="24"/>
          <w:lang w:val="en-US"/>
        </w:rPr>
        <w:t>SOE independent directors envisage this</w:t>
      </w:r>
      <w:r w:rsidR="006F3C71" w:rsidRPr="00E85554">
        <w:rPr>
          <w:rFonts w:ascii="Times New Roman" w:hAnsi="Times New Roman" w:cs="Times New Roman"/>
          <w:sz w:val="24"/>
          <w:szCs w:val="24"/>
          <w:lang w:val="en-US"/>
        </w:rPr>
        <w:t xml:space="preserve"> board position a possible entry into a career in politics or at least as a way of establishing personal political ties with high state officials </w:t>
      </w:r>
      <w:r w:rsidR="006F3C71" w:rsidRPr="00E85554">
        <w:rPr>
          <w:rFonts w:ascii="Times New Roman" w:hAnsi="Times New Roman" w:cs="Times New Roman"/>
          <w:sz w:val="24"/>
          <w:szCs w:val="24"/>
          <w:lang w:val="en-US"/>
        </w:rPr>
        <w:fldChar w:fldCharType="begin"/>
      </w:r>
      <w:r w:rsidR="006F3C71" w:rsidRPr="00E85554">
        <w:rPr>
          <w:rFonts w:ascii="Times New Roman" w:hAnsi="Times New Roman" w:cs="Times New Roman"/>
          <w:sz w:val="24"/>
          <w:szCs w:val="24"/>
          <w:lang w:val="en-US"/>
        </w:rPr>
        <w:instrText xml:space="preserve"> ADDIN EN.CITE &lt;EndNote&gt;&lt;Cite&gt;&lt;Author&gt;Nehaytchuk&lt;/Author&gt;&lt;Year&gt;2015&lt;/Year&gt;&lt;RecNum&gt;679&lt;/RecNum&gt;&lt;DisplayText&gt;(Nehaytchuk et al., 2015)&lt;/DisplayText&gt;&lt;record&gt;&lt;rec-number&gt;679&lt;/rec-number&gt;&lt;foreign-keys&gt;&lt;key app="EN" db-id="xdsfzvadmzzxdzereeq5xdf7eaxsdwfdfave" timestamp="1477960054"&gt;679&lt;/key&gt;&lt;/foreign-keys&gt;&lt;ref-type name="Newspaper Article"&gt;23&lt;/ref-type&gt;&lt;contributors&gt;&lt;authors&gt;&lt;author&gt;Nehaytchuk, Y&lt;/author&gt;&lt;author&gt;Papchenkova, M&lt;/author&gt;&lt;/authors&gt;&lt;/contributors&gt;&lt;titles&gt;&lt;title&gt;&lt;style face="normal" font="default" charset="204" size="100%"&gt;Независимые директора попросились в госкомпании &lt;/style&gt;&lt;style face="normal" font="default" size="100%"&gt;(Independent directors want to join state owned companies)&lt;/style&gt;&lt;/title&gt;&lt;secondary-title&gt;Vedomosti&lt;/secondary-title&gt;&lt;/titles&gt;&lt;dates&gt;&lt;year&gt;2015&lt;/year&gt;&lt;pub-dates&gt;&lt;date&gt;27 September&lt;/date&gt;&lt;/pub-dates&gt;&lt;/dates&gt;&lt;pub-location&gt;Moscow&lt;/pub-location&gt;&lt;urls&gt;&lt;/urls&gt;&lt;/record&gt;&lt;/Cite&gt;&lt;/EndNote&gt;</w:instrText>
      </w:r>
      <w:r w:rsidR="006F3C71" w:rsidRPr="00E85554">
        <w:rPr>
          <w:rFonts w:ascii="Times New Roman" w:hAnsi="Times New Roman" w:cs="Times New Roman"/>
          <w:sz w:val="24"/>
          <w:szCs w:val="24"/>
          <w:lang w:val="en-US"/>
        </w:rPr>
        <w:fldChar w:fldCharType="separate"/>
      </w:r>
      <w:r w:rsidR="006F3C71" w:rsidRPr="00E85554">
        <w:rPr>
          <w:rFonts w:ascii="Times New Roman" w:hAnsi="Times New Roman" w:cs="Times New Roman"/>
          <w:noProof/>
          <w:sz w:val="24"/>
          <w:szCs w:val="24"/>
          <w:lang w:val="en-US"/>
        </w:rPr>
        <w:t>(</w:t>
      </w:r>
      <w:hyperlink w:anchor="_ENREF_79" w:tooltip="Nehaytchuk, 2015 #679" w:history="1">
        <w:r w:rsidR="00266C78" w:rsidRPr="00E85554">
          <w:rPr>
            <w:rFonts w:ascii="Times New Roman" w:hAnsi="Times New Roman" w:cs="Times New Roman"/>
            <w:noProof/>
            <w:sz w:val="24"/>
            <w:szCs w:val="24"/>
            <w:lang w:val="en-US"/>
          </w:rPr>
          <w:t>Nehaytchuk et al., 2015</w:t>
        </w:r>
      </w:hyperlink>
      <w:r w:rsidR="006F3C71" w:rsidRPr="00E85554">
        <w:rPr>
          <w:rFonts w:ascii="Times New Roman" w:hAnsi="Times New Roman" w:cs="Times New Roman"/>
          <w:noProof/>
          <w:sz w:val="24"/>
          <w:szCs w:val="24"/>
          <w:lang w:val="en-US"/>
        </w:rPr>
        <w:t>)</w:t>
      </w:r>
      <w:r w:rsidR="006F3C71" w:rsidRPr="00E85554">
        <w:rPr>
          <w:rFonts w:ascii="Times New Roman" w:hAnsi="Times New Roman" w:cs="Times New Roman"/>
          <w:sz w:val="24"/>
          <w:szCs w:val="24"/>
          <w:lang w:val="en-US"/>
        </w:rPr>
        <w:fldChar w:fldCharType="end"/>
      </w:r>
      <w:r w:rsidR="006F3C71" w:rsidRPr="00E85554">
        <w:rPr>
          <w:rFonts w:ascii="Times New Roman" w:hAnsi="Times New Roman" w:cs="Times New Roman"/>
          <w:sz w:val="24"/>
          <w:szCs w:val="24"/>
          <w:lang w:val="en-US"/>
        </w:rPr>
        <w:t xml:space="preserve">. </w:t>
      </w:r>
      <w:r w:rsidR="0084747D" w:rsidRPr="00E85554">
        <w:rPr>
          <w:rFonts w:ascii="Times New Roman" w:hAnsi="Times New Roman" w:cs="Times New Roman"/>
          <w:sz w:val="24"/>
          <w:szCs w:val="24"/>
          <w:lang w:val="en-US"/>
        </w:rPr>
        <w:t xml:space="preserve">Given this political goal to </w:t>
      </w:r>
      <w:r w:rsidR="006F3C71" w:rsidRPr="00E85554">
        <w:rPr>
          <w:rFonts w:ascii="Times New Roman" w:hAnsi="Times New Roman" w:cs="Times New Roman"/>
          <w:sz w:val="24"/>
          <w:szCs w:val="24"/>
          <w:lang w:val="en-US"/>
        </w:rPr>
        <w:t xml:space="preserve">progress </w:t>
      </w:r>
      <w:r w:rsidR="0084747D" w:rsidRPr="00E85554">
        <w:rPr>
          <w:rFonts w:ascii="Times New Roman" w:hAnsi="Times New Roman" w:cs="Times New Roman"/>
          <w:sz w:val="24"/>
          <w:szCs w:val="24"/>
          <w:lang w:val="en-US"/>
        </w:rPr>
        <w:t>in the state career ladder, these directors</w:t>
      </w:r>
      <w:r w:rsidR="006F3C71" w:rsidRPr="00E85554">
        <w:rPr>
          <w:rFonts w:ascii="Times New Roman" w:hAnsi="Times New Roman" w:cs="Times New Roman"/>
          <w:sz w:val="24"/>
          <w:szCs w:val="24"/>
          <w:lang w:val="en-US"/>
        </w:rPr>
        <w:t xml:space="preserve"> might become more recognized</w:t>
      </w:r>
      <w:r w:rsidR="0084747D" w:rsidRPr="00E85554">
        <w:rPr>
          <w:rFonts w:ascii="Times New Roman" w:hAnsi="Times New Roman" w:cs="Times New Roman"/>
          <w:sz w:val="24"/>
          <w:szCs w:val="24"/>
          <w:lang w:val="en-US"/>
        </w:rPr>
        <w:t xml:space="preserve"> for producing efficient</w:t>
      </w:r>
      <w:r w:rsidR="006F3C71" w:rsidRPr="00E85554">
        <w:rPr>
          <w:rFonts w:ascii="Times New Roman" w:hAnsi="Times New Roman" w:cs="Times New Roman"/>
          <w:sz w:val="24"/>
          <w:szCs w:val="24"/>
          <w:lang w:val="en-US"/>
        </w:rPr>
        <w:t xml:space="preserve"> </w:t>
      </w:r>
      <w:r w:rsidR="0084747D" w:rsidRPr="00E85554">
        <w:rPr>
          <w:rFonts w:ascii="Times New Roman" w:hAnsi="Times New Roman" w:cs="Times New Roman"/>
          <w:sz w:val="24"/>
          <w:szCs w:val="24"/>
          <w:lang w:val="en-US"/>
        </w:rPr>
        <w:t xml:space="preserve">financial </w:t>
      </w:r>
      <w:r w:rsidR="006F3C71" w:rsidRPr="00E85554">
        <w:rPr>
          <w:rFonts w:ascii="Times New Roman" w:hAnsi="Times New Roman" w:cs="Times New Roman"/>
          <w:sz w:val="24"/>
          <w:szCs w:val="24"/>
          <w:lang w:val="en-US"/>
        </w:rPr>
        <w:t xml:space="preserve">results during their term </w:t>
      </w:r>
      <w:r w:rsidR="0084747D" w:rsidRPr="00E85554">
        <w:rPr>
          <w:rFonts w:ascii="Times New Roman" w:hAnsi="Times New Roman" w:cs="Times New Roman"/>
          <w:sz w:val="24"/>
          <w:szCs w:val="24"/>
          <w:lang w:val="en-US"/>
        </w:rPr>
        <w:t>relative to the incentives of i</w:t>
      </w:r>
      <w:r w:rsidR="006F3C71" w:rsidRPr="00E85554">
        <w:rPr>
          <w:rFonts w:ascii="Times New Roman" w:hAnsi="Times New Roman" w:cs="Times New Roman"/>
          <w:sz w:val="24"/>
          <w:szCs w:val="24"/>
          <w:lang w:val="en-US"/>
        </w:rPr>
        <w:t xml:space="preserve">nside directors. </w:t>
      </w:r>
      <w:r w:rsidR="0084747D" w:rsidRPr="00E85554">
        <w:rPr>
          <w:rFonts w:ascii="Times New Roman" w:hAnsi="Times New Roman" w:cs="Times New Roman"/>
          <w:sz w:val="24"/>
          <w:szCs w:val="24"/>
          <w:lang w:val="en-US"/>
        </w:rPr>
        <w:t>In other words, t</w:t>
      </w:r>
      <w:r w:rsidR="006F3C71" w:rsidRPr="00E85554">
        <w:rPr>
          <w:rFonts w:ascii="Times New Roman" w:hAnsi="Times New Roman" w:cs="Times New Roman"/>
          <w:sz w:val="24"/>
          <w:szCs w:val="24"/>
          <w:lang w:val="en-US"/>
        </w:rPr>
        <w:t xml:space="preserve">hey are viewed favorably by the government if contributing to </w:t>
      </w:r>
      <w:r w:rsidR="0084747D" w:rsidRPr="00E85554">
        <w:rPr>
          <w:rFonts w:ascii="Times New Roman" w:hAnsi="Times New Roman" w:cs="Times New Roman"/>
          <w:sz w:val="24"/>
          <w:szCs w:val="24"/>
          <w:lang w:val="en-US"/>
        </w:rPr>
        <w:t xml:space="preserve">firm </w:t>
      </w:r>
      <w:r w:rsidR="006F3C71" w:rsidRPr="00E85554">
        <w:rPr>
          <w:rFonts w:ascii="Times New Roman" w:hAnsi="Times New Roman" w:cs="Times New Roman"/>
          <w:sz w:val="24"/>
          <w:szCs w:val="24"/>
          <w:lang w:val="en-US"/>
        </w:rPr>
        <w:t>efficiency</w:t>
      </w:r>
      <w:r w:rsidR="0084747D" w:rsidRPr="00E85554">
        <w:rPr>
          <w:rFonts w:ascii="Times New Roman" w:hAnsi="Times New Roman" w:cs="Times New Roman"/>
          <w:sz w:val="24"/>
          <w:szCs w:val="24"/>
          <w:lang w:val="en-US"/>
        </w:rPr>
        <w:t xml:space="preserve"> such as by </w:t>
      </w:r>
      <w:r w:rsidR="006F3C71" w:rsidRPr="00E85554">
        <w:rPr>
          <w:rFonts w:ascii="Times New Roman" w:hAnsi="Times New Roman" w:cs="Times New Roman"/>
          <w:sz w:val="24"/>
          <w:szCs w:val="24"/>
          <w:lang w:val="en-US"/>
        </w:rPr>
        <w:t>reducing state funds mismanagement. They might also be more efficient as civil servants in doing so relative to their counterparts in private firms who are subordinated to private blockholder</w:t>
      </w:r>
      <w:r w:rsidR="0084747D" w:rsidRPr="00E85554">
        <w:rPr>
          <w:rFonts w:ascii="Times New Roman" w:hAnsi="Times New Roman" w:cs="Times New Roman"/>
          <w:sz w:val="24"/>
          <w:szCs w:val="24"/>
          <w:lang w:val="en-US"/>
        </w:rPr>
        <w:t>s’</w:t>
      </w:r>
      <w:r w:rsidR="006F3C71" w:rsidRPr="00E85554">
        <w:rPr>
          <w:rFonts w:ascii="Times New Roman" w:hAnsi="Times New Roman" w:cs="Times New Roman"/>
          <w:sz w:val="24"/>
          <w:szCs w:val="24"/>
          <w:lang w:val="en-US"/>
        </w:rPr>
        <w:t xml:space="preserve"> will. Thus, board independence attenuates the effects of blockholder misappropriation when firms are controlled by the state. </w:t>
      </w:r>
    </w:p>
    <w:p w14:paraId="379521EE" w14:textId="77777777" w:rsidR="006F3C71" w:rsidRPr="00E85554" w:rsidRDefault="006F3C71" w:rsidP="001B7EFD">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In </w:t>
      </w:r>
      <w:r w:rsidR="00422697" w:rsidRPr="00E85554">
        <w:rPr>
          <w:rFonts w:ascii="Times New Roman" w:hAnsi="Times New Roman" w:cs="Times New Roman"/>
          <w:sz w:val="24"/>
          <w:szCs w:val="24"/>
          <w:lang w:val="en-US"/>
        </w:rPr>
        <w:t>sum</w:t>
      </w:r>
      <w:r w:rsidRPr="00E85554">
        <w:rPr>
          <w:rFonts w:ascii="Times New Roman" w:hAnsi="Times New Roman" w:cs="Times New Roman"/>
          <w:sz w:val="24"/>
          <w:szCs w:val="24"/>
          <w:lang w:val="en-US"/>
        </w:rPr>
        <w:t xml:space="preserve">, in SOEs, independent directors are more professionalized and seem to contribute more to overall </w:t>
      </w:r>
      <w:r w:rsidR="0084747D" w:rsidRPr="00E85554">
        <w:rPr>
          <w:rFonts w:ascii="Times New Roman" w:hAnsi="Times New Roman" w:cs="Times New Roman"/>
          <w:sz w:val="24"/>
          <w:szCs w:val="24"/>
          <w:lang w:val="en-US"/>
        </w:rPr>
        <w:t xml:space="preserve">firm </w:t>
      </w:r>
      <w:r w:rsidRPr="00E85554">
        <w:rPr>
          <w:rFonts w:ascii="Times New Roman" w:hAnsi="Times New Roman" w:cs="Times New Roman"/>
          <w:sz w:val="24"/>
          <w:szCs w:val="24"/>
          <w:lang w:val="en-US"/>
        </w:rPr>
        <w:t xml:space="preserve">efficiency, while in private firms </w:t>
      </w:r>
      <w:r w:rsidR="0084747D" w:rsidRPr="00E85554">
        <w:rPr>
          <w:rFonts w:ascii="Times New Roman" w:hAnsi="Times New Roman" w:cs="Times New Roman"/>
          <w:sz w:val="24"/>
          <w:szCs w:val="24"/>
          <w:lang w:val="en-US"/>
        </w:rPr>
        <w:t xml:space="preserve">with </w:t>
      </w:r>
      <w:r w:rsidRPr="00E85554">
        <w:rPr>
          <w:rFonts w:ascii="Times New Roman" w:hAnsi="Times New Roman" w:cs="Times New Roman"/>
          <w:sz w:val="24"/>
          <w:szCs w:val="24"/>
          <w:lang w:val="en-US"/>
        </w:rPr>
        <w:t>blockholders</w:t>
      </w:r>
      <w:r w:rsidR="0084747D" w:rsidRPr="00E85554">
        <w:rPr>
          <w:rFonts w:ascii="Times New Roman" w:hAnsi="Times New Roman" w:cs="Times New Roman"/>
          <w:sz w:val="24"/>
          <w:szCs w:val="24"/>
          <w:lang w:val="en-US"/>
        </w:rPr>
        <w:t xml:space="preserve"> seeking</w:t>
      </w:r>
      <w:r w:rsidRPr="00E85554">
        <w:rPr>
          <w:rFonts w:ascii="Times New Roman" w:hAnsi="Times New Roman" w:cs="Times New Roman"/>
          <w:sz w:val="24"/>
          <w:szCs w:val="24"/>
          <w:lang w:val="en-US"/>
        </w:rPr>
        <w:t xml:space="preserve"> to </w:t>
      </w:r>
      <w:r w:rsidR="0084747D" w:rsidRPr="00E85554">
        <w:rPr>
          <w:rFonts w:ascii="Times New Roman" w:hAnsi="Times New Roman" w:cs="Times New Roman"/>
          <w:sz w:val="24"/>
          <w:szCs w:val="24"/>
          <w:lang w:val="en-US"/>
        </w:rPr>
        <w:t xml:space="preserve">capture </w:t>
      </w:r>
      <w:r w:rsidRPr="00E85554">
        <w:rPr>
          <w:rFonts w:ascii="Times New Roman" w:hAnsi="Times New Roman" w:cs="Times New Roman"/>
          <w:sz w:val="24"/>
          <w:szCs w:val="24"/>
          <w:lang w:val="en-US"/>
        </w:rPr>
        <w:t xml:space="preserve">rents, independent directors have less </w:t>
      </w:r>
      <w:r w:rsidR="0084747D" w:rsidRPr="00E85554">
        <w:rPr>
          <w:rFonts w:ascii="Times New Roman" w:hAnsi="Times New Roman" w:cs="Times New Roman"/>
          <w:sz w:val="24"/>
          <w:szCs w:val="24"/>
          <w:lang w:val="en-US"/>
        </w:rPr>
        <w:t xml:space="preserve">control </w:t>
      </w:r>
      <w:r w:rsidRPr="00E85554">
        <w:rPr>
          <w:rFonts w:ascii="Times New Roman" w:hAnsi="Times New Roman" w:cs="Times New Roman"/>
          <w:sz w:val="24"/>
          <w:szCs w:val="24"/>
          <w:lang w:val="en-US"/>
        </w:rPr>
        <w:t>over blockholder appropriation, as they are appointed primarily for service provision rather than monitoring</w:t>
      </w:r>
      <w:r w:rsidR="0084747D" w:rsidRPr="00E85554">
        <w:rPr>
          <w:rFonts w:ascii="Times New Roman" w:hAnsi="Times New Roman" w:cs="Times New Roman"/>
          <w:sz w:val="24"/>
          <w:szCs w:val="24"/>
          <w:lang w:val="en-US"/>
        </w:rPr>
        <w:t>. Hence, we propose,</w:t>
      </w:r>
    </w:p>
    <w:p w14:paraId="6F4374B6" w14:textId="77777777" w:rsidR="006F3C71" w:rsidRPr="00E85554" w:rsidRDefault="006F3C71" w:rsidP="001B7EFD">
      <w:pPr>
        <w:pStyle w:val="ListParagraph"/>
        <w:spacing w:after="0" w:line="480" w:lineRule="auto"/>
        <w:ind w:left="0"/>
        <w:rPr>
          <w:rFonts w:ascii="Times New Roman" w:hAnsi="Times New Roman" w:cs="Times New Roman"/>
          <w:i/>
          <w:sz w:val="24"/>
          <w:szCs w:val="24"/>
          <w:lang w:val="en-US"/>
        </w:rPr>
      </w:pPr>
      <w:r w:rsidRPr="00E85554">
        <w:rPr>
          <w:rFonts w:ascii="Times New Roman" w:hAnsi="Times New Roman" w:cs="Times New Roman"/>
          <w:i/>
          <w:sz w:val="24"/>
          <w:szCs w:val="24"/>
          <w:lang w:val="en-US"/>
        </w:rPr>
        <w:t xml:space="preserve">H1b. In emerging market </w:t>
      </w:r>
      <w:r w:rsidR="000A1893">
        <w:rPr>
          <w:rFonts w:ascii="Times New Roman" w:hAnsi="Times New Roman" w:cs="Times New Roman"/>
          <w:i/>
          <w:sz w:val="24"/>
          <w:szCs w:val="24"/>
          <w:lang w:val="en-US"/>
        </w:rPr>
        <w:t xml:space="preserve">firms </w:t>
      </w:r>
      <w:r w:rsidRPr="00E85554">
        <w:rPr>
          <w:rFonts w:ascii="Times New Roman" w:hAnsi="Times New Roman" w:cs="Times New Roman"/>
          <w:i/>
          <w:sz w:val="24"/>
          <w:szCs w:val="24"/>
          <w:lang w:val="en-US"/>
        </w:rPr>
        <w:t xml:space="preserve">controlled by domestic private blockholders, independent directors attenuate less the degree of blockholder appropriation than independent directors in SOEs. </w:t>
      </w:r>
    </w:p>
    <w:p w14:paraId="09E14E60" w14:textId="77777777" w:rsidR="00A255C7" w:rsidRDefault="00A255C7" w:rsidP="009301F1">
      <w:pPr>
        <w:pStyle w:val="ListParagraph"/>
        <w:spacing w:line="480" w:lineRule="auto"/>
        <w:ind w:left="0"/>
        <w:rPr>
          <w:rFonts w:ascii="Times New Roman" w:hAnsi="Times New Roman" w:cs="Times New Roman"/>
          <w:b/>
          <w:sz w:val="24"/>
          <w:szCs w:val="24"/>
          <w:lang w:val="en-US"/>
        </w:rPr>
      </w:pPr>
    </w:p>
    <w:p w14:paraId="23886DDA" w14:textId="77777777" w:rsidR="006F3C71" w:rsidRPr="00E85554" w:rsidRDefault="006F3C71" w:rsidP="00A255C7">
      <w:pPr>
        <w:pStyle w:val="ListParagraph"/>
        <w:spacing w:after="0" w:line="480" w:lineRule="auto"/>
        <w:ind w:left="0"/>
        <w:rPr>
          <w:rFonts w:ascii="Times New Roman" w:hAnsi="Times New Roman" w:cs="Times New Roman"/>
          <w:b/>
          <w:sz w:val="24"/>
          <w:szCs w:val="24"/>
          <w:lang w:val="en-US"/>
        </w:rPr>
      </w:pPr>
      <w:r w:rsidRPr="00E85554">
        <w:rPr>
          <w:rFonts w:ascii="Times New Roman" w:hAnsi="Times New Roman" w:cs="Times New Roman"/>
          <w:b/>
          <w:sz w:val="24"/>
          <w:szCs w:val="24"/>
          <w:lang w:val="en-US"/>
        </w:rPr>
        <w:lastRenderedPageBreak/>
        <w:t>External corporate governance</w:t>
      </w:r>
    </w:p>
    <w:p w14:paraId="43EB07C8" w14:textId="77777777" w:rsidR="006F3C71" w:rsidRPr="00E85554" w:rsidRDefault="006F3C71" w:rsidP="00A255C7">
      <w:pPr>
        <w:pStyle w:val="ListParagraph"/>
        <w:spacing w:after="0" w:line="480" w:lineRule="auto"/>
        <w:ind w:left="0"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We </w:t>
      </w:r>
      <w:r w:rsidR="00D2625D" w:rsidRPr="00E85554">
        <w:rPr>
          <w:rFonts w:ascii="Times New Roman" w:hAnsi="Times New Roman" w:cs="Times New Roman"/>
          <w:sz w:val="24"/>
          <w:szCs w:val="24"/>
          <w:lang w:val="en-US"/>
        </w:rPr>
        <w:t xml:space="preserve">now turn to </w:t>
      </w:r>
      <w:r w:rsidRPr="00E85554">
        <w:rPr>
          <w:rFonts w:ascii="Times New Roman" w:hAnsi="Times New Roman" w:cs="Times New Roman"/>
          <w:sz w:val="24"/>
          <w:szCs w:val="24"/>
          <w:lang w:val="en-US"/>
        </w:rPr>
        <w:t xml:space="preserve">what happens when the role of these independent directors is fully activated through </w:t>
      </w:r>
      <w:r w:rsidR="00DC4B10" w:rsidRPr="00E85554">
        <w:rPr>
          <w:rFonts w:ascii="Times New Roman" w:hAnsi="Times New Roman" w:cs="Times New Roman"/>
          <w:sz w:val="24"/>
          <w:szCs w:val="24"/>
          <w:lang w:val="en-US"/>
        </w:rPr>
        <w:t>the</w:t>
      </w:r>
      <w:r w:rsidRPr="00E85554">
        <w:rPr>
          <w:rFonts w:ascii="Times New Roman" w:hAnsi="Times New Roman" w:cs="Times New Roman"/>
          <w:sz w:val="24"/>
          <w:szCs w:val="24"/>
          <w:lang w:val="en-US"/>
        </w:rPr>
        <w:t xml:space="preserve"> exposure of EEM</w:t>
      </w:r>
      <w:r w:rsidR="00C85C1C" w:rsidRPr="00E85554">
        <w:rPr>
          <w:rFonts w:ascii="Times New Roman" w:hAnsi="Times New Roman" w:cs="Times New Roman"/>
          <w:sz w:val="24"/>
          <w:szCs w:val="24"/>
          <w:lang w:val="en-US"/>
        </w:rPr>
        <w:t>M</w:t>
      </w:r>
      <w:r w:rsidRPr="00E85554">
        <w:rPr>
          <w:rFonts w:ascii="Times New Roman" w:hAnsi="Times New Roman" w:cs="Times New Roman"/>
          <w:sz w:val="24"/>
          <w:szCs w:val="24"/>
          <w:lang w:val="en-US"/>
        </w:rPr>
        <w:t xml:space="preserve"> firms to international corporate governance standards. </w:t>
      </w:r>
      <w:r w:rsidR="00C85C1C" w:rsidRPr="00E85554">
        <w:rPr>
          <w:rFonts w:ascii="Times New Roman" w:hAnsi="Times New Roman" w:cs="Times New Roman"/>
          <w:sz w:val="24"/>
          <w:szCs w:val="24"/>
          <w:lang w:val="en-US"/>
        </w:rPr>
        <w:t xml:space="preserve">By full activation, we refer to the transition from </w:t>
      </w:r>
      <w:r w:rsidR="00DC4B10" w:rsidRPr="00E85554">
        <w:rPr>
          <w:rFonts w:ascii="Times New Roman" w:hAnsi="Times New Roman" w:cs="Times New Roman"/>
          <w:sz w:val="24"/>
          <w:szCs w:val="24"/>
          <w:lang w:val="en-US"/>
        </w:rPr>
        <w:t xml:space="preserve">simply </w:t>
      </w:r>
      <w:r w:rsidR="00C85C1C" w:rsidRPr="00E85554">
        <w:rPr>
          <w:rFonts w:ascii="Times New Roman" w:hAnsi="Times New Roman" w:cs="Times New Roman"/>
          <w:sz w:val="24"/>
          <w:szCs w:val="24"/>
          <w:lang w:val="en-US"/>
        </w:rPr>
        <w:t xml:space="preserve">adopting a practice, maybe symbolically, </w:t>
      </w:r>
      <w:r w:rsidR="00DC4B10" w:rsidRPr="00E85554">
        <w:rPr>
          <w:rFonts w:ascii="Times New Roman" w:hAnsi="Times New Roman" w:cs="Times New Roman"/>
          <w:sz w:val="24"/>
          <w:szCs w:val="24"/>
          <w:lang w:val="en-US"/>
        </w:rPr>
        <w:t xml:space="preserve">to fully </w:t>
      </w:r>
      <w:r w:rsidR="00C85C1C" w:rsidRPr="00E85554">
        <w:rPr>
          <w:rFonts w:ascii="Times New Roman" w:hAnsi="Times New Roman" w:cs="Times New Roman"/>
          <w:sz w:val="24"/>
          <w:szCs w:val="24"/>
          <w:lang w:val="en-US"/>
        </w:rPr>
        <w:t xml:space="preserve">enacting or internalizing the practice. In the case of independent directors, </w:t>
      </w:r>
      <w:r w:rsidR="00DC4B10" w:rsidRPr="00E85554">
        <w:rPr>
          <w:rFonts w:ascii="Times New Roman" w:hAnsi="Times New Roman" w:cs="Times New Roman"/>
          <w:sz w:val="24"/>
          <w:szCs w:val="24"/>
          <w:lang w:val="en-US"/>
        </w:rPr>
        <w:t xml:space="preserve">Aguilera et al. (2017) show for instance that in </w:t>
      </w:r>
      <w:r w:rsidR="00C85C1C" w:rsidRPr="00E85554">
        <w:rPr>
          <w:rFonts w:ascii="Times New Roman" w:hAnsi="Times New Roman" w:cs="Times New Roman"/>
          <w:sz w:val="24"/>
          <w:szCs w:val="24"/>
          <w:lang w:val="en-US"/>
        </w:rPr>
        <w:t>Japan</w:t>
      </w:r>
      <w:r w:rsidR="00DC4B10" w:rsidRPr="00E85554">
        <w:rPr>
          <w:rFonts w:ascii="Times New Roman" w:hAnsi="Times New Roman" w:cs="Times New Roman"/>
          <w:sz w:val="24"/>
          <w:szCs w:val="24"/>
          <w:lang w:val="en-US"/>
        </w:rPr>
        <w:t>, companies</w:t>
      </w:r>
      <w:r w:rsidR="00C85C1C" w:rsidRPr="00E85554">
        <w:rPr>
          <w:rFonts w:ascii="Times New Roman" w:hAnsi="Times New Roman" w:cs="Times New Roman"/>
          <w:sz w:val="24"/>
          <w:szCs w:val="24"/>
          <w:lang w:val="en-US"/>
        </w:rPr>
        <w:t xml:space="preserve"> </w:t>
      </w:r>
      <w:r w:rsidR="00DC4B10" w:rsidRPr="00E85554">
        <w:rPr>
          <w:rFonts w:ascii="Times New Roman" w:hAnsi="Times New Roman" w:cs="Times New Roman"/>
          <w:sz w:val="24"/>
          <w:szCs w:val="24"/>
          <w:lang w:val="en-US"/>
        </w:rPr>
        <w:t xml:space="preserve">had </w:t>
      </w:r>
      <w:r w:rsidR="00C85C1C" w:rsidRPr="00E85554">
        <w:rPr>
          <w:rFonts w:ascii="Times New Roman" w:hAnsi="Times New Roman" w:cs="Times New Roman"/>
          <w:sz w:val="24"/>
          <w:szCs w:val="24"/>
          <w:lang w:val="en-US"/>
        </w:rPr>
        <w:t xml:space="preserve">adopted </w:t>
      </w:r>
      <w:r w:rsidR="00DC4B10" w:rsidRPr="00E85554">
        <w:rPr>
          <w:rFonts w:ascii="Times New Roman" w:hAnsi="Times New Roman" w:cs="Times New Roman"/>
          <w:sz w:val="24"/>
          <w:szCs w:val="24"/>
          <w:lang w:val="en-US"/>
        </w:rPr>
        <w:t xml:space="preserve">independent boards for a long time, yet these boards did not pursue monitoring </w:t>
      </w:r>
      <w:r w:rsidR="00C85C1C" w:rsidRPr="00E85554">
        <w:rPr>
          <w:rFonts w:ascii="Times New Roman" w:hAnsi="Times New Roman" w:cs="Times New Roman"/>
          <w:sz w:val="24"/>
          <w:szCs w:val="24"/>
          <w:lang w:val="en-US"/>
        </w:rPr>
        <w:t xml:space="preserve">until </w:t>
      </w:r>
      <w:r w:rsidR="00DC4B10" w:rsidRPr="00E85554">
        <w:rPr>
          <w:rFonts w:ascii="Times New Roman" w:hAnsi="Times New Roman" w:cs="Times New Roman"/>
          <w:sz w:val="24"/>
          <w:szCs w:val="24"/>
          <w:lang w:val="en-US"/>
        </w:rPr>
        <w:t xml:space="preserve">firms had a certain amount of pressure from </w:t>
      </w:r>
      <w:r w:rsidR="00C85C1C" w:rsidRPr="00E85554">
        <w:rPr>
          <w:rFonts w:ascii="Times New Roman" w:hAnsi="Times New Roman" w:cs="Times New Roman"/>
          <w:sz w:val="24"/>
          <w:szCs w:val="24"/>
          <w:lang w:val="en-US"/>
        </w:rPr>
        <w:t>foreign institutional investors</w:t>
      </w:r>
      <w:r w:rsidR="00DC4B10" w:rsidRPr="00E85554">
        <w:rPr>
          <w:rFonts w:ascii="Times New Roman" w:hAnsi="Times New Roman" w:cs="Times New Roman"/>
          <w:sz w:val="24"/>
          <w:szCs w:val="24"/>
          <w:lang w:val="en-US"/>
        </w:rPr>
        <w:t xml:space="preserve">. It was the significant exposure to international governance practices that activated their independent role. Below we discuss three contingencies that appear in the Russian context: Russian firms that internationalize (MNEs), Russian firms that list in foreign markets, and Russian firms that invite foreign independent directors to their boards. </w:t>
      </w:r>
    </w:p>
    <w:p w14:paraId="2A96575A" w14:textId="77777777" w:rsidR="006F3C71" w:rsidRPr="00E85554" w:rsidRDefault="006F3C71" w:rsidP="00C773B5">
      <w:pPr>
        <w:pStyle w:val="ListParagraph"/>
        <w:spacing w:after="0" w:line="480" w:lineRule="auto"/>
        <w:ind w:left="0"/>
        <w:rPr>
          <w:rFonts w:ascii="Times New Roman" w:hAnsi="Times New Roman" w:cs="Times New Roman"/>
          <w:i/>
          <w:sz w:val="24"/>
          <w:szCs w:val="24"/>
          <w:lang w:val="en-US"/>
        </w:rPr>
      </w:pPr>
      <w:r w:rsidRPr="00E85554">
        <w:rPr>
          <w:rFonts w:ascii="Times New Roman" w:hAnsi="Times New Roman" w:cs="Times New Roman"/>
          <w:i/>
          <w:sz w:val="24"/>
          <w:szCs w:val="24"/>
          <w:lang w:val="en-US"/>
        </w:rPr>
        <w:t>Independent directors in MNEs</w:t>
      </w:r>
    </w:p>
    <w:p w14:paraId="64A1ED69" w14:textId="3C5AE218" w:rsidR="006F3C71" w:rsidRPr="00E85554" w:rsidRDefault="006F3C71" w:rsidP="00C773B5">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The diffusion of stronger corporate governan</w:t>
      </w:r>
      <w:r w:rsidR="008768AF" w:rsidRPr="00E85554">
        <w:rPr>
          <w:rFonts w:ascii="Times New Roman" w:hAnsi="Times New Roman" w:cs="Times New Roman"/>
          <w:sz w:val="24"/>
          <w:szCs w:val="24"/>
          <w:lang w:val="en-US"/>
        </w:rPr>
        <w:t xml:space="preserve">ce practices to weaker regimes </w:t>
      </w:r>
      <w:r w:rsidRPr="00E85554">
        <w:rPr>
          <w:rFonts w:ascii="Times New Roman" w:hAnsi="Times New Roman" w:cs="Times New Roman"/>
          <w:sz w:val="24"/>
          <w:szCs w:val="24"/>
          <w:lang w:val="en-US"/>
        </w:rPr>
        <w:t xml:space="preserve">may </w:t>
      </w:r>
      <w:r w:rsidR="008768AF" w:rsidRPr="00E85554">
        <w:rPr>
          <w:rFonts w:ascii="Times New Roman" w:hAnsi="Times New Roman" w:cs="Times New Roman"/>
          <w:sz w:val="24"/>
          <w:szCs w:val="24"/>
          <w:lang w:val="en-US"/>
        </w:rPr>
        <w:t>occur through</w:t>
      </w:r>
      <w:r w:rsidRPr="00E85554">
        <w:rPr>
          <w:rFonts w:ascii="Times New Roman" w:hAnsi="Times New Roman" w:cs="Times New Roman"/>
          <w:sz w:val="24"/>
          <w:szCs w:val="24"/>
          <w:lang w:val="en-US"/>
        </w:rPr>
        <w:t xml:space="preserve"> </w:t>
      </w:r>
      <w:r w:rsidR="008768AF" w:rsidRPr="00E85554">
        <w:rPr>
          <w:rFonts w:ascii="Times New Roman" w:hAnsi="Times New Roman" w:cs="Times New Roman"/>
          <w:sz w:val="24"/>
          <w:szCs w:val="24"/>
          <w:lang w:val="en-US"/>
        </w:rPr>
        <w:t>the internationalization of firms from EEMM a</w:t>
      </w:r>
      <w:r w:rsidRPr="00E85554">
        <w:rPr>
          <w:rFonts w:ascii="Times New Roman" w:hAnsi="Times New Roman" w:cs="Times New Roman"/>
          <w:sz w:val="24"/>
          <w:szCs w:val="24"/>
          <w:lang w:val="en-US"/>
        </w:rPr>
        <w:t xml:space="preserve">s </w:t>
      </w:r>
      <w:r w:rsidR="008768AF" w:rsidRPr="00E85554">
        <w:rPr>
          <w:rFonts w:ascii="Times New Roman" w:hAnsi="Times New Roman" w:cs="Times New Roman"/>
          <w:sz w:val="24"/>
          <w:szCs w:val="24"/>
          <w:lang w:val="en-US"/>
        </w:rPr>
        <w:t xml:space="preserve">they </w:t>
      </w:r>
      <w:r w:rsidR="00474353" w:rsidRPr="00E85554">
        <w:rPr>
          <w:rFonts w:ascii="Times New Roman" w:hAnsi="Times New Roman" w:cs="Times New Roman"/>
          <w:sz w:val="24"/>
          <w:szCs w:val="24"/>
          <w:lang w:val="en-US"/>
        </w:rPr>
        <w:t xml:space="preserve">equip themselves with the necessary corporate governance </w:t>
      </w:r>
      <w:r w:rsidR="008768AF" w:rsidRPr="00E85554">
        <w:rPr>
          <w:rFonts w:ascii="Times New Roman" w:hAnsi="Times New Roman" w:cs="Times New Roman"/>
          <w:sz w:val="24"/>
          <w:szCs w:val="24"/>
          <w:lang w:val="en-US"/>
        </w:rPr>
        <w:t>to co</w:t>
      </w:r>
      <w:r w:rsidR="00474353" w:rsidRPr="00E85554">
        <w:rPr>
          <w:rFonts w:ascii="Times New Roman" w:hAnsi="Times New Roman" w:cs="Times New Roman"/>
          <w:sz w:val="24"/>
          <w:szCs w:val="24"/>
          <w:lang w:val="en-US"/>
        </w:rPr>
        <w:t>mpe</w:t>
      </w:r>
      <w:r w:rsidRPr="00E85554">
        <w:rPr>
          <w:rFonts w:ascii="Times New Roman" w:hAnsi="Times New Roman" w:cs="Times New Roman"/>
          <w:sz w:val="24"/>
          <w:szCs w:val="24"/>
          <w:lang w:val="en-US"/>
        </w:rPr>
        <w:t>t</w:t>
      </w:r>
      <w:r w:rsidR="00474353" w:rsidRPr="00E85554">
        <w:rPr>
          <w:rFonts w:ascii="Times New Roman" w:hAnsi="Times New Roman" w:cs="Times New Roman"/>
          <w:sz w:val="24"/>
          <w:szCs w:val="24"/>
          <w:lang w:val="en-US"/>
        </w:rPr>
        <w:t xml:space="preserve">e globally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&lt;EndNote&gt;&lt;Cite&gt;&lt;Author&gt;Aguilera&lt;/Author&gt;&lt;RecNum&gt;730&lt;/RecNum&gt;&lt;DisplayText&gt;(Aguilera et al., 2017; Sojli et al., 2017)&lt;/DisplayText&gt;&lt;record&gt;&lt;rec-number&gt;730&lt;/rec-number&gt;&lt;foreign-keys&gt;&lt;key app="EN" db-id="xdsfzvadmzzxdzereeq5xdf7eaxsdwfdfave" timestamp="1493370923"&gt;730&lt;/key&gt;&lt;/foreign-keys&gt;&lt;ref-type name="Journal Article"&gt;17&lt;/ref-type&gt;&lt;contributors&gt;&lt;authors&gt;&lt;author&gt;Aguilera, Ruth V&lt;/author&gt;&lt;author&gt;Desender, Kurt A&lt;/author&gt;&lt;author&gt;Lamy, Mónica López-Puertas&lt;/author&gt;&lt;author&gt;Lee, Jun Ho&lt;/author&gt;&lt;/authors&gt;&lt;/contributors&gt;&lt;titles&gt;&lt;title&gt;The governance impact of a changing investor landscape&lt;/title&gt;&lt;secondary-title&gt;Journal of International Business Studies&lt;/secondary-title&gt;&lt;/titles&gt;&lt;periodical&gt;&lt;full-title&gt;Journal of International Business Studies&lt;/full-title&gt;&lt;/periodical&gt;&lt;pages&gt;195-221&lt;/pages&gt;&lt;volume&gt;48&lt;/volume&gt;&lt;number&gt;2&lt;/number&gt;&lt;dates&gt;&lt;year&gt;2017&lt;/year&gt;&lt;/dates&gt;&lt;isbn&gt;0047-2506&lt;/isbn&gt;&lt;urls&gt;&lt;/urls&gt;&lt;/record&gt;&lt;/Cite&gt;&lt;Cite&gt;&lt;Author&gt;Sojli&lt;/Author&gt;&lt;Year&gt;2017&lt;/Year&gt;&lt;RecNum&gt;731&lt;/RecNum&gt;&lt;record&gt;&lt;rec-number&gt;731&lt;/rec-number&gt;&lt;foreign-keys&gt;&lt;key app="EN" db-id="xdsfzvadmzzxdzereeq5xdf7eaxsdwfdfave" timestamp="1493371828"&gt;731&lt;/key&gt;&lt;/foreign-keys&gt;&lt;ref-type name="Journal Article"&gt;17&lt;/ref-type&gt;&lt;contributors&gt;&lt;authors&gt;&lt;author&gt;Sojli, Elvira&lt;/author&gt;&lt;author&gt;Tham, Wing Wah&lt;/author&gt;&lt;/authors&gt;&lt;/contributors&gt;&lt;titles&gt;&lt;title&gt;Foreign political connections&lt;/title&gt;&lt;secondary-title&gt;Journal of International Business Studies&lt;/secondary-title&gt;&lt;/titles&gt;&lt;periodical&gt;&lt;full-title&gt;Journal of International Business Studies&lt;/full-title&gt;&lt;/periodical&gt;&lt;pages&gt;244-266&lt;/pages&gt;&lt;volume&gt;48&lt;/volume&gt;&lt;number&gt;2&lt;/number&gt;&lt;dates&gt;&lt;year&gt;2017&lt;/year&gt;&lt;/dates&gt;&lt;isbn&gt;0047-2506&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5" w:tooltip="Aguilera, 2017 #730" w:history="1">
        <w:r w:rsidR="00266C78" w:rsidRPr="00E85554">
          <w:rPr>
            <w:rFonts w:ascii="Times New Roman" w:hAnsi="Times New Roman" w:cs="Times New Roman"/>
            <w:noProof/>
            <w:sz w:val="24"/>
            <w:szCs w:val="24"/>
            <w:lang w:val="en-US"/>
          </w:rPr>
          <w:t>Aguilera et al., 2017</w:t>
        </w:r>
      </w:hyperlink>
      <w:r w:rsidRPr="00E85554">
        <w:rPr>
          <w:rFonts w:ascii="Times New Roman" w:hAnsi="Times New Roman" w:cs="Times New Roman"/>
          <w:noProof/>
          <w:sz w:val="24"/>
          <w:szCs w:val="24"/>
          <w:lang w:val="en-US"/>
        </w:rPr>
        <w:t xml:space="preserve">; </w:t>
      </w:r>
      <w:hyperlink w:anchor="_ENREF_101" w:tooltip="Sojli, 2017 #731" w:history="1">
        <w:r w:rsidR="00266C78" w:rsidRPr="00E85554">
          <w:rPr>
            <w:rFonts w:ascii="Times New Roman" w:hAnsi="Times New Roman" w:cs="Times New Roman"/>
            <w:noProof/>
            <w:sz w:val="24"/>
            <w:szCs w:val="24"/>
            <w:lang w:val="en-US"/>
          </w:rPr>
          <w:t>Sojli et al., 2017</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As EEM</w:t>
      </w:r>
      <w:r w:rsidR="00001575" w:rsidRPr="00E85554">
        <w:rPr>
          <w:rFonts w:ascii="Times New Roman" w:hAnsi="Times New Roman" w:cs="Times New Roman"/>
          <w:sz w:val="24"/>
          <w:szCs w:val="24"/>
          <w:lang w:val="en-US"/>
        </w:rPr>
        <w:t>M</w:t>
      </w:r>
      <w:r w:rsidRPr="00E85554">
        <w:rPr>
          <w:rFonts w:ascii="Times New Roman" w:hAnsi="Times New Roman" w:cs="Times New Roman"/>
          <w:sz w:val="24"/>
          <w:szCs w:val="24"/>
          <w:lang w:val="en-US"/>
        </w:rPr>
        <w:t xml:space="preserve"> firms expand operationally into North America and Europe, they encounter new institutions </w:t>
      </w:r>
      <w:r w:rsidR="00EE5E62" w:rsidRPr="00E85554">
        <w:rPr>
          <w:rFonts w:ascii="Times New Roman" w:hAnsi="Times New Roman" w:cs="Times New Roman"/>
          <w:sz w:val="24"/>
          <w:szCs w:val="24"/>
          <w:lang w:val="en-US"/>
        </w:rPr>
        <w:t xml:space="preserve">and </w:t>
      </w:r>
      <w:r w:rsidR="00474353" w:rsidRPr="00E85554">
        <w:rPr>
          <w:rFonts w:ascii="Times New Roman" w:hAnsi="Times New Roman" w:cs="Times New Roman"/>
          <w:sz w:val="24"/>
          <w:szCs w:val="24"/>
          <w:lang w:val="en-US"/>
        </w:rPr>
        <w:t>get exposed</w:t>
      </w:r>
      <w:r w:rsidRPr="00E85554">
        <w:rPr>
          <w:rFonts w:ascii="Times New Roman" w:hAnsi="Times New Roman" w:cs="Times New Roman"/>
          <w:sz w:val="24"/>
          <w:szCs w:val="24"/>
          <w:lang w:val="en-US"/>
        </w:rPr>
        <w:t xml:space="preserve"> </w:t>
      </w:r>
      <w:r w:rsidR="00474353" w:rsidRPr="00E85554">
        <w:rPr>
          <w:rFonts w:ascii="Times New Roman" w:hAnsi="Times New Roman" w:cs="Times New Roman"/>
          <w:sz w:val="24"/>
          <w:szCs w:val="24"/>
          <w:lang w:val="en-US"/>
        </w:rPr>
        <w:t>t</w:t>
      </w:r>
      <w:r w:rsidRPr="00E85554">
        <w:rPr>
          <w:rFonts w:ascii="Times New Roman" w:hAnsi="Times New Roman" w:cs="Times New Roman"/>
          <w:sz w:val="24"/>
          <w:szCs w:val="24"/>
          <w:lang w:val="en-US"/>
        </w:rPr>
        <w:t xml:space="preserve">o </w:t>
      </w:r>
      <w:r w:rsidR="00474353" w:rsidRPr="00E85554">
        <w:rPr>
          <w:rFonts w:ascii="Times New Roman" w:hAnsi="Times New Roman" w:cs="Times New Roman"/>
          <w:sz w:val="24"/>
          <w:szCs w:val="24"/>
          <w:lang w:val="en-US"/>
        </w:rPr>
        <w:t xml:space="preserve">the often </w:t>
      </w:r>
      <w:r w:rsidRPr="00E85554">
        <w:rPr>
          <w:rFonts w:ascii="Times New Roman" w:hAnsi="Times New Roman" w:cs="Times New Roman"/>
          <w:sz w:val="24"/>
          <w:szCs w:val="24"/>
          <w:lang w:val="en-US"/>
        </w:rPr>
        <w:t xml:space="preserve">higher levels of governance and transparency of host countries. </w:t>
      </w:r>
      <w:r w:rsidR="00EE5E62" w:rsidRPr="00E85554">
        <w:rPr>
          <w:rFonts w:ascii="Times New Roman" w:hAnsi="Times New Roman" w:cs="Times New Roman"/>
          <w:sz w:val="24"/>
          <w:szCs w:val="24"/>
          <w:lang w:val="en-US"/>
        </w:rPr>
        <w:t xml:space="preserve">Even though some structural </w:t>
      </w:r>
      <w:r w:rsidR="00474353" w:rsidRPr="00E85554">
        <w:rPr>
          <w:rFonts w:ascii="Times New Roman" w:hAnsi="Times New Roman" w:cs="Times New Roman"/>
          <w:sz w:val="24"/>
          <w:szCs w:val="24"/>
          <w:lang w:val="en-US"/>
        </w:rPr>
        <w:t xml:space="preserve">governance </w:t>
      </w:r>
      <w:r w:rsidR="00EE5E62" w:rsidRPr="00E85554">
        <w:rPr>
          <w:rFonts w:ascii="Times New Roman" w:hAnsi="Times New Roman" w:cs="Times New Roman"/>
          <w:sz w:val="24"/>
          <w:szCs w:val="24"/>
          <w:lang w:val="en-US"/>
        </w:rPr>
        <w:t>conditions are likely</w:t>
      </w:r>
      <w:r w:rsidRPr="00E85554">
        <w:rPr>
          <w:rFonts w:ascii="Times New Roman" w:hAnsi="Times New Roman" w:cs="Times New Roman"/>
          <w:sz w:val="24"/>
          <w:szCs w:val="24"/>
          <w:lang w:val="en-US"/>
        </w:rPr>
        <w:t xml:space="preserve"> </w:t>
      </w:r>
      <w:r w:rsidR="00EE5E62" w:rsidRPr="00E85554">
        <w:rPr>
          <w:rFonts w:ascii="Times New Roman" w:hAnsi="Times New Roman" w:cs="Times New Roman"/>
          <w:sz w:val="24"/>
          <w:szCs w:val="24"/>
          <w:lang w:val="en-US"/>
        </w:rPr>
        <w:t xml:space="preserve">to </w:t>
      </w:r>
      <w:r w:rsidRPr="00E85554">
        <w:rPr>
          <w:rFonts w:ascii="Times New Roman" w:hAnsi="Times New Roman" w:cs="Times New Roman"/>
          <w:sz w:val="24"/>
          <w:szCs w:val="24"/>
          <w:lang w:val="en-US"/>
        </w:rPr>
        <w:t>persist such as concentrated</w:t>
      </w:r>
      <w:r w:rsidR="00EE5E62" w:rsidRPr="00E85554">
        <w:rPr>
          <w:rFonts w:ascii="Times New Roman" w:hAnsi="Times New Roman" w:cs="Times New Roman"/>
          <w:sz w:val="24"/>
          <w:szCs w:val="24"/>
          <w:lang w:val="en-US"/>
        </w:rPr>
        <w:t xml:space="preserve"> blockholders,</w:t>
      </w:r>
      <w:r w:rsidRPr="00E85554">
        <w:rPr>
          <w:rFonts w:ascii="Times New Roman" w:hAnsi="Times New Roman" w:cs="Times New Roman"/>
          <w:sz w:val="24"/>
          <w:szCs w:val="24"/>
          <w:lang w:val="en-US"/>
        </w:rPr>
        <w:t xml:space="preserve"> family ownership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&lt;EndNote&gt;&lt;Cite&gt;&lt;Author&gt;Aguilera&lt;/Author&gt;&lt;Year&gt;2016&lt;/Year&gt;&lt;RecNum&gt;721&lt;/RecNum&gt;&lt;DisplayText&gt;(Aguilera et al., 2016)&lt;/DisplayText&gt;&lt;record&gt;&lt;rec-number&gt;721&lt;/rec-number&gt;&lt;foreign-keys&gt;&lt;key app="EN" db-id="xdsfzvadmzzxdzereeq5xdf7eaxsdwfdfave" timestamp="1493050936"&gt;721&lt;/key&gt;&lt;/foreign-keys&gt;&lt;ref-type name="Journal Article"&gt;17&lt;/ref-type&gt;&lt;contributors&gt;&lt;authors&gt;&lt;author&gt;Aguilera, Ruth V&lt;/author&gt;&lt;author&gt;Crespi-Cladera, Rafel&lt;/author&gt;&lt;/authors&gt;&lt;/contributors&gt;&lt;titles&gt;&lt;title&gt;Global corporate governance: On the relevance of firms’ ownership structure&lt;/title&gt;&lt;secondary-title&gt;Journal of World Business&lt;/secondary-title&gt;&lt;/titles&gt;&lt;periodical&gt;&lt;full-title&gt;Journal of World Business&lt;/full-title&gt;&lt;/periodical&gt;&lt;pages&gt;50-57&lt;/pages&gt;&lt;volume&gt;51&lt;/volume&gt;&lt;number&gt;1&lt;/number&gt;&lt;dates&gt;&lt;year&gt;2016&lt;/year&gt;&lt;/dates&gt;&lt;isbn&gt;1090-9516&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4" w:tooltip="Aguilera, 2016 #721" w:history="1">
        <w:r w:rsidR="00266C78" w:rsidRPr="00E85554">
          <w:rPr>
            <w:rFonts w:ascii="Times New Roman" w:hAnsi="Times New Roman" w:cs="Times New Roman"/>
            <w:noProof/>
            <w:sz w:val="24"/>
            <w:szCs w:val="24"/>
            <w:lang w:val="en-US"/>
          </w:rPr>
          <w:t>Aguilera et al., 2016</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and business groups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&lt;EndNote&gt;&lt;Cite&gt;&lt;Author&gt;Bhaumik&lt;/Author&gt;&lt;Year&gt;2016&lt;/Year&gt;&lt;RecNum&gt;723&lt;/RecNum&gt;&lt;DisplayText&gt;(Bhaumik et al., 2016)&lt;/DisplayText&gt;&lt;record&gt;&lt;rec-number&gt;723&lt;/rec-number&gt;&lt;foreign-keys&gt;&lt;key app="EN" db-id="xdsfzvadmzzxdzereeq5xdf7eaxsdwfdfave" timestamp="1493051564"&gt;723&lt;/key&gt;&lt;/foreign-keys&gt;&lt;ref-type name="Journal Article"&gt;17&lt;/ref-type&gt;&lt;contributors&gt;&lt;authors&gt;&lt;author&gt;Bhaumik, Sumon Kumar&lt;/author&gt;&lt;author&gt;Estrin, Saul&lt;/author&gt;&lt;author&gt;Mickiewicz, Tomasz&lt;/author&gt;&lt;/authors&gt;&lt;/contributors&gt;&lt;titles&gt;&lt;title&gt;Ownership identity, strategy and performance: Business group affiliates versus independent firms in India&lt;/title&gt;&lt;secondary-title&gt;Asia Pacific Journal of Management&lt;/secondary-title&gt;&lt;/titles&gt;&lt;periodical&gt;&lt;full-title&gt;Asia Pacific Journal of Management&lt;/full-title&gt;&lt;/periodical&gt;&lt;pages&gt;1-31&lt;/pages&gt;&lt;dates&gt;&lt;year&gt;2016&lt;/year&gt;&lt;/dates&gt;&lt;isbn&gt;0217-4561&lt;/isbn&gt;&lt;urls&gt;&lt;/urls&gt;&lt;/record&gt;&lt;/Cite&gt;&lt;/EndNote&gt;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15" w:tooltip="Bhaumik, 2016 #723" w:history="1">
        <w:r w:rsidR="00266C78" w:rsidRPr="00E85554">
          <w:rPr>
            <w:rFonts w:ascii="Times New Roman" w:hAnsi="Times New Roman" w:cs="Times New Roman"/>
            <w:noProof/>
            <w:sz w:val="24"/>
            <w:szCs w:val="24"/>
            <w:lang w:val="en-US"/>
          </w:rPr>
          <w:t>Bhaumik et al., 2016</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00EE5E62" w:rsidRPr="00E85554">
        <w:rPr>
          <w:rFonts w:ascii="Times New Roman" w:hAnsi="Times New Roman" w:cs="Times New Roman"/>
          <w:sz w:val="24"/>
          <w:szCs w:val="24"/>
          <w:lang w:val="en-US"/>
        </w:rPr>
        <w:t xml:space="preserve">, these EEMM multinationals </w:t>
      </w:r>
      <w:r w:rsidR="00474353" w:rsidRPr="00E85554">
        <w:rPr>
          <w:rFonts w:ascii="Times New Roman" w:hAnsi="Times New Roman" w:cs="Times New Roman"/>
          <w:sz w:val="24"/>
          <w:szCs w:val="24"/>
          <w:lang w:val="en-US"/>
        </w:rPr>
        <w:t xml:space="preserve">present </w:t>
      </w:r>
      <w:r w:rsidR="00EE5E62" w:rsidRPr="00E85554">
        <w:rPr>
          <w:rFonts w:ascii="Times New Roman" w:hAnsi="Times New Roman" w:cs="Times New Roman"/>
          <w:sz w:val="24"/>
          <w:szCs w:val="24"/>
          <w:lang w:val="en-US"/>
        </w:rPr>
        <w:t xml:space="preserve">in advanced institutional settings will have to reconcile their emerging market corporate governance systems </w:t>
      </w:r>
      <w:r w:rsidR="00474353" w:rsidRPr="00E85554">
        <w:rPr>
          <w:rFonts w:ascii="Times New Roman" w:hAnsi="Times New Roman" w:cs="Times New Roman"/>
          <w:sz w:val="24"/>
          <w:szCs w:val="24"/>
          <w:lang w:val="en-US"/>
        </w:rPr>
        <w:t xml:space="preserve">and pursue true independent directors’ roles </w:t>
      </w:r>
      <w:r w:rsidRPr="00E85554">
        <w:rPr>
          <w:rFonts w:ascii="Times New Roman" w:hAnsi="Times New Roman" w:cs="Times New Roman"/>
          <w:sz w:val="24"/>
          <w:szCs w:val="24"/>
          <w:lang w:val="en-US"/>
        </w:rPr>
        <w:t xml:space="preserve">and </w:t>
      </w:r>
      <w:r w:rsidR="00474353" w:rsidRPr="00E85554">
        <w:rPr>
          <w:rFonts w:ascii="Times New Roman" w:hAnsi="Times New Roman" w:cs="Times New Roman"/>
          <w:sz w:val="24"/>
          <w:szCs w:val="24"/>
          <w:lang w:val="en-US"/>
        </w:rPr>
        <w:t xml:space="preserve">provide greater </w:t>
      </w:r>
      <w:r w:rsidRPr="00E85554">
        <w:rPr>
          <w:rFonts w:ascii="Times New Roman" w:hAnsi="Times New Roman" w:cs="Times New Roman"/>
          <w:sz w:val="24"/>
          <w:szCs w:val="24"/>
          <w:lang w:val="en-US"/>
        </w:rPr>
        <w:t>transparen</w:t>
      </w:r>
      <w:r w:rsidR="00474353" w:rsidRPr="00E85554">
        <w:rPr>
          <w:rFonts w:ascii="Times New Roman" w:hAnsi="Times New Roman" w:cs="Times New Roman"/>
          <w:sz w:val="24"/>
          <w:szCs w:val="24"/>
          <w:lang w:val="en-US"/>
        </w:rPr>
        <w:t>cy</w:t>
      </w:r>
      <w:r w:rsidRPr="00E85554">
        <w:rPr>
          <w:rFonts w:ascii="Times New Roman" w:hAnsi="Times New Roman" w:cs="Times New Roman"/>
          <w:sz w:val="24"/>
          <w:szCs w:val="24"/>
          <w:lang w:val="en-US"/>
        </w:rPr>
        <w:t xml:space="preserve">. </w:t>
      </w:r>
    </w:p>
    <w:p w14:paraId="331DCD8E" w14:textId="4D917D02" w:rsidR="006F3C71" w:rsidRPr="00E85554" w:rsidRDefault="006F3C71" w:rsidP="00537AD3">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We expect that </w:t>
      </w:r>
      <w:r w:rsidR="00001575" w:rsidRPr="00E85554">
        <w:rPr>
          <w:rFonts w:ascii="Times New Roman" w:hAnsi="Times New Roman" w:cs="Times New Roman"/>
          <w:sz w:val="24"/>
          <w:szCs w:val="24"/>
          <w:lang w:val="en-US"/>
        </w:rPr>
        <w:t xml:space="preserve">EEMM </w:t>
      </w:r>
      <w:r w:rsidRPr="00E85554">
        <w:rPr>
          <w:rFonts w:ascii="Times New Roman" w:hAnsi="Times New Roman" w:cs="Times New Roman"/>
          <w:sz w:val="24"/>
          <w:szCs w:val="24"/>
          <w:lang w:val="en-US"/>
        </w:rPr>
        <w:t>MNEs</w:t>
      </w:r>
      <w:r w:rsidR="00CB16E1" w:rsidRPr="00E85554">
        <w:rPr>
          <w:rFonts w:ascii="Times New Roman" w:hAnsi="Times New Roman" w:cs="Times New Roman"/>
          <w:sz w:val="24"/>
          <w:szCs w:val="24"/>
          <w:lang w:val="en-US"/>
        </w:rPr>
        <w:t>,</w:t>
      </w:r>
      <w:r w:rsidRPr="00E85554">
        <w:rPr>
          <w:rFonts w:ascii="Times New Roman" w:hAnsi="Times New Roman" w:cs="Times New Roman"/>
          <w:sz w:val="24"/>
          <w:szCs w:val="24"/>
          <w:lang w:val="en-US"/>
        </w:rPr>
        <w:t xml:space="preserve"> through higher exposure to international corporate governance practices</w:t>
      </w:r>
      <w:r w:rsidR="00CB16E1" w:rsidRPr="00E85554">
        <w:rPr>
          <w:rFonts w:ascii="Times New Roman" w:hAnsi="Times New Roman" w:cs="Times New Roman"/>
          <w:sz w:val="24"/>
          <w:szCs w:val="24"/>
          <w:lang w:val="en-US"/>
        </w:rPr>
        <w:t>,</w:t>
      </w:r>
      <w:r w:rsidRPr="00E85554">
        <w:rPr>
          <w:rFonts w:ascii="Times New Roman" w:hAnsi="Times New Roman" w:cs="Times New Roman"/>
          <w:sz w:val="24"/>
          <w:szCs w:val="24"/>
          <w:lang w:val="en-US"/>
        </w:rPr>
        <w:t xml:space="preserve"> bond with the standards of host countries. Their independent directors </w:t>
      </w:r>
      <w:r w:rsidRPr="00E85554">
        <w:rPr>
          <w:rFonts w:ascii="Times New Roman" w:hAnsi="Times New Roman" w:cs="Times New Roman"/>
          <w:sz w:val="24"/>
          <w:szCs w:val="24"/>
          <w:lang w:val="en-US"/>
        </w:rPr>
        <w:lastRenderedPageBreak/>
        <w:t xml:space="preserve">are also more internationally oriented and encouraged by the blockholders to take on more responsibilities in decision making. </w:t>
      </w:r>
      <w:r w:rsidR="00CB16E1" w:rsidRPr="00E85554">
        <w:rPr>
          <w:rFonts w:ascii="Times New Roman" w:hAnsi="Times New Roman" w:cs="Times New Roman"/>
          <w:sz w:val="24"/>
          <w:szCs w:val="24"/>
          <w:lang w:val="en-US"/>
        </w:rPr>
        <w:t>S</w:t>
      </w:r>
      <w:r w:rsidRPr="00E85554">
        <w:rPr>
          <w:rFonts w:ascii="Times New Roman" w:hAnsi="Times New Roman" w:cs="Times New Roman"/>
          <w:sz w:val="24"/>
          <w:szCs w:val="24"/>
          <w:lang w:val="en-US"/>
        </w:rPr>
        <w:t xml:space="preserve">tudies of US MNEs document that these firms have boards with more internationally experienced and younger directors </w:t>
      </w:r>
      <w:r w:rsidRPr="00E85554">
        <w:rPr>
          <w:rFonts w:ascii="Times New Roman" w:hAnsi="Times New Roman" w:cs="Times New Roman"/>
          <w:sz w:val="24"/>
          <w:szCs w:val="24"/>
          <w:lang w:val="en-US"/>
        </w:rPr>
        <w:fldChar w:fldCharType="begin"/>
      </w:r>
      <w:r w:rsidR="00F45EA2" w:rsidRPr="00E85554">
        <w:rPr>
          <w:rFonts w:ascii="Times New Roman" w:hAnsi="Times New Roman" w:cs="Times New Roman"/>
          <w:sz w:val="24"/>
          <w:szCs w:val="24"/>
          <w:lang w:val="en-US"/>
        </w:rPr>
        <w:instrText xml:space="preserve"> ADDIN EN.CITE &lt;EndNote&gt;&lt;Cite&gt;&lt;Author&gt;Sanders&lt;/Author&gt;&lt;Year&gt;1998&lt;/Year&gt;&lt;RecNum&gt;732&lt;/RecNum&gt;&lt;Prefix&gt;e.g. &lt;/Prefix&gt;&lt;DisplayText&gt;(e.g. Sanders et al., 1998)&lt;/DisplayText&gt;&lt;record&gt;&lt;rec-number&gt;732&lt;/rec-number&gt;&lt;foreign-keys&gt;&lt;key app="EN" db-id="xdsfzvadmzzxdzereeq5xdf7eaxsdwfdfave" timestamp="1493385440"&gt;732&lt;/key&gt;&lt;/foreign-keys&gt;&lt;ref-type name="Journal Article"&gt;17&lt;/ref-type&gt;&lt;contributors&gt;&lt;authors&gt;&lt;author&gt;Sanders, WM Gerard&lt;/author&gt;&lt;author&gt;Carpenter, Mason A&lt;/author&gt;&lt;/authors&gt;&lt;/contributors&gt;&lt;titles&gt;&lt;title&gt;Internationalization and firm governance: The roles of CEO compensation, top team composition, and board structure&lt;/title&gt;&lt;secondary-title&gt;Academy of Management journal&lt;/secondary-title&gt;&lt;/titles&gt;&lt;periodical&gt;&lt;full-title&gt;Academy of Management Journal&lt;/full-title&gt;&lt;/periodical&gt;&lt;pages&gt;158-178&lt;/pages&gt;&lt;volume&gt;41&lt;/volume&gt;&lt;number&gt;2&lt;/number&gt;&lt;dates&gt;&lt;year&gt;1998&lt;/year&gt;&lt;/dates&gt;&lt;isbn&gt;0001-4273&lt;/isbn&gt;&lt;urls&gt;&lt;/urls&gt;&lt;/record&gt;&lt;/Cite&gt;&lt;/EndNote&gt;</w:instrText>
      </w:r>
      <w:r w:rsidRPr="00E85554">
        <w:rPr>
          <w:rFonts w:ascii="Times New Roman" w:hAnsi="Times New Roman" w:cs="Times New Roman"/>
          <w:sz w:val="24"/>
          <w:szCs w:val="24"/>
          <w:lang w:val="en-US"/>
        </w:rPr>
        <w:fldChar w:fldCharType="separate"/>
      </w:r>
      <w:r w:rsidR="00F45EA2" w:rsidRPr="00E85554">
        <w:rPr>
          <w:rFonts w:ascii="Times New Roman" w:hAnsi="Times New Roman" w:cs="Times New Roman"/>
          <w:noProof/>
          <w:sz w:val="24"/>
          <w:szCs w:val="24"/>
          <w:lang w:val="en-US"/>
        </w:rPr>
        <w:t>(</w:t>
      </w:r>
      <w:hyperlink w:anchor="_ENREF_99" w:tooltip="Sanders, 1998 #732" w:history="1">
        <w:r w:rsidR="00266C78" w:rsidRPr="00E85554">
          <w:rPr>
            <w:rFonts w:ascii="Times New Roman" w:hAnsi="Times New Roman" w:cs="Times New Roman"/>
            <w:noProof/>
            <w:sz w:val="24"/>
            <w:szCs w:val="24"/>
            <w:lang w:val="en-US"/>
          </w:rPr>
          <w:t>e.g. Sanders et al., 1998</w:t>
        </w:r>
      </w:hyperlink>
      <w:r w:rsidR="00F45EA2"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Internationalization of a firm’s operations increases the complexity of monitoring due to a higher asymmetry of information between the management, the blockholder and the board which increases the need for independent directors with the relevant skills for efficient monitoring. A higher degree of commercial internationalization is also associated with a higher number of independent directors with international experience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&lt;EndNote&gt;&lt;Cite&gt;&lt;Author&gt;Oxelheim&lt;/Author&gt;&lt;Year&gt;2013&lt;/Year&gt;&lt;RecNum&gt;734&lt;/RecNum&gt;&lt;DisplayText&gt;(Oxelheim et al., 2013)&lt;/DisplayText&gt;&lt;record&gt;&lt;rec-number&gt;734&lt;/rec-number&gt;&lt;foreign-keys&gt;&lt;key app="EN" db-id="xdsfzvadmzzxdzereeq5xdf7eaxsdwfdfave" timestamp="1493415774"&gt;734&lt;/key&gt;&lt;/foreign-keys&gt;&lt;ref-type name="Journal Article"&gt;17&lt;/ref-type&gt;&lt;contributors&gt;&lt;authors&gt;&lt;author&gt;Oxelheim, Lars&lt;/author&gt;&lt;author&gt;Gregorič, Aleksandra&lt;/author&gt;&lt;author&gt;Randøy, Trond&lt;/author&gt;&lt;author&gt;Thomsen, Steen&lt;/author&gt;&lt;/authors&gt;&lt;/contributors&gt;&lt;titles&gt;&lt;title&gt;On the internationalization of corporate boards: The case of Nordic firms&lt;/title&gt;&lt;secondary-title&gt;Journal of International Business Studies&lt;/secondary-title&gt;&lt;/titles&gt;&lt;periodical&gt;&lt;full-title&gt;Journal of International Business Studies&lt;/full-title&gt;&lt;/periodical&gt;&lt;pages&gt;173-194&lt;/pages&gt;&lt;volume&gt;44&lt;/volume&gt;&lt;number&gt;3&lt;/number&gt;&lt;dates&gt;&lt;year&gt;2013&lt;/year&gt;&lt;/dates&gt;&lt;isbn&gt;1478-6990&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82" w:tooltip="Oxelheim, 2013 #734" w:history="1">
        <w:r w:rsidR="00266C78" w:rsidRPr="00E85554">
          <w:rPr>
            <w:rFonts w:ascii="Times New Roman" w:hAnsi="Times New Roman" w:cs="Times New Roman"/>
            <w:noProof/>
            <w:sz w:val="24"/>
            <w:szCs w:val="24"/>
            <w:lang w:val="en-US"/>
          </w:rPr>
          <w:t>Oxelheim et al., 2013</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In their advisory role, independent directors bring to the board important expertise and important network ties, which can lead to better decisions and resource use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&lt;EndNote&gt;&lt;Cite&gt;&lt;Author&gt;Daily&lt;/Author&gt;&lt;Year&gt;2003&lt;/Year&gt;&lt;RecNum&gt;733&lt;/RecNum&gt;&lt;DisplayText&gt;(Daily et al., 2003)&lt;/DisplayText&gt;&lt;record&gt;&lt;rec-number&gt;733&lt;/rec-number&gt;&lt;foreign-keys&gt;&lt;key app="EN" db-id="xdsfzvadmzzxdzereeq5xdf7eaxsdwfdfave" timestamp="1493415632"&gt;733&lt;/key&gt;&lt;/foreign-keys&gt;&lt;ref-type name="Journal Article"&gt;17&lt;/ref-type&gt;&lt;contributors&gt;&lt;authors&gt;&lt;author&gt;Daily, Catherine M&lt;/author&gt;&lt;author&gt;Dalton, Dan R&lt;/author&gt;&lt;author&gt;Cannella, Albert A&lt;/author&gt;&lt;/authors&gt;&lt;/contributors&gt;&lt;titles&gt;&lt;title&gt;Corporate governance: Decades of dialogue and data&lt;/title&gt;&lt;secondary-title&gt;Academy of management review&lt;/secondary-title&gt;&lt;/titles&gt;&lt;periodical&gt;&lt;full-title&gt;Academy of Management Review&lt;/full-title&gt;&lt;/periodical&gt;&lt;pages&gt;371-382&lt;/pages&gt;&lt;volume&gt;28&lt;/volume&gt;&lt;number&gt;3&lt;/number&gt;&lt;dates&gt;&lt;year&gt;2003&lt;/year&gt;&lt;/dates&gt;&lt;isbn&gt;0363-7425&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34" w:tooltip="Daily, 2003 #733" w:history="1">
        <w:r w:rsidR="00266C78" w:rsidRPr="00E85554">
          <w:rPr>
            <w:rFonts w:ascii="Times New Roman" w:hAnsi="Times New Roman" w:cs="Times New Roman"/>
            <w:noProof/>
            <w:sz w:val="24"/>
            <w:szCs w:val="24"/>
            <w:lang w:val="en-US"/>
          </w:rPr>
          <w:t>Daily et al., 2003</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We expect that a higher proportion of independent directors on </w:t>
      </w:r>
      <w:r w:rsidR="00CB16E1" w:rsidRPr="00E85554">
        <w:rPr>
          <w:rFonts w:ascii="Times New Roman" w:hAnsi="Times New Roman" w:cs="Times New Roman"/>
          <w:sz w:val="24"/>
          <w:szCs w:val="24"/>
          <w:lang w:val="en-US"/>
        </w:rPr>
        <w:t xml:space="preserve">the </w:t>
      </w:r>
      <w:r w:rsidRPr="00E85554">
        <w:rPr>
          <w:rFonts w:ascii="Times New Roman" w:hAnsi="Times New Roman" w:cs="Times New Roman"/>
          <w:sz w:val="24"/>
          <w:szCs w:val="24"/>
          <w:lang w:val="en-US"/>
        </w:rPr>
        <w:t xml:space="preserve">board would reduce blockholder appropriation in MNEs. </w:t>
      </w:r>
    </w:p>
    <w:p w14:paraId="19639675" w14:textId="77777777" w:rsidR="006F3C71" w:rsidRPr="00E85554" w:rsidRDefault="006F3C71" w:rsidP="00537AD3">
      <w:pPr>
        <w:pStyle w:val="ListParagraph"/>
        <w:spacing w:after="0" w:line="480" w:lineRule="auto"/>
        <w:ind w:left="0"/>
        <w:rPr>
          <w:rFonts w:ascii="Times New Roman" w:hAnsi="Times New Roman" w:cs="Times New Roman"/>
          <w:i/>
          <w:sz w:val="24"/>
          <w:szCs w:val="24"/>
          <w:lang w:val="en-US"/>
        </w:rPr>
      </w:pPr>
      <w:r w:rsidRPr="00E85554">
        <w:rPr>
          <w:rFonts w:ascii="Times New Roman" w:hAnsi="Times New Roman" w:cs="Times New Roman"/>
          <w:i/>
          <w:sz w:val="24"/>
          <w:szCs w:val="24"/>
          <w:lang w:val="en-US"/>
        </w:rPr>
        <w:t>H2. A higher proportion of independent directors is likely to attenuate the degree of blockholder appropriation in emerging market MNEs.</w:t>
      </w:r>
    </w:p>
    <w:p w14:paraId="1C8FC020" w14:textId="77777777" w:rsidR="006F3C71" w:rsidRPr="00E85554" w:rsidRDefault="006F3C71" w:rsidP="00537AD3">
      <w:pPr>
        <w:pStyle w:val="ListParagraph"/>
        <w:spacing w:after="0" w:line="480" w:lineRule="auto"/>
        <w:ind w:left="0"/>
        <w:rPr>
          <w:rFonts w:ascii="Times New Roman" w:hAnsi="Times New Roman" w:cs="Times New Roman"/>
          <w:b/>
          <w:sz w:val="24"/>
          <w:szCs w:val="24"/>
          <w:lang w:val="en-US"/>
        </w:rPr>
      </w:pPr>
      <w:r w:rsidRPr="00E85554">
        <w:rPr>
          <w:rFonts w:ascii="Times New Roman" w:hAnsi="Times New Roman" w:cs="Times New Roman"/>
          <w:b/>
          <w:sz w:val="24"/>
          <w:szCs w:val="24"/>
          <w:lang w:val="en-US"/>
        </w:rPr>
        <w:t>Cross-listings and bonding</w:t>
      </w:r>
    </w:p>
    <w:p w14:paraId="51CA5940" w14:textId="1793433B" w:rsidR="006F3C71" w:rsidRPr="00E85554" w:rsidRDefault="006F3C71" w:rsidP="00537AD3">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The need for access to global capital markets sharpens firms’ incentives for better governance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&lt;EndNote&gt;&lt;Cite&gt;&lt;Author&gt;Doidge&lt;/Author&gt;&lt;Year&gt;2007&lt;/Year&gt;&lt;RecNum&gt;739&lt;/RecNum&gt;&lt;DisplayText&gt;(Doidge et al., 2007)&lt;/DisplayText&gt;&lt;record&gt;&lt;rec-number&gt;739&lt;/rec-number&gt;&lt;foreign-keys&gt;&lt;key app="EN" db-id="xdsfzvadmzzxdzereeq5xdf7eaxsdwfdfave" timestamp="1493422164"&gt;739&lt;/key&gt;&lt;/foreign-keys&gt;&lt;ref-type name="Journal Article"&gt;17&lt;/ref-type&gt;&lt;contributors&gt;&lt;authors&gt;&lt;author&gt;Doidge, Craig&lt;/author&gt;&lt;author&gt;Karolyi, G Andrew&lt;/author&gt;&lt;author&gt;Stulz, René M&lt;/author&gt;&lt;/authors&gt;&lt;/contributors&gt;&lt;titles&gt;&lt;title&gt;Why do countries matter so much for corporate governance?&lt;/title&gt;&lt;secondary-title&gt;Journal of financial economics&lt;/secondary-title&gt;&lt;/titles&gt;&lt;periodical&gt;&lt;full-title&gt;Journal of Financial Economics&lt;/full-title&gt;&lt;/periodical&gt;&lt;pages&gt;1-39&lt;/pages&gt;&lt;volume&gt;86&lt;/volume&gt;&lt;number&gt;1&lt;/number&gt;&lt;dates&gt;&lt;year&gt;2007&lt;/year&gt;&lt;/dates&gt;&lt;isbn&gt;0304-405X&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39" w:tooltip="Doidge, 2007 #739" w:history="1">
        <w:r w:rsidR="00266C78" w:rsidRPr="00E85554">
          <w:rPr>
            <w:rFonts w:ascii="Times New Roman" w:hAnsi="Times New Roman" w:cs="Times New Roman"/>
            <w:noProof/>
            <w:sz w:val="24"/>
            <w:szCs w:val="24"/>
            <w:lang w:val="en-US"/>
          </w:rPr>
          <w:t>Doidge et al., 2007</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Cross-listing allows access to foreign capital which helps t</w:t>
      </w:r>
      <w:r w:rsidR="00012548" w:rsidRPr="00E85554">
        <w:rPr>
          <w:rFonts w:ascii="Times New Roman" w:hAnsi="Times New Roman" w:cs="Times New Roman"/>
          <w:sz w:val="24"/>
          <w:szCs w:val="24"/>
          <w:lang w:val="en-US"/>
        </w:rPr>
        <w:t>he firm</w:t>
      </w:r>
      <w:r w:rsidRPr="00E85554">
        <w:rPr>
          <w:rFonts w:ascii="Times New Roman" w:hAnsi="Times New Roman" w:cs="Times New Roman"/>
          <w:sz w:val="24"/>
          <w:szCs w:val="24"/>
          <w:lang w:val="en-US"/>
        </w:rPr>
        <w:t xml:space="preserve"> grow rapidly and without leverage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&lt;EndNote&gt;&lt;Cite&gt;&lt;Author&gt;Pagano&lt;/Author&gt;&lt;Year&gt;2002&lt;/Year&gt;&lt;RecNum&gt;740&lt;/RecNum&gt;&lt;DisplayText&gt;(Pagano et al., 2002)&lt;/DisplayText&gt;&lt;record&gt;&lt;rec-number&gt;740&lt;/rec-number&gt;&lt;foreign-keys&gt;&lt;key app="EN" db-id="xdsfzvadmzzxdzereeq5xdf7eaxsdwfdfave" timestamp="1493422231"&gt;740&lt;/key&gt;&lt;/foreign-keys&gt;&lt;ref-type name="Journal Article"&gt;17&lt;/ref-type&gt;&lt;contributors&gt;&lt;authors&gt;&lt;author&gt;Pagano, Marco&lt;/author&gt;&lt;author&gt;Röell, Ailsa A&lt;/author&gt;&lt;author&gt;Zechner, Josef&lt;/author&gt;&lt;/authors&gt;&lt;/contributors&gt;&lt;titles&gt;&lt;title&gt;The geography of equity listing: why do companies list abroad?&lt;/title&gt;&lt;secondary-title&gt;The Journal of Finance&lt;/secondary-title&gt;&lt;/titles&gt;&lt;periodical&gt;&lt;full-title&gt;The Journal of Finance&lt;/full-title&gt;&lt;/periodical&gt;&lt;pages&gt;2651-2694&lt;/pages&gt;&lt;volume&gt;57&lt;/volume&gt;&lt;number&gt;6&lt;/number&gt;&lt;dates&gt;&lt;year&gt;2002&lt;/year&gt;&lt;/dates&gt;&lt;isbn&gt;1540-6261&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83" w:tooltip="Pagano, 2002 #740" w:history="1">
        <w:r w:rsidR="00266C78" w:rsidRPr="00E85554">
          <w:rPr>
            <w:rFonts w:ascii="Times New Roman" w:hAnsi="Times New Roman" w:cs="Times New Roman"/>
            <w:noProof/>
            <w:sz w:val="24"/>
            <w:szCs w:val="24"/>
            <w:lang w:val="en-US"/>
          </w:rPr>
          <w:t>Pagano et al., 2002</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For </w:t>
      </w:r>
      <w:r w:rsidR="00EE7DE3" w:rsidRPr="00E85554">
        <w:rPr>
          <w:rFonts w:ascii="Times New Roman" w:hAnsi="Times New Roman" w:cs="Times New Roman"/>
          <w:sz w:val="24"/>
          <w:szCs w:val="24"/>
          <w:lang w:val="en-US"/>
        </w:rPr>
        <w:t>EEMM</w:t>
      </w:r>
      <w:r w:rsidRPr="00E85554">
        <w:rPr>
          <w:rFonts w:ascii="Times New Roman" w:hAnsi="Times New Roman" w:cs="Times New Roman"/>
          <w:sz w:val="24"/>
          <w:szCs w:val="24"/>
          <w:lang w:val="en-US"/>
        </w:rPr>
        <w:t xml:space="preserve"> firms, financial relocation t</w:t>
      </w:r>
      <w:r w:rsidR="006559C1" w:rsidRPr="00E85554">
        <w:rPr>
          <w:rFonts w:ascii="Times New Roman" w:hAnsi="Times New Roman" w:cs="Times New Roman"/>
          <w:sz w:val="24"/>
          <w:szCs w:val="24"/>
          <w:lang w:val="en-US"/>
        </w:rPr>
        <w:t xml:space="preserve">o the developed markets can result in </w:t>
      </w:r>
      <w:r w:rsidRPr="00E85554">
        <w:rPr>
          <w:rFonts w:ascii="Times New Roman" w:hAnsi="Times New Roman" w:cs="Times New Roman"/>
          <w:sz w:val="24"/>
          <w:szCs w:val="24"/>
          <w:lang w:val="en-US"/>
        </w:rPr>
        <w:t xml:space="preserve">some of the national corporate </w:t>
      </w:r>
      <w:r w:rsidR="006559C1" w:rsidRPr="00E85554">
        <w:rPr>
          <w:rFonts w:ascii="Times New Roman" w:hAnsi="Times New Roman" w:cs="Times New Roman"/>
          <w:sz w:val="24"/>
          <w:szCs w:val="24"/>
          <w:lang w:val="en-US"/>
        </w:rPr>
        <w:t xml:space="preserve">governance </w:t>
      </w:r>
      <w:r w:rsidRPr="00E85554">
        <w:rPr>
          <w:rFonts w:ascii="Times New Roman" w:hAnsi="Times New Roman" w:cs="Times New Roman"/>
          <w:sz w:val="24"/>
          <w:szCs w:val="24"/>
          <w:lang w:val="en-US"/>
        </w:rPr>
        <w:t>standards be</w:t>
      </w:r>
      <w:r w:rsidR="00012548" w:rsidRPr="00E85554">
        <w:rPr>
          <w:rFonts w:ascii="Times New Roman" w:hAnsi="Times New Roman" w:cs="Times New Roman"/>
          <w:sz w:val="24"/>
          <w:szCs w:val="24"/>
          <w:lang w:val="en-US"/>
        </w:rPr>
        <w:t>ing</w:t>
      </w:r>
      <w:r w:rsidRPr="00E85554">
        <w:rPr>
          <w:rFonts w:ascii="Times New Roman" w:hAnsi="Times New Roman" w:cs="Times New Roman"/>
          <w:sz w:val="24"/>
          <w:szCs w:val="24"/>
          <w:lang w:val="en-US"/>
        </w:rPr>
        <w:t xml:space="preserve"> replaced by the host country standards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&lt;EndNote&gt;&lt;Cite&gt;&lt;Author&gt;Bell&lt;/Author&gt;&lt;Year&gt;2014&lt;/Year&gt;&lt;RecNum&gt;649&lt;/RecNum&gt;&lt;DisplayText&gt;(Bell et al., 2014; Coffee Jr, 2002)&lt;/DisplayText&gt;&lt;record&gt;&lt;rec-number&gt;649&lt;/rec-number&gt;&lt;foreign-keys&gt;&lt;key app="EN" db-id="xdsfzvadmzzxdzereeq5xdf7eaxsdwfdfave" timestamp="1477858417"&gt;649&lt;/key&gt;&lt;/foreign-keys&gt;&lt;ref-type name="Journal Article"&gt;17&lt;/ref-type&gt;&lt;contributors&gt;&lt;authors&gt;&lt;author&gt;Bell, R Greg&lt;/author&gt;&lt;author&gt;Filatotchev, Igor&lt;/author&gt;&lt;author&gt;Aguilera, Ruth V&lt;/author&gt;&lt;/authors&gt;&lt;/contributors&gt;&lt;titles&gt;&lt;title&gt;Corporate governance and investors&amp;apos; perceptions of foreign IPO value: An institutional perspective&lt;/title&gt;&lt;secondary-title&gt;Academy of Management Journal&lt;/secondary-title&gt;&lt;/titles&gt;&lt;periodical&gt;&lt;full-title&gt;Academy of Management Journal&lt;/full-title&gt;&lt;/periodical&gt;&lt;pages&gt;301-320&lt;/pages&gt;&lt;volume&gt;57&lt;/volume&gt;&lt;number&gt;1&lt;/number&gt;&lt;dates&gt;&lt;year&gt;2014&lt;/year&gt;&lt;/dates&gt;&lt;isbn&gt;0001-4273&lt;/isbn&gt;&lt;urls&gt;&lt;/urls&gt;&lt;/record&gt;&lt;/Cite&gt;&lt;Cite&gt;&lt;Author&gt;Coffee Jr&lt;/Author&gt;&lt;Year&gt;2002&lt;/Year&gt;&lt;RecNum&gt;718&lt;/RecNum&gt;&lt;record&gt;&lt;rec-number&gt;718&lt;/rec-number&gt;&lt;foreign-keys&gt;&lt;key app="EN" db-id="xdsfzvadmzzxdzereeq5xdf7eaxsdwfdfave" timestamp="1492772992"&gt;718&lt;/key&gt;&lt;/foreign-keys&gt;&lt;ref-type name="Journal Article"&gt;17&lt;/ref-type&gt;&lt;contributors&gt;&lt;authors&gt;&lt;author&gt;Coffee Jr, John C&lt;/author&gt;&lt;/authors&gt;&lt;/contributors&gt;&lt;titles&gt;&lt;title&gt;Racing towards the top?: The impact of cross-listings and stock market competition on international corporate governance&lt;/title&gt;&lt;secondary-title&gt;Columbia law review&lt;/secondary-title&gt;&lt;/titles&gt;&lt;periodical&gt;&lt;full-title&gt;Columbia law review&lt;/full-title&gt;&lt;/periodical&gt;&lt;pages&gt;1757-1831&lt;/pages&gt;&lt;dates&gt;&lt;year&gt;2002&lt;/year&gt;&lt;/dates&gt;&lt;isbn&gt;0010-1958&lt;/isbn&gt;&lt;urls&gt;&lt;/urls&gt;&lt;/record&gt;&lt;/Cite&gt;&lt;/EndNote&gt;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sz w:val="24"/>
          <w:szCs w:val="24"/>
          <w:lang w:val="en-US"/>
        </w:rPr>
        <w:t>(</w:t>
      </w:r>
      <w:hyperlink w:anchor="_ENREF_11" w:tooltip="Bell, 2014 #649" w:history="1">
        <w:r w:rsidR="00266C78" w:rsidRPr="00E85554">
          <w:rPr>
            <w:rFonts w:ascii="Times New Roman" w:hAnsi="Times New Roman" w:cs="Times New Roman"/>
            <w:sz w:val="24"/>
            <w:szCs w:val="24"/>
            <w:lang w:val="en-US"/>
          </w:rPr>
          <w:t>Bell et al., 2014</w:t>
        </w:r>
      </w:hyperlink>
      <w:r w:rsidRPr="00E85554">
        <w:rPr>
          <w:rFonts w:ascii="Times New Roman" w:hAnsi="Times New Roman" w:cs="Times New Roman"/>
          <w:sz w:val="24"/>
          <w:szCs w:val="24"/>
          <w:lang w:val="en-US"/>
        </w:rPr>
        <w:t xml:space="preserve">; </w:t>
      </w:r>
      <w:hyperlink w:anchor="_ENREF_33" w:tooltip="Coffee Jr, 2002 #718" w:history="1">
        <w:r w:rsidR="00266C78" w:rsidRPr="00E85554">
          <w:rPr>
            <w:rFonts w:ascii="Times New Roman" w:hAnsi="Times New Roman" w:cs="Times New Roman"/>
            <w:sz w:val="24"/>
            <w:szCs w:val="24"/>
            <w:lang w:val="en-US"/>
          </w:rPr>
          <w:t>Coffee Jr, 2002</w:t>
        </w:r>
      </w:hyperlink>
      <w:r w:rsidRPr="00E85554">
        <w:rPr>
          <w:rFonts w:ascii="Times New Roman" w:hAnsi="Times New Roman" w:cs="Times New Roman"/>
          <w:sz w:val="24"/>
          <w:szCs w:val="24"/>
          <w:lang w:val="en-US"/>
        </w:rPr>
        <w:t>)</w:t>
      </w:r>
      <w:r w:rsidRPr="00E85554">
        <w:rPr>
          <w:rFonts w:ascii="Times New Roman" w:hAnsi="Times New Roman" w:cs="Times New Roman"/>
          <w:sz w:val="24"/>
          <w:szCs w:val="24"/>
          <w:lang w:val="en-US"/>
        </w:rPr>
        <w:fldChar w:fldCharType="end"/>
      </w:r>
      <w:r w:rsidR="00012548" w:rsidRPr="00E85554">
        <w:rPr>
          <w:rFonts w:ascii="Times New Roman" w:hAnsi="Times New Roman" w:cs="Times New Roman"/>
          <w:sz w:val="24"/>
          <w:szCs w:val="24"/>
          <w:lang w:val="en-US"/>
        </w:rPr>
        <w:t>,</w:t>
      </w:r>
      <w:r w:rsidRPr="00E85554">
        <w:rPr>
          <w:rFonts w:ascii="Times New Roman" w:hAnsi="Times New Roman" w:cs="Times New Roman"/>
          <w:sz w:val="24"/>
          <w:szCs w:val="24"/>
          <w:lang w:val="en-US"/>
        </w:rPr>
        <w:t xml:space="preserve"> pav</w:t>
      </w:r>
      <w:r w:rsidR="00012548" w:rsidRPr="00E85554">
        <w:rPr>
          <w:rFonts w:ascii="Times New Roman" w:hAnsi="Times New Roman" w:cs="Times New Roman"/>
          <w:sz w:val="24"/>
          <w:szCs w:val="24"/>
          <w:lang w:val="en-US"/>
        </w:rPr>
        <w:t>ing</w:t>
      </w:r>
      <w:r w:rsidRPr="00E85554">
        <w:rPr>
          <w:rFonts w:ascii="Times New Roman" w:hAnsi="Times New Roman" w:cs="Times New Roman"/>
          <w:sz w:val="24"/>
          <w:szCs w:val="24"/>
          <w:lang w:val="en-US"/>
        </w:rPr>
        <w:t xml:space="preserve"> the way for greater legitimacy. </w:t>
      </w:r>
      <w:r w:rsidR="006559C1" w:rsidRPr="00E85554">
        <w:rPr>
          <w:rFonts w:ascii="Times New Roman" w:hAnsi="Times New Roman" w:cs="Times New Roman"/>
          <w:sz w:val="24"/>
          <w:szCs w:val="24"/>
          <w:lang w:val="en-US"/>
        </w:rPr>
        <w:t xml:space="preserve">Their </w:t>
      </w:r>
      <w:r w:rsidRPr="00E85554">
        <w:rPr>
          <w:rFonts w:ascii="Times New Roman" w:hAnsi="Times New Roman" w:cs="Times New Roman"/>
          <w:sz w:val="24"/>
          <w:szCs w:val="24"/>
          <w:lang w:val="en-US"/>
        </w:rPr>
        <w:t xml:space="preserve">cross-listing </w:t>
      </w:r>
      <w:r w:rsidR="006559C1" w:rsidRPr="00E85554">
        <w:rPr>
          <w:rFonts w:ascii="Times New Roman" w:hAnsi="Times New Roman" w:cs="Times New Roman"/>
          <w:sz w:val="24"/>
          <w:szCs w:val="24"/>
          <w:lang w:val="en-US"/>
        </w:rPr>
        <w:t xml:space="preserve">might </w:t>
      </w:r>
      <w:r w:rsidRPr="00E85554">
        <w:rPr>
          <w:rFonts w:ascii="Times New Roman" w:hAnsi="Times New Roman" w:cs="Times New Roman"/>
          <w:sz w:val="24"/>
          <w:szCs w:val="24"/>
          <w:lang w:val="en-US"/>
        </w:rPr>
        <w:t xml:space="preserve">lead to </w:t>
      </w:r>
      <w:r w:rsidR="00EE7DE3" w:rsidRPr="00E85554">
        <w:rPr>
          <w:rFonts w:ascii="Times New Roman" w:hAnsi="Times New Roman" w:cs="Times New Roman"/>
          <w:sz w:val="24"/>
          <w:szCs w:val="24"/>
          <w:lang w:val="en-US"/>
        </w:rPr>
        <w:t xml:space="preserve">stronger </w:t>
      </w:r>
      <w:r w:rsidRPr="00E85554">
        <w:rPr>
          <w:rFonts w:ascii="Times New Roman" w:hAnsi="Times New Roman" w:cs="Times New Roman"/>
          <w:sz w:val="24"/>
          <w:szCs w:val="24"/>
          <w:lang w:val="en-US"/>
        </w:rPr>
        <w:t xml:space="preserve">‘bonding’ with the </w:t>
      </w:r>
      <w:r w:rsidR="00EE7DE3" w:rsidRPr="00E85554">
        <w:rPr>
          <w:rFonts w:ascii="Times New Roman" w:hAnsi="Times New Roman" w:cs="Times New Roman"/>
          <w:sz w:val="24"/>
          <w:szCs w:val="24"/>
          <w:lang w:val="en-US"/>
        </w:rPr>
        <w:t xml:space="preserve">governance </w:t>
      </w:r>
      <w:r w:rsidRPr="00E85554">
        <w:rPr>
          <w:rFonts w:ascii="Times New Roman" w:hAnsi="Times New Roman" w:cs="Times New Roman"/>
          <w:sz w:val="24"/>
          <w:szCs w:val="24"/>
          <w:lang w:val="en-US"/>
        </w:rPr>
        <w:t xml:space="preserve">standards of a host country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&lt;EndNote&gt;&lt;Cite&gt;&lt;Author&gt;Peng&lt;/Author&gt;&lt;Year&gt;2014&lt;/Year&gt;&lt;RecNum&gt;735&lt;/RecNum&gt;&lt;DisplayText&gt;(Peng et al., 2014)&lt;/DisplayText&gt;&lt;record&gt;&lt;rec-number&gt;735&lt;/rec-number&gt;&lt;foreign-keys&gt;&lt;key app="EN" db-id="xdsfzvadmzzxdzereeq5xdf7eaxsdwfdfave" timestamp="1493418638"&gt;735&lt;/key&gt;&lt;/foreign-keys&gt;&lt;ref-type name="Journal Article"&gt;17&lt;/ref-type&gt;&lt;contributors&gt;&lt;authors&gt;&lt;author&gt;Peng, Mike W&lt;/author&gt;&lt;author&gt;Su, Weichieh&lt;/author&gt;&lt;/authors&gt;&lt;/contributors&gt;&lt;titles&gt;&lt;title&gt;Cross-listing and the scope of the firm&lt;/title&gt;&lt;secondary-title&gt;Journal of World Business&lt;/secondary-title&gt;&lt;/titles&gt;&lt;periodical&gt;&lt;full-title&gt;Journal of World Business&lt;/full-title&gt;&lt;/periodical&gt;&lt;pages&gt;42-50&lt;/pages&gt;&lt;volume&gt;49&lt;/volume&gt;&lt;number&gt;1&lt;/number&gt;&lt;dates&gt;&lt;year&gt;2014&lt;/year&gt;&lt;/dates&gt;&lt;isbn&gt;1090-9516&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85" w:tooltip="Peng, 2014 #735" w:history="1">
        <w:r w:rsidR="00266C78" w:rsidRPr="00E85554">
          <w:rPr>
            <w:rFonts w:ascii="Times New Roman" w:hAnsi="Times New Roman" w:cs="Times New Roman"/>
            <w:noProof/>
            <w:sz w:val="24"/>
            <w:szCs w:val="24"/>
            <w:lang w:val="en-US"/>
          </w:rPr>
          <w:t>Peng et al., 2014</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00EE7DE3" w:rsidRPr="00E85554">
        <w:rPr>
          <w:rFonts w:ascii="Times New Roman" w:hAnsi="Times New Roman" w:cs="Times New Roman"/>
          <w:sz w:val="24"/>
          <w:szCs w:val="24"/>
          <w:lang w:val="en-US"/>
        </w:rPr>
        <w:t xml:space="preserve"> than in case of commercial internationalization</w:t>
      </w:r>
      <w:r w:rsidR="000035DE">
        <w:rPr>
          <w:rFonts w:ascii="Times New Roman" w:hAnsi="Times New Roman" w:cs="Times New Roman"/>
          <w:sz w:val="24"/>
          <w:szCs w:val="24"/>
          <w:lang w:val="en-US"/>
        </w:rPr>
        <w:t xml:space="preserve"> of MNEs</w:t>
      </w:r>
      <w:r w:rsidRPr="00E85554">
        <w:rPr>
          <w:rFonts w:ascii="Times New Roman" w:hAnsi="Times New Roman" w:cs="Times New Roman"/>
          <w:sz w:val="24"/>
          <w:szCs w:val="24"/>
          <w:lang w:val="en-US"/>
        </w:rPr>
        <w:t>,</w:t>
      </w:r>
      <w:r w:rsidR="00EE7DE3" w:rsidRPr="00E85554">
        <w:rPr>
          <w:rFonts w:ascii="Times New Roman" w:hAnsi="Times New Roman" w:cs="Times New Roman"/>
          <w:sz w:val="24"/>
          <w:szCs w:val="24"/>
          <w:lang w:val="en-US"/>
        </w:rPr>
        <w:t xml:space="preserve"> as there are specific requirements to fulfil</w:t>
      </w:r>
      <w:r w:rsidRPr="00E85554">
        <w:rPr>
          <w:rFonts w:ascii="Times New Roman" w:hAnsi="Times New Roman" w:cs="Times New Roman"/>
          <w:sz w:val="24"/>
          <w:szCs w:val="24"/>
          <w:lang w:val="en-US"/>
        </w:rPr>
        <w:t xml:space="preserve"> </w:t>
      </w:r>
      <w:r w:rsidR="00EE7DE3" w:rsidRPr="00E85554">
        <w:rPr>
          <w:rFonts w:ascii="Times New Roman" w:hAnsi="Times New Roman" w:cs="Times New Roman"/>
          <w:sz w:val="24"/>
          <w:szCs w:val="24"/>
          <w:lang w:val="en-US"/>
        </w:rPr>
        <w:t xml:space="preserve">in order to cross-list, </w:t>
      </w:r>
      <w:r w:rsidRPr="00E85554">
        <w:rPr>
          <w:rFonts w:ascii="Times New Roman" w:hAnsi="Times New Roman" w:cs="Times New Roman"/>
          <w:sz w:val="24"/>
          <w:szCs w:val="24"/>
          <w:lang w:val="en-US"/>
        </w:rPr>
        <w:t xml:space="preserve">and partially compensate for weak protection of minority investors in their home markets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&lt;EndNote&gt;&lt;Cite&gt;&lt;Author&gt;Coffee Jr&lt;/Author&gt;&lt;Year&gt;2002&lt;/Year&gt;&lt;RecNum&gt;718&lt;/RecNum&gt;&lt;DisplayText&gt;(Coffee Jr, 2002)&lt;/DisplayText&gt;&lt;record&gt;&lt;rec-number&gt;718&lt;/rec-number&gt;&lt;foreign-keys&gt;&lt;key app="EN" db-id="xdsfzvadmzzxdzereeq5xdf7eaxsdwfdfave" timestamp="1492772992"&gt;718&lt;/key&gt;&lt;/foreign-keys&gt;&lt;ref-type name="Journal Article"&gt;17&lt;/ref-type&gt;&lt;contributors&gt;&lt;authors&gt;&lt;author&gt;Coffee Jr, John C&lt;/author&gt;&lt;/authors&gt;&lt;/contributors&gt;&lt;titles&gt;&lt;title&gt;Racing towards the top?: The impact of cross-listings and stock market competition on international corporate governance&lt;/title&gt;&lt;secondary-title&gt;Columbia law review&lt;/secondary-title&gt;&lt;/titles&gt;&lt;periodical&gt;&lt;full-title&gt;Columbia law review&lt;/full-title&gt;&lt;/periodical&gt;&lt;pages&gt;1757-1831&lt;/pages&gt;&lt;dates&gt;&lt;year&gt;2002&lt;/year&gt;&lt;/dates&gt;&lt;isbn&gt;0010-1958&lt;/isbn&gt;&lt;urls&gt;&lt;/urls&gt;&lt;/record&gt;&lt;/Cite&gt;&lt;/EndNote&gt;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33" w:tooltip="Coffee Jr, 2002 #718" w:history="1">
        <w:r w:rsidR="00266C78" w:rsidRPr="00E85554">
          <w:rPr>
            <w:rFonts w:ascii="Times New Roman" w:hAnsi="Times New Roman" w:cs="Times New Roman"/>
            <w:noProof/>
            <w:sz w:val="24"/>
            <w:szCs w:val="24"/>
            <w:lang w:val="en-US"/>
          </w:rPr>
          <w:t>Coffee Jr, 2002</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Cross-listing can also be an important signaling mechanism for </w:t>
      </w:r>
      <w:r w:rsidRPr="00E85554">
        <w:rPr>
          <w:rFonts w:ascii="Times New Roman" w:hAnsi="Times New Roman" w:cs="Times New Roman"/>
          <w:sz w:val="24"/>
          <w:szCs w:val="24"/>
          <w:lang w:val="en-US"/>
        </w:rPr>
        <w:lastRenderedPageBreak/>
        <w:t xml:space="preserve">firms wanting to change perceptions of their corporate governance levels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&lt;EndNote&gt;&lt;Cite&gt;&lt;Author&gt;Temouri&lt;/Author&gt;&lt;Year&gt;2016&lt;/Year&gt;&lt;RecNum&gt;727&lt;/RecNum&gt;&lt;DisplayText&gt;(Temouri et al., 2016)&lt;/DisplayText&gt;&lt;record&gt;&lt;rec-number&gt;727&lt;/rec-number&gt;&lt;foreign-keys&gt;&lt;key app="EN" db-id="xdsfzvadmzzxdzereeq5xdf7eaxsdwfdfave" timestamp="1493308962"&gt;727&lt;/key&gt;&lt;/foreign-keys&gt;&lt;ref-type name="Journal Article"&gt;17&lt;/ref-type&gt;&lt;contributors&gt;&lt;authors&gt;&lt;author&gt;Temouri, Yama&lt;/author&gt;&lt;author&gt;Driffield, Nigel&lt;/author&gt;&lt;author&gt;Bhaumik, Sumon Kumar&lt;/author&gt;&lt;/authors&gt;&lt;/contributors&gt;&lt;titles&gt;&lt;title&gt;A strategic perspective of cross-listing by emerging market firms: Evidence from Indonesia, Mexico, Poland and South Africa&lt;/title&gt;&lt;secondary-title&gt;Journal of International Management&lt;/secondary-title&gt;&lt;/titles&gt;&lt;periodical&gt;&lt;full-title&gt;Journal of International Management&lt;/full-title&gt;&lt;/periodical&gt;&lt;pages&gt;265-279&lt;/pages&gt;&lt;volume&gt;22&lt;/volume&gt;&lt;number&gt;3&lt;/number&gt;&lt;dates&gt;&lt;year&gt;2016&lt;/year&gt;&lt;/dates&gt;&lt;isbn&gt;1075-4253&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103" w:tooltip="Temouri, 2016 #727" w:history="1">
        <w:r w:rsidR="00266C78" w:rsidRPr="00E85554">
          <w:rPr>
            <w:rFonts w:ascii="Times New Roman" w:hAnsi="Times New Roman" w:cs="Times New Roman"/>
            <w:noProof/>
            <w:sz w:val="24"/>
            <w:szCs w:val="24"/>
            <w:lang w:val="en-US"/>
          </w:rPr>
          <w:t>Temouri et al., 2016</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w:t>
      </w:r>
      <w:r w:rsidR="00EE7DE3" w:rsidRPr="00E85554">
        <w:rPr>
          <w:rFonts w:ascii="Times New Roman" w:hAnsi="Times New Roman" w:cs="Times New Roman"/>
          <w:sz w:val="24"/>
          <w:szCs w:val="24"/>
          <w:lang w:val="en-US"/>
        </w:rPr>
        <w:t xml:space="preserve">With cross-listing, the role of independent directors is </w:t>
      </w:r>
      <w:r w:rsidR="001E51E0" w:rsidRPr="00E85554">
        <w:rPr>
          <w:rFonts w:ascii="Times New Roman" w:hAnsi="Times New Roman" w:cs="Times New Roman"/>
          <w:sz w:val="24"/>
          <w:szCs w:val="24"/>
          <w:lang w:val="en-US"/>
        </w:rPr>
        <w:t xml:space="preserve">more fully activated than with MNEs, as there are stricter rules of listing exchanges to abide by. </w:t>
      </w:r>
      <w:r w:rsidRPr="00E85554">
        <w:rPr>
          <w:rFonts w:ascii="Times New Roman" w:hAnsi="Times New Roman" w:cs="Times New Roman"/>
          <w:sz w:val="24"/>
          <w:szCs w:val="24"/>
          <w:lang w:val="en-US"/>
        </w:rPr>
        <w:t xml:space="preserve">We expect that when </w:t>
      </w:r>
      <w:r w:rsidR="006559C1" w:rsidRPr="00E85554">
        <w:rPr>
          <w:rFonts w:ascii="Times New Roman" w:hAnsi="Times New Roman" w:cs="Times New Roman"/>
          <w:sz w:val="24"/>
          <w:szCs w:val="24"/>
          <w:lang w:val="en-US"/>
        </w:rPr>
        <w:t>a firm embeds itself in a stronger</w:t>
      </w:r>
      <w:r w:rsidRPr="00E85554">
        <w:rPr>
          <w:rFonts w:ascii="Times New Roman" w:hAnsi="Times New Roman" w:cs="Times New Roman"/>
          <w:sz w:val="24"/>
          <w:szCs w:val="24"/>
          <w:lang w:val="en-US"/>
        </w:rPr>
        <w:t xml:space="preserve"> institutional environment of the country where it decides to cross-list, a higher proport</w:t>
      </w:r>
      <w:r w:rsidR="006559C1" w:rsidRPr="00E85554">
        <w:rPr>
          <w:rFonts w:ascii="Times New Roman" w:hAnsi="Times New Roman" w:cs="Times New Roman"/>
          <w:sz w:val="24"/>
          <w:szCs w:val="24"/>
          <w:lang w:val="en-US"/>
        </w:rPr>
        <w:t>ion of independent directors</w:t>
      </w:r>
      <w:r w:rsidRPr="00E85554">
        <w:rPr>
          <w:rFonts w:ascii="Times New Roman" w:hAnsi="Times New Roman" w:cs="Times New Roman"/>
          <w:sz w:val="24"/>
          <w:szCs w:val="24"/>
          <w:lang w:val="en-US"/>
        </w:rPr>
        <w:t xml:space="preserve"> is likely to attenuate blockholder appropriation. </w:t>
      </w:r>
    </w:p>
    <w:p w14:paraId="5ACECCFB" w14:textId="77777777" w:rsidR="006F3C71" w:rsidRPr="00E85554" w:rsidRDefault="006F3C71" w:rsidP="009301F1">
      <w:pPr>
        <w:pStyle w:val="ListParagraph"/>
        <w:spacing w:line="480" w:lineRule="auto"/>
        <w:ind w:left="0"/>
        <w:rPr>
          <w:rFonts w:ascii="Times New Roman" w:hAnsi="Times New Roman" w:cs="Times New Roman"/>
          <w:i/>
          <w:sz w:val="24"/>
          <w:szCs w:val="24"/>
          <w:lang w:val="en-US"/>
        </w:rPr>
      </w:pPr>
      <w:r w:rsidRPr="00E85554">
        <w:rPr>
          <w:rFonts w:ascii="Times New Roman" w:hAnsi="Times New Roman" w:cs="Times New Roman"/>
          <w:i/>
          <w:sz w:val="24"/>
          <w:szCs w:val="24"/>
          <w:lang w:val="en-US"/>
        </w:rPr>
        <w:t>H3. A higher proportion of independent directors is likely to attenuate the degree of blockholder appropriation in emerging market firms listed on foreign stock exchanges.</w:t>
      </w:r>
    </w:p>
    <w:p w14:paraId="4A9AA621" w14:textId="77777777" w:rsidR="006F3C71" w:rsidRPr="00E85554" w:rsidRDefault="006F3C71" w:rsidP="006559C1">
      <w:pPr>
        <w:pStyle w:val="ListParagraph"/>
        <w:spacing w:after="0" w:line="480" w:lineRule="auto"/>
        <w:ind w:left="0"/>
        <w:contextualSpacing w:val="0"/>
        <w:rPr>
          <w:rFonts w:ascii="Times New Roman" w:hAnsi="Times New Roman" w:cs="Times New Roman"/>
          <w:b/>
          <w:sz w:val="24"/>
          <w:szCs w:val="24"/>
          <w:lang w:val="en-US"/>
        </w:rPr>
      </w:pPr>
      <w:r w:rsidRPr="00E85554">
        <w:rPr>
          <w:rFonts w:ascii="Times New Roman" w:hAnsi="Times New Roman" w:cs="Times New Roman"/>
          <w:b/>
          <w:sz w:val="24"/>
          <w:szCs w:val="24"/>
          <w:lang w:val="en-US"/>
        </w:rPr>
        <w:t>Foreign independent directors</w:t>
      </w:r>
    </w:p>
    <w:p w14:paraId="29E41DE0" w14:textId="71DF57A8" w:rsidR="006F3C71" w:rsidRPr="00E85554" w:rsidRDefault="006F3C71" w:rsidP="006559C1">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The inclusion of foreign independent directors, i.e.</w:t>
      </w:r>
      <w:r w:rsidR="006559C1" w:rsidRPr="00E85554">
        <w:rPr>
          <w:rFonts w:ascii="Times New Roman" w:hAnsi="Times New Roman" w:cs="Times New Roman"/>
          <w:sz w:val="24"/>
          <w:szCs w:val="24"/>
          <w:lang w:val="en-US"/>
        </w:rPr>
        <w:t>,</w:t>
      </w:r>
      <w:r w:rsidRPr="00E85554">
        <w:rPr>
          <w:rFonts w:ascii="Times New Roman" w:hAnsi="Times New Roman" w:cs="Times New Roman"/>
          <w:sz w:val="24"/>
          <w:szCs w:val="24"/>
          <w:lang w:val="en-US"/>
        </w:rPr>
        <w:t xml:space="preserve"> directors domiciled in foreign countries, offers an alternative way that </w:t>
      </w:r>
      <w:r w:rsidR="006559C1" w:rsidRPr="00E85554">
        <w:rPr>
          <w:rFonts w:ascii="Times New Roman" w:hAnsi="Times New Roman" w:cs="Times New Roman"/>
          <w:sz w:val="24"/>
          <w:szCs w:val="24"/>
          <w:lang w:val="en-US"/>
        </w:rPr>
        <w:t xml:space="preserve">firm’s </w:t>
      </w:r>
      <w:r w:rsidRPr="00E85554">
        <w:rPr>
          <w:rFonts w:ascii="Times New Roman" w:hAnsi="Times New Roman" w:cs="Times New Roman"/>
          <w:sz w:val="24"/>
          <w:szCs w:val="24"/>
          <w:lang w:val="en-US"/>
        </w:rPr>
        <w:t>corporate governance practices of a country</w:t>
      </w:r>
      <w:r w:rsidR="006559C1" w:rsidRPr="00E85554">
        <w:rPr>
          <w:rFonts w:ascii="Times New Roman" w:hAnsi="Times New Roman" w:cs="Times New Roman"/>
          <w:sz w:val="24"/>
          <w:szCs w:val="24"/>
          <w:lang w:val="en-US"/>
        </w:rPr>
        <w:t xml:space="preserve"> </w:t>
      </w:r>
      <w:r w:rsidRPr="00E85554">
        <w:rPr>
          <w:rFonts w:ascii="Times New Roman" w:hAnsi="Times New Roman" w:cs="Times New Roman"/>
          <w:sz w:val="24"/>
          <w:szCs w:val="24"/>
          <w:lang w:val="en-US"/>
        </w:rPr>
        <w:t xml:space="preserve">can change as a result of exposure to the corporate governance practices in other countries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&lt;EndNote&gt;&lt;Cite&gt;&lt;Author&gt;Miletkov&lt;/Author&gt;&lt;Year&gt;2016&lt;/Year&gt;&lt;RecNum&gt;724&lt;/RecNum&gt;&lt;DisplayText&gt;(Miletkov et al., 2016)&lt;/DisplayText&gt;&lt;record&gt;&lt;rec-number&gt;724&lt;/rec-number&gt;&lt;foreign-keys&gt;&lt;key app="EN" db-id="xdsfzvadmzzxdzereeq5xdf7eaxsdwfdfave" timestamp="1493303275"&gt;724&lt;/key&gt;&lt;/foreign-keys&gt;&lt;ref-type name="Journal Article"&gt;17&lt;/ref-type&gt;&lt;contributors&gt;&lt;authors&gt;&lt;author&gt;Miletkov, Mihail&lt;/author&gt;&lt;author&gt;Poulsen, Annette&lt;/author&gt;&lt;author&gt;Wintoki, M Babajide&lt;/author&gt;&lt;/authors&gt;&lt;/contributors&gt;&lt;titles&gt;&lt;title&gt;Foreign independent directors and the quality of legal institutions&lt;/title&gt;&lt;secondary-title&gt;Journal of International Business Studies&lt;/secondary-title&gt;&lt;/titles&gt;&lt;periodical&gt;&lt;full-title&gt;Journal of International Business Studies&lt;/full-title&gt;&lt;/periodical&gt;&lt;pages&gt;1-26&lt;/pages&gt;&lt;dates&gt;&lt;year&gt;2016&lt;/year&gt;&lt;/dates&gt;&lt;isbn&gt;0047-2506&lt;/isbn&gt;&lt;urls&gt;&lt;/urls&gt;&lt;/record&gt;&lt;/Cite&gt;&lt;/EndNote&gt;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74" w:tooltip="Miletkov, 2016 #724" w:history="1">
        <w:r w:rsidR="00266C78" w:rsidRPr="00E85554">
          <w:rPr>
            <w:rFonts w:ascii="Times New Roman" w:hAnsi="Times New Roman" w:cs="Times New Roman"/>
            <w:noProof/>
            <w:sz w:val="24"/>
            <w:szCs w:val="24"/>
            <w:lang w:val="en-US"/>
          </w:rPr>
          <w:t>Miletkov et al., 2016</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Foreign directors appointed to Russian boards are high profile professionals the international market and cannot compromise their reputation with companies potentially involved in self-dealings and appropriation. While generally such foreign independent directors are respected industry specialists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&lt;EndNote&gt;&lt;Cite&gt;&lt;Author&gt;Kriukova&lt;/Author&gt;&lt;Year&gt;2009&lt;/Year&gt;&lt;RecNum&gt;646&lt;/RecNum&gt;&lt;DisplayText&gt;(Kriukova, 2009)&lt;/DisplayText&gt;&lt;record&gt;&lt;rec-number&gt;646&lt;/rec-number&gt;&lt;foreign-keys&gt;&lt;key app="EN" db-id="xdsfzvadmzzxdzereeq5xdf7eaxsdwfdfave" timestamp="1477854072"&gt;646&lt;/key&gt;&lt;/foreign-keys&gt;&lt;ref-type name="Electronic Book Section"&gt;60&lt;/ref-type&gt;&lt;contributors&gt;&lt;authors&gt;&lt;author&gt;Kriukova, Natalya&lt;/author&gt;&lt;/authors&gt;&lt;secondary-authors&gt;&lt;author&gt;Landia, A&lt;/author&gt;&lt;author&gt;Filatov, Alexander&lt;/author&gt;&lt;/secondary-authors&gt;&lt;/contributors&gt;&lt;titles&gt;&lt;title&gt;Independent directors in Russian companies (in Russian)&lt;/title&gt;&lt;secondary-title&gt;Corporate governance in state and private companies in an era of change&lt;/secondary-title&gt;&lt;/titles&gt;&lt;pages&gt;181&lt;/pages&gt;&lt;dates&gt;&lt;year&gt;2009&lt;/year&gt;&lt;/dates&gt;&lt;pub-location&gt;Moscow&lt;/pub-location&gt;&lt;publisher&gt;Libright&lt;/publisher&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65" w:tooltip="Kriukova, 2009 #646" w:history="1">
        <w:r w:rsidR="00266C78" w:rsidRPr="00E85554">
          <w:rPr>
            <w:rFonts w:ascii="Times New Roman" w:hAnsi="Times New Roman" w:cs="Times New Roman"/>
            <w:noProof/>
            <w:sz w:val="24"/>
            <w:szCs w:val="24"/>
            <w:lang w:val="en-US"/>
          </w:rPr>
          <w:t>Kriukova, 2009</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some other appointments were meant to create more impact amongst European political and regulatory circles (i.e.</w:t>
      </w:r>
      <w:r w:rsidR="006559C1" w:rsidRPr="00E85554">
        <w:rPr>
          <w:rFonts w:ascii="Times New Roman" w:hAnsi="Times New Roman" w:cs="Times New Roman"/>
          <w:sz w:val="24"/>
          <w:szCs w:val="24"/>
          <w:lang w:val="en-US"/>
        </w:rPr>
        <w:t>,</w:t>
      </w:r>
      <w:r w:rsidRPr="00E85554">
        <w:rPr>
          <w:rFonts w:ascii="Times New Roman" w:hAnsi="Times New Roman" w:cs="Times New Roman"/>
          <w:sz w:val="24"/>
          <w:szCs w:val="24"/>
          <w:lang w:val="en-US"/>
        </w:rPr>
        <w:t xml:space="preserve"> Gerhard Schroeder, the former German Chancellor, at TNK-BP and Peter Mandelson, a former British Labor Party Politician, at Sistema). Differences between governance standards in directors’ country of origin and that of the firm on whose board they serve can lead to changes in the firm’s governance in a way that is different from changes related to other directors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&lt;EndNote&gt;&lt;Cite&gt;&lt;Author&gt;Miletkov&lt;/Author&gt;&lt;Year&gt;2016&lt;/Year&gt;&lt;RecNum&gt;724&lt;/RecNum&gt;&lt;DisplayText&gt;(Miletkov et al., 2016)&lt;/DisplayText&gt;&lt;record&gt;&lt;rec-number&gt;724&lt;/rec-number&gt;&lt;foreign-keys&gt;&lt;key app="EN" db-id="xdsfzvadmzzxdzereeq5xdf7eaxsdwfdfave" timestamp="1493303275"&gt;724&lt;/key&gt;&lt;/foreign-keys&gt;&lt;ref-type name="Journal Article"&gt;17&lt;/ref-type&gt;&lt;contributors&gt;&lt;authors&gt;&lt;author&gt;Miletkov, Mihail&lt;/author&gt;&lt;author&gt;Poulsen, Annette&lt;/author&gt;&lt;author&gt;Wintoki, M Babajide&lt;/author&gt;&lt;/authors&gt;&lt;/contributors&gt;&lt;titles&gt;&lt;title&gt;Foreign independent directors and the quality of legal institutions&lt;/title&gt;&lt;secondary-title&gt;Journal of International Business Studies&lt;/secondary-title&gt;&lt;/titles&gt;&lt;periodical&gt;&lt;full-title&gt;Journal of International Business Studies&lt;/full-title&gt;&lt;/periodical&gt;&lt;pages&gt;1-26&lt;/pages&gt;&lt;dates&gt;&lt;year&gt;2016&lt;/year&gt;&lt;/dates&gt;&lt;isbn&gt;0047-2506&lt;/isbn&gt;&lt;urls&gt;&lt;/urls&gt;&lt;/record&gt;&lt;/Cite&gt;&lt;/EndNote&gt;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74" w:tooltip="Miletkov, 2016 #724" w:history="1">
        <w:r w:rsidR="00266C78" w:rsidRPr="00E85554">
          <w:rPr>
            <w:rFonts w:ascii="Times New Roman" w:hAnsi="Times New Roman" w:cs="Times New Roman"/>
            <w:noProof/>
            <w:sz w:val="24"/>
            <w:szCs w:val="24"/>
            <w:lang w:val="en-US"/>
          </w:rPr>
          <w:t>Miletkov et al., 2016</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Appointing foreign independent directors originating from developed countries reduces firm’s cost of capital by creating further legitimacy </w:t>
      </w:r>
      <w:r w:rsidR="00012548" w:rsidRPr="00E85554">
        <w:rPr>
          <w:rFonts w:ascii="Times New Roman" w:hAnsi="Times New Roman" w:cs="Times New Roman"/>
          <w:sz w:val="24"/>
          <w:szCs w:val="24"/>
          <w:lang w:val="en-US"/>
        </w:rPr>
        <w:t>with the</w:t>
      </w:r>
      <w:r w:rsidRPr="00E85554">
        <w:rPr>
          <w:rFonts w:ascii="Times New Roman" w:hAnsi="Times New Roman" w:cs="Times New Roman"/>
          <w:sz w:val="24"/>
          <w:szCs w:val="24"/>
          <w:lang w:val="en-US"/>
        </w:rPr>
        <w:t xml:space="preserve"> investment and political community and bonding with higher corporate governance norms of directors’ countries of origin. Foreign independent directors are </w:t>
      </w:r>
      <w:r w:rsidRPr="00E85554">
        <w:rPr>
          <w:rFonts w:ascii="Times New Roman" w:hAnsi="Times New Roman" w:cs="Times New Roman"/>
          <w:sz w:val="24"/>
          <w:szCs w:val="24"/>
          <w:lang w:val="en-US"/>
        </w:rPr>
        <w:lastRenderedPageBreak/>
        <w:t xml:space="preserve">expected to offer valuable international expertise and advice, especially to firms with significant foreign operations, dealings with foreign suppliers or plans for overseas expansion via acquisitions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&lt;EndNote&gt;&lt;Cite&gt;&lt;Author&gt;Adams&lt;/Author&gt;&lt;Year&gt;2010&lt;/Year&gt;&lt;RecNum&gt;726&lt;/RecNum&gt;&lt;DisplayText&gt;(Adams et al., 2010)&lt;/DisplayText&gt;&lt;record&gt;&lt;rec-number&gt;726&lt;/rec-number&gt;&lt;foreign-keys&gt;&lt;key app="EN" db-id="xdsfzvadmzzxdzereeq5xdf7eaxsdwfdfave" timestamp="1493307176"&gt;726&lt;/key&gt;&lt;/foreign-keys&gt;&lt;ref-type name="Journal Article"&gt;17&lt;/ref-type&gt;&lt;contributors&gt;&lt;authors&gt;&lt;author&gt;Adams, Renée B&lt;/author&gt;&lt;author&gt;Hermalin, Benjamin E&lt;/author&gt;&lt;author&gt;Weisbach, Michael S&lt;/author&gt;&lt;/authors&gt;&lt;/contributors&gt;&lt;titles&gt;&lt;title&gt;The role of boards of directors in corporate governance: A conceptual framework and survey&lt;/title&gt;&lt;secondary-title&gt;Journal of Economic Literature&lt;/secondary-title&gt;&lt;/titles&gt;&lt;periodical&gt;&lt;full-title&gt;Journal of Economic literature&lt;/full-title&gt;&lt;/periodical&gt;&lt;pages&gt;58-107&lt;/pages&gt;&lt;volume&gt;48&lt;/volume&gt;&lt;number&gt;1&lt;/number&gt;&lt;dates&gt;&lt;year&gt;2010&lt;/year&gt;&lt;/dates&gt;&lt;isbn&gt;0022-0515&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3" w:tooltip="Adams, 2010 #726" w:history="1">
        <w:r w:rsidR="00266C78" w:rsidRPr="00E85554">
          <w:rPr>
            <w:rFonts w:ascii="Times New Roman" w:hAnsi="Times New Roman" w:cs="Times New Roman"/>
            <w:noProof/>
            <w:sz w:val="24"/>
            <w:szCs w:val="24"/>
            <w:lang w:val="en-US"/>
          </w:rPr>
          <w:t>Adams et al., 2010</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Foreign independent directors are more likely to be familiar with US or UK accounting rules, laws and regulations, making it easier for them to advise the </w:t>
      </w:r>
      <w:r w:rsidR="00260246" w:rsidRPr="00E85554">
        <w:rPr>
          <w:rFonts w:ascii="Times New Roman" w:hAnsi="Times New Roman" w:cs="Times New Roman"/>
          <w:sz w:val="24"/>
          <w:szCs w:val="24"/>
          <w:lang w:val="en-US"/>
        </w:rPr>
        <w:t xml:space="preserve">EEMM </w:t>
      </w:r>
      <w:r w:rsidRPr="00E85554">
        <w:rPr>
          <w:rFonts w:ascii="Times New Roman" w:hAnsi="Times New Roman" w:cs="Times New Roman"/>
          <w:sz w:val="24"/>
          <w:szCs w:val="24"/>
          <w:lang w:val="en-US"/>
        </w:rPr>
        <w:t xml:space="preserve">firms that are willing to internationalize. Bonding non-operationally </w:t>
      </w:r>
      <w:r w:rsidR="00260246" w:rsidRPr="00E85554">
        <w:rPr>
          <w:rFonts w:ascii="Times New Roman" w:hAnsi="Times New Roman" w:cs="Times New Roman"/>
          <w:sz w:val="24"/>
          <w:szCs w:val="24"/>
          <w:lang w:val="en-US"/>
        </w:rPr>
        <w:t xml:space="preserve">and non-financially </w:t>
      </w:r>
      <w:r w:rsidRPr="00E85554">
        <w:rPr>
          <w:rFonts w:ascii="Times New Roman" w:hAnsi="Times New Roman" w:cs="Times New Roman"/>
          <w:sz w:val="24"/>
          <w:szCs w:val="24"/>
          <w:lang w:val="en-US"/>
        </w:rPr>
        <w:t xml:space="preserve">with the norms and practices of a foreign country through the expertise provided by a foreign independent director may thus mitigate the “liability of foreignness” in capital markets that emerging markets firm can experience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&lt;EndNote&gt;&lt;Cite&gt;&lt;Author&gt;Bell&lt;/Author&gt;&lt;Year&gt;2012&lt;/Year&gt;&lt;RecNum&gt;728&lt;/RecNum&gt;&lt;DisplayText&gt;(Bell et al., 2012)&lt;/DisplayText&gt;&lt;record&gt;&lt;rec-number&gt;728&lt;/rec-number&gt;&lt;foreign-keys&gt;&lt;key app="EN" db-id="xdsfzvadmzzxdzereeq5xdf7eaxsdwfdfave" timestamp="1493310394"&gt;728&lt;/key&gt;&lt;/foreign-keys&gt;&lt;ref-type name="Journal Article"&gt;17&lt;/ref-type&gt;&lt;contributors&gt;&lt;authors&gt;&lt;author&gt;Bell, R Greg&lt;/author&gt;&lt;author&gt;Filatotchev, Igor&lt;/author&gt;&lt;author&gt;Rasheed, Abdul A&lt;/author&gt;&lt;/authors&gt;&lt;/contributors&gt;&lt;titles&gt;&lt;title&gt;The liability of foreignness in capital markets: Sources and remedies&lt;/title&gt;&lt;secondary-title&gt;Journal of International Business Studies&lt;/secondary-title&gt;&lt;/titles&gt;&lt;periodical&gt;&lt;full-title&gt;Journal of International Business Studies&lt;/full-title&gt;&lt;/periodical&gt;&lt;pages&gt;107-122&lt;/pages&gt;&lt;volume&gt;43&lt;/volume&gt;&lt;number&gt;2&lt;/number&gt;&lt;dates&gt;&lt;year&gt;2012&lt;/year&gt;&lt;/dates&gt;&lt;isbn&gt;1478-6990&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12" w:tooltip="Bell, 2012 #728" w:history="1">
        <w:r w:rsidR="00266C78" w:rsidRPr="00E85554">
          <w:rPr>
            <w:rFonts w:ascii="Times New Roman" w:hAnsi="Times New Roman" w:cs="Times New Roman"/>
            <w:noProof/>
            <w:sz w:val="24"/>
            <w:szCs w:val="24"/>
            <w:lang w:val="en-US"/>
          </w:rPr>
          <w:t>Bell et al., 2012</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We expect foreign independent directors</w:t>
      </w:r>
      <w:r w:rsidRPr="00E85554">
        <w:rPr>
          <w:rFonts w:ascii="Times New Roman" w:hAnsi="Times New Roman" w:cs="Times New Roman"/>
          <w:i/>
          <w:sz w:val="24"/>
          <w:szCs w:val="24"/>
          <w:lang w:val="en-US"/>
        </w:rPr>
        <w:t xml:space="preserve"> </w:t>
      </w:r>
      <w:r w:rsidRPr="00E85554">
        <w:rPr>
          <w:rFonts w:ascii="Times New Roman" w:hAnsi="Times New Roman" w:cs="Times New Roman"/>
          <w:sz w:val="24"/>
          <w:szCs w:val="24"/>
          <w:lang w:val="en-US"/>
        </w:rPr>
        <w:t xml:space="preserve">to provide monitoring of managers and blockholders, and advice on how to streamline the operations and resource allocation.  </w:t>
      </w:r>
    </w:p>
    <w:p w14:paraId="2F5AE4B5" w14:textId="77777777" w:rsidR="006F3C71" w:rsidRPr="00E85554" w:rsidRDefault="006F3C71" w:rsidP="000B2C2F">
      <w:pPr>
        <w:pStyle w:val="ListParagraph"/>
        <w:spacing w:after="0" w:line="480" w:lineRule="auto"/>
        <w:ind w:left="0"/>
        <w:rPr>
          <w:rFonts w:ascii="Times New Roman" w:hAnsi="Times New Roman" w:cs="Times New Roman"/>
          <w:i/>
          <w:sz w:val="24"/>
          <w:szCs w:val="24"/>
          <w:lang w:val="en-US"/>
        </w:rPr>
      </w:pPr>
      <w:r w:rsidRPr="00E85554">
        <w:rPr>
          <w:rFonts w:ascii="Times New Roman" w:hAnsi="Times New Roman" w:cs="Times New Roman"/>
          <w:i/>
          <w:sz w:val="24"/>
          <w:szCs w:val="24"/>
          <w:lang w:val="en-US"/>
        </w:rPr>
        <w:t xml:space="preserve">H4. A higher proportion of foreign independent directors in emerging market firms is likely to attenuate the degree of blockholder appropriation. </w:t>
      </w:r>
    </w:p>
    <w:p w14:paraId="4D04AE6C" w14:textId="77777777" w:rsidR="00596122" w:rsidRPr="00E85554" w:rsidRDefault="00596122" w:rsidP="000B2C2F">
      <w:pPr>
        <w:pStyle w:val="Heading2"/>
        <w:spacing w:before="0" w:line="480" w:lineRule="auto"/>
        <w:rPr>
          <w:rFonts w:ascii="Times New Roman" w:hAnsi="Times New Roman" w:cs="Times New Roman"/>
          <w:color w:val="auto"/>
          <w:sz w:val="24"/>
          <w:szCs w:val="24"/>
          <w:lang w:val="en-US"/>
        </w:rPr>
      </w:pPr>
      <w:r w:rsidRPr="00E85554">
        <w:rPr>
          <w:rFonts w:ascii="Times New Roman" w:hAnsi="Times New Roman" w:cs="Times New Roman"/>
          <w:color w:val="auto"/>
          <w:sz w:val="24"/>
          <w:szCs w:val="24"/>
          <w:lang w:val="en-US"/>
        </w:rPr>
        <w:t>DATA AND DESCRIPTIVE STATISTICS</w:t>
      </w:r>
    </w:p>
    <w:p w14:paraId="47A447B1" w14:textId="77777777" w:rsidR="00596122" w:rsidRPr="00E85554" w:rsidRDefault="00596122" w:rsidP="000B2C2F">
      <w:pPr>
        <w:autoSpaceDE w:val="0"/>
        <w:autoSpaceDN w:val="0"/>
        <w:adjustRightInd w:val="0"/>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We use data that tracks financial information on 60 largest liquid Russian listed stocks (representing over 2/3 of total market capitalization) from Compustat Global complemented by self-collected information from public sources, such as business media Vedomosti, Forbes and Kommersant; and web disclosures, on these firms’ major blockholders and board characteristics between 2000 and 2010. </w:t>
      </w:r>
      <w:r w:rsidR="000B2C2F" w:rsidRPr="00E85554">
        <w:rPr>
          <w:rFonts w:ascii="Times New Roman" w:hAnsi="Times New Roman" w:cs="Times New Roman"/>
          <w:sz w:val="24"/>
          <w:szCs w:val="24"/>
          <w:lang w:val="en-US"/>
        </w:rPr>
        <w:t>Our</w:t>
      </w:r>
      <w:r w:rsidRPr="00E85554">
        <w:rPr>
          <w:rFonts w:ascii="Times New Roman" w:hAnsi="Times New Roman" w:cs="Times New Roman"/>
          <w:sz w:val="24"/>
          <w:szCs w:val="24"/>
          <w:lang w:val="en-US"/>
        </w:rPr>
        <w:t xml:space="preserve"> results remain unchanged for a reduced panel with three consecutive observations for each firm. When excluding outliers (trimming, winsorizing at the 1</w:t>
      </w:r>
      <w:r w:rsidRPr="00E85554">
        <w:rPr>
          <w:rFonts w:ascii="Times New Roman" w:hAnsi="Times New Roman" w:cs="Times New Roman"/>
          <w:sz w:val="24"/>
          <w:szCs w:val="24"/>
          <w:vertAlign w:val="superscript"/>
          <w:lang w:val="en-US"/>
        </w:rPr>
        <w:t>st</w:t>
      </w:r>
      <w:r w:rsidRPr="00E85554">
        <w:rPr>
          <w:rFonts w:ascii="Times New Roman" w:hAnsi="Times New Roman" w:cs="Times New Roman"/>
          <w:sz w:val="24"/>
          <w:szCs w:val="24"/>
          <w:lang w:val="en-US"/>
        </w:rPr>
        <w:t xml:space="preserve"> and 99</w:t>
      </w:r>
      <w:r w:rsidRPr="00E85554">
        <w:rPr>
          <w:rFonts w:ascii="Times New Roman" w:hAnsi="Times New Roman" w:cs="Times New Roman"/>
          <w:sz w:val="24"/>
          <w:szCs w:val="24"/>
          <w:vertAlign w:val="superscript"/>
          <w:lang w:val="en-US"/>
        </w:rPr>
        <w:t>th</w:t>
      </w:r>
      <w:r w:rsidRPr="00E85554">
        <w:rPr>
          <w:rFonts w:ascii="Times New Roman" w:hAnsi="Times New Roman" w:cs="Times New Roman"/>
          <w:sz w:val="24"/>
          <w:szCs w:val="24"/>
          <w:lang w:val="en-US"/>
        </w:rPr>
        <w:t xml:space="preserve"> percentiles the key variables), the main results also remain unchanged.</w:t>
      </w:r>
      <w:r w:rsidR="000B2C2F" w:rsidRPr="00E85554">
        <w:rPr>
          <w:rFonts w:ascii="Times New Roman" w:hAnsi="Times New Roman" w:cs="Times New Roman"/>
          <w:sz w:val="24"/>
          <w:szCs w:val="24"/>
          <w:lang w:val="en-US"/>
        </w:rPr>
        <w:t xml:space="preserve"> </w:t>
      </w:r>
      <w:r w:rsidRPr="00E85554">
        <w:rPr>
          <w:rFonts w:ascii="Times New Roman" w:hAnsi="Times New Roman" w:cs="Times New Roman"/>
          <w:sz w:val="24"/>
          <w:szCs w:val="24"/>
          <w:lang w:val="en-US"/>
        </w:rPr>
        <w:t>The studied period covers important changes in the institutional environment driven by such exogenous events as the appointment of President Putin in 2000, the</w:t>
      </w:r>
      <w:r w:rsidR="00A255C7">
        <w:rPr>
          <w:rFonts w:ascii="Times New Roman" w:hAnsi="Times New Roman" w:cs="Times New Roman"/>
          <w:sz w:val="24"/>
          <w:szCs w:val="24"/>
          <w:lang w:val="en-US"/>
        </w:rPr>
        <w:t xml:space="preserve"> i</w:t>
      </w:r>
      <w:r w:rsidRPr="00E85554">
        <w:rPr>
          <w:rFonts w:ascii="Times New Roman" w:hAnsi="Times New Roman" w:cs="Times New Roman"/>
          <w:sz w:val="24"/>
          <w:szCs w:val="24"/>
          <w:lang w:val="en-US"/>
        </w:rPr>
        <w:t xml:space="preserve">ntroduction of the Code of Conduct spelling out governance standards in 2002; and the 2008 financial crisis. </w:t>
      </w:r>
    </w:p>
    <w:p w14:paraId="045F1EB5" w14:textId="1AD35DC0" w:rsidR="00596122" w:rsidRPr="00E85554" w:rsidRDefault="00596122" w:rsidP="00C01A68">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lastRenderedPageBreak/>
        <w:t xml:space="preserve">The quality of Russian accounting data has been questioned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&lt;EndNote&gt;&lt;Cite&gt;&lt;Author&gt;Kuznecovs&lt;/Author&gt;&lt;Year&gt;2012&lt;/Year&gt;&lt;RecNum&gt;71&lt;/RecNum&gt;&lt;DisplayText&gt;(Braguinsky et al., 2013; Kuznecovs et al., 2012)&lt;/DisplayText&gt;&lt;record&gt;&lt;rec-number&gt;71&lt;/rec-number&gt;&lt;foreign-keys&gt;&lt;key app="EN" db-id="xdsfzvadmzzxdzereeq5xdf7eaxsdwfdfave" timestamp="1389485981"&gt;71&lt;/key&gt;&lt;/foreign-keys&gt;&lt;ref-type name="Report"&gt;27&lt;/ref-type&gt;&lt;contributors&gt;&lt;authors&gt;&lt;author&gt;Kuznecovs, Mihails&lt;/author&gt;&lt;author&gt;Pal, Sarmistha&lt;/author&gt;&lt;/authors&gt;&lt;/contributors&gt;&lt;titles&gt;&lt;title&gt;Does corporate governance reform necessarily boost firm performance? Recent evidence from Russia&lt;/title&gt;&lt;/titles&gt;&lt;dates&gt;&lt;year&gt;2012&lt;/year&gt;&lt;/dates&gt;&lt;publisher&gt;Discussion Paper series, Forschungsinstitut zur Zukunft der Arbeit&lt;/publisher&gt;&lt;urls&gt;&lt;/urls&gt;&lt;/record&gt;&lt;/Cite&gt;&lt;Cite&gt;&lt;Author&gt;Braguinsky&lt;/Author&gt;&lt;Year&gt;2013&lt;/Year&gt;&lt;RecNum&gt;19&lt;/RecNum&gt;&lt;record&gt;&lt;rec-number&gt;19&lt;/rec-number&gt;&lt;foreign-keys&gt;&lt;key app="EN" db-id="xdsfzvadmzzxdzereeq5xdf7eaxsdwfdfave" timestamp="1389481459"&gt;19&lt;/key&gt;&lt;/foreign-keys&gt;&lt;ref-type name="Journal Article"&gt;17&lt;/ref-type&gt;&lt;contributors&gt;&lt;authors&gt;&lt;author&gt;Braguinsky, Serguey&lt;/author&gt;&lt;author&gt;Mityakov, Sergey&lt;/author&gt;&lt;/authors&gt;&lt;/contributors&gt;&lt;titles&gt;&lt;title&gt;Foreign corporations and the culture of transparency: Evidence from Russian administrative data&lt;/title&gt;&lt;secondary-title&gt;Journal of Financial Economics&lt;/secondary-title&gt;&lt;/titles&gt;&lt;periodical&gt;&lt;full-title&gt;Journal of Financial Economics&lt;/full-title&gt;&lt;/periodical&gt;&lt;dates&gt;&lt;year&gt;2013&lt;/year&gt;&lt;/dates&gt;&lt;isbn&gt;0304-405X&lt;/isbn&gt;&lt;urls&gt;&lt;/urls&gt;&lt;/record&gt;&lt;/Cite&gt;&lt;/EndNote&gt;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23" w:tooltip="Braguinsky, 2013 #19" w:history="1">
        <w:r w:rsidR="00266C78" w:rsidRPr="00E85554">
          <w:rPr>
            <w:rFonts w:ascii="Times New Roman" w:hAnsi="Times New Roman" w:cs="Times New Roman"/>
            <w:noProof/>
            <w:sz w:val="24"/>
            <w:szCs w:val="24"/>
            <w:lang w:val="en-US"/>
          </w:rPr>
          <w:t>Braguinsky et al., 2013</w:t>
        </w:r>
      </w:hyperlink>
      <w:r w:rsidRPr="00E85554">
        <w:rPr>
          <w:rFonts w:ascii="Times New Roman" w:hAnsi="Times New Roman" w:cs="Times New Roman"/>
          <w:noProof/>
          <w:sz w:val="24"/>
          <w:szCs w:val="24"/>
          <w:lang w:val="en-US"/>
        </w:rPr>
        <w:t xml:space="preserve">; </w:t>
      </w:r>
      <w:hyperlink w:anchor="_ENREF_66" w:tooltip="Kuznecovs, 2012 #71" w:history="1">
        <w:r w:rsidR="00266C78" w:rsidRPr="00E85554">
          <w:rPr>
            <w:rFonts w:ascii="Times New Roman" w:hAnsi="Times New Roman" w:cs="Times New Roman"/>
            <w:noProof/>
            <w:sz w:val="24"/>
            <w:szCs w:val="24"/>
            <w:lang w:val="en-US"/>
          </w:rPr>
          <w:t>Kuznecovs et al., 2012</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but an attenuating factor is that the firms are all listed and often dual listed on foreign exchanges. Moreover, the accounts for such large companies are mostly prepared according to International Accounting Standards (IAS) or US Generally Acceptable Accounting Principles (GAAP) and audited by reputable accounting firms. </w:t>
      </w:r>
    </w:p>
    <w:p w14:paraId="5029AB38" w14:textId="4A1986F5" w:rsidR="00596122" w:rsidRPr="00E85554" w:rsidRDefault="00BA17AB" w:rsidP="00C01A68">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Table 1</w:t>
      </w:r>
      <w:r w:rsidR="00596122" w:rsidRPr="00E85554">
        <w:rPr>
          <w:rFonts w:ascii="Times New Roman" w:hAnsi="Times New Roman" w:cs="Times New Roman"/>
          <w:sz w:val="24"/>
          <w:szCs w:val="24"/>
          <w:lang w:val="en-US"/>
        </w:rPr>
        <w:t xml:space="preserve"> lists number of observations, mean, median, standard deviation</w:t>
      </w:r>
      <w:r w:rsidR="00C23304" w:rsidRPr="00E85554">
        <w:rPr>
          <w:rFonts w:ascii="Times New Roman" w:hAnsi="Times New Roman" w:cs="Times New Roman"/>
          <w:sz w:val="24"/>
          <w:szCs w:val="24"/>
          <w:lang w:val="en-US"/>
        </w:rPr>
        <w:t>s</w:t>
      </w:r>
      <w:r w:rsidR="00596122" w:rsidRPr="00E85554">
        <w:rPr>
          <w:rFonts w:ascii="Times New Roman" w:hAnsi="Times New Roman" w:cs="Times New Roman"/>
          <w:sz w:val="24"/>
          <w:szCs w:val="24"/>
          <w:lang w:val="en-US"/>
        </w:rPr>
        <w:t xml:space="preserve">, </w:t>
      </w:r>
      <w:r w:rsidR="00C23304" w:rsidRPr="00E85554">
        <w:rPr>
          <w:rFonts w:ascii="Times New Roman" w:hAnsi="Times New Roman" w:cs="Times New Roman"/>
          <w:sz w:val="24"/>
          <w:szCs w:val="24"/>
          <w:lang w:val="en-US"/>
        </w:rPr>
        <w:t xml:space="preserve">and </w:t>
      </w:r>
      <w:r w:rsidR="00596122" w:rsidRPr="00E85554">
        <w:rPr>
          <w:rFonts w:ascii="Times New Roman" w:hAnsi="Times New Roman" w:cs="Times New Roman"/>
          <w:sz w:val="24"/>
          <w:szCs w:val="24"/>
          <w:lang w:val="en-US"/>
        </w:rPr>
        <w:t xml:space="preserve">minimum and maximum values for the most common variables used in the empirical specification. </w:t>
      </w:r>
      <w:r w:rsidR="00B93868">
        <w:rPr>
          <w:rFonts w:ascii="Times New Roman" w:hAnsi="Times New Roman" w:cs="Times New Roman"/>
          <w:sz w:val="24"/>
          <w:szCs w:val="24"/>
          <w:lang w:val="en-US"/>
        </w:rPr>
        <w:t>D</w:t>
      </w:r>
      <w:r w:rsidR="00596122" w:rsidRPr="00E85554">
        <w:rPr>
          <w:rFonts w:ascii="Times New Roman" w:hAnsi="Times New Roman" w:cs="Times New Roman"/>
          <w:sz w:val="24"/>
          <w:szCs w:val="24"/>
          <w:lang w:val="en-US"/>
        </w:rPr>
        <w:t xml:space="preserve">escriptive statistics and correlations are produced for the </w:t>
      </w:r>
      <w:r w:rsidR="00B93868">
        <w:rPr>
          <w:rFonts w:ascii="Times New Roman" w:hAnsi="Times New Roman" w:cs="Times New Roman"/>
          <w:sz w:val="24"/>
          <w:szCs w:val="24"/>
          <w:lang w:val="en-US"/>
        </w:rPr>
        <w:t>balanced panel</w:t>
      </w:r>
      <w:r w:rsidR="00596122" w:rsidRPr="00E85554">
        <w:rPr>
          <w:rFonts w:ascii="Times New Roman" w:hAnsi="Times New Roman" w:cs="Times New Roman"/>
          <w:sz w:val="24"/>
          <w:szCs w:val="24"/>
          <w:lang w:val="en-US"/>
        </w:rPr>
        <w:t xml:space="preserve"> of firms (218 observations) with no missing values (the same applies to the tables with results). Average annual sales for the sample are €1 billion, average fixed investment amounts to €152 million and median investment to €408 million. About 75% of the </w:t>
      </w:r>
      <w:r w:rsidR="009C3128" w:rsidRPr="00E85554">
        <w:rPr>
          <w:rFonts w:ascii="Times New Roman" w:hAnsi="Times New Roman" w:cs="Times New Roman"/>
          <w:sz w:val="24"/>
          <w:szCs w:val="24"/>
          <w:lang w:val="en-US"/>
        </w:rPr>
        <w:t xml:space="preserve">private firms </w:t>
      </w:r>
      <w:r w:rsidR="00596122" w:rsidRPr="00E85554">
        <w:rPr>
          <w:rFonts w:ascii="Times New Roman" w:hAnsi="Times New Roman" w:cs="Times New Roman"/>
          <w:sz w:val="24"/>
          <w:szCs w:val="24"/>
          <w:lang w:val="en-US"/>
        </w:rPr>
        <w:t xml:space="preserve">with independent directors are part of a group in our sample. The majority of Russian companies are either governed by a board of directors with an extremely high proportion of independent directors or completely dominated by insiders </w:t>
      </w:r>
      <w:r w:rsidR="00596122" w:rsidRPr="00E85554">
        <w:rPr>
          <w:rFonts w:ascii="Times New Roman" w:hAnsi="Times New Roman" w:cs="Times New Roman"/>
          <w:sz w:val="24"/>
          <w:szCs w:val="24"/>
          <w:lang w:val="en-US"/>
        </w:rPr>
        <w:fldChar w:fldCharType="begin"/>
      </w:r>
      <w:r w:rsidR="00596122" w:rsidRPr="00E85554">
        <w:rPr>
          <w:rFonts w:ascii="Times New Roman" w:hAnsi="Times New Roman" w:cs="Times New Roman"/>
          <w:sz w:val="24"/>
          <w:szCs w:val="24"/>
          <w:lang w:val="en-US"/>
        </w:rPr>
        <w:instrText xml:space="preserve"> ADDIN EN.CITE &lt;EndNote&gt;&lt;Cite&gt;&lt;Author&gt;Iwasaki&lt;/Author&gt;&lt;Year&gt;2008&lt;/Year&gt;&lt;RecNum&gt;62&lt;/RecNum&gt;&lt;DisplayText&gt;(Iwasaki, 2008)&lt;/DisplayText&gt;&lt;record&gt;&lt;rec-number&gt;62&lt;/rec-number&gt;&lt;foreign-keys&gt;&lt;key app="EN" db-id="xdsfzvadmzzxdzereeq5xdf7eaxsdwfdfave" timestamp="1389485150"&gt;62&lt;/key&gt;&lt;/foreign-keys&gt;&lt;ref-type name="Journal Article"&gt;17&lt;/ref-type&gt;&lt;contributors&gt;&lt;authors&gt;&lt;author&gt;Iwasaki, Ichiro&lt;/author&gt;&lt;/authors&gt;&lt;/contributors&gt;&lt;titles&gt;&lt;title&gt;The determinants of board composition in a transforming economy: Evidence from Russia&lt;/title&gt;&lt;secondary-title&gt;Journal of corporate finance&lt;/secondary-title&gt;&lt;/titles&gt;&lt;periodical&gt;&lt;full-title&gt;Journal of Corporate Finance&lt;/full-title&gt;&lt;/periodical&gt;&lt;pages&gt;532-549&lt;/pages&gt;&lt;volume&gt;14&lt;/volume&gt;&lt;number&gt;5&lt;/number&gt;&lt;dates&gt;&lt;year&gt;2008&lt;/year&gt;&lt;/dates&gt;&lt;isbn&gt;0929-1199&lt;/isbn&gt;&lt;urls&gt;&lt;/urls&gt;&lt;/record&gt;&lt;/Cite&gt;&lt;/EndNote&gt;</w:instrText>
      </w:r>
      <w:r w:rsidR="00596122" w:rsidRPr="00E85554">
        <w:rPr>
          <w:rFonts w:ascii="Times New Roman" w:hAnsi="Times New Roman" w:cs="Times New Roman"/>
          <w:sz w:val="24"/>
          <w:szCs w:val="24"/>
          <w:lang w:val="en-US"/>
        </w:rPr>
        <w:fldChar w:fldCharType="separate"/>
      </w:r>
      <w:r w:rsidR="00596122" w:rsidRPr="00E85554">
        <w:rPr>
          <w:rFonts w:ascii="Times New Roman" w:hAnsi="Times New Roman" w:cs="Times New Roman"/>
          <w:noProof/>
          <w:sz w:val="24"/>
          <w:szCs w:val="24"/>
          <w:lang w:val="en-US"/>
        </w:rPr>
        <w:t>(</w:t>
      </w:r>
      <w:hyperlink w:anchor="_ENREF_60" w:tooltip="Iwasaki, 2008 #62" w:history="1">
        <w:r w:rsidR="00266C78" w:rsidRPr="00E85554">
          <w:rPr>
            <w:rFonts w:ascii="Times New Roman" w:hAnsi="Times New Roman" w:cs="Times New Roman"/>
            <w:noProof/>
            <w:sz w:val="24"/>
            <w:szCs w:val="24"/>
            <w:lang w:val="en-US"/>
          </w:rPr>
          <w:t>Iwasaki, 2008</w:t>
        </w:r>
      </w:hyperlink>
      <w:r w:rsidR="00596122" w:rsidRPr="00E85554">
        <w:rPr>
          <w:rFonts w:ascii="Times New Roman" w:hAnsi="Times New Roman" w:cs="Times New Roman"/>
          <w:noProof/>
          <w:sz w:val="24"/>
          <w:szCs w:val="24"/>
          <w:lang w:val="en-US"/>
        </w:rPr>
        <w:t>)</w:t>
      </w:r>
      <w:r w:rsidR="00596122" w:rsidRPr="00E85554">
        <w:rPr>
          <w:rFonts w:ascii="Times New Roman" w:hAnsi="Times New Roman" w:cs="Times New Roman"/>
          <w:sz w:val="24"/>
          <w:szCs w:val="24"/>
          <w:lang w:val="en-US"/>
        </w:rPr>
        <w:fldChar w:fldCharType="end"/>
      </w:r>
      <w:r w:rsidR="00596122" w:rsidRPr="00E85554">
        <w:rPr>
          <w:rFonts w:ascii="Times New Roman" w:hAnsi="Times New Roman" w:cs="Times New Roman"/>
          <w:sz w:val="24"/>
          <w:szCs w:val="24"/>
          <w:lang w:val="en-US"/>
        </w:rPr>
        <w:t>. Our sample reflects this proportion, with roughly half of firms’ boards composed by</w:t>
      </w:r>
      <w:r w:rsidR="000B2C2F" w:rsidRPr="00E85554">
        <w:rPr>
          <w:rFonts w:ascii="Times New Roman" w:hAnsi="Times New Roman" w:cs="Times New Roman"/>
          <w:sz w:val="24"/>
          <w:szCs w:val="24"/>
          <w:lang w:val="en-US"/>
        </w:rPr>
        <w:t xml:space="preserve"> </w:t>
      </w:r>
      <w:r w:rsidR="00596122" w:rsidRPr="00E85554">
        <w:rPr>
          <w:rFonts w:ascii="Times New Roman" w:hAnsi="Times New Roman" w:cs="Times New Roman"/>
          <w:sz w:val="24"/>
          <w:szCs w:val="24"/>
          <w:lang w:val="en-US"/>
        </w:rPr>
        <w:t>insiders only, and over 30% of firms’ boards having a proportion of independent directors between 22% and 62% of the total board.</w:t>
      </w:r>
    </w:p>
    <w:p w14:paraId="699A564A" w14:textId="77777777" w:rsidR="00596122" w:rsidRPr="00E85554" w:rsidRDefault="00A255C7" w:rsidP="00A255C7">
      <w:pPr>
        <w:spacing w:after="0" w:line="240" w:lineRule="auto"/>
        <w:ind w:firstLine="720"/>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596122" w:rsidRPr="00E85554">
        <w:rPr>
          <w:rFonts w:ascii="Times New Roman" w:hAnsi="Times New Roman" w:cs="Times New Roman"/>
          <w:sz w:val="24"/>
          <w:szCs w:val="24"/>
          <w:lang w:val="en-US"/>
        </w:rPr>
        <w:t>--------------------------------------------------</w:t>
      </w:r>
    </w:p>
    <w:p w14:paraId="60ED31A4" w14:textId="77777777" w:rsidR="00596122" w:rsidRPr="00E85554" w:rsidRDefault="00A255C7" w:rsidP="00A255C7">
      <w:pPr>
        <w:spacing w:after="0" w:line="240" w:lineRule="auto"/>
        <w:ind w:firstLine="720"/>
        <w:jc w:val="center"/>
        <w:rPr>
          <w:rFonts w:ascii="Times New Roman" w:hAnsi="Times New Roman" w:cs="Times New Roman"/>
          <w:sz w:val="24"/>
          <w:szCs w:val="24"/>
          <w:lang w:val="en-US"/>
        </w:rPr>
      </w:pPr>
      <w:r>
        <w:rPr>
          <w:rFonts w:ascii="Times New Roman" w:hAnsi="Times New Roman" w:cs="Times New Roman"/>
          <w:sz w:val="24"/>
          <w:szCs w:val="24"/>
          <w:lang w:val="en-US"/>
        </w:rPr>
        <w:t>Insert Tables</w:t>
      </w:r>
      <w:r w:rsidR="00596122" w:rsidRPr="00E85554">
        <w:rPr>
          <w:rFonts w:ascii="Times New Roman" w:hAnsi="Times New Roman" w:cs="Times New Roman"/>
          <w:sz w:val="24"/>
          <w:szCs w:val="24"/>
          <w:lang w:val="en-US"/>
        </w:rPr>
        <w:t xml:space="preserve"> </w:t>
      </w:r>
      <w:r w:rsidR="00BA17AB" w:rsidRPr="00E85554">
        <w:rPr>
          <w:rFonts w:ascii="Times New Roman" w:hAnsi="Times New Roman" w:cs="Times New Roman"/>
          <w:sz w:val="24"/>
          <w:szCs w:val="24"/>
          <w:lang w:val="en-US"/>
        </w:rPr>
        <w:t xml:space="preserve">1 </w:t>
      </w:r>
      <w:r>
        <w:rPr>
          <w:rFonts w:ascii="Times New Roman" w:hAnsi="Times New Roman" w:cs="Times New Roman"/>
          <w:sz w:val="24"/>
          <w:szCs w:val="24"/>
          <w:lang w:val="en-US"/>
        </w:rPr>
        <w:t>and 2 about here</w:t>
      </w:r>
    </w:p>
    <w:p w14:paraId="06965BD7" w14:textId="77777777" w:rsidR="00596122" w:rsidRDefault="00596122" w:rsidP="00A255C7">
      <w:pPr>
        <w:spacing w:after="0" w:line="240" w:lineRule="auto"/>
        <w:ind w:firstLine="720"/>
        <w:jc w:val="center"/>
        <w:rPr>
          <w:rFonts w:ascii="Times New Roman" w:hAnsi="Times New Roman" w:cs="Times New Roman"/>
          <w:sz w:val="24"/>
          <w:szCs w:val="24"/>
          <w:lang w:val="en-US"/>
        </w:rPr>
      </w:pPr>
      <w:r w:rsidRPr="00E85554">
        <w:rPr>
          <w:rFonts w:ascii="Times New Roman" w:hAnsi="Times New Roman" w:cs="Times New Roman"/>
          <w:sz w:val="24"/>
          <w:szCs w:val="24"/>
          <w:lang w:val="en-US"/>
        </w:rPr>
        <w:t>---------------</w:t>
      </w:r>
      <w:r w:rsidR="00A255C7">
        <w:rPr>
          <w:rFonts w:ascii="Times New Roman" w:hAnsi="Times New Roman" w:cs="Times New Roman"/>
          <w:sz w:val="24"/>
          <w:szCs w:val="24"/>
          <w:lang w:val="en-US"/>
        </w:rPr>
        <w:t>---</w:t>
      </w:r>
      <w:r w:rsidRPr="00E85554">
        <w:rPr>
          <w:rFonts w:ascii="Times New Roman" w:hAnsi="Times New Roman" w:cs="Times New Roman"/>
          <w:sz w:val="24"/>
          <w:szCs w:val="24"/>
          <w:lang w:val="en-US"/>
        </w:rPr>
        <w:t>-----------------------------------</w:t>
      </w:r>
    </w:p>
    <w:p w14:paraId="514DF2DD" w14:textId="77777777" w:rsidR="00A255C7" w:rsidRPr="00E85554" w:rsidRDefault="00A255C7" w:rsidP="00A255C7">
      <w:pPr>
        <w:spacing w:after="0" w:line="240" w:lineRule="auto"/>
        <w:ind w:firstLine="720"/>
        <w:jc w:val="center"/>
        <w:rPr>
          <w:rFonts w:ascii="Times New Roman" w:hAnsi="Times New Roman" w:cs="Times New Roman"/>
          <w:sz w:val="24"/>
          <w:szCs w:val="24"/>
          <w:lang w:val="en-US"/>
        </w:rPr>
      </w:pPr>
    </w:p>
    <w:p w14:paraId="366AE51F" w14:textId="77777777" w:rsidR="00596122" w:rsidRPr="00E85554" w:rsidRDefault="00596122" w:rsidP="00C01A68">
      <w:pPr>
        <w:pStyle w:val="Heading2"/>
        <w:spacing w:before="0" w:line="480" w:lineRule="auto"/>
        <w:rPr>
          <w:rFonts w:ascii="Times New Roman" w:hAnsi="Times New Roman" w:cs="Times New Roman"/>
          <w:color w:val="auto"/>
          <w:sz w:val="24"/>
          <w:szCs w:val="24"/>
          <w:lang w:val="en-US"/>
        </w:rPr>
      </w:pPr>
      <w:r w:rsidRPr="00E85554">
        <w:rPr>
          <w:rFonts w:ascii="Times New Roman" w:hAnsi="Times New Roman" w:cs="Times New Roman"/>
          <w:color w:val="auto"/>
          <w:sz w:val="24"/>
          <w:szCs w:val="24"/>
          <w:lang w:val="en-US"/>
        </w:rPr>
        <w:t>EMPIRICAL SPECIFICATION AND METHODOLOGY</w:t>
      </w:r>
    </w:p>
    <w:p w14:paraId="3DE4B220" w14:textId="5EB9436F" w:rsidR="00596122" w:rsidRPr="00E85554" w:rsidRDefault="00C23304" w:rsidP="00A255C7">
      <w:pPr>
        <w:pStyle w:val="ListParagraph"/>
        <w:spacing w:after="0" w:line="480" w:lineRule="auto"/>
        <w:ind w:left="0"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W</w:t>
      </w:r>
      <w:r w:rsidR="00596122" w:rsidRPr="00E85554">
        <w:rPr>
          <w:rFonts w:ascii="Times New Roman" w:hAnsi="Times New Roman" w:cs="Times New Roman"/>
          <w:sz w:val="24"/>
          <w:szCs w:val="24"/>
          <w:lang w:val="en-US"/>
        </w:rPr>
        <w:t xml:space="preserve">e begin with the dynamic model of investment that includes measures of the use of external finance </w:t>
      </w:r>
      <w:r w:rsidR="00596122" w:rsidRPr="00E85554">
        <w:rPr>
          <w:rFonts w:ascii="Times New Roman" w:hAnsi="Times New Roman" w:cs="Times New Roman"/>
          <w:sz w:val="24"/>
          <w:szCs w:val="24"/>
          <w:lang w:val="en-US"/>
        </w:rPr>
        <w:fldChar w:fldCharType="begin"/>
      </w:r>
      <w:r w:rsidR="00010D91">
        <w:rPr>
          <w:rFonts w:ascii="Times New Roman" w:hAnsi="Times New Roman" w:cs="Times New Roman"/>
          <w:sz w:val="24"/>
          <w:szCs w:val="24"/>
          <w:lang w:val="en-US"/>
        </w:rPr>
        <w:instrText xml:space="preserve"> ADDIN EN.CITE &lt;EndNote&gt;&lt;Cite&gt;&lt;Author&gt;Brown&lt;/Author&gt;&lt;Year&gt;2009&lt;/Year&gt;&lt;RecNum&gt;21&lt;/RecNum&gt;&lt;DisplayText&gt;(Brown et al., 2009b)&lt;/DisplayText&gt;&lt;record&gt;&lt;rec-number&gt;21&lt;/rec-number&gt;&lt;foreign-keys&gt;&lt;key app="EN" db-id="xdsfzvadmzzxdzereeq5xdf7eaxsdwfdfave" timestamp="1389481541"&gt;21&lt;/key&gt;&lt;/foreign-keys&gt;&lt;ref-type name="Journal Article"&gt;17&lt;/ref-type&gt;&lt;contributors&gt;&lt;authors&gt;&lt;author&gt;Brown, James R&lt;/author&gt;&lt;author&gt;Petersen, Bruce C&lt;/author&gt;&lt;/authors&gt;&lt;/contributors&gt;&lt;titles&gt;&lt;title&gt;Why has the investment-cash flow sensitivity declined so sharply? Rising R&amp;amp;D and equity market developments&lt;/title&gt;&lt;secondary-title&gt;Journal of Banking &amp;amp; Finance&lt;/secondary-title&gt;&lt;/titles&gt;&lt;periodical&gt;&lt;full-title&gt;Journal of Banking &amp;amp; Finance&lt;/full-title&gt;&lt;/periodical&gt;&lt;pages&gt;971-984&lt;/pages&gt;&lt;volume&gt;33&lt;/volume&gt;&lt;number&gt;5&lt;/number&gt;&lt;dates&gt;&lt;year&gt;2009&lt;/year&gt;&lt;/dates&gt;&lt;isbn&gt;0378-4266&lt;/isbn&gt;&lt;urls&gt;&lt;/urls&gt;&lt;/record&gt;&lt;/Cite&gt;&lt;/EndNote&gt;</w:instrText>
      </w:r>
      <w:r w:rsidR="00596122" w:rsidRPr="00E85554">
        <w:rPr>
          <w:rFonts w:ascii="Times New Roman" w:hAnsi="Times New Roman" w:cs="Times New Roman"/>
          <w:sz w:val="24"/>
          <w:szCs w:val="24"/>
          <w:lang w:val="en-US"/>
        </w:rPr>
        <w:fldChar w:fldCharType="separate"/>
      </w:r>
      <w:r w:rsidR="00010D91">
        <w:rPr>
          <w:rFonts w:ascii="Times New Roman" w:hAnsi="Times New Roman" w:cs="Times New Roman"/>
          <w:noProof/>
          <w:sz w:val="24"/>
          <w:szCs w:val="24"/>
          <w:lang w:val="en-US"/>
        </w:rPr>
        <w:t>(</w:t>
      </w:r>
      <w:hyperlink w:anchor="_ENREF_26" w:tooltip="Brown, 2009 #21" w:history="1">
        <w:r w:rsidR="00266C78">
          <w:rPr>
            <w:rFonts w:ascii="Times New Roman" w:hAnsi="Times New Roman" w:cs="Times New Roman"/>
            <w:noProof/>
            <w:sz w:val="24"/>
            <w:szCs w:val="24"/>
            <w:lang w:val="en-US"/>
          </w:rPr>
          <w:t>Brown et al., 2009b</w:t>
        </w:r>
      </w:hyperlink>
      <w:r w:rsidR="00010D91">
        <w:rPr>
          <w:rFonts w:ascii="Times New Roman" w:hAnsi="Times New Roman" w:cs="Times New Roman"/>
          <w:noProof/>
          <w:sz w:val="24"/>
          <w:szCs w:val="24"/>
          <w:lang w:val="en-US"/>
        </w:rPr>
        <w:t>)</w:t>
      </w:r>
      <w:r w:rsidR="00596122" w:rsidRPr="00E85554">
        <w:rPr>
          <w:rFonts w:ascii="Times New Roman" w:hAnsi="Times New Roman" w:cs="Times New Roman"/>
          <w:sz w:val="24"/>
          <w:szCs w:val="24"/>
          <w:lang w:val="en-US"/>
        </w:rPr>
        <w:fldChar w:fldCharType="end"/>
      </w:r>
      <w:r w:rsidR="00596122" w:rsidRPr="00E85554">
        <w:rPr>
          <w:rFonts w:ascii="Times New Roman" w:hAnsi="Times New Roman" w:cs="Times New Roman"/>
          <w:sz w:val="24"/>
          <w:szCs w:val="24"/>
          <w:lang w:val="en-US"/>
        </w:rPr>
        <w:t xml:space="preserve">. The specification includes cash flow sensitivities of fixed investment to different ownership and board structures. The cash flow sensitivities allow us to test for blockholder appropriation and misallocation (soft budget constraints) of different owners. This dynamic specification of investment, based on </w:t>
      </w:r>
      <w:hyperlink w:anchor="_ENREF_26" w:tooltip="Brown, 2009 #21" w:history="1">
        <w:r w:rsidR="00266C78" w:rsidRPr="00E85554">
          <w:rPr>
            <w:rFonts w:ascii="Times New Roman" w:hAnsi="Times New Roman" w:cs="Times New Roman"/>
            <w:sz w:val="24"/>
            <w:szCs w:val="24"/>
            <w:lang w:val="en-US"/>
          </w:rPr>
          <w:fldChar w:fldCharType="begin"/>
        </w:r>
        <w:r w:rsidR="00266C78">
          <w:rPr>
            <w:rFonts w:ascii="Times New Roman" w:hAnsi="Times New Roman" w:cs="Times New Roman"/>
            <w:sz w:val="24"/>
            <w:szCs w:val="24"/>
            <w:lang w:val="en-US"/>
          </w:rPr>
          <w:instrText xml:space="preserve"> ADDIN EN.CITE &lt;EndNote&gt;&lt;Cite AuthorYear="1"&gt;&lt;Author&gt;Brown&lt;/Author&gt;&lt;Year&gt;2009&lt;/Year&gt;&lt;RecNum&gt;21&lt;/RecNum&gt;&lt;DisplayText&gt;Brown et al. (2009b)&lt;/DisplayText&gt;&lt;record&gt;&lt;rec-number&gt;21&lt;/rec-number&gt;&lt;foreign-keys&gt;&lt;key app="EN" db-id="xdsfzvadmzzxdzereeq5xdf7eaxsdwfdfave" timestamp="1389481541"&gt;21&lt;/key&gt;&lt;/foreign-keys&gt;&lt;ref-type name="Journal Article"&gt;17&lt;/ref-type&gt;&lt;contributors&gt;&lt;authors&gt;&lt;author&gt;Brown, James R&lt;/author&gt;&lt;author&gt;Petersen, Bruce C&lt;/author&gt;&lt;/authors&gt;&lt;/contributors&gt;&lt;titles&gt;&lt;title&gt;Why has the investment-cash flow sensitivity declined so sharply? Rising R&amp;amp;D and equity market developments&lt;/title&gt;&lt;secondary-title&gt;Journal of Banking &amp;amp; Finance&lt;/secondary-title&gt;&lt;/titles&gt;&lt;periodical&gt;&lt;full-title&gt;Journal of Banking &amp;amp; Finance&lt;/full-title&gt;&lt;/periodical&gt;&lt;pages&gt;971-984&lt;/pages&gt;&lt;volume&gt;33&lt;/volume&gt;&lt;number&gt;5&lt;/number&gt;&lt;dates&gt;&lt;year&gt;2009&lt;/year&gt;&lt;/dates&gt;&lt;isbn&gt;0378-4266&lt;/isbn&gt;&lt;urls&gt;&lt;/urls&gt;&lt;/record&gt;&lt;/Cite&gt;&lt;/EndNote&gt;</w:instrText>
        </w:r>
        <w:r w:rsidR="00266C78" w:rsidRPr="00E85554">
          <w:rPr>
            <w:rFonts w:ascii="Times New Roman" w:hAnsi="Times New Roman" w:cs="Times New Roman"/>
            <w:sz w:val="24"/>
            <w:szCs w:val="24"/>
            <w:lang w:val="en-US"/>
          </w:rPr>
          <w:fldChar w:fldCharType="separate"/>
        </w:r>
        <w:r w:rsidR="00266C78">
          <w:rPr>
            <w:rFonts w:ascii="Times New Roman" w:hAnsi="Times New Roman" w:cs="Times New Roman"/>
            <w:noProof/>
            <w:sz w:val="24"/>
            <w:szCs w:val="24"/>
            <w:lang w:val="en-US"/>
          </w:rPr>
          <w:t>Brown et al. (2009b)</w:t>
        </w:r>
        <w:r w:rsidR="00266C78" w:rsidRPr="00E85554">
          <w:rPr>
            <w:rFonts w:ascii="Times New Roman" w:hAnsi="Times New Roman" w:cs="Times New Roman"/>
            <w:sz w:val="24"/>
            <w:szCs w:val="24"/>
            <w:lang w:val="en-US"/>
          </w:rPr>
          <w:fldChar w:fldCharType="end"/>
        </w:r>
      </w:hyperlink>
      <w:r w:rsidR="00596122" w:rsidRPr="00E85554">
        <w:rPr>
          <w:rFonts w:ascii="Times New Roman" w:hAnsi="Times New Roman" w:cs="Times New Roman"/>
          <w:sz w:val="24"/>
          <w:szCs w:val="24"/>
          <w:lang w:val="en-US"/>
        </w:rPr>
        <w:t xml:space="preserve">, is </w:t>
      </w:r>
      <w:r w:rsidR="00596122" w:rsidRPr="00E85554">
        <w:rPr>
          <w:rFonts w:ascii="Times New Roman" w:hAnsi="Times New Roman" w:cs="Times New Roman"/>
          <w:sz w:val="24"/>
          <w:szCs w:val="24"/>
          <w:lang w:val="en-US"/>
        </w:rPr>
        <w:lastRenderedPageBreak/>
        <w:t xml:space="preserve">the Q-model. Q-models of investment provide an empirically fruitful framework for the </w:t>
      </w:r>
      <w:r w:rsidR="00596122" w:rsidRPr="00346F5C">
        <w:rPr>
          <w:rFonts w:ascii="Times New Roman" w:hAnsi="Times New Roman" w:cs="Times New Roman"/>
          <w:sz w:val="24"/>
          <w:szCs w:val="24"/>
          <w:lang w:val="en-US"/>
        </w:rPr>
        <w:t>analysis of firms’ decisions to invest</w:t>
      </w:r>
      <w:r w:rsidR="00D819C9" w:rsidRPr="00346F5C">
        <w:rPr>
          <w:rFonts w:ascii="Times New Roman" w:hAnsi="Times New Roman" w:cs="Times New Roman"/>
          <w:sz w:val="24"/>
          <w:szCs w:val="24"/>
          <w:lang w:val="en-US"/>
        </w:rPr>
        <w:t xml:space="preserve"> and</w:t>
      </w:r>
      <w:r w:rsidR="00596122" w:rsidRPr="00346F5C">
        <w:rPr>
          <w:rFonts w:ascii="Times New Roman" w:hAnsi="Times New Roman" w:cs="Times New Roman"/>
          <w:sz w:val="24"/>
          <w:szCs w:val="24"/>
          <w:lang w:val="en-US"/>
        </w:rPr>
        <w:t xml:space="preserve"> are widely used in investment literature </w:t>
      </w:r>
      <w:r w:rsidR="00596122" w:rsidRPr="00346F5C">
        <w:rPr>
          <w:rFonts w:ascii="Times New Roman" w:hAnsi="Times New Roman" w:cs="Times New Roman"/>
          <w:sz w:val="24"/>
          <w:szCs w:val="24"/>
          <w:lang w:val="en-US"/>
        </w:rPr>
        <w:fldChar w:fldCharType="begin"/>
      </w:r>
      <w:r w:rsidR="00596122" w:rsidRPr="00346F5C">
        <w:rPr>
          <w:rFonts w:ascii="Times New Roman" w:hAnsi="Times New Roman" w:cs="Times New Roman"/>
          <w:sz w:val="24"/>
          <w:szCs w:val="24"/>
          <w:lang w:val="en-US"/>
        </w:rPr>
        <w:instrText xml:space="preserve"> ADDIN EN.CITE &lt;EndNote&gt;&lt;Cite&gt;&lt;Author&gt;Blundell&lt;/Author&gt;&lt;Year&gt;1992&lt;/Year&gt;&lt;RecNum&gt;284&lt;/RecNum&gt;&lt;DisplayText&gt;(Blundell et al., 1992)&lt;/DisplayText&gt;&lt;record&gt;&lt;rec-number&gt;284&lt;/rec-number&gt;&lt;foreign-keys&gt;&lt;key app="EN" db-id="xdsfzvadmzzxdzereeq5xdf7eaxsdwfdfave" timestamp="1433424213"&gt;284&lt;/key&gt;&lt;/foreign-keys&gt;&lt;ref-type name="Journal Article"&gt;17&lt;/ref-type&gt;&lt;contributors&gt;&lt;authors&gt;&lt;author&gt;Blundell, Richard&lt;/author&gt;&lt;author&gt;Bond, Stephen&lt;/author&gt;&lt;author&gt;Devereux, Michael&lt;/author&gt;&lt;author&gt;Schiantarelli, Fabio&lt;/author&gt;&lt;/authors&gt;&lt;/contributors&gt;&lt;titles&gt;&lt;title&gt;Investment and Tobin&amp;apos;s Q: Evidence from company panel data&lt;/title&gt;&lt;secondary-title&gt;Journal of Econometrics&lt;/secondary-title&gt;&lt;/titles&gt;&lt;periodical&gt;&lt;full-title&gt;Journal of Econometrics&lt;/full-title&gt;&lt;/periodical&gt;&lt;pages&gt;233-257&lt;/pages&gt;&lt;volume&gt;51&lt;/volume&gt;&lt;number&gt;1&lt;/number&gt;&lt;dates&gt;&lt;year&gt;1992&lt;/year&gt;&lt;/dates&gt;&lt;isbn&gt;0304-4076&lt;/isbn&gt;&lt;urls&gt;&lt;/urls&gt;&lt;/record&gt;&lt;/Cite&gt;&lt;/EndNote&gt;</w:instrText>
      </w:r>
      <w:r w:rsidR="00596122" w:rsidRPr="00346F5C">
        <w:rPr>
          <w:rFonts w:ascii="Times New Roman" w:hAnsi="Times New Roman" w:cs="Times New Roman"/>
          <w:sz w:val="24"/>
          <w:szCs w:val="24"/>
          <w:lang w:val="en-US"/>
        </w:rPr>
        <w:fldChar w:fldCharType="separate"/>
      </w:r>
      <w:r w:rsidR="00596122" w:rsidRPr="00346F5C">
        <w:rPr>
          <w:rFonts w:ascii="Times New Roman" w:hAnsi="Times New Roman" w:cs="Times New Roman"/>
          <w:noProof/>
          <w:sz w:val="24"/>
          <w:szCs w:val="24"/>
          <w:lang w:val="en-US"/>
        </w:rPr>
        <w:t>(</w:t>
      </w:r>
      <w:hyperlink w:anchor="_ENREF_20" w:tooltip="Blundell, 1992 #284" w:history="1">
        <w:r w:rsidR="00266C78" w:rsidRPr="00346F5C">
          <w:rPr>
            <w:rFonts w:ascii="Times New Roman" w:hAnsi="Times New Roman" w:cs="Times New Roman"/>
            <w:noProof/>
            <w:sz w:val="24"/>
            <w:szCs w:val="24"/>
            <w:lang w:val="en-US"/>
          </w:rPr>
          <w:t>Blundell et al., 1992</w:t>
        </w:r>
      </w:hyperlink>
      <w:r w:rsidR="00596122" w:rsidRPr="00346F5C">
        <w:rPr>
          <w:rFonts w:ascii="Times New Roman" w:hAnsi="Times New Roman" w:cs="Times New Roman"/>
          <w:noProof/>
          <w:sz w:val="24"/>
          <w:szCs w:val="24"/>
          <w:lang w:val="en-US"/>
        </w:rPr>
        <w:t>)</w:t>
      </w:r>
      <w:r w:rsidR="00596122" w:rsidRPr="00346F5C">
        <w:rPr>
          <w:rFonts w:ascii="Times New Roman" w:hAnsi="Times New Roman" w:cs="Times New Roman"/>
          <w:sz w:val="24"/>
          <w:szCs w:val="24"/>
          <w:lang w:val="en-US"/>
        </w:rPr>
        <w:fldChar w:fldCharType="end"/>
      </w:r>
      <w:r w:rsidR="00596122" w:rsidRPr="00346F5C">
        <w:rPr>
          <w:rFonts w:ascii="Times New Roman" w:hAnsi="Times New Roman" w:cs="Times New Roman"/>
          <w:sz w:val="24"/>
          <w:szCs w:val="24"/>
          <w:lang w:val="en-US"/>
        </w:rPr>
        <w:t>.</w:t>
      </w:r>
      <w:r w:rsidR="00067FC4" w:rsidRPr="00346F5C">
        <w:rPr>
          <w:rFonts w:ascii="Times New Roman" w:hAnsi="Times New Roman" w:cs="Times New Roman"/>
          <w:sz w:val="24"/>
          <w:szCs w:val="24"/>
          <w:lang w:val="en-US"/>
        </w:rPr>
        <w:t xml:space="preserve"> </w:t>
      </w:r>
      <w:r w:rsidR="00346F5C" w:rsidRPr="00346F5C">
        <w:rPr>
          <w:rFonts w:ascii="Times New Roman" w:hAnsi="Times New Roman" w:cs="Times New Roman"/>
          <w:sz w:val="24"/>
          <w:szCs w:val="24"/>
          <w:lang w:val="en-US"/>
        </w:rPr>
        <w:t xml:space="preserve">Tobin’s </w:t>
      </w:r>
      <w:r w:rsidR="00067FC4" w:rsidRPr="00346F5C">
        <w:rPr>
          <w:rFonts w:ascii="Times New Roman" w:hAnsi="Times New Roman" w:cs="Times New Roman"/>
          <w:sz w:val="24"/>
          <w:szCs w:val="24"/>
          <w:lang w:val="en-US"/>
        </w:rPr>
        <w:t>Q</w:t>
      </w:r>
      <w:r w:rsidR="00067FC4" w:rsidRPr="00E85554">
        <w:rPr>
          <w:rFonts w:ascii="Times New Roman" w:hAnsi="Times New Roman" w:cs="Times New Roman"/>
          <w:sz w:val="24"/>
          <w:szCs w:val="24"/>
          <w:lang w:val="en-US"/>
        </w:rPr>
        <w:t xml:space="preserve"> represents the ratio of the market value of a firm's existing shares to the replacement cost of the firm's physical assets. If Q is greater than one, additional investment in the firm would make sense because the profits generated would exceed the cost of firm's assets. If </w:t>
      </w:r>
      <w:r w:rsidR="00D819C9" w:rsidRPr="00E85554">
        <w:rPr>
          <w:rFonts w:ascii="Times New Roman" w:hAnsi="Times New Roman" w:cs="Times New Roman"/>
          <w:sz w:val="24"/>
          <w:szCs w:val="24"/>
          <w:lang w:val="en-US"/>
        </w:rPr>
        <w:t>Q</w:t>
      </w:r>
      <w:r w:rsidR="00067FC4" w:rsidRPr="00E85554">
        <w:rPr>
          <w:rFonts w:ascii="Times New Roman" w:hAnsi="Times New Roman" w:cs="Times New Roman"/>
          <w:sz w:val="24"/>
          <w:szCs w:val="24"/>
          <w:lang w:val="en-US"/>
        </w:rPr>
        <w:t xml:space="preserve"> is less than one, the firm would be better off selling its assets instead of trying to put them to use. The ideal state is where </w:t>
      </w:r>
      <w:r w:rsidR="00D819C9" w:rsidRPr="00E85554">
        <w:rPr>
          <w:rFonts w:ascii="Times New Roman" w:hAnsi="Times New Roman" w:cs="Times New Roman"/>
          <w:sz w:val="24"/>
          <w:szCs w:val="24"/>
          <w:lang w:val="en-US"/>
        </w:rPr>
        <w:t>Q</w:t>
      </w:r>
      <w:r w:rsidR="00067FC4" w:rsidRPr="00E85554">
        <w:rPr>
          <w:rFonts w:ascii="Times New Roman" w:hAnsi="Times New Roman" w:cs="Times New Roman"/>
          <w:sz w:val="24"/>
          <w:szCs w:val="24"/>
          <w:lang w:val="en-US"/>
        </w:rPr>
        <w:t xml:space="preserve"> is approximately equal to one denoting that the firm is in equilibrium.</w:t>
      </w:r>
    </w:p>
    <w:p w14:paraId="099243A1" w14:textId="2E9E0CBD" w:rsidR="00867A5E" w:rsidRPr="00E85554" w:rsidRDefault="00346F5C" w:rsidP="000B2C2F">
      <w:pPr>
        <w:spacing w:after="0"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We use </w:t>
      </w:r>
      <w:r w:rsidR="00867A5E" w:rsidRPr="00E85554">
        <w:rPr>
          <w:rFonts w:ascii="Times New Roman" w:hAnsi="Times New Roman" w:cs="Times New Roman"/>
          <w:sz w:val="24"/>
          <w:szCs w:val="24"/>
          <w:lang w:val="en-US"/>
        </w:rPr>
        <w:t>OLS regressions with firm fixed effects</w:t>
      </w:r>
      <w:r>
        <w:rPr>
          <w:rFonts w:ascii="Times New Roman" w:hAnsi="Times New Roman" w:cs="Times New Roman"/>
          <w:sz w:val="24"/>
          <w:szCs w:val="24"/>
          <w:lang w:val="en-US"/>
        </w:rPr>
        <w:t xml:space="preserve"> which</w:t>
      </w:r>
      <w:r w:rsidR="00867A5E" w:rsidRPr="00E85554">
        <w:rPr>
          <w:rFonts w:ascii="Times New Roman" w:hAnsi="Times New Roman" w:cs="Times New Roman"/>
          <w:sz w:val="24"/>
          <w:szCs w:val="24"/>
          <w:lang w:val="en-US"/>
        </w:rPr>
        <w:t xml:space="preserve"> assist in controlling for unobserved heterogeneity when this heterogeneity is constant over time. This heterogeneity can be removed by taking a first difference which will remove any time invariant components of the model. The fixed effect assumption is that the individual–specific effects are correlated with the independent variables.</w:t>
      </w:r>
      <w:r w:rsidR="00D819C9" w:rsidRPr="00E85554">
        <w:rPr>
          <w:rFonts w:ascii="Times New Roman" w:hAnsi="Times New Roman" w:cs="Times New Roman"/>
          <w:sz w:val="24"/>
          <w:szCs w:val="24"/>
          <w:lang w:val="en-US"/>
        </w:rPr>
        <w:t xml:space="preserve"> </w:t>
      </w:r>
      <w:r w:rsidR="00867A5E" w:rsidRPr="00E85554">
        <w:rPr>
          <w:rFonts w:ascii="Times New Roman" w:hAnsi="Times New Roman" w:cs="Times New Roman"/>
          <w:sz w:val="24"/>
          <w:szCs w:val="24"/>
          <w:lang w:val="en-US"/>
        </w:rPr>
        <w:t xml:space="preserve">Fixed effects models are standard in the investment literature </w:t>
      </w:r>
      <w:r w:rsidR="005C4DB6">
        <w:rPr>
          <w:rFonts w:ascii="Times New Roman" w:hAnsi="Times New Roman" w:cs="Times New Roman"/>
          <w:sz w:val="24"/>
          <w:szCs w:val="24"/>
          <w:lang w:val="en-US"/>
        </w:rPr>
        <w:fldChar w:fldCharType="begin"/>
      </w:r>
      <w:r w:rsidR="00010D91">
        <w:rPr>
          <w:rFonts w:ascii="Times New Roman" w:hAnsi="Times New Roman" w:cs="Times New Roman"/>
          <w:sz w:val="24"/>
          <w:szCs w:val="24"/>
          <w:lang w:val="en-US"/>
        </w:rPr>
        <w:instrText xml:space="preserve"> ADDIN EN.CITE &lt;EndNote&gt;&lt;Cite&gt;&lt;Author&gt;Brown&lt;/Author&gt;&lt;Year&gt;2009&lt;/Year&gt;&lt;RecNum&gt;21&lt;/RecNum&gt;&lt;DisplayText&gt;(Brown et al., 2009b)&lt;/DisplayText&gt;&lt;record&gt;&lt;rec-number&gt;21&lt;/rec-number&gt;&lt;foreign-keys&gt;&lt;key app="EN" db-id="xdsfzvadmzzxdzereeq5xdf7eaxsdwfdfave" timestamp="1389481541"&gt;21&lt;/key&gt;&lt;/foreign-keys&gt;&lt;ref-type name="Journal Article"&gt;17&lt;/ref-type&gt;&lt;contributors&gt;&lt;authors&gt;&lt;author&gt;Brown, James R&lt;/author&gt;&lt;author&gt;Petersen, Bruce C&lt;/author&gt;&lt;/authors&gt;&lt;/contributors&gt;&lt;titles&gt;&lt;title&gt;Why has the investment-cash flow sensitivity declined so sharply? Rising R&amp;amp;D and equity market developments&lt;/title&gt;&lt;secondary-title&gt;Journal of Banking &amp;amp; Finance&lt;/secondary-title&gt;&lt;/titles&gt;&lt;periodical&gt;&lt;full-title&gt;Journal of Banking &amp;amp; Finance&lt;/full-title&gt;&lt;/periodical&gt;&lt;pages&gt;971-984&lt;/pages&gt;&lt;volume&gt;33&lt;/volume&gt;&lt;number&gt;5&lt;/number&gt;&lt;dates&gt;&lt;year&gt;2009&lt;/year&gt;&lt;/dates&gt;&lt;isbn&gt;0378-4266&lt;/isbn&gt;&lt;urls&gt;&lt;/urls&gt;&lt;/record&gt;&lt;/Cite&gt;&lt;/EndNote&gt;</w:instrText>
      </w:r>
      <w:r w:rsidR="005C4DB6">
        <w:rPr>
          <w:rFonts w:ascii="Times New Roman" w:hAnsi="Times New Roman" w:cs="Times New Roman"/>
          <w:sz w:val="24"/>
          <w:szCs w:val="24"/>
          <w:lang w:val="en-US"/>
        </w:rPr>
        <w:fldChar w:fldCharType="separate"/>
      </w:r>
      <w:r w:rsidR="00010D91">
        <w:rPr>
          <w:rFonts w:ascii="Times New Roman" w:hAnsi="Times New Roman" w:cs="Times New Roman"/>
          <w:noProof/>
          <w:sz w:val="24"/>
          <w:szCs w:val="24"/>
          <w:lang w:val="en-US"/>
        </w:rPr>
        <w:t>(</w:t>
      </w:r>
      <w:hyperlink w:anchor="_ENREF_26" w:tooltip="Brown, 2009 #21" w:history="1">
        <w:r w:rsidR="00266C78">
          <w:rPr>
            <w:rFonts w:ascii="Times New Roman" w:hAnsi="Times New Roman" w:cs="Times New Roman"/>
            <w:noProof/>
            <w:sz w:val="24"/>
            <w:szCs w:val="24"/>
            <w:lang w:val="en-US"/>
          </w:rPr>
          <w:t>Brown et al., 2009b</w:t>
        </w:r>
      </w:hyperlink>
      <w:r w:rsidR="00010D91">
        <w:rPr>
          <w:rFonts w:ascii="Times New Roman" w:hAnsi="Times New Roman" w:cs="Times New Roman"/>
          <w:noProof/>
          <w:sz w:val="24"/>
          <w:szCs w:val="24"/>
          <w:lang w:val="en-US"/>
        </w:rPr>
        <w:t>)</w:t>
      </w:r>
      <w:r w:rsidR="005C4DB6">
        <w:rPr>
          <w:rFonts w:ascii="Times New Roman" w:hAnsi="Times New Roman" w:cs="Times New Roman"/>
          <w:sz w:val="24"/>
          <w:szCs w:val="24"/>
          <w:lang w:val="en-US"/>
        </w:rPr>
        <w:fldChar w:fldCharType="end"/>
      </w:r>
      <w:r w:rsidR="00867A5E" w:rsidRPr="00E85554">
        <w:rPr>
          <w:rFonts w:ascii="Times New Roman" w:hAnsi="Times New Roman" w:cs="Times New Roman"/>
          <w:sz w:val="24"/>
          <w:szCs w:val="24"/>
          <w:lang w:val="en-US"/>
        </w:rPr>
        <w:t xml:space="preserve">. </w:t>
      </w:r>
    </w:p>
    <w:p w14:paraId="4B392E56" w14:textId="5859C35C" w:rsidR="003614E3" w:rsidRPr="00E85554" w:rsidRDefault="00867A5E" w:rsidP="000B2C2F">
      <w:pPr>
        <w:spacing w:after="0" w:line="480" w:lineRule="auto"/>
        <w:ind w:firstLine="720"/>
        <w:rPr>
          <w:rFonts w:ascii="Times New Roman" w:hAnsi="Times New Roman" w:cs="Times New Roman"/>
          <w:b/>
          <w:sz w:val="24"/>
          <w:szCs w:val="24"/>
          <w:lang w:val="en-US"/>
        </w:rPr>
      </w:pPr>
      <w:r w:rsidRPr="00E85554">
        <w:rPr>
          <w:rFonts w:ascii="Times New Roman" w:hAnsi="Times New Roman" w:cs="Times New Roman"/>
          <w:sz w:val="24"/>
          <w:szCs w:val="24"/>
          <w:lang w:val="en-US"/>
        </w:rPr>
        <w:t xml:space="preserve">In addition, we use the GMM estimator developed by </w:t>
      </w:r>
      <w:hyperlink w:anchor="_ENREF_7" w:tooltip="Arellano, 1995 #7" w:history="1">
        <w:r w:rsidR="00266C78">
          <w:rPr>
            <w:rFonts w:ascii="Times New Roman" w:hAnsi="Times New Roman" w:cs="Times New Roman"/>
            <w:sz w:val="24"/>
            <w:szCs w:val="24"/>
            <w:lang w:val="en-US"/>
          </w:rPr>
          <w:fldChar w:fldCharType="begin"/>
        </w:r>
        <w:r w:rsidR="00266C78">
          <w:rPr>
            <w:rFonts w:ascii="Times New Roman" w:hAnsi="Times New Roman" w:cs="Times New Roman"/>
            <w:sz w:val="24"/>
            <w:szCs w:val="24"/>
            <w:lang w:val="en-US"/>
          </w:rPr>
          <w:instrText xml:space="preserve"> ADDIN EN.CITE &lt;EndNote&gt;&lt;Cite AuthorYear="1"&gt;&lt;Author&gt;Arellano&lt;/Author&gt;&lt;Year&gt;1995&lt;/Year&gt;&lt;RecNum&gt;7&lt;/RecNum&gt;&lt;DisplayText&gt;Arellano et al. (1995)&lt;/DisplayText&gt;&lt;record&gt;&lt;rec-number&gt;7&lt;/rec-number&gt;&lt;foreign-keys&gt;&lt;key app="EN" db-id="xdsfzvadmzzxdzereeq5xdf7eaxsdwfdfave" timestamp="1389310317"&gt;7&lt;/key&gt;&lt;/foreign-keys&gt;&lt;ref-type name="Journal Article"&gt;17&lt;/ref-type&gt;&lt;contributors&gt;&lt;authors&gt;&lt;author&gt;Arellano, Manuel&lt;/author&gt;&lt;author&gt;Bover, Olympia&lt;/author&gt;&lt;/authors&gt;&lt;/contributors&gt;&lt;titles&gt;&lt;title&gt;Another look at the instrumental variable estimation of error-components models&lt;/title&gt;&lt;secondary-title&gt;Journal of Econometrics&lt;/secondary-title&gt;&lt;/titles&gt;&lt;periodical&gt;&lt;full-title&gt;Journal of Econometrics&lt;/full-title&gt;&lt;/periodical&gt;&lt;pages&gt;29-51&lt;/pages&gt;&lt;volume&gt;68&lt;/volume&gt;&lt;number&gt;1&lt;/number&gt;&lt;dates&gt;&lt;year&gt;1995&lt;/year&gt;&lt;/dates&gt;&lt;isbn&gt;0304-4076&lt;/isbn&gt;&lt;urls&gt;&lt;/urls&gt;&lt;/record&gt;&lt;/Cite&gt;&lt;/EndNote&gt;</w:instrText>
        </w:r>
        <w:r w:rsidR="00266C78">
          <w:rPr>
            <w:rFonts w:ascii="Times New Roman" w:hAnsi="Times New Roman" w:cs="Times New Roman"/>
            <w:sz w:val="24"/>
            <w:szCs w:val="24"/>
            <w:lang w:val="en-US"/>
          </w:rPr>
          <w:fldChar w:fldCharType="separate"/>
        </w:r>
        <w:r w:rsidR="00266C78">
          <w:rPr>
            <w:rFonts w:ascii="Times New Roman" w:hAnsi="Times New Roman" w:cs="Times New Roman"/>
            <w:noProof/>
            <w:sz w:val="24"/>
            <w:szCs w:val="24"/>
            <w:lang w:val="en-US"/>
          </w:rPr>
          <w:t>Arellano et al. (1995)</w:t>
        </w:r>
        <w:r w:rsidR="00266C78">
          <w:rPr>
            <w:rFonts w:ascii="Times New Roman" w:hAnsi="Times New Roman" w:cs="Times New Roman"/>
            <w:sz w:val="24"/>
            <w:szCs w:val="24"/>
            <w:lang w:val="en-US"/>
          </w:rPr>
          <w:fldChar w:fldCharType="end"/>
        </w:r>
      </w:hyperlink>
      <w:r w:rsidRPr="00E85554">
        <w:rPr>
          <w:rFonts w:ascii="Times New Roman" w:hAnsi="Times New Roman" w:cs="Times New Roman"/>
          <w:sz w:val="24"/>
          <w:szCs w:val="24"/>
          <w:lang w:val="en-US"/>
        </w:rPr>
        <w:t xml:space="preserve"> and</w:t>
      </w:r>
      <w:r w:rsidR="00CB6D13">
        <w:rPr>
          <w:rFonts w:ascii="Times New Roman" w:hAnsi="Times New Roman" w:cs="Times New Roman"/>
          <w:sz w:val="24"/>
          <w:szCs w:val="24"/>
          <w:lang w:val="en-US"/>
        </w:rPr>
        <w:t xml:space="preserve"> </w:t>
      </w:r>
      <w:hyperlink w:anchor="_ENREF_19" w:tooltip="Blundell, 1998 #211" w:history="1">
        <w:r w:rsidR="00266C78">
          <w:rPr>
            <w:rFonts w:ascii="Times New Roman" w:hAnsi="Times New Roman" w:cs="Times New Roman"/>
            <w:sz w:val="24"/>
            <w:szCs w:val="24"/>
            <w:lang w:val="en-US"/>
          </w:rPr>
          <w:fldChar w:fldCharType="begin"/>
        </w:r>
        <w:r w:rsidR="00266C78">
          <w:rPr>
            <w:rFonts w:ascii="Times New Roman" w:hAnsi="Times New Roman" w:cs="Times New Roman"/>
            <w:sz w:val="24"/>
            <w:szCs w:val="24"/>
            <w:lang w:val="en-US"/>
          </w:rPr>
          <w:instrText xml:space="preserve"> ADDIN EN.CITE &lt;EndNote&gt;&lt;Cite AuthorYear="1"&gt;&lt;Author&gt;Blundell&lt;/Author&gt;&lt;Year&gt;1998&lt;/Year&gt;&lt;RecNum&gt;211&lt;/RecNum&gt;&lt;DisplayText&gt;Blundell et al. (1998)&lt;/DisplayText&gt;&lt;record&gt;&lt;rec-number&gt;211&lt;/rec-number&gt;&lt;foreign-keys&gt;&lt;key app="EN" db-id="xdsfzvadmzzxdzereeq5xdf7eaxsdwfdfave" timestamp="1398436544"&gt;211&lt;/key&gt;&lt;/foreign-keys&gt;&lt;ref-type name="Journal Article"&gt;17&lt;/ref-type&gt;&lt;contributors&gt;&lt;authors&gt;&lt;author&gt;Blundell, Richard&lt;/author&gt;&lt;author&gt;Bond, Stephen&lt;/author&gt;&lt;/authors&gt;&lt;/contributors&gt;&lt;titles&gt;&lt;title&gt;Initial conditions and moment restrictions in dynamic panel data models&lt;/title&gt;&lt;secondary-title&gt;Journal of Econometrics&lt;/secondary-title&gt;&lt;/titles&gt;&lt;periodical&gt;&lt;full-title&gt;Journal of Econometrics&lt;/full-title&gt;&lt;/periodical&gt;&lt;pages&gt;115-143&lt;/pages&gt;&lt;volume&gt;87&lt;/volume&gt;&lt;number&gt;1&lt;/number&gt;&lt;dates&gt;&lt;year&gt;1998&lt;/year&gt;&lt;/dates&gt;&lt;isbn&gt;0304-4076&lt;/isbn&gt;&lt;urls&gt;&lt;/urls&gt;&lt;/record&gt;&lt;/Cite&gt;&lt;/EndNote&gt;</w:instrText>
        </w:r>
        <w:r w:rsidR="00266C78">
          <w:rPr>
            <w:rFonts w:ascii="Times New Roman" w:hAnsi="Times New Roman" w:cs="Times New Roman"/>
            <w:sz w:val="24"/>
            <w:szCs w:val="24"/>
            <w:lang w:val="en-US"/>
          </w:rPr>
          <w:fldChar w:fldCharType="separate"/>
        </w:r>
        <w:r w:rsidR="00266C78">
          <w:rPr>
            <w:rFonts w:ascii="Times New Roman" w:hAnsi="Times New Roman" w:cs="Times New Roman"/>
            <w:noProof/>
            <w:sz w:val="24"/>
            <w:szCs w:val="24"/>
            <w:lang w:val="en-US"/>
          </w:rPr>
          <w:t>Blundell et al. (1998)</w:t>
        </w:r>
        <w:r w:rsidR="00266C78">
          <w:rPr>
            <w:rFonts w:ascii="Times New Roman" w:hAnsi="Times New Roman" w:cs="Times New Roman"/>
            <w:sz w:val="24"/>
            <w:szCs w:val="24"/>
            <w:lang w:val="en-US"/>
          </w:rPr>
          <w:fldChar w:fldCharType="end"/>
        </w:r>
      </w:hyperlink>
      <w:r w:rsidRPr="00E85554">
        <w:rPr>
          <w:rFonts w:ascii="Times New Roman" w:hAnsi="Times New Roman" w:cs="Times New Roman"/>
          <w:sz w:val="24"/>
          <w:szCs w:val="24"/>
          <w:lang w:val="en-US"/>
        </w:rPr>
        <w:t>, where lagged values of endogenous regressors are used as instruments</w:t>
      </w:r>
      <w:r w:rsidR="003911DE" w:rsidRPr="00E85554">
        <w:rPr>
          <w:rFonts w:ascii="Times New Roman" w:hAnsi="Times New Roman" w:cs="Times New Roman"/>
          <w:sz w:val="24"/>
          <w:szCs w:val="24"/>
          <w:lang w:val="en-US"/>
        </w:rPr>
        <w:t>, and which is robust to heteroscedasticity and arbitrary patterns of autocorrelation within firms</w:t>
      </w:r>
      <w:r w:rsidRPr="00E85554">
        <w:rPr>
          <w:rFonts w:ascii="Times New Roman" w:hAnsi="Times New Roman" w:cs="Times New Roman"/>
          <w:sz w:val="24"/>
          <w:szCs w:val="24"/>
          <w:lang w:val="en-US"/>
        </w:rPr>
        <w:t xml:space="preserve">. Similar approaches have been used in a number of other applied studies </w:t>
      </w:r>
      <w:r w:rsidR="00010D91">
        <w:rPr>
          <w:rFonts w:ascii="Times New Roman" w:hAnsi="Times New Roman" w:cs="Times New Roman"/>
          <w:sz w:val="24"/>
          <w:szCs w:val="24"/>
          <w:lang w:val="en-US"/>
        </w:rPr>
        <w:t xml:space="preserve"> </w:t>
      </w:r>
      <w:r w:rsidR="00010D91">
        <w:rPr>
          <w:rFonts w:ascii="Times New Roman" w:hAnsi="Times New Roman" w:cs="Times New Roman"/>
          <w:sz w:val="24"/>
          <w:szCs w:val="24"/>
          <w:lang w:val="en-US"/>
        </w:rPr>
        <w:fldChar w:fldCharType="begin"/>
      </w:r>
      <w:r w:rsidR="00010D91">
        <w:rPr>
          <w:rFonts w:ascii="Times New Roman" w:hAnsi="Times New Roman" w:cs="Times New Roman"/>
          <w:sz w:val="24"/>
          <w:szCs w:val="24"/>
          <w:lang w:val="en-US"/>
        </w:rPr>
        <w:instrText xml:space="preserve"> ADDIN EN.CITE &lt;EndNote&gt;&lt;Cite&gt;&lt;Author&gt;Brown&lt;/Author&gt;&lt;Year&gt;2009&lt;/Year&gt;&lt;RecNum&gt;21&lt;/RecNum&gt;&lt;DisplayText&gt;(Beck et al., 2006; Brown et al., 2009b)&lt;/DisplayText&gt;&lt;record&gt;&lt;rec-number&gt;21&lt;/rec-number&gt;&lt;foreign-keys&gt;&lt;key app="EN" db-id="xdsfzvadmzzxdzereeq5xdf7eaxsdwfdfave" timestamp="1389481541"&gt;21&lt;/key&gt;&lt;/foreign-keys&gt;&lt;ref-type name="Journal Article"&gt;17&lt;/ref-type&gt;&lt;contributors&gt;&lt;authors&gt;&lt;author&gt;Brown, James R&lt;/author&gt;&lt;author&gt;Petersen, Bruce C&lt;/author&gt;&lt;/authors&gt;&lt;/contributors&gt;&lt;titles&gt;&lt;title&gt;Why has the investment-cash flow sensitivity declined so sharply? Rising R&amp;amp;D and equity market developments&lt;/title&gt;&lt;secondary-title&gt;Journal of Banking &amp;amp; Finance&lt;/secondary-title&gt;&lt;/titles&gt;&lt;periodical&gt;&lt;full-title&gt;Journal of Banking &amp;amp; Finance&lt;/full-title&gt;&lt;/periodical&gt;&lt;pages&gt;971-984&lt;/pages&gt;&lt;volume&gt;33&lt;/volume&gt;&lt;number&gt;5&lt;/number&gt;&lt;dates&gt;&lt;year&gt;2009&lt;/year&gt;&lt;/dates&gt;&lt;isbn&gt;0378-4266&lt;/isbn&gt;&lt;urls&gt;&lt;/urls&gt;&lt;/record&gt;&lt;/Cite&gt;&lt;Cite&gt;&lt;Author&gt;Beck&lt;/Author&gt;&lt;Year&gt;2006&lt;/Year&gt;&lt;RecNum&gt;12&lt;/RecNum&gt;&lt;record&gt;&lt;rec-number&gt;12&lt;/rec-number&gt;&lt;foreign-keys&gt;&lt;key app="EN" db-id="xdsfzvadmzzxdzereeq5xdf7eaxsdwfdfave" timestamp="1389310790"&gt;12&lt;/key&gt;&lt;/foreign-keys&gt;&lt;ref-type name="Journal Article"&gt;17&lt;/ref-type&gt;&lt;contributors&gt;&lt;authors&gt;&lt;author&gt;Beck, Thorsten&lt;/author&gt;&lt;author&gt;Demirgüç-Kunt, Aslı&lt;/author&gt;&lt;author&gt;Laeven, Luc&lt;/author&gt;&lt;author&gt;Maksimovic, Vojislav&lt;/author&gt;&lt;/authors&gt;&lt;/contributors&gt;&lt;titles&gt;&lt;title&gt;The determinants of financing obstacles&lt;/title&gt;&lt;secondary-title&gt;Journal of International Money and Finance&lt;/secondary-title&gt;&lt;/titles&gt;&lt;periodical&gt;&lt;full-title&gt;Journal of International Money and Finance&lt;/full-title&gt;&lt;/periodical&gt;&lt;pages&gt;932-952&lt;/pages&gt;&lt;volume&gt;25&lt;/volume&gt;&lt;number&gt;6&lt;/number&gt;&lt;dates&gt;&lt;year&gt;2006&lt;/year&gt;&lt;/dates&gt;&lt;isbn&gt;0261-5606&lt;/isbn&gt;&lt;urls&gt;&lt;/urls&gt;&lt;/record&gt;&lt;/Cite&gt;&lt;/EndNote&gt;</w:instrText>
      </w:r>
      <w:r w:rsidR="00010D91">
        <w:rPr>
          <w:rFonts w:ascii="Times New Roman" w:hAnsi="Times New Roman" w:cs="Times New Roman"/>
          <w:sz w:val="24"/>
          <w:szCs w:val="24"/>
          <w:lang w:val="en-US"/>
        </w:rPr>
        <w:fldChar w:fldCharType="separate"/>
      </w:r>
      <w:r w:rsidR="00010D91">
        <w:rPr>
          <w:rFonts w:ascii="Times New Roman" w:hAnsi="Times New Roman" w:cs="Times New Roman"/>
          <w:noProof/>
          <w:sz w:val="24"/>
          <w:szCs w:val="24"/>
          <w:lang w:val="en-US"/>
        </w:rPr>
        <w:t>(</w:t>
      </w:r>
      <w:hyperlink w:anchor="_ENREF_10" w:tooltip="Beck, 2006 #12" w:history="1">
        <w:r w:rsidR="00266C78">
          <w:rPr>
            <w:rFonts w:ascii="Times New Roman" w:hAnsi="Times New Roman" w:cs="Times New Roman"/>
            <w:noProof/>
            <w:sz w:val="24"/>
            <w:szCs w:val="24"/>
            <w:lang w:val="en-US"/>
          </w:rPr>
          <w:t>Beck et al., 2006</w:t>
        </w:r>
      </w:hyperlink>
      <w:r w:rsidR="00010D91">
        <w:rPr>
          <w:rFonts w:ascii="Times New Roman" w:hAnsi="Times New Roman" w:cs="Times New Roman"/>
          <w:noProof/>
          <w:sz w:val="24"/>
          <w:szCs w:val="24"/>
          <w:lang w:val="en-US"/>
        </w:rPr>
        <w:t xml:space="preserve">; </w:t>
      </w:r>
      <w:hyperlink w:anchor="_ENREF_26" w:tooltip="Brown, 2009 #21" w:history="1">
        <w:r w:rsidR="00266C78">
          <w:rPr>
            <w:rFonts w:ascii="Times New Roman" w:hAnsi="Times New Roman" w:cs="Times New Roman"/>
            <w:noProof/>
            <w:sz w:val="24"/>
            <w:szCs w:val="24"/>
            <w:lang w:val="en-US"/>
          </w:rPr>
          <w:t>Brown et al., 2009b</w:t>
        </w:r>
      </w:hyperlink>
      <w:r w:rsidR="00010D91">
        <w:rPr>
          <w:rFonts w:ascii="Times New Roman" w:hAnsi="Times New Roman" w:cs="Times New Roman"/>
          <w:noProof/>
          <w:sz w:val="24"/>
          <w:szCs w:val="24"/>
          <w:lang w:val="en-US"/>
        </w:rPr>
        <w:t>)</w:t>
      </w:r>
      <w:r w:rsidR="00010D91">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w:t>
      </w:r>
      <w:r w:rsidR="00C368C2" w:rsidRPr="00E85554">
        <w:rPr>
          <w:rFonts w:ascii="Times New Roman" w:hAnsi="Times New Roman" w:cs="Times New Roman"/>
          <w:sz w:val="24"/>
          <w:szCs w:val="24"/>
          <w:lang w:val="en-US"/>
        </w:rPr>
        <w:t>Lagged dependent variables are valid instruments when they are also affected by similar firm-level institutions. As</w:t>
      </w:r>
      <w:r w:rsidR="00010D91">
        <w:rPr>
          <w:rFonts w:ascii="Times New Roman" w:hAnsi="Times New Roman" w:cs="Times New Roman"/>
          <w:sz w:val="24"/>
          <w:szCs w:val="24"/>
          <w:lang w:val="en-US"/>
        </w:rPr>
        <w:t xml:space="preserve"> </w:t>
      </w:r>
      <w:hyperlink w:anchor="_ENREF_104" w:tooltip="Wintoki, 2012 #204" w:history="1">
        <w:r w:rsidR="00266C78">
          <w:rPr>
            <w:rFonts w:ascii="Times New Roman" w:hAnsi="Times New Roman" w:cs="Times New Roman"/>
            <w:sz w:val="24"/>
            <w:szCs w:val="24"/>
            <w:lang w:val="en-US"/>
          </w:rPr>
          <w:fldChar w:fldCharType="begin"/>
        </w:r>
        <w:r w:rsidR="00266C78">
          <w:rPr>
            <w:rFonts w:ascii="Times New Roman" w:hAnsi="Times New Roman" w:cs="Times New Roman"/>
            <w:sz w:val="24"/>
            <w:szCs w:val="24"/>
            <w:lang w:val="en-US"/>
          </w:rPr>
          <w:instrText xml:space="preserve"> ADDIN EN.CITE &lt;EndNote&gt;&lt;Cite AuthorYear="1"&gt;&lt;Author&gt;Wintoki&lt;/Author&gt;&lt;Year&gt;2012&lt;/Year&gt;&lt;RecNum&gt;204&lt;/RecNum&gt;&lt;Pages&gt;3&lt;/Pages&gt;&lt;DisplayText&gt;Wintoki et al. (2012)&lt;/DisplayText&gt;&lt;record&gt;&lt;rec-number&gt;204&lt;/rec-number&gt;&lt;foreign-keys&gt;&lt;key app="EN" db-id="xdsfzvadmzzxdzereeq5xdf7eaxsdwfdfave" timestamp="1398435973"&gt;204&lt;/key&gt;&lt;/foreign-keys&gt;&lt;ref-type name="Journal Article"&gt;17&lt;/ref-type&gt;&lt;contributors&gt;&lt;authors&gt;&lt;author&gt;Wintoki, M Babajide&lt;/author&gt;&lt;author&gt;Linck, James S&lt;/author&gt;&lt;author&gt;Netter, Jeffry M&lt;/author&gt;&lt;/authors&gt;&lt;/contributors&gt;&lt;titles&gt;&lt;title&gt;Endogeneity and the dynamics of internal corporate governance&lt;/title&gt;&lt;secondary-title&gt;Journal of Financial Economics&lt;/secondary-title&gt;&lt;/titles&gt;&lt;periodical&gt;&lt;full-title&gt;Journal of Financial Economics&lt;/full-title&gt;&lt;/periodical&gt;&lt;pages&gt;581-606&lt;/pages&gt;&lt;volume&gt;105&lt;/volume&gt;&lt;number&gt;3&lt;/number&gt;&lt;dates&gt;&lt;year&gt;2012&lt;/year&gt;&lt;/dates&gt;&lt;isbn&gt;0304-405X&lt;/isbn&gt;&lt;urls&gt;&lt;/urls&gt;&lt;/record&gt;&lt;/Cite&gt;&lt;/EndNote&gt;</w:instrText>
        </w:r>
        <w:r w:rsidR="00266C78">
          <w:rPr>
            <w:rFonts w:ascii="Times New Roman" w:hAnsi="Times New Roman" w:cs="Times New Roman"/>
            <w:sz w:val="24"/>
            <w:szCs w:val="24"/>
            <w:lang w:val="en-US"/>
          </w:rPr>
          <w:fldChar w:fldCharType="separate"/>
        </w:r>
        <w:r w:rsidR="00266C78">
          <w:rPr>
            <w:rFonts w:ascii="Times New Roman" w:hAnsi="Times New Roman" w:cs="Times New Roman"/>
            <w:noProof/>
            <w:sz w:val="24"/>
            <w:szCs w:val="24"/>
            <w:lang w:val="en-US"/>
          </w:rPr>
          <w:t>Wintoki et al. (2012)</w:t>
        </w:r>
        <w:r w:rsidR="00266C78">
          <w:rPr>
            <w:rFonts w:ascii="Times New Roman" w:hAnsi="Times New Roman" w:cs="Times New Roman"/>
            <w:sz w:val="24"/>
            <w:szCs w:val="24"/>
            <w:lang w:val="en-US"/>
          </w:rPr>
          <w:fldChar w:fldCharType="end"/>
        </w:r>
      </w:hyperlink>
      <w:r w:rsidR="00C368C2" w:rsidRPr="00E85554">
        <w:rPr>
          <w:rFonts w:ascii="Times New Roman" w:hAnsi="Times New Roman" w:cs="Times New Roman"/>
          <w:sz w:val="24"/>
          <w:szCs w:val="24"/>
          <w:lang w:val="en-US"/>
        </w:rPr>
        <w:t xml:space="preserve"> notes: “A key insight of the dynamic panel GMM estimator is that if the underlying economic process itself is dynamic—in our case, if current corporate governance [</w:t>
      </w:r>
      <w:r w:rsidR="00C368C2" w:rsidRPr="00E85554">
        <w:rPr>
          <w:rFonts w:ascii="Times New Roman" w:hAnsi="Times New Roman" w:cs="Times New Roman"/>
          <w:i/>
          <w:sz w:val="24"/>
          <w:szCs w:val="24"/>
          <w:lang w:val="en-US"/>
        </w:rPr>
        <w:t>here: independent directors ratio</w:t>
      </w:r>
      <w:r w:rsidR="00C368C2" w:rsidRPr="00E85554">
        <w:rPr>
          <w:rFonts w:ascii="Times New Roman" w:hAnsi="Times New Roman" w:cs="Times New Roman"/>
          <w:sz w:val="24"/>
          <w:szCs w:val="24"/>
          <w:lang w:val="en-US"/>
        </w:rPr>
        <w:t>] is related to past performance [</w:t>
      </w:r>
      <w:r w:rsidR="00C368C2" w:rsidRPr="00E85554">
        <w:rPr>
          <w:rFonts w:ascii="Times New Roman" w:hAnsi="Times New Roman" w:cs="Times New Roman"/>
          <w:i/>
          <w:sz w:val="24"/>
          <w:szCs w:val="24"/>
          <w:lang w:val="en-US"/>
        </w:rPr>
        <w:t>here: investment</w:t>
      </w:r>
      <w:r w:rsidR="00C368C2" w:rsidRPr="00E85554">
        <w:rPr>
          <w:rFonts w:ascii="Times New Roman" w:hAnsi="Times New Roman" w:cs="Times New Roman"/>
          <w:sz w:val="24"/>
          <w:szCs w:val="24"/>
          <w:lang w:val="en-US"/>
        </w:rPr>
        <w:t>]—then it may be possible to use some combination of variables from the firm’s history as valid instruments for current corporate governance to account for simultaneity</w:t>
      </w:r>
      <w:r w:rsidR="00A255C7">
        <w:rPr>
          <w:rFonts w:ascii="Times New Roman" w:hAnsi="Times New Roman" w:cs="Times New Roman"/>
          <w:sz w:val="24"/>
          <w:szCs w:val="24"/>
          <w:lang w:val="en-US"/>
        </w:rPr>
        <w:t>.”</w:t>
      </w:r>
    </w:p>
    <w:p w14:paraId="6BB37195" w14:textId="77777777" w:rsidR="00596122" w:rsidRPr="00E85554" w:rsidRDefault="00596122" w:rsidP="00C01A68">
      <w:pPr>
        <w:autoSpaceDE w:val="0"/>
        <w:autoSpaceDN w:val="0"/>
        <w:adjustRightInd w:val="0"/>
        <w:spacing w:after="0" w:line="480" w:lineRule="auto"/>
        <w:rPr>
          <w:rFonts w:ascii="Times New Roman" w:hAnsi="Times New Roman" w:cs="Times New Roman"/>
          <w:b/>
          <w:sz w:val="24"/>
          <w:szCs w:val="24"/>
          <w:lang w:val="en-US"/>
        </w:rPr>
      </w:pPr>
      <w:r w:rsidRPr="00E85554">
        <w:rPr>
          <w:rFonts w:ascii="Times New Roman" w:hAnsi="Times New Roman" w:cs="Times New Roman"/>
          <w:b/>
          <w:sz w:val="24"/>
          <w:szCs w:val="24"/>
          <w:lang w:val="en-US"/>
        </w:rPr>
        <w:lastRenderedPageBreak/>
        <w:t>Dependent Variable</w:t>
      </w:r>
    </w:p>
    <w:p w14:paraId="5E1940E3" w14:textId="77777777" w:rsidR="00596122" w:rsidRPr="00E85554" w:rsidRDefault="00596122" w:rsidP="00C01A68">
      <w:pPr>
        <w:spacing w:after="0" w:line="480" w:lineRule="auto"/>
        <w:rPr>
          <w:rFonts w:ascii="Times New Roman" w:hAnsi="Times New Roman" w:cs="Times New Roman"/>
          <w:i/>
          <w:sz w:val="24"/>
          <w:szCs w:val="24"/>
          <w:lang w:val="en-US"/>
        </w:rPr>
      </w:pPr>
      <w:r w:rsidRPr="00E85554">
        <w:rPr>
          <w:rFonts w:ascii="Times New Roman" w:hAnsi="Times New Roman" w:cs="Times New Roman"/>
          <w:i/>
          <w:sz w:val="24"/>
          <w:szCs w:val="24"/>
          <w:lang w:val="en-US"/>
        </w:rPr>
        <w:t>Fixed Investment and blockholder appropriation</w:t>
      </w:r>
    </w:p>
    <w:p w14:paraId="09DB23B4" w14:textId="23B79F2A" w:rsidR="00596122" w:rsidRPr="00E85554" w:rsidRDefault="00596122" w:rsidP="000B2C2F">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The dependent variable, investment, is the first difference of natural logarithms of capital expenditures </w:t>
      </w:r>
      <w:r w:rsidR="00C65340" w:rsidRPr="00E85554">
        <w:rPr>
          <w:rFonts w:ascii="Times New Roman" w:hAnsi="Times New Roman" w:cs="Times New Roman"/>
          <w:sz w:val="24"/>
          <w:szCs w:val="24"/>
          <w:lang w:val="en-US"/>
        </w:rPr>
        <w:t>on</w:t>
      </w:r>
      <w:r w:rsidRPr="00E85554">
        <w:rPr>
          <w:rFonts w:ascii="Times New Roman" w:hAnsi="Times New Roman" w:cs="Times New Roman"/>
          <w:sz w:val="24"/>
          <w:szCs w:val="24"/>
          <w:lang w:val="en-US"/>
        </w:rPr>
        <w:t xml:space="preserve"> long-term fixed assets from cash-flow statements. We include </w:t>
      </w:r>
      <w:r w:rsidR="00C65340" w:rsidRPr="00E85554">
        <w:rPr>
          <w:rFonts w:ascii="Times New Roman" w:hAnsi="Times New Roman" w:cs="Times New Roman"/>
          <w:sz w:val="24"/>
          <w:szCs w:val="24"/>
          <w:lang w:val="en-US"/>
        </w:rPr>
        <w:t xml:space="preserve">a </w:t>
      </w:r>
      <w:r w:rsidRPr="00E85554">
        <w:rPr>
          <w:rFonts w:ascii="Times New Roman" w:hAnsi="Times New Roman" w:cs="Times New Roman"/>
          <w:sz w:val="24"/>
          <w:szCs w:val="24"/>
          <w:lang w:val="en-US"/>
        </w:rPr>
        <w:t xml:space="preserve">lagged investment term, based on formal models of investment behavior, to account for the presence of adjustment costs of investment </w:t>
      </w:r>
      <w:r w:rsidRPr="00E85554">
        <w:rPr>
          <w:rFonts w:ascii="Times New Roman" w:hAnsi="Times New Roman" w:cs="Times New Roman"/>
          <w:sz w:val="24"/>
          <w:szCs w:val="24"/>
          <w:lang w:val="en-US"/>
        </w:rPr>
        <w:fldChar w:fldCharType="begin"/>
      </w:r>
      <w:r w:rsidR="00010D91">
        <w:rPr>
          <w:rFonts w:ascii="Times New Roman" w:hAnsi="Times New Roman" w:cs="Times New Roman"/>
          <w:sz w:val="24"/>
          <w:szCs w:val="24"/>
          <w:lang w:val="en-US"/>
        </w:rPr>
        <w:instrText xml:space="preserve"> ADDIN EN.CITE &lt;EndNote&gt;&lt;Cite&gt;&lt;Author&gt;Brown&lt;/Author&gt;&lt;Year&gt;2009&lt;/Year&gt;&lt;RecNum&gt;21&lt;/RecNum&gt;&lt;DisplayText&gt;(Brown et al., 2009b)&lt;/DisplayText&gt;&lt;record&gt;&lt;rec-number&gt;21&lt;/rec-number&gt;&lt;foreign-keys&gt;&lt;key app="EN" db-id="xdsfzvadmzzxdzereeq5xdf7eaxsdwfdfave" timestamp="1389481541"&gt;21&lt;/key&gt;&lt;/foreign-keys&gt;&lt;ref-type name="Journal Article"&gt;17&lt;/ref-type&gt;&lt;contributors&gt;&lt;authors&gt;&lt;author&gt;Brown, James R&lt;/author&gt;&lt;author&gt;Petersen, Bruce C&lt;/author&gt;&lt;/authors&gt;&lt;/contributors&gt;&lt;titles&gt;&lt;title&gt;Why has the investment-cash flow sensitivity declined so sharply? Rising R&amp;amp;D and equity market developments&lt;/title&gt;&lt;secondary-title&gt;Journal of Banking &amp;amp; Finance&lt;/secondary-title&gt;&lt;/titles&gt;&lt;periodical&gt;&lt;full-title&gt;Journal of Banking &amp;amp; Finance&lt;/full-title&gt;&lt;/periodical&gt;&lt;pages&gt;971-984&lt;/pages&gt;&lt;volume&gt;33&lt;/volume&gt;&lt;number&gt;5&lt;/number&gt;&lt;dates&gt;&lt;year&gt;2009&lt;/year&gt;&lt;/dates&gt;&lt;isbn&gt;0378-4266&lt;/isbn&gt;&lt;urls&gt;&lt;/urls&gt;&lt;/record&gt;&lt;/Cite&gt;&lt;/EndNote&gt;</w:instrText>
      </w:r>
      <w:r w:rsidRPr="00E85554">
        <w:rPr>
          <w:rFonts w:ascii="Times New Roman" w:hAnsi="Times New Roman" w:cs="Times New Roman"/>
          <w:sz w:val="24"/>
          <w:szCs w:val="24"/>
          <w:lang w:val="en-US"/>
        </w:rPr>
        <w:fldChar w:fldCharType="separate"/>
      </w:r>
      <w:r w:rsidR="00010D91">
        <w:rPr>
          <w:rFonts w:ascii="Times New Roman" w:hAnsi="Times New Roman" w:cs="Times New Roman"/>
          <w:noProof/>
          <w:sz w:val="24"/>
          <w:szCs w:val="24"/>
          <w:lang w:val="en-US"/>
        </w:rPr>
        <w:t>(</w:t>
      </w:r>
      <w:hyperlink w:anchor="_ENREF_26" w:tooltip="Brown, 2009 #21" w:history="1">
        <w:r w:rsidR="00266C78">
          <w:rPr>
            <w:rFonts w:ascii="Times New Roman" w:hAnsi="Times New Roman" w:cs="Times New Roman"/>
            <w:noProof/>
            <w:sz w:val="24"/>
            <w:szCs w:val="24"/>
            <w:lang w:val="en-US"/>
          </w:rPr>
          <w:t>Brown et al., 2009b</w:t>
        </w:r>
      </w:hyperlink>
      <w:r w:rsidR="00010D91">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Data on more refined measures of non-redeployable investment, such as R&amp;D expenditures, were unavailable. However, in less developed markets, firms tend to have more pressing needs to invest in infrastructure and machinery so as to build industrial production capacity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&lt;EndNote&gt;&lt;Cite&gt;&lt;Author&gt;Inoue&lt;/Author&gt;&lt;Year&gt;2013&lt;/Year&gt;&lt;RecNum&gt;112&lt;/RecNum&gt;&lt;DisplayText&gt;(Cimoli et al., 2009; Inoue et al., 2013)&lt;/DisplayText&gt;&lt;record&gt;&lt;rec-number&gt;112&lt;/rec-number&gt;&lt;foreign-keys&gt;&lt;key app="EN" db-id="xdsfzvadmzzxdzereeq5xdf7eaxsdwfdfave" timestamp="1398082862"&gt;112&lt;/key&gt;&lt;key app="ENWeb" db-id=""&gt;0&lt;/key&gt;&lt;/foreign-keys&gt;&lt;ref-type name="Journal Article"&gt;17&lt;/ref-type&gt;&lt;contributors&gt;&lt;authors&gt;&lt;author&gt;Inoue, Carlos FKV&lt;/author&gt;&lt;author&gt;Lazzarini, Sergio G&lt;/author&gt;&lt;author&gt;Musacchio, Aldo&lt;/author&gt;&lt;/authors&gt;&lt;/contributors&gt;&lt;titles&gt;&lt;title&gt;Leviathan as a Minority Shareholder: Firm-Level Implications of State Equity Purchases&lt;/title&gt;&lt;secondary-title&gt;Academy of Management Journal&lt;/secondary-title&gt;&lt;/titles&gt;&lt;periodical&gt;&lt;full-title&gt;Academy of Management Journal&lt;/full-title&gt;&lt;/periodical&gt;&lt;pages&gt;1775-1801&lt;/pages&gt;&lt;volume&gt;56&lt;/volume&gt;&lt;number&gt;6&lt;/number&gt;&lt;dates&gt;&lt;year&gt;2013&lt;/year&gt;&lt;/dates&gt;&lt;isbn&gt;0001-4273&lt;/isbn&gt;&lt;urls&gt;&lt;/urls&gt;&lt;/record&gt;&lt;/Cite&gt;&lt;Cite&gt;&lt;Author&gt;Cimoli&lt;/Author&gt;&lt;Year&gt;2009&lt;/Year&gt;&lt;RecNum&gt;107&lt;/RecNum&gt;&lt;record&gt;&lt;rec-number&gt;107&lt;/rec-number&gt;&lt;foreign-keys&gt;&lt;key app="EN" db-id="xdsfzvadmzzxdzereeq5xdf7eaxsdwfdfave" timestamp="1395153234"&gt;107&lt;/key&gt;&lt;/foreign-keys&gt;&lt;ref-type name="Book"&gt;6&lt;/ref-type&gt;&lt;contributors&gt;&lt;authors&gt;&lt;author&gt;Cimoli, Mario&lt;/author&gt;&lt;author&gt;Dosi, Giovanni&lt;/author&gt;&lt;author&gt;Stiglitz, Joseph E&lt;/author&gt;&lt;/authors&gt;&lt;/contributors&gt;&lt;titles&gt;&lt;title&gt;Industrial policy and development: The political economy of capabilities accumulation&lt;/title&gt;&lt;/titles&gt;&lt;dates&gt;&lt;year&gt;2009&lt;/year&gt;&lt;/dates&gt;&lt;pub-location&gt;Oxford&lt;/pub-location&gt;&lt;publisher&gt;Oxford University Press&lt;/publisher&gt;&lt;isbn&gt;0199235279&lt;/isbn&gt;&lt;urls&gt;&lt;/urls&gt;&lt;/record&gt;&lt;/Cite&gt;&lt;/EndNote&gt;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32" w:tooltip="Cimoli, 2009 #107" w:history="1">
        <w:r w:rsidR="00266C78" w:rsidRPr="00E85554">
          <w:rPr>
            <w:rFonts w:ascii="Times New Roman" w:hAnsi="Times New Roman" w:cs="Times New Roman"/>
            <w:noProof/>
            <w:sz w:val="24"/>
            <w:szCs w:val="24"/>
            <w:lang w:val="en-US"/>
          </w:rPr>
          <w:t>Cimoli et al., 2009</w:t>
        </w:r>
      </w:hyperlink>
      <w:r w:rsidRPr="00E85554">
        <w:rPr>
          <w:rFonts w:ascii="Times New Roman" w:hAnsi="Times New Roman" w:cs="Times New Roman"/>
          <w:noProof/>
          <w:sz w:val="24"/>
          <w:szCs w:val="24"/>
          <w:lang w:val="en-US"/>
        </w:rPr>
        <w:t xml:space="preserve">; </w:t>
      </w:r>
      <w:hyperlink w:anchor="_ENREF_59" w:tooltip="Inoue, 2013 #112" w:history="1">
        <w:r w:rsidR="00266C78" w:rsidRPr="00E85554">
          <w:rPr>
            <w:rFonts w:ascii="Times New Roman" w:hAnsi="Times New Roman" w:cs="Times New Roman"/>
            <w:noProof/>
            <w:sz w:val="24"/>
            <w:szCs w:val="24"/>
            <w:lang w:val="en-US"/>
          </w:rPr>
          <w:t>Inoue et al., 2013</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rather than R&amp;D. We thus believe that the extent of fixed asset investments is correlated with firms’ orientation toward complex, long-maturity projects, for which access to more resources via improved board monitoring can be of particular help. Our main construct, </w:t>
      </w:r>
      <w:r w:rsidRPr="00E85554">
        <w:rPr>
          <w:rFonts w:ascii="Times New Roman" w:hAnsi="Times New Roman" w:cs="Times New Roman"/>
          <w:i/>
          <w:sz w:val="24"/>
          <w:szCs w:val="24"/>
          <w:lang w:val="en-US"/>
        </w:rPr>
        <w:t>blockholder appropriation</w:t>
      </w:r>
      <w:r w:rsidRPr="00E85554">
        <w:rPr>
          <w:rFonts w:ascii="Times New Roman" w:hAnsi="Times New Roman" w:cs="Times New Roman"/>
          <w:sz w:val="24"/>
          <w:szCs w:val="24"/>
          <w:lang w:val="en-US"/>
        </w:rPr>
        <w:t xml:space="preserve">, is measured by the coefficient between investment and internal gross cash-flow discussed below. </w:t>
      </w:r>
    </w:p>
    <w:p w14:paraId="36F55EB2" w14:textId="77777777" w:rsidR="00596122" w:rsidRPr="00E85554" w:rsidRDefault="00596122" w:rsidP="00C01A68">
      <w:pPr>
        <w:spacing w:after="0" w:line="480" w:lineRule="auto"/>
        <w:rPr>
          <w:rFonts w:ascii="Times New Roman" w:hAnsi="Times New Roman" w:cs="Times New Roman"/>
          <w:b/>
          <w:sz w:val="24"/>
          <w:szCs w:val="24"/>
          <w:lang w:val="en-US"/>
        </w:rPr>
      </w:pPr>
      <w:r w:rsidRPr="00E85554">
        <w:rPr>
          <w:rFonts w:ascii="Times New Roman" w:hAnsi="Times New Roman" w:cs="Times New Roman"/>
          <w:b/>
          <w:sz w:val="24"/>
          <w:szCs w:val="24"/>
          <w:lang w:val="en-US"/>
        </w:rPr>
        <w:t>Independent Variables</w:t>
      </w:r>
    </w:p>
    <w:p w14:paraId="7E3EB63E" w14:textId="4E6FED8A" w:rsidR="00163F54" w:rsidRPr="00E85554" w:rsidRDefault="00596122" w:rsidP="00A255C7">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i/>
          <w:sz w:val="24"/>
          <w:szCs w:val="24"/>
          <w:lang w:val="en-US"/>
        </w:rPr>
        <w:t>Internal gross cash flow</w:t>
      </w:r>
      <w:r w:rsidR="00A255C7">
        <w:rPr>
          <w:rFonts w:ascii="Times New Roman" w:hAnsi="Times New Roman" w:cs="Times New Roman"/>
          <w:sz w:val="24"/>
          <w:szCs w:val="24"/>
          <w:lang w:val="en-US"/>
        </w:rPr>
        <w:t xml:space="preserve">: </w:t>
      </w:r>
      <w:r w:rsidRPr="00E85554">
        <w:rPr>
          <w:rFonts w:ascii="Times New Roman" w:hAnsi="Times New Roman" w:cs="Times New Roman"/>
          <w:sz w:val="24"/>
          <w:szCs w:val="24"/>
          <w:lang w:val="en-US"/>
        </w:rPr>
        <w:t xml:space="preserve">Internal gross cash flow (“GCF”), a proxy for resources, is based on standard specification </w:t>
      </w:r>
      <w:r w:rsidRPr="00E85554">
        <w:rPr>
          <w:rFonts w:ascii="Times New Roman" w:hAnsi="Times New Roman" w:cs="Times New Roman"/>
          <w:sz w:val="24"/>
          <w:szCs w:val="24"/>
          <w:lang w:val="en-US"/>
        </w:rPr>
        <w:fldChar w:fldCharType="begin"/>
      </w:r>
      <w:r w:rsidR="00010D91">
        <w:rPr>
          <w:rFonts w:ascii="Times New Roman" w:hAnsi="Times New Roman" w:cs="Times New Roman"/>
          <w:sz w:val="24"/>
          <w:szCs w:val="24"/>
          <w:lang w:val="en-US"/>
        </w:rPr>
        <w:instrText xml:space="preserve"> ADDIN EN.CITE &lt;EndNote&gt;&lt;Cite&gt;&lt;Author&gt;Brown&lt;/Author&gt;&lt;Year&gt;2009&lt;/Year&gt;&lt;RecNum&gt;21&lt;/RecNum&gt;&lt;DisplayText&gt;(Brown et al., 2009b)&lt;/DisplayText&gt;&lt;record&gt;&lt;rec-number&gt;21&lt;/rec-number&gt;&lt;foreign-keys&gt;&lt;key app="EN" db-id="xdsfzvadmzzxdzereeq5xdf7eaxsdwfdfave" timestamp="1389481541"&gt;21&lt;/key&gt;&lt;/foreign-keys&gt;&lt;ref-type name="Journal Article"&gt;17&lt;/ref-type&gt;&lt;contributors&gt;&lt;authors&gt;&lt;author&gt;Brown, James R&lt;/author&gt;&lt;author&gt;Petersen, Bruce C&lt;/author&gt;&lt;/authors&gt;&lt;/contributors&gt;&lt;titles&gt;&lt;title&gt;Why has the investment-cash flow sensitivity declined so sharply? Rising R&amp;amp;D and equity market developments&lt;/title&gt;&lt;secondary-title&gt;Journal of Banking &amp;amp; Finance&lt;/secondary-title&gt;&lt;/titles&gt;&lt;periodical&gt;&lt;full-title&gt;Journal of Banking &amp;amp; Finance&lt;/full-title&gt;&lt;/periodical&gt;&lt;pages&gt;971-984&lt;/pages&gt;&lt;volume&gt;33&lt;/volume&gt;&lt;number&gt;5&lt;/number&gt;&lt;dates&gt;&lt;year&gt;2009&lt;/year&gt;&lt;/dates&gt;&lt;isbn&gt;0378-4266&lt;/isbn&gt;&lt;urls&gt;&lt;/urls&gt;&lt;/record&gt;&lt;/Cite&gt;&lt;/EndNote&gt;</w:instrText>
      </w:r>
      <w:r w:rsidRPr="00E85554">
        <w:rPr>
          <w:rFonts w:ascii="Times New Roman" w:hAnsi="Times New Roman" w:cs="Times New Roman"/>
          <w:sz w:val="24"/>
          <w:szCs w:val="24"/>
          <w:lang w:val="en-US"/>
        </w:rPr>
        <w:fldChar w:fldCharType="separate"/>
      </w:r>
      <w:r w:rsidR="00010D91">
        <w:rPr>
          <w:rFonts w:ascii="Times New Roman" w:hAnsi="Times New Roman" w:cs="Times New Roman"/>
          <w:noProof/>
          <w:sz w:val="24"/>
          <w:szCs w:val="24"/>
          <w:lang w:val="en-US"/>
        </w:rPr>
        <w:t>(</w:t>
      </w:r>
      <w:hyperlink w:anchor="_ENREF_26" w:tooltip="Brown, 2009 #21" w:history="1">
        <w:r w:rsidR="00266C78">
          <w:rPr>
            <w:rFonts w:ascii="Times New Roman" w:hAnsi="Times New Roman" w:cs="Times New Roman"/>
            <w:noProof/>
            <w:sz w:val="24"/>
            <w:szCs w:val="24"/>
            <w:lang w:val="en-US"/>
          </w:rPr>
          <w:t>Brown et al., 2009b</w:t>
        </w:r>
      </w:hyperlink>
      <w:r w:rsidR="00010D91">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and is the first difference of the logarithms of the firm’s </w:t>
      </w:r>
      <w:r w:rsidR="00C65340" w:rsidRPr="00E85554">
        <w:rPr>
          <w:rFonts w:ascii="Times New Roman" w:hAnsi="Times New Roman" w:cs="Times New Roman"/>
          <w:sz w:val="24"/>
          <w:szCs w:val="24"/>
          <w:lang w:val="en-US"/>
        </w:rPr>
        <w:t>GCF</w:t>
      </w:r>
      <w:r w:rsidRPr="00E85554">
        <w:rPr>
          <w:rFonts w:ascii="Times New Roman" w:hAnsi="Times New Roman" w:cs="Times New Roman"/>
          <w:sz w:val="24"/>
          <w:szCs w:val="24"/>
          <w:lang w:val="en-US"/>
        </w:rPr>
        <w:t xml:space="preserve"> at the end of period </w:t>
      </w:r>
      <w:r w:rsidRPr="00E85554">
        <w:rPr>
          <w:rFonts w:ascii="Times New Roman" w:hAnsi="Times New Roman" w:cs="Times New Roman"/>
          <w:i/>
          <w:sz w:val="24"/>
          <w:szCs w:val="24"/>
          <w:lang w:val="en-US"/>
        </w:rPr>
        <w:t xml:space="preserve">t-1. </w:t>
      </w:r>
      <w:r w:rsidRPr="00E85554">
        <w:rPr>
          <w:rFonts w:ascii="Times New Roman" w:hAnsi="Times New Roman" w:cs="Times New Roman"/>
          <w:sz w:val="24"/>
          <w:szCs w:val="24"/>
          <w:lang w:val="en-US"/>
        </w:rPr>
        <w:t xml:space="preserve"> GCF is defined as the sum of net income and depreciation and amortization charges. </w:t>
      </w:r>
      <w:r w:rsidR="00163F54" w:rsidRPr="00E85554">
        <w:rPr>
          <w:rFonts w:ascii="Times New Roman" w:hAnsi="Times New Roman" w:cs="Times New Roman"/>
          <w:sz w:val="24"/>
          <w:szCs w:val="24"/>
          <w:lang w:val="en-US"/>
        </w:rPr>
        <w:t xml:space="preserve">We use the magnitude and sign of the coefficient of gross cash-flow to investment to measure the likely degree of blockholder appropriation following other well-established studies in agency theory. GCF and its variations </w:t>
      </w:r>
      <w:r w:rsidR="00010D91">
        <w:rPr>
          <w:rFonts w:ascii="Times New Roman" w:hAnsi="Times New Roman" w:cs="Times New Roman"/>
          <w:sz w:val="24"/>
          <w:szCs w:val="24"/>
          <w:lang w:val="en-US"/>
        </w:rPr>
        <w:fldChar w:fldCharType="begin"/>
      </w:r>
      <w:r w:rsidR="00010D91">
        <w:rPr>
          <w:rFonts w:ascii="Times New Roman" w:hAnsi="Times New Roman" w:cs="Times New Roman"/>
          <w:sz w:val="24"/>
          <w:szCs w:val="24"/>
          <w:lang w:val="en-US"/>
        </w:rPr>
        <w:instrText xml:space="preserve"> ADDIN EN.CITE &lt;EndNote&gt;&lt;Cite&gt;&lt;Author&gt;Fazzari&lt;/Author&gt;&lt;Year&gt;1988&lt;/Year&gt;&lt;RecNum&gt;433&lt;/RecNum&gt;&lt;DisplayText&gt;(Brown et al., 2009a; Fazzari et al., 1988)&lt;/DisplayText&gt;&lt;record&gt;&lt;rec-number&gt;433&lt;/rec-number&gt;&lt;foreign-keys&gt;&lt;key app="EN" db-id="xdsfzvadmzzxdzereeq5xdf7eaxsdwfdfave" timestamp="1456757156"&gt;433&lt;/key&gt;&lt;/foreign-keys&gt;&lt;ref-type name="Journal Article"&gt;17&lt;/ref-type&gt;&lt;contributors&gt;&lt;authors&gt;&lt;author&gt;Fazzari, Steven&lt;/author&gt;&lt;author&gt;Hubbard, R Glenn&lt;/author&gt;&lt;author&gt;Petersen, Bruce C&lt;/author&gt;&lt;/authors&gt;&lt;/contributors&gt;&lt;titles&gt;&lt;title&gt;Financing constraints and corporate investment&lt;/title&gt;&lt;secondary-title&gt;Brookings Papers on Economic Activity&lt;/secondary-title&gt;&lt;/titles&gt;&lt;periodical&gt;&lt;full-title&gt;Brookings Papers on Economic Activity&lt;/full-title&gt;&lt;/periodical&gt;&lt;pages&gt;141-206&lt;/pages&gt;&lt;volume&gt;1&lt;/volume&gt;&lt;dates&gt;&lt;year&gt;1988&lt;/year&gt;&lt;/dates&gt;&lt;urls&gt;&lt;/urls&gt;&lt;/record&gt;&lt;/Cite&gt;&lt;Cite&gt;&lt;Author&gt;Brown&lt;/Author&gt;&lt;Year&gt;2009&lt;/Year&gt;&lt;RecNum&gt;852&lt;/RecNum&gt;&lt;record&gt;&lt;rec-number&gt;852&lt;/rec-number&gt;&lt;foreign-keys&gt;&lt;key app="EN" db-id="xdsfzvadmzzxdzereeq5xdf7eaxsdwfdfave" timestamp="1516664526"&gt;852&lt;/key&gt;&lt;/foreign-keys&gt;&lt;ref-type name="Journal Article"&gt;17&lt;/ref-type&gt;&lt;contributors&gt;&lt;authors&gt;&lt;author&gt;Brown, James R&lt;/author&gt;&lt;author&gt;Fazzari, Steven M&lt;/author&gt;&lt;author&gt;Petersen, Bruce C&lt;/author&gt;&lt;/authors&gt;&lt;/contributors&gt;&lt;titles&gt;&lt;title&gt;Financing innovation and growth: Cash flow, external equity, and the 1990s R&amp;amp;D boom&lt;/title&gt;&lt;secondary-title&gt;The Journal of Finance&lt;/secondary-title&gt;&lt;/titles&gt;&lt;periodical&gt;&lt;full-title&gt;The Journal of Finance&lt;/full-title&gt;&lt;/periodical&gt;&lt;pages&gt;151-185&lt;/pages&gt;&lt;volume&gt;64&lt;/volume&gt;&lt;number&gt;1&lt;/number&gt;&lt;dates&gt;&lt;year&gt;2009&lt;/year&gt;&lt;/dates&gt;&lt;isbn&gt;1540-6261&lt;/isbn&gt;&lt;urls&gt;&lt;/urls&gt;&lt;/record&gt;&lt;/Cite&gt;&lt;/EndNote&gt;</w:instrText>
      </w:r>
      <w:r w:rsidR="00010D91">
        <w:rPr>
          <w:rFonts w:ascii="Times New Roman" w:hAnsi="Times New Roman" w:cs="Times New Roman"/>
          <w:sz w:val="24"/>
          <w:szCs w:val="24"/>
          <w:lang w:val="en-US"/>
        </w:rPr>
        <w:fldChar w:fldCharType="separate"/>
      </w:r>
      <w:r w:rsidR="00010D91">
        <w:rPr>
          <w:rFonts w:ascii="Times New Roman" w:hAnsi="Times New Roman" w:cs="Times New Roman"/>
          <w:noProof/>
          <w:sz w:val="24"/>
          <w:szCs w:val="24"/>
          <w:lang w:val="en-US"/>
        </w:rPr>
        <w:t>(</w:t>
      </w:r>
      <w:hyperlink w:anchor="_ENREF_25" w:tooltip="Brown, 2009 #852" w:history="1">
        <w:r w:rsidR="00266C78">
          <w:rPr>
            <w:rFonts w:ascii="Times New Roman" w:hAnsi="Times New Roman" w:cs="Times New Roman"/>
            <w:noProof/>
            <w:sz w:val="24"/>
            <w:szCs w:val="24"/>
            <w:lang w:val="en-US"/>
          </w:rPr>
          <w:t>Brown et al., 2009a</w:t>
        </w:r>
      </w:hyperlink>
      <w:r w:rsidR="00010D91">
        <w:rPr>
          <w:rFonts w:ascii="Times New Roman" w:hAnsi="Times New Roman" w:cs="Times New Roman"/>
          <w:noProof/>
          <w:sz w:val="24"/>
          <w:szCs w:val="24"/>
          <w:lang w:val="en-US"/>
        </w:rPr>
        <w:t xml:space="preserve">; </w:t>
      </w:r>
      <w:hyperlink w:anchor="_ENREF_47" w:tooltip="Fazzari, 1988 #433" w:history="1">
        <w:r w:rsidR="00266C78">
          <w:rPr>
            <w:rFonts w:ascii="Times New Roman" w:hAnsi="Times New Roman" w:cs="Times New Roman"/>
            <w:noProof/>
            <w:sz w:val="24"/>
            <w:szCs w:val="24"/>
            <w:lang w:val="en-US"/>
          </w:rPr>
          <w:t>Fazzari et al., 1988</w:t>
        </w:r>
      </w:hyperlink>
      <w:r w:rsidR="00010D91">
        <w:rPr>
          <w:rFonts w:ascii="Times New Roman" w:hAnsi="Times New Roman" w:cs="Times New Roman"/>
          <w:noProof/>
          <w:sz w:val="24"/>
          <w:szCs w:val="24"/>
          <w:lang w:val="en-US"/>
        </w:rPr>
        <w:t>)</w:t>
      </w:r>
      <w:r w:rsidR="00010D91">
        <w:rPr>
          <w:rFonts w:ascii="Times New Roman" w:hAnsi="Times New Roman" w:cs="Times New Roman"/>
          <w:sz w:val="24"/>
          <w:szCs w:val="24"/>
          <w:lang w:val="en-US"/>
        </w:rPr>
        <w:fldChar w:fldCharType="end"/>
      </w:r>
      <w:r w:rsidR="00010D91">
        <w:rPr>
          <w:rFonts w:ascii="Times New Roman" w:hAnsi="Times New Roman" w:cs="Times New Roman"/>
          <w:sz w:val="24"/>
          <w:szCs w:val="24"/>
          <w:lang w:val="en-US"/>
        </w:rPr>
        <w:t xml:space="preserve"> </w:t>
      </w:r>
      <w:r w:rsidR="00163F54" w:rsidRPr="00E85554">
        <w:rPr>
          <w:rFonts w:ascii="Times New Roman" w:hAnsi="Times New Roman" w:cs="Times New Roman"/>
          <w:sz w:val="24"/>
          <w:szCs w:val="24"/>
          <w:lang w:val="en-US"/>
        </w:rPr>
        <w:t xml:space="preserve">are used widely in the literature as a proxy for the magnitude of private benefits </w:t>
      </w:r>
      <w:r w:rsidR="00010D91">
        <w:rPr>
          <w:rFonts w:ascii="Times New Roman" w:hAnsi="Times New Roman" w:cs="Times New Roman"/>
          <w:sz w:val="24"/>
          <w:szCs w:val="24"/>
          <w:lang w:val="en-US"/>
        </w:rPr>
        <w:fldChar w:fldCharType="begin">
          <w:fldData xml:space="preserve">PEVuZE5vdGU+PENpdGU+PEF1dGhvcj5LYWJiYWNoIGRlIENhc3RybzwvQXV0aG9yPjxZZWFyPjIw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</w:fldData>
        </w:fldChar>
      </w:r>
      <w:r w:rsidR="00010D91">
        <w:rPr>
          <w:rFonts w:ascii="Times New Roman" w:hAnsi="Times New Roman" w:cs="Times New Roman"/>
          <w:sz w:val="24"/>
          <w:szCs w:val="24"/>
          <w:lang w:val="en-US"/>
        </w:rPr>
        <w:instrText xml:space="preserve"> ADDIN EN.CITE </w:instrText>
      </w:r>
      <w:r w:rsidR="00010D91">
        <w:rPr>
          <w:rFonts w:ascii="Times New Roman" w:hAnsi="Times New Roman" w:cs="Times New Roman"/>
          <w:sz w:val="24"/>
          <w:szCs w:val="24"/>
          <w:lang w:val="en-US"/>
        </w:rPr>
        <w:fldChar w:fldCharType="begin">
          <w:fldData xml:space="preserve">PEVuZE5vdGU+PENpdGU+PEF1dGhvcj5LYWJiYWNoIGRlIENhc3RybzwvQXV0aG9yPjxZZWFyPjIw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</w:fldData>
        </w:fldChar>
      </w:r>
      <w:r w:rsidR="00010D91">
        <w:rPr>
          <w:rFonts w:ascii="Times New Roman" w:hAnsi="Times New Roman" w:cs="Times New Roman"/>
          <w:sz w:val="24"/>
          <w:szCs w:val="24"/>
          <w:lang w:val="en-US"/>
        </w:rPr>
        <w:instrText xml:space="preserve"> ADDIN EN.CITE.DATA </w:instrText>
      </w:r>
      <w:r w:rsidR="00010D91">
        <w:rPr>
          <w:rFonts w:ascii="Times New Roman" w:hAnsi="Times New Roman" w:cs="Times New Roman"/>
          <w:sz w:val="24"/>
          <w:szCs w:val="24"/>
          <w:lang w:val="en-US"/>
        </w:rPr>
      </w:r>
      <w:r w:rsidR="00010D91">
        <w:rPr>
          <w:rFonts w:ascii="Times New Roman" w:hAnsi="Times New Roman" w:cs="Times New Roman"/>
          <w:sz w:val="24"/>
          <w:szCs w:val="24"/>
          <w:lang w:val="en-US"/>
        </w:rPr>
        <w:fldChar w:fldCharType="end"/>
      </w:r>
      <w:r w:rsidR="00010D91">
        <w:rPr>
          <w:rFonts w:ascii="Times New Roman" w:hAnsi="Times New Roman" w:cs="Times New Roman"/>
          <w:sz w:val="24"/>
          <w:szCs w:val="24"/>
          <w:lang w:val="en-US"/>
        </w:rPr>
      </w:r>
      <w:r w:rsidR="00010D91">
        <w:rPr>
          <w:rFonts w:ascii="Times New Roman" w:hAnsi="Times New Roman" w:cs="Times New Roman"/>
          <w:sz w:val="24"/>
          <w:szCs w:val="24"/>
          <w:lang w:val="en-US"/>
        </w:rPr>
        <w:fldChar w:fldCharType="separate"/>
      </w:r>
      <w:r w:rsidR="00010D91">
        <w:rPr>
          <w:rFonts w:ascii="Times New Roman" w:hAnsi="Times New Roman" w:cs="Times New Roman"/>
          <w:noProof/>
          <w:sz w:val="24"/>
          <w:szCs w:val="24"/>
          <w:lang w:val="en-US"/>
        </w:rPr>
        <w:t>(</w:t>
      </w:r>
      <w:hyperlink w:anchor="_ENREF_2" w:tooltip="Adams, 2007 #1" w:history="1">
        <w:r w:rsidR="00266C78">
          <w:rPr>
            <w:rFonts w:ascii="Times New Roman" w:hAnsi="Times New Roman" w:cs="Times New Roman"/>
            <w:noProof/>
            <w:sz w:val="24"/>
            <w:szCs w:val="24"/>
            <w:lang w:val="en-US"/>
          </w:rPr>
          <w:t>Adams et al., 2007</w:t>
        </w:r>
      </w:hyperlink>
      <w:r w:rsidR="00010D91">
        <w:rPr>
          <w:rFonts w:ascii="Times New Roman" w:hAnsi="Times New Roman" w:cs="Times New Roman"/>
          <w:noProof/>
          <w:sz w:val="24"/>
          <w:szCs w:val="24"/>
          <w:lang w:val="en-US"/>
        </w:rPr>
        <w:t xml:space="preserve">; </w:t>
      </w:r>
      <w:hyperlink w:anchor="_ENREF_29" w:tooltip="Chen, 2011 #854" w:history="1">
        <w:r w:rsidR="00266C78">
          <w:rPr>
            <w:rFonts w:ascii="Times New Roman" w:hAnsi="Times New Roman" w:cs="Times New Roman"/>
            <w:noProof/>
            <w:sz w:val="24"/>
            <w:szCs w:val="24"/>
            <w:lang w:val="en-US"/>
          </w:rPr>
          <w:t>Chen et al., 2011</w:t>
        </w:r>
      </w:hyperlink>
      <w:r w:rsidR="00010D91">
        <w:rPr>
          <w:rFonts w:ascii="Times New Roman" w:hAnsi="Times New Roman" w:cs="Times New Roman"/>
          <w:noProof/>
          <w:sz w:val="24"/>
          <w:szCs w:val="24"/>
          <w:lang w:val="en-US"/>
        </w:rPr>
        <w:t xml:space="preserve">; </w:t>
      </w:r>
      <w:hyperlink w:anchor="_ENREF_63" w:tooltip="Kabbach de Castro, 2017 #853" w:history="1">
        <w:r w:rsidR="00266C78">
          <w:rPr>
            <w:rFonts w:ascii="Times New Roman" w:hAnsi="Times New Roman" w:cs="Times New Roman"/>
            <w:noProof/>
            <w:sz w:val="24"/>
            <w:szCs w:val="24"/>
            <w:lang w:val="en-US"/>
          </w:rPr>
          <w:t>Kabbach de Castro et al., 2017</w:t>
        </w:r>
      </w:hyperlink>
      <w:r w:rsidR="00010D91">
        <w:rPr>
          <w:rFonts w:ascii="Times New Roman" w:hAnsi="Times New Roman" w:cs="Times New Roman"/>
          <w:noProof/>
          <w:sz w:val="24"/>
          <w:szCs w:val="24"/>
          <w:lang w:val="en-US"/>
        </w:rPr>
        <w:t xml:space="preserve">; </w:t>
      </w:r>
      <w:hyperlink w:anchor="_ENREF_68" w:tooltip="Lehn, 1989 #856" w:history="1">
        <w:r w:rsidR="00266C78">
          <w:rPr>
            <w:rFonts w:ascii="Times New Roman" w:hAnsi="Times New Roman" w:cs="Times New Roman"/>
            <w:noProof/>
            <w:sz w:val="24"/>
            <w:szCs w:val="24"/>
            <w:lang w:val="en-US"/>
          </w:rPr>
          <w:t>Lehn et al., 1989</w:t>
        </w:r>
      </w:hyperlink>
      <w:r w:rsidR="00010D91">
        <w:rPr>
          <w:rFonts w:ascii="Times New Roman" w:hAnsi="Times New Roman" w:cs="Times New Roman"/>
          <w:noProof/>
          <w:sz w:val="24"/>
          <w:szCs w:val="24"/>
          <w:lang w:val="en-US"/>
        </w:rPr>
        <w:t xml:space="preserve">; </w:t>
      </w:r>
      <w:hyperlink w:anchor="_ENREF_70" w:tooltip="Linck, 2008 #725" w:history="1">
        <w:r w:rsidR="00266C78">
          <w:rPr>
            <w:rFonts w:ascii="Times New Roman" w:hAnsi="Times New Roman" w:cs="Times New Roman"/>
            <w:noProof/>
            <w:sz w:val="24"/>
            <w:szCs w:val="24"/>
            <w:lang w:val="en-US"/>
          </w:rPr>
          <w:t>Linck et al., 2008</w:t>
        </w:r>
      </w:hyperlink>
      <w:r w:rsidR="00010D91">
        <w:rPr>
          <w:rFonts w:ascii="Times New Roman" w:hAnsi="Times New Roman" w:cs="Times New Roman"/>
          <w:noProof/>
          <w:sz w:val="24"/>
          <w:szCs w:val="24"/>
          <w:lang w:val="en-US"/>
        </w:rPr>
        <w:t xml:space="preserve">; </w:t>
      </w:r>
      <w:hyperlink w:anchor="_ENREF_92" w:tooltip="Raheja, 2005 #855" w:history="1">
        <w:r w:rsidR="00266C78">
          <w:rPr>
            <w:rFonts w:ascii="Times New Roman" w:hAnsi="Times New Roman" w:cs="Times New Roman"/>
            <w:noProof/>
            <w:sz w:val="24"/>
            <w:szCs w:val="24"/>
            <w:lang w:val="en-US"/>
          </w:rPr>
          <w:t>Raheja, 2005</w:t>
        </w:r>
      </w:hyperlink>
      <w:r w:rsidR="00010D91">
        <w:rPr>
          <w:rFonts w:ascii="Times New Roman" w:hAnsi="Times New Roman" w:cs="Times New Roman"/>
          <w:noProof/>
          <w:sz w:val="24"/>
          <w:szCs w:val="24"/>
          <w:lang w:val="en-US"/>
        </w:rPr>
        <w:t>)</w:t>
      </w:r>
      <w:r w:rsidR="00010D91">
        <w:rPr>
          <w:rFonts w:ascii="Times New Roman" w:hAnsi="Times New Roman" w:cs="Times New Roman"/>
          <w:sz w:val="24"/>
          <w:szCs w:val="24"/>
          <w:lang w:val="en-US"/>
        </w:rPr>
        <w:fldChar w:fldCharType="end"/>
      </w:r>
      <w:r w:rsidR="00163F54" w:rsidRPr="00E85554">
        <w:rPr>
          <w:rFonts w:ascii="Times New Roman" w:hAnsi="Times New Roman" w:cs="Times New Roman"/>
          <w:sz w:val="24"/>
          <w:szCs w:val="24"/>
          <w:lang w:val="en-US"/>
        </w:rPr>
        <w:t xml:space="preserve">, meaning that the higher the cash-flow, the higher the potential for the blockholder to expropriate or misuse </w:t>
      </w:r>
      <w:r w:rsidR="00163F54" w:rsidRPr="00E85554">
        <w:rPr>
          <w:rFonts w:ascii="Times New Roman" w:hAnsi="Times New Roman" w:cs="Times New Roman"/>
          <w:sz w:val="24"/>
          <w:szCs w:val="24"/>
          <w:lang w:val="en-US"/>
        </w:rPr>
        <w:lastRenderedPageBreak/>
        <w:t xml:space="preserve">these funds. High GCF increases the potential for opportunistic behavior by blockholders in which blockholder utility maximization prevails over firm value maximization </w:t>
      </w:r>
      <w:r w:rsidR="00D8026E">
        <w:rPr>
          <w:rFonts w:ascii="Times New Roman" w:hAnsi="Times New Roman" w:cs="Times New Roman"/>
          <w:sz w:val="24"/>
          <w:szCs w:val="24"/>
          <w:lang w:val="en-US"/>
        </w:rPr>
        <w:fldChar w:fldCharType="begin">
          <w:fldData xml:space="preserve">PEVuZE5vdGU+PENpdGU+PEF1dGhvcj5LYWJiYWNoIGRlIENhc3RybzwvQXV0aG9yPjxZZWFyPjIw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</w:fldData>
        </w:fldChar>
      </w:r>
      <w:r w:rsidR="00D8026E">
        <w:rPr>
          <w:rFonts w:ascii="Times New Roman" w:hAnsi="Times New Roman" w:cs="Times New Roman"/>
          <w:sz w:val="24"/>
          <w:szCs w:val="24"/>
          <w:lang w:val="en-US"/>
        </w:rPr>
        <w:instrText xml:space="preserve"> ADDIN EN.CITE </w:instrText>
      </w:r>
      <w:r w:rsidR="00D8026E">
        <w:rPr>
          <w:rFonts w:ascii="Times New Roman" w:hAnsi="Times New Roman" w:cs="Times New Roman"/>
          <w:sz w:val="24"/>
          <w:szCs w:val="24"/>
          <w:lang w:val="en-US"/>
        </w:rPr>
        <w:fldChar w:fldCharType="begin">
          <w:fldData xml:space="preserve">PEVuZE5vdGU+PENpdGU+PEF1dGhvcj5LYWJiYWNoIGRlIENhc3RybzwvQXV0aG9yPjxZZWFyPjIw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</w:fldData>
        </w:fldChar>
      </w:r>
      <w:r w:rsidR="00D8026E">
        <w:rPr>
          <w:rFonts w:ascii="Times New Roman" w:hAnsi="Times New Roman" w:cs="Times New Roman"/>
          <w:sz w:val="24"/>
          <w:szCs w:val="24"/>
          <w:lang w:val="en-US"/>
        </w:rPr>
        <w:instrText xml:space="preserve"> ADDIN EN.CITE.DATA </w:instrText>
      </w:r>
      <w:r w:rsidR="00D8026E">
        <w:rPr>
          <w:rFonts w:ascii="Times New Roman" w:hAnsi="Times New Roman" w:cs="Times New Roman"/>
          <w:sz w:val="24"/>
          <w:szCs w:val="24"/>
          <w:lang w:val="en-US"/>
        </w:rPr>
      </w:r>
      <w:r w:rsidR="00D8026E">
        <w:rPr>
          <w:rFonts w:ascii="Times New Roman" w:hAnsi="Times New Roman" w:cs="Times New Roman"/>
          <w:sz w:val="24"/>
          <w:szCs w:val="24"/>
          <w:lang w:val="en-US"/>
        </w:rPr>
        <w:fldChar w:fldCharType="end"/>
      </w:r>
      <w:r w:rsidR="00D8026E">
        <w:rPr>
          <w:rFonts w:ascii="Times New Roman" w:hAnsi="Times New Roman" w:cs="Times New Roman"/>
          <w:sz w:val="24"/>
          <w:szCs w:val="24"/>
          <w:lang w:val="en-US"/>
        </w:rPr>
      </w:r>
      <w:r w:rsidR="00D8026E">
        <w:rPr>
          <w:rFonts w:ascii="Times New Roman" w:hAnsi="Times New Roman" w:cs="Times New Roman"/>
          <w:sz w:val="24"/>
          <w:szCs w:val="24"/>
          <w:lang w:val="en-US"/>
        </w:rPr>
        <w:fldChar w:fldCharType="separate"/>
      </w:r>
      <w:r w:rsidR="00D8026E">
        <w:rPr>
          <w:rFonts w:ascii="Times New Roman" w:hAnsi="Times New Roman" w:cs="Times New Roman"/>
          <w:noProof/>
          <w:sz w:val="24"/>
          <w:szCs w:val="24"/>
          <w:lang w:val="en-US"/>
        </w:rPr>
        <w:t>(</w:t>
      </w:r>
      <w:hyperlink w:anchor="_ENREF_14" w:tooltip="Bertrand, 2003 #497" w:history="1">
        <w:r w:rsidR="00266C78">
          <w:rPr>
            <w:rFonts w:ascii="Times New Roman" w:hAnsi="Times New Roman" w:cs="Times New Roman"/>
            <w:noProof/>
            <w:sz w:val="24"/>
            <w:szCs w:val="24"/>
            <w:lang w:val="en-US"/>
          </w:rPr>
          <w:t>Bertrand et al., 2003</w:t>
        </w:r>
      </w:hyperlink>
      <w:r w:rsidR="00D8026E">
        <w:rPr>
          <w:rFonts w:ascii="Times New Roman" w:hAnsi="Times New Roman" w:cs="Times New Roman"/>
          <w:noProof/>
          <w:sz w:val="24"/>
          <w:szCs w:val="24"/>
          <w:lang w:val="en-US"/>
        </w:rPr>
        <w:t xml:space="preserve">; </w:t>
      </w:r>
      <w:hyperlink w:anchor="_ENREF_51" w:tooltip="Gomez-Mejia, 2001 #857" w:history="1">
        <w:r w:rsidR="00266C78">
          <w:rPr>
            <w:rFonts w:ascii="Times New Roman" w:hAnsi="Times New Roman" w:cs="Times New Roman"/>
            <w:noProof/>
            <w:sz w:val="24"/>
            <w:szCs w:val="24"/>
            <w:lang w:val="en-US"/>
          </w:rPr>
          <w:t>Gomez-Mejia et al., 2001</w:t>
        </w:r>
      </w:hyperlink>
      <w:r w:rsidR="00D8026E">
        <w:rPr>
          <w:rFonts w:ascii="Times New Roman" w:hAnsi="Times New Roman" w:cs="Times New Roman"/>
          <w:noProof/>
          <w:sz w:val="24"/>
          <w:szCs w:val="24"/>
          <w:lang w:val="en-US"/>
        </w:rPr>
        <w:t xml:space="preserve">; </w:t>
      </w:r>
      <w:hyperlink w:anchor="_ENREF_63" w:tooltip="Kabbach de Castro, 2017 #853" w:history="1">
        <w:r w:rsidR="00266C78">
          <w:rPr>
            <w:rFonts w:ascii="Times New Roman" w:hAnsi="Times New Roman" w:cs="Times New Roman"/>
            <w:noProof/>
            <w:sz w:val="24"/>
            <w:szCs w:val="24"/>
            <w:lang w:val="en-US"/>
          </w:rPr>
          <w:t>Kabbach de Castro et al., 2017</w:t>
        </w:r>
      </w:hyperlink>
      <w:r w:rsidR="00D8026E">
        <w:rPr>
          <w:rFonts w:ascii="Times New Roman" w:hAnsi="Times New Roman" w:cs="Times New Roman"/>
          <w:noProof/>
          <w:sz w:val="24"/>
          <w:szCs w:val="24"/>
          <w:lang w:val="en-US"/>
        </w:rPr>
        <w:t>)</w:t>
      </w:r>
      <w:r w:rsidR="00D8026E">
        <w:rPr>
          <w:rFonts w:ascii="Times New Roman" w:hAnsi="Times New Roman" w:cs="Times New Roman"/>
          <w:sz w:val="24"/>
          <w:szCs w:val="24"/>
          <w:lang w:val="en-US"/>
        </w:rPr>
        <w:fldChar w:fldCharType="end"/>
      </w:r>
      <w:r w:rsidR="00163F54" w:rsidRPr="00E85554">
        <w:rPr>
          <w:rFonts w:ascii="Times New Roman" w:hAnsi="Times New Roman" w:cs="Times New Roman"/>
          <w:sz w:val="24"/>
          <w:szCs w:val="24"/>
          <w:lang w:val="en-US"/>
        </w:rPr>
        <w:t xml:space="preserve">. We believe that our measure of blockholder appropriation enhances the existing literature because we capture how GCF translates into investment in fixed assets and firm long term growth, as opposed to being used for other purposes enhancing blockholders’ private wealth. Conversely, a negative relation between GCF and fixed investment indicates a possibility of some rent seeking or cash bleeding. Higher private benefits of control have been associated with blockholder appropriation in previous literature, including emerging economies markets </w:t>
      </w:r>
      <w:r w:rsidR="00D8026E">
        <w:rPr>
          <w:rFonts w:ascii="Times New Roman" w:hAnsi="Times New Roman" w:cs="Times New Roman"/>
          <w:sz w:val="24"/>
          <w:szCs w:val="24"/>
          <w:lang w:val="en-US"/>
        </w:rPr>
        <w:fldChar w:fldCharType="begin">
          <w:fldData xml:space="preserve">PEVuZE5vdGU+PENpdGU+PEF1dGhvcj5CYXJjbGF5PC9BdXRob3I+PFllYXI+MTk4OTwvWWVhcj48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</w:fldData>
        </w:fldChar>
      </w:r>
      <w:r w:rsidR="00524332">
        <w:rPr>
          <w:rFonts w:ascii="Times New Roman" w:hAnsi="Times New Roman" w:cs="Times New Roman"/>
          <w:sz w:val="24"/>
          <w:szCs w:val="24"/>
          <w:lang w:val="en-US"/>
        </w:rPr>
        <w:instrText xml:space="preserve"> ADDIN EN.CITE </w:instrText>
      </w:r>
      <w:r w:rsidR="00524332">
        <w:rPr>
          <w:rFonts w:ascii="Times New Roman" w:hAnsi="Times New Roman" w:cs="Times New Roman"/>
          <w:sz w:val="24"/>
          <w:szCs w:val="24"/>
          <w:lang w:val="en-US"/>
        </w:rPr>
        <w:fldChar w:fldCharType="begin">
          <w:fldData xml:space="preserve">PEVuZE5vdGU+PENpdGU+PEF1dGhvcj5CYXJjbGF5PC9BdXRob3I+PFllYXI+MTk4OTwvWWVhcj48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</w:fldData>
        </w:fldChar>
      </w:r>
      <w:r w:rsidR="00524332">
        <w:rPr>
          <w:rFonts w:ascii="Times New Roman" w:hAnsi="Times New Roman" w:cs="Times New Roman"/>
          <w:sz w:val="24"/>
          <w:szCs w:val="24"/>
          <w:lang w:val="en-US"/>
        </w:rPr>
        <w:instrText xml:space="preserve"> ADDIN EN.CITE.DATA </w:instrText>
      </w:r>
      <w:r w:rsidR="00524332">
        <w:rPr>
          <w:rFonts w:ascii="Times New Roman" w:hAnsi="Times New Roman" w:cs="Times New Roman"/>
          <w:sz w:val="24"/>
          <w:szCs w:val="24"/>
          <w:lang w:val="en-US"/>
        </w:rPr>
      </w:r>
      <w:r w:rsidR="00524332">
        <w:rPr>
          <w:rFonts w:ascii="Times New Roman" w:hAnsi="Times New Roman" w:cs="Times New Roman"/>
          <w:sz w:val="24"/>
          <w:szCs w:val="24"/>
          <w:lang w:val="en-US"/>
        </w:rPr>
        <w:fldChar w:fldCharType="end"/>
      </w:r>
      <w:r w:rsidR="00D8026E">
        <w:rPr>
          <w:rFonts w:ascii="Times New Roman" w:hAnsi="Times New Roman" w:cs="Times New Roman"/>
          <w:sz w:val="24"/>
          <w:szCs w:val="24"/>
          <w:lang w:val="en-US"/>
        </w:rPr>
      </w:r>
      <w:r w:rsidR="00D8026E">
        <w:rPr>
          <w:rFonts w:ascii="Times New Roman" w:hAnsi="Times New Roman" w:cs="Times New Roman"/>
          <w:sz w:val="24"/>
          <w:szCs w:val="24"/>
          <w:lang w:val="en-US"/>
        </w:rPr>
        <w:fldChar w:fldCharType="separate"/>
      </w:r>
      <w:r w:rsidR="00D8026E">
        <w:rPr>
          <w:rFonts w:ascii="Times New Roman" w:hAnsi="Times New Roman" w:cs="Times New Roman"/>
          <w:noProof/>
          <w:sz w:val="24"/>
          <w:szCs w:val="24"/>
          <w:lang w:val="en-US"/>
        </w:rPr>
        <w:t>(</w:t>
      </w:r>
      <w:hyperlink w:anchor="_ENREF_9" w:tooltip="Barclay, 1989 #858" w:history="1">
        <w:r w:rsidR="00266C78">
          <w:rPr>
            <w:rFonts w:ascii="Times New Roman" w:hAnsi="Times New Roman" w:cs="Times New Roman"/>
            <w:noProof/>
            <w:sz w:val="24"/>
            <w:szCs w:val="24"/>
            <w:lang w:val="en-US"/>
          </w:rPr>
          <w:t>Barclay et al., 1989</w:t>
        </w:r>
      </w:hyperlink>
      <w:r w:rsidR="00D8026E">
        <w:rPr>
          <w:rFonts w:ascii="Times New Roman" w:hAnsi="Times New Roman" w:cs="Times New Roman"/>
          <w:noProof/>
          <w:sz w:val="24"/>
          <w:szCs w:val="24"/>
          <w:lang w:val="en-US"/>
        </w:rPr>
        <w:t xml:space="preserve">; </w:t>
      </w:r>
      <w:hyperlink w:anchor="_ENREF_43" w:tooltip="Dyck, 2004 #854" w:history="1">
        <w:r w:rsidR="00266C78">
          <w:rPr>
            <w:rFonts w:ascii="Times New Roman" w:hAnsi="Times New Roman" w:cs="Times New Roman"/>
            <w:noProof/>
            <w:sz w:val="24"/>
            <w:szCs w:val="24"/>
            <w:lang w:val="en-US"/>
          </w:rPr>
          <w:t>Dyck et al., 2004</w:t>
        </w:r>
      </w:hyperlink>
      <w:r w:rsidR="00D8026E">
        <w:rPr>
          <w:rFonts w:ascii="Times New Roman" w:hAnsi="Times New Roman" w:cs="Times New Roman"/>
          <w:noProof/>
          <w:sz w:val="24"/>
          <w:szCs w:val="24"/>
          <w:lang w:val="en-US"/>
        </w:rPr>
        <w:t xml:space="preserve">; </w:t>
      </w:r>
      <w:hyperlink w:anchor="_ENREF_77" w:tooltip="Muravyev, 2014 #842" w:history="1">
        <w:r w:rsidR="00266C78">
          <w:rPr>
            <w:rFonts w:ascii="Times New Roman" w:hAnsi="Times New Roman" w:cs="Times New Roman"/>
            <w:noProof/>
            <w:sz w:val="24"/>
            <w:szCs w:val="24"/>
            <w:lang w:val="en-US"/>
          </w:rPr>
          <w:t>Muravyev et al., 2014</w:t>
        </w:r>
      </w:hyperlink>
      <w:r w:rsidR="00D8026E">
        <w:rPr>
          <w:rFonts w:ascii="Times New Roman" w:hAnsi="Times New Roman" w:cs="Times New Roman"/>
          <w:noProof/>
          <w:sz w:val="24"/>
          <w:szCs w:val="24"/>
          <w:lang w:val="en-US"/>
        </w:rPr>
        <w:t>)</w:t>
      </w:r>
      <w:r w:rsidR="00D8026E">
        <w:rPr>
          <w:rFonts w:ascii="Times New Roman" w:hAnsi="Times New Roman" w:cs="Times New Roman"/>
          <w:sz w:val="24"/>
          <w:szCs w:val="24"/>
          <w:lang w:val="en-US"/>
        </w:rPr>
        <w:fldChar w:fldCharType="end"/>
      </w:r>
      <w:r w:rsidR="00163F54" w:rsidRPr="00E85554">
        <w:rPr>
          <w:rFonts w:ascii="Times New Roman" w:hAnsi="Times New Roman" w:cs="Times New Roman"/>
          <w:sz w:val="24"/>
          <w:szCs w:val="24"/>
          <w:lang w:val="en-US"/>
        </w:rPr>
        <w:t>.</w:t>
      </w:r>
    </w:p>
    <w:p w14:paraId="46E251B9" w14:textId="6B916DF0" w:rsidR="00596122" w:rsidRPr="00E85554" w:rsidRDefault="00163F54" w:rsidP="000B2C2F">
      <w:pPr>
        <w:autoSpaceDE w:val="0"/>
        <w:autoSpaceDN w:val="0"/>
        <w:adjustRightInd w:val="0"/>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Our underlying assumption is that Russian firms need fixed investment – official statistics and empirical research show </w:t>
      </w:r>
      <w:r w:rsidR="00CA6FC2" w:rsidRPr="00E85554">
        <w:rPr>
          <w:rFonts w:ascii="Times New Roman" w:hAnsi="Times New Roman" w:cs="Times New Roman"/>
          <w:sz w:val="24"/>
          <w:szCs w:val="24"/>
          <w:lang w:val="en-US"/>
        </w:rPr>
        <w:t xml:space="preserve">that the </w:t>
      </w:r>
      <w:r w:rsidRPr="00E85554">
        <w:rPr>
          <w:rFonts w:ascii="Times New Roman" w:hAnsi="Times New Roman" w:cs="Times New Roman"/>
          <w:sz w:val="24"/>
          <w:szCs w:val="24"/>
          <w:lang w:val="en-US"/>
        </w:rPr>
        <w:t xml:space="preserve">Russian asset base is </w:t>
      </w:r>
      <w:r w:rsidR="00F412F3" w:rsidRPr="00E85554">
        <w:rPr>
          <w:rFonts w:ascii="Times New Roman" w:hAnsi="Times New Roman" w:cs="Times New Roman"/>
          <w:sz w:val="24"/>
          <w:szCs w:val="24"/>
          <w:lang w:val="en-US"/>
        </w:rPr>
        <w:t xml:space="preserve">relatively </w:t>
      </w:r>
      <w:r w:rsidR="00346F5C">
        <w:rPr>
          <w:rFonts w:ascii="Times New Roman" w:hAnsi="Times New Roman" w:cs="Times New Roman"/>
          <w:sz w:val="24"/>
          <w:szCs w:val="24"/>
          <w:lang w:val="en-US"/>
        </w:rPr>
        <w:t xml:space="preserve">old  </w:t>
      </w:r>
      <w:r w:rsidR="00346F5C">
        <w:rPr>
          <w:rFonts w:ascii="Times New Roman" w:hAnsi="Times New Roman" w:cs="Times New Roman"/>
          <w:sz w:val="24"/>
          <w:szCs w:val="24"/>
          <w:lang w:val="en-US"/>
        </w:rPr>
        <w:fldChar w:fldCharType="begin"/>
      </w:r>
      <w:r w:rsidR="00346F5C">
        <w:rPr>
          <w:rFonts w:ascii="Times New Roman" w:hAnsi="Times New Roman" w:cs="Times New Roman"/>
          <w:sz w:val="24"/>
          <w:szCs w:val="24"/>
          <w:lang w:val="en-US"/>
        </w:rPr>
        <w:instrText xml:space="preserve"> ADDIN EN.CITE &lt;EndNote&gt;&lt;Cite&gt;&lt;Author&gt;Dzarasov&lt;/Author&gt;&lt;Year&gt;2010&lt;/Year&gt;&lt;RecNum&gt;488&lt;/RecNum&gt;&lt;DisplayText&gt;(Dzarasov, 2010)&lt;/DisplayText&gt;&lt;record&gt;&lt;rec-number&gt;488&lt;/rec-number&gt;&lt;foreign-keys&gt;&lt;key app="EN" db-id="xdsfzvadmzzxdzereeq5xdf7eaxsdwfdfave" timestamp="1460643521"&gt;488&lt;/key&gt;&lt;/foreign-keys&gt;&lt;ref-type name="Journal Article"&gt;17&lt;/ref-type&gt;&lt;contributors&gt;&lt;authors&gt;&lt;author&gt;Dzarasov, Ruslan&lt;/author&gt;&lt;/authors&gt;&lt;/contributors&gt;&lt;titles&gt;&lt;title&gt;Eichnerian megacorp and investment behaviour of Russian corporations&lt;/title&gt;&lt;secondary-title&gt;Cambridge Journal of Economics&lt;/secondary-title&gt;&lt;/titles&gt;&lt;periodical&gt;&lt;full-title&gt;Cambridge Journal of Economics&lt;/full-title&gt;&lt;/periodical&gt;&lt;pages&gt;199-217&lt;/pages&gt;&lt;volume&gt;35&lt;/volume&gt;&lt;number&gt;1&lt;/number&gt;&lt;dates&gt;&lt;year&gt;2010&lt;/year&gt;&lt;/dates&gt;&lt;isbn&gt;0309-166X&lt;/isbn&gt;&lt;urls&gt;&lt;/urls&gt;&lt;/record&gt;&lt;/Cite&gt;&lt;/EndNote&gt;</w:instrText>
      </w:r>
      <w:r w:rsidR="00346F5C">
        <w:rPr>
          <w:rFonts w:ascii="Times New Roman" w:hAnsi="Times New Roman" w:cs="Times New Roman"/>
          <w:sz w:val="24"/>
          <w:szCs w:val="24"/>
          <w:lang w:val="en-US"/>
        </w:rPr>
        <w:fldChar w:fldCharType="separate"/>
      </w:r>
      <w:r w:rsidR="00346F5C">
        <w:rPr>
          <w:rFonts w:ascii="Times New Roman" w:hAnsi="Times New Roman" w:cs="Times New Roman"/>
          <w:noProof/>
          <w:sz w:val="24"/>
          <w:szCs w:val="24"/>
          <w:lang w:val="en-US"/>
        </w:rPr>
        <w:t>(</w:t>
      </w:r>
      <w:hyperlink w:anchor="_ENREF_44" w:tooltip="Dzarasov, 2010 #488" w:history="1">
        <w:r w:rsidR="00266C78">
          <w:rPr>
            <w:rFonts w:ascii="Times New Roman" w:hAnsi="Times New Roman" w:cs="Times New Roman"/>
            <w:noProof/>
            <w:sz w:val="24"/>
            <w:szCs w:val="24"/>
            <w:lang w:val="en-US"/>
          </w:rPr>
          <w:t>Dzarasov, 2010</w:t>
        </w:r>
      </w:hyperlink>
      <w:r w:rsidR="00346F5C">
        <w:rPr>
          <w:rFonts w:ascii="Times New Roman" w:hAnsi="Times New Roman" w:cs="Times New Roman"/>
          <w:noProof/>
          <w:sz w:val="24"/>
          <w:szCs w:val="24"/>
          <w:lang w:val="en-US"/>
        </w:rPr>
        <w:t>)</w:t>
      </w:r>
      <w:r w:rsidR="00346F5C">
        <w:rPr>
          <w:rFonts w:ascii="Times New Roman" w:hAnsi="Times New Roman" w:cs="Times New Roman"/>
          <w:sz w:val="24"/>
          <w:szCs w:val="24"/>
          <w:lang w:val="en-US"/>
        </w:rPr>
        <w:fldChar w:fldCharType="end"/>
      </w:r>
      <w:r w:rsidR="00346F5C">
        <w:rPr>
          <w:rFonts w:ascii="Times New Roman" w:hAnsi="Times New Roman" w:cs="Times New Roman"/>
          <w:sz w:val="24"/>
          <w:szCs w:val="24"/>
          <w:lang w:val="en-US"/>
        </w:rPr>
        <w:t xml:space="preserve"> </w:t>
      </w:r>
      <w:r w:rsidR="00F412F3" w:rsidRPr="00E85554">
        <w:rPr>
          <w:rFonts w:ascii="Times New Roman" w:hAnsi="Times New Roman" w:cs="Times New Roman"/>
          <w:sz w:val="24"/>
          <w:szCs w:val="24"/>
          <w:lang w:val="en-US"/>
        </w:rPr>
        <w:t>– so that</w:t>
      </w:r>
      <w:r w:rsidRPr="00E85554">
        <w:rPr>
          <w:rFonts w:ascii="Times New Roman" w:hAnsi="Times New Roman" w:cs="Times New Roman"/>
          <w:sz w:val="24"/>
          <w:szCs w:val="24"/>
          <w:lang w:val="en-US"/>
        </w:rPr>
        <w:t xml:space="preserve"> Russian firms are not likely to over-invest in new assets for empire building or other self-dealing reasons. This is why we feel </w:t>
      </w:r>
      <w:r w:rsidR="00CA6FC2" w:rsidRPr="00E85554">
        <w:rPr>
          <w:rFonts w:ascii="Times New Roman" w:hAnsi="Times New Roman" w:cs="Times New Roman"/>
          <w:sz w:val="24"/>
          <w:szCs w:val="24"/>
          <w:lang w:val="en-US"/>
        </w:rPr>
        <w:t>quite confident</w:t>
      </w:r>
      <w:r w:rsidRPr="00E85554">
        <w:rPr>
          <w:rFonts w:ascii="Times New Roman" w:hAnsi="Times New Roman" w:cs="Times New Roman"/>
          <w:sz w:val="24"/>
          <w:szCs w:val="24"/>
          <w:lang w:val="en-US"/>
        </w:rPr>
        <w:t xml:space="preserve"> that a negative coefficient of gross cash-flow to investment would either capture blockholder appropriation or the presence of inefficiencies. </w:t>
      </w:r>
      <w:r w:rsidRPr="00E85554">
        <w:rPr>
          <w:rFonts w:ascii="Times New Roman" w:hAnsi="Times New Roman" w:cs="Times New Roman"/>
          <w:i/>
          <w:sz w:val="24"/>
          <w:szCs w:val="24"/>
          <w:lang w:val="en-US"/>
        </w:rPr>
        <w:t>Ceteris paribus</w:t>
      </w:r>
      <w:r w:rsidRPr="00E85554">
        <w:rPr>
          <w:rFonts w:ascii="Times New Roman" w:hAnsi="Times New Roman" w:cs="Times New Roman"/>
          <w:sz w:val="24"/>
          <w:szCs w:val="24"/>
          <w:lang w:val="en-US"/>
        </w:rPr>
        <w:t>, if free cash flow does not translate into investment, it shows that it is deployed elsewhere (while we control for other sources of funds for investment, such as debt and equity).</w:t>
      </w:r>
    </w:p>
    <w:p w14:paraId="736600F1" w14:textId="38024D6B" w:rsidR="00596122" w:rsidRPr="00A255C7" w:rsidRDefault="00A255C7" w:rsidP="00A255C7">
      <w:pPr>
        <w:spacing w:after="0" w:line="480" w:lineRule="auto"/>
        <w:ind w:firstLine="720"/>
        <w:rPr>
          <w:rFonts w:ascii="Times New Roman" w:hAnsi="Times New Roman" w:cs="Times New Roman"/>
          <w:i/>
          <w:sz w:val="24"/>
          <w:szCs w:val="24"/>
          <w:lang w:val="en-US"/>
        </w:rPr>
      </w:pPr>
      <w:r w:rsidRPr="00A255C7">
        <w:rPr>
          <w:rFonts w:ascii="Times New Roman" w:hAnsi="Times New Roman" w:cs="Times New Roman"/>
          <w:i/>
          <w:sz w:val="24"/>
          <w:szCs w:val="24"/>
          <w:lang w:val="en-US"/>
        </w:rPr>
        <w:t>Block ownership</w:t>
      </w:r>
      <w:r>
        <w:rPr>
          <w:rFonts w:ascii="Times New Roman" w:hAnsi="Times New Roman" w:cs="Times New Roman"/>
          <w:sz w:val="24"/>
          <w:szCs w:val="24"/>
          <w:lang w:val="en-US"/>
        </w:rPr>
        <w:t xml:space="preserve">: </w:t>
      </w:r>
      <w:r w:rsidR="00596122" w:rsidRPr="00A255C7">
        <w:rPr>
          <w:rFonts w:ascii="Times New Roman" w:hAnsi="Times New Roman" w:cs="Times New Roman"/>
          <w:sz w:val="24"/>
          <w:szCs w:val="24"/>
          <w:lang w:val="en-US"/>
        </w:rPr>
        <w:t>Block</w:t>
      </w:r>
      <w:r w:rsidR="00596122" w:rsidRPr="00E85554">
        <w:rPr>
          <w:rFonts w:ascii="Times New Roman" w:hAnsi="Times New Roman" w:cs="Times New Roman"/>
          <w:sz w:val="24"/>
          <w:szCs w:val="24"/>
          <w:lang w:val="en-US"/>
        </w:rPr>
        <w:t xml:space="preserve"> owners are majority shareholders (&gt;50%). We define three types of block owners: state, </w:t>
      </w:r>
      <w:r w:rsidR="009C3128" w:rsidRPr="00E85554">
        <w:rPr>
          <w:rFonts w:ascii="Times New Roman" w:hAnsi="Times New Roman" w:cs="Times New Roman"/>
          <w:sz w:val="24"/>
          <w:szCs w:val="24"/>
          <w:lang w:val="en-US"/>
        </w:rPr>
        <w:t>private individuals</w:t>
      </w:r>
      <w:r w:rsidR="00596122" w:rsidRPr="00E85554">
        <w:rPr>
          <w:rFonts w:ascii="Times New Roman" w:hAnsi="Times New Roman" w:cs="Times New Roman"/>
          <w:sz w:val="24"/>
          <w:szCs w:val="24"/>
          <w:lang w:val="en-US"/>
        </w:rPr>
        <w:t xml:space="preserve">, and institutional (foreign) investors. Ownership concentration above fifty percent was of prime importance for managing the firm, given a legal environment which had weak protection of property rights </w:t>
      </w:r>
      <w:r w:rsidR="00596122" w:rsidRPr="00E85554">
        <w:rPr>
          <w:rFonts w:ascii="Times New Roman" w:hAnsi="Times New Roman" w:cs="Times New Roman"/>
          <w:sz w:val="24"/>
          <w:szCs w:val="24"/>
          <w:lang w:val="en-US"/>
        </w:rPr>
        <w:fldChar w:fldCharType="begin"/>
      </w:r>
      <w:r w:rsidR="00596122" w:rsidRPr="00E85554">
        <w:rPr>
          <w:rFonts w:ascii="Times New Roman" w:hAnsi="Times New Roman" w:cs="Times New Roman"/>
          <w:sz w:val="24"/>
          <w:szCs w:val="24"/>
          <w:lang w:val="en-US"/>
        </w:rPr>
        <w:instrText xml:space="preserve"> ADDIN EN.CITE &lt;EndNote&gt;&lt;Cite&gt;&lt;Author&gt;Adachi&lt;/Author&gt;&lt;Year&gt;2013&lt;/Year&gt;&lt;RecNum&gt;168&lt;/RecNum&gt;&lt;DisplayText&gt;(Adachi, 2013)&lt;/DisplayText&gt;&lt;record&gt;&lt;rec-number&gt;168&lt;/rec-number&gt;&lt;foreign-keys&gt;&lt;key app="EN" db-id="xdsfzvadmzzxdzereeq5xdf7eaxsdwfdfave" timestamp="1398428099"&gt;168&lt;/key&gt;&lt;/foreign-keys&gt;&lt;ref-type name="Book"&gt;6&lt;/ref-type&gt;&lt;contributors&gt;&lt;authors&gt;&lt;author&gt;Adachi, Yuko&lt;/author&gt;&lt;/authors&gt;&lt;/contributors&gt;&lt;titles&gt;&lt;title&gt;Building big business in Russia: the impact of informal corporate governance practices&lt;/title&gt;&lt;/titles&gt;&lt;dates&gt;&lt;year&gt;2013&lt;/year&gt;&lt;/dates&gt;&lt;publisher&gt;Routledge&lt;/publisher&gt;&lt;isbn&gt;1135147124&lt;/isbn&gt;&lt;urls&gt;&lt;/urls&gt;&lt;/record&gt;&lt;/Cite&gt;&lt;/EndNote&gt;</w:instrText>
      </w:r>
      <w:r w:rsidR="00596122" w:rsidRPr="00E85554">
        <w:rPr>
          <w:rFonts w:ascii="Times New Roman" w:hAnsi="Times New Roman" w:cs="Times New Roman"/>
          <w:sz w:val="24"/>
          <w:szCs w:val="24"/>
          <w:lang w:val="en-US"/>
        </w:rPr>
        <w:fldChar w:fldCharType="separate"/>
      </w:r>
      <w:r w:rsidR="00596122" w:rsidRPr="00E85554">
        <w:rPr>
          <w:rFonts w:ascii="Times New Roman" w:hAnsi="Times New Roman" w:cs="Times New Roman"/>
          <w:noProof/>
          <w:sz w:val="24"/>
          <w:szCs w:val="24"/>
          <w:lang w:val="en-US"/>
        </w:rPr>
        <w:t>(</w:t>
      </w:r>
      <w:hyperlink w:anchor="_ENREF_1" w:tooltip="Adachi, 2013 #168" w:history="1">
        <w:r w:rsidR="00266C78" w:rsidRPr="00E85554">
          <w:rPr>
            <w:rFonts w:ascii="Times New Roman" w:hAnsi="Times New Roman" w:cs="Times New Roman"/>
            <w:noProof/>
            <w:sz w:val="24"/>
            <w:szCs w:val="24"/>
            <w:lang w:val="en-US"/>
          </w:rPr>
          <w:t>Adachi, 2013</w:t>
        </w:r>
      </w:hyperlink>
      <w:r w:rsidR="00596122" w:rsidRPr="00E85554">
        <w:rPr>
          <w:rFonts w:ascii="Times New Roman" w:hAnsi="Times New Roman" w:cs="Times New Roman"/>
          <w:noProof/>
          <w:sz w:val="24"/>
          <w:szCs w:val="24"/>
          <w:lang w:val="en-US"/>
        </w:rPr>
        <w:t>)</w:t>
      </w:r>
      <w:r w:rsidR="00596122" w:rsidRPr="00E85554">
        <w:rPr>
          <w:rFonts w:ascii="Times New Roman" w:hAnsi="Times New Roman" w:cs="Times New Roman"/>
          <w:sz w:val="24"/>
          <w:szCs w:val="24"/>
          <w:lang w:val="en-US"/>
        </w:rPr>
        <w:fldChar w:fldCharType="end"/>
      </w:r>
      <w:r w:rsidR="00596122" w:rsidRPr="00E85554">
        <w:rPr>
          <w:rFonts w:ascii="Times New Roman" w:hAnsi="Times New Roman" w:cs="Times New Roman"/>
          <w:sz w:val="24"/>
          <w:szCs w:val="24"/>
          <w:lang w:val="en-US"/>
        </w:rPr>
        <w:t xml:space="preserve">. After accounting for missing data, 73% of observations correspond to firms with majority shareholders highlighting the predominant concentrated ownership structure of Russian companies. Of this sample, 51% are </w:t>
      </w:r>
      <w:r w:rsidR="009C3128" w:rsidRPr="00E85554">
        <w:rPr>
          <w:rFonts w:ascii="Times New Roman" w:hAnsi="Times New Roman" w:cs="Times New Roman"/>
          <w:sz w:val="24"/>
          <w:szCs w:val="24"/>
          <w:lang w:val="en-US"/>
        </w:rPr>
        <w:t>private</w:t>
      </w:r>
      <w:r w:rsidR="00596122" w:rsidRPr="00E85554">
        <w:rPr>
          <w:rFonts w:ascii="Times New Roman" w:hAnsi="Times New Roman" w:cs="Times New Roman"/>
          <w:sz w:val="24"/>
          <w:szCs w:val="24"/>
          <w:lang w:val="en-US"/>
        </w:rPr>
        <w:t xml:space="preserve"> firms, 46% are state-controlled and only 3% are </w:t>
      </w:r>
      <w:r w:rsidR="00596122" w:rsidRPr="00E85554">
        <w:rPr>
          <w:rFonts w:ascii="Times New Roman" w:hAnsi="Times New Roman" w:cs="Times New Roman"/>
          <w:sz w:val="24"/>
          <w:szCs w:val="24"/>
          <w:lang w:val="en-US"/>
        </w:rPr>
        <w:lastRenderedPageBreak/>
        <w:t xml:space="preserve">majority owned by foreign (institutional) investors. </w:t>
      </w:r>
      <w:r w:rsidR="00192AAC" w:rsidRPr="00E85554">
        <w:rPr>
          <w:rFonts w:ascii="Times New Roman" w:hAnsi="Times New Roman" w:cs="Times New Roman"/>
          <w:sz w:val="24"/>
          <w:szCs w:val="24"/>
          <w:lang w:val="en-US"/>
        </w:rPr>
        <w:t xml:space="preserve">This is in line with existing literature </w:t>
      </w:r>
      <w:r w:rsidR="00192AAC" w:rsidRPr="00E85554">
        <w:rPr>
          <w:rFonts w:ascii="Times New Roman" w:hAnsi="Times New Roman" w:cs="Times New Roman"/>
          <w:sz w:val="24"/>
          <w:szCs w:val="24"/>
          <w:lang w:val="en-US"/>
        </w:rPr>
        <w:fldChar w:fldCharType="begin"/>
      </w:r>
      <w:r w:rsidR="00192AAC" w:rsidRPr="00E85554">
        <w:rPr>
          <w:rFonts w:ascii="Times New Roman" w:hAnsi="Times New Roman" w:cs="Times New Roman"/>
          <w:sz w:val="24"/>
          <w:szCs w:val="24"/>
          <w:lang w:val="en-US"/>
        </w:rPr>
        <w:instrText xml:space="preserve"> ADDIN EN.CITE &lt;EndNote&gt;&lt;Cite&gt;&lt;Author&gt;Iwasaki&lt;/Author&gt;&lt;Year&gt;2017&lt;/Year&gt;&lt;RecNum&gt;836&lt;/RecNum&gt;&lt;DisplayText&gt;(Iwasaki et al., 2017)&lt;/DisplayText&gt;&lt;record&gt;&lt;rec-number&gt;836&lt;/rec-number&gt;&lt;foreign-keys&gt;&lt;key app="EN" db-id="xdsfzvadmzzxdzereeq5xdf7eaxsdwfdfave" timestamp="1516122976"&gt;836&lt;/key&gt;&lt;/foreign-keys&gt;&lt;ref-type name="Unpublished Work"&gt;34&lt;/ref-type&gt;&lt;contributors&gt;&lt;authors&gt;&lt;author&gt;Iwasaki, Ichiro&lt;/author&gt;&lt;author&gt;Mizobata, Satoshi&lt;/author&gt;&lt;author&gt;Muravyev, Alexander A&lt;/author&gt;&lt;/authors&gt;&lt;/contributors&gt;&lt;titles&gt;&lt;title&gt;Ownership Dynamics and Firm Performance in an Emerging Economy: A Meta-Analysis of the Russian Literature&lt;/title&gt;&lt;secondary-title&gt;Kier Discussion Paper Series&lt;/secondary-title&gt;&lt;/titles&gt;&lt;number&gt;955&lt;/number&gt;&lt;dates&gt;&lt;year&gt;2017&lt;/year&gt;&lt;/dates&gt;&lt;pub-location&gt;Kyoto, Japan&lt;/pub-location&gt;&lt;publisher&gt;Kyoto Institute of Economic Research&lt;/publisher&gt;&lt;urls&gt;&lt;/urls&gt;&lt;/record&gt;&lt;/Cite&gt;&lt;/EndNote&gt;</w:instrText>
      </w:r>
      <w:r w:rsidR="00192AAC" w:rsidRPr="00E85554">
        <w:rPr>
          <w:rFonts w:ascii="Times New Roman" w:hAnsi="Times New Roman" w:cs="Times New Roman"/>
          <w:sz w:val="24"/>
          <w:szCs w:val="24"/>
          <w:lang w:val="en-US"/>
        </w:rPr>
        <w:fldChar w:fldCharType="separate"/>
      </w:r>
      <w:r w:rsidR="00192AAC" w:rsidRPr="00E85554">
        <w:rPr>
          <w:rFonts w:ascii="Times New Roman" w:hAnsi="Times New Roman" w:cs="Times New Roman"/>
          <w:noProof/>
          <w:sz w:val="24"/>
          <w:szCs w:val="24"/>
          <w:lang w:val="en-US"/>
        </w:rPr>
        <w:t>(</w:t>
      </w:r>
      <w:hyperlink w:anchor="_ENREF_61" w:tooltip="Iwasaki, 2017 #836" w:history="1">
        <w:r w:rsidR="00266C78" w:rsidRPr="00E85554">
          <w:rPr>
            <w:rFonts w:ascii="Times New Roman" w:hAnsi="Times New Roman" w:cs="Times New Roman"/>
            <w:noProof/>
            <w:sz w:val="24"/>
            <w:szCs w:val="24"/>
            <w:lang w:val="en-US"/>
          </w:rPr>
          <w:t>Iwasaki et al., 2017</w:t>
        </w:r>
      </w:hyperlink>
      <w:r w:rsidR="00192AAC" w:rsidRPr="00E85554">
        <w:rPr>
          <w:rFonts w:ascii="Times New Roman" w:hAnsi="Times New Roman" w:cs="Times New Roman"/>
          <w:noProof/>
          <w:sz w:val="24"/>
          <w:szCs w:val="24"/>
          <w:lang w:val="en-US"/>
        </w:rPr>
        <w:t>)</w:t>
      </w:r>
      <w:r w:rsidR="00192AAC" w:rsidRPr="00E85554">
        <w:rPr>
          <w:rFonts w:ascii="Times New Roman" w:hAnsi="Times New Roman" w:cs="Times New Roman"/>
          <w:sz w:val="24"/>
          <w:szCs w:val="24"/>
          <w:lang w:val="en-US"/>
        </w:rPr>
        <w:fldChar w:fldCharType="end"/>
      </w:r>
      <w:r w:rsidR="00192AAC" w:rsidRPr="00E85554">
        <w:rPr>
          <w:rFonts w:ascii="Times New Roman" w:hAnsi="Times New Roman" w:cs="Times New Roman"/>
          <w:sz w:val="24"/>
          <w:szCs w:val="24"/>
          <w:lang w:val="en-US"/>
        </w:rPr>
        <w:t xml:space="preserve"> that finds that ownership by financial institutions and foreigners in Russian industrial firms is negligible. </w:t>
      </w:r>
      <w:r w:rsidR="009C3128" w:rsidRPr="00E85554">
        <w:rPr>
          <w:rFonts w:ascii="Times New Roman" w:hAnsi="Times New Roman" w:cs="Times New Roman"/>
          <w:sz w:val="24"/>
          <w:szCs w:val="24"/>
          <w:lang w:val="en-US"/>
        </w:rPr>
        <w:t>Private</w:t>
      </w:r>
      <w:r w:rsidR="00596122" w:rsidRPr="00E85554">
        <w:rPr>
          <w:rFonts w:ascii="Times New Roman" w:hAnsi="Times New Roman" w:cs="Times New Roman"/>
          <w:sz w:val="24"/>
          <w:szCs w:val="24"/>
          <w:lang w:val="en-US"/>
        </w:rPr>
        <w:t xml:space="preserve"> firms are often structured as pyramids or through cross-shareholdings. In these structures, the </w:t>
      </w:r>
      <w:r w:rsidR="009C3128" w:rsidRPr="00E85554">
        <w:rPr>
          <w:rFonts w:ascii="Times New Roman" w:hAnsi="Times New Roman" w:cs="Times New Roman"/>
          <w:sz w:val="24"/>
          <w:szCs w:val="24"/>
          <w:lang w:val="en-US"/>
        </w:rPr>
        <w:t>private blockholder</w:t>
      </w:r>
      <w:r w:rsidR="00596122" w:rsidRPr="00E85554">
        <w:rPr>
          <w:rFonts w:ascii="Times New Roman" w:hAnsi="Times New Roman" w:cs="Times New Roman"/>
          <w:sz w:val="24"/>
          <w:szCs w:val="24"/>
          <w:lang w:val="en-US"/>
        </w:rPr>
        <w:t xml:space="preserve"> achieves control of constituent firms via a chain of ownership relations. We account for ultimate control as opposed to immediate ownership, disentangling pyramid structures, cross-holdings and other mechanisms that mask the ultimate ownership </w:t>
      </w:r>
      <w:r w:rsidR="00AC71C1" w:rsidRPr="00E85554">
        <w:rPr>
          <w:rFonts w:ascii="Times New Roman" w:hAnsi="Times New Roman" w:cs="Times New Roman"/>
          <w:sz w:val="24"/>
          <w:szCs w:val="24"/>
          <w:lang w:val="en-US"/>
        </w:rPr>
        <w:fldChar w:fldCharType="begin"/>
      </w:r>
      <w:r w:rsidR="00DA088E">
        <w:rPr>
          <w:rFonts w:ascii="Times New Roman" w:hAnsi="Times New Roman" w:cs="Times New Roman"/>
          <w:sz w:val="24"/>
          <w:szCs w:val="24"/>
          <w:lang w:val="en-US"/>
        </w:rPr>
        <w:instrText xml:space="preserve"> ADDIN EN.CITE &lt;EndNote&gt;&lt;Cite&gt;&lt;Author&gt;Chernykh&lt;/Author&gt;&lt;Year&gt;2008&lt;/Year&gt;&lt;RecNum&gt;27&lt;/RecNum&gt;&lt;Prefix&gt;similar methodology is used in &lt;/Prefix&gt;&lt;DisplayText&gt;(similar methodology is used in Chernykh, 2008)&lt;/DisplayText&gt;&lt;record&gt;&lt;rec-number&gt;27&lt;/rec-number&gt;&lt;foreign-keys&gt;&lt;key app="EN" db-id="xdsfzvadmzzxdzereeq5xdf7eaxsdwfdfave" timestamp="1389481928"&gt;27&lt;/key&gt;&lt;/foreign-keys&gt;&lt;ref-type name="Journal Article"&gt;17&lt;/ref-type&gt;&lt;contributors&gt;&lt;authors&gt;&lt;author&gt;Chernykh, Lucy&lt;/author&gt;&lt;/authors&gt;&lt;/contributors&gt;&lt;titles&gt;&lt;title&gt;Ultimate ownership and control in Russia&lt;/title&gt;&lt;secondary-title&gt;Journal of Financial Economics&lt;/secondary-title&gt;&lt;/titles&gt;&lt;periodical&gt;&lt;full-title&gt;Journal of Financial Economics&lt;/full-title&gt;&lt;/periodical&gt;&lt;pages&gt;169-192&lt;/pages&gt;&lt;volume&gt;88&lt;/volume&gt;&lt;number&gt;1&lt;/number&gt;&lt;dates&gt;&lt;year&gt;2008&lt;/year&gt;&lt;/dates&gt;&lt;isbn&gt;0304-405X&lt;/isbn&gt;&lt;urls&gt;&lt;/urls&gt;&lt;/record&gt;&lt;/Cite&gt;&lt;/EndNote&gt;</w:instrText>
      </w:r>
      <w:r w:rsidR="00AC71C1" w:rsidRPr="00E85554">
        <w:rPr>
          <w:rFonts w:ascii="Times New Roman" w:hAnsi="Times New Roman" w:cs="Times New Roman"/>
          <w:sz w:val="24"/>
          <w:szCs w:val="24"/>
          <w:lang w:val="en-US"/>
        </w:rPr>
        <w:fldChar w:fldCharType="separate"/>
      </w:r>
      <w:r w:rsidR="00DA088E">
        <w:rPr>
          <w:rFonts w:ascii="Times New Roman" w:hAnsi="Times New Roman" w:cs="Times New Roman"/>
          <w:noProof/>
          <w:sz w:val="24"/>
          <w:szCs w:val="24"/>
          <w:lang w:val="en-US"/>
        </w:rPr>
        <w:t>(</w:t>
      </w:r>
      <w:hyperlink w:anchor="_ENREF_30" w:tooltip="Chernykh, 2008 #27" w:history="1">
        <w:r w:rsidR="00266C78">
          <w:rPr>
            <w:rFonts w:ascii="Times New Roman" w:hAnsi="Times New Roman" w:cs="Times New Roman"/>
            <w:noProof/>
            <w:sz w:val="24"/>
            <w:szCs w:val="24"/>
            <w:lang w:val="en-US"/>
          </w:rPr>
          <w:t>similar methodology is used in Chernykh, 2008</w:t>
        </w:r>
      </w:hyperlink>
      <w:r w:rsidR="00DA088E">
        <w:rPr>
          <w:rFonts w:ascii="Times New Roman" w:hAnsi="Times New Roman" w:cs="Times New Roman"/>
          <w:noProof/>
          <w:sz w:val="24"/>
          <w:szCs w:val="24"/>
          <w:lang w:val="en-US"/>
        </w:rPr>
        <w:t>)</w:t>
      </w:r>
      <w:r w:rsidR="00AC71C1" w:rsidRPr="00E85554">
        <w:rPr>
          <w:rFonts w:ascii="Times New Roman" w:hAnsi="Times New Roman" w:cs="Times New Roman"/>
          <w:sz w:val="24"/>
          <w:szCs w:val="24"/>
          <w:lang w:val="en-US"/>
        </w:rPr>
        <w:fldChar w:fldCharType="end"/>
      </w:r>
      <w:r w:rsidR="00596122" w:rsidRPr="00E85554">
        <w:rPr>
          <w:rFonts w:ascii="Times New Roman" w:hAnsi="Times New Roman" w:cs="Times New Roman"/>
          <w:sz w:val="24"/>
          <w:szCs w:val="24"/>
          <w:lang w:val="en-US"/>
        </w:rPr>
        <w:t>.</w:t>
      </w:r>
    </w:p>
    <w:p w14:paraId="2B3F1C7B" w14:textId="77777777" w:rsidR="00596122" w:rsidRPr="00E85554" w:rsidRDefault="00596122" w:rsidP="00A255C7">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i/>
          <w:sz w:val="24"/>
          <w:szCs w:val="24"/>
          <w:lang w:val="en-US"/>
        </w:rPr>
        <w:t>Board directors</w:t>
      </w:r>
      <w:r w:rsidR="00A255C7">
        <w:rPr>
          <w:rFonts w:ascii="Times New Roman" w:hAnsi="Times New Roman" w:cs="Times New Roman"/>
          <w:sz w:val="24"/>
          <w:szCs w:val="24"/>
          <w:lang w:val="en-US"/>
        </w:rPr>
        <w:t xml:space="preserve">: </w:t>
      </w:r>
      <w:r w:rsidRPr="00E85554">
        <w:rPr>
          <w:rFonts w:ascii="Times New Roman" w:hAnsi="Times New Roman" w:cs="Times New Roman"/>
          <w:sz w:val="24"/>
          <w:szCs w:val="24"/>
          <w:lang w:val="en-US"/>
        </w:rPr>
        <w:t xml:space="preserve">There are three types of board directors – independent, executive and non-executive. Executive board directors are those individuals who are also members of the top management team, e.g. CEO or CFO. Executive and non-executive directors are collectively categorized as insiders. </w:t>
      </w:r>
    </w:p>
    <w:p w14:paraId="2F346923" w14:textId="3E6A2C2C" w:rsidR="00596122" w:rsidRPr="00E85554" w:rsidRDefault="00596122" w:rsidP="000B2C2F">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i/>
          <w:sz w:val="24"/>
          <w:szCs w:val="24"/>
          <w:lang w:val="en-US"/>
        </w:rPr>
        <w:t>Independent board directors</w:t>
      </w:r>
      <w:r w:rsidR="00A255C7">
        <w:rPr>
          <w:rFonts w:ascii="Times New Roman" w:hAnsi="Times New Roman" w:cs="Times New Roman"/>
          <w:sz w:val="24"/>
          <w:szCs w:val="24"/>
          <w:lang w:val="en-US"/>
        </w:rPr>
        <w:t xml:space="preserve">: </w:t>
      </w:r>
      <w:r w:rsidRPr="00E85554">
        <w:rPr>
          <w:rFonts w:ascii="Times New Roman" w:hAnsi="Times New Roman" w:cs="Times New Roman"/>
          <w:sz w:val="24"/>
          <w:szCs w:val="24"/>
          <w:lang w:val="en-US"/>
        </w:rPr>
        <w:t xml:space="preserve">The Russian Corporate Governance Code specifies that JSCs should have at least three independent directors who account for no less than 25% of board membership. The presence of independent directors is a requirement for larger companies listed on </w:t>
      </w:r>
      <w:r w:rsidR="005C7CFE" w:rsidRPr="00E85554">
        <w:rPr>
          <w:rFonts w:ascii="Times New Roman" w:hAnsi="Times New Roman" w:cs="Times New Roman"/>
          <w:sz w:val="24"/>
          <w:szCs w:val="24"/>
          <w:lang w:val="en-US"/>
        </w:rPr>
        <w:t>foreign</w:t>
      </w:r>
      <w:r w:rsidRPr="00E85554">
        <w:rPr>
          <w:rFonts w:ascii="Times New Roman" w:hAnsi="Times New Roman" w:cs="Times New Roman"/>
          <w:sz w:val="24"/>
          <w:szCs w:val="24"/>
          <w:lang w:val="en-US"/>
        </w:rPr>
        <w:t xml:space="preserve"> stock exchanges and on the Russian stock exchanges for top-tier A1 and A2 quotation lists.  The dummy variable for independent directors takes the value 1 if there is at least one independent director and 0 otherwise (in which case they are classified as </w:t>
      </w:r>
      <w:r w:rsidRPr="00E85554">
        <w:rPr>
          <w:rFonts w:ascii="Times New Roman" w:hAnsi="Times New Roman" w:cs="Times New Roman"/>
          <w:i/>
          <w:sz w:val="24"/>
          <w:szCs w:val="24"/>
          <w:lang w:val="en-US"/>
        </w:rPr>
        <w:t>insiders</w:t>
      </w:r>
      <w:r w:rsidRPr="00E85554">
        <w:rPr>
          <w:rFonts w:ascii="Times New Roman" w:hAnsi="Times New Roman" w:cs="Times New Roman"/>
          <w:sz w:val="24"/>
          <w:szCs w:val="24"/>
          <w:lang w:val="en-US"/>
        </w:rPr>
        <w:t xml:space="preserve">). The variable for proportion of independent directors comprises a ratio of number of independent directors to total supervisory board size. </w:t>
      </w:r>
      <w:r w:rsidR="008E15AD" w:rsidRPr="008E15AD">
        <w:rPr>
          <w:rFonts w:ascii="Times New Roman" w:hAnsi="Times New Roman" w:cs="Times New Roman"/>
          <w:sz w:val="24"/>
          <w:szCs w:val="24"/>
          <w:lang w:val="en-US"/>
        </w:rPr>
        <w:t xml:space="preserve">Half of </w:t>
      </w:r>
      <w:r w:rsidR="00283928">
        <w:rPr>
          <w:rFonts w:ascii="Times New Roman" w:hAnsi="Times New Roman" w:cs="Times New Roman"/>
          <w:sz w:val="24"/>
          <w:szCs w:val="24"/>
          <w:lang w:val="en-US"/>
        </w:rPr>
        <w:t xml:space="preserve">the </w:t>
      </w:r>
      <w:r w:rsidR="008E15AD" w:rsidRPr="008E15AD">
        <w:rPr>
          <w:rFonts w:ascii="Times New Roman" w:hAnsi="Times New Roman" w:cs="Times New Roman"/>
          <w:sz w:val="24"/>
          <w:szCs w:val="24"/>
          <w:lang w:val="en-US"/>
        </w:rPr>
        <w:t xml:space="preserve">firms in our sample have at least one independent director. Although the </w:t>
      </w:r>
      <w:r w:rsidR="008E15AD">
        <w:rPr>
          <w:rFonts w:ascii="Times New Roman" w:hAnsi="Times New Roman" w:cs="Times New Roman"/>
          <w:sz w:val="24"/>
          <w:szCs w:val="24"/>
          <w:lang w:val="en-US"/>
        </w:rPr>
        <w:t>Russian C</w:t>
      </w:r>
      <w:r w:rsidR="008E15AD" w:rsidRPr="008E15AD">
        <w:rPr>
          <w:rFonts w:ascii="Times New Roman" w:hAnsi="Times New Roman" w:cs="Times New Roman"/>
          <w:sz w:val="24"/>
          <w:szCs w:val="24"/>
          <w:lang w:val="en-US"/>
        </w:rPr>
        <w:t xml:space="preserve">orporate </w:t>
      </w:r>
      <w:r w:rsidR="008E15AD">
        <w:rPr>
          <w:rFonts w:ascii="Times New Roman" w:hAnsi="Times New Roman" w:cs="Times New Roman"/>
          <w:sz w:val="24"/>
          <w:szCs w:val="24"/>
          <w:lang w:val="en-US"/>
        </w:rPr>
        <w:t>G</w:t>
      </w:r>
      <w:r w:rsidR="008E15AD" w:rsidRPr="008E15AD">
        <w:rPr>
          <w:rFonts w:ascii="Times New Roman" w:hAnsi="Times New Roman" w:cs="Times New Roman"/>
          <w:sz w:val="24"/>
          <w:szCs w:val="24"/>
          <w:lang w:val="en-US"/>
        </w:rPr>
        <w:t xml:space="preserve">overnance </w:t>
      </w:r>
      <w:r w:rsidR="008E15AD">
        <w:rPr>
          <w:rFonts w:ascii="Times New Roman" w:hAnsi="Times New Roman" w:cs="Times New Roman"/>
          <w:sz w:val="24"/>
          <w:szCs w:val="24"/>
          <w:lang w:val="en-US"/>
        </w:rPr>
        <w:t>C</w:t>
      </w:r>
      <w:r w:rsidR="008E15AD" w:rsidRPr="008E15AD">
        <w:rPr>
          <w:rFonts w:ascii="Times New Roman" w:hAnsi="Times New Roman" w:cs="Times New Roman"/>
          <w:sz w:val="24"/>
          <w:szCs w:val="24"/>
          <w:lang w:val="en-US"/>
        </w:rPr>
        <w:t xml:space="preserve">ode recommends </w:t>
      </w:r>
      <w:r w:rsidR="008E15AD">
        <w:rPr>
          <w:rFonts w:ascii="Times New Roman" w:hAnsi="Times New Roman" w:cs="Times New Roman"/>
          <w:sz w:val="24"/>
          <w:szCs w:val="24"/>
          <w:lang w:val="en-US"/>
        </w:rPr>
        <w:t>a certain threshold of</w:t>
      </w:r>
      <w:r w:rsidR="008E15AD" w:rsidRPr="008E15AD">
        <w:rPr>
          <w:rFonts w:ascii="Times New Roman" w:hAnsi="Times New Roman" w:cs="Times New Roman"/>
          <w:sz w:val="24"/>
          <w:szCs w:val="24"/>
          <w:lang w:val="en-US"/>
        </w:rPr>
        <w:t xml:space="preserve"> independent directors</w:t>
      </w:r>
      <w:r w:rsidR="008E15AD">
        <w:rPr>
          <w:rFonts w:ascii="Times New Roman" w:hAnsi="Times New Roman" w:cs="Times New Roman"/>
          <w:sz w:val="24"/>
          <w:szCs w:val="24"/>
          <w:lang w:val="en-US"/>
        </w:rPr>
        <w:t xml:space="preserve"> as described above</w:t>
      </w:r>
      <w:r w:rsidR="008E15AD" w:rsidRPr="008E15AD">
        <w:rPr>
          <w:rFonts w:ascii="Times New Roman" w:hAnsi="Times New Roman" w:cs="Times New Roman"/>
          <w:sz w:val="24"/>
          <w:szCs w:val="24"/>
          <w:lang w:val="en-US"/>
        </w:rPr>
        <w:t>, an average proportion of independent directors in our sample is much lower, at 1</w:t>
      </w:r>
      <w:r w:rsidR="00E91BEA">
        <w:rPr>
          <w:rFonts w:ascii="Times New Roman" w:hAnsi="Times New Roman" w:cs="Times New Roman"/>
          <w:sz w:val="24"/>
          <w:szCs w:val="24"/>
          <w:lang w:val="en-US"/>
        </w:rPr>
        <w:t>3</w:t>
      </w:r>
      <w:r w:rsidR="008E15AD" w:rsidRPr="008E15AD">
        <w:rPr>
          <w:rFonts w:ascii="Times New Roman" w:hAnsi="Times New Roman" w:cs="Times New Roman"/>
          <w:sz w:val="24"/>
          <w:szCs w:val="24"/>
          <w:lang w:val="en-US"/>
        </w:rPr>
        <w:t xml:space="preserve">.94%. </w:t>
      </w:r>
      <w:commentRangeStart w:id="30"/>
      <w:r w:rsidR="008E15AD">
        <w:rPr>
          <w:rFonts w:ascii="Times New Roman" w:hAnsi="Times New Roman" w:cs="Times New Roman"/>
          <w:sz w:val="24"/>
          <w:szCs w:val="24"/>
          <w:lang w:val="en-US"/>
        </w:rPr>
        <w:t>A</w:t>
      </w:r>
      <w:r w:rsidR="008E15AD" w:rsidRPr="008E15AD">
        <w:rPr>
          <w:rFonts w:ascii="Times New Roman" w:hAnsi="Times New Roman" w:cs="Times New Roman"/>
          <w:sz w:val="24"/>
          <w:szCs w:val="24"/>
          <w:lang w:val="en-US"/>
        </w:rPr>
        <w:t>nnual growth in independent directors’ proportion happens for firms that have no independent directors, and then hire independent directors until they reach a certain threshold of 15%- 30%.</w:t>
      </w:r>
      <w:commentRangeEnd w:id="30"/>
      <w:r w:rsidR="00283928">
        <w:rPr>
          <w:rStyle w:val="CommentReference"/>
        </w:rPr>
        <w:commentReference w:id="30"/>
      </w:r>
      <w:r w:rsidR="008E15AD" w:rsidRPr="008E15AD">
        <w:rPr>
          <w:rFonts w:ascii="Times New Roman" w:hAnsi="Times New Roman" w:cs="Times New Roman"/>
          <w:sz w:val="24"/>
          <w:szCs w:val="24"/>
          <w:lang w:val="en-US"/>
        </w:rPr>
        <w:t xml:space="preserve"> </w:t>
      </w:r>
      <w:r w:rsidRPr="00E85554">
        <w:rPr>
          <w:rFonts w:ascii="Times New Roman" w:hAnsi="Times New Roman" w:cs="Times New Roman"/>
          <w:sz w:val="24"/>
          <w:szCs w:val="24"/>
          <w:lang w:val="en-US"/>
        </w:rPr>
        <w:t xml:space="preserve">The </w:t>
      </w:r>
      <w:r w:rsidRPr="00E85554">
        <w:rPr>
          <w:rFonts w:ascii="Times New Roman" w:hAnsi="Times New Roman" w:cs="Times New Roman"/>
          <w:sz w:val="24"/>
          <w:szCs w:val="24"/>
          <w:lang w:val="en-US"/>
        </w:rPr>
        <w:lastRenderedPageBreak/>
        <w:t xml:space="preserve">same two variables (dummy and proportion) are compiled for </w:t>
      </w:r>
      <w:r w:rsidR="005C7CFE" w:rsidRPr="00E85554">
        <w:rPr>
          <w:rFonts w:ascii="Times New Roman" w:hAnsi="Times New Roman" w:cs="Times New Roman"/>
          <w:i/>
          <w:sz w:val="24"/>
          <w:szCs w:val="24"/>
          <w:lang w:val="en-US"/>
        </w:rPr>
        <w:t>foreign</w:t>
      </w:r>
      <w:r w:rsidRPr="00E85554">
        <w:rPr>
          <w:rFonts w:ascii="Times New Roman" w:hAnsi="Times New Roman" w:cs="Times New Roman"/>
          <w:sz w:val="24"/>
          <w:szCs w:val="24"/>
          <w:lang w:val="en-US"/>
        </w:rPr>
        <w:t xml:space="preserve"> </w:t>
      </w:r>
      <w:r w:rsidRPr="00E85554">
        <w:rPr>
          <w:rFonts w:ascii="Times New Roman" w:hAnsi="Times New Roman" w:cs="Times New Roman"/>
          <w:i/>
          <w:sz w:val="24"/>
          <w:szCs w:val="24"/>
          <w:lang w:val="en-US"/>
        </w:rPr>
        <w:t>independent directors</w:t>
      </w:r>
      <w:r w:rsidRPr="00E85554">
        <w:rPr>
          <w:rFonts w:ascii="Times New Roman" w:hAnsi="Times New Roman" w:cs="Times New Roman"/>
          <w:sz w:val="24"/>
          <w:szCs w:val="24"/>
          <w:lang w:val="en-US"/>
        </w:rPr>
        <w:t xml:space="preserve">. </w:t>
      </w:r>
      <w:r w:rsidR="00EE50E1" w:rsidRPr="00E85554">
        <w:rPr>
          <w:rFonts w:ascii="Times New Roman" w:hAnsi="Times New Roman" w:cs="Times New Roman"/>
          <w:sz w:val="24"/>
          <w:szCs w:val="24"/>
          <w:lang w:val="en-US"/>
        </w:rPr>
        <w:t>Extant l</w:t>
      </w:r>
      <w:r w:rsidRPr="00E85554">
        <w:rPr>
          <w:rFonts w:ascii="Times New Roman" w:hAnsi="Times New Roman" w:cs="Times New Roman"/>
          <w:sz w:val="24"/>
          <w:szCs w:val="24"/>
          <w:lang w:val="en-US"/>
        </w:rPr>
        <w:t xml:space="preserve">iterature  found a lack of consistency by firms in interpreting the definition of ‘independent’ and a lack of disclosure of information </w:t>
      </w:r>
      <w:r w:rsidRPr="00E85554">
        <w:rPr>
          <w:rFonts w:ascii="Times New Roman" w:hAnsi="Times New Roman" w:cs="Times New Roman"/>
          <w:sz w:val="24"/>
          <w:szCs w:val="24"/>
          <w:lang w:val="en-US"/>
        </w:rPr>
        <w:fldChar w:fldCharType="begin"/>
      </w:r>
      <w:r w:rsidRPr="00E85554">
        <w:rPr>
          <w:rFonts w:ascii="Times New Roman" w:hAnsi="Times New Roman" w:cs="Times New Roman"/>
          <w:sz w:val="24"/>
          <w:szCs w:val="24"/>
          <w:lang w:val="en-US"/>
        </w:rPr>
        <w:instrText xml:space="preserve"> ADDIN EN.CITE &lt;EndNote&gt;&lt;Cite&gt;&lt;Author&gt;Brennan&lt;/Author&gt;&lt;Year&gt;2004&lt;/Year&gt;&lt;RecNum&gt;20&lt;/RecNum&gt;&lt;DisplayText&gt;(Brennan et al., 2004)&lt;/DisplayText&gt;&lt;record&gt;&lt;rec-number&gt;20&lt;/rec-number&gt;&lt;foreign-keys&gt;&lt;key app="EN" db-id="xdsfzvadmzzxdzereeq5xdf7eaxsdwfdfave" timestamp="1389481512"&gt;20&lt;/key&gt;&lt;/foreign-keys&gt;&lt;ref-type name="Journal Article"&gt;17&lt;/ref-type&gt;&lt;contributors&gt;&lt;authors&gt;&lt;author&gt;Brennan, Niamh&lt;/author&gt;&lt;author&gt;McDermott, Michael&lt;/author&gt;&lt;/authors&gt;&lt;/contributors&gt;&lt;titles&gt;&lt;title&gt;Alternative perspectives on independence of directors&lt;/title&gt;&lt;secondary-title&gt;Corporate Governance: An International Review&lt;/secondary-title&gt;&lt;/titles&gt;&lt;periodical&gt;&lt;full-title&gt;Corporate Governance: An International Review&lt;/full-title&gt;&lt;/periodical&gt;&lt;pages&gt;325-336&lt;/pages&gt;&lt;volume&gt;12&lt;/volume&gt;&lt;number&gt;3&lt;/number&gt;&lt;dates&gt;&lt;year&gt;2004&lt;/year&gt;&lt;/dates&gt;&lt;isbn&gt;1467-8683&lt;/isbn&gt;&lt;urls&gt;&lt;/urls&gt;&lt;/record&gt;&lt;/Cite&gt;&lt;/EndNote&gt;</w:instrText>
      </w:r>
      <w:r w:rsidRPr="00E85554">
        <w:rPr>
          <w:rFonts w:ascii="Times New Roman" w:hAnsi="Times New Roman" w:cs="Times New Roman"/>
          <w:sz w:val="24"/>
          <w:szCs w:val="24"/>
          <w:lang w:val="en-US"/>
        </w:rPr>
        <w:fldChar w:fldCharType="separate"/>
      </w:r>
      <w:r w:rsidRPr="00E85554">
        <w:rPr>
          <w:rFonts w:ascii="Times New Roman" w:hAnsi="Times New Roman" w:cs="Times New Roman"/>
          <w:noProof/>
          <w:sz w:val="24"/>
          <w:szCs w:val="24"/>
          <w:lang w:val="en-US"/>
        </w:rPr>
        <w:t>(</w:t>
      </w:r>
      <w:hyperlink w:anchor="_ENREF_24" w:tooltip="Brennan, 2004 #20" w:history="1">
        <w:r w:rsidR="00266C78" w:rsidRPr="00E85554">
          <w:rPr>
            <w:rFonts w:ascii="Times New Roman" w:hAnsi="Times New Roman" w:cs="Times New Roman"/>
            <w:noProof/>
            <w:sz w:val="24"/>
            <w:szCs w:val="24"/>
            <w:lang w:val="en-US"/>
          </w:rPr>
          <w:t>Brennan et al., 2004</w:t>
        </w:r>
      </w:hyperlink>
      <w:r w:rsidRPr="00E85554">
        <w:rPr>
          <w:rFonts w:ascii="Times New Roman" w:hAnsi="Times New Roman" w:cs="Times New Roman"/>
          <w:noProof/>
          <w:sz w:val="24"/>
          <w:szCs w:val="24"/>
          <w:lang w:val="en-US"/>
        </w:rPr>
        <w:t>)</w:t>
      </w:r>
      <w:r w:rsidRPr="00E85554">
        <w:rPr>
          <w:rFonts w:ascii="Times New Roman" w:hAnsi="Times New Roman" w:cs="Times New Roman"/>
          <w:sz w:val="24"/>
          <w:szCs w:val="24"/>
          <w:lang w:val="en-US"/>
        </w:rPr>
        <w:fldChar w:fldCharType="end"/>
      </w:r>
      <w:r w:rsidRPr="00E85554">
        <w:rPr>
          <w:rFonts w:ascii="Times New Roman" w:hAnsi="Times New Roman" w:cs="Times New Roman"/>
          <w:sz w:val="24"/>
          <w:szCs w:val="24"/>
          <w:lang w:val="en-US"/>
        </w:rPr>
        <w:t xml:space="preserve">. Where the information is unavailable or inconsistent, we classify the directors based on the definition detailed in </w:t>
      </w:r>
      <w:r w:rsidR="00EE50E1" w:rsidRPr="00E85554">
        <w:rPr>
          <w:rFonts w:ascii="Times New Roman" w:hAnsi="Times New Roman" w:cs="Times New Roman"/>
          <w:sz w:val="24"/>
          <w:szCs w:val="24"/>
          <w:lang w:val="en-US"/>
        </w:rPr>
        <w:t xml:space="preserve">the theoretical framework </w:t>
      </w:r>
      <w:r w:rsidRPr="00E85554">
        <w:rPr>
          <w:rFonts w:ascii="Times New Roman" w:hAnsi="Times New Roman" w:cs="Times New Roman"/>
          <w:sz w:val="24"/>
          <w:szCs w:val="24"/>
          <w:lang w:val="en-US"/>
        </w:rPr>
        <w:t>section. For example, directors on SOEs’ boards w</w:t>
      </w:r>
      <w:r w:rsidR="00CA6FC2" w:rsidRPr="00E85554">
        <w:rPr>
          <w:rFonts w:ascii="Times New Roman" w:hAnsi="Times New Roman" w:cs="Times New Roman"/>
          <w:sz w:val="24"/>
          <w:szCs w:val="24"/>
          <w:lang w:val="en-US"/>
        </w:rPr>
        <w:t>ith current</w:t>
      </w:r>
      <w:r w:rsidRPr="00E85554">
        <w:rPr>
          <w:rFonts w:ascii="Times New Roman" w:hAnsi="Times New Roman" w:cs="Times New Roman"/>
          <w:sz w:val="24"/>
          <w:szCs w:val="24"/>
          <w:lang w:val="en-US"/>
        </w:rPr>
        <w:t xml:space="preserve"> or past government roles as directors, executives, politicians or bureaucrats are not considered as independent, in line with the Corporate Governance Code, even if the firm discloses them as independent. </w:t>
      </w:r>
    </w:p>
    <w:p w14:paraId="08B21E03" w14:textId="7CF3C32A" w:rsidR="00596122" w:rsidRPr="00E85554" w:rsidRDefault="00596122" w:rsidP="000B2C2F">
      <w:pPr>
        <w:autoSpaceDE w:val="0"/>
        <w:autoSpaceDN w:val="0"/>
        <w:adjustRightInd w:val="0"/>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i/>
          <w:sz w:val="24"/>
          <w:szCs w:val="24"/>
          <w:lang w:val="en-US"/>
        </w:rPr>
        <w:t>M</w:t>
      </w:r>
      <w:r w:rsidR="00A255C7">
        <w:rPr>
          <w:rFonts w:ascii="Times New Roman" w:hAnsi="Times New Roman" w:cs="Times New Roman"/>
          <w:i/>
          <w:sz w:val="24"/>
          <w:szCs w:val="24"/>
          <w:lang w:val="en-US"/>
        </w:rPr>
        <w:t>ultinational Enterprises (M</w:t>
      </w:r>
      <w:r w:rsidRPr="00E85554">
        <w:rPr>
          <w:rFonts w:ascii="Times New Roman" w:hAnsi="Times New Roman" w:cs="Times New Roman"/>
          <w:i/>
          <w:sz w:val="24"/>
          <w:szCs w:val="24"/>
          <w:lang w:val="en-US"/>
        </w:rPr>
        <w:t>NEs</w:t>
      </w:r>
      <w:r w:rsidR="00A255C7">
        <w:rPr>
          <w:rFonts w:ascii="Times New Roman" w:hAnsi="Times New Roman" w:cs="Times New Roman"/>
          <w:i/>
          <w:sz w:val="24"/>
          <w:szCs w:val="24"/>
          <w:lang w:val="en-US"/>
        </w:rPr>
        <w:t>)</w:t>
      </w:r>
      <w:r w:rsidR="00A255C7">
        <w:rPr>
          <w:rFonts w:ascii="Times New Roman" w:hAnsi="Times New Roman" w:cs="Times New Roman"/>
          <w:sz w:val="24"/>
          <w:szCs w:val="24"/>
          <w:lang w:val="en-US"/>
        </w:rPr>
        <w:t xml:space="preserve">: </w:t>
      </w:r>
      <w:r w:rsidRPr="00E85554">
        <w:rPr>
          <w:rFonts w:ascii="Times New Roman" w:hAnsi="Times New Roman" w:cs="Times New Roman"/>
          <w:sz w:val="24"/>
          <w:szCs w:val="24"/>
          <w:lang w:val="en-US"/>
        </w:rPr>
        <w:t xml:space="preserve">We consider a Russian firm to be an </w:t>
      </w:r>
      <w:r w:rsidRPr="00E85554">
        <w:rPr>
          <w:rFonts w:ascii="Times New Roman" w:hAnsi="Times New Roman" w:cs="Times New Roman"/>
          <w:i/>
          <w:sz w:val="24"/>
          <w:szCs w:val="24"/>
          <w:lang w:val="en-US"/>
        </w:rPr>
        <w:t>MNE</w:t>
      </w:r>
      <w:r w:rsidRPr="00E85554">
        <w:rPr>
          <w:rFonts w:ascii="Times New Roman" w:hAnsi="Times New Roman" w:cs="Times New Roman"/>
          <w:sz w:val="24"/>
          <w:szCs w:val="24"/>
          <w:lang w:val="en-US"/>
        </w:rPr>
        <w:t xml:space="preserve"> when it </w:t>
      </w:r>
      <w:r w:rsidR="000B660A">
        <w:rPr>
          <w:rFonts w:ascii="Times New Roman" w:hAnsi="Times New Roman" w:cs="Times New Roman"/>
          <w:sz w:val="24"/>
          <w:szCs w:val="24"/>
          <w:lang w:val="en-US"/>
        </w:rPr>
        <w:t xml:space="preserve">is not </w:t>
      </w:r>
      <w:r w:rsidR="00B93A79">
        <w:rPr>
          <w:rFonts w:ascii="Times New Roman" w:hAnsi="Times New Roman" w:cs="Times New Roman"/>
          <w:sz w:val="24"/>
          <w:szCs w:val="24"/>
          <w:lang w:val="en-US"/>
        </w:rPr>
        <w:t xml:space="preserve">just </w:t>
      </w:r>
      <w:r w:rsidR="000B660A">
        <w:rPr>
          <w:rFonts w:ascii="Times New Roman" w:hAnsi="Times New Roman" w:cs="Times New Roman"/>
          <w:sz w:val="24"/>
          <w:szCs w:val="24"/>
          <w:lang w:val="en-US"/>
        </w:rPr>
        <w:t xml:space="preserve">purely exporting abroad, but </w:t>
      </w:r>
      <w:r w:rsidRPr="00E85554">
        <w:rPr>
          <w:rFonts w:ascii="Times New Roman" w:hAnsi="Times New Roman" w:cs="Times New Roman"/>
          <w:sz w:val="24"/>
          <w:szCs w:val="24"/>
          <w:lang w:val="en-US"/>
        </w:rPr>
        <w:t xml:space="preserve">has </w:t>
      </w:r>
      <w:r w:rsidR="00FF0B39">
        <w:rPr>
          <w:rFonts w:ascii="Times New Roman" w:hAnsi="Times New Roman" w:cs="Times New Roman"/>
          <w:sz w:val="24"/>
          <w:szCs w:val="24"/>
          <w:lang w:val="en-US"/>
        </w:rPr>
        <w:t xml:space="preserve">substantial </w:t>
      </w:r>
      <w:r w:rsidRPr="00E85554">
        <w:rPr>
          <w:rFonts w:ascii="Times New Roman" w:hAnsi="Times New Roman" w:cs="Times New Roman"/>
          <w:sz w:val="24"/>
          <w:szCs w:val="24"/>
          <w:lang w:val="en-US"/>
        </w:rPr>
        <w:t>operations in other host countries, including CIS countries</w:t>
      </w:r>
      <w:r w:rsidR="00FF0B39">
        <w:rPr>
          <w:rFonts w:ascii="Times New Roman" w:hAnsi="Times New Roman" w:cs="Times New Roman"/>
          <w:sz w:val="24"/>
          <w:szCs w:val="24"/>
          <w:lang w:val="en-US"/>
        </w:rPr>
        <w:t>, such as local operating subsidiaries or standalone</w:t>
      </w:r>
      <w:r w:rsidR="000B660A">
        <w:rPr>
          <w:rFonts w:ascii="Times New Roman" w:hAnsi="Times New Roman" w:cs="Times New Roman"/>
          <w:sz w:val="24"/>
          <w:szCs w:val="24"/>
          <w:lang w:val="en-US"/>
        </w:rPr>
        <w:t xml:space="preserve"> firms acquired as part of </w:t>
      </w:r>
      <w:r w:rsidR="00B93A79">
        <w:rPr>
          <w:rFonts w:ascii="Times New Roman" w:hAnsi="Times New Roman" w:cs="Times New Roman"/>
          <w:sz w:val="24"/>
          <w:szCs w:val="24"/>
          <w:lang w:val="en-US"/>
        </w:rPr>
        <w:t>an</w:t>
      </w:r>
      <w:r w:rsidR="000B660A">
        <w:rPr>
          <w:rFonts w:ascii="Times New Roman" w:hAnsi="Times New Roman" w:cs="Times New Roman"/>
          <w:sz w:val="24"/>
          <w:szCs w:val="24"/>
          <w:lang w:val="en-US"/>
        </w:rPr>
        <w:t xml:space="preserve"> international expansion strategy. For example, TMK</w:t>
      </w:r>
      <w:r w:rsidR="00F96ACE">
        <w:rPr>
          <w:rFonts w:ascii="Times New Roman" w:hAnsi="Times New Roman" w:cs="Times New Roman"/>
          <w:sz w:val="24"/>
          <w:szCs w:val="24"/>
          <w:lang w:val="en-US"/>
        </w:rPr>
        <w:t xml:space="preserve">, </w:t>
      </w:r>
      <w:r w:rsidR="00F96ACE" w:rsidRPr="00F96ACE">
        <w:rPr>
          <w:rFonts w:ascii="Times New Roman" w:hAnsi="Times New Roman" w:cs="Times New Roman"/>
          <w:sz w:val="24"/>
          <w:szCs w:val="24"/>
          <w:lang w:val="en-US"/>
        </w:rPr>
        <w:t>a global supplier of a range of pipes for the oil and gas industry</w:t>
      </w:r>
      <w:r w:rsidR="00F96ACE">
        <w:rPr>
          <w:rFonts w:ascii="Times New Roman" w:hAnsi="Times New Roman" w:cs="Times New Roman"/>
          <w:sz w:val="24"/>
          <w:szCs w:val="24"/>
          <w:lang w:val="en-US"/>
        </w:rPr>
        <w:t>,</w:t>
      </w:r>
      <w:r w:rsidR="000B660A">
        <w:rPr>
          <w:rFonts w:ascii="Times New Roman" w:hAnsi="Times New Roman" w:cs="Times New Roman"/>
          <w:sz w:val="24"/>
          <w:szCs w:val="24"/>
          <w:lang w:val="en-US"/>
        </w:rPr>
        <w:t xml:space="preserve"> is an MNE as it has operating subsidiaries in the </w:t>
      </w:r>
      <w:r w:rsidR="000B660A" w:rsidRPr="000B660A">
        <w:rPr>
          <w:rFonts w:ascii="Times New Roman" w:hAnsi="Times New Roman" w:cs="Times New Roman"/>
          <w:sz w:val="24"/>
          <w:szCs w:val="24"/>
          <w:lang w:val="en-US"/>
        </w:rPr>
        <w:t>United States, Canada, Romania, Oman, UAE, and Kazakhstan</w:t>
      </w:r>
      <w:r w:rsidR="000B660A">
        <w:rPr>
          <w:rFonts w:ascii="Times New Roman" w:hAnsi="Times New Roman" w:cs="Times New Roman"/>
          <w:sz w:val="24"/>
          <w:szCs w:val="24"/>
          <w:lang w:val="en-US"/>
        </w:rPr>
        <w:t>.</w:t>
      </w:r>
      <w:r w:rsidR="00BA17CA">
        <w:rPr>
          <w:rFonts w:ascii="Times New Roman" w:hAnsi="Times New Roman" w:cs="Times New Roman"/>
          <w:sz w:val="24"/>
          <w:szCs w:val="24"/>
          <w:lang w:val="en-US"/>
        </w:rPr>
        <w:t xml:space="preserve"> </w:t>
      </w:r>
      <w:r w:rsidRPr="00E85554">
        <w:rPr>
          <w:rFonts w:ascii="Times New Roman" w:hAnsi="Times New Roman" w:cs="Times New Roman"/>
          <w:sz w:val="24"/>
          <w:szCs w:val="24"/>
          <w:lang w:val="en-US"/>
        </w:rPr>
        <w:t xml:space="preserve">30% of firms in our sample qualify as MNEs. </w:t>
      </w:r>
    </w:p>
    <w:p w14:paraId="343618B4" w14:textId="77777777" w:rsidR="00596122" w:rsidRPr="00E85554" w:rsidRDefault="00596122" w:rsidP="007732D9">
      <w:pPr>
        <w:autoSpaceDE w:val="0"/>
        <w:autoSpaceDN w:val="0"/>
        <w:adjustRightInd w:val="0"/>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i/>
          <w:sz w:val="24"/>
          <w:szCs w:val="24"/>
          <w:lang w:val="en-US"/>
        </w:rPr>
        <w:t>Listing stock exchanges</w:t>
      </w:r>
      <w:r w:rsidR="00A255C7">
        <w:rPr>
          <w:rFonts w:ascii="Times New Roman" w:hAnsi="Times New Roman" w:cs="Times New Roman"/>
          <w:i/>
          <w:sz w:val="24"/>
          <w:szCs w:val="24"/>
          <w:lang w:val="en-US"/>
        </w:rPr>
        <w:t xml:space="preserve">: </w:t>
      </w:r>
      <w:r w:rsidRPr="00E85554">
        <w:rPr>
          <w:rFonts w:ascii="Times New Roman" w:hAnsi="Times New Roman" w:cs="Times New Roman"/>
          <w:sz w:val="24"/>
          <w:szCs w:val="24"/>
          <w:lang w:val="en-US"/>
        </w:rPr>
        <w:t xml:space="preserve">This dummy variable takes the value of 1 for </w:t>
      </w:r>
      <w:r w:rsidRPr="00E85554">
        <w:rPr>
          <w:rFonts w:ascii="Times New Roman" w:hAnsi="Times New Roman" w:cs="Times New Roman"/>
          <w:i/>
          <w:sz w:val="24"/>
          <w:szCs w:val="24"/>
          <w:lang w:val="en-US"/>
        </w:rPr>
        <w:t>foreign</w:t>
      </w:r>
      <w:r w:rsidRPr="00E85554">
        <w:rPr>
          <w:rFonts w:ascii="Times New Roman" w:hAnsi="Times New Roman" w:cs="Times New Roman"/>
          <w:sz w:val="24"/>
          <w:szCs w:val="24"/>
          <w:lang w:val="en-US"/>
        </w:rPr>
        <w:t xml:space="preserve"> and </w:t>
      </w:r>
      <w:r w:rsidRPr="00E85554">
        <w:rPr>
          <w:rFonts w:ascii="Times New Roman" w:hAnsi="Times New Roman" w:cs="Times New Roman"/>
          <w:i/>
          <w:sz w:val="24"/>
          <w:szCs w:val="24"/>
          <w:lang w:val="en-US"/>
        </w:rPr>
        <w:t>dual listings</w:t>
      </w:r>
      <w:r w:rsidRPr="00E85554">
        <w:rPr>
          <w:rFonts w:ascii="Times New Roman" w:hAnsi="Times New Roman" w:cs="Times New Roman"/>
          <w:sz w:val="24"/>
          <w:szCs w:val="24"/>
          <w:lang w:val="en-US"/>
        </w:rPr>
        <w:t xml:space="preserve"> and 0 for Russian listings. When they go abroad, Russian firms most often list on London Stock Exchange, with a few listed on other European or US stock exchanges.  </w:t>
      </w:r>
    </w:p>
    <w:p w14:paraId="1A5E9366" w14:textId="77777777" w:rsidR="00596122" w:rsidRPr="00E85554" w:rsidRDefault="00596122" w:rsidP="00C01A68">
      <w:pPr>
        <w:spacing w:after="0" w:line="480" w:lineRule="auto"/>
        <w:rPr>
          <w:rFonts w:ascii="Times New Roman" w:hAnsi="Times New Roman" w:cs="Times New Roman"/>
          <w:b/>
          <w:sz w:val="24"/>
          <w:szCs w:val="24"/>
          <w:lang w:val="en-US"/>
        </w:rPr>
      </w:pPr>
      <w:r w:rsidRPr="00E85554">
        <w:rPr>
          <w:rFonts w:ascii="Times New Roman" w:hAnsi="Times New Roman" w:cs="Times New Roman"/>
          <w:b/>
          <w:sz w:val="24"/>
          <w:szCs w:val="24"/>
          <w:lang w:val="en-US"/>
        </w:rPr>
        <w:t>Main Control Variables</w:t>
      </w:r>
    </w:p>
    <w:p w14:paraId="39497A02" w14:textId="07AB38DD" w:rsidR="00596122" w:rsidRPr="00E85554" w:rsidRDefault="00CA6FC2" w:rsidP="009D2F8B">
      <w:pPr>
        <w:spacing w:after="0" w:line="480" w:lineRule="auto"/>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Following </w:t>
      </w:r>
      <w:hyperlink w:anchor="_ENREF_21" w:tooltip="Bond, 1994 #18" w:history="1">
        <w:r w:rsidR="00266C78">
          <w:rPr>
            <w:rFonts w:ascii="Times New Roman" w:hAnsi="Times New Roman" w:cs="Times New Roman"/>
            <w:sz w:val="24"/>
            <w:szCs w:val="24"/>
            <w:lang w:val="en-US"/>
          </w:rPr>
          <w:fldChar w:fldCharType="begin"/>
        </w:r>
        <w:r w:rsidR="00266C78">
          <w:rPr>
            <w:rFonts w:ascii="Times New Roman" w:hAnsi="Times New Roman" w:cs="Times New Roman"/>
            <w:sz w:val="24"/>
            <w:szCs w:val="24"/>
            <w:lang w:val="en-US"/>
          </w:rPr>
          <w:instrText xml:space="preserve"> ADDIN EN.CITE &lt;EndNote&gt;&lt;Cite AuthorYear="1"&gt;&lt;Author&gt;Bond&lt;/Author&gt;&lt;Year&gt;1994&lt;/Year&gt;&lt;RecNum&gt;18&lt;/RecNum&gt;&lt;DisplayText&gt;Bond et al. (1994)&lt;/DisplayText&gt;&lt;record&gt;&lt;rec-number&gt;18&lt;/rec-number&gt;&lt;foreign-keys&gt;&lt;key app="EN" db-id="xdsfzvadmzzxdzereeq5xdf7eaxsdwfdfave" timestamp="1389481377"&gt;18&lt;/key&gt;&lt;/foreign-keys&gt;&lt;ref-type name="Journal Article"&gt;17&lt;/ref-type&gt;&lt;contributors&gt;&lt;authors&gt;&lt;author&gt;Bond, Stephen&lt;/author&gt;&lt;author&gt;Meghir, Costas&lt;/author&gt;&lt;/authors&gt;&lt;/contributors&gt;&lt;titles&gt;&lt;title&gt;Dynamic investment models and the firm&amp;apos;s financial policy&lt;/title&gt;&lt;secondary-title&gt;The Review of Economic Studies&lt;/secondary-title&gt;&lt;/titles&gt;&lt;periodical&gt;&lt;full-title&gt;The Review of Economic Studies&lt;/full-title&gt;&lt;/periodical&gt;&lt;pages&gt;197-222&lt;/pages&gt;&lt;volume&gt;61&lt;/volume&gt;&lt;number&gt;2&lt;/number&gt;&lt;dates&gt;&lt;year&gt;1994&lt;/year&gt;&lt;/dates&gt;&lt;isbn&gt;0034-6527&lt;/isbn&gt;&lt;urls&gt;&lt;/urls&gt;&lt;/record&gt;&lt;/Cite&gt;&lt;/EndNote&gt;</w:instrText>
        </w:r>
        <w:r w:rsidR="00266C78">
          <w:rPr>
            <w:rFonts w:ascii="Times New Roman" w:hAnsi="Times New Roman" w:cs="Times New Roman"/>
            <w:sz w:val="24"/>
            <w:szCs w:val="24"/>
            <w:lang w:val="en-US"/>
          </w:rPr>
          <w:fldChar w:fldCharType="separate"/>
        </w:r>
        <w:r w:rsidR="00266C78">
          <w:rPr>
            <w:rFonts w:ascii="Times New Roman" w:hAnsi="Times New Roman" w:cs="Times New Roman"/>
            <w:noProof/>
            <w:sz w:val="24"/>
            <w:szCs w:val="24"/>
            <w:lang w:val="en-US"/>
          </w:rPr>
          <w:t>Bond et al. (1994)</w:t>
        </w:r>
        <w:r w:rsidR="00266C78">
          <w:rPr>
            <w:rFonts w:ascii="Times New Roman" w:hAnsi="Times New Roman" w:cs="Times New Roman"/>
            <w:sz w:val="24"/>
            <w:szCs w:val="24"/>
            <w:lang w:val="en-US"/>
          </w:rPr>
          <w:fldChar w:fldCharType="end"/>
        </w:r>
      </w:hyperlink>
      <w:r w:rsidR="00E6476A">
        <w:rPr>
          <w:rFonts w:ascii="Times New Roman" w:hAnsi="Times New Roman" w:cs="Times New Roman"/>
          <w:sz w:val="24"/>
          <w:szCs w:val="24"/>
          <w:lang w:val="en-US"/>
        </w:rPr>
        <w:t xml:space="preserve"> </w:t>
      </w:r>
      <w:r w:rsidRPr="00E85554">
        <w:rPr>
          <w:rFonts w:ascii="Times New Roman" w:hAnsi="Times New Roman" w:cs="Times New Roman"/>
          <w:sz w:val="24"/>
          <w:szCs w:val="24"/>
          <w:lang w:val="en-US"/>
        </w:rPr>
        <w:t>w</w:t>
      </w:r>
      <w:r w:rsidR="00596122" w:rsidRPr="00E85554">
        <w:rPr>
          <w:rFonts w:ascii="Times New Roman" w:hAnsi="Times New Roman" w:cs="Times New Roman"/>
          <w:sz w:val="24"/>
          <w:szCs w:val="24"/>
          <w:lang w:val="en-US"/>
        </w:rPr>
        <w:t xml:space="preserve">e include debt and equity issues to </w:t>
      </w:r>
      <w:r w:rsidRPr="00E85554">
        <w:rPr>
          <w:rFonts w:ascii="Times New Roman" w:hAnsi="Times New Roman" w:cs="Times New Roman"/>
          <w:sz w:val="24"/>
          <w:szCs w:val="24"/>
          <w:lang w:val="en-US"/>
        </w:rPr>
        <w:t>control</w:t>
      </w:r>
      <w:r w:rsidR="00596122" w:rsidRPr="00E85554">
        <w:rPr>
          <w:rFonts w:ascii="Times New Roman" w:hAnsi="Times New Roman" w:cs="Times New Roman"/>
          <w:sz w:val="24"/>
          <w:szCs w:val="24"/>
          <w:lang w:val="en-US"/>
        </w:rPr>
        <w:t xml:space="preserve"> for alternative sources of finance to internal resources and to evaluate the changing role of external finance for investment.</w:t>
      </w:r>
      <w:r w:rsidR="00596122" w:rsidRPr="00E85554">
        <w:rPr>
          <w:rFonts w:ascii="Times New Roman" w:hAnsi="Times New Roman" w:cs="Times New Roman"/>
          <w:i/>
          <w:sz w:val="24"/>
          <w:szCs w:val="24"/>
          <w:lang w:val="en-US"/>
        </w:rPr>
        <w:t xml:space="preserve"> Debt</w:t>
      </w:r>
      <w:r w:rsidR="00596122" w:rsidRPr="00E85554">
        <w:rPr>
          <w:rFonts w:ascii="Times New Roman" w:hAnsi="Times New Roman" w:cs="Times New Roman"/>
          <w:sz w:val="24"/>
          <w:szCs w:val="24"/>
          <w:lang w:val="en-US"/>
        </w:rPr>
        <w:t xml:space="preserve"> measures net new long-term firm indebtedness</w:t>
      </w:r>
      <w:r w:rsidR="00A201B6">
        <w:rPr>
          <w:rFonts w:ascii="Times New Roman" w:hAnsi="Times New Roman" w:cs="Times New Roman"/>
          <w:sz w:val="24"/>
          <w:szCs w:val="24"/>
          <w:lang w:val="en-US"/>
        </w:rPr>
        <w:t>, and is in natural logarithm form</w:t>
      </w:r>
      <w:r w:rsidR="00596122" w:rsidRPr="00E85554">
        <w:rPr>
          <w:rFonts w:ascii="Times New Roman" w:hAnsi="Times New Roman" w:cs="Times New Roman"/>
          <w:sz w:val="24"/>
          <w:szCs w:val="24"/>
          <w:lang w:val="en-US"/>
        </w:rPr>
        <w:t xml:space="preserve">. New </w:t>
      </w:r>
      <w:r w:rsidR="00596122" w:rsidRPr="00E85554">
        <w:rPr>
          <w:rFonts w:ascii="Times New Roman" w:hAnsi="Times New Roman" w:cs="Times New Roman"/>
          <w:i/>
          <w:sz w:val="24"/>
          <w:szCs w:val="24"/>
          <w:lang w:val="en-US"/>
        </w:rPr>
        <w:t>equity</w:t>
      </w:r>
      <w:r w:rsidR="00596122" w:rsidRPr="00E85554">
        <w:rPr>
          <w:rFonts w:ascii="Times New Roman" w:hAnsi="Times New Roman" w:cs="Times New Roman"/>
          <w:sz w:val="24"/>
          <w:szCs w:val="24"/>
          <w:lang w:val="en-US"/>
        </w:rPr>
        <w:t xml:space="preserve"> </w:t>
      </w:r>
      <w:r w:rsidR="00A201B6">
        <w:rPr>
          <w:rFonts w:ascii="Times New Roman" w:hAnsi="Times New Roman" w:cs="Times New Roman"/>
          <w:sz w:val="24"/>
          <w:szCs w:val="24"/>
          <w:lang w:val="en-US"/>
        </w:rPr>
        <w:t xml:space="preserve">(in natural logarithm) </w:t>
      </w:r>
      <w:r w:rsidR="00596122" w:rsidRPr="00E85554">
        <w:rPr>
          <w:rFonts w:ascii="Times New Roman" w:hAnsi="Times New Roman" w:cs="Times New Roman"/>
          <w:sz w:val="24"/>
          <w:szCs w:val="24"/>
          <w:lang w:val="en-US"/>
        </w:rPr>
        <w:t xml:space="preserve">measures net new funds from stock issues. </w:t>
      </w:r>
      <w:r w:rsidR="00596122" w:rsidRPr="00E85554">
        <w:rPr>
          <w:rFonts w:ascii="Times New Roman" w:hAnsi="Times New Roman" w:cs="Times New Roman"/>
          <w:i/>
          <w:sz w:val="24"/>
          <w:szCs w:val="24"/>
          <w:lang w:val="en-US"/>
        </w:rPr>
        <w:t>Tobin’s Q</w:t>
      </w:r>
      <w:r w:rsidR="007732D9" w:rsidRPr="00E85554">
        <w:rPr>
          <w:rFonts w:ascii="Times New Roman" w:hAnsi="Times New Roman" w:cs="Times New Roman"/>
          <w:sz w:val="24"/>
          <w:szCs w:val="24"/>
          <w:lang w:val="en-US"/>
        </w:rPr>
        <w:t xml:space="preserve"> is </w:t>
      </w:r>
      <w:r w:rsidR="00596122" w:rsidRPr="00E85554">
        <w:rPr>
          <w:rFonts w:ascii="Times New Roman" w:hAnsi="Times New Roman" w:cs="Times New Roman"/>
          <w:sz w:val="24"/>
          <w:szCs w:val="24"/>
          <w:lang w:val="en-US"/>
        </w:rPr>
        <w:t xml:space="preserve">the ratio of market value to total book value of assets and is a proxy for investment opportunity or demand for investment. </w:t>
      </w:r>
    </w:p>
    <w:p w14:paraId="52DA8348" w14:textId="77777777" w:rsidR="00A052B0" w:rsidRPr="00E85554" w:rsidRDefault="00A052B0" w:rsidP="00A052B0">
      <w:pPr>
        <w:pStyle w:val="Heading2"/>
        <w:spacing w:before="0" w:line="480" w:lineRule="auto"/>
        <w:rPr>
          <w:rFonts w:ascii="Times New Roman" w:hAnsi="Times New Roman" w:cs="Times New Roman"/>
          <w:color w:val="auto"/>
          <w:sz w:val="24"/>
          <w:szCs w:val="24"/>
          <w:lang w:val="en-US"/>
        </w:rPr>
      </w:pPr>
      <w:bookmarkStart w:id="31" w:name="_Ref355892197"/>
      <w:bookmarkStart w:id="32" w:name="_Toc367315150"/>
      <w:r w:rsidRPr="00E85554">
        <w:rPr>
          <w:rFonts w:ascii="Times New Roman" w:hAnsi="Times New Roman" w:cs="Times New Roman"/>
          <w:color w:val="auto"/>
          <w:sz w:val="24"/>
          <w:szCs w:val="24"/>
          <w:lang w:val="en-US"/>
        </w:rPr>
        <w:lastRenderedPageBreak/>
        <w:t>RESULTS</w:t>
      </w:r>
      <w:bookmarkEnd w:id="31"/>
      <w:bookmarkEnd w:id="32"/>
    </w:p>
    <w:p w14:paraId="23EB31DB" w14:textId="07C2DA33" w:rsidR="00A052B0" w:rsidRPr="00E85554" w:rsidRDefault="00A052B0" w:rsidP="00A052B0">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We report the results for hypothesis H0 that looks into the effects of independent directors on blockh</w:t>
      </w:r>
      <w:r w:rsidR="00BA17AB" w:rsidRPr="00E85554">
        <w:rPr>
          <w:rFonts w:ascii="Times New Roman" w:hAnsi="Times New Roman" w:cs="Times New Roman"/>
          <w:sz w:val="24"/>
          <w:szCs w:val="24"/>
          <w:lang w:val="en-US"/>
        </w:rPr>
        <w:t>older appropriation in Table 3</w:t>
      </w:r>
      <w:r w:rsidRPr="00E85554">
        <w:rPr>
          <w:rFonts w:ascii="Times New Roman" w:hAnsi="Times New Roman" w:cs="Times New Roman"/>
          <w:sz w:val="24"/>
          <w:szCs w:val="24"/>
          <w:lang w:val="en-US"/>
        </w:rPr>
        <w:t>. In terms of the interaction between the proportion of independent directors and GCF, we find that the estimated coefficient is positive and significant in both FE and GMM specifications (</w:t>
      </w:r>
      <w:r w:rsidRPr="00E85554">
        <w:rPr>
          <w:rFonts w:ascii="Times New Roman" w:hAnsi="Times New Roman" w:cs="Times New Roman"/>
          <w:i/>
          <w:sz w:val="24"/>
          <w:szCs w:val="24"/>
          <w:lang w:val="en-US"/>
        </w:rPr>
        <w:t>b</w:t>
      </w:r>
      <w:r w:rsidRPr="00E85554">
        <w:rPr>
          <w:rFonts w:ascii="Times New Roman" w:hAnsi="Times New Roman" w:cs="Times New Roman"/>
          <w:sz w:val="24"/>
          <w:szCs w:val="24"/>
          <w:lang w:val="en-US"/>
        </w:rPr>
        <w:t xml:space="preserve">=0.84, </w:t>
      </w:r>
      <w:r w:rsidRPr="00E85554">
        <w:rPr>
          <w:rFonts w:ascii="Times New Roman" w:hAnsi="Times New Roman" w:cs="Times New Roman"/>
          <w:i/>
          <w:sz w:val="24"/>
          <w:szCs w:val="24"/>
          <w:lang w:val="en-US"/>
        </w:rPr>
        <w:t>p</w:t>
      </w:r>
      <w:r w:rsidRPr="00E85554">
        <w:rPr>
          <w:rFonts w:ascii="Times New Roman" w:hAnsi="Times New Roman" w:cs="Times New Roman"/>
          <w:sz w:val="24"/>
          <w:szCs w:val="24"/>
          <w:lang w:val="en-US"/>
        </w:rPr>
        <w:t xml:space="preserve">&lt;0.05 in FE and </w:t>
      </w:r>
      <w:r w:rsidRPr="00E85554">
        <w:rPr>
          <w:rFonts w:ascii="Times New Roman" w:hAnsi="Times New Roman" w:cs="Times New Roman"/>
          <w:i/>
          <w:sz w:val="24"/>
          <w:szCs w:val="24"/>
          <w:lang w:val="en-US"/>
        </w:rPr>
        <w:t>b</w:t>
      </w:r>
      <w:r w:rsidRPr="00E85554">
        <w:rPr>
          <w:rFonts w:ascii="Times New Roman" w:hAnsi="Times New Roman" w:cs="Times New Roman"/>
          <w:sz w:val="24"/>
          <w:szCs w:val="24"/>
          <w:lang w:val="en-US"/>
        </w:rPr>
        <w:t xml:space="preserve">=0.36, </w:t>
      </w:r>
      <w:r w:rsidRPr="00E85554">
        <w:rPr>
          <w:rFonts w:ascii="Times New Roman" w:hAnsi="Times New Roman" w:cs="Times New Roman"/>
          <w:i/>
          <w:sz w:val="24"/>
          <w:szCs w:val="24"/>
          <w:lang w:val="en-US"/>
        </w:rPr>
        <w:t>p</w:t>
      </w:r>
      <w:r w:rsidRPr="00E85554">
        <w:rPr>
          <w:rFonts w:ascii="Times New Roman" w:hAnsi="Times New Roman" w:cs="Times New Roman"/>
          <w:sz w:val="24"/>
          <w:szCs w:val="24"/>
          <w:lang w:val="en-US"/>
        </w:rPr>
        <w:t xml:space="preserve">&lt;0.05 in GMM). Further, the overall effect of GCF on investment for firms with a higher proportion of independent directors (as measured by the sum of the coefficients on GCF and on the interaction between GCF and ID Proportion) is positive and significant (the reported Wald test for joint significance of these coefficients is significant at </w:t>
      </w:r>
      <w:r w:rsidRPr="00E85554">
        <w:rPr>
          <w:rFonts w:ascii="Times New Roman" w:hAnsi="Times New Roman" w:cs="Times New Roman"/>
          <w:i/>
          <w:sz w:val="24"/>
          <w:szCs w:val="24"/>
          <w:lang w:val="en-US"/>
        </w:rPr>
        <w:t>p</w:t>
      </w:r>
      <w:r w:rsidRPr="00E85554">
        <w:rPr>
          <w:rFonts w:ascii="Times New Roman" w:hAnsi="Times New Roman" w:cs="Times New Roman"/>
          <w:sz w:val="24"/>
          <w:szCs w:val="24"/>
          <w:lang w:val="en-US"/>
        </w:rPr>
        <w:t xml:space="preserve">&lt;0.01 in FE and </w:t>
      </w:r>
      <w:r w:rsidRPr="00E85554">
        <w:rPr>
          <w:rFonts w:ascii="Times New Roman" w:hAnsi="Times New Roman" w:cs="Times New Roman"/>
          <w:i/>
          <w:sz w:val="24"/>
          <w:szCs w:val="24"/>
          <w:lang w:val="en-US"/>
        </w:rPr>
        <w:t>p</w:t>
      </w:r>
      <w:r w:rsidRPr="00E85554">
        <w:rPr>
          <w:rFonts w:ascii="Times New Roman" w:hAnsi="Times New Roman" w:cs="Times New Roman"/>
          <w:sz w:val="24"/>
          <w:szCs w:val="24"/>
          <w:lang w:val="en-US"/>
        </w:rPr>
        <w:t>&lt;0.01 in GMM). Regarding economic significance, an increase in GCF growth by one percent increases investment growth among firms with a higher proportion of independent directors by approximately 0.70 percent in FE, and an increase of one percent in GCF increases investment by 0.32 percent GMM</w:t>
      </w:r>
      <w:r w:rsidRPr="00E85554">
        <w:rPr>
          <w:rStyle w:val="FootnoteReference"/>
          <w:rFonts w:ascii="Times New Roman" w:hAnsi="Times New Roman" w:cs="Times New Roman"/>
          <w:sz w:val="24"/>
          <w:szCs w:val="24"/>
          <w:lang w:val="en-US"/>
        </w:rPr>
        <w:footnoteReference w:id="1"/>
      </w:r>
      <w:r w:rsidRPr="00E85554">
        <w:rPr>
          <w:rFonts w:ascii="Times New Roman" w:hAnsi="Times New Roman" w:cs="Times New Roman"/>
          <w:sz w:val="24"/>
          <w:szCs w:val="24"/>
          <w:lang w:val="en-US"/>
        </w:rPr>
        <w:t>. These findings support the baseline hypothesis H0 that a higher proportion of independent directors is likely to extenuate the degree of blockholder appropriation.</w:t>
      </w:r>
      <w:r w:rsidR="00346F5C">
        <w:rPr>
          <w:rFonts w:ascii="Times New Roman" w:hAnsi="Times New Roman" w:cs="Times New Roman"/>
          <w:sz w:val="24"/>
          <w:szCs w:val="24"/>
          <w:lang w:val="en-US"/>
        </w:rPr>
        <w:t xml:space="preserve"> We plotted the two-way interaction effects in Figure 2.</w:t>
      </w:r>
      <w:r w:rsidR="00E91BEA">
        <w:rPr>
          <w:rFonts w:ascii="Times New Roman" w:hAnsi="Times New Roman" w:cs="Times New Roman"/>
          <w:sz w:val="24"/>
          <w:szCs w:val="24"/>
          <w:lang w:val="en-US"/>
        </w:rPr>
        <w:t xml:space="preserve"> </w:t>
      </w:r>
      <w:r w:rsidR="00E91BEA" w:rsidRPr="00E91BEA">
        <w:rPr>
          <w:rFonts w:ascii="Times New Roman" w:hAnsi="Times New Roman" w:cs="Times New Roman"/>
          <w:sz w:val="24"/>
          <w:szCs w:val="24"/>
          <w:lang w:val="en-US"/>
        </w:rPr>
        <w:t>We also test for the quadratic effect of independent directors. We find that there is no difference between the linear and the quadratic predictions of independent directors’ proportion on investment (R</w:t>
      </w:r>
      <w:r w:rsidR="00E91BEA" w:rsidRPr="00283928">
        <w:rPr>
          <w:rFonts w:ascii="Times New Roman" w:hAnsi="Times New Roman" w:cs="Times New Roman"/>
          <w:sz w:val="24"/>
          <w:szCs w:val="24"/>
          <w:vertAlign w:val="superscript"/>
          <w:lang w:val="en-US"/>
        </w:rPr>
        <w:t xml:space="preserve">2 </w:t>
      </w:r>
      <w:r w:rsidR="00E91BEA" w:rsidRPr="00E91BEA">
        <w:rPr>
          <w:rFonts w:ascii="Times New Roman" w:hAnsi="Times New Roman" w:cs="Times New Roman"/>
          <w:sz w:val="24"/>
          <w:szCs w:val="24"/>
          <w:lang w:val="en-US"/>
        </w:rPr>
        <w:t xml:space="preserve">is 0.1215 for the linear term and </w:t>
      </w:r>
      <w:r w:rsidR="00E91BEA">
        <w:rPr>
          <w:rFonts w:ascii="Times New Roman" w:hAnsi="Times New Roman" w:cs="Times New Roman"/>
          <w:sz w:val="24"/>
          <w:szCs w:val="24"/>
          <w:lang w:val="en-US"/>
        </w:rPr>
        <w:t>R</w:t>
      </w:r>
      <w:r w:rsidR="00E91BEA" w:rsidRPr="00283928">
        <w:rPr>
          <w:rFonts w:ascii="Times New Roman" w:hAnsi="Times New Roman" w:cs="Times New Roman"/>
          <w:sz w:val="24"/>
          <w:szCs w:val="24"/>
          <w:vertAlign w:val="superscript"/>
          <w:lang w:val="en-US"/>
        </w:rPr>
        <w:t>2</w:t>
      </w:r>
      <w:r w:rsidR="00E91BEA">
        <w:rPr>
          <w:rFonts w:ascii="Times New Roman" w:hAnsi="Times New Roman" w:cs="Times New Roman"/>
          <w:sz w:val="24"/>
          <w:szCs w:val="24"/>
          <w:lang w:val="en-US"/>
        </w:rPr>
        <w:t xml:space="preserve"> of </w:t>
      </w:r>
      <w:r w:rsidR="00E91BEA" w:rsidRPr="00E91BEA">
        <w:rPr>
          <w:rFonts w:ascii="Times New Roman" w:hAnsi="Times New Roman" w:cs="Times New Roman"/>
          <w:sz w:val="24"/>
          <w:szCs w:val="24"/>
          <w:lang w:val="en-US"/>
        </w:rPr>
        <w:t>0. 1222 for the quadratic term)</w:t>
      </w:r>
      <w:r w:rsidR="00E91BEA">
        <w:rPr>
          <w:rFonts w:ascii="Times New Roman" w:hAnsi="Times New Roman" w:cs="Times New Roman"/>
          <w:sz w:val="24"/>
          <w:szCs w:val="24"/>
          <w:lang w:val="en-US"/>
        </w:rPr>
        <w:t>.</w:t>
      </w:r>
    </w:p>
    <w:p w14:paraId="10E46A17" w14:textId="77777777" w:rsidR="00A052B0" w:rsidRPr="00E85554" w:rsidRDefault="00A052B0" w:rsidP="00A052B0">
      <w:pPr>
        <w:spacing w:after="0" w:line="240" w:lineRule="auto"/>
        <w:jc w:val="center"/>
        <w:rPr>
          <w:rFonts w:ascii="Times New Roman" w:hAnsi="Times New Roman" w:cs="Times New Roman"/>
          <w:sz w:val="24"/>
          <w:szCs w:val="24"/>
        </w:rPr>
      </w:pPr>
      <w:r w:rsidRPr="00E85554">
        <w:rPr>
          <w:rFonts w:ascii="Times New Roman" w:hAnsi="Times New Roman" w:cs="Times New Roman"/>
          <w:sz w:val="24"/>
          <w:szCs w:val="24"/>
        </w:rPr>
        <w:t>-----------------------------------------------------</w:t>
      </w:r>
    </w:p>
    <w:p w14:paraId="25C6AB6E" w14:textId="77777777" w:rsidR="00A052B0" w:rsidRPr="00E85554" w:rsidRDefault="00BA17AB" w:rsidP="00A052B0">
      <w:pPr>
        <w:spacing w:after="0" w:line="240" w:lineRule="auto"/>
        <w:jc w:val="center"/>
        <w:rPr>
          <w:rFonts w:ascii="Times New Roman" w:hAnsi="Times New Roman" w:cs="Times New Roman"/>
          <w:sz w:val="24"/>
          <w:szCs w:val="24"/>
        </w:rPr>
      </w:pPr>
      <w:r w:rsidRPr="00E85554">
        <w:rPr>
          <w:rFonts w:ascii="Times New Roman" w:hAnsi="Times New Roman" w:cs="Times New Roman"/>
          <w:sz w:val="24"/>
          <w:szCs w:val="24"/>
        </w:rPr>
        <w:t>Insert Table 3</w:t>
      </w:r>
      <w:r w:rsidR="00A052B0" w:rsidRPr="00E85554">
        <w:rPr>
          <w:rFonts w:ascii="Times New Roman" w:hAnsi="Times New Roman" w:cs="Times New Roman"/>
          <w:sz w:val="24"/>
          <w:szCs w:val="24"/>
        </w:rPr>
        <w:t xml:space="preserve"> and Figure 2 about here</w:t>
      </w:r>
    </w:p>
    <w:p w14:paraId="51AB61D8" w14:textId="77777777" w:rsidR="00A052B0" w:rsidRPr="00E85554" w:rsidRDefault="00A052B0" w:rsidP="00A052B0">
      <w:pPr>
        <w:spacing w:after="0" w:line="240" w:lineRule="auto"/>
        <w:jc w:val="center"/>
        <w:rPr>
          <w:rFonts w:ascii="Times New Roman" w:hAnsi="Times New Roman" w:cs="Times New Roman"/>
          <w:sz w:val="24"/>
          <w:szCs w:val="24"/>
        </w:rPr>
      </w:pPr>
      <w:r w:rsidRPr="00E85554">
        <w:rPr>
          <w:rFonts w:ascii="Times New Roman" w:hAnsi="Times New Roman" w:cs="Times New Roman"/>
          <w:sz w:val="24"/>
          <w:szCs w:val="24"/>
        </w:rPr>
        <w:t>-----------------------------------------------------</w:t>
      </w:r>
    </w:p>
    <w:p w14:paraId="36D56EDD" w14:textId="77777777" w:rsidR="00A052B0" w:rsidRPr="00E85554" w:rsidRDefault="00A052B0" w:rsidP="00A052B0">
      <w:pPr>
        <w:spacing w:after="0" w:line="240" w:lineRule="auto"/>
        <w:ind w:firstLine="720"/>
        <w:rPr>
          <w:rFonts w:ascii="Times New Roman" w:hAnsi="Times New Roman" w:cs="Times New Roman"/>
          <w:sz w:val="24"/>
          <w:szCs w:val="24"/>
        </w:rPr>
      </w:pPr>
    </w:p>
    <w:p w14:paraId="350AF47E" w14:textId="1338F422" w:rsidR="00A052B0" w:rsidRPr="00E85554" w:rsidRDefault="00A052B0" w:rsidP="00A052B0">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We report the results from testing hypotheses H1a and H1b on independent directors in firms controlled by private blockholders, and their effectiven</w:t>
      </w:r>
      <w:r w:rsidR="00BA17AB" w:rsidRPr="00E85554">
        <w:rPr>
          <w:rFonts w:ascii="Times New Roman" w:hAnsi="Times New Roman" w:cs="Times New Roman"/>
          <w:sz w:val="24"/>
          <w:szCs w:val="24"/>
          <w:lang w:val="en-US"/>
        </w:rPr>
        <w:t>ess relative to SOEs in Table 4</w:t>
      </w:r>
      <w:r w:rsidRPr="00E85554">
        <w:rPr>
          <w:rFonts w:ascii="Times New Roman" w:hAnsi="Times New Roman" w:cs="Times New Roman"/>
          <w:sz w:val="24"/>
          <w:szCs w:val="24"/>
          <w:lang w:val="en-US"/>
        </w:rPr>
        <w:t xml:space="preserve">. </w:t>
      </w:r>
      <w:r w:rsidR="000B69E8" w:rsidRPr="00E85554">
        <w:rPr>
          <w:rFonts w:ascii="Times New Roman" w:hAnsi="Times New Roman" w:cs="Times New Roman"/>
          <w:sz w:val="24"/>
          <w:szCs w:val="24"/>
          <w:lang w:val="en-US"/>
        </w:rPr>
        <w:t>We follow</w:t>
      </w:r>
      <w:r w:rsidR="00E6476A">
        <w:rPr>
          <w:rFonts w:ascii="Times New Roman" w:hAnsi="Times New Roman" w:cs="Times New Roman"/>
          <w:sz w:val="24"/>
          <w:szCs w:val="24"/>
          <w:lang w:val="en-US"/>
        </w:rPr>
        <w:t xml:space="preserve"> </w:t>
      </w:r>
      <w:hyperlink w:anchor="_ENREF_46" w:tooltip="Fairchild, 2009 #774" w:history="1">
        <w:r w:rsidR="00266C78">
          <w:rPr>
            <w:rFonts w:ascii="Times New Roman" w:hAnsi="Times New Roman" w:cs="Times New Roman"/>
            <w:sz w:val="24"/>
            <w:szCs w:val="24"/>
            <w:lang w:val="en-US"/>
          </w:rPr>
          <w:fldChar w:fldCharType="begin"/>
        </w:r>
        <w:r w:rsidR="00266C78">
          <w:rPr>
            <w:rFonts w:ascii="Times New Roman" w:hAnsi="Times New Roman" w:cs="Times New Roman"/>
            <w:sz w:val="24"/>
            <w:szCs w:val="24"/>
            <w:lang w:val="en-US"/>
          </w:rPr>
          <w:instrText xml:space="preserve"> ADDIN EN.CITE &lt;EndNote&gt;&lt;Cite AuthorYear="1"&gt;&lt;Author&gt;Fairchild&lt;/Author&gt;&lt;Year&gt;2009&lt;/Year&gt;&lt;RecNum&gt;774&lt;/RecNum&gt;&lt;DisplayText&gt;Fairchild et al. (2009)&lt;/DisplayText&gt;&lt;record&gt;&lt;rec-number&gt;774&lt;/rec-number&gt;&lt;foreign-keys&gt;&lt;key app="EN" db-id="xdsfzvadmzzxdzereeq5xdf7eaxsdwfdfave" timestamp="1505383966"&gt;774&lt;/key&gt;&lt;/foreign-keys&gt;&lt;ref-type name="Journal Article"&gt;17&lt;/ref-type&gt;&lt;contributors&gt;&lt;authors&gt;&lt;author&gt;Fairchild, Amanda J.&lt;/author&gt;&lt;author&gt;MacKinnon, David P.&lt;/author&gt;&lt;/authors&gt;&lt;/contributors&gt;&lt;titles&gt;&lt;title&gt;A General Model for Testing Mediation and Moderation Effects&lt;/title&gt;&lt;secondary-title&gt;Prevention Science&lt;/secondary-title&gt;&lt;/titles&gt;&lt;periodical&gt;&lt;full-title&gt;Prevention Science&lt;/full-title&gt;&lt;/periodical&gt;&lt;pages&gt;87-99&lt;/pages&gt;&lt;volume&gt;10&lt;/volume&gt;&lt;number&gt;2&lt;/number&gt;&lt;dates&gt;&lt;year&gt;2009&lt;/year&gt;&lt;pub-dates&gt;&lt;date&gt;June 01&lt;/date&gt;&lt;/pub-dates&gt;&lt;/dates&gt;&lt;isbn&gt;1573-6695&lt;/isbn&gt;&lt;label&gt;Fairchild2009&lt;/label&gt;&lt;work-type&gt;journal article&lt;/work-type&gt;&lt;urls&gt;&lt;related-urls&gt;&lt;url&gt;https://doi.org/10.1007/s11121-008-0109-6&lt;/url&gt;&lt;/related-urls&gt;&lt;/urls&gt;&lt;electronic-resource-num&gt;10.1007/s11121-008-0109-6&lt;/electronic-resource-num&gt;&lt;/record&gt;&lt;/Cite&gt;&lt;/EndNote&gt;</w:instrText>
        </w:r>
        <w:r w:rsidR="00266C78">
          <w:rPr>
            <w:rFonts w:ascii="Times New Roman" w:hAnsi="Times New Roman" w:cs="Times New Roman"/>
            <w:sz w:val="24"/>
            <w:szCs w:val="24"/>
            <w:lang w:val="en-US"/>
          </w:rPr>
          <w:fldChar w:fldCharType="separate"/>
        </w:r>
        <w:r w:rsidR="00266C78">
          <w:rPr>
            <w:rFonts w:ascii="Times New Roman" w:hAnsi="Times New Roman" w:cs="Times New Roman"/>
            <w:noProof/>
            <w:sz w:val="24"/>
            <w:szCs w:val="24"/>
            <w:lang w:val="en-US"/>
          </w:rPr>
          <w:t>Fairchild et al. (2009)</w:t>
        </w:r>
        <w:r w:rsidR="00266C78">
          <w:rPr>
            <w:rFonts w:ascii="Times New Roman" w:hAnsi="Times New Roman" w:cs="Times New Roman"/>
            <w:sz w:val="24"/>
            <w:szCs w:val="24"/>
            <w:lang w:val="en-US"/>
          </w:rPr>
          <w:fldChar w:fldCharType="end"/>
        </w:r>
      </w:hyperlink>
      <w:r w:rsidR="000B69E8" w:rsidRPr="00E85554">
        <w:rPr>
          <w:rFonts w:ascii="Times New Roman" w:hAnsi="Times New Roman" w:cs="Times New Roman"/>
          <w:sz w:val="24"/>
          <w:szCs w:val="24"/>
          <w:lang w:val="en-US"/>
        </w:rPr>
        <w:t xml:space="preserve">, Miletkov et al. (2016) and </w:t>
      </w:r>
      <w:r w:rsidR="00195DCA" w:rsidRPr="00E85554">
        <w:rPr>
          <w:rFonts w:ascii="Times New Roman" w:hAnsi="Times New Roman" w:cs="Times New Roman"/>
          <w:sz w:val="24"/>
          <w:szCs w:val="24"/>
          <w:lang w:val="en-US"/>
        </w:rPr>
        <w:t xml:space="preserve"> </w:t>
      </w:r>
      <w:hyperlink w:anchor="_ENREF_94" w:tooltip="Reinholt, 2011 #838" w:history="1">
        <w:r w:rsidR="00266C78" w:rsidRPr="00E85554">
          <w:rPr>
            <w:rFonts w:ascii="Times New Roman" w:hAnsi="Times New Roman" w:cs="Times New Roman"/>
            <w:sz w:val="24"/>
            <w:szCs w:val="24"/>
            <w:lang w:val="en-US"/>
          </w:rPr>
          <w:fldChar w:fldCharType="begin"/>
        </w:r>
        <w:r w:rsidR="00266C78">
          <w:rPr>
            <w:rFonts w:ascii="Times New Roman" w:hAnsi="Times New Roman" w:cs="Times New Roman"/>
            <w:sz w:val="24"/>
            <w:szCs w:val="24"/>
            <w:lang w:val="en-US"/>
          </w:rPr>
          <w:instrText xml:space="preserve"> ADDIN EN.CITE &lt;EndNote&gt;&lt;Cite AuthorYear="1"&gt;&lt;Author&gt;Reinholt&lt;/Author&gt;&lt;Year&gt;2011&lt;/Year&gt;&lt;RecNum&gt;838&lt;/RecNum&gt;&lt;DisplayText&gt;Reinholt et al. (2011)&lt;/DisplayText&gt;&lt;record&gt;&lt;rec-number&gt;838&lt;/rec-number&gt;&lt;foreign-keys&gt;&lt;key app="EN" db-id="xdsfzvadmzzxdzereeq5xdf7eaxsdwfdfave" timestamp="1516187833"&gt;838&lt;/key&gt;&lt;/foreign-keys&gt;&lt;ref-type name="Journal Article"&gt;17&lt;/ref-type&gt;&lt;contributors&gt;&lt;authors&gt;&lt;author&gt;Reinholt, MIA&lt;/author&gt;&lt;author&gt;Pedersen, Torben&lt;/author&gt;&lt;author&gt;Foss, Nicolai J&lt;/author&gt;&lt;/authors&gt;&lt;/contributors&gt;&lt;titles&gt;&lt;title&gt;Why a central network position isn&amp;apos;t enough: The role of motivation and ability for knowledge sharing in employee networks&lt;/title&gt;&lt;secondary-title&gt;Academy of Management Journal&lt;/secondary-title&gt;&lt;/titles&gt;&lt;periodical&gt;&lt;full-title&gt;Academy of Management Journal&lt;/full-title&gt;&lt;/periodical&gt;&lt;pages&gt;1277-1297&lt;/pages&gt;&lt;volume&gt;54&lt;/volume&gt;&lt;number&gt;6&lt;/number&gt;&lt;dates&gt;&lt;year&gt;2011&lt;/year&gt;&lt;/dates&gt;&lt;isbn&gt;0001-4273&lt;/isbn&gt;&lt;urls&gt;&lt;/urls&gt;&lt;/record&gt;&lt;/Cite&gt;&lt;/EndNote&gt;</w:instrText>
        </w:r>
        <w:r w:rsidR="00266C78" w:rsidRPr="00E85554">
          <w:rPr>
            <w:rFonts w:ascii="Times New Roman" w:hAnsi="Times New Roman" w:cs="Times New Roman"/>
            <w:sz w:val="24"/>
            <w:szCs w:val="24"/>
            <w:lang w:val="en-US"/>
          </w:rPr>
          <w:fldChar w:fldCharType="separate"/>
        </w:r>
        <w:r w:rsidR="00266C78">
          <w:rPr>
            <w:rFonts w:ascii="Times New Roman" w:hAnsi="Times New Roman" w:cs="Times New Roman"/>
            <w:noProof/>
            <w:sz w:val="24"/>
            <w:szCs w:val="24"/>
            <w:lang w:val="en-US"/>
          </w:rPr>
          <w:t>Reinholt et al. (2011)</w:t>
        </w:r>
        <w:r w:rsidR="00266C78" w:rsidRPr="00E85554">
          <w:rPr>
            <w:rFonts w:ascii="Times New Roman" w:hAnsi="Times New Roman" w:cs="Times New Roman"/>
            <w:sz w:val="24"/>
            <w:szCs w:val="24"/>
            <w:lang w:val="en-US"/>
          </w:rPr>
          <w:fldChar w:fldCharType="end"/>
        </w:r>
      </w:hyperlink>
      <w:r w:rsidR="00195DCA" w:rsidRPr="00E85554">
        <w:rPr>
          <w:rFonts w:ascii="Times New Roman" w:hAnsi="Times New Roman" w:cs="Times New Roman"/>
          <w:sz w:val="24"/>
          <w:szCs w:val="24"/>
          <w:lang w:val="en-US"/>
        </w:rPr>
        <w:t xml:space="preserve"> </w:t>
      </w:r>
      <w:r w:rsidR="000B69E8" w:rsidRPr="00E85554">
        <w:rPr>
          <w:rFonts w:ascii="Times New Roman" w:hAnsi="Times New Roman" w:cs="Times New Roman"/>
          <w:sz w:val="24"/>
          <w:szCs w:val="24"/>
          <w:lang w:val="en-US"/>
        </w:rPr>
        <w:t xml:space="preserve">to </w:t>
      </w:r>
      <w:r w:rsidR="000B69E8" w:rsidRPr="00E85554">
        <w:rPr>
          <w:rFonts w:ascii="Times New Roman" w:hAnsi="Times New Roman" w:cs="Times New Roman"/>
          <w:sz w:val="24"/>
          <w:szCs w:val="24"/>
          <w:lang w:val="en-US"/>
        </w:rPr>
        <w:lastRenderedPageBreak/>
        <w:t xml:space="preserve">model the moderation effects. </w:t>
      </w:r>
      <w:r w:rsidRPr="00E85554">
        <w:rPr>
          <w:rFonts w:ascii="Times New Roman" w:hAnsi="Times New Roman" w:cs="Times New Roman"/>
          <w:sz w:val="24"/>
          <w:szCs w:val="24"/>
          <w:lang w:val="en-US"/>
        </w:rPr>
        <w:t xml:space="preserve">Models (1) to (4) test hypothesis H1a on a sub-sample of private firms. Models (1) and (2) show the results for fixed effects, while models (3) and (4) show GMM. In models (1) and (4), we introduce Tobin’s Q to control for investment opportunities, which reduces the total number of observations. The limited data on Tobin’s Q is due to the relative infancy of the Russian stock market with earlier years in the period having fewer listed firms.  </w:t>
      </w:r>
    </w:p>
    <w:p w14:paraId="0052684F" w14:textId="77777777" w:rsidR="00A052B0" w:rsidRPr="00E85554" w:rsidRDefault="00A052B0" w:rsidP="00A052B0">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The interaction effect of GCF and independent directors on investment for </w:t>
      </w:r>
      <w:r w:rsidRPr="00E85554">
        <w:rPr>
          <w:rFonts w:ascii="Times New Roman" w:hAnsi="Times New Roman" w:cs="Times New Roman"/>
          <w:i/>
          <w:sz w:val="24"/>
          <w:szCs w:val="24"/>
          <w:lang w:val="en-US"/>
        </w:rPr>
        <w:t>private</w:t>
      </w:r>
      <w:r w:rsidRPr="00E85554">
        <w:rPr>
          <w:rFonts w:ascii="Times New Roman" w:hAnsi="Times New Roman" w:cs="Times New Roman"/>
          <w:sz w:val="24"/>
          <w:szCs w:val="24"/>
          <w:lang w:val="en-US"/>
        </w:rPr>
        <w:t xml:space="preserve"> firms is positive and mostly significant in FE (as per model (1): </w:t>
      </w:r>
      <w:r w:rsidRPr="00E85554">
        <w:rPr>
          <w:rFonts w:ascii="Times New Roman" w:hAnsi="Times New Roman" w:cs="Times New Roman"/>
          <w:i/>
          <w:sz w:val="24"/>
          <w:szCs w:val="24"/>
          <w:lang w:val="en-US"/>
        </w:rPr>
        <w:t>b</w:t>
      </w:r>
      <w:r w:rsidRPr="00E85554">
        <w:rPr>
          <w:rFonts w:ascii="Times New Roman" w:hAnsi="Times New Roman" w:cs="Times New Roman"/>
          <w:sz w:val="24"/>
          <w:szCs w:val="24"/>
          <w:lang w:val="en-US"/>
        </w:rPr>
        <w:t xml:space="preserve">=2.64, </w:t>
      </w:r>
      <w:r w:rsidRPr="00E85554">
        <w:rPr>
          <w:rFonts w:ascii="Times New Roman" w:hAnsi="Times New Roman" w:cs="Times New Roman"/>
          <w:i/>
          <w:sz w:val="24"/>
          <w:szCs w:val="24"/>
          <w:lang w:val="en-US"/>
        </w:rPr>
        <w:t>p</w:t>
      </w:r>
      <w:r w:rsidRPr="00E85554">
        <w:rPr>
          <w:rFonts w:ascii="Times New Roman" w:hAnsi="Times New Roman" w:cs="Times New Roman"/>
          <w:sz w:val="24"/>
          <w:szCs w:val="24"/>
          <w:lang w:val="en-US"/>
        </w:rPr>
        <w:t xml:space="preserve">&lt;0.05) and GMM (as per model (3): </w:t>
      </w:r>
      <w:r w:rsidRPr="00E85554">
        <w:rPr>
          <w:rFonts w:ascii="Times New Roman" w:hAnsi="Times New Roman" w:cs="Times New Roman"/>
          <w:i/>
          <w:sz w:val="24"/>
          <w:szCs w:val="24"/>
          <w:lang w:val="en-US"/>
        </w:rPr>
        <w:t>b</w:t>
      </w:r>
      <w:r w:rsidRPr="00E85554">
        <w:rPr>
          <w:rFonts w:ascii="Times New Roman" w:hAnsi="Times New Roman" w:cs="Times New Roman"/>
          <w:sz w:val="24"/>
          <w:szCs w:val="24"/>
          <w:lang w:val="en-US"/>
        </w:rPr>
        <w:t xml:space="preserve">=0.86, </w:t>
      </w:r>
      <w:r w:rsidRPr="00E85554">
        <w:rPr>
          <w:rFonts w:ascii="Times New Roman" w:hAnsi="Times New Roman" w:cs="Times New Roman"/>
          <w:i/>
          <w:sz w:val="24"/>
          <w:szCs w:val="24"/>
          <w:lang w:val="en-US"/>
        </w:rPr>
        <w:t>p</w:t>
      </w:r>
      <w:r w:rsidRPr="00E85554">
        <w:rPr>
          <w:rFonts w:ascii="Times New Roman" w:hAnsi="Times New Roman" w:cs="Times New Roman"/>
          <w:sz w:val="24"/>
          <w:szCs w:val="24"/>
          <w:lang w:val="en-US"/>
        </w:rPr>
        <w:t xml:space="preserve">&lt;0.1). The direct effect of GCF on investment for private firms is negative and insignificant except in model (1) where it is significant </w:t>
      </w:r>
      <w:r w:rsidR="00346F5C">
        <w:rPr>
          <w:rFonts w:ascii="Times New Roman" w:hAnsi="Times New Roman" w:cs="Times New Roman"/>
          <w:sz w:val="24"/>
          <w:szCs w:val="24"/>
          <w:lang w:val="en-US"/>
        </w:rPr>
        <w:t xml:space="preserve">at </w:t>
      </w:r>
      <w:r w:rsidRPr="00E85554">
        <w:rPr>
          <w:rFonts w:ascii="Times New Roman" w:hAnsi="Times New Roman" w:cs="Times New Roman"/>
          <w:i/>
          <w:sz w:val="24"/>
          <w:szCs w:val="24"/>
          <w:lang w:val="en-US"/>
        </w:rPr>
        <w:t>p</w:t>
      </w:r>
      <w:r w:rsidRPr="00E85554">
        <w:rPr>
          <w:rFonts w:ascii="Times New Roman" w:hAnsi="Times New Roman" w:cs="Times New Roman"/>
          <w:sz w:val="24"/>
          <w:szCs w:val="24"/>
          <w:lang w:val="en-US"/>
        </w:rPr>
        <w:t>&lt;0.10</w:t>
      </w:r>
      <w:r w:rsidR="00346F5C">
        <w:rPr>
          <w:rFonts w:ascii="Times New Roman" w:hAnsi="Times New Roman" w:cs="Times New Roman"/>
          <w:sz w:val="24"/>
          <w:szCs w:val="24"/>
          <w:lang w:val="en-US"/>
        </w:rPr>
        <w:t>,</w:t>
      </w:r>
      <w:r w:rsidRPr="00E85554">
        <w:rPr>
          <w:rFonts w:ascii="Times New Roman" w:hAnsi="Times New Roman" w:cs="Times New Roman"/>
          <w:sz w:val="24"/>
          <w:szCs w:val="24"/>
          <w:lang w:val="en-US"/>
        </w:rPr>
        <w:t xml:space="preserve"> indicating some degree of blockholder appropriation. The total effect for private firms </w:t>
      </w:r>
      <w:r w:rsidRPr="00E85554">
        <w:rPr>
          <w:rFonts w:ascii="Times New Roman" w:hAnsi="Times New Roman" w:cs="Times New Roman"/>
          <w:i/>
          <w:sz w:val="24"/>
          <w:szCs w:val="24"/>
          <w:lang w:val="en-US"/>
        </w:rPr>
        <w:t>with independent directors</w:t>
      </w:r>
      <w:r w:rsidRPr="00E85554">
        <w:rPr>
          <w:rFonts w:ascii="Times New Roman" w:hAnsi="Times New Roman" w:cs="Times New Roman"/>
          <w:sz w:val="24"/>
          <w:szCs w:val="24"/>
          <w:lang w:val="en-US"/>
        </w:rPr>
        <w:t xml:space="preserve"> (summing the coefficient of GCF and that of the interaction between GCF and ID Proportion) as per model (3) is significant and positive (confirmed by the reported Wald test with </w:t>
      </w:r>
      <w:r w:rsidRPr="00E85554">
        <w:rPr>
          <w:rFonts w:ascii="Times New Roman" w:hAnsi="Times New Roman" w:cs="Times New Roman"/>
          <w:i/>
          <w:sz w:val="24"/>
          <w:szCs w:val="24"/>
          <w:lang w:val="en-US"/>
        </w:rPr>
        <w:t>p</w:t>
      </w:r>
      <w:r w:rsidRPr="00E85554">
        <w:rPr>
          <w:rFonts w:ascii="Times New Roman" w:hAnsi="Times New Roman" w:cs="Times New Roman"/>
          <w:sz w:val="24"/>
          <w:szCs w:val="24"/>
          <w:lang w:val="en-US"/>
        </w:rPr>
        <w:t>&lt;0.05) meaning that for an increase of 1% in GCF, investment would increase by 0.80%, and as a result, there is less likelihood of blockholder appropriation for private firms with independent directors, supporting hypothesis H</w:t>
      </w:r>
      <w:r w:rsidR="00DA03B5" w:rsidRPr="00E85554">
        <w:rPr>
          <w:rFonts w:ascii="Times New Roman" w:hAnsi="Times New Roman" w:cs="Times New Roman"/>
          <w:sz w:val="24"/>
          <w:szCs w:val="24"/>
          <w:lang w:val="en-US"/>
        </w:rPr>
        <w:t>1</w:t>
      </w:r>
      <w:r w:rsidRPr="00E85554">
        <w:rPr>
          <w:rFonts w:ascii="Times New Roman" w:hAnsi="Times New Roman" w:cs="Times New Roman"/>
          <w:sz w:val="24"/>
          <w:szCs w:val="24"/>
          <w:lang w:val="en-US"/>
        </w:rPr>
        <w:t>a</w:t>
      </w:r>
      <w:r w:rsidRPr="00E85554">
        <w:rPr>
          <w:rStyle w:val="FootnoteReference"/>
          <w:rFonts w:ascii="Times New Roman" w:hAnsi="Times New Roman" w:cs="Times New Roman"/>
          <w:sz w:val="24"/>
          <w:szCs w:val="24"/>
          <w:lang w:val="en-US"/>
        </w:rPr>
        <w:footnoteReference w:id="2"/>
      </w:r>
      <w:r w:rsidRPr="00E85554">
        <w:rPr>
          <w:rFonts w:ascii="Times New Roman" w:hAnsi="Times New Roman" w:cs="Times New Roman"/>
          <w:sz w:val="24"/>
          <w:szCs w:val="24"/>
          <w:lang w:val="en-US"/>
        </w:rPr>
        <w:t xml:space="preserve">. We plotted the interaction effect of the proportion of independent directors on the relationship between investment and gross-cash flow (GCF) for the sub-sample of privately owned firms based on the estimated effects </w:t>
      </w:r>
      <w:r w:rsidR="00BA17AB" w:rsidRPr="00E85554">
        <w:rPr>
          <w:rFonts w:ascii="Times New Roman" w:hAnsi="Times New Roman" w:cs="Times New Roman"/>
          <w:sz w:val="24"/>
          <w:szCs w:val="24"/>
          <w:lang w:val="en-US"/>
        </w:rPr>
        <w:t xml:space="preserve">reported in the results </w:t>
      </w:r>
      <w:r w:rsidR="00346F5C">
        <w:rPr>
          <w:rFonts w:ascii="Times New Roman" w:hAnsi="Times New Roman" w:cs="Times New Roman"/>
          <w:sz w:val="24"/>
          <w:szCs w:val="24"/>
          <w:lang w:val="en-US"/>
        </w:rPr>
        <w:t>of T</w:t>
      </w:r>
      <w:r w:rsidR="00BA17AB" w:rsidRPr="00E85554">
        <w:rPr>
          <w:rFonts w:ascii="Times New Roman" w:hAnsi="Times New Roman" w:cs="Times New Roman"/>
          <w:sz w:val="24"/>
          <w:szCs w:val="24"/>
          <w:lang w:val="en-US"/>
        </w:rPr>
        <w:t>able 4</w:t>
      </w:r>
      <w:r w:rsidRPr="00E85554">
        <w:rPr>
          <w:rFonts w:ascii="Times New Roman" w:hAnsi="Times New Roman" w:cs="Times New Roman"/>
          <w:sz w:val="24"/>
          <w:szCs w:val="24"/>
          <w:lang w:val="en-US"/>
        </w:rPr>
        <w:t xml:space="preserve"> (models (1)-(3)). The</w:t>
      </w:r>
      <w:r w:rsidRPr="00E85554">
        <w:rPr>
          <w:sz w:val="24"/>
          <w:szCs w:val="24"/>
          <w:lang w:val="en-US"/>
        </w:rPr>
        <w:t xml:space="preserve"> </w:t>
      </w:r>
      <w:r w:rsidRPr="00E85554">
        <w:rPr>
          <w:rFonts w:ascii="Times New Roman" w:hAnsi="Times New Roman" w:cs="Times New Roman"/>
          <w:sz w:val="24"/>
          <w:szCs w:val="24"/>
          <w:lang w:val="en-US"/>
        </w:rPr>
        <w:t>higher the ratio of independent directors, the higher the impact of GCF on investment for private firms, hence we observe a positive slope</w:t>
      </w:r>
      <w:r w:rsidR="00346F5C">
        <w:rPr>
          <w:rFonts w:ascii="Times New Roman" w:hAnsi="Times New Roman" w:cs="Times New Roman"/>
          <w:sz w:val="24"/>
          <w:szCs w:val="24"/>
          <w:lang w:val="en-US"/>
        </w:rPr>
        <w:t>, as per Figure 3</w:t>
      </w:r>
      <w:r w:rsidRPr="00E85554">
        <w:rPr>
          <w:rFonts w:ascii="Times New Roman" w:hAnsi="Times New Roman" w:cs="Times New Roman"/>
          <w:sz w:val="24"/>
          <w:szCs w:val="24"/>
          <w:lang w:val="en-US"/>
        </w:rPr>
        <w:t>.</w:t>
      </w:r>
    </w:p>
    <w:p w14:paraId="74784CB4" w14:textId="77777777" w:rsidR="00A052B0" w:rsidRPr="00E85554" w:rsidRDefault="00A052B0" w:rsidP="00A052B0">
      <w:pPr>
        <w:spacing w:after="0" w:line="240" w:lineRule="auto"/>
        <w:jc w:val="center"/>
        <w:rPr>
          <w:rFonts w:ascii="Times New Roman" w:hAnsi="Times New Roman" w:cs="Times New Roman"/>
          <w:sz w:val="24"/>
          <w:szCs w:val="24"/>
        </w:rPr>
      </w:pPr>
      <w:r w:rsidRPr="00E85554">
        <w:rPr>
          <w:rFonts w:ascii="Times New Roman" w:hAnsi="Times New Roman" w:cs="Times New Roman"/>
          <w:sz w:val="24"/>
          <w:szCs w:val="24"/>
        </w:rPr>
        <w:t>-------------------------------------------------------------------</w:t>
      </w:r>
    </w:p>
    <w:p w14:paraId="46238376" w14:textId="77777777" w:rsidR="00A052B0" w:rsidRPr="00E85554" w:rsidRDefault="00BA17AB" w:rsidP="00A052B0">
      <w:pPr>
        <w:spacing w:after="0" w:line="240" w:lineRule="auto"/>
        <w:jc w:val="center"/>
        <w:rPr>
          <w:rFonts w:ascii="Times New Roman" w:hAnsi="Times New Roman" w:cs="Times New Roman"/>
          <w:sz w:val="24"/>
          <w:szCs w:val="24"/>
        </w:rPr>
      </w:pPr>
      <w:r w:rsidRPr="00E85554">
        <w:rPr>
          <w:rFonts w:ascii="Times New Roman" w:hAnsi="Times New Roman" w:cs="Times New Roman"/>
          <w:sz w:val="24"/>
          <w:szCs w:val="24"/>
        </w:rPr>
        <w:t>I</w:t>
      </w:r>
      <w:r w:rsidR="00A423B4">
        <w:rPr>
          <w:rFonts w:ascii="Times New Roman" w:hAnsi="Times New Roman" w:cs="Times New Roman"/>
          <w:sz w:val="24"/>
          <w:szCs w:val="24"/>
        </w:rPr>
        <w:t xml:space="preserve">nsert Table 4 and Figure 3 about here </w:t>
      </w:r>
    </w:p>
    <w:p w14:paraId="5B7727A6" w14:textId="77777777" w:rsidR="00A052B0" w:rsidRPr="00E85554" w:rsidRDefault="00A052B0" w:rsidP="00A052B0">
      <w:pPr>
        <w:spacing w:after="0" w:line="480" w:lineRule="auto"/>
        <w:jc w:val="center"/>
        <w:rPr>
          <w:rFonts w:ascii="Times New Roman" w:hAnsi="Times New Roman" w:cs="Times New Roman"/>
          <w:sz w:val="24"/>
          <w:szCs w:val="24"/>
          <w:lang w:val="en-US"/>
        </w:rPr>
      </w:pPr>
      <w:r w:rsidRPr="00E85554">
        <w:rPr>
          <w:rFonts w:ascii="Times New Roman" w:hAnsi="Times New Roman" w:cs="Times New Roman"/>
          <w:sz w:val="24"/>
          <w:szCs w:val="24"/>
        </w:rPr>
        <w:lastRenderedPageBreak/>
        <w:t>-----------------------------------------------------------------</w:t>
      </w:r>
    </w:p>
    <w:p w14:paraId="42E60481" w14:textId="150DB2BB" w:rsidR="00266C78" w:rsidRPr="00283928" w:rsidRDefault="00A052B0" w:rsidP="00283928">
      <w:pPr>
        <w:spacing w:line="480" w:lineRule="auto"/>
        <w:rPr>
          <w:rFonts w:ascii="Times New Roman" w:hAnsi="Times New Roman" w:cs="Times New Roman"/>
          <w:sz w:val="24"/>
          <w:szCs w:val="24"/>
          <w:lang w:val="en-US"/>
        </w:rPr>
      </w:pPr>
      <w:r w:rsidRPr="00E85554">
        <w:rPr>
          <w:rFonts w:ascii="Times New Roman" w:hAnsi="Times New Roman" w:cs="Times New Roman"/>
          <w:sz w:val="24"/>
          <w:szCs w:val="24"/>
          <w:lang w:val="en-US"/>
        </w:rPr>
        <w:t>We then test hypothesis H1b on the relative effect of independent directors in private firms compared to SO</w:t>
      </w:r>
      <w:r w:rsidR="00BA17AB" w:rsidRPr="00E85554">
        <w:rPr>
          <w:rFonts w:ascii="Times New Roman" w:hAnsi="Times New Roman" w:cs="Times New Roman"/>
          <w:sz w:val="24"/>
          <w:szCs w:val="24"/>
          <w:lang w:val="en-US"/>
        </w:rPr>
        <w:t>Es in models (5)-(8) of Table 4</w:t>
      </w:r>
      <w:r w:rsidRPr="00E85554">
        <w:rPr>
          <w:rFonts w:ascii="Times New Roman" w:hAnsi="Times New Roman" w:cs="Times New Roman"/>
          <w:sz w:val="24"/>
          <w:szCs w:val="24"/>
          <w:lang w:val="en-US"/>
        </w:rPr>
        <w:t xml:space="preserve">. We use three-way interactions, e.g. GCF*blockholder*director, where blockholder is a dummy variable, indicating either state, domestic private, or foreign blockholder, and director is a dummy indicating the presence of at least one independent director (indep) as 1 and 0 otherwise (insider) </w:t>
      </w:r>
      <w:r w:rsidRPr="00E85554">
        <w:rPr>
          <w:rStyle w:val="FootnoteReference"/>
          <w:rFonts w:ascii="Times New Roman" w:hAnsi="Times New Roman" w:cs="Times New Roman"/>
          <w:sz w:val="24"/>
          <w:szCs w:val="24"/>
          <w:lang w:val="en-US"/>
        </w:rPr>
        <w:footnoteReference w:id="3"/>
      </w:r>
      <w:r w:rsidRPr="00E85554">
        <w:rPr>
          <w:rFonts w:ascii="Times New Roman" w:hAnsi="Times New Roman" w:cs="Times New Roman"/>
          <w:sz w:val="24"/>
          <w:szCs w:val="24"/>
          <w:lang w:val="en-US"/>
        </w:rPr>
        <w:t xml:space="preserve">. </w:t>
      </w:r>
      <w:r w:rsidR="00EA0328">
        <w:rPr>
          <w:rFonts w:ascii="Times New Roman" w:hAnsi="Times New Roman" w:cs="Times New Roman"/>
          <w:sz w:val="24"/>
          <w:szCs w:val="24"/>
          <w:lang w:val="en-US"/>
        </w:rPr>
        <w:t xml:space="preserve">   </w:t>
      </w:r>
      <w:r w:rsidR="00266C78" w:rsidRPr="00283928">
        <w:rPr>
          <w:rFonts w:ascii="Times New Roman" w:hAnsi="Times New Roman" w:cs="Times New Roman"/>
          <w:sz w:val="24"/>
          <w:szCs w:val="24"/>
          <w:lang w:val="en-US"/>
        </w:rPr>
        <w:t xml:space="preserve">Firms controlled by domestic private blockholders with independent directors (GCF*private*indep.) on the board represent most privately-owned firms in our sample. Examples of such firms include mineral fertilizer Acron, steel making and mining company Evraz, natural juice producer Lebedyansky, mining and metals company Mechel, mobile operator MTS, natural gas producer Novatek and Sistema, a large conglomerate company, headed by Vladimir Yevtushenkov. These firms are generally viewed as progressive in terms of their corporate governance practices.  The SOEs with independent directors (GCF*state*indep.) during the period of our study are fewer. At state-owned Aeroflot, for example, all three independent directors have been nominated by private holders of a blocking stake, which allows them to conduct their policies. These independent directors effectively offset the dominant control of the government. They are active although it is not clear whether they are capable of representing interests of minority shareholders. Like state nominees, they vote together: there are practically no disagreements among them. Another recent example of an SOE with prominent independent director presence is Rosneft which reappointed Gerhard Schroeder, the former Chancellor of Germany to the board in 2017 (although during the period of our study, Rosneft did not have any independent directors). Mr. Schroeder was entitled to $500,000 annual base pay at Rosneft but officially declined it to mitigate criticism from his </w:t>
      </w:r>
      <w:r w:rsidR="00266C78" w:rsidRPr="00283928">
        <w:rPr>
          <w:rFonts w:ascii="Times New Roman" w:hAnsi="Times New Roman" w:cs="Times New Roman"/>
          <w:sz w:val="24"/>
          <w:szCs w:val="24"/>
          <w:lang w:val="en-US"/>
        </w:rPr>
        <w:lastRenderedPageBreak/>
        <w:t xml:space="preserve">political party SPD and the Chancellor Angela Merkel. His role at Rosneft is to facilitate Russo-German relations and investments, since Rosneft has 12% market share in Germany, and is investing €600 million in modernization of the assets it owns in Germany (PCK, Miro, Bayernoil). In the last seven years, Rosneft supplied Germany with 132,000,000 tons of oil for a cost of about €75 billion </w:t>
      </w:r>
      <w:r w:rsidR="00266C78" w:rsidRPr="00283928">
        <w:rPr>
          <w:rFonts w:ascii="Times New Roman" w:hAnsi="Times New Roman" w:cs="Times New Roman"/>
          <w:sz w:val="24"/>
          <w:szCs w:val="24"/>
          <w:lang w:val="en-US"/>
        </w:rPr>
        <w:fldChar w:fldCharType="begin"/>
      </w:r>
      <w:r w:rsidR="00266C78" w:rsidRPr="00283928">
        <w:rPr>
          <w:rFonts w:ascii="Times New Roman" w:hAnsi="Times New Roman" w:cs="Times New Roman"/>
          <w:sz w:val="24"/>
          <w:szCs w:val="24"/>
          <w:lang w:val="en-US"/>
        </w:rPr>
        <w:instrText xml:space="preserve"> ADDIN EN.CITE &lt;EndNote&gt;&lt;Cite&gt;&lt;Author&gt;Raibman&lt;/Author&gt;&lt;Year&gt;2017&lt;/Year&gt;&lt;RecNum&gt;864&lt;/RecNum&gt;&lt;DisplayText&gt;(Raibman, 2017)&lt;/DisplayText&gt;&lt;record&gt;&lt;rec-number&gt;864&lt;/rec-number&gt;&lt;foreign-keys&gt;&lt;key app="EN" db-id="xdsfzvadmzzxdzereeq5xdf7eaxsdwfdfave" timestamp="1528987740"&gt;864&lt;/key&gt;&lt;/foreign-keys&gt;&lt;ref-type name="Newspaper Article"&gt;23&lt;/ref-type&gt;&lt;contributors&gt;&lt;authors&gt;&lt;author&gt;Raibman, N&lt;/author&gt;&lt;/authors&gt;&lt;/contributors&gt;&lt;titles&gt;&lt;title&gt;Schoeder does not know why he is needed for Rosneft (In Russian).  &lt;/title&gt;&lt;secondary-title&gt;Vedomosti&lt;/secondary-title&gt;&lt;/titles&gt;&lt;dates&gt;&lt;year&gt;2017&lt;/year&gt;&lt;/dates&gt;&lt;urls&gt;&lt;/urls&gt;&lt;/record&gt;&lt;/Cite&gt;&lt;/EndNote&gt;</w:instrText>
      </w:r>
      <w:r w:rsidR="00266C78" w:rsidRPr="00283928">
        <w:rPr>
          <w:rFonts w:ascii="Times New Roman" w:hAnsi="Times New Roman" w:cs="Times New Roman"/>
          <w:sz w:val="24"/>
          <w:szCs w:val="24"/>
          <w:lang w:val="en-US"/>
        </w:rPr>
        <w:fldChar w:fldCharType="separate"/>
      </w:r>
      <w:r w:rsidR="00266C78" w:rsidRPr="00283928">
        <w:rPr>
          <w:rFonts w:ascii="Times New Roman" w:hAnsi="Times New Roman" w:cs="Times New Roman"/>
          <w:sz w:val="24"/>
          <w:szCs w:val="24"/>
          <w:lang w:val="en-US"/>
        </w:rPr>
        <w:t>(</w:t>
      </w:r>
      <w:hyperlink w:anchor="_ENREF_93" w:tooltip="Raibman, 2017 #864" w:history="1">
        <w:r w:rsidR="00266C78" w:rsidRPr="00283928">
          <w:rPr>
            <w:rFonts w:ascii="Times New Roman" w:hAnsi="Times New Roman" w:cs="Times New Roman"/>
            <w:sz w:val="24"/>
            <w:szCs w:val="24"/>
            <w:lang w:val="en-US"/>
          </w:rPr>
          <w:t>Raibman, 2017</w:t>
        </w:r>
      </w:hyperlink>
      <w:r w:rsidR="00266C78" w:rsidRPr="00283928">
        <w:rPr>
          <w:rFonts w:ascii="Times New Roman" w:hAnsi="Times New Roman" w:cs="Times New Roman"/>
          <w:sz w:val="24"/>
          <w:szCs w:val="24"/>
          <w:lang w:val="en-US"/>
        </w:rPr>
        <w:t>)</w:t>
      </w:r>
      <w:r w:rsidR="00266C78" w:rsidRPr="00283928">
        <w:rPr>
          <w:rFonts w:ascii="Times New Roman" w:hAnsi="Times New Roman" w:cs="Times New Roman"/>
          <w:sz w:val="24"/>
          <w:szCs w:val="24"/>
          <w:lang w:val="en-US"/>
        </w:rPr>
        <w:fldChar w:fldCharType="end"/>
      </w:r>
      <w:r w:rsidR="00266C78" w:rsidRPr="00283928">
        <w:rPr>
          <w:rFonts w:ascii="Times New Roman" w:hAnsi="Times New Roman" w:cs="Times New Roman"/>
          <w:sz w:val="24"/>
          <w:szCs w:val="24"/>
          <w:lang w:val="en-US"/>
        </w:rPr>
        <w:t>. This example supports our empirical evidence that the presence of high profile independent directors in SOEs can have a big role in these SOEs legitimacy building and internationalization.</w:t>
      </w:r>
    </w:p>
    <w:p w14:paraId="0D47A6FA" w14:textId="206A451C" w:rsidR="00266C78" w:rsidRPr="00283928" w:rsidRDefault="00266C78" w:rsidP="00283928">
      <w:pPr>
        <w:spacing w:line="480" w:lineRule="auto"/>
        <w:rPr>
          <w:rFonts w:ascii="Times New Roman" w:hAnsi="Times New Roman" w:cs="Times New Roman"/>
          <w:sz w:val="24"/>
          <w:szCs w:val="24"/>
          <w:lang w:val="en-US"/>
        </w:rPr>
      </w:pPr>
      <w:r w:rsidRPr="00283928">
        <w:rPr>
          <w:rFonts w:ascii="Times New Roman" w:hAnsi="Times New Roman" w:cs="Times New Roman"/>
          <w:sz w:val="24"/>
          <w:szCs w:val="24"/>
          <w:lang w:val="en-US"/>
        </w:rPr>
        <w:t xml:space="preserve">Private firms without independent directors (GCF*private*insider) are less transparent, and it is harder to get an understanding of their corporate governance practices, since very little is publicly disclosed. Representative firms in this category are oil companies Bashneft and Slavneft, the retailer GUM, </w:t>
      </w:r>
      <w:bookmarkStart w:id="33" w:name="_Hlk516772439"/>
      <w:bookmarkEnd w:id="33"/>
      <w:r w:rsidRPr="00283928">
        <w:rPr>
          <w:rFonts w:ascii="Times New Roman" w:hAnsi="Times New Roman" w:cs="Times New Roman"/>
          <w:sz w:val="24"/>
          <w:szCs w:val="24"/>
          <w:lang w:val="en-US"/>
        </w:rPr>
        <w:t xml:space="preserve">and TMK, a global supplier of a range of pipes for the oil and gas industry. Bashneft, one of ten largest oil companies in Russia, was part of Sistema conglomerate at the time of our study period, and the board of directors of Bashneft was composed entirely by insiders, and it is believed it played a nominal role if not colliding with the board of Sistema. </w:t>
      </w:r>
    </w:p>
    <w:p w14:paraId="421031BB" w14:textId="526DB474" w:rsidR="00A052B0" w:rsidRPr="00E85554" w:rsidRDefault="00266C78" w:rsidP="00283928">
      <w:pPr>
        <w:spacing w:line="480" w:lineRule="auto"/>
        <w:rPr>
          <w:rFonts w:ascii="Times New Roman" w:hAnsi="Times New Roman" w:cs="Times New Roman"/>
          <w:sz w:val="24"/>
          <w:szCs w:val="24"/>
          <w:lang w:val="en-US"/>
        </w:rPr>
      </w:pPr>
      <w:r w:rsidRPr="00283928">
        <w:rPr>
          <w:rFonts w:ascii="Times New Roman" w:hAnsi="Times New Roman" w:cs="Times New Roman"/>
          <w:sz w:val="24"/>
          <w:szCs w:val="24"/>
          <w:lang w:val="en-US"/>
        </w:rPr>
        <w:t>Finally, SOEs with boards composed by insiders only (GCF*state*insider) are still predominant in Russia. Representative SOEs include the diamond mining company Alrosa, long-distance telephony provider Rostelekom, banking and financial services company Sberbank and many others.</w:t>
      </w:r>
      <w:r>
        <w:rPr>
          <w:rFonts w:ascii="Times New Roman" w:hAnsi="Times New Roman" w:cs="Times New Roman"/>
          <w:sz w:val="24"/>
          <w:szCs w:val="24"/>
          <w:lang w:val="en-US"/>
        </w:rPr>
        <w:t xml:space="preserve"> </w:t>
      </w:r>
      <w:r w:rsidR="00A052B0" w:rsidRPr="00E85554">
        <w:rPr>
          <w:rFonts w:ascii="Times New Roman" w:hAnsi="Times New Roman" w:cs="Times New Roman"/>
          <w:sz w:val="24"/>
          <w:szCs w:val="24"/>
          <w:lang w:val="en-US"/>
        </w:rPr>
        <w:t xml:space="preserve">Regarding economic significance, model </w:t>
      </w:r>
      <w:r w:rsidR="002D03DE" w:rsidRPr="00E85554">
        <w:rPr>
          <w:rFonts w:ascii="Times New Roman" w:hAnsi="Times New Roman" w:cs="Times New Roman"/>
          <w:sz w:val="24"/>
          <w:szCs w:val="24"/>
          <w:lang w:val="en-US"/>
        </w:rPr>
        <w:t>5</w:t>
      </w:r>
      <w:r w:rsidR="00BA17AB" w:rsidRPr="00E85554">
        <w:rPr>
          <w:rFonts w:ascii="Times New Roman" w:hAnsi="Times New Roman" w:cs="Times New Roman"/>
          <w:sz w:val="24"/>
          <w:szCs w:val="24"/>
          <w:lang w:val="en-US"/>
        </w:rPr>
        <w:t xml:space="preserve"> in Table 4</w:t>
      </w:r>
      <w:r w:rsidR="00A052B0" w:rsidRPr="00E85554">
        <w:rPr>
          <w:rFonts w:ascii="Times New Roman" w:hAnsi="Times New Roman" w:cs="Times New Roman"/>
          <w:sz w:val="24"/>
          <w:szCs w:val="24"/>
          <w:lang w:val="en-US"/>
        </w:rPr>
        <w:t xml:space="preserve"> </w:t>
      </w:r>
      <w:r w:rsidR="00A423B4">
        <w:rPr>
          <w:rFonts w:ascii="Times New Roman" w:hAnsi="Times New Roman" w:cs="Times New Roman"/>
          <w:sz w:val="24"/>
          <w:szCs w:val="24"/>
          <w:lang w:val="en-US"/>
        </w:rPr>
        <w:t>shows</w:t>
      </w:r>
      <w:r w:rsidR="00A052B0" w:rsidRPr="00E85554">
        <w:rPr>
          <w:rFonts w:ascii="Times New Roman" w:hAnsi="Times New Roman" w:cs="Times New Roman"/>
          <w:sz w:val="24"/>
          <w:szCs w:val="24"/>
          <w:lang w:val="en-US"/>
        </w:rPr>
        <w:t xml:space="preserve"> that the GCF growth in private firms with independent directors has an impact of 0.26%</w:t>
      </w:r>
      <w:r w:rsidR="00A052B0" w:rsidRPr="00E85554">
        <w:rPr>
          <w:rStyle w:val="FootnoteReference"/>
          <w:rFonts w:ascii="Times New Roman" w:hAnsi="Times New Roman" w:cs="Times New Roman"/>
          <w:sz w:val="24"/>
          <w:szCs w:val="24"/>
          <w:lang w:val="en-US"/>
        </w:rPr>
        <w:footnoteReference w:id="4"/>
      </w:r>
      <w:r w:rsidR="00A052B0" w:rsidRPr="00E85554">
        <w:rPr>
          <w:rFonts w:ascii="Times New Roman" w:hAnsi="Times New Roman" w:cs="Times New Roman"/>
          <w:sz w:val="24"/>
          <w:szCs w:val="24"/>
          <w:lang w:val="en-US"/>
        </w:rPr>
        <w:t xml:space="preserve"> on investment growth, GCF in SOEs with independent directors has a larger impact of 0.44% on </w:t>
      </w:r>
      <w:r w:rsidR="00A052B0" w:rsidRPr="00E85554">
        <w:rPr>
          <w:rFonts w:ascii="Times New Roman" w:hAnsi="Times New Roman" w:cs="Times New Roman"/>
          <w:sz w:val="24"/>
          <w:szCs w:val="24"/>
          <w:lang w:val="en-US"/>
        </w:rPr>
        <w:lastRenderedPageBreak/>
        <w:t xml:space="preserve">investment (we test the sum of coefficients being different from 0, and the null hypothesis is rejected at </w:t>
      </w:r>
      <w:r w:rsidR="007208B0" w:rsidRPr="007208B0">
        <w:rPr>
          <w:rFonts w:ascii="Times New Roman" w:hAnsi="Times New Roman" w:cs="Times New Roman"/>
          <w:i/>
          <w:sz w:val="24"/>
          <w:szCs w:val="24"/>
          <w:lang w:val="en-US"/>
        </w:rPr>
        <w:t>p</w:t>
      </w:r>
      <w:r w:rsidR="007208B0">
        <w:rPr>
          <w:rFonts w:ascii="Times New Roman" w:hAnsi="Times New Roman" w:cs="Times New Roman"/>
          <w:sz w:val="24"/>
          <w:szCs w:val="24"/>
          <w:lang w:val="en-US"/>
        </w:rPr>
        <w:t>&lt;0.001</w:t>
      </w:r>
      <w:r w:rsidR="00A052B0" w:rsidRPr="00E85554">
        <w:rPr>
          <w:rFonts w:ascii="Times New Roman" w:hAnsi="Times New Roman" w:cs="Times New Roman"/>
          <w:sz w:val="24"/>
          <w:szCs w:val="24"/>
          <w:lang w:val="en-US"/>
        </w:rPr>
        <w:t xml:space="preserve"> significance level). </w:t>
      </w:r>
    </w:p>
    <w:p w14:paraId="0250AF66" w14:textId="27EA008A" w:rsidR="00A052B0" w:rsidRPr="00E85554" w:rsidRDefault="00A052B0" w:rsidP="001B715C">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To test hypothesis H2 concerning effects of independent directors in MNEs, we use</w:t>
      </w:r>
      <w:r w:rsidR="00BA17AB" w:rsidRPr="00E85554">
        <w:rPr>
          <w:rFonts w:ascii="Times New Roman" w:hAnsi="Times New Roman" w:cs="Times New Roman"/>
          <w:sz w:val="24"/>
          <w:szCs w:val="24"/>
          <w:lang w:val="en-US"/>
        </w:rPr>
        <w:t xml:space="preserve"> the sub-sample of MNEs (Table 5</w:t>
      </w:r>
      <w:r w:rsidRPr="00E85554">
        <w:rPr>
          <w:rFonts w:ascii="Times New Roman" w:hAnsi="Times New Roman" w:cs="Times New Roman"/>
          <w:sz w:val="24"/>
          <w:szCs w:val="24"/>
          <w:lang w:val="en-US"/>
        </w:rPr>
        <w:t>, models (1) and (2)). The moderating effect of independent directors’ is positive and significant (</w:t>
      </w:r>
      <w:r w:rsidRPr="00E85554">
        <w:rPr>
          <w:rFonts w:ascii="Times New Roman" w:hAnsi="Times New Roman" w:cs="Times New Roman"/>
          <w:i/>
          <w:sz w:val="24"/>
          <w:szCs w:val="24"/>
          <w:lang w:val="en-US"/>
        </w:rPr>
        <w:t>b</w:t>
      </w:r>
      <w:r w:rsidRPr="00E85554">
        <w:rPr>
          <w:rFonts w:ascii="Times New Roman" w:hAnsi="Times New Roman" w:cs="Times New Roman"/>
          <w:sz w:val="24"/>
          <w:szCs w:val="24"/>
          <w:lang w:val="en-US"/>
        </w:rPr>
        <w:t xml:space="preserve">=1.10, </w:t>
      </w:r>
      <w:r w:rsidRPr="00E85554">
        <w:rPr>
          <w:rFonts w:ascii="Times New Roman" w:hAnsi="Times New Roman" w:cs="Times New Roman"/>
          <w:i/>
          <w:sz w:val="24"/>
          <w:szCs w:val="24"/>
          <w:lang w:val="en-US"/>
        </w:rPr>
        <w:t>p</w:t>
      </w:r>
      <w:r w:rsidRPr="00E85554">
        <w:rPr>
          <w:rFonts w:ascii="Times New Roman" w:hAnsi="Times New Roman" w:cs="Times New Roman"/>
          <w:sz w:val="24"/>
          <w:szCs w:val="24"/>
          <w:lang w:val="en-US"/>
        </w:rPr>
        <w:t xml:space="preserve">&lt;0.05 in FE and </w:t>
      </w:r>
      <w:r w:rsidRPr="00E85554">
        <w:rPr>
          <w:rFonts w:ascii="Times New Roman" w:hAnsi="Times New Roman" w:cs="Times New Roman"/>
          <w:i/>
          <w:sz w:val="24"/>
          <w:szCs w:val="24"/>
          <w:lang w:val="en-US"/>
        </w:rPr>
        <w:t>b</w:t>
      </w:r>
      <w:r w:rsidRPr="00E85554">
        <w:rPr>
          <w:rFonts w:ascii="Times New Roman" w:hAnsi="Times New Roman" w:cs="Times New Roman"/>
          <w:sz w:val="24"/>
          <w:szCs w:val="24"/>
          <w:lang w:val="en-US"/>
        </w:rPr>
        <w:t xml:space="preserve">=1.27, </w:t>
      </w:r>
      <w:r w:rsidRPr="00E85554">
        <w:rPr>
          <w:rFonts w:ascii="Times New Roman" w:hAnsi="Times New Roman" w:cs="Times New Roman"/>
          <w:i/>
          <w:sz w:val="24"/>
          <w:szCs w:val="24"/>
          <w:lang w:val="en-US"/>
        </w:rPr>
        <w:t>p</w:t>
      </w:r>
      <w:r w:rsidRPr="00E85554">
        <w:rPr>
          <w:rFonts w:ascii="Times New Roman" w:hAnsi="Times New Roman" w:cs="Times New Roman"/>
          <w:sz w:val="24"/>
          <w:szCs w:val="24"/>
          <w:lang w:val="en-US"/>
        </w:rPr>
        <w:t>&lt;0.05 in GMM), and the total effect of GCF on investment for MNE firms with a higher proportion of independent directors is positive and significant in both FE and GMM (</w:t>
      </w:r>
      <w:r w:rsidRPr="00E85554">
        <w:rPr>
          <w:rFonts w:ascii="Times New Roman" w:hAnsi="Times New Roman" w:cs="Times New Roman"/>
          <w:i/>
          <w:sz w:val="24"/>
          <w:szCs w:val="24"/>
          <w:lang w:val="en-US"/>
        </w:rPr>
        <w:t>b</w:t>
      </w:r>
      <w:r w:rsidRPr="00E85554">
        <w:rPr>
          <w:rFonts w:ascii="Times New Roman" w:hAnsi="Times New Roman" w:cs="Times New Roman"/>
          <w:sz w:val="24"/>
          <w:szCs w:val="24"/>
          <w:lang w:val="en-US"/>
        </w:rPr>
        <w:t xml:space="preserve">=0.92 and </w:t>
      </w:r>
      <w:r w:rsidRPr="00E85554">
        <w:rPr>
          <w:rFonts w:ascii="Times New Roman" w:hAnsi="Times New Roman" w:cs="Times New Roman"/>
          <w:i/>
          <w:sz w:val="24"/>
          <w:szCs w:val="24"/>
          <w:lang w:val="en-US"/>
        </w:rPr>
        <w:t>b</w:t>
      </w:r>
      <w:r w:rsidRPr="00E85554">
        <w:rPr>
          <w:rFonts w:ascii="Times New Roman" w:hAnsi="Times New Roman" w:cs="Times New Roman"/>
          <w:sz w:val="24"/>
          <w:szCs w:val="24"/>
          <w:lang w:val="en-US"/>
        </w:rPr>
        <w:t>=1.09 respectively), with the Wald test for the sum of coefficients being significant. These findings provide consistent support for Hypothesis H2.</w:t>
      </w:r>
    </w:p>
    <w:p w14:paraId="6C659513" w14:textId="77777777" w:rsidR="002D03DE" w:rsidRPr="00E85554" w:rsidRDefault="002D03DE" w:rsidP="002D03DE">
      <w:pPr>
        <w:spacing w:after="0" w:line="240" w:lineRule="auto"/>
        <w:ind w:firstLine="720"/>
        <w:jc w:val="center"/>
        <w:rPr>
          <w:rFonts w:ascii="Times New Roman" w:hAnsi="Times New Roman" w:cs="Times New Roman"/>
          <w:sz w:val="24"/>
          <w:szCs w:val="24"/>
        </w:rPr>
      </w:pPr>
      <w:r w:rsidRPr="00E85554">
        <w:rPr>
          <w:rFonts w:ascii="Times New Roman" w:hAnsi="Times New Roman" w:cs="Times New Roman"/>
          <w:sz w:val="24"/>
          <w:szCs w:val="24"/>
        </w:rPr>
        <w:t>-----------------------------------------------------</w:t>
      </w:r>
    </w:p>
    <w:p w14:paraId="1014DC83" w14:textId="77777777" w:rsidR="002D03DE" w:rsidRPr="00E85554" w:rsidRDefault="00A423B4" w:rsidP="002D03DE">
      <w:pPr>
        <w:spacing w:after="0" w:line="24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Insert Table 5 about here </w:t>
      </w:r>
    </w:p>
    <w:p w14:paraId="0B5C59A5" w14:textId="77777777" w:rsidR="00A052B0" w:rsidRPr="00E85554" w:rsidRDefault="00A052B0" w:rsidP="007208B0">
      <w:pPr>
        <w:spacing w:after="0" w:line="480" w:lineRule="auto"/>
        <w:ind w:firstLine="720"/>
        <w:jc w:val="center"/>
        <w:rPr>
          <w:rFonts w:ascii="Times New Roman" w:hAnsi="Times New Roman" w:cs="Times New Roman"/>
          <w:sz w:val="24"/>
          <w:szCs w:val="24"/>
        </w:rPr>
      </w:pPr>
      <w:r w:rsidRPr="00E85554">
        <w:rPr>
          <w:rFonts w:ascii="Times New Roman" w:hAnsi="Times New Roman" w:cs="Times New Roman"/>
          <w:sz w:val="24"/>
          <w:szCs w:val="24"/>
        </w:rPr>
        <w:t>------------------------------------------------------</w:t>
      </w:r>
    </w:p>
    <w:p w14:paraId="70E7D06D" w14:textId="77777777" w:rsidR="00A052B0" w:rsidRPr="00E85554" w:rsidRDefault="00A052B0" w:rsidP="007208B0">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To test hypothesis H3 concerning cross-listing, we examine a sub-sample </w:t>
      </w:r>
      <w:r w:rsidR="00BA17AB" w:rsidRPr="00E85554">
        <w:rPr>
          <w:rFonts w:ascii="Times New Roman" w:hAnsi="Times New Roman" w:cs="Times New Roman"/>
          <w:sz w:val="24"/>
          <w:szCs w:val="24"/>
          <w:lang w:val="en-US"/>
        </w:rPr>
        <w:t>of foreign-listed firms (Table 5</w:t>
      </w:r>
      <w:r w:rsidRPr="00E85554">
        <w:rPr>
          <w:rFonts w:ascii="Times New Roman" w:hAnsi="Times New Roman" w:cs="Times New Roman"/>
          <w:sz w:val="24"/>
          <w:szCs w:val="24"/>
          <w:lang w:val="en-US"/>
        </w:rPr>
        <w:t>, model (3) and (4)). The results show that the more independent directors a firm appoints, the higher is the positive moderating effect on investment (or negative effect on blockholder appropriation), supporting hypothesis H3. The interaction between the proportion of independent directors and GCF for foreign-listed firms shows a positive and significant coefficient in both FE and GMM specifications (</w:t>
      </w:r>
      <w:r w:rsidRPr="00E85554">
        <w:rPr>
          <w:rFonts w:ascii="Times New Roman" w:hAnsi="Times New Roman" w:cs="Times New Roman"/>
          <w:i/>
          <w:sz w:val="24"/>
          <w:szCs w:val="24"/>
          <w:lang w:val="en-US"/>
        </w:rPr>
        <w:t>b</w:t>
      </w:r>
      <w:r w:rsidRPr="00E85554">
        <w:rPr>
          <w:rFonts w:ascii="Times New Roman" w:hAnsi="Times New Roman" w:cs="Times New Roman"/>
          <w:sz w:val="24"/>
          <w:szCs w:val="24"/>
          <w:lang w:val="en-US"/>
        </w:rPr>
        <w:t xml:space="preserve">=2.08, </w:t>
      </w:r>
      <w:r w:rsidRPr="00E85554">
        <w:rPr>
          <w:rFonts w:ascii="Times New Roman" w:hAnsi="Times New Roman" w:cs="Times New Roman"/>
          <w:i/>
          <w:sz w:val="24"/>
          <w:szCs w:val="24"/>
          <w:lang w:val="en-US"/>
        </w:rPr>
        <w:t>p</w:t>
      </w:r>
      <w:r w:rsidRPr="00E85554">
        <w:rPr>
          <w:rFonts w:ascii="Times New Roman" w:hAnsi="Times New Roman" w:cs="Times New Roman"/>
          <w:sz w:val="24"/>
          <w:szCs w:val="24"/>
          <w:lang w:val="en-US"/>
        </w:rPr>
        <w:t xml:space="preserve">&lt;0.01 in FE and </w:t>
      </w:r>
      <w:r w:rsidRPr="00E85554">
        <w:rPr>
          <w:rFonts w:ascii="Times New Roman" w:hAnsi="Times New Roman" w:cs="Times New Roman"/>
          <w:i/>
          <w:sz w:val="24"/>
          <w:szCs w:val="24"/>
          <w:lang w:val="en-US"/>
        </w:rPr>
        <w:t>b</w:t>
      </w:r>
      <w:r w:rsidRPr="00E85554">
        <w:rPr>
          <w:rFonts w:ascii="Times New Roman" w:hAnsi="Times New Roman" w:cs="Times New Roman"/>
          <w:sz w:val="24"/>
          <w:szCs w:val="24"/>
          <w:lang w:val="en-US"/>
        </w:rPr>
        <w:t xml:space="preserve">=1.14, </w:t>
      </w:r>
      <w:r w:rsidRPr="00E85554">
        <w:rPr>
          <w:rFonts w:ascii="Times New Roman" w:hAnsi="Times New Roman" w:cs="Times New Roman"/>
          <w:i/>
          <w:sz w:val="24"/>
          <w:szCs w:val="24"/>
          <w:lang w:val="en-US"/>
        </w:rPr>
        <w:t>p</w:t>
      </w:r>
      <w:r w:rsidRPr="00E85554">
        <w:rPr>
          <w:rFonts w:ascii="Times New Roman" w:hAnsi="Times New Roman" w:cs="Times New Roman"/>
          <w:sz w:val="24"/>
          <w:szCs w:val="24"/>
          <w:lang w:val="en-US"/>
        </w:rPr>
        <w:t xml:space="preserve">&lt;0.10 in GMM). Further, the overall effect of GCF on investment for foreign-listed firms with a higher proportion of independent directors (measured by the sum of the coefficients on GCF and on the interaction between GCF and ID Proportion) is positive and significant in FE (the Wald test for joint significance of these coefficients is significant at </w:t>
      </w:r>
      <w:r w:rsidRPr="00E85554">
        <w:rPr>
          <w:rFonts w:ascii="Times New Roman" w:hAnsi="Times New Roman" w:cs="Times New Roman"/>
          <w:i/>
          <w:sz w:val="24"/>
          <w:szCs w:val="24"/>
          <w:lang w:val="en-US"/>
        </w:rPr>
        <w:t>p</w:t>
      </w:r>
      <w:r w:rsidRPr="00E85554">
        <w:rPr>
          <w:rFonts w:ascii="Times New Roman" w:hAnsi="Times New Roman" w:cs="Times New Roman"/>
          <w:sz w:val="24"/>
          <w:szCs w:val="24"/>
          <w:lang w:val="en-US"/>
        </w:rPr>
        <w:t xml:space="preserve">&lt;0.01 in FE). This indicates complementarity between the two governance mechanisms – foreign listing and independence of directors. </w:t>
      </w:r>
    </w:p>
    <w:p w14:paraId="0833DC5D" w14:textId="77777777" w:rsidR="00A052B0" w:rsidRPr="00E85554" w:rsidRDefault="00A052B0" w:rsidP="00A052B0">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We test hypothesis H4 of the moderating effect of </w:t>
      </w:r>
      <w:r w:rsidRPr="00E85554">
        <w:rPr>
          <w:rFonts w:ascii="Times New Roman" w:hAnsi="Times New Roman" w:cs="Times New Roman"/>
          <w:i/>
          <w:sz w:val="24"/>
          <w:szCs w:val="24"/>
          <w:lang w:val="en-US"/>
        </w:rPr>
        <w:t>foreign</w:t>
      </w:r>
      <w:r w:rsidRPr="00E85554">
        <w:rPr>
          <w:rFonts w:ascii="Times New Roman" w:hAnsi="Times New Roman" w:cs="Times New Roman"/>
          <w:sz w:val="24"/>
          <w:szCs w:val="24"/>
          <w:lang w:val="en-US"/>
        </w:rPr>
        <w:t xml:space="preserve"> independent directors’ proportion on blockholder appropriation, and find that the appointment of such directors is an </w:t>
      </w:r>
      <w:r w:rsidRPr="00E85554">
        <w:rPr>
          <w:rFonts w:ascii="Times New Roman" w:hAnsi="Times New Roman" w:cs="Times New Roman"/>
          <w:sz w:val="24"/>
          <w:szCs w:val="24"/>
          <w:lang w:val="en-US"/>
        </w:rPr>
        <w:lastRenderedPageBreak/>
        <w:t xml:space="preserve">efficient way of monitoring the allocation of </w:t>
      </w:r>
      <w:r w:rsidR="00BA17AB" w:rsidRPr="00E85554">
        <w:rPr>
          <w:rFonts w:ascii="Times New Roman" w:hAnsi="Times New Roman" w:cs="Times New Roman"/>
          <w:sz w:val="24"/>
          <w:szCs w:val="24"/>
          <w:lang w:val="en-US"/>
        </w:rPr>
        <w:t>resources to investment (Table 5</w:t>
      </w:r>
      <w:r w:rsidRPr="00E85554">
        <w:rPr>
          <w:rFonts w:ascii="Times New Roman" w:hAnsi="Times New Roman" w:cs="Times New Roman"/>
          <w:sz w:val="24"/>
          <w:szCs w:val="24"/>
          <w:lang w:val="en-US"/>
        </w:rPr>
        <w:t>, models (5) and (6)). Regarding the interaction between the proportion of foreign independent directors and GCF, we find a positive and significant coefficient in both FE and GMM specifications (</w:t>
      </w:r>
      <w:r w:rsidRPr="00E85554">
        <w:rPr>
          <w:rFonts w:ascii="Times New Roman" w:hAnsi="Times New Roman" w:cs="Times New Roman"/>
          <w:i/>
          <w:sz w:val="24"/>
          <w:szCs w:val="24"/>
          <w:lang w:val="en-US"/>
        </w:rPr>
        <w:t>b</w:t>
      </w:r>
      <w:r w:rsidRPr="00E85554">
        <w:rPr>
          <w:rFonts w:ascii="Times New Roman" w:hAnsi="Times New Roman" w:cs="Times New Roman"/>
          <w:sz w:val="24"/>
          <w:szCs w:val="24"/>
          <w:lang w:val="en-US"/>
        </w:rPr>
        <w:t xml:space="preserve">=0.82, </w:t>
      </w:r>
      <w:r w:rsidRPr="00E85554">
        <w:rPr>
          <w:rFonts w:ascii="Times New Roman" w:hAnsi="Times New Roman" w:cs="Times New Roman"/>
          <w:i/>
          <w:sz w:val="24"/>
          <w:szCs w:val="24"/>
          <w:lang w:val="en-US"/>
        </w:rPr>
        <w:t>p</w:t>
      </w:r>
      <w:r w:rsidRPr="00E85554">
        <w:rPr>
          <w:rFonts w:ascii="Times New Roman" w:hAnsi="Times New Roman" w:cs="Times New Roman"/>
          <w:sz w:val="24"/>
          <w:szCs w:val="24"/>
          <w:lang w:val="en-US"/>
        </w:rPr>
        <w:t xml:space="preserve">&lt;0.01 in FE and </w:t>
      </w:r>
      <w:r w:rsidRPr="00E85554">
        <w:rPr>
          <w:rFonts w:ascii="Times New Roman" w:hAnsi="Times New Roman" w:cs="Times New Roman"/>
          <w:i/>
          <w:sz w:val="24"/>
          <w:szCs w:val="24"/>
          <w:lang w:val="en-US"/>
        </w:rPr>
        <w:t>b</w:t>
      </w:r>
      <w:r w:rsidRPr="00E85554">
        <w:rPr>
          <w:rFonts w:ascii="Times New Roman" w:hAnsi="Times New Roman" w:cs="Times New Roman"/>
          <w:sz w:val="24"/>
          <w:szCs w:val="24"/>
          <w:lang w:val="en-US"/>
        </w:rPr>
        <w:t xml:space="preserve">=1.07, </w:t>
      </w:r>
      <w:r w:rsidRPr="00E85554">
        <w:rPr>
          <w:rFonts w:ascii="Times New Roman" w:hAnsi="Times New Roman" w:cs="Times New Roman"/>
          <w:i/>
          <w:sz w:val="24"/>
          <w:szCs w:val="24"/>
          <w:lang w:val="en-US"/>
        </w:rPr>
        <w:t>p</w:t>
      </w:r>
      <w:r w:rsidRPr="00E85554">
        <w:rPr>
          <w:rFonts w:ascii="Times New Roman" w:hAnsi="Times New Roman" w:cs="Times New Roman"/>
          <w:sz w:val="24"/>
          <w:szCs w:val="24"/>
          <w:lang w:val="en-US"/>
        </w:rPr>
        <w:t xml:space="preserve">&lt;0.05 in GMM). Further, the overall effect of GCF on investment for firms with a higher proportion of independent directors (measured by the sum of the coefficients on GCF and on the interaction between GCF and ID Proportion) is positive and significant (the Wald test for joint significance of these coefficients is significant at </w:t>
      </w:r>
      <w:r w:rsidRPr="00E85554">
        <w:rPr>
          <w:rFonts w:ascii="Times New Roman" w:hAnsi="Times New Roman" w:cs="Times New Roman"/>
          <w:i/>
          <w:sz w:val="24"/>
          <w:szCs w:val="24"/>
          <w:lang w:val="en-US"/>
        </w:rPr>
        <w:t>p</w:t>
      </w:r>
      <w:r w:rsidRPr="00E85554">
        <w:rPr>
          <w:rFonts w:ascii="Times New Roman" w:hAnsi="Times New Roman" w:cs="Times New Roman"/>
          <w:sz w:val="24"/>
          <w:szCs w:val="24"/>
          <w:lang w:val="en-US"/>
        </w:rPr>
        <w:t xml:space="preserve">&lt;0.001 in FE and </w:t>
      </w:r>
      <w:r w:rsidRPr="00E85554">
        <w:rPr>
          <w:rFonts w:ascii="Times New Roman" w:hAnsi="Times New Roman" w:cs="Times New Roman"/>
          <w:i/>
          <w:sz w:val="24"/>
          <w:szCs w:val="24"/>
          <w:lang w:val="en-US"/>
        </w:rPr>
        <w:t>p</w:t>
      </w:r>
      <w:r w:rsidRPr="00E85554">
        <w:rPr>
          <w:rFonts w:ascii="Times New Roman" w:hAnsi="Times New Roman" w:cs="Times New Roman"/>
          <w:sz w:val="24"/>
          <w:szCs w:val="24"/>
          <w:lang w:val="en-US"/>
        </w:rPr>
        <w:t xml:space="preserve">&lt;0.05 in GMM specification). </w:t>
      </w:r>
    </w:p>
    <w:p w14:paraId="48998B84" w14:textId="77777777" w:rsidR="00A052B0" w:rsidRPr="00E85554" w:rsidRDefault="00A052B0" w:rsidP="00A052B0">
      <w:pPr>
        <w:spacing w:after="0" w:line="480" w:lineRule="auto"/>
        <w:rPr>
          <w:rFonts w:ascii="Times New Roman" w:hAnsi="Times New Roman" w:cs="Times New Roman"/>
          <w:b/>
          <w:sz w:val="24"/>
          <w:szCs w:val="24"/>
          <w:lang w:val="en-US"/>
        </w:rPr>
      </w:pPr>
      <w:r w:rsidRPr="00E85554">
        <w:rPr>
          <w:rFonts w:ascii="Times New Roman" w:hAnsi="Times New Roman" w:cs="Times New Roman"/>
          <w:b/>
          <w:sz w:val="24"/>
          <w:szCs w:val="24"/>
          <w:lang w:val="en-US"/>
        </w:rPr>
        <w:t xml:space="preserve">Robustness </w:t>
      </w:r>
      <w:r w:rsidR="002D03DE" w:rsidRPr="00E85554">
        <w:rPr>
          <w:rFonts w:ascii="Times New Roman" w:hAnsi="Times New Roman" w:cs="Times New Roman"/>
          <w:b/>
          <w:sz w:val="24"/>
          <w:szCs w:val="24"/>
          <w:lang w:val="en-US"/>
        </w:rPr>
        <w:t>tests</w:t>
      </w:r>
    </w:p>
    <w:p w14:paraId="458A157A" w14:textId="77777777" w:rsidR="00A052B0" w:rsidRPr="00E85554" w:rsidRDefault="00A052B0" w:rsidP="00A052B0">
      <w:pPr>
        <w:spacing w:after="0" w:line="480" w:lineRule="auto"/>
        <w:ind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We perform a series of robustness </w:t>
      </w:r>
      <w:r w:rsidR="002D03DE" w:rsidRPr="00E85554">
        <w:rPr>
          <w:rFonts w:ascii="Times New Roman" w:hAnsi="Times New Roman" w:cs="Times New Roman"/>
          <w:sz w:val="24"/>
          <w:szCs w:val="24"/>
          <w:lang w:val="en-US"/>
        </w:rPr>
        <w:t xml:space="preserve">tests </w:t>
      </w:r>
      <w:r w:rsidRPr="00E85554">
        <w:rPr>
          <w:rFonts w:ascii="Times New Roman" w:hAnsi="Times New Roman" w:cs="Times New Roman"/>
          <w:sz w:val="24"/>
          <w:szCs w:val="24"/>
          <w:lang w:val="en-US"/>
        </w:rPr>
        <w:t xml:space="preserve">to confirm the validity of our findings and rule out alternative explanations. </w:t>
      </w:r>
      <w:r w:rsidR="002E2C2C" w:rsidRPr="00E85554">
        <w:rPr>
          <w:rFonts w:ascii="Times New Roman" w:hAnsi="Times New Roman" w:cs="Times New Roman"/>
          <w:sz w:val="24"/>
          <w:szCs w:val="24"/>
          <w:lang w:val="en-US"/>
        </w:rPr>
        <w:t xml:space="preserve">These findings are not reported in detail here but are available on request. </w:t>
      </w:r>
      <w:r w:rsidRPr="00E85554">
        <w:rPr>
          <w:rFonts w:ascii="Times New Roman" w:hAnsi="Times New Roman" w:cs="Times New Roman"/>
          <w:sz w:val="24"/>
          <w:szCs w:val="24"/>
          <w:lang w:val="en-US"/>
        </w:rPr>
        <w:t xml:space="preserve">First, we acknowledge the complexity of </w:t>
      </w:r>
      <w:r w:rsidR="003661DE" w:rsidRPr="00E85554">
        <w:rPr>
          <w:rFonts w:ascii="Times New Roman" w:hAnsi="Times New Roman" w:cs="Times New Roman"/>
          <w:sz w:val="24"/>
          <w:szCs w:val="24"/>
          <w:lang w:val="en-US"/>
        </w:rPr>
        <w:t xml:space="preserve">(especially foreign) </w:t>
      </w:r>
      <w:r w:rsidR="002D03DE" w:rsidRPr="00E85554">
        <w:rPr>
          <w:rFonts w:ascii="Times New Roman" w:hAnsi="Times New Roman" w:cs="Times New Roman"/>
          <w:sz w:val="24"/>
          <w:szCs w:val="24"/>
          <w:lang w:val="en-US"/>
        </w:rPr>
        <w:t xml:space="preserve">independent </w:t>
      </w:r>
      <w:r w:rsidRPr="00E85554">
        <w:rPr>
          <w:rFonts w:ascii="Times New Roman" w:hAnsi="Times New Roman" w:cs="Times New Roman"/>
          <w:sz w:val="24"/>
          <w:szCs w:val="24"/>
          <w:lang w:val="en-US"/>
        </w:rPr>
        <w:t>directors’</w:t>
      </w:r>
      <w:r w:rsidR="003661DE" w:rsidRPr="00E85554">
        <w:rPr>
          <w:rFonts w:ascii="Times New Roman" w:hAnsi="Times New Roman" w:cs="Times New Roman"/>
          <w:sz w:val="24"/>
          <w:szCs w:val="24"/>
          <w:lang w:val="en-US"/>
        </w:rPr>
        <w:t xml:space="preserve"> </w:t>
      </w:r>
      <w:r w:rsidRPr="00E85554">
        <w:rPr>
          <w:rFonts w:ascii="Times New Roman" w:hAnsi="Times New Roman" w:cs="Times New Roman"/>
          <w:sz w:val="24"/>
          <w:szCs w:val="24"/>
          <w:lang w:val="en-US"/>
        </w:rPr>
        <w:t xml:space="preserve">effect on investment with a possibility of board efficiency </w:t>
      </w:r>
      <w:r w:rsidR="003661DE" w:rsidRPr="00E85554">
        <w:rPr>
          <w:rFonts w:ascii="Times New Roman" w:hAnsi="Times New Roman" w:cs="Times New Roman"/>
          <w:sz w:val="24"/>
          <w:szCs w:val="24"/>
          <w:lang w:val="en-US"/>
        </w:rPr>
        <w:t>effect co-existing</w:t>
      </w:r>
      <w:r w:rsidRPr="00E85554">
        <w:rPr>
          <w:rFonts w:ascii="Times New Roman" w:hAnsi="Times New Roman" w:cs="Times New Roman"/>
          <w:sz w:val="24"/>
          <w:szCs w:val="24"/>
          <w:lang w:val="en-US"/>
        </w:rPr>
        <w:t xml:space="preserve"> with </w:t>
      </w:r>
      <w:r w:rsidR="00713B34" w:rsidRPr="00E85554">
        <w:rPr>
          <w:rFonts w:ascii="Times New Roman" w:hAnsi="Times New Roman" w:cs="Times New Roman"/>
          <w:sz w:val="24"/>
          <w:szCs w:val="24"/>
          <w:lang w:val="en-US"/>
        </w:rPr>
        <w:t xml:space="preserve">board </w:t>
      </w:r>
      <w:r w:rsidRPr="00E85554">
        <w:rPr>
          <w:rFonts w:ascii="Times New Roman" w:hAnsi="Times New Roman" w:cs="Times New Roman"/>
          <w:sz w:val="24"/>
          <w:szCs w:val="24"/>
          <w:lang w:val="en-US"/>
        </w:rPr>
        <w:t>signaling and legitimacy effects.</w:t>
      </w:r>
      <w:r w:rsidR="003661DE" w:rsidRPr="00E85554">
        <w:rPr>
          <w:rFonts w:ascii="Times New Roman" w:hAnsi="Times New Roman" w:cs="Times New Roman"/>
          <w:sz w:val="24"/>
          <w:szCs w:val="24"/>
          <w:lang w:val="en-US"/>
        </w:rPr>
        <w:t xml:space="preserve"> </w:t>
      </w:r>
      <w:r w:rsidRPr="00E85554">
        <w:rPr>
          <w:rFonts w:ascii="Times New Roman" w:hAnsi="Times New Roman" w:cs="Times New Roman"/>
          <w:sz w:val="24"/>
          <w:szCs w:val="24"/>
          <w:lang w:val="en-US"/>
        </w:rPr>
        <w:t xml:space="preserve">The appointment of foreign directors may mitigate blockholder appropriation through enhanced monitoring and advice, measured by the interaction term between foreign directors and GCF. The signaling effect of this involvement is best proxied by the effect foreign directors have on external finance, rather than internally generated funds. In unreported specifications, we controlled for the interaction between external finance and foreign directors, and the main interaction between GCF and foreign directors still remains significant. </w:t>
      </w:r>
    </w:p>
    <w:p w14:paraId="5D66D0F2" w14:textId="77777777" w:rsidR="00A052B0" w:rsidRPr="00E85554" w:rsidRDefault="00A052B0" w:rsidP="00A052B0">
      <w:pPr>
        <w:pStyle w:val="ListParagraph"/>
        <w:spacing w:line="480" w:lineRule="auto"/>
        <w:ind w:left="0"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Second, the relevance of corporate governance varies across economic sectors depending on the risk of expropriation by the state or systemic corruption.  To address this concern, we partitioned our data into firms from ‘strategic’ sectors, where the threat of expropriation by the state is high, and all other firms. These are sectors of ‘strategic’ importance to the Russian government, such as energy, oil &amp; gas, precious metals &amp; </w:t>
      </w:r>
      <w:r w:rsidRPr="00E85554">
        <w:rPr>
          <w:rFonts w:ascii="Times New Roman" w:hAnsi="Times New Roman" w:cs="Times New Roman"/>
          <w:sz w:val="24"/>
          <w:szCs w:val="24"/>
          <w:lang w:val="en-US"/>
        </w:rPr>
        <w:lastRenderedPageBreak/>
        <w:t xml:space="preserve">minerals, aerospace &amp; defense, marine ports &amp; services, and broadcasting. Foreign investors are generally constrained to purchase shares in these strategic sectors. The unreported results show that independent directors are not likely to attenuate blockholder appropriation in strategic sector firms. It appears effective corporate governance is less common in strategic economic sectors due to the persistence of corruption. </w:t>
      </w:r>
    </w:p>
    <w:p w14:paraId="4C6AB5C5" w14:textId="77777777" w:rsidR="00A052B0" w:rsidRPr="00E85554" w:rsidRDefault="00A052B0" w:rsidP="00A052B0">
      <w:pPr>
        <w:pStyle w:val="ListParagraph"/>
        <w:spacing w:line="480" w:lineRule="auto"/>
        <w:ind w:left="0"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We have also included industrial sector dummies</w:t>
      </w:r>
      <w:r w:rsidR="007208B0">
        <w:rPr>
          <w:rFonts w:ascii="Times New Roman" w:hAnsi="Times New Roman" w:cs="Times New Roman"/>
          <w:sz w:val="24"/>
          <w:szCs w:val="24"/>
          <w:lang w:val="en-US"/>
        </w:rPr>
        <w:t xml:space="preserve"> </w:t>
      </w:r>
      <w:r w:rsidR="007208B0">
        <w:rPr>
          <w:rStyle w:val="FootnoteReference"/>
          <w:rFonts w:ascii="Times New Roman" w:hAnsi="Times New Roman" w:cs="Times New Roman"/>
          <w:sz w:val="24"/>
          <w:szCs w:val="24"/>
          <w:lang w:val="en-US"/>
        </w:rPr>
        <w:footnoteReference w:id="5"/>
      </w:r>
      <w:r w:rsidRPr="00E85554">
        <w:rPr>
          <w:rFonts w:ascii="Times New Roman" w:hAnsi="Times New Roman" w:cs="Times New Roman"/>
          <w:sz w:val="24"/>
          <w:szCs w:val="24"/>
          <w:lang w:val="en-US"/>
        </w:rPr>
        <w:t xml:space="preserve"> in specifications with random effects. We observe that the automobile sector dummy significantly interacts with GCF and ID Proportion. As firm size increases complexity, we control for it with the first difference </w:t>
      </w:r>
      <w:r w:rsidR="00713B34" w:rsidRPr="00E85554">
        <w:rPr>
          <w:rFonts w:ascii="Times New Roman" w:hAnsi="Times New Roman" w:cs="Times New Roman"/>
          <w:sz w:val="24"/>
          <w:szCs w:val="24"/>
          <w:lang w:val="en-US"/>
        </w:rPr>
        <w:t>of</w:t>
      </w:r>
      <w:r w:rsidRPr="00E85554">
        <w:rPr>
          <w:rFonts w:ascii="Times New Roman" w:hAnsi="Times New Roman" w:cs="Times New Roman"/>
          <w:sz w:val="24"/>
          <w:szCs w:val="24"/>
          <w:lang w:val="en-US"/>
        </w:rPr>
        <w:t xml:space="preserve"> logarithms of sales. </w:t>
      </w:r>
      <w:r w:rsidR="002E2C2C" w:rsidRPr="00E85554">
        <w:rPr>
          <w:rFonts w:ascii="Times New Roman" w:hAnsi="Times New Roman" w:cs="Times New Roman"/>
          <w:sz w:val="24"/>
          <w:szCs w:val="24"/>
          <w:lang w:val="en-US"/>
        </w:rPr>
        <w:t>W</w:t>
      </w:r>
      <w:r w:rsidRPr="00E85554">
        <w:rPr>
          <w:rFonts w:ascii="Times New Roman" w:hAnsi="Times New Roman" w:cs="Times New Roman"/>
          <w:sz w:val="24"/>
          <w:szCs w:val="24"/>
          <w:lang w:val="en-US"/>
        </w:rPr>
        <w:t xml:space="preserve">e find that larger companies invest proportionally more. The level of GCF also gives us an indication of size (larger firms tend to generate larger amounts of cash-flows). Overall, we observe that our baseline model produces consistent results for H0 (independent directors mitigate blockholder appropriation), but this is indeed contingent on many different factors, such as belonging to a strategic sector. </w:t>
      </w:r>
    </w:p>
    <w:p w14:paraId="34CC28F3" w14:textId="57237EE8" w:rsidR="00287763" w:rsidRPr="00287763" w:rsidRDefault="00A052B0" w:rsidP="00283928">
      <w:pPr>
        <w:pStyle w:val="ListParagraph"/>
        <w:spacing w:after="0" w:line="480" w:lineRule="auto"/>
        <w:ind w:left="0"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 xml:space="preserve">Third, we produced alternative measures of blockholder appropriation. We found that independent directors positively impact vertically or horizontally integrated structures, while they negatively impact the likelihood of a firm belonging to a business group. </w:t>
      </w:r>
      <w:r w:rsidR="00BA17CA">
        <w:rPr>
          <w:rFonts w:ascii="Times New Roman" w:hAnsi="Times New Roman" w:cs="Times New Roman"/>
          <w:sz w:val="24"/>
          <w:szCs w:val="24"/>
          <w:lang w:val="en-US"/>
        </w:rPr>
        <w:t>W</w:t>
      </w:r>
      <w:r w:rsidR="00287763" w:rsidRPr="00287763">
        <w:rPr>
          <w:rFonts w:ascii="Times New Roman" w:hAnsi="Times New Roman" w:cs="Times New Roman"/>
          <w:sz w:val="24"/>
          <w:szCs w:val="24"/>
          <w:lang w:val="en-US"/>
        </w:rPr>
        <w:t xml:space="preserve">e constructed a measure for firms that are part of the same ownership structure and vertically integrated (binary variable, 1/0). For example, oil and gas companies, such as Bashkirenergo, Bashneft and Irkutskenergo are vertically integrated, meaning that they can control access to scarce natural resources, from exploration and extraction of crude petroleum to downstream refineries and distribution networks. </w:t>
      </w:r>
    </w:p>
    <w:p w14:paraId="174BB8B6" w14:textId="07C85CC8" w:rsidR="00287763" w:rsidRPr="00287763" w:rsidRDefault="00BA17CA" w:rsidP="00283928">
      <w:pPr>
        <w:pStyle w:val="ListParagraph"/>
        <w:spacing w:after="0" w:line="480" w:lineRule="auto"/>
        <w:ind w:left="0" w:firstLine="720"/>
        <w:rPr>
          <w:rFonts w:ascii="Times New Roman" w:hAnsi="Times New Roman" w:cs="Times New Roman"/>
          <w:sz w:val="24"/>
          <w:szCs w:val="24"/>
          <w:lang w:val="en-US"/>
        </w:rPr>
      </w:pPr>
      <w:r>
        <w:rPr>
          <w:rFonts w:ascii="Times New Roman" w:hAnsi="Times New Roman" w:cs="Times New Roman"/>
          <w:sz w:val="24"/>
          <w:szCs w:val="24"/>
          <w:lang w:val="en-US"/>
        </w:rPr>
        <w:t>W</w:t>
      </w:r>
      <w:r w:rsidR="00287763" w:rsidRPr="00287763">
        <w:rPr>
          <w:rFonts w:ascii="Times New Roman" w:hAnsi="Times New Roman" w:cs="Times New Roman"/>
          <w:sz w:val="24"/>
          <w:szCs w:val="24"/>
          <w:lang w:val="en-US"/>
        </w:rPr>
        <w:t xml:space="preserve">e </w:t>
      </w:r>
      <w:r>
        <w:rPr>
          <w:rFonts w:ascii="Times New Roman" w:hAnsi="Times New Roman" w:cs="Times New Roman"/>
          <w:sz w:val="24"/>
          <w:szCs w:val="24"/>
          <w:lang w:val="en-US"/>
        </w:rPr>
        <w:t xml:space="preserve">also </w:t>
      </w:r>
      <w:r w:rsidR="00287763" w:rsidRPr="00287763">
        <w:rPr>
          <w:rFonts w:ascii="Times New Roman" w:hAnsi="Times New Roman" w:cs="Times New Roman"/>
          <w:sz w:val="24"/>
          <w:szCs w:val="24"/>
          <w:lang w:val="en-US"/>
        </w:rPr>
        <w:t xml:space="preserve">constructed a measure for firms owned by the same blockholder and horizontally integrated (binary variable, 1/0). For example, two businesses are horizontally </w:t>
      </w:r>
      <w:r w:rsidR="00287763" w:rsidRPr="00287763">
        <w:rPr>
          <w:rFonts w:ascii="Times New Roman" w:hAnsi="Times New Roman" w:cs="Times New Roman"/>
          <w:sz w:val="24"/>
          <w:szCs w:val="24"/>
          <w:lang w:val="en-US"/>
        </w:rPr>
        <w:lastRenderedPageBreak/>
        <w:t>integrated if they are at the same stage of production, such as two supermarkets, or two food manufacturers.</w:t>
      </w:r>
    </w:p>
    <w:p w14:paraId="4EF9EE11" w14:textId="2C9C179C" w:rsidR="00287763" w:rsidRDefault="00BA17CA" w:rsidP="00283928">
      <w:pPr>
        <w:pStyle w:val="ListParagraph"/>
        <w:spacing w:after="0" w:line="480" w:lineRule="auto"/>
        <w:ind w:left="0" w:firstLine="720"/>
        <w:rPr>
          <w:rFonts w:ascii="Times New Roman" w:hAnsi="Times New Roman" w:cs="Times New Roman"/>
          <w:sz w:val="24"/>
          <w:szCs w:val="24"/>
          <w:lang w:val="en-US"/>
        </w:rPr>
      </w:pPr>
      <w:r>
        <w:rPr>
          <w:rFonts w:ascii="Times New Roman" w:hAnsi="Times New Roman" w:cs="Times New Roman"/>
          <w:sz w:val="24"/>
          <w:szCs w:val="24"/>
          <w:lang w:val="en-US"/>
        </w:rPr>
        <w:t>Last</w:t>
      </w:r>
      <w:r w:rsidR="00287763" w:rsidRPr="00287763">
        <w:rPr>
          <w:rFonts w:ascii="Times New Roman" w:hAnsi="Times New Roman" w:cs="Times New Roman"/>
          <w:sz w:val="24"/>
          <w:szCs w:val="24"/>
          <w:lang w:val="en-US"/>
        </w:rPr>
        <w:t xml:space="preserve">ly, we measured the impact of independent directors on business groups (Table </w:t>
      </w:r>
      <w:r w:rsidR="00287763">
        <w:rPr>
          <w:rFonts w:ascii="Times New Roman" w:hAnsi="Times New Roman" w:cs="Times New Roman"/>
          <w:sz w:val="24"/>
          <w:szCs w:val="24"/>
          <w:lang w:val="en-US"/>
        </w:rPr>
        <w:t>6</w:t>
      </w:r>
      <w:r w:rsidR="00287763" w:rsidRPr="00287763">
        <w:rPr>
          <w:rFonts w:ascii="Times New Roman" w:hAnsi="Times New Roman" w:cs="Times New Roman"/>
          <w:sz w:val="24"/>
          <w:szCs w:val="24"/>
          <w:lang w:val="en-US"/>
        </w:rPr>
        <w:t xml:space="preserve">). A business group (Guriev and Rachinsky, 2005), sometimes referred </w:t>
      </w:r>
      <w:r>
        <w:rPr>
          <w:rFonts w:ascii="Times New Roman" w:hAnsi="Times New Roman" w:cs="Times New Roman"/>
          <w:sz w:val="24"/>
          <w:szCs w:val="24"/>
          <w:lang w:val="en-US"/>
        </w:rPr>
        <w:t xml:space="preserve">to </w:t>
      </w:r>
      <w:r w:rsidR="00287763" w:rsidRPr="00287763">
        <w:rPr>
          <w:rFonts w:ascii="Times New Roman" w:hAnsi="Times New Roman" w:cs="Times New Roman"/>
          <w:sz w:val="24"/>
          <w:szCs w:val="24"/>
          <w:lang w:val="en-US"/>
        </w:rPr>
        <w:t>as a conglomerate, is a diversified portfolio of unrelated companies belonging to the same holding company which is controlled by the ultimate controlling owners (blockholders). Sistema for example, is a business group, operating a portfolio of large businesses in the areas of IT, banking, retail, and oil &amp; gas, all ultimately belonging to Mr Yevtushenkov, the private blockholder (oligarch). We construct a dummy equal to 1 when a firm belongs to a business group and 0 otherwise.</w:t>
      </w:r>
    </w:p>
    <w:p w14:paraId="652ED4BF" w14:textId="777EF004" w:rsidR="00287763" w:rsidRDefault="00287763" w:rsidP="00E91BEA">
      <w:pPr>
        <w:pStyle w:val="ListParagraph"/>
        <w:spacing w:after="0" w:line="480" w:lineRule="auto"/>
        <w:ind w:left="0" w:firstLine="720"/>
        <w:rPr>
          <w:rFonts w:ascii="Times New Roman" w:hAnsi="Times New Roman" w:cs="Times New Roman"/>
          <w:sz w:val="24"/>
          <w:szCs w:val="24"/>
          <w:lang w:val="en-US"/>
        </w:rPr>
      </w:pPr>
      <w:r w:rsidRPr="00287763">
        <w:rPr>
          <w:rFonts w:ascii="Times New Roman" w:hAnsi="Times New Roman" w:cs="Times New Roman"/>
          <w:sz w:val="24"/>
          <w:szCs w:val="24"/>
          <w:lang w:val="en-US"/>
        </w:rPr>
        <w:t xml:space="preserve">Following </w:t>
      </w:r>
      <w:r w:rsidR="00283928">
        <w:rPr>
          <w:rFonts w:ascii="Times New Roman" w:hAnsi="Times New Roman" w:cs="Times New Roman"/>
          <w:sz w:val="24"/>
          <w:szCs w:val="24"/>
          <w:lang w:val="en-US"/>
        </w:rPr>
        <w:t xml:space="preserve">the </w:t>
      </w:r>
      <w:r w:rsidRPr="00287763">
        <w:rPr>
          <w:rFonts w:ascii="Times New Roman" w:hAnsi="Times New Roman" w:cs="Times New Roman"/>
          <w:sz w:val="24"/>
          <w:szCs w:val="24"/>
          <w:lang w:val="en-US"/>
        </w:rPr>
        <w:t xml:space="preserve">literature on business groups in Russia and in other emerging economies (Guriev and Rachinsky, 2005; Bertrand, Mehta, and Mullainathan, 2002), we posit that in business groups where firms are owned by the same ultimate blockholder and where some of the firms are from unrelated business sectors, blockholder appropriation may happen to a larger extent than in vertically or horizontally integrated groups. We posit that when firms are vertically or horizontally integrated, they have more operational synergies between the entities in the group, and also the blockholders have lesser opportunities to use such entities to tunnel funds from one entity to the other. We find that independent directors are negatively associated with business groups which are more prone to blockholder appropriation as per Table </w:t>
      </w:r>
      <w:r>
        <w:rPr>
          <w:rFonts w:ascii="Times New Roman" w:hAnsi="Times New Roman" w:cs="Times New Roman"/>
          <w:sz w:val="24"/>
          <w:szCs w:val="24"/>
          <w:lang w:val="en-US"/>
        </w:rPr>
        <w:t>6</w:t>
      </w:r>
      <w:r w:rsidRPr="00287763">
        <w:rPr>
          <w:rFonts w:ascii="Times New Roman" w:hAnsi="Times New Roman" w:cs="Times New Roman"/>
          <w:sz w:val="24"/>
          <w:szCs w:val="24"/>
          <w:lang w:val="en-US"/>
        </w:rPr>
        <w:t>. In unreported tables, we find that independent directors have no effect on vertically and horizontally integrated groups.</w:t>
      </w:r>
    </w:p>
    <w:p w14:paraId="50A483AB" w14:textId="77777777" w:rsidR="00287763" w:rsidRPr="00E85554" w:rsidRDefault="00287763" w:rsidP="00287763">
      <w:pPr>
        <w:spacing w:after="0" w:line="240" w:lineRule="auto"/>
        <w:ind w:firstLine="720"/>
        <w:jc w:val="center"/>
        <w:rPr>
          <w:rFonts w:ascii="Times New Roman" w:hAnsi="Times New Roman" w:cs="Times New Roman"/>
          <w:sz w:val="24"/>
          <w:szCs w:val="24"/>
        </w:rPr>
      </w:pPr>
      <w:r w:rsidRPr="00E85554">
        <w:rPr>
          <w:rFonts w:ascii="Times New Roman" w:hAnsi="Times New Roman" w:cs="Times New Roman"/>
          <w:sz w:val="24"/>
          <w:szCs w:val="24"/>
        </w:rPr>
        <w:t>-----------------------------------------------------</w:t>
      </w:r>
    </w:p>
    <w:p w14:paraId="525C209F" w14:textId="77777777" w:rsidR="00287763" w:rsidRPr="00E85554" w:rsidRDefault="00287763" w:rsidP="00287763">
      <w:pPr>
        <w:spacing w:after="0" w:line="24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Insert Table 6 about here </w:t>
      </w:r>
    </w:p>
    <w:p w14:paraId="335C4403" w14:textId="77777777" w:rsidR="00287763" w:rsidRDefault="00287763" w:rsidP="00283928">
      <w:pPr>
        <w:pStyle w:val="ListParagraph"/>
        <w:spacing w:after="0" w:line="480" w:lineRule="auto"/>
        <w:ind w:left="0" w:firstLine="720"/>
        <w:jc w:val="center"/>
        <w:rPr>
          <w:rFonts w:ascii="Times New Roman" w:hAnsi="Times New Roman" w:cs="Times New Roman"/>
          <w:sz w:val="24"/>
          <w:szCs w:val="24"/>
          <w:lang w:val="en-US"/>
        </w:rPr>
      </w:pPr>
      <w:r w:rsidRPr="00E85554">
        <w:rPr>
          <w:rFonts w:ascii="Times New Roman" w:hAnsi="Times New Roman" w:cs="Times New Roman"/>
          <w:sz w:val="24"/>
          <w:szCs w:val="24"/>
        </w:rPr>
        <w:t>------------------------------------------------------</w:t>
      </w:r>
    </w:p>
    <w:p w14:paraId="75A9EF2B" w14:textId="60B840BC" w:rsidR="00A052B0" w:rsidRPr="00E85554" w:rsidRDefault="00A052B0" w:rsidP="00A052B0">
      <w:pPr>
        <w:pStyle w:val="ListParagraph"/>
        <w:spacing w:after="0" w:line="480" w:lineRule="auto"/>
        <w:ind w:left="0" w:firstLine="720"/>
        <w:rPr>
          <w:rFonts w:ascii="Times New Roman" w:hAnsi="Times New Roman" w:cs="Times New Roman"/>
          <w:sz w:val="24"/>
          <w:szCs w:val="24"/>
          <w:lang w:val="en-US"/>
        </w:rPr>
      </w:pPr>
      <w:r w:rsidRPr="00E85554">
        <w:rPr>
          <w:rFonts w:ascii="Times New Roman" w:hAnsi="Times New Roman" w:cs="Times New Roman"/>
          <w:sz w:val="24"/>
          <w:szCs w:val="24"/>
          <w:lang w:val="en-US"/>
        </w:rPr>
        <w:t>We also produced a measure of investment efficiency as the deviation of the size of the investments from the level predicted by economic conditions.</w:t>
      </w:r>
      <w:r w:rsidR="005803BD" w:rsidRPr="00E85554">
        <w:rPr>
          <w:rFonts w:ascii="Times New Roman" w:hAnsi="Times New Roman" w:cs="Times New Roman"/>
          <w:sz w:val="24"/>
          <w:szCs w:val="24"/>
          <w:lang w:val="en-US"/>
        </w:rPr>
        <w:t xml:space="preserve"> Several studies on Russia </w:t>
      </w:r>
      <w:r w:rsidR="005803BD" w:rsidRPr="00E85554">
        <w:rPr>
          <w:rFonts w:ascii="Times New Roman" w:hAnsi="Times New Roman" w:cs="Times New Roman"/>
          <w:sz w:val="24"/>
          <w:szCs w:val="24"/>
          <w:lang w:val="en-US"/>
        </w:rPr>
        <w:lastRenderedPageBreak/>
        <w:t>using externally compiled composite corporate governance indices as measures for good corporate governance have uncovered that: 1) board independence is unrelated to corporate transparency and disclosure; 2) governance structures have a significant effect on disclosure for non-cross-listed firms; and 3) disclosure of financial and operational information has a positive effect on firm value (</w:t>
      </w:r>
      <w:r w:rsidR="005803BD" w:rsidRPr="00E85554">
        <w:rPr>
          <w:rFonts w:ascii="Times New Roman" w:hAnsi="Times New Roman" w:cs="Times New Roman"/>
          <w:sz w:val="24"/>
          <w:szCs w:val="24"/>
          <w:lang w:val="en-US"/>
        </w:rPr>
        <w:fldChar w:fldCharType="begin"/>
      </w:r>
      <w:r w:rsidR="005803BD" w:rsidRPr="00E85554">
        <w:rPr>
          <w:rFonts w:ascii="Times New Roman" w:hAnsi="Times New Roman" w:cs="Times New Roman"/>
          <w:sz w:val="24"/>
          <w:szCs w:val="24"/>
          <w:lang w:val="en-US"/>
        </w:rPr>
        <w:instrText xml:space="preserve"> ADDIN EN.CITE &lt;EndNote&gt;&lt;Cite AuthorYear="1"&gt;&lt;Author&gt;Black&lt;/Author&gt;&lt;Year&gt;2016&lt;/Year&gt;&lt;RecNum&gt;840&lt;/RecNum&gt;&lt;DisplayText&gt;Berezinets et al. (2017); Black et al. (2016)&lt;/DisplayText&gt;&lt;record&gt;&lt;rec-number&gt;840&lt;/rec-number&gt;&lt;foreign-keys&gt;&lt;key app="EN" db-id="xdsfzvadmzzxdzereeq5xdf7eaxsdwfdfave" timestamp="1516277358"&gt;840&lt;/key&gt;&lt;/foreign-keys&gt;&lt;ref-type name="Conference Proceedings"&gt;10&lt;/ref-type&gt;&lt;contributors&gt;&lt;authors&gt;&lt;author&gt;Black, Bernard&lt;/author&gt;&lt;author&gt;Muravyev, Alexander&lt;/author&gt;&lt;/authors&gt;&lt;/contributors&gt;&lt;titles&gt;&lt;title&gt;Do disclosure and transparency matter for firm performance? Evidence from the Russian stock exchange&lt;/title&gt;&lt;secondary-title&gt;XVI April International Academic Conference on Economic and Social Development&lt;/secondary-title&gt;&lt;/titles&gt;&lt;dates&gt;&lt;year&gt;2016&lt;/year&gt;&lt;/dates&gt;&lt;pub-location&gt;Higher School of Economics, Moscow&lt;/pub-location&gt;&lt;urls&gt;&lt;/urls&gt;&lt;/record&gt;&lt;/Cite&gt;&lt;Cite AuthorYear="1"&gt;&lt;Author&gt;Berezinets&lt;/Author&gt;&lt;Year&gt;2017&lt;/Year&gt;&lt;RecNum&gt;841&lt;/RecNum&gt;&lt;record&gt;&lt;rec-number&gt;841&lt;/rec-number&gt;&lt;foreign-keys&gt;&lt;key app="EN" db-id="xdsfzvadmzzxdzereeq5xdf7eaxsdwfdfave" timestamp="1516277873"&gt;841&lt;/key&gt;&lt;/foreign-keys&gt;&lt;ref-type name="Conference Proceedings"&gt;10&lt;/ref-type&gt;&lt;contributors&gt;&lt;authors&gt;&lt;author&gt;Berezinets, Irina&lt;/author&gt;&lt;author&gt;Muravyev, Alexander&lt;/author&gt;&lt;/authors&gt;&lt;/contributors&gt;&lt;titles&gt;&lt;title&gt;Governance structure, cross-listing status and corporate disclosure: Evidence from the emerging market of Russia&lt;/title&gt;&lt;secondary-title&gt;World Finance Banking Symposium &lt;/secondary-title&gt;&lt;/titles&gt;&lt;dates&gt;&lt;year&gt;2017&lt;/year&gt;&lt;/dates&gt;&lt;pub-location&gt;Bangkok, Thailand&lt;/pub-location&gt;&lt;urls&gt;&lt;/urls&gt;&lt;/record&gt;&lt;/Cite&gt;&lt;/EndNote&gt;</w:instrText>
      </w:r>
      <w:r w:rsidR="005803BD" w:rsidRPr="00E85554">
        <w:rPr>
          <w:rFonts w:ascii="Times New Roman" w:hAnsi="Times New Roman" w:cs="Times New Roman"/>
          <w:sz w:val="24"/>
          <w:szCs w:val="24"/>
          <w:lang w:val="en-US"/>
        </w:rPr>
        <w:fldChar w:fldCharType="separate"/>
      </w:r>
      <w:hyperlink w:anchor="_ENREF_13" w:tooltip="Berezinets, 2017 #841" w:history="1">
        <w:r w:rsidR="00266C78" w:rsidRPr="00E85554">
          <w:rPr>
            <w:rFonts w:ascii="Times New Roman" w:hAnsi="Times New Roman" w:cs="Times New Roman"/>
            <w:noProof/>
            <w:sz w:val="24"/>
            <w:szCs w:val="24"/>
            <w:lang w:val="en-US"/>
          </w:rPr>
          <w:t>Berezinets et al. (2017)</w:t>
        </w:r>
      </w:hyperlink>
      <w:r w:rsidR="005803BD" w:rsidRPr="00E85554">
        <w:rPr>
          <w:rFonts w:ascii="Times New Roman" w:hAnsi="Times New Roman" w:cs="Times New Roman"/>
          <w:noProof/>
          <w:sz w:val="24"/>
          <w:szCs w:val="24"/>
          <w:lang w:val="en-US"/>
        </w:rPr>
        <w:t xml:space="preserve">; </w:t>
      </w:r>
      <w:hyperlink w:anchor="_ENREF_18" w:tooltip="Black, 2016 #840" w:history="1">
        <w:r w:rsidR="00266C78" w:rsidRPr="00E85554">
          <w:rPr>
            <w:rFonts w:ascii="Times New Roman" w:hAnsi="Times New Roman" w:cs="Times New Roman"/>
            <w:noProof/>
            <w:sz w:val="24"/>
            <w:szCs w:val="24"/>
            <w:lang w:val="en-US"/>
          </w:rPr>
          <w:t>Black et al. (2016)</w:t>
        </w:r>
      </w:hyperlink>
      <w:r w:rsidR="005803BD" w:rsidRPr="00E85554">
        <w:rPr>
          <w:rFonts w:ascii="Times New Roman" w:hAnsi="Times New Roman" w:cs="Times New Roman"/>
          <w:sz w:val="24"/>
          <w:szCs w:val="24"/>
          <w:lang w:val="en-US"/>
        </w:rPr>
        <w:fldChar w:fldCharType="end"/>
      </w:r>
      <w:hyperlink w:anchor="_ENREF_10" w:tooltip="Berezinets, 2017 #841" w:history="1"/>
      <w:r w:rsidR="005803BD" w:rsidRPr="00E85554">
        <w:rPr>
          <w:rFonts w:ascii="Times New Roman" w:hAnsi="Times New Roman" w:cs="Times New Roman"/>
          <w:sz w:val="24"/>
          <w:szCs w:val="24"/>
          <w:lang w:val="en-US"/>
        </w:rPr>
        <w:t xml:space="preserve">. </w:t>
      </w:r>
      <w:r w:rsidRPr="00E85554">
        <w:rPr>
          <w:rFonts w:ascii="Times New Roman" w:hAnsi="Times New Roman" w:cs="Times New Roman"/>
          <w:sz w:val="24"/>
          <w:szCs w:val="24"/>
          <w:lang w:val="en-US"/>
        </w:rPr>
        <w:t xml:space="preserve"> In line with</w:t>
      </w:r>
      <w:r w:rsidR="00E6476A">
        <w:rPr>
          <w:rFonts w:ascii="Times New Roman" w:hAnsi="Times New Roman" w:cs="Times New Roman"/>
          <w:sz w:val="24"/>
          <w:szCs w:val="24"/>
          <w:lang w:val="en-US"/>
        </w:rPr>
        <w:t xml:space="preserve"> </w:t>
      </w:r>
      <w:hyperlink w:anchor="_ENREF_16" w:tooltip="Biddle, 2009 #860" w:history="1">
        <w:r w:rsidR="00266C78">
          <w:rPr>
            <w:rFonts w:ascii="Times New Roman" w:hAnsi="Times New Roman" w:cs="Times New Roman"/>
            <w:sz w:val="24"/>
            <w:szCs w:val="24"/>
            <w:lang w:val="en-US"/>
          </w:rPr>
          <w:fldChar w:fldCharType="begin"/>
        </w:r>
        <w:r w:rsidR="00266C78">
          <w:rPr>
            <w:rFonts w:ascii="Times New Roman" w:hAnsi="Times New Roman" w:cs="Times New Roman"/>
            <w:sz w:val="24"/>
            <w:szCs w:val="24"/>
            <w:lang w:val="en-US"/>
          </w:rPr>
          <w:instrText xml:space="preserve"> ADDIN EN.CITE &lt;EndNote&gt;&lt;Cite AuthorYear="1"&gt;&lt;Author&gt;Biddle&lt;/Author&gt;&lt;Year&gt;2009&lt;/Year&gt;&lt;RecNum&gt;860&lt;/RecNum&gt;&lt;DisplayText&gt;Biddle et al. (2009)&lt;/DisplayText&gt;&lt;record&gt;&lt;rec-number&gt;860&lt;/rec-number&gt;&lt;foreign-keys&gt;&lt;key app="EN" db-id="xdsfzvadmzzxdzereeq5xdf7eaxsdwfdfave" timestamp="1516665721"&gt;860&lt;/key&gt;&lt;/foreign-keys&gt;&lt;ref-type name="Journal Article"&gt;17&lt;/ref-type&gt;&lt;contributors&gt;&lt;authors&gt;&lt;author&gt;Biddle, Gary C&lt;/author&gt;&lt;author&gt;Hilary, Gilles&lt;/author&gt;&lt;author&gt;Verdi, Rodrigo S&lt;/author&gt;&lt;/authors&gt;&lt;/contributors&gt;&lt;titles&gt;&lt;title&gt;How does financial reporting quality relate to investment efficiency?&lt;/title&gt;&lt;secondary-title&gt;Journal of accounting and economics&lt;/secondary-title&gt;&lt;/titles&gt;&lt;periodical&gt;&lt;full-title&gt;Journal of accounting and economics&lt;/full-title&gt;&lt;/periodical&gt;&lt;pages&gt;112-131&lt;/pages&gt;&lt;volume&gt;48&lt;/volume&gt;&lt;number&gt;2&lt;/number&gt;&lt;dates&gt;&lt;year&gt;2009&lt;/year&gt;&lt;/dates&gt;&lt;isbn&gt;0165-4101&lt;/isbn&gt;&lt;urls&gt;&lt;/urls&gt;&lt;/record&gt;&lt;/Cite&gt;&lt;/EndNote&gt;</w:instrText>
        </w:r>
        <w:r w:rsidR="00266C78">
          <w:rPr>
            <w:rFonts w:ascii="Times New Roman" w:hAnsi="Times New Roman" w:cs="Times New Roman"/>
            <w:sz w:val="24"/>
            <w:szCs w:val="24"/>
            <w:lang w:val="en-US"/>
          </w:rPr>
          <w:fldChar w:fldCharType="separate"/>
        </w:r>
        <w:r w:rsidR="00266C78">
          <w:rPr>
            <w:rFonts w:ascii="Times New Roman" w:hAnsi="Times New Roman" w:cs="Times New Roman"/>
            <w:noProof/>
            <w:sz w:val="24"/>
            <w:szCs w:val="24"/>
            <w:lang w:val="en-US"/>
          </w:rPr>
          <w:t>Biddle et al. (2009)</w:t>
        </w:r>
        <w:r w:rsidR="00266C78">
          <w:rPr>
            <w:rFonts w:ascii="Times New Roman" w:hAnsi="Times New Roman" w:cs="Times New Roman"/>
            <w:sz w:val="24"/>
            <w:szCs w:val="24"/>
            <w:lang w:val="en-US"/>
          </w:rPr>
          <w:fldChar w:fldCharType="end"/>
        </w:r>
      </w:hyperlink>
      <w:r w:rsidRPr="00E85554">
        <w:rPr>
          <w:rFonts w:ascii="Times New Roman" w:hAnsi="Times New Roman" w:cs="Times New Roman"/>
          <w:sz w:val="24"/>
          <w:szCs w:val="24"/>
          <w:lang w:val="en-US"/>
        </w:rPr>
        <w:t>, we find that reporting quality as measured by Standard &amp; Poor’s financial information disclosure score, is positively associated with investment among firms with higher likelihood of under-investing. We also uncover that the presence of independent directors increases investment regardless of whether a firm is more or less likely to over-invest. In sum, these alternative measures provide support for our hypotheses that independent directors are likely to be efficient and to reduce blockholder appropriation.</w:t>
      </w:r>
    </w:p>
    <w:p w14:paraId="13493AC9" w14:textId="77777777" w:rsidR="00713B34" w:rsidRPr="00A13EEE" w:rsidRDefault="00713B34" w:rsidP="00713B34">
      <w:pPr>
        <w:pStyle w:val="Heading2"/>
        <w:spacing w:before="0" w:line="480" w:lineRule="auto"/>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DISCUSSION AND CONCLUSION</w:t>
      </w:r>
    </w:p>
    <w:p w14:paraId="7B60F5BA" w14:textId="1DC836AC" w:rsidR="00713B34" w:rsidRDefault="00713B34" w:rsidP="00A423B4">
      <w:pPr>
        <w:spacing w:after="0"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Emerging market firms characterized by ownership concentration are exposed to principal-principal conflict</w:t>
      </w:r>
      <w:r w:rsidR="00EB0AA8">
        <w:rPr>
          <w:rFonts w:ascii="Times New Roman" w:hAnsi="Times New Roman" w:cs="Times New Roman"/>
          <w:sz w:val="24"/>
          <w:szCs w:val="24"/>
          <w:lang w:val="en-US"/>
        </w:rPr>
        <w:t>s</w:t>
      </w:r>
      <w:r>
        <w:rPr>
          <w:rFonts w:ascii="Times New Roman" w:hAnsi="Times New Roman" w:cs="Times New Roman"/>
          <w:sz w:val="24"/>
          <w:szCs w:val="24"/>
          <w:lang w:val="en-US"/>
        </w:rPr>
        <w:t xml:space="preserve">, which </w:t>
      </w:r>
      <w:r w:rsidR="00EB0AA8">
        <w:rPr>
          <w:rFonts w:ascii="Times New Roman" w:hAnsi="Times New Roman" w:cs="Times New Roman"/>
          <w:sz w:val="24"/>
          <w:szCs w:val="24"/>
          <w:lang w:val="en-US"/>
        </w:rPr>
        <w:t>are</w:t>
      </w:r>
      <w:r>
        <w:rPr>
          <w:rFonts w:ascii="Times New Roman" w:hAnsi="Times New Roman" w:cs="Times New Roman"/>
          <w:sz w:val="24"/>
          <w:szCs w:val="24"/>
          <w:lang w:val="en-US"/>
        </w:rPr>
        <w:t xml:space="preserve"> exace</w:t>
      </w:r>
      <w:r w:rsidR="00A423B4">
        <w:rPr>
          <w:rFonts w:ascii="Times New Roman" w:hAnsi="Times New Roman" w:cs="Times New Roman"/>
          <w:sz w:val="24"/>
          <w:szCs w:val="24"/>
          <w:lang w:val="en-US"/>
        </w:rPr>
        <w:t xml:space="preserve">rbated with weak institutions. </w:t>
      </w:r>
      <w:r>
        <w:rPr>
          <w:rFonts w:ascii="Times New Roman" w:hAnsi="Times New Roman" w:cs="Times New Roman"/>
          <w:sz w:val="24"/>
          <w:szCs w:val="24"/>
          <w:lang w:val="en-US"/>
        </w:rPr>
        <w:t xml:space="preserve">This is when majority blockholders might extract </w:t>
      </w:r>
      <w:r w:rsidRPr="00A13EEE">
        <w:rPr>
          <w:rFonts w:ascii="Times New Roman" w:hAnsi="Times New Roman" w:cs="Times New Roman"/>
          <w:sz w:val="24"/>
          <w:szCs w:val="24"/>
          <w:lang w:val="en-US"/>
        </w:rPr>
        <w:t xml:space="preserve">private benefits of control </w:t>
      </w:r>
      <w:r>
        <w:rPr>
          <w:rFonts w:ascii="Times New Roman" w:hAnsi="Times New Roman" w:cs="Times New Roman"/>
          <w:sz w:val="24"/>
          <w:szCs w:val="24"/>
          <w:lang w:val="en-US"/>
        </w:rPr>
        <w:t>from</w:t>
      </w:r>
      <w:r w:rsidRPr="00A13EEE">
        <w:rPr>
          <w:rFonts w:ascii="Times New Roman" w:hAnsi="Times New Roman" w:cs="Times New Roman"/>
          <w:sz w:val="24"/>
          <w:szCs w:val="24"/>
          <w:lang w:val="en-US"/>
        </w:rPr>
        <w:t xml:space="preserve"> minority shareholders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EN.CITE &lt;EndNote&gt;&lt;Cite&gt;&lt;Author&gt;Grossman&lt;/Author&gt;&lt;Year&gt;1988&lt;/Year&gt;&lt;RecNum&gt;49&lt;/RecNum&gt;&lt;DisplayText&gt;(Grossman et al., 1988)&lt;/DisplayText&gt;&lt;record&gt;&lt;rec-number&gt;49&lt;/rec-number&gt;&lt;foreign-keys&gt;&lt;key app="EN" db-id="xdsfzvadmzzxdzereeq5xdf7eaxsdwfdfave" timestamp="1389483410"&gt;49&lt;/key&gt;&lt;/foreign-keys&gt;&lt;ref-type name="Journal Article"&gt;17&lt;/ref-type&gt;&lt;contributors&gt;&lt;authors&gt;&lt;author&gt;Grossman, Sanford J&lt;/author&gt;&lt;author&gt;Hart, Oliver D&lt;/author&gt;&lt;/authors&gt;&lt;/contributors&gt;&lt;titles&gt;&lt;title&gt;One share-one vote and the market for corporate control&lt;/title&gt;&lt;secondary-title&gt;Journal of financial economics&lt;/secondary-title&gt;&lt;/titles&gt;&lt;periodical&gt;&lt;full-title&gt;Journal of Financial Economics&lt;/full-title&gt;&lt;/periodical&gt;&lt;pages&gt;175-202&lt;/pages&gt;&lt;volume&gt;20&lt;/volume&gt;&lt;dates&gt;&lt;year&gt;1988&lt;/year&gt;&lt;/dates&gt;&lt;isbn&gt;0304-405X&lt;/isbn&gt;&lt;urls&gt;&lt;/urls&gt;&lt;/record&gt;&lt;/Cite&gt;&lt;/EndNote&gt;</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w:t>
      </w:r>
      <w:hyperlink w:anchor="_ENREF_53" w:tooltip="Grossman, 1988 #49" w:history="1">
        <w:r w:rsidR="00266C78">
          <w:rPr>
            <w:rFonts w:ascii="Times New Roman" w:hAnsi="Times New Roman" w:cs="Times New Roman"/>
            <w:noProof/>
            <w:sz w:val="24"/>
            <w:szCs w:val="24"/>
            <w:lang w:val="en-US"/>
          </w:rPr>
          <w:t>Grossman et al., 1988</w:t>
        </w:r>
      </w:hyperlink>
      <w:r>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r w:rsidRPr="00A13EEE">
        <w:rPr>
          <w:rFonts w:ascii="Times New Roman" w:hAnsi="Times New Roman" w:cs="Times New Roman"/>
          <w:sz w:val="24"/>
          <w:szCs w:val="24"/>
          <w:lang w:val="en-US"/>
        </w:rPr>
        <w:t xml:space="preserve">, </w:t>
      </w:r>
      <w:r w:rsidR="00A423B4">
        <w:rPr>
          <w:rFonts w:ascii="Times New Roman" w:hAnsi="Times New Roman" w:cs="Times New Roman"/>
          <w:sz w:val="24"/>
          <w:szCs w:val="24"/>
          <w:lang w:val="en-US"/>
        </w:rPr>
        <w:t>also referred to as</w:t>
      </w:r>
      <w:r w:rsidRPr="00A13EEE">
        <w:rPr>
          <w:rFonts w:ascii="Times New Roman" w:hAnsi="Times New Roman" w:cs="Times New Roman"/>
          <w:sz w:val="24"/>
          <w:szCs w:val="24"/>
          <w:lang w:val="en-US"/>
        </w:rPr>
        <w:t xml:space="preserve"> </w:t>
      </w:r>
      <w:r>
        <w:rPr>
          <w:rFonts w:ascii="Times New Roman" w:hAnsi="Times New Roman" w:cs="Times New Roman"/>
          <w:sz w:val="24"/>
          <w:szCs w:val="24"/>
          <w:lang w:val="en-US"/>
        </w:rPr>
        <w:t>blockholder appropriation.</w:t>
      </w:r>
      <w:r w:rsidRPr="00A13EEE" w:rsidDel="00A67B2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We study the </w:t>
      </w:r>
      <w:r w:rsidR="00BC56B8">
        <w:rPr>
          <w:rFonts w:ascii="Times New Roman" w:hAnsi="Times New Roman" w:cs="Times New Roman"/>
          <w:sz w:val="24"/>
          <w:szCs w:val="24"/>
          <w:lang w:val="en-US"/>
        </w:rPr>
        <w:t xml:space="preserve">recent Russian </w:t>
      </w:r>
      <w:r>
        <w:rPr>
          <w:rFonts w:ascii="Times New Roman" w:hAnsi="Times New Roman" w:cs="Times New Roman"/>
          <w:sz w:val="24"/>
          <w:szCs w:val="24"/>
          <w:lang w:val="en-US"/>
        </w:rPr>
        <w:t xml:space="preserve">context where codes of good governance have been adopted and there is eagerness to attract foreign capital. The main blockholders are private investors and the state, and there has been historic blockholder appropriation </w:t>
      </w:r>
      <w:r w:rsidRPr="005C69DC">
        <w:rPr>
          <w:rFonts w:ascii="Times New Roman" w:hAnsi="Times New Roman" w:cs="Times New Roman"/>
          <w:sz w:val="24"/>
          <w:szCs w:val="24"/>
          <w:lang w:val="en-US"/>
        </w:rPr>
        <w:t>(Douma et al., 2006). Russian firms have begun to introduce Anglo-American corporate governance practice but traditionally they were effectively only symbolic</w:t>
      </w:r>
      <w:r w:rsidR="005C69DC">
        <w:rPr>
          <w:rFonts w:ascii="Times New Roman" w:hAnsi="Times New Roman" w:cs="Times New Roman"/>
          <w:sz w:val="24"/>
          <w:szCs w:val="24"/>
          <w:lang w:val="en-US"/>
        </w:rPr>
        <w:t xml:space="preserve"> </w:t>
      </w:r>
      <w:r w:rsidR="005C69DC">
        <w:rPr>
          <w:rFonts w:ascii="Times New Roman" w:hAnsi="Times New Roman" w:cs="Times New Roman"/>
          <w:sz w:val="24"/>
          <w:szCs w:val="24"/>
          <w:lang w:val="en-US"/>
        </w:rPr>
        <w:fldChar w:fldCharType="begin"/>
      </w:r>
      <w:r w:rsidR="005C69DC">
        <w:rPr>
          <w:rFonts w:ascii="Times New Roman" w:hAnsi="Times New Roman" w:cs="Times New Roman"/>
          <w:sz w:val="24"/>
          <w:szCs w:val="24"/>
          <w:lang w:val="en-US"/>
        </w:rPr>
        <w:instrText xml:space="preserve"> ADDIN EN.CITE &lt;EndNote&gt;&lt;Cite&gt;&lt;Author&gt;Pistor&lt;/Author&gt;&lt;Year&gt;2000&lt;/Year&gt;&lt;RecNum&gt;674&lt;/RecNum&gt;&lt;DisplayText&gt;(Pistor et al., 2000)&lt;/DisplayText&gt;&lt;record&gt;&lt;rec-number&gt;674&lt;/rec-number&gt;&lt;foreign-keys&gt;&lt;key app="EN" db-id="xdsfzvadmzzxdzereeq5xdf7eaxsdwfdfave" timestamp="1477957082"&gt;674&lt;/key&gt;&lt;/foreign-keys&gt;&lt;ref-type name="Journal Article"&gt;17&lt;/ref-type&gt;&lt;contributors&gt;&lt;authors&gt;&lt;author&gt;Pistor, Katharina&lt;/author&gt;&lt;author&gt;Raiser, Martin&lt;/author&gt;&lt;author&gt;Gelfer, Stanislaw&lt;/author&gt;&lt;/authors&gt;&lt;/contributors&gt;&lt;titles&gt;&lt;title&gt;Law and finance in transition economies&lt;/title&gt;&lt;secondary-title&gt;Economics of Transition&lt;/secondary-title&gt;&lt;/titles&gt;&lt;periodical&gt;&lt;full-title&gt;Economics of Transition&lt;/full-title&gt;&lt;/periodical&gt;&lt;pages&gt;325-368&lt;/pages&gt;&lt;volume&gt;8&lt;/volume&gt;&lt;number&gt;2&lt;/number&gt;&lt;dates&gt;&lt;year&gt;2000&lt;/year&gt;&lt;/dates&gt;&lt;isbn&gt;1468-0351&lt;/isbn&gt;&lt;urls&gt;&lt;/urls&gt;&lt;/record&gt;&lt;/Cite&gt;&lt;/EndNote&gt;</w:instrText>
      </w:r>
      <w:r w:rsidR="005C69DC">
        <w:rPr>
          <w:rFonts w:ascii="Times New Roman" w:hAnsi="Times New Roman" w:cs="Times New Roman"/>
          <w:sz w:val="24"/>
          <w:szCs w:val="24"/>
          <w:lang w:val="en-US"/>
        </w:rPr>
        <w:fldChar w:fldCharType="separate"/>
      </w:r>
      <w:r w:rsidR="005C69DC">
        <w:rPr>
          <w:rFonts w:ascii="Times New Roman" w:hAnsi="Times New Roman" w:cs="Times New Roman"/>
          <w:noProof/>
          <w:sz w:val="24"/>
          <w:szCs w:val="24"/>
          <w:lang w:val="en-US"/>
        </w:rPr>
        <w:t>(</w:t>
      </w:r>
      <w:hyperlink w:anchor="_ENREF_86" w:tooltip="Pistor, 2000 #674" w:history="1">
        <w:r w:rsidR="00266C78">
          <w:rPr>
            <w:rFonts w:ascii="Times New Roman" w:hAnsi="Times New Roman" w:cs="Times New Roman"/>
            <w:noProof/>
            <w:sz w:val="24"/>
            <w:szCs w:val="24"/>
            <w:lang w:val="en-US"/>
          </w:rPr>
          <w:t>Pistor et al., 2000</w:t>
        </w:r>
      </w:hyperlink>
      <w:r w:rsidR="005C69DC">
        <w:rPr>
          <w:rFonts w:ascii="Times New Roman" w:hAnsi="Times New Roman" w:cs="Times New Roman"/>
          <w:noProof/>
          <w:sz w:val="24"/>
          <w:szCs w:val="24"/>
          <w:lang w:val="en-US"/>
        </w:rPr>
        <w:t>)</w:t>
      </w:r>
      <w:r w:rsidR="005C69DC">
        <w:rPr>
          <w:rFonts w:ascii="Times New Roman" w:hAnsi="Times New Roman" w:cs="Times New Roman"/>
          <w:sz w:val="24"/>
          <w:szCs w:val="24"/>
          <w:lang w:val="en-US"/>
        </w:rPr>
        <w:fldChar w:fldCharType="end"/>
      </w:r>
      <w:r w:rsidRPr="005C69DC">
        <w:rPr>
          <w:rFonts w:ascii="Times New Roman" w:hAnsi="Times New Roman" w:cs="Times New Roman"/>
          <w:sz w:val="24"/>
          <w:szCs w:val="24"/>
          <w:lang w:val="en-US"/>
        </w:rPr>
        <w:t>.</w:t>
      </w:r>
      <w:r>
        <w:rPr>
          <w:rFonts w:ascii="Times New Roman" w:hAnsi="Times New Roman" w:cs="Times New Roman"/>
          <w:sz w:val="24"/>
          <w:szCs w:val="24"/>
          <w:lang w:val="en-US"/>
        </w:rPr>
        <w:t xml:space="preserve">  In this study, we focus on a quintessential Anglo-American governance practice, independent directors, who have the role of monitoring and advising managers on behalf of all owners, not just blockholders. We propose that these independent directors who have internalized or activated their roles have to act on behalf of shareholders/principals with potentially different interests. </w:t>
      </w:r>
    </w:p>
    <w:p w14:paraId="51BFD010" w14:textId="77777777" w:rsidR="00713B34" w:rsidRPr="00A13EEE" w:rsidRDefault="00713B34" w:rsidP="00713B34">
      <w:pPr>
        <w:spacing w:after="0"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lastRenderedPageBreak/>
        <w:t>Against this backdrop, and given some efforts in incorporating and internalizing Anglo-American practices in EEMM</w:t>
      </w:r>
      <w:r w:rsidR="00A423B4">
        <w:rPr>
          <w:rFonts w:ascii="Times New Roman" w:hAnsi="Times New Roman" w:cs="Times New Roman"/>
          <w:sz w:val="24"/>
          <w:szCs w:val="24"/>
          <w:lang w:val="en-US"/>
        </w:rPr>
        <w:t>,</w:t>
      </w:r>
      <w:r>
        <w:rPr>
          <w:rFonts w:ascii="Times New Roman" w:hAnsi="Times New Roman" w:cs="Times New Roman"/>
          <w:sz w:val="24"/>
          <w:szCs w:val="24"/>
          <w:lang w:val="en-US"/>
        </w:rPr>
        <w:t xml:space="preserve"> and in particular in Russia</w:t>
      </w:r>
      <w:r w:rsidR="00A423B4">
        <w:rPr>
          <w:rFonts w:ascii="Times New Roman" w:hAnsi="Times New Roman" w:cs="Times New Roman"/>
          <w:sz w:val="24"/>
          <w:szCs w:val="24"/>
          <w:lang w:val="en-US"/>
        </w:rPr>
        <w:t>,</w:t>
      </w:r>
      <w:r>
        <w:rPr>
          <w:rFonts w:ascii="Times New Roman" w:hAnsi="Times New Roman" w:cs="Times New Roman"/>
          <w:sz w:val="24"/>
          <w:szCs w:val="24"/>
          <w:lang w:val="en-US"/>
        </w:rPr>
        <w:t xml:space="preserve"> starting at the turn of the century with the adoption of codes </w:t>
      </w:r>
      <w:r w:rsidR="00A423B4">
        <w:rPr>
          <w:rFonts w:ascii="Times New Roman" w:hAnsi="Times New Roman" w:cs="Times New Roman"/>
          <w:sz w:val="24"/>
          <w:szCs w:val="24"/>
          <w:lang w:val="en-US"/>
        </w:rPr>
        <w:t xml:space="preserve">of good governance </w:t>
      </w:r>
      <w:r>
        <w:rPr>
          <w:rFonts w:ascii="Times New Roman" w:hAnsi="Times New Roman" w:cs="Times New Roman"/>
          <w:sz w:val="24"/>
          <w:szCs w:val="24"/>
          <w:lang w:val="en-US"/>
        </w:rPr>
        <w:t>and EEMM firm internationalization, we first question whether boards with independent directors have been effective in mitigating one of the main governance problems in Russia, i.e., majority blockholder stealing or appropriation, relative to boards without independent directors. We then turn to examine which firms with independent directors will be more likely to internalize or activate their independent role, which is mostly enacted through monitoring</w:t>
      </w:r>
      <w:r w:rsidR="00A423B4">
        <w:rPr>
          <w:rFonts w:ascii="Times New Roman" w:hAnsi="Times New Roman" w:cs="Times New Roman"/>
          <w:sz w:val="24"/>
          <w:szCs w:val="24"/>
          <w:lang w:val="en-US"/>
        </w:rPr>
        <w:t>,</w:t>
      </w:r>
      <w:r>
        <w:rPr>
          <w:rFonts w:ascii="Times New Roman" w:hAnsi="Times New Roman" w:cs="Times New Roman"/>
          <w:sz w:val="24"/>
          <w:szCs w:val="24"/>
          <w:lang w:val="en-US"/>
        </w:rPr>
        <w:t xml:space="preserve"> to deter blockholder appropriation.  </w:t>
      </w:r>
    </w:p>
    <w:p w14:paraId="469DDA71" w14:textId="77777777" w:rsidR="00713B34" w:rsidRDefault="00713B34" w:rsidP="00713B34">
      <w:pPr>
        <w:spacing w:after="0" w:line="480" w:lineRule="auto"/>
        <w:ind w:firstLine="720"/>
        <w:rPr>
          <w:rFonts w:ascii="Times New Roman" w:hAnsi="Times New Roman" w:cs="Times New Roman"/>
          <w:sz w:val="24"/>
          <w:szCs w:val="24"/>
          <w:lang w:val="en-US"/>
        </w:rPr>
      </w:pPr>
      <w:r w:rsidRPr="00A13EEE">
        <w:rPr>
          <w:rFonts w:ascii="Times New Roman" w:hAnsi="Times New Roman" w:cs="Times New Roman"/>
          <w:sz w:val="24"/>
          <w:szCs w:val="24"/>
          <w:lang w:val="en-US"/>
        </w:rPr>
        <w:t>We find that the presence of independent</w:t>
      </w:r>
      <w:r>
        <w:rPr>
          <w:rFonts w:ascii="Times New Roman" w:hAnsi="Times New Roman" w:cs="Times New Roman"/>
          <w:sz w:val="24"/>
          <w:szCs w:val="24"/>
          <w:lang w:val="en-US"/>
        </w:rPr>
        <w:t xml:space="preserve"> </w:t>
      </w:r>
      <w:r w:rsidRPr="00A13EEE">
        <w:rPr>
          <w:rFonts w:ascii="Times New Roman" w:hAnsi="Times New Roman" w:cs="Times New Roman"/>
          <w:sz w:val="24"/>
          <w:szCs w:val="24"/>
          <w:lang w:val="en-US"/>
        </w:rPr>
        <w:t xml:space="preserve">directors is </w:t>
      </w:r>
      <w:r>
        <w:rPr>
          <w:rFonts w:ascii="Times New Roman" w:hAnsi="Times New Roman" w:cs="Times New Roman"/>
          <w:sz w:val="24"/>
          <w:szCs w:val="24"/>
          <w:lang w:val="en-US"/>
        </w:rPr>
        <w:t>associated with a</w:t>
      </w:r>
      <w:r w:rsidRPr="00A13EE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reduction </w:t>
      </w:r>
      <w:r w:rsidR="00427EDC">
        <w:rPr>
          <w:rFonts w:ascii="Times New Roman" w:hAnsi="Times New Roman" w:cs="Times New Roman"/>
          <w:sz w:val="24"/>
          <w:szCs w:val="24"/>
          <w:lang w:val="en-US"/>
        </w:rPr>
        <w:t xml:space="preserve">of </w:t>
      </w:r>
      <w:r>
        <w:rPr>
          <w:rFonts w:ascii="Times New Roman" w:hAnsi="Times New Roman" w:cs="Times New Roman"/>
          <w:sz w:val="24"/>
          <w:szCs w:val="24"/>
          <w:lang w:val="en-US"/>
        </w:rPr>
        <w:t>blockholder appropriation, and that this is more accentuated in SOEs than in private firms. We attribute the difference in the influence of independent directors across ownership types to SOEs going through a much more thorough selection process in the nomination of their independent directors, and t</w:t>
      </w:r>
      <w:r w:rsidR="000950C8">
        <w:rPr>
          <w:rFonts w:ascii="Times New Roman" w:hAnsi="Times New Roman" w:cs="Times New Roman"/>
          <w:sz w:val="24"/>
          <w:szCs w:val="24"/>
          <w:lang w:val="en-US"/>
        </w:rPr>
        <w:t xml:space="preserve">o the </w:t>
      </w:r>
      <w:r>
        <w:rPr>
          <w:rFonts w:ascii="Times New Roman" w:hAnsi="Times New Roman" w:cs="Times New Roman"/>
          <w:sz w:val="24"/>
          <w:szCs w:val="24"/>
          <w:lang w:val="en-US"/>
        </w:rPr>
        <w:t xml:space="preserve">deliberate effort to curtail corruption. As </w:t>
      </w:r>
      <w:r w:rsidRPr="00642527">
        <w:rPr>
          <w:rFonts w:ascii="Times New Roman" w:hAnsi="Times New Roman" w:cs="Times New Roman"/>
          <w:sz w:val="24"/>
          <w:szCs w:val="24"/>
          <w:lang w:val="en-US"/>
        </w:rPr>
        <w:t xml:space="preserve">such independent directors may be aiming to progress </w:t>
      </w:r>
      <w:r w:rsidR="000950C8">
        <w:rPr>
          <w:rFonts w:ascii="Times New Roman" w:hAnsi="Times New Roman" w:cs="Times New Roman"/>
          <w:sz w:val="24"/>
          <w:szCs w:val="24"/>
          <w:lang w:val="en-US"/>
        </w:rPr>
        <w:t xml:space="preserve">within </w:t>
      </w:r>
      <w:r w:rsidRPr="00642527">
        <w:rPr>
          <w:rFonts w:ascii="Times New Roman" w:hAnsi="Times New Roman" w:cs="Times New Roman"/>
          <w:sz w:val="24"/>
          <w:szCs w:val="24"/>
          <w:lang w:val="en-US"/>
        </w:rPr>
        <w:t xml:space="preserve">the state career ladder, they may </w:t>
      </w:r>
      <w:r>
        <w:rPr>
          <w:rFonts w:ascii="Times New Roman" w:hAnsi="Times New Roman" w:cs="Times New Roman"/>
          <w:sz w:val="24"/>
          <w:szCs w:val="24"/>
          <w:lang w:val="en-US"/>
        </w:rPr>
        <w:t xml:space="preserve">also </w:t>
      </w:r>
      <w:r w:rsidRPr="00642527">
        <w:rPr>
          <w:rFonts w:ascii="Times New Roman" w:hAnsi="Times New Roman" w:cs="Times New Roman"/>
          <w:sz w:val="24"/>
          <w:szCs w:val="24"/>
          <w:lang w:val="en-US"/>
        </w:rPr>
        <w:t>be more motivated to gain recognition by the government for producing good</w:t>
      </w:r>
      <w:r>
        <w:rPr>
          <w:rFonts w:ascii="Times New Roman" w:hAnsi="Times New Roman" w:cs="Times New Roman"/>
          <w:sz w:val="24"/>
          <w:szCs w:val="24"/>
          <w:lang w:val="en-US"/>
        </w:rPr>
        <w:t xml:space="preserve"> results.</w:t>
      </w:r>
    </w:p>
    <w:p w14:paraId="30D1F8B8" w14:textId="77777777" w:rsidR="00713B34" w:rsidRPr="00A13EEE" w:rsidRDefault="00713B34" w:rsidP="00713B34">
      <w:pPr>
        <w:spacing w:after="0"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In the second part of our study, we explore how the exposure of these EEMM firms to Anglo-American corporate governance practices might activate or make these independent directors pursue their monitoring role or influence in extenuating blockholder appropriation. We analyze the exposure to three international governance contingencies. First, </w:t>
      </w:r>
      <w:r w:rsidRPr="00642527">
        <w:rPr>
          <w:rFonts w:ascii="Times New Roman" w:hAnsi="Times New Roman" w:cs="Times New Roman"/>
          <w:sz w:val="24"/>
          <w:szCs w:val="24"/>
          <w:lang w:val="en-US"/>
        </w:rPr>
        <w:t>independent directors create a positive effect on investment in MNEs.</w:t>
      </w:r>
      <w:r>
        <w:rPr>
          <w:rFonts w:ascii="Times New Roman" w:hAnsi="Times New Roman" w:cs="Times New Roman"/>
          <w:sz w:val="24"/>
          <w:szCs w:val="24"/>
          <w:lang w:val="en-US"/>
        </w:rPr>
        <w:t xml:space="preserve"> Second, our results indicate that independent directors in </w:t>
      </w:r>
      <w:r w:rsidR="00427EDC">
        <w:rPr>
          <w:rFonts w:ascii="Times New Roman" w:hAnsi="Times New Roman" w:cs="Times New Roman"/>
          <w:sz w:val="24"/>
          <w:szCs w:val="24"/>
          <w:lang w:val="en-US"/>
        </w:rPr>
        <w:t>firms</w:t>
      </w:r>
      <w:r>
        <w:rPr>
          <w:rFonts w:ascii="Times New Roman" w:hAnsi="Times New Roman" w:cs="Times New Roman"/>
          <w:sz w:val="24"/>
          <w:szCs w:val="24"/>
          <w:lang w:val="en-US"/>
        </w:rPr>
        <w:t xml:space="preserve"> listed on foreign stock exchanges </w:t>
      </w:r>
      <w:r w:rsidR="00427EDC">
        <w:rPr>
          <w:rFonts w:ascii="Times New Roman" w:hAnsi="Times New Roman" w:cs="Times New Roman"/>
          <w:sz w:val="24"/>
          <w:szCs w:val="24"/>
          <w:lang w:val="en-US"/>
        </w:rPr>
        <w:t>have a positive effect on investment and are likely to reduce blockholder appropriation</w:t>
      </w:r>
      <w:r>
        <w:rPr>
          <w:rFonts w:ascii="Times New Roman" w:hAnsi="Times New Roman" w:cs="Times New Roman"/>
          <w:sz w:val="24"/>
          <w:szCs w:val="24"/>
          <w:lang w:val="en-US"/>
        </w:rPr>
        <w:t>. Third, we also find that foreign ind</w:t>
      </w:r>
      <w:r w:rsidR="000950C8">
        <w:rPr>
          <w:rFonts w:ascii="Times New Roman" w:hAnsi="Times New Roman" w:cs="Times New Roman"/>
          <w:sz w:val="24"/>
          <w:szCs w:val="24"/>
          <w:lang w:val="en-US"/>
        </w:rPr>
        <w:t>ependent directors are effective</w:t>
      </w:r>
      <w:r>
        <w:rPr>
          <w:rFonts w:ascii="Times New Roman" w:hAnsi="Times New Roman" w:cs="Times New Roman"/>
          <w:sz w:val="24"/>
          <w:szCs w:val="24"/>
          <w:lang w:val="en-US"/>
        </w:rPr>
        <w:t xml:space="preserve"> in monitoring the allocation of resources to investment. </w:t>
      </w:r>
    </w:p>
    <w:p w14:paraId="023F7241" w14:textId="709F061D" w:rsidR="00713B34" w:rsidRDefault="00713B34" w:rsidP="00713B34">
      <w:pPr>
        <w:spacing w:after="0"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lastRenderedPageBreak/>
        <w:t>Our main conceptual contributions are to the growing literature on how corporate governance practices travel around the world, and its unintended consequences. We focus on whether the role of the independent director is activated depending on their alignment with majority blockholders or minority shareholders and the different outcomes on blockholder appropriation. That is, if independent directors align with the majority blockholder, we do not expect to see a decrease in blockholder appropriation. Conversely, if independent directors seek to benefit minority shareholders or comply with foreign regulation, we might observe some mitigation in blockholder appropriation. Thus, w</w:t>
      </w:r>
      <w:r w:rsidRPr="00A005FD">
        <w:rPr>
          <w:rFonts w:ascii="Times New Roman" w:hAnsi="Times New Roman" w:cs="Times New Roman"/>
          <w:sz w:val="24"/>
          <w:szCs w:val="24"/>
        </w:rPr>
        <w:t xml:space="preserve">e extend the boundary conditions </w:t>
      </w:r>
      <w:r w:rsidR="003946E7">
        <w:rPr>
          <w:rFonts w:ascii="Times New Roman" w:hAnsi="Times New Roman" w:cs="Times New Roman"/>
          <w:sz w:val="24"/>
          <w:szCs w:val="24"/>
        </w:rPr>
        <w:t xml:space="preserve">of </w:t>
      </w:r>
      <w:r w:rsidR="006272A3">
        <w:rPr>
          <w:rFonts w:ascii="Times New Roman" w:hAnsi="Times New Roman" w:cs="Times New Roman"/>
          <w:sz w:val="24"/>
          <w:szCs w:val="24"/>
        </w:rPr>
        <w:t xml:space="preserve">the </w:t>
      </w:r>
      <w:r w:rsidR="003946E7">
        <w:rPr>
          <w:rFonts w:ascii="Times New Roman" w:hAnsi="Times New Roman" w:cs="Times New Roman"/>
          <w:sz w:val="24"/>
          <w:szCs w:val="24"/>
        </w:rPr>
        <w:t xml:space="preserve">multiple agency perspective </w:t>
      </w:r>
      <w:r w:rsidRPr="00A005FD">
        <w:rPr>
          <w:rFonts w:ascii="Times New Roman" w:hAnsi="Times New Roman" w:cs="Times New Roman"/>
          <w:sz w:val="24"/>
          <w:szCs w:val="24"/>
        </w:rPr>
        <w:t xml:space="preserve">regarding the influence of types of ownership </w:t>
      </w:r>
      <w:r>
        <w:rPr>
          <w:rFonts w:ascii="Times New Roman" w:hAnsi="Times New Roman" w:cs="Times New Roman"/>
          <w:sz w:val="24"/>
          <w:szCs w:val="24"/>
        </w:rPr>
        <w:t xml:space="preserve">on the effects of independent directors </w:t>
      </w:r>
      <w:r w:rsidRPr="00A005FD">
        <w:rPr>
          <w:rFonts w:ascii="Times New Roman" w:hAnsi="Times New Roman" w:cs="Times New Roman"/>
          <w:sz w:val="24"/>
          <w:szCs w:val="24"/>
        </w:rPr>
        <w:t xml:space="preserve">in different institutional contexts from Western IPO contexts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&lt;EndNote&gt;&lt;Cite&gt;&lt;Author&gt;Arthurs&lt;/Author&gt;&lt;Year&gt;2008&lt;/Year&gt;&lt;RecNum&gt;8&lt;/RecNum&gt;&lt;DisplayText&gt;(Arthurs et al., 2008; Bruton et al., 2010)&lt;/DisplayText&gt;&lt;record&gt;&lt;rec-number&gt;8&lt;/rec-number&gt;&lt;foreign-keys&gt;&lt;key app="EN" db-id="xdsfzvadmzzxdzereeq5xdf7eaxsdwfdfave" timestamp="1389310368"&gt;8&lt;/key&gt;&lt;/foreign-keys&gt;&lt;ref-type name="Journal Article"&gt;17&lt;/ref-type&gt;&lt;contributors&gt;&lt;authors&gt;&lt;author&gt;Arthurs, Jonathan D&lt;/author&gt;&lt;author&gt;Hoskisson, Robert E&lt;/author&gt;&lt;author&gt;Busenitz, Lowell W&lt;/author&gt;&lt;author&gt;Johnson, Richard A&lt;/author&gt;&lt;/authors&gt;&lt;/contributors&gt;&lt;titles&gt;&lt;title&gt;Managerial agents watching other agents: Multiple agency conflicts regarding underpricing in IPO firms&lt;/title&gt;&lt;secondary-title&gt;Academy of Management Journal&lt;/secondary-title&gt;&lt;/titles&gt;&lt;periodical&gt;&lt;full-title&gt;Academy of Management Journal&lt;/full-title&gt;&lt;/periodical&gt;&lt;pages&gt;277-294&lt;/pages&gt;&lt;volume&gt;51&lt;/volume&gt;&lt;number&gt;2&lt;/number&gt;&lt;dates&gt;&lt;year&gt;2008&lt;/year&gt;&lt;/dates&gt;&lt;isbn&gt;0001-4273&lt;/isbn&gt;&lt;urls&gt;&lt;/urls&gt;&lt;/record&gt;&lt;/Cite&gt;&lt;Cite&gt;&lt;Author&gt;Bruton&lt;/Author&gt;&lt;Year&gt;2010&lt;/Year&gt;&lt;RecNum&gt;642&lt;/RecNum&gt;&lt;record&gt;&lt;rec-number&gt;642&lt;/rec-number&gt;&lt;foreign-keys&gt;&lt;key app="EN" db-id="xdsfzvadmzzxdzereeq5xdf7eaxsdwfdfave" timestamp="1477841647"&gt;642&lt;/key&gt;&lt;/foreign-keys&gt;&lt;ref-type name="Journal Article"&gt;17&lt;/ref-type&gt;&lt;contributors&gt;&lt;authors&gt;&lt;author&gt;Bruton, Garry D&lt;/author&gt;&lt;author&gt;Filatotchev, Igor&lt;/author&gt;&lt;author&gt;Chahine, Salim&lt;/author&gt;&lt;author&gt;Wright, Mike&lt;/author&gt;&lt;/authors&gt;&lt;/contributors&gt;&lt;titles&gt;&lt;title&gt;Governance, ownership structure, and performance of IPO firms: The impact of different types of private equity investors and institutional environments&lt;/title&gt;&lt;secondary-title&gt;Strategic management journal&lt;/secondary-title&gt;&lt;/titles&gt;&lt;periodical&gt;&lt;full-title&gt;Strategic Management Journal&lt;/full-title&gt;&lt;/periodical&gt;&lt;pages&gt;491-509&lt;/pages&gt;&lt;volume&gt;31&lt;/volume&gt;&lt;number&gt;5&lt;/number&gt;&lt;dates&gt;&lt;year&gt;2010&lt;/year&gt;&lt;/dates&gt;&lt;isbn&gt;1097-0266&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8" w:tooltip="Arthurs, 2008 #8" w:history="1">
        <w:r w:rsidR="00266C78">
          <w:rPr>
            <w:rFonts w:ascii="Times New Roman" w:hAnsi="Times New Roman" w:cs="Times New Roman"/>
            <w:noProof/>
            <w:sz w:val="24"/>
            <w:szCs w:val="24"/>
          </w:rPr>
          <w:t>Arthurs et al., 2008</w:t>
        </w:r>
      </w:hyperlink>
      <w:r>
        <w:rPr>
          <w:rFonts w:ascii="Times New Roman" w:hAnsi="Times New Roman" w:cs="Times New Roman"/>
          <w:noProof/>
          <w:sz w:val="24"/>
          <w:szCs w:val="24"/>
        </w:rPr>
        <w:t xml:space="preserve">; </w:t>
      </w:r>
      <w:hyperlink w:anchor="_ENREF_27" w:tooltip="Bruton, 2010 #642" w:history="1">
        <w:r w:rsidR="00266C78">
          <w:rPr>
            <w:rFonts w:ascii="Times New Roman" w:hAnsi="Times New Roman" w:cs="Times New Roman"/>
            <w:noProof/>
            <w:sz w:val="24"/>
            <w:szCs w:val="24"/>
          </w:rPr>
          <w:t>Bruton et al., 2010</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sidRPr="00A005FD">
        <w:rPr>
          <w:rFonts w:ascii="Times New Roman" w:hAnsi="Times New Roman" w:cs="Times New Roman"/>
          <w:sz w:val="24"/>
          <w:szCs w:val="24"/>
        </w:rPr>
        <w:t xml:space="preserve"> to the case of a different class of owners in </w:t>
      </w:r>
      <w:r>
        <w:rPr>
          <w:rFonts w:ascii="Times New Roman" w:hAnsi="Times New Roman" w:cs="Times New Roman"/>
          <w:sz w:val="24"/>
          <w:szCs w:val="24"/>
        </w:rPr>
        <w:t>the</w:t>
      </w:r>
      <w:r w:rsidRPr="00A005FD">
        <w:rPr>
          <w:rFonts w:ascii="Times New Roman" w:hAnsi="Times New Roman" w:cs="Times New Roman"/>
          <w:sz w:val="24"/>
          <w:szCs w:val="24"/>
        </w:rPr>
        <w:t xml:space="preserve"> </w:t>
      </w:r>
      <w:r>
        <w:rPr>
          <w:rFonts w:ascii="Times New Roman" w:hAnsi="Times New Roman" w:cs="Times New Roman"/>
          <w:sz w:val="24"/>
          <w:szCs w:val="24"/>
        </w:rPr>
        <w:t xml:space="preserve">emerging markets </w:t>
      </w:r>
      <w:r w:rsidRPr="00A005FD">
        <w:rPr>
          <w:rFonts w:ascii="Times New Roman" w:hAnsi="Times New Roman" w:cs="Times New Roman"/>
          <w:sz w:val="24"/>
          <w:szCs w:val="24"/>
        </w:rPr>
        <w:t xml:space="preserve">context </w:t>
      </w:r>
      <w:r>
        <w:rPr>
          <w:rFonts w:ascii="Times New Roman" w:hAnsi="Times New Roman" w:cs="Times New Roman"/>
          <w:sz w:val="24"/>
          <w:szCs w:val="24"/>
        </w:rPr>
        <w:t>of Russia</w:t>
      </w:r>
      <w:r w:rsidRPr="00A005FD">
        <w:rPr>
          <w:rFonts w:ascii="Times New Roman" w:hAnsi="Times New Roman" w:cs="Times New Roman"/>
          <w:sz w:val="24"/>
          <w:szCs w:val="24"/>
          <w:lang w:val="en-US"/>
        </w:rPr>
        <w:t>.</w:t>
      </w:r>
      <w:r>
        <w:rPr>
          <w:rFonts w:ascii="Times New Roman" w:hAnsi="Times New Roman" w:cs="Times New Roman"/>
          <w:sz w:val="24"/>
          <w:szCs w:val="24"/>
          <w:lang w:val="en-US"/>
        </w:rPr>
        <w:t xml:space="preserve"> This analysis of the role of independent directors in relation to different types of owners can be further tested in South East Asian contexts where large blockholders are founding family members </w:t>
      </w:r>
      <w:r>
        <w:rPr>
          <w:rFonts w:ascii="Times New Roman" w:hAnsi="Times New Roman" w:cs="Times New Roman"/>
          <w:sz w:val="24"/>
          <w:szCs w:val="24"/>
          <w:lang w:val="en-US"/>
        </w:rPr>
        <w:fldChar w:fldCharType="begin">
          <w:fldData xml:space="preserve">PEVuZE5vdGU+PENpdGU+PEF1dGhvcj5GaWxhdG90Y2hldjwvQXV0aG9yPjxZZWFyPjIwMTE8L1ll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=
</w:fldData>
        </w:fldChar>
      </w:r>
      <w:r>
        <w:rPr>
          <w:rFonts w:ascii="Times New Roman" w:hAnsi="Times New Roman" w:cs="Times New Roman"/>
          <w:sz w:val="24"/>
          <w:szCs w:val="24"/>
          <w:lang w:val="en-US"/>
        </w:rPr>
        <w:instrText xml:space="preserve"> ADDIN EN.CITE </w:instrText>
      </w:r>
      <w:r>
        <w:rPr>
          <w:rFonts w:ascii="Times New Roman" w:hAnsi="Times New Roman" w:cs="Times New Roman"/>
          <w:sz w:val="24"/>
          <w:szCs w:val="24"/>
          <w:lang w:val="en-US"/>
        </w:rPr>
        <w:fldChar w:fldCharType="begin">
          <w:fldData xml:space="preserve">PEVuZE5vdGU+PENpdGU+PEF1dGhvcj5GaWxhdG90Y2hldjwvQXV0aG9yPjxZZWFyPjIwMTE8L1ll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=
</w:fldData>
        </w:fldChar>
      </w:r>
      <w:r>
        <w:rPr>
          <w:rFonts w:ascii="Times New Roman" w:hAnsi="Times New Roman" w:cs="Times New Roman"/>
          <w:sz w:val="24"/>
          <w:szCs w:val="24"/>
          <w:lang w:val="en-US"/>
        </w:rPr>
        <w:instrText xml:space="preserve"> ADDIN EN.CITE.DATA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end"/>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w:t>
      </w:r>
      <w:hyperlink w:anchor="_ENREF_49" w:tooltip="Filatotchev, 2005 #657" w:history="1">
        <w:r w:rsidR="00266C78">
          <w:rPr>
            <w:rFonts w:ascii="Times New Roman" w:hAnsi="Times New Roman" w:cs="Times New Roman"/>
            <w:noProof/>
            <w:sz w:val="24"/>
            <w:szCs w:val="24"/>
            <w:lang w:val="en-US"/>
          </w:rPr>
          <w:t>Filatotchev et al., 2005</w:t>
        </w:r>
      </w:hyperlink>
      <w:r>
        <w:rPr>
          <w:rFonts w:ascii="Times New Roman" w:hAnsi="Times New Roman" w:cs="Times New Roman"/>
          <w:noProof/>
          <w:sz w:val="24"/>
          <w:szCs w:val="24"/>
          <w:lang w:val="en-US"/>
        </w:rPr>
        <w:t xml:space="preserve">; </w:t>
      </w:r>
      <w:hyperlink w:anchor="_ENREF_50" w:tooltip="Filatotchev, 2011 #656" w:history="1">
        <w:r w:rsidR="00266C78">
          <w:rPr>
            <w:rFonts w:ascii="Times New Roman" w:hAnsi="Times New Roman" w:cs="Times New Roman"/>
            <w:noProof/>
            <w:sz w:val="24"/>
            <w:szCs w:val="24"/>
            <w:lang w:val="en-US"/>
          </w:rPr>
          <w:t>Filatotchev et al., 2011</w:t>
        </w:r>
      </w:hyperlink>
      <w:r>
        <w:rPr>
          <w:rFonts w:ascii="Times New Roman" w:hAnsi="Times New Roman" w:cs="Times New Roman"/>
          <w:noProof/>
          <w:sz w:val="24"/>
          <w:szCs w:val="24"/>
          <w:lang w:val="en-US"/>
        </w:rPr>
        <w:t xml:space="preserve">; </w:t>
      </w:r>
      <w:hyperlink w:anchor="_ENREF_75" w:tooltip="Miller, 2009 #659" w:history="1">
        <w:r w:rsidR="00266C78">
          <w:rPr>
            <w:rFonts w:ascii="Times New Roman" w:hAnsi="Times New Roman" w:cs="Times New Roman"/>
            <w:noProof/>
            <w:sz w:val="24"/>
            <w:szCs w:val="24"/>
            <w:lang w:val="en-US"/>
          </w:rPr>
          <w:t>Miller et al., 2009</w:t>
        </w:r>
      </w:hyperlink>
      <w:r>
        <w:rPr>
          <w:rFonts w:ascii="Times New Roman" w:hAnsi="Times New Roman" w:cs="Times New Roman"/>
          <w:noProof/>
          <w:sz w:val="24"/>
          <w:szCs w:val="24"/>
          <w:lang w:val="en-US"/>
        </w:rPr>
        <w:t xml:space="preserve">; </w:t>
      </w:r>
      <w:hyperlink w:anchor="_ENREF_107" w:tooltip="Yoshikawa, 2010 #670" w:history="1">
        <w:r w:rsidR="00266C78">
          <w:rPr>
            <w:rFonts w:ascii="Times New Roman" w:hAnsi="Times New Roman" w:cs="Times New Roman"/>
            <w:noProof/>
            <w:sz w:val="24"/>
            <w:szCs w:val="24"/>
            <w:lang w:val="en-US"/>
          </w:rPr>
          <w:t>Yoshikawa et al., 2010</w:t>
        </w:r>
      </w:hyperlink>
      <w:r>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or in Western contexts involving different blockholders representing institutions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EN.CITE &lt;EndNote&gt;&lt;Cite&gt;&lt;Author&gt;Deutsch&lt;/Author&gt;&lt;Year&gt;2005&lt;/Year&gt;&lt;RecNum&gt;681&lt;/RecNum&gt;&lt;DisplayText&gt;(Deutsch, 2005)&lt;/DisplayText&gt;&lt;record&gt;&lt;rec-number&gt;681&lt;/rec-number&gt;&lt;foreign-keys&gt;&lt;key app="EN" db-id="xdsfzvadmzzxdzereeq5xdf7eaxsdwfdfave" timestamp="1477960892"&gt;681&lt;/key&gt;&lt;/foreign-keys&gt;&lt;ref-type name="Journal Article"&gt;17&lt;/ref-type&gt;&lt;contributors&gt;&lt;authors&gt;&lt;author&gt;Deutsch, Yuval&lt;/author&gt;&lt;/authors&gt;&lt;/contributors&gt;&lt;titles&gt;&lt;title&gt;The impact of board composition on firms’ critical decisions: A meta-analytic review&lt;/title&gt;&lt;secondary-title&gt;Journal of Management&lt;/secondary-title&gt;&lt;/titles&gt;&lt;periodical&gt;&lt;full-title&gt;Journal of Management&lt;/full-title&gt;&lt;/periodical&gt;&lt;pages&gt;424-444&lt;/pages&gt;&lt;volume&gt;31&lt;/volume&gt;&lt;number&gt;3&lt;/number&gt;&lt;dates&gt;&lt;year&gt;2005&lt;/year&gt;&lt;/dates&gt;&lt;isbn&gt;0149-2063&lt;/isbn&gt;&lt;urls&gt;&lt;/urls&gt;&lt;/record&gt;&lt;/Cite&gt;&lt;/EndNote&gt;</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w:t>
      </w:r>
      <w:hyperlink w:anchor="_ENREF_37" w:tooltip="Deutsch, 2005 #681" w:history="1">
        <w:r w:rsidR="00266C78">
          <w:rPr>
            <w:rFonts w:ascii="Times New Roman" w:hAnsi="Times New Roman" w:cs="Times New Roman"/>
            <w:noProof/>
            <w:sz w:val="24"/>
            <w:szCs w:val="24"/>
            <w:lang w:val="en-US"/>
          </w:rPr>
          <w:t>Deutsch, 2005</w:t>
        </w:r>
      </w:hyperlink>
      <w:r>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or</w:t>
      </w:r>
      <w:r w:rsidRPr="002F0E38">
        <w:rPr>
          <w:rFonts w:ascii="Times New Roman" w:hAnsi="Times New Roman" w:cs="Times New Roman"/>
          <w:sz w:val="24"/>
          <w:szCs w:val="24"/>
          <w:lang w:val="en-US"/>
        </w:rPr>
        <w:t xml:space="preserve"> labor groups (e.g. in Germany boards often have labor or government representatives)</w:t>
      </w:r>
      <w:r>
        <w:rPr>
          <w:rFonts w:ascii="Times New Roman" w:hAnsi="Times New Roman" w:cs="Times New Roman"/>
          <w:sz w:val="24"/>
          <w:szCs w:val="24"/>
          <w:lang w:val="en-US"/>
        </w:rPr>
        <w:t xml:space="preserve">. </w:t>
      </w:r>
    </w:p>
    <w:p w14:paraId="570EDF0F" w14:textId="0D041300" w:rsidR="00C0407B" w:rsidRPr="00C0407B" w:rsidRDefault="00713B34" w:rsidP="00C0407B">
      <w:pPr>
        <w:spacing w:after="0"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Moreover</w:t>
      </w:r>
      <w:r w:rsidRPr="003B661F">
        <w:rPr>
          <w:rFonts w:ascii="Times New Roman" w:hAnsi="Times New Roman" w:cs="Times New Roman"/>
          <w:sz w:val="24"/>
          <w:szCs w:val="24"/>
          <w:lang w:val="en-US"/>
        </w:rPr>
        <w:t xml:space="preserve">, we contribute to the </w:t>
      </w:r>
      <w:r>
        <w:rPr>
          <w:rFonts w:ascii="Times New Roman" w:hAnsi="Times New Roman" w:cs="Times New Roman"/>
          <w:sz w:val="24"/>
          <w:szCs w:val="24"/>
          <w:lang w:val="en-US"/>
        </w:rPr>
        <w:t>international corporate governance</w:t>
      </w:r>
      <w:r w:rsidRPr="003B661F">
        <w:rPr>
          <w:rFonts w:ascii="Times New Roman" w:hAnsi="Times New Roman" w:cs="Times New Roman"/>
          <w:sz w:val="24"/>
          <w:szCs w:val="24"/>
          <w:lang w:val="en-US"/>
        </w:rPr>
        <w:t xml:space="preserve"> literature by </w:t>
      </w:r>
      <w:r>
        <w:rPr>
          <w:rFonts w:ascii="Times New Roman" w:hAnsi="Times New Roman" w:cs="Times New Roman"/>
          <w:sz w:val="24"/>
          <w:szCs w:val="24"/>
          <w:lang w:val="en-US"/>
        </w:rPr>
        <w:t>exploring</w:t>
      </w:r>
      <w:r w:rsidRPr="003B661F">
        <w:rPr>
          <w:rFonts w:ascii="Times New Roman" w:hAnsi="Times New Roman" w:cs="Times New Roman"/>
          <w:sz w:val="24"/>
          <w:szCs w:val="24"/>
          <w:lang w:val="en-US"/>
        </w:rPr>
        <w:t xml:space="preserve"> how the adoption of </w:t>
      </w:r>
      <w:r>
        <w:rPr>
          <w:rFonts w:ascii="Times New Roman" w:hAnsi="Times New Roman" w:cs="Times New Roman"/>
          <w:sz w:val="24"/>
          <w:szCs w:val="24"/>
          <w:lang w:val="en-US"/>
        </w:rPr>
        <w:t>Anglo-American</w:t>
      </w:r>
      <w:r w:rsidRPr="003B661F">
        <w:rPr>
          <w:rFonts w:ascii="Times New Roman" w:hAnsi="Times New Roman" w:cs="Times New Roman"/>
          <w:sz w:val="24"/>
          <w:szCs w:val="24"/>
          <w:lang w:val="en-US"/>
        </w:rPr>
        <w:t xml:space="preserve"> norms </w:t>
      </w:r>
      <w:r>
        <w:rPr>
          <w:rFonts w:ascii="Times New Roman" w:hAnsi="Times New Roman" w:cs="Times New Roman"/>
          <w:sz w:val="24"/>
          <w:szCs w:val="24"/>
          <w:lang w:val="en-US"/>
        </w:rPr>
        <w:t xml:space="preserve">on boards ‘get lost in translation’ when adopted in developing countries. </w:t>
      </w:r>
      <w:r w:rsidR="003946E7" w:rsidRPr="003946E7">
        <w:rPr>
          <w:rFonts w:ascii="Times New Roman" w:hAnsi="Times New Roman" w:cs="Times New Roman"/>
          <w:sz w:val="24"/>
          <w:szCs w:val="24"/>
          <w:lang w:val="en-US"/>
        </w:rPr>
        <w:t>Anglo-American norms regarding the role of independent directors appear to get lost in translation in different ways depending on ownership types. On</w:t>
      </w:r>
      <w:r w:rsidR="003946E7">
        <w:rPr>
          <w:rFonts w:ascii="Times New Roman" w:hAnsi="Times New Roman" w:cs="Times New Roman"/>
          <w:sz w:val="24"/>
          <w:szCs w:val="24"/>
          <w:lang w:val="en-US"/>
        </w:rPr>
        <w:t xml:space="preserve"> the</w:t>
      </w:r>
      <w:r w:rsidR="003946E7" w:rsidRPr="003946E7">
        <w:rPr>
          <w:rFonts w:ascii="Times New Roman" w:hAnsi="Times New Roman" w:cs="Times New Roman"/>
          <w:sz w:val="24"/>
          <w:szCs w:val="24"/>
          <w:lang w:val="en-US"/>
        </w:rPr>
        <w:t xml:space="preserve"> one hand, the positive role of independent directors in SOEs in reducing appropriation seems to result from the translation of selection by nomination committees related to the firm to influence of state involvement in the selection process. On the other hand, the role of independent directors in private firms is lost in translation as it</w:t>
      </w:r>
      <w:r w:rsidR="003946E7">
        <w:rPr>
          <w:rFonts w:ascii="Times New Roman" w:hAnsi="Times New Roman" w:cs="Times New Roman"/>
          <w:sz w:val="24"/>
          <w:szCs w:val="24"/>
          <w:lang w:val="en-US"/>
        </w:rPr>
        <w:t xml:space="preserve"> is</w:t>
      </w:r>
      <w:r w:rsidR="003946E7" w:rsidRPr="003946E7">
        <w:rPr>
          <w:rFonts w:ascii="Times New Roman" w:hAnsi="Times New Roman" w:cs="Times New Roman"/>
          <w:sz w:val="24"/>
          <w:szCs w:val="24"/>
          <w:lang w:val="en-US"/>
        </w:rPr>
        <w:t xml:space="preserve"> </w:t>
      </w:r>
      <w:r w:rsidR="003946E7" w:rsidRPr="003946E7">
        <w:rPr>
          <w:rFonts w:ascii="Times New Roman" w:hAnsi="Times New Roman" w:cs="Times New Roman"/>
          <w:sz w:val="24"/>
          <w:szCs w:val="24"/>
          <w:lang w:val="en-US"/>
        </w:rPr>
        <w:lastRenderedPageBreak/>
        <w:t>less effective in stemm</w:t>
      </w:r>
      <w:r w:rsidR="003946E7">
        <w:rPr>
          <w:rFonts w:ascii="Times New Roman" w:hAnsi="Times New Roman" w:cs="Times New Roman"/>
          <w:sz w:val="24"/>
          <w:szCs w:val="24"/>
          <w:lang w:val="en-US"/>
        </w:rPr>
        <w:t>ing misappropriation unless the private firms</w:t>
      </w:r>
      <w:r w:rsidR="003946E7" w:rsidRPr="003946E7">
        <w:rPr>
          <w:rFonts w:ascii="Times New Roman" w:hAnsi="Times New Roman" w:cs="Times New Roman"/>
          <w:sz w:val="24"/>
          <w:szCs w:val="24"/>
          <w:lang w:val="en-US"/>
        </w:rPr>
        <w:t xml:space="preserve"> are more fully exposed to international influen</w:t>
      </w:r>
      <w:r w:rsidR="003946E7">
        <w:rPr>
          <w:rFonts w:ascii="Times New Roman" w:hAnsi="Times New Roman" w:cs="Times New Roman"/>
          <w:sz w:val="24"/>
          <w:szCs w:val="24"/>
          <w:lang w:val="en-US"/>
        </w:rPr>
        <w:t>ces by being MNEs, cross-listed</w:t>
      </w:r>
      <w:r w:rsidR="003946E7" w:rsidRPr="003946E7">
        <w:rPr>
          <w:rFonts w:ascii="Times New Roman" w:hAnsi="Times New Roman" w:cs="Times New Roman"/>
          <w:sz w:val="24"/>
          <w:szCs w:val="24"/>
          <w:lang w:val="en-US"/>
        </w:rPr>
        <w:t xml:space="preserve"> or having foreign independent directors. </w:t>
      </w:r>
      <w:r>
        <w:rPr>
          <w:rFonts w:ascii="Times New Roman" w:hAnsi="Times New Roman" w:cs="Times New Roman"/>
          <w:sz w:val="24"/>
          <w:szCs w:val="24"/>
          <w:lang w:val="en-US"/>
        </w:rPr>
        <w:t>C</w:t>
      </w:r>
      <w:r w:rsidRPr="00084FF6">
        <w:rPr>
          <w:rFonts w:ascii="Times New Roman" w:hAnsi="Times New Roman" w:cs="Times New Roman"/>
          <w:sz w:val="24"/>
          <w:szCs w:val="24"/>
          <w:lang w:val="en-US"/>
        </w:rPr>
        <w:t xml:space="preserve">orporate governance structures in </w:t>
      </w:r>
      <w:r>
        <w:rPr>
          <w:rFonts w:ascii="Times New Roman" w:hAnsi="Times New Roman" w:cs="Times New Roman"/>
          <w:sz w:val="24"/>
          <w:szCs w:val="24"/>
          <w:lang w:val="en-US"/>
        </w:rPr>
        <w:t>emerging</w:t>
      </w:r>
      <w:r w:rsidRPr="00084FF6">
        <w:rPr>
          <w:rFonts w:ascii="Times New Roman" w:hAnsi="Times New Roman" w:cs="Times New Roman"/>
          <w:sz w:val="24"/>
          <w:szCs w:val="24"/>
          <w:lang w:val="en-US"/>
        </w:rPr>
        <w:t xml:space="preserve"> economies often resemble</w:t>
      </w:r>
      <w:r>
        <w:rPr>
          <w:rFonts w:ascii="Times New Roman" w:hAnsi="Times New Roman" w:cs="Times New Roman"/>
          <w:sz w:val="24"/>
          <w:szCs w:val="24"/>
          <w:lang w:val="en-US"/>
        </w:rPr>
        <w:t xml:space="preserve"> </w:t>
      </w:r>
      <w:r w:rsidRPr="00084FF6">
        <w:rPr>
          <w:rFonts w:ascii="Times New Roman" w:hAnsi="Times New Roman" w:cs="Times New Roman"/>
          <w:sz w:val="24"/>
          <w:szCs w:val="24"/>
          <w:lang w:val="en-US"/>
        </w:rPr>
        <w:t xml:space="preserve">those of </w:t>
      </w:r>
      <w:r>
        <w:rPr>
          <w:rFonts w:ascii="Times New Roman" w:hAnsi="Times New Roman" w:cs="Times New Roman"/>
          <w:sz w:val="24"/>
          <w:szCs w:val="24"/>
          <w:lang w:val="en-US"/>
        </w:rPr>
        <w:t>developed</w:t>
      </w:r>
      <w:r w:rsidRPr="00084FF6">
        <w:rPr>
          <w:rFonts w:ascii="Times New Roman" w:hAnsi="Times New Roman" w:cs="Times New Roman"/>
          <w:sz w:val="24"/>
          <w:szCs w:val="24"/>
          <w:lang w:val="en-US"/>
        </w:rPr>
        <w:t xml:space="preserve"> economies in form but not in substance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EN.CITE &lt;EndNote&gt;&lt;Cite&gt;&lt;Author&gt;Peng&lt;/Author&gt;&lt;Year&gt;2004&lt;/Year&gt;&lt;RecNum&gt;672&lt;/RecNum&gt;&lt;DisplayText&gt;(Peng, 2004)&lt;/DisplayText&gt;&lt;record&gt;&lt;rec-number&gt;672&lt;/rec-number&gt;&lt;foreign-keys&gt;&lt;key app="EN" db-id="xdsfzvadmzzxdzereeq5xdf7eaxsdwfdfave" timestamp="1477932401"&gt;672&lt;/key&gt;&lt;/foreign-keys&gt;&lt;ref-type name="Journal Article"&gt;17&lt;/ref-type&gt;&lt;contributors&gt;&lt;authors&gt;&lt;author&gt;Peng, Mike W&lt;/author&gt;&lt;/authors&gt;&lt;/contributors&gt;&lt;titles&gt;&lt;title&gt;Outside directors and firm performance during institutional transitions&lt;/title&gt;&lt;secondary-title&gt;Strategic Management Journal&lt;/secondary-title&gt;&lt;/titles&gt;&lt;periodical&gt;&lt;full-title&gt;Strategic Management Journal&lt;/full-title&gt;&lt;/periodical&gt;&lt;pages&gt;453-471&lt;/pages&gt;&lt;volume&gt;25&lt;/volume&gt;&lt;number&gt;5&lt;/number&gt;&lt;dates&gt;&lt;year&gt;2004&lt;/year&gt;&lt;/dates&gt;&lt;isbn&gt;1097-0266&lt;/isbn&gt;&lt;urls&gt;&lt;/urls&gt;&lt;/record&gt;&lt;/Cite&gt;&lt;/EndNote&gt;</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w:t>
      </w:r>
      <w:hyperlink w:anchor="_ENREF_84" w:tooltip="Peng, 2004 #672" w:history="1">
        <w:r w:rsidR="00266C78">
          <w:rPr>
            <w:rFonts w:ascii="Times New Roman" w:hAnsi="Times New Roman" w:cs="Times New Roman"/>
            <w:noProof/>
            <w:sz w:val="24"/>
            <w:szCs w:val="24"/>
            <w:lang w:val="en-US"/>
          </w:rPr>
          <w:t>Peng, 2004</w:t>
        </w:r>
      </w:hyperlink>
      <w:r>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r w:rsidRPr="00084FF6">
        <w:rPr>
          <w:rFonts w:ascii="Times New Roman" w:hAnsi="Times New Roman" w:cs="Times New Roman"/>
          <w:sz w:val="24"/>
          <w:szCs w:val="24"/>
          <w:lang w:val="en-US"/>
        </w:rPr>
        <w:t>.</w:t>
      </w:r>
      <w:r w:rsidRPr="0097464E">
        <w:rPr>
          <w:rFonts w:ascii="Times New Roman" w:hAnsi="Times New Roman" w:cs="Times New Roman"/>
          <w:sz w:val="24"/>
          <w:szCs w:val="24"/>
          <w:lang w:val="en-US"/>
        </w:rPr>
        <w:t xml:space="preserve"> </w:t>
      </w:r>
      <w:r>
        <w:rPr>
          <w:rFonts w:ascii="Times New Roman" w:hAnsi="Times New Roman" w:cs="Times New Roman"/>
          <w:sz w:val="24"/>
          <w:szCs w:val="24"/>
          <w:lang w:val="en-US"/>
        </w:rPr>
        <w:t>We show that</w:t>
      </w:r>
      <w:r w:rsidRPr="0097464E">
        <w:rPr>
          <w:rFonts w:ascii="Times New Roman" w:hAnsi="Times New Roman" w:cs="Times New Roman"/>
          <w:sz w:val="24"/>
          <w:szCs w:val="24"/>
          <w:lang w:val="en-US"/>
        </w:rPr>
        <w:t xml:space="preserve"> board structures designed to address principal-agent problems in developed economies </w:t>
      </w:r>
      <w:r>
        <w:rPr>
          <w:rFonts w:ascii="Times New Roman" w:hAnsi="Times New Roman" w:cs="Times New Roman"/>
          <w:sz w:val="24"/>
          <w:szCs w:val="24"/>
          <w:lang w:val="en-US"/>
        </w:rPr>
        <w:t>are</w:t>
      </w:r>
      <w:r w:rsidRPr="0097464E">
        <w:rPr>
          <w:rFonts w:ascii="Times New Roman" w:hAnsi="Times New Roman" w:cs="Times New Roman"/>
          <w:sz w:val="24"/>
          <w:szCs w:val="24"/>
          <w:lang w:val="en-US"/>
        </w:rPr>
        <w:t xml:space="preserve"> not </w:t>
      </w:r>
      <w:r>
        <w:rPr>
          <w:rFonts w:ascii="Times New Roman" w:hAnsi="Times New Roman" w:cs="Times New Roman"/>
          <w:sz w:val="24"/>
          <w:szCs w:val="24"/>
          <w:lang w:val="en-US"/>
        </w:rPr>
        <w:t xml:space="preserve">always </w:t>
      </w:r>
      <w:r w:rsidRPr="0097464E">
        <w:rPr>
          <w:rFonts w:ascii="Times New Roman" w:hAnsi="Times New Roman" w:cs="Times New Roman"/>
          <w:sz w:val="24"/>
          <w:szCs w:val="24"/>
          <w:lang w:val="en-US"/>
        </w:rPr>
        <w:t xml:space="preserve">applicable to weak institutional contexts characterized by </w:t>
      </w:r>
      <w:r>
        <w:rPr>
          <w:rFonts w:ascii="Times New Roman" w:hAnsi="Times New Roman" w:cs="Times New Roman"/>
          <w:sz w:val="24"/>
          <w:szCs w:val="24"/>
          <w:lang w:val="en-US"/>
        </w:rPr>
        <w:t>blockholder heterogeneity and principal-principal conflicts</w:t>
      </w:r>
      <w:r w:rsidRPr="0097464E">
        <w:rPr>
          <w:rFonts w:ascii="Times New Roman" w:hAnsi="Times New Roman" w:cs="Times New Roman"/>
          <w:sz w:val="24"/>
          <w:szCs w:val="24"/>
          <w:lang w:val="en-US"/>
        </w:rPr>
        <w:t>.</w:t>
      </w:r>
      <w:r w:rsidR="00395BDD">
        <w:rPr>
          <w:rFonts w:ascii="Times New Roman" w:hAnsi="Times New Roman" w:cs="Times New Roman"/>
          <w:sz w:val="24"/>
          <w:szCs w:val="24"/>
          <w:lang w:val="en-US"/>
        </w:rPr>
        <w:t xml:space="preserve"> Hence, while Anglo-American corporate governance practices might be a way to overcome some country of origin liabilities relating to weak institutions, this is limited because part of the institutional weaknesses relate to the ability of firms to interpret practices as it suits them. </w:t>
      </w:r>
      <w:bookmarkStart w:id="34" w:name="_Hlk516687529"/>
      <w:r w:rsidR="00C0407B">
        <w:rPr>
          <w:rFonts w:ascii="Times New Roman" w:hAnsi="Times New Roman" w:cs="Times New Roman"/>
          <w:sz w:val="24"/>
          <w:szCs w:val="24"/>
          <w:lang w:val="en-US"/>
        </w:rPr>
        <w:t xml:space="preserve">For example, </w:t>
      </w:r>
      <w:r w:rsidR="00C0407B" w:rsidRPr="00C0407B">
        <w:rPr>
          <w:rFonts w:ascii="Times New Roman" w:hAnsi="Times New Roman" w:cs="Times New Roman"/>
          <w:sz w:val="24"/>
          <w:szCs w:val="24"/>
          <w:lang w:val="en-US"/>
        </w:rPr>
        <w:t>while the</w:t>
      </w:r>
      <w:r w:rsidR="00C0407B">
        <w:rPr>
          <w:rFonts w:ascii="Times New Roman" w:hAnsi="Times New Roman" w:cs="Times New Roman"/>
          <w:sz w:val="24"/>
          <w:szCs w:val="24"/>
          <w:lang w:val="en-US"/>
        </w:rPr>
        <w:t xml:space="preserve"> corporate governance</w:t>
      </w:r>
      <w:r w:rsidR="00C0407B" w:rsidRPr="00C0407B">
        <w:rPr>
          <w:rFonts w:ascii="Times New Roman" w:hAnsi="Times New Roman" w:cs="Times New Roman"/>
          <w:sz w:val="24"/>
          <w:szCs w:val="24"/>
          <w:lang w:val="en-US"/>
        </w:rPr>
        <w:t xml:space="preserve"> code specifies a certain level </w:t>
      </w:r>
      <w:r w:rsidR="00C0407B">
        <w:rPr>
          <w:rFonts w:ascii="Times New Roman" w:hAnsi="Times New Roman" w:cs="Times New Roman"/>
          <w:sz w:val="24"/>
          <w:szCs w:val="24"/>
          <w:lang w:val="en-US"/>
        </w:rPr>
        <w:t>of independent directors (</w:t>
      </w:r>
      <w:r w:rsidR="00E91BEA">
        <w:rPr>
          <w:rFonts w:ascii="Times New Roman" w:hAnsi="Times New Roman" w:cs="Times New Roman"/>
          <w:sz w:val="24"/>
          <w:szCs w:val="24"/>
          <w:lang w:val="en-US"/>
        </w:rPr>
        <w:t>25%</w:t>
      </w:r>
      <w:r w:rsidR="00C0407B">
        <w:rPr>
          <w:rFonts w:ascii="Times New Roman" w:hAnsi="Times New Roman" w:cs="Times New Roman"/>
          <w:sz w:val="24"/>
          <w:szCs w:val="24"/>
          <w:lang w:val="en-US"/>
        </w:rPr>
        <w:t xml:space="preserve">), </w:t>
      </w:r>
      <w:r w:rsidR="00C0407B" w:rsidRPr="00C0407B">
        <w:rPr>
          <w:rFonts w:ascii="Times New Roman" w:hAnsi="Times New Roman" w:cs="Times New Roman"/>
          <w:sz w:val="24"/>
          <w:szCs w:val="24"/>
          <w:lang w:val="en-US"/>
        </w:rPr>
        <w:t>our sample shows it</w:t>
      </w:r>
      <w:r w:rsidR="00C0407B">
        <w:rPr>
          <w:rFonts w:ascii="Times New Roman" w:hAnsi="Times New Roman" w:cs="Times New Roman"/>
          <w:sz w:val="24"/>
          <w:szCs w:val="24"/>
          <w:lang w:val="en-US"/>
        </w:rPr>
        <w:t xml:space="preserve"> is</w:t>
      </w:r>
      <w:r w:rsidR="00C0407B" w:rsidRPr="00C0407B">
        <w:rPr>
          <w:rFonts w:ascii="Times New Roman" w:hAnsi="Times New Roman" w:cs="Times New Roman"/>
          <w:sz w:val="24"/>
          <w:szCs w:val="24"/>
          <w:lang w:val="en-US"/>
        </w:rPr>
        <w:t xml:space="preserve"> much lower</w:t>
      </w:r>
      <w:r w:rsidR="00C0407B">
        <w:rPr>
          <w:rFonts w:ascii="Times New Roman" w:hAnsi="Times New Roman" w:cs="Times New Roman"/>
          <w:sz w:val="24"/>
          <w:szCs w:val="24"/>
          <w:lang w:val="en-US"/>
        </w:rPr>
        <w:t xml:space="preserve"> on average (1</w:t>
      </w:r>
      <w:r w:rsidR="00E91BEA">
        <w:rPr>
          <w:rFonts w:ascii="Times New Roman" w:hAnsi="Times New Roman" w:cs="Times New Roman"/>
          <w:sz w:val="24"/>
          <w:szCs w:val="24"/>
          <w:lang w:val="en-US"/>
        </w:rPr>
        <w:t>3</w:t>
      </w:r>
      <w:r w:rsidR="00C0407B">
        <w:rPr>
          <w:rFonts w:ascii="Times New Roman" w:hAnsi="Times New Roman" w:cs="Times New Roman"/>
          <w:sz w:val="24"/>
          <w:szCs w:val="24"/>
          <w:lang w:val="en-US"/>
        </w:rPr>
        <w:t>.9</w:t>
      </w:r>
      <w:r w:rsidR="00E91BEA">
        <w:rPr>
          <w:rFonts w:ascii="Times New Roman" w:hAnsi="Times New Roman" w:cs="Times New Roman"/>
          <w:sz w:val="24"/>
          <w:szCs w:val="24"/>
          <w:lang w:val="en-US"/>
        </w:rPr>
        <w:t>4</w:t>
      </w:r>
      <w:r w:rsidR="00C0407B">
        <w:rPr>
          <w:rFonts w:ascii="Times New Roman" w:hAnsi="Times New Roman" w:cs="Times New Roman"/>
          <w:sz w:val="24"/>
          <w:szCs w:val="24"/>
          <w:lang w:val="en-US"/>
        </w:rPr>
        <w:t xml:space="preserve">%), with about half of boards composed </w:t>
      </w:r>
      <w:r w:rsidR="00283928">
        <w:rPr>
          <w:rFonts w:ascii="Times New Roman" w:hAnsi="Times New Roman" w:cs="Times New Roman"/>
          <w:sz w:val="24"/>
          <w:szCs w:val="24"/>
          <w:lang w:val="en-US"/>
        </w:rPr>
        <w:t>of</w:t>
      </w:r>
      <w:r w:rsidR="00C0407B">
        <w:rPr>
          <w:rFonts w:ascii="Times New Roman" w:hAnsi="Times New Roman" w:cs="Times New Roman"/>
          <w:sz w:val="24"/>
          <w:szCs w:val="24"/>
          <w:lang w:val="en-US"/>
        </w:rPr>
        <w:t xml:space="preserve"> insiders only.</w:t>
      </w:r>
    </w:p>
    <w:bookmarkEnd w:id="34"/>
    <w:p w14:paraId="70902C2C" w14:textId="1474DAE3" w:rsidR="00EC3C8F" w:rsidRDefault="00395BDD" w:rsidP="00C0407B">
      <w:pPr>
        <w:spacing w:after="0"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After almost three decades </w:t>
      </w:r>
      <w:r w:rsidR="00492DD4">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the fall of the Berlin Wall, progress towards strengthening the institutional environment remains slow (Hoskisson, et al., 2013). As such, our findings indicate that Russian MNEs may be able to overcome some of their institutional weaknesses by cross-listing in Anglo-American markets and bonding with the stronger institutions in these markets. </w:t>
      </w:r>
      <w:r w:rsidR="00492DD4">
        <w:rPr>
          <w:rFonts w:ascii="Times New Roman" w:hAnsi="Times New Roman" w:cs="Times New Roman"/>
          <w:sz w:val="24"/>
          <w:szCs w:val="24"/>
          <w:lang w:val="en-US"/>
        </w:rPr>
        <w:t xml:space="preserve">Similarly, foreign directors as individual agents might also bridge these institutional differences towards some governance convergence and effectiveness. </w:t>
      </w:r>
      <w:r>
        <w:rPr>
          <w:rFonts w:ascii="Times New Roman" w:hAnsi="Times New Roman" w:cs="Times New Roman"/>
          <w:sz w:val="24"/>
          <w:szCs w:val="24"/>
          <w:lang w:val="en-US"/>
        </w:rPr>
        <w:t xml:space="preserve"> </w:t>
      </w:r>
      <w:r w:rsidR="00713B34">
        <w:rPr>
          <w:rFonts w:ascii="Times New Roman" w:hAnsi="Times New Roman" w:cs="Times New Roman"/>
          <w:sz w:val="24"/>
          <w:szCs w:val="24"/>
          <w:lang w:val="en-US"/>
        </w:rPr>
        <w:tab/>
      </w:r>
    </w:p>
    <w:p w14:paraId="65FB9023" w14:textId="3EA31BE1" w:rsidR="00713B34" w:rsidRPr="00A13EEE" w:rsidRDefault="00713B34" w:rsidP="00713B34">
      <w:pPr>
        <w:spacing w:after="0"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We also </w:t>
      </w:r>
      <w:r w:rsidR="000950C8">
        <w:rPr>
          <w:rFonts w:ascii="Times New Roman" w:hAnsi="Times New Roman" w:cs="Times New Roman"/>
          <w:sz w:val="24"/>
          <w:szCs w:val="24"/>
          <w:lang w:val="en-US"/>
        </w:rPr>
        <w:t xml:space="preserve">shed light into </w:t>
      </w:r>
      <w:r w:rsidR="005B12A5">
        <w:rPr>
          <w:rFonts w:ascii="Times New Roman" w:hAnsi="Times New Roman" w:cs="Times New Roman"/>
          <w:sz w:val="24"/>
          <w:szCs w:val="24"/>
          <w:lang w:val="en-US"/>
        </w:rPr>
        <w:t xml:space="preserve">contextual </w:t>
      </w:r>
      <w:r>
        <w:rPr>
          <w:rFonts w:ascii="Times New Roman" w:hAnsi="Times New Roman" w:cs="Times New Roman"/>
          <w:sz w:val="24"/>
          <w:szCs w:val="24"/>
          <w:lang w:val="en-US"/>
        </w:rPr>
        <w:t xml:space="preserve">research on state capitalism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EN.CITE &lt;EndNote&gt;&lt;Cite&gt;&lt;Author&gt;Wood&lt;/Author&gt;&lt;Year&gt;2015&lt;/Year&gt;&lt;RecNum&gt;629&lt;/RecNum&gt;&lt;DisplayText&gt;(Megginson, 2017; Wood et al., 2015)&lt;/DisplayText&gt;&lt;record&gt;&lt;rec-number&gt;629&lt;/rec-number&gt;&lt;foreign-keys&gt;&lt;key app="EN" db-id="xdsfzvadmzzxdzereeq5xdf7eaxsdwfdfave" timestamp="1476973245"&gt;629&lt;/key&gt;&lt;/foreign-keys&gt;&lt;ref-type name="Journal Article"&gt;17&lt;/ref-type&gt;&lt;contributors&gt;&lt;authors&gt;&lt;author&gt;Wood, Geoffrey&lt;/author&gt;&lt;author&gt;Wright, Mike&lt;/author&gt;&lt;/authors&gt;&lt;/contributors&gt;&lt;titles&gt;&lt;title&gt;Corporations and new statism: Trends and research priorities&lt;/title&gt;&lt;secondary-title&gt;The Academy of Management Perspectives&lt;/secondary-title&gt;&lt;/titles&gt;&lt;periodical&gt;&lt;full-title&gt;The Academy of Management Perspectives&lt;/full-title&gt;&lt;/periodical&gt;&lt;pages&gt;271-286&lt;/pages&gt;&lt;volume&gt;29&lt;/volume&gt;&lt;number&gt;2&lt;/number&gt;&lt;dates&gt;&lt;year&gt;2015&lt;/year&gt;&lt;/dates&gt;&lt;isbn&gt;1558-9080&lt;/isbn&gt;&lt;urls&gt;&lt;/urls&gt;&lt;/record&gt;&lt;/Cite&gt;&lt;Cite&gt;&lt;Author&gt;Megginson&lt;/Author&gt;&lt;Year&gt;2017&lt;/Year&gt;&lt;RecNum&gt;791&lt;/RecNum&gt;&lt;record&gt;&lt;rec-number&gt;791&lt;/rec-number&gt;&lt;foreign-keys&gt;&lt;key app="EN" db-id="xdsfzvadmzzxdzereeq5xdf7eaxsdwfdfave" timestamp="1512602574"&gt;791&lt;/key&gt;&lt;/foreign-keys&gt;&lt;ref-type name="Journal Article"&gt;17&lt;/ref-type&gt;&lt;contributors&gt;&lt;authors&gt;&lt;author&gt;Megginson, William L&lt;/author&gt;&lt;/authors&gt;&lt;/contributors&gt;&lt;titles&gt;&lt;title&gt;Privatization, state capitalism, and state ownership of business in the 21st century&lt;/title&gt;&lt;secondary-title&gt;Foundations and Trends® in Finance&lt;/secondary-title&gt;&lt;/titles&gt;&lt;periodical&gt;&lt;full-title&gt;Foundations and Trends® in Finance&lt;/full-title&gt;&lt;/periodical&gt;&lt;pages&gt;1-153&lt;/pages&gt;&lt;volume&gt;11&lt;/volume&gt;&lt;number&gt;1-2&lt;/number&gt;&lt;dates&gt;&lt;year&gt;2017&lt;/year&gt;&lt;/dates&gt;&lt;isbn&gt;1567-2395&lt;/isbn&gt;&lt;urls&gt;&lt;/urls&gt;&lt;/record&gt;&lt;/Cite&gt;&lt;/EndNote&gt;</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w:t>
      </w:r>
      <w:hyperlink w:anchor="_ENREF_72" w:tooltip="Megginson, 2017 #791" w:history="1">
        <w:r w:rsidR="00266C78">
          <w:rPr>
            <w:rFonts w:ascii="Times New Roman" w:hAnsi="Times New Roman" w:cs="Times New Roman"/>
            <w:noProof/>
            <w:sz w:val="24"/>
            <w:szCs w:val="24"/>
            <w:lang w:val="en-US"/>
          </w:rPr>
          <w:t>Megginson, 2017</w:t>
        </w:r>
      </w:hyperlink>
      <w:r>
        <w:rPr>
          <w:rFonts w:ascii="Times New Roman" w:hAnsi="Times New Roman" w:cs="Times New Roman"/>
          <w:noProof/>
          <w:sz w:val="24"/>
          <w:szCs w:val="24"/>
          <w:lang w:val="en-US"/>
        </w:rPr>
        <w:t xml:space="preserve">; </w:t>
      </w:r>
      <w:hyperlink w:anchor="_ENREF_105" w:tooltip="Wood, 2015 #629" w:history="1">
        <w:r w:rsidR="00266C78">
          <w:rPr>
            <w:rFonts w:ascii="Times New Roman" w:hAnsi="Times New Roman" w:cs="Times New Roman"/>
            <w:noProof/>
            <w:sz w:val="24"/>
            <w:szCs w:val="24"/>
            <w:lang w:val="en-US"/>
          </w:rPr>
          <w:t>Wood et al., 2015</w:t>
        </w:r>
      </w:hyperlink>
      <w:r>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by showing that despite common belief, independent boards of state-controlled entities are an efficient mechanism to combat funds misallocation. </w:t>
      </w:r>
      <w:r w:rsidR="005B12A5">
        <w:rPr>
          <w:rFonts w:ascii="Times New Roman" w:hAnsi="Times New Roman" w:cs="Times New Roman"/>
          <w:sz w:val="24"/>
          <w:szCs w:val="24"/>
          <w:lang w:val="en-US"/>
        </w:rPr>
        <w:t>Specifically</w:t>
      </w:r>
      <w:r>
        <w:rPr>
          <w:rFonts w:ascii="Times New Roman" w:hAnsi="Times New Roman" w:cs="Times New Roman"/>
          <w:sz w:val="24"/>
          <w:szCs w:val="24"/>
          <w:lang w:val="en-US"/>
        </w:rPr>
        <w:t>, we contribute textured analysis of multiple factors into corporate governance in EEM</w:t>
      </w:r>
      <w:r w:rsidR="00882E96">
        <w:rPr>
          <w:rFonts w:ascii="Times New Roman" w:hAnsi="Times New Roman" w:cs="Times New Roman"/>
          <w:sz w:val="24"/>
          <w:szCs w:val="24"/>
          <w:lang w:val="en-US"/>
        </w:rPr>
        <w:t>M</w:t>
      </w:r>
      <w:r>
        <w:rPr>
          <w:rFonts w:ascii="Times New Roman" w:hAnsi="Times New Roman" w:cs="Times New Roman"/>
          <w:sz w:val="24"/>
          <w:szCs w:val="24"/>
          <w:lang w:val="en-US"/>
        </w:rPr>
        <w:t xml:space="preserve"> and Russia, especially to the literature on ownership </w:t>
      </w:r>
      <w:r>
        <w:rPr>
          <w:rFonts w:ascii="Times New Roman" w:hAnsi="Times New Roman" w:cs="Times New Roman"/>
          <w:sz w:val="24"/>
          <w:szCs w:val="24"/>
          <w:lang w:val="en-US"/>
        </w:rPr>
        <w:fldChar w:fldCharType="begin">
          <w:fldData xml:space="preserve">PEVuZE5vdGU+PENpdGU+PEF1dGhvcj5EdXJuZXY8L0F1dGhvcj48WWVhcj4yMDA1PC9ZZWFyPjxS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</w:fldData>
        </w:fldChar>
      </w:r>
      <w:r>
        <w:rPr>
          <w:rFonts w:ascii="Times New Roman" w:hAnsi="Times New Roman" w:cs="Times New Roman"/>
          <w:sz w:val="24"/>
          <w:szCs w:val="24"/>
          <w:lang w:val="en-US"/>
        </w:rPr>
        <w:instrText xml:space="preserve"> ADDIN EN.CITE </w:instrText>
      </w:r>
      <w:r>
        <w:rPr>
          <w:rFonts w:ascii="Times New Roman" w:hAnsi="Times New Roman" w:cs="Times New Roman"/>
          <w:sz w:val="24"/>
          <w:szCs w:val="24"/>
          <w:lang w:val="en-US"/>
        </w:rPr>
        <w:fldChar w:fldCharType="begin">
          <w:fldData xml:space="preserve">PEVuZE5vdGU+PENpdGU+PEF1dGhvcj5EdXJuZXY8L0F1dGhvcj48WWVhcj4yMDA1PC9ZZWFyPjxS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</w:fldData>
        </w:fldChar>
      </w:r>
      <w:r>
        <w:rPr>
          <w:rFonts w:ascii="Times New Roman" w:hAnsi="Times New Roman" w:cs="Times New Roman"/>
          <w:sz w:val="24"/>
          <w:szCs w:val="24"/>
          <w:lang w:val="en-US"/>
        </w:rPr>
        <w:instrText xml:space="preserve"> ADDIN EN.CITE.DATA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end"/>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w:t>
      </w:r>
      <w:hyperlink w:anchor="_ENREF_30" w:tooltip="Chernykh, 2008 #27" w:history="1">
        <w:r w:rsidR="00266C78">
          <w:rPr>
            <w:rFonts w:ascii="Times New Roman" w:hAnsi="Times New Roman" w:cs="Times New Roman"/>
            <w:noProof/>
            <w:sz w:val="24"/>
            <w:szCs w:val="24"/>
            <w:lang w:val="en-US"/>
          </w:rPr>
          <w:t>Chernykh, 2008</w:t>
        </w:r>
      </w:hyperlink>
      <w:r>
        <w:rPr>
          <w:rFonts w:ascii="Times New Roman" w:hAnsi="Times New Roman" w:cs="Times New Roman"/>
          <w:noProof/>
          <w:sz w:val="24"/>
          <w:szCs w:val="24"/>
          <w:lang w:val="en-US"/>
        </w:rPr>
        <w:t xml:space="preserve">; </w:t>
      </w:r>
      <w:hyperlink w:anchor="_ENREF_42" w:tooltip="Durnev, 2005 #839" w:history="1">
        <w:r w:rsidR="00266C78">
          <w:rPr>
            <w:rFonts w:ascii="Times New Roman" w:hAnsi="Times New Roman" w:cs="Times New Roman"/>
            <w:noProof/>
            <w:sz w:val="24"/>
            <w:szCs w:val="24"/>
            <w:lang w:val="en-US"/>
          </w:rPr>
          <w:t>Durnev et al., 2005</w:t>
        </w:r>
      </w:hyperlink>
      <w:r>
        <w:rPr>
          <w:rFonts w:ascii="Times New Roman" w:hAnsi="Times New Roman" w:cs="Times New Roman"/>
          <w:noProof/>
          <w:sz w:val="24"/>
          <w:szCs w:val="24"/>
          <w:lang w:val="en-US"/>
        </w:rPr>
        <w:t xml:space="preserve">; </w:t>
      </w:r>
      <w:hyperlink w:anchor="_ENREF_61" w:tooltip="Iwasaki, 2017 #836" w:history="1">
        <w:r w:rsidR="00266C78">
          <w:rPr>
            <w:rFonts w:ascii="Times New Roman" w:hAnsi="Times New Roman" w:cs="Times New Roman"/>
            <w:noProof/>
            <w:sz w:val="24"/>
            <w:szCs w:val="24"/>
            <w:lang w:val="en-US"/>
          </w:rPr>
          <w:t>Iwasaki et al., 2017</w:t>
        </w:r>
      </w:hyperlink>
      <w:r>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corporate disclosure and transparency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EN.CITE &lt;EndNote&gt;&lt;Cite&gt;&lt;Author&gt;Black&lt;/Author&gt;&lt;Year&gt;2016&lt;/Year&gt;&lt;RecNum&gt;840&lt;/RecNum&gt;&lt;DisplayText&gt;(Berezinets et al., 2017; Black et al., 2016)&lt;/DisplayText&gt;&lt;record&gt;&lt;rec-number&gt;840&lt;/rec-number&gt;&lt;foreign-keys&gt;&lt;key app="EN" db-id="xdsfzvadmzzxdzereeq5xdf7eaxsdwfdfave" timestamp="1516277358"&gt;840&lt;/key&gt;&lt;/foreign-keys&gt;&lt;ref-type name="Conference Proceedings"&gt;10&lt;/ref-type&gt;&lt;contributors&gt;&lt;authors&gt;&lt;author&gt;Black, Bernard&lt;/author&gt;&lt;author&gt;Muravyev, Alexander&lt;/author&gt;&lt;/authors&gt;&lt;/contributors&gt;&lt;titles&gt;&lt;title&gt;Do disclosure and transparency matter for firm performance? Evidence from the Russian stock exchange&lt;/title&gt;&lt;secondary-title&gt;XVI April International Academic Conference on Economic and Social Development&lt;/secondary-title&gt;&lt;/titles&gt;&lt;dates&gt;&lt;year&gt;2016&lt;/year&gt;&lt;/dates&gt;&lt;pub-location&gt;Higher School of Economics, Moscow&lt;/pub-location&gt;&lt;urls&gt;&lt;/urls&gt;&lt;/record&gt;&lt;/Cite&gt;&lt;Cite&gt;&lt;Author&gt;Berezinets&lt;/Author&gt;&lt;Year&gt;2017&lt;/Year&gt;&lt;RecNum&gt;841&lt;/RecNum&gt;&lt;record&gt;&lt;rec-number&gt;841&lt;/rec-number&gt;&lt;foreign-keys&gt;&lt;key app="EN" db-id="xdsfzvadmzzxdzereeq5xdf7eaxsdwfdfave" timestamp="1516277873"&gt;841&lt;/key&gt;&lt;/foreign-keys&gt;&lt;ref-type name="Conference Proceedings"&gt;10&lt;/ref-type&gt;&lt;contributors&gt;&lt;authors&gt;&lt;author&gt;Berezinets, Irina&lt;/author&gt;&lt;author&gt;Muravyev, Alexander&lt;/author&gt;&lt;/authors&gt;&lt;/contributors&gt;&lt;titles&gt;&lt;title&gt;Governance structure, cross-listing status and corporate disclosure: Evidence from the emerging market of Russia&lt;/title&gt;&lt;secondary-title&gt;World Finance Banking Symposium &lt;/secondary-title&gt;&lt;/titles&gt;&lt;dates&gt;&lt;year&gt;2017&lt;/year&gt;&lt;/dates&gt;&lt;pub-location&gt;Bangkok, Thailand&lt;/pub-location&gt;&lt;urls&gt;&lt;/urls&gt;&lt;/record&gt;&lt;/Cite&gt;&lt;/EndNote&gt;</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w:t>
      </w:r>
      <w:hyperlink w:anchor="_ENREF_13" w:tooltip="Berezinets, 2017 #841" w:history="1">
        <w:r w:rsidR="00266C78">
          <w:rPr>
            <w:rFonts w:ascii="Times New Roman" w:hAnsi="Times New Roman" w:cs="Times New Roman"/>
            <w:noProof/>
            <w:sz w:val="24"/>
            <w:szCs w:val="24"/>
            <w:lang w:val="en-US"/>
          </w:rPr>
          <w:t>Berezinets et al., 2017</w:t>
        </w:r>
      </w:hyperlink>
      <w:r>
        <w:rPr>
          <w:rFonts w:ascii="Times New Roman" w:hAnsi="Times New Roman" w:cs="Times New Roman"/>
          <w:noProof/>
          <w:sz w:val="24"/>
          <w:szCs w:val="24"/>
          <w:lang w:val="en-US"/>
        </w:rPr>
        <w:t xml:space="preserve">; </w:t>
      </w:r>
      <w:hyperlink w:anchor="_ENREF_18" w:tooltip="Black, 2016 #840" w:history="1">
        <w:r w:rsidR="00266C78">
          <w:rPr>
            <w:rFonts w:ascii="Times New Roman" w:hAnsi="Times New Roman" w:cs="Times New Roman"/>
            <w:noProof/>
            <w:sz w:val="24"/>
            <w:szCs w:val="24"/>
            <w:lang w:val="en-US"/>
          </w:rPr>
          <w:t xml:space="preserve">Black et </w:t>
        </w:r>
        <w:r w:rsidR="00266C78">
          <w:rPr>
            <w:rFonts w:ascii="Times New Roman" w:hAnsi="Times New Roman" w:cs="Times New Roman"/>
            <w:noProof/>
            <w:sz w:val="24"/>
            <w:szCs w:val="24"/>
            <w:lang w:val="en-US"/>
          </w:rPr>
          <w:lastRenderedPageBreak/>
          <w:t>al., 2016</w:t>
        </w:r>
      </w:hyperlink>
      <w:r>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and boards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EN.CITE &lt;EndNote&gt;&lt;Cite&gt;&lt;Author&gt;Muravyev&lt;/Author&gt;&lt;Year&gt;2014&lt;/Year&gt;&lt;RecNum&gt;842&lt;/RecNum&gt;&lt;DisplayText&gt;(Muravyev, 2017; Muravyev et al., 2014)&lt;/DisplayText&gt;&lt;record&gt;&lt;rec-number&gt;842&lt;/rec-number&gt;&lt;foreign-keys&gt;&lt;key app="EN" db-id="xdsfzvadmzzxdzereeq5xdf7eaxsdwfdfave" timestamp="1516278351"&gt;842&lt;/key&gt;&lt;/foreign-keys&gt;&lt;ref-type name="Journal Article"&gt;17&lt;/ref-type&gt;&lt;contributors&gt;&lt;authors&gt;&lt;author&gt;Muravyev, Alexander&lt;/author&gt;&lt;author&gt;Berezinets, Irina&lt;/author&gt;&lt;author&gt;Ilina, Yulia&lt;/author&gt;&lt;/authors&gt;&lt;/contributors&gt;&lt;titles&gt;&lt;title&gt;The structure of corporate boards and private benefits of control: evidence from the Russian stock exchange&lt;/title&gt;&lt;secondary-title&gt;International Review of Financial Analysis&lt;/secondary-title&gt;&lt;/titles&gt;&lt;periodical&gt;&lt;full-title&gt;International Review of Financial Analysis&lt;/full-title&gt;&lt;/periodical&gt;&lt;pages&gt;247-261&lt;/pages&gt;&lt;volume&gt;34&lt;/volume&gt;&lt;dates&gt;&lt;year&gt;2014&lt;/year&gt;&lt;/dates&gt;&lt;isbn&gt;1057-5219&lt;/isbn&gt;&lt;urls&gt;&lt;/urls&gt;&lt;/record&gt;&lt;/Cite&gt;&lt;Cite&gt;&lt;Author&gt;Muravyev&lt;/Author&gt;&lt;Year&gt;2017&lt;/Year&gt;&lt;RecNum&gt;843&lt;/RecNum&gt;&lt;record&gt;&lt;rec-number&gt;843&lt;/rec-number&gt;&lt;foreign-keys&gt;&lt;key app="EN" db-id="xdsfzvadmzzxdzereeq5xdf7eaxsdwfdfave" timestamp="1516279009"&gt;843&lt;/key&gt;&lt;/foreign-keys&gt;&lt;ref-type name="Journal Article"&gt;17&lt;/ref-type&gt;&lt;contributors&gt;&lt;authors&gt;&lt;author&gt;Muravyev, Alexander&lt;/author&gt;&lt;/authors&gt;&lt;/contributors&gt;&lt;titles&gt;&lt;title&gt;Boards of directors in Russian publicly traded companies in 1998–2014: Structure, dynamics and performance effects&lt;/title&gt;&lt;secondary-title&gt;Economic Systems&lt;/secondary-title&gt;&lt;/titles&gt;&lt;periodical&gt;&lt;full-title&gt;Economic Systems&lt;/full-title&gt;&lt;/periodical&gt;&lt;pages&gt;5-25&lt;/pages&gt;&lt;volume&gt;41&lt;/volume&gt;&lt;number&gt;1&lt;/number&gt;&lt;dates&gt;&lt;year&gt;2017&lt;/year&gt;&lt;/dates&gt;&lt;isbn&gt;0939-3625&lt;/isbn&gt;&lt;urls&gt;&lt;/urls&gt;&lt;/record&gt;&lt;/Cite&gt;&lt;/EndNote&gt;</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w:t>
      </w:r>
      <w:hyperlink w:anchor="_ENREF_76" w:tooltip="Muravyev, 2017 #843" w:history="1">
        <w:r w:rsidR="00266C78">
          <w:rPr>
            <w:rFonts w:ascii="Times New Roman" w:hAnsi="Times New Roman" w:cs="Times New Roman"/>
            <w:noProof/>
            <w:sz w:val="24"/>
            <w:szCs w:val="24"/>
            <w:lang w:val="en-US"/>
          </w:rPr>
          <w:t>Muravyev, 2017</w:t>
        </w:r>
      </w:hyperlink>
      <w:r>
        <w:rPr>
          <w:rFonts w:ascii="Times New Roman" w:hAnsi="Times New Roman" w:cs="Times New Roman"/>
          <w:noProof/>
          <w:sz w:val="24"/>
          <w:szCs w:val="24"/>
          <w:lang w:val="en-US"/>
        </w:rPr>
        <w:t xml:space="preserve">; </w:t>
      </w:r>
      <w:hyperlink w:anchor="_ENREF_77" w:tooltip="Muravyev, 2014 #842" w:history="1">
        <w:r w:rsidR="00266C78">
          <w:rPr>
            <w:rFonts w:ascii="Times New Roman" w:hAnsi="Times New Roman" w:cs="Times New Roman"/>
            <w:noProof/>
            <w:sz w:val="24"/>
            <w:szCs w:val="24"/>
            <w:lang w:val="en-US"/>
          </w:rPr>
          <w:t>Muravyev et al., 2014</w:t>
        </w:r>
      </w:hyperlink>
      <w:r>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by providing the first</w:t>
      </w:r>
      <w:r w:rsidRPr="00E21891">
        <w:t xml:space="preserve"> </w:t>
      </w:r>
      <w:r w:rsidRPr="00E21891">
        <w:rPr>
          <w:rFonts w:ascii="Times New Roman" w:hAnsi="Times New Roman" w:cs="Times New Roman"/>
          <w:sz w:val="24"/>
          <w:szCs w:val="24"/>
          <w:lang w:val="en-US"/>
        </w:rPr>
        <w:t xml:space="preserve">study </w:t>
      </w:r>
      <w:r>
        <w:rPr>
          <w:rFonts w:ascii="Times New Roman" w:hAnsi="Times New Roman" w:cs="Times New Roman"/>
          <w:sz w:val="24"/>
          <w:szCs w:val="24"/>
          <w:lang w:val="en-US"/>
        </w:rPr>
        <w:t>with</w:t>
      </w:r>
      <w:r w:rsidRPr="00E21891">
        <w:rPr>
          <w:rFonts w:ascii="Times New Roman" w:hAnsi="Times New Roman" w:cs="Times New Roman"/>
          <w:sz w:val="24"/>
          <w:szCs w:val="24"/>
          <w:lang w:val="en-US"/>
        </w:rPr>
        <w:t xml:space="preserve"> both conceptual and empirical insights on the role of independent directors in Russia using longitudinal data.</w:t>
      </w:r>
    </w:p>
    <w:p w14:paraId="7ED58E2A" w14:textId="774FD5EC" w:rsidR="001B715C" w:rsidRDefault="000950C8" w:rsidP="001B715C">
      <w:pPr>
        <w:spacing w:after="0"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This study</w:t>
      </w:r>
      <w:r w:rsidR="00713B34" w:rsidRPr="00A13EEE">
        <w:rPr>
          <w:rFonts w:ascii="Times New Roman" w:hAnsi="Times New Roman" w:cs="Times New Roman"/>
          <w:sz w:val="24"/>
          <w:szCs w:val="24"/>
          <w:lang w:val="en-US"/>
        </w:rPr>
        <w:t xml:space="preserve"> has limitations that open up opportunities for further research. First, our focus </w:t>
      </w:r>
      <w:r w:rsidR="00713B34">
        <w:rPr>
          <w:rFonts w:ascii="Times New Roman" w:hAnsi="Times New Roman" w:cs="Times New Roman"/>
          <w:sz w:val="24"/>
          <w:szCs w:val="24"/>
          <w:lang w:val="en-US"/>
        </w:rPr>
        <w:t>is</w:t>
      </w:r>
      <w:r w:rsidR="00713B34" w:rsidRPr="00A13EEE">
        <w:rPr>
          <w:rFonts w:ascii="Times New Roman" w:hAnsi="Times New Roman" w:cs="Times New Roman"/>
          <w:sz w:val="24"/>
          <w:szCs w:val="24"/>
          <w:lang w:val="en-US"/>
        </w:rPr>
        <w:t xml:space="preserve"> on Russia, which questions to what extent we can generalize the analysis to other </w:t>
      </w:r>
      <w:r w:rsidR="003946E7">
        <w:rPr>
          <w:rFonts w:ascii="Times New Roman" w:hAnsi="Times New Roman" w:cs="Times New Roman"/>
          <w:sz w:val="24"/>
          <w:szCs w:val="24"/>
          <w:lang w:val="en-US"/>
        </w:rPr>
        <w:t>EEMM</w:t>
      </w:r>
      <w:r w:rsidR="00713B34" w:rsidRPr="00A13EEE">
        <w:rPr>
          <w:rFonts w:ascii="Times New Roman" w:hAnsi="Times New Roman" w:cs="Times New Roman"/>
          <w:sz w:val="24"/>
          <w:szCs w:val="24"/>
          <w:lang w:val="en-US"/>
        </w:rPr>
        <w:t xml:space="preserve">. In many ways, governance mechanisms in Russia resemble most </w:t>
      </w:r>
      <w:r>
        <w:rPr>
          <w:rFonts w:ascii="Times New Roman" w:hAnsi="Times New Roman" w:cs="Times New Roman"/>
          <w:sz w:val="24"/>
          <w:szCs w:val="24"/>
          <w:lang w:val="en-US"/>
        </w:rPr>
        <w:t xml:space="preserve">of </w:t>
      </w:r>
      <w:r w:rsidR="00713B34" w:rsidRPr="00A13EEE">
        <w:rPr>
          <w:rFonts w:ascii="Times New Roman" w:hAnsi="Times New Roman" w:cs="Times New Roman"/>
          <w:sz w:val="24"/>
          <w:szCs w:val="24"/>
          <w:lang w:val="en-US"/>
        </w:rPr>
        <w:t>those in China</w:t>
      </w:r>
      <w:r w:rsidR="00613805">
        <w:rPr>
          <w:rFonts w:ascii="Times New Roman" w:hAnsi="Times New Roman" w:cs="Times New Roman"/>
          <w:sz w:val="24"/>
          <w:szCs w:val="24"/>
          <w:lang w:val="en-US"/>
        </w:rPr>
        <w:t>, especially when it comes to state influence</w:t>
      </w:r>
      <w:r w:rsidR="00713B34">
        <w:rPr>
          <w:rFonts w:ascii="Times New Roman" w:hAnsi="Times New Roman" w:cs="Times New Roman"/>
          <w:sz w:val="24"/>
          <w:szCs w:val="24"/>
          <w:lang w:val="en-US"/>
        </w:rPr>
        <w:t>.</w:t>
      </w:r>
      <w:r w:rsidR="00613805">
        <w:rPr>
          <w:rFonts w:ascii="Times New Roman" w:hAnsi="Times New Roman" w:cs="Times New Roman"/>
          <w:sz w:val="24"/>
          <w:szCs w:val="24"/>
          <w:lang w:val="en-US"/>
        </w:rPr>
        <w:t xml:space="preserve"> In China, the government appoints, party officials to top management and board positions in SOEs, which aligns officials’ career incentives with party priorities</w:t>
      </w:r>
      <w:r w:rsidR="00524332">
        <w:rPr>
          <w:rFonts w:ascii="Times New Roman" w:hAnsi="Times New Roman" w:cs="Times New Roman"/>
          <w:sz w:val="24"/>
          <w:szCs w:val="24"/>
          <w:lang w:val="en-US"/>
        </w:rPr>
        <w:t>: if they succeed, they move up in the party</w:t>
      </w:r>
      <w:r w:rsidR="00613805">
        <w:rPr>
          <w:rFonts w:ascii="Times New Roman" w:hAnsi="Times New Roman" w:cs="Times New Roman"/>
          <w:sz w:val="24"/>
          <w:szCs w:val="24"/>
          <w:lang w:val="en-US"/>
        </w:rPr>
        <w:t>.</w:t>
      </w:r>
      <w:r w:rsidR="00524332">
        <w:rPr>
          <w:rFonts w:ascii="Times New Roman" w:hAnsi="Times New Roman" w:cs="Times New Roman"/>
          <w:sz w:val="24"/>
          <w:szCs w:val="24"/>
          <w:lang w:val="en-US"/>
        </w:rPr>
        <w:t xml:space="preserve"> Officials loyal to the party compete to become top performers, motivated by possible promotion </w:t>
      </w:r>
      <w:r w:rsidR="00524332">
        <w:rPr>
          <w:rFonts w:ascii="Times New Roman" w:hAnsi="Times New Roman" w:cs="Times New Roman"/>
          <w:sz w:val="24"/>
          <w:szCs w:val="24"/>
          <w:lang w:val="en-US"/>
        </w:rPr>
        <w:fldChar w:fldCharType="begin"/>
      </w:r>
      <w:r w:rsidR="00524332">
        <w:rPr>
          <w:rFonts w:ascii="Times New Roman" w:hAnsi="Times New Roman" w:cs="Times New Roman"/>
          <w:sz w:val="24"/>
          <w:szCs w:val="24"/>
          <w:lang w:val="en-US"/>
        </w:rPr>
        <w:instrText xml:space="preserve"> ADDIN EN.CITE &lt;EndNote&gt;&lt;Cite&gt;&lt;Author&gt;Leutert&lt;/Author&gt;&lt;Year&gt;2016&lt;/Year&gt;&lt;RecNum&gt;863&lt;/RecNum&gt;&lt;DisplayText&gt;(Leutert, 2016)&lt;/DisplayText&gt;&lt;record&gt;&lt;rec-number&gt;863&lt;/rec-number&gt;&lt;foreign-keys&gt;&lt;key app="EN" db-id="xdsfzvadmzzxdzereeq5xdf7eaxsdwfdfave" timestamp="1528750777"&gt;863&lt;/key&gt;&lt;/foreign-keys&gt;&lt;ref-type name="Unpublished Work"&gt;34&lt;/ref-type&gt;&lt;contributors&gt;&lt;authors&gt;&lt;author&gt;Leutert, W.&lt;/author&gt;&lt;/authors&gt;&lt;/contributors&gt;&lt;titles&gt;&lt;title&gt;Challenges ahead in China&amp;apos;s reform of state-owned enterprises&lt;/title&gt;&lt;secondary-title&gt;Asia Policy&lt;/secondary-title&gt;&lt;/titles&gt;&lt;pages&gt;83-99&lt;/pages&gt;&lt;number&gt;21 (January)&lt;/number&gt;&lt;dates&gt;&lt;year&gt;2016&lt;/year&gt;&lt;/dates&gt;&lt;pub-location&gt;Washington, DC&lt;/pub-location&gt;&lt;publisher&gt;Brookings Institute&lt;/publisher&gt;&lt;urls&gt;&lt;/urls&gt;&lt;/record&gt;&lt;/Cite&gt;&lt;/EndNote&gt;</w:instrText>
      </w:r>
      <w:r w:rsidR="00524332">
        <w:rPr>
          <w:rFonts w:ascii="Times New Roman" w:hAnsi="Times New Roman" w:cs="Times New Roman"/>
          <w:sz w:val="24"/>
          <w:szCs w:val="24"/>
          <w:lang w:val="en-US"/>
        </w:rPr>
        <w:fldChar w:fldCharType="separate"/>
      </w:r>
      <w:r w:rsidR="00524332">
        <w:rPr>
          <w:rFonts w:ascii="Times New Roman" w:hAnsi="Times New Roman" w:cs="Times New Roman"/>
          <w:noProof/>
          <w:sz w:val="24"/>
          <w:szCs w:val="24"/>
          <w:lang w:val="en-US"/>
        </w:rPr>
        <w:t>(</w:t>
      </w:r>
      <w:hyperlink w:anchor="_ENREF_69" w:tooltip="Leutert, 2016 #863" w:history="1">
        <w:r w:rsidR="00266C78">
          <w:rPr>
            <w:rFonts w:ascii="Times New Roman" w:hAnsi="Times New Roman" w:cs="Times New Roman"/>
            <w:noProof/>
            <w:sz w:val="24"/>
            <w:szCs w:val="24"/>
            <w:lang w:val="en-US"/>
          </w:rPr>
          <w:t>Leutert, 2016</w:t>
        </w:r>
      </w:hyperlink>
      <w:r w:rsidR="00524332">
        <w:rPr>
          <w:rFonts w:ascii="Times New Roman" w:hAnsi="Times New Roman" w:cs="Times New Roman"/>
          <w:noProof/>
          <w:sz w:val="24"/>
          <w:szCs w:val="24"/>
          <w:lang w:val="en-US"/>
        </w:rPr>
        <w:t>)</w:t>
      </w:r>
      <w:r w:rsidR="00524332">
        <w:rPr>
          <w:rFonts w:ascii="Times New Roman" w:hAnsi="Times New Roman" w:cs="Times New Roman"/>
          <w:sz w:val="24"/>
          <w:szCs w:val="24"/>
          <w:lang w:val="en-US"/>
        </w:rPr>
        <w:fldChar w:fldCharType="end"/>
      </w:r>
      <w:r w:rsidR="00524332">
        <w:rPr>
          <w:rFonts w:ascii="Times New Roman" w:hAnsi="Times New Roman" w:cs="Times New Roman"/>
          <w:sz w:val="24"/>
          <w:szCs w:val="24"/>
          <w:lang w:val="en-US"/>
        </w:rPr>
        <w:t>.</w:t>
      </w:r>
      <w:r w:rsidR="00613805">
        <w:rPr>
          <w:rFonts w:ascii="Times New Roman" w:hAnsi="Times New Roman" w:cs="Times New Roman"/>
          <w:sz w:val="24"/>
          <w:szCs w:val="24"/>
          <w:lang w:val="en-US"/>
        </w:rPr>
        <w:t xml:space="preserve"> </w:t>
      </w:r>
      <w:r w:rsidR="00713B34" w:rsidRPr="00A13EEE">
        <w:rPr>
          <w:rFonts w:ascii="Times New Roman" w:hAnsi="Times New Roman" w:cs="Times New Roman"/>
          <w:sz w:val="24"/>
          <w:szCs w:val="24"/>
          <w:lang w:val="en-US"/>
        </w:rPr>
        <w:t xml:space="preserve"> Comparative study of </w:t>
      </w:r>
      <w:r w:rsidR="00524332">
        <w:rPr>
          <w:rFonts w:ascii="Times New Roman" w:hAnsi="Times New Roman" w:cs="Times New Roman"/>
          <w:sz w:val="24"/>
          <w:szCs w:val="24"/>
          <w:lang w:val="en-US"/>
        </w:rPr>
        <w:t>such</w:t>
      </w:r>
      <w:r w:rsidR="00524332" w:rsidRPr="00A13EEE">
        <w:rPr>
          <w:rFonts w:ascii="Times New Roman" w:hAnsi="Times New Roman" w:cs="Times New Roman"/>
          <w:sz w:val="24"/>
          <w:szCs w:val="24"/>
          <w:lang w:val="en-US"/>
        </w:rPr>
        <w:t xml:space="preserve"> </w:t>
      </w:r>
      <w:r w:rsidR="00713B34">
        <w:rPr>
          <w:rFonts w:ascii="Times New Roman" w:hAnsi="Times New Roman" w:cs="Times New Roman"/>
          <w:sz w:val="24"/>
          <w:szCs w:val="24"/>
          <w:lang w:val="en-US"/>
        </w:rPr>
        <w:t xml:space="preserve">similarities and differences of the impact of </w:t>
      </w:r>
      <w:r w:rsidR="00713B34" w:rsidRPr="00A13EEE">
        <w:rPr>
          <w:rFonts w:ascii="Times New Roman" w:hAnsi="Times New Roman" w:cs="Times New Roman"/>
          <w:sz w:val="24"/>
          <w:szCs w:val="24"/>
          <w:lang w:val="en-US"/>
        </w:rPr>
        <w:t xml:space="preserve">board mechanisms in China and Russia would be a promising avenue for future research. Second, while </w:t>
      </w:r>
      <w:r w:rsidR="00713B34">
        <w:rPr>
          <w:rFonts w:ascii="Times New Roman" w:hAnsi="Times New Roman" w:cs="Times New Roman"/>
          <w:sz w:val="24"/>
          <w:szCs w:val="24"/>
          <w:lang w:val="en-US"/>
        </w:rPr>
        <w:t>we</w:t>
      </w:r>
      <w:r w:rsidR="00713B34" w:rsidRPr="00A13EEE">
        <w:rPr>
          <w:rFonts w:ascii="Times New Roman" w:hAnsi="Times New Roman" w:cs="Times New Roman"/>
          <w:sz w:val="24"/>
          <w:szCs w:val="24"/>
          <w:lang w:val="en-US"/>
        </w:rPr>
        <w:t xml:space="preserve"> highlight the influence of ownership structure on board independence, we do not discuss other board functions. Future research could explore how other board characteristics, such as board remuneration, are contingent on firm ownership.</w:t>
      </w:r>
      <w:r w:rsidR="003946E7">
        <w:rPr>
          <w:rFonts w:ascii="Times New Roman" w:hAnsi="Times New Roman" w:cs="Times New Roman"/>
          <w:sz w:val="24"/>
          <w:szCs w:val="24"/>
          <w:lang w:val="en-US"/>
        </w:rPr>
        <w:t xml:space="preserve"> Third, blockholder</w:t>
      </w:r>
      <w:r w:rsidR="003946E7" w:rsidRPr="003946E7">
        <w:rPr>
          <w:rFonts w:ascii="Times New Roman" w:hAnsi="Times New Roman" w:cs="Times New Roman"/>
          <w:sz w:val="24"/>
          <w:szCs w:val="24"/>
          <w:lang w:val="en-US"/>
        </w:rPr>
        <w:t xml:space="preserve"> appropriation could be measured differently, </w:t>
      </w:r>
      <w:r w:rsidR="003946E7">
        <w:rPr>
          <w:rFonts w:ascii="Times New Roman" w:hAnsi="Times New Roman" w:cs="Times New Roman"/>
          <w:sz w:val="24"/>
          <w:szCs w:val="24"/>
          <w:lang w:val="en-US"/>
        </w:rPr>
        <w:t xml:space="preserve">as we have indicated in </w:t>
      </w:r>
      <w:r w:rsidR="00EC3C8F">
        <w:rPr>
          <w:rFonts w:ascii="Times New Roman" w:hAnsi="Times New Roman" w:cs="Times New Roman"/>
          <w:sz w:val="24"/>
          <w:szCs w:val="24"/>
          <w:lang w:val="en-US"/>
        </w:rPr>
        <w:t xml:space="preserve">the </w:t>
      </w:r>
      <w:r w:rsidR="003946E7">
        <w:rPr>
          <w:rFonts w:ascii="Times New Roman" w:hAnsi="Times New Roman" w:cs="Times New Roman"/>
          <w:sz w:val="24"/>
          <w:szCs w:val="24"/>
          <w:lang w:val="en-US"/>
        </w:rPr>
        <w:t>robustness tests section</w:t>
      </w:r>
      <w:r w:rsidR="005800BE">
        <w:rPr>
          <w:rFonts w:ascii="Times New Roman" w:hAnsi="Times New Roman" w:cs="Times New Roman"/>
          <w:sz w:val="24"/>
          <w:szCs w:val="24"/>
          <w:lang w:val="en-US"/>
        </w:rPr>
        <w:t xml:space="preserve">, such as the effect of independent directors on </w:t>
      </w:r>
      <w:r w:rsidR="005800BE" w:rsidRPr="005800BE">
        <w:rPr>
          <w:rFonts w:ascii="Times New Roman" w:hAnsi="Times New Roman" w:cs="Times New Roman"/>
          <w:sz w:val="24"/>
          <w:szCs w:val="24"/>
          <w:lang w:val="en-US"/>
        </w:rPr>
        <w:t>the possibility of blockholder appropriation by the likelihood of a firm</w:t>
      </w:r>
      <w:r w:rsidR="005800BE">
        <w:rPr>
          <w:rFonts w:ascii="Times New Roman" w:hAnsi="Times New Roman" w:cs="Times New Roman"/>
          <w:sz w:val="24"/>
          <w:szCs w:val="24"/>
          <w:lang w:val="en-US"/>
        </w:rPr>
        <w:t xml:space="preserve"> being part of a business group, or the effect of reporting quality on the investment of firms with higher likelihood of under-investing. Other measures of blockholder appropriation could relate to M&amp;A control premiums, related party transactions or percentage of non-trade accruals which we could not explore due to such data unavailability in Russia. Finally, further research could attempt to d</w:t>
      </w:r>
      <w:r w:rsidR="00EC3C8F">
        <w:rPr>
          <w:rFonts w:ascii="Times New Roman" w:hAnsi="Times New Roman" w:cs="Times New Roman"/>
          <w:sz w:val="24"/>
          <w:szCs w:val="24"/>
          <w:lang w:val="en-US"/>
        </w:rPr>
        <w:t>i</w:t>
      </w:r>
      <w:r w:rsidR="005800BE">
        <w:rPr>
          <w:rFonts w:ascii="Times New Roman" w:hAnsi="Times New Roman" w:cs="Times New Roman"/>
          <w:sz w:val="24"/>
          <w:szCs w:val="24"/>
          <w:lang w:val="en-US"/>
        </w:rPr>
        <w:t>s</w:t>
      </w:r>
      <w:r w:rsidR="00EC3C8F">
        <w:rPr>
          <w:rFonts w:ascii="Times New Roman" w:hAnsi="Times New Roman" w:cs="Times New Roman"/>
          <w:sz w:val="24"/>
          <w:szCs w:val="24"/>
          <w:lang w:val="en-US"/>
        </w:rPr>
        <w:t>e</w:t>
      </w:r>
      <w:r w:rsidR="005800BE">
        <w:rPr>
          <w:rFonts w:ascii="Times New Roman" w:hAnsi="Times New Roman" w:cs="Times New Roman"/>
          <w:sz w:val="24"/>
          <w:szCs w:val="24"/>
          <w:lang w:val="en-US"/>
        </w:rPr>
        <w:t>ntangle the effect of efficient boards from the effect of signaling of appointing independent (foreign) directors. We have explored the signaling effect by accounting for the interaction effect with external finance as</w:t>
      </w:r>
      <w:r w:rsidR="003946E7" w:rsidRPr="003946E7">
        <w:rPr>
          <w:rFonts w:ascii="Times New Roman" w:hAnsi="Times New Roman" w:cs="Times New Roman"/>
          <w:sz w:val="24"/>
          <w:szCs w:val="24"/>
          <w:lang w:val="en-US"/>
        </w:rPr>
        <w:t xml:space="preserve"> discussed in </w:t>
      </w:r>
      <w:r w:rsidR="003946E7" w:rsidRPr="003946E7">
        <w:rPr>
          <w:rFonts w:ascii="Times New Roman" w:hAnsi="Times New Roman" w:cs="Times New Roman"/>
          <w:sz w:val="24"/>
          <w:szCs w:val="24"/>
          <w:lang w:val="en-US"/>
        </w:rPr>
        <w:lastRenderedPageBreak/>
        <w:t>the robustness tests</w:t>
      </w:r>
      <w:r w:rsidR="00EC3C8F">
        <w:rPr>
          <w:rFonts w:ascii="Times New Roman" w:hAnsi="Times New Roman" w:cs="Times New Roman"/>
          <w:sz w:val="24"/>
          <w:szCs w:val="24"/>
          <w:lang w:val="en-US"/>
        </w:rPr>
        <w:t xml:space="preserve"> but other approaches</w:t>
      </w:r>
      <w:r w:rsidR="005C69DC">
        <w:rPr>
          <w:rFonts w:ascii="Times New Roman" w:hAnsi="Times New Roman" w:cs="Times New Roman"/>
          <w:sz w:val="24"/>
          <w:szCs w:val="24"/>
          <w:lang w:val="en-US"/>
        </w:rPr>
        <w:t xml:space="preserve"> using instrumental variables </w:t>
      </w:r>
      <w:r w:rsidR="005C69DC">
        <w:rPr>
          <w:rFonts w:ascii="Times New Roman" w:hAnsi="Times New Roman" w:cs="Times New Roman"/>
          <w:sz w:val="24"/>
          <w:szCs w:val="24"/>
          <w:lang w:val="en-US"/>
        </w:rPr>
        <w:fldChar w:fldCharType="begin"/>
      </w:r>
      <w:r w:rsidR="00266C78">
        <w:rPr>
          <w:rFonts w:ascii="Times New Roman" w:hAnsi="Times New Roman" w:cs="Times New Roman"/>
          <w:sz w:val="24"/>
          <w:szCs w:val="24"/>
          <w:lang w:val="en-US"/>
        </w:rPr>
        <w:instrText xml:space="preserve"> ADDIN EN.CITE &lt;EndNote&gt;&lt;Cite&gt;&lt;Author&gt;Cerulli&lt;/Author&gt;&lt;Year&gt;2015&lt;/Year&gt;&lt;RecNum&gt;846&lt;/RecNum&gt;&lt;DisplayText&gt;(Cerulli, 2015)&lt;/DisplayText&gt;&lt;record&gt;&lt;rec-number&gt;846&lt;/rec-number&gt;&lt;foreign-keys&gt;&lt;key app="EN" db-id="xdsfzvadmzzxdzereeq5xdf7eaxsdwfdfave" timestamp="1516568858"&gt;846&lt;/key&gt;&lt;/foreign-keys&gt;&lt;ref-type name="Journal Article"&gt;17&lt;/ref-type&gt;&lt;contributors&gt;&lt;authors&gt;&lt;author&gt;Cerulli, Giovanni&lt;/author&gt;&lt;/authors&gt;&lt;/contributors&gt;&lt;titles&gt;&lt;title&gt;Econometric evaluation of socio-economic programs&lt;/title&gt;&lt;secondary-title&gt;Advanced Studies in Theoretical and Applied Econometrics Series&lt;/secondary-title&gt;&lt;/titles&gt;&lt;periodical&gt;&lt;full-title&gt;Advanced Studies in Theoretical and Applied Econometrics Series&lt;/full-title&gt;&lt;/periodical&gt;&lt;volume&gt;49&lt;/volume&gt;&lt;dates&gt;&lt;year&gt;2015&lt;/year&gt;&lt;/dates&gt;&lt;urls&gt;&lt;/urls&gt;&lt;/record&gt;&lt;/Cite&gt;&lt;/EndNote&gt;</w:instrText>
      </w:r>
      <w:r w:rsidR="005C69DC">
        <w:rPr>
          <w:rFonts w:ascii="Times New Roman" w:hAnsi="Times New Roman" w:cs="Times New Roman"/>
          <w:sz w:val="24"/>
          <w:szCs w:val="24"/>
          <w:lang w:val="en-US"/>
        </w:rPr>
        <w:fldChar w:fldCharType="separate"/>
      </w:r>
      <w:r w:rsidR="00266C78">
        <w:rPr>
          <w:rFonts w:ascii="Times New Roman" w:hAnsi="Times New Roman" w:cs="Times New Roman"/>
          <w:noProof/>
          <w:sz w:val="24"/>
          <w:szCs w:val="24"/>
          <w:lang w:val="en-US"/>
        </w:rPr>
        <w:t>(</w:t>
      </w:r>
      <w:hyperlink w:anchor="_ENREF_28" w:tooltip="Cerulli, 2015 #846" w:history="1">
        <w:r w:rsidR="00266C78">
          <w:rPr>
            <w:rFonts w:ascii="Times New Roman" w:hAnsi="Times New Roman" w:cs="Times New Roman"/>
            <w:noProof/>
            <w:sz w:val="24"/>
            <w:szCs w:val="24"/>
            <w:lang w:val="en-US"/>
          </w:rPr>
          <w:t>Cerulli, 2015</w:t>
        </w:r>
      </w:hyperlink>
      <w:r w:rsidR="00266C78">
        <w:rPr>
          <w:rFonts w:ascii="Times New Roman" w:hAnsi="Times New Roman" w:cs="Times New Roman"/>
          <w:noProof/>
          <w:sz w:val="24"/>
          <w:szCs w:val="24"/>
          <w:lang w:val="en-US"/>
        </w:rPr>
        <w:t>)</w:t>
      </w:r>
      <w:r w:rsidR="005C69DC">
        <w:rPr>
          <w:rFonts w:ascii="Times New Roman" w:hAnsi="Times New Roman" w:cs="Times New Roman"/>
          <w:sz w:val="24"/>
          <w:szCs w:val="24"/>
          <w:lang w:val="en-US"/>
        </w:rPr>
        <w:fldChar w:fldCharType="end"/>
      </w:r>
      <w:r w:rsidR="00EC3C8F">
        <w:rPr>
          <w:rFonts w:ascii="Times New Roman" w:hAnsi="Times New Roman" w:cs="Times New Roman"/>
          <w:sz w:val="24"/>
          <w:szCs w:val="24"/>
          <w:lang w:val="en-US"/>
        </w:rPr>
        <w:t xml:space="preserve"> may be possible</w:t>
      </w:r>
      <w:r w:rsidR="003946E7" w:rsidRPr="003946E7">
        <w:rPr>
          <w:rFonts w:ascii="Times New Roman" w:hAnsi="Times New Roman" w:cs="Times New Roman"/>
          <w:sz w:val="24"/>
          <w:szCs w:val="24"/>
          <w:lang w:val="en-US"/>
        </w:rPr>
        <w:t>.</w:t>
      </w:r>
      <w:r w:rsidR="005800BE" w:rsidRPr="005800BE" w:rsidDel="003946E7">
        <w:rPr>
          <w:rFonts w:ascii="Times New Roman" w:hAnsi="Times New Roman" w:cs="Times New Roman"/>
          <w:sz w:val="24"/>
          <w:szCs w:val="24"/>
          <w:lang w:val="en-US"/>
        </w:rPr>
        <w:t xml:space="preserve"> </w:t>
      </w:r>
    </w:p>
    <w:p w14:paraId="61BBE056" w14:textId="77777777" w:rsidR="00713B34" w:rsidRDefault="00713B34" w:rsidP="001B715C">
      <w:pPr>
        <w:spacing w:after="0"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Our</w:t>
      </w:r>
      <w:r w:rsidRPr="00A13EEE">
        <w:rPr>
          <w:rFonts w:ascii="Times New Roman" w:hAnsi="Times New Roman" w:cs="Times New Roman"/>
          <w:sz w:val="24"/>
          <w:szCs w:val="24"/>
          <w:lang w:val="en-US"/>
        </w:rPr>
        <w:t xml:space="preserve"> findings have </w:t>
      </w:r>
      <w:r w:rsidR="000950C8">
        <w:rPr>
          <w:rFonts w:ascii="Times New Roman" w:hAnsi="Times New Roman" w:cs="Times New Roman"/>
          <w:sz w:val="24"/>
          <w:szCs w:val="24"/>
          <w:lang w:val="en-US"/>
        </w:rPr>
        <w:t xml:space="preserve">some relevant </w:t>
      </w:r>
      <w:r w:rsidRPr="00A13EEE">
        <w:rPr>
          <w:rFonts w:ascii="Times New Roman" w:hAnsi="Times New Roman" w:cs="Times New Roman"/>
          <w:sz w:val="24"/>
          <w:szCs w:val="24"/>
          <w:lang w:val="en-US"/>
        </w:rPr>
        <w:t>implications for policymakers and, in particular, for corporate governance</w:t>
      </w:r>
      <w:r>
        <w:rPr>
          <w:rFonts w:ascii="Times New Roman" w:hAnsi="Times New Roman" w:cs="Times New Roman"/>
          <w:sz w:val="24"/>
          <w:szCs w:val="24"/>
          <w:lang w:val="en-US"/>
        </w:rPr>
        <w:t xml:space="preserve"> reforms</w:t>
      </w:r>
      <w:r w:rsidRPr="00A13EEE">
        <w:rPr>
          <w:rFonts w:ascii="Times New Roman" w:hAnsi="Times New Roman" w:cs="Times New Roman"/>
          <w:sz w:val="24"/>
          <w:szCs w:val="24"/>
          <w:lang w:val="en-US"/>
        </w:rPr>
        <w:t xml:space="preserve">. Policy making should progress to a more </w:t>
      </w:r>
      <w:r w:rsidRPr="00BD3C97">
        <w:rPr>
          <w:rFonts w:ascii="Times New Roman" w:hAnsi="Times New Roman" w:cs="Times New Roman"/>
          <w:sz w:val="24"/>
          <w:szCs w:val="24"/>
          <w:lang w:val="en-US"/>
        </w:rPr>
        <w:t>context-dependent</w:t>
      </w:r>
      <w:r w:rsidRPr="00A13EEE">
        <w:rPr>
          <w:rFonts w:ascii="Times New Roman" w:hAnsi="Times New Roman" w:cs="Times New Roman"/>
          <w:sz w:val="24"/>
          <w:szCs w:val="24"/>
          <w:lang w:val="en-US"/>
        </w:rPr>
        <w:t xml:space="preserve"> understanding of corporate governance. Regulation focusing only on </w:t>
      </w:r>
      <w:r>
        <w:rPr>
          <w:rFonts w:ascii="Times New Roman" w:hAnsi="Times New Roman" w:cs="Times New Roman"/>
          <w:sz w:val="24"/>
          <w:szCs w:val="24"/>
          <w:lang w:val="en-US"/>
        </w:rPr>
        <w:t xml:space="preserve">applying Anglo-American practices to </w:t>
      </w:r>
      <w:r w:rsidRPr="00A13EEE">
        <w:rPr>
          <w:rFonts w:ascii="Times New Roman" w:hAnsi="Times New Roman" w:cs="Times New Roman"/>
          <w:sz w:val="24"/>
          <w:szCs w:val="24"/>
          <w:lang w:val="en-US"/>
        </w:rPr>
        <w:t xml:space="preserve">board independence may not be sufficient since board monitoring </w:t>
      </w:r>
      <w:r>
        <w:rPr>
          <w:rFonts w:ascii="Times New Roman" w:hAnsi="Times New Roman" w:cs="Times New Roman"/>
          <w:sz w:val="24"/>
          <w:szCs w:val="24"/>
          <w:lang w:val="en-US"/>
        </w:rPr>
        <w:t xml:space="preserve">and other roles </w:t>
      </w:r>
      <w:r w:rsidRPr="00A13EEE">
        <w:rPr>
          <w:rFonts w:ascii="Times New Roman" w:hAnsi="Times New Roman" w:cs="Times New Roman"/>
          <w:sz w:val="24"/>
          <w:szCs w:val="24"/>
          <w:lang w:val="en-US"/>
        </w:rPr>
        <w:t xml:space="preserve">depend on ownership </w:t>
      </w:r>
      <w:r>
        <w:rPr>
          <w:rFonts w:ascii="Times New Roman" w:hAnsi="Times New Roman" w:cs="Times New Roman"/>
          <w:sz w:val="24"/>
          <w:szCs w:val="24"/>
          <w:lang w:val="en-US"/>
        </w:rPr>
        <w:t>and listing characteristics which are morphed by an Eastern institutional context</w:t>
      </w:r>
      <w:r w:rsidRPr="00A13EE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7F9A1F7A" w14:textId="77777777" w:rsidR="000950C8" w:rsidRDefault="000950C8" w:rsidP="001B715C">
      <w:pPr>
        <w:spacing w:after="0"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In sum, we begin with the puzzle of how a prototypical Anglo-American practice such as the adoption of independent boards can help mitigate one of the most systemic governance challenges in EEMM firms, which is, the disconnect between the generation of cash flows and firm investments. We show that under the certain governance firm context (type of blockholders and further exposure to international governance practices), independent directors can be effective in mitigating blockholder appropriation, even in a country with a weak institutional environment such as Russia. This study is able to show when governance practices get properly translated across borders. </w:t>
      </w:r>
    </w:p>
    <w:p w14:paraId="56B67C29" w14:textId="77777777" w:rsidR="001B715C" w:rsidRDefault="001B715C">
      <w:pPr>
        <w:rPr>
          <w:lang w:val="en-US"/>
        </w:rPr>
      </w:pPr>
      <w:r>
        <w:rPr>
          <w:lang w:val="en-US"/>
        </w:rPr>
        <w:br w:type="page"/>
      </w:r>
    </w:p>
    <w:p w14:paraId="31C62004" w14:textId="77777777" w:rsidR="00822F72" w:rsidRPr="00F24865" w:rsidRDefault="002A5BB6" w:rsidP="00A43D04">
      <w:pPr>
        <w:widowControl w:val="0"/>
        <w:autoSpaceDE w:val="0"/>
        <w:autoSpaceDN w:val="0"/>
        <w:adjustRightInd w:val="0"/>
        <w:spacing w:afterLines="40" w:after="96" w:line="240" w:lineRule="auto"/>
        <w:ind w:left="720" w:hanging="720"/>
        <w:jc w:val="both"/>
        <w:rPr>
          <w:rFonts w:ascii="Times New Roman" w:hAnsi="Times New Roman" w:cs="Times New Roman"/>
          <w:b/>
          <w:sz w:val="24"/>
          <w:szCs w:val="24"/>
          <w:lang w:val="en-US"/>
        </w:rPr>
      </w:pPr>
      <w:r w:rsidRPr="00F24865">
        <w:rPr>
          <w:rFonts w:ascii="Times New Roman" w:hAnsi="Times New Roman" w:cs="Times New Roman"/>
          <w:b/>
          <w:sz w:val="24"/>
          <w:szCs w:val="24"/>
          <w:lang w:val="en-US"/>
        </w:rPr>
        <w:lastRenderedPageBreak/>
        <w:t>REFERENCES</w:t>
      </w:r>
    </w:p>
    <w:p w14:paraId="1AF04CBA" w14:textId="77777777" w:rsidR="00266C78" w:rsidRPr="00266C78" w:rsidRDefault="002F196F" w:rsidP="00266C78">
      <w:pPr>
        <w:pStyle w:val="EndNoteBibliography"/>
        <w:spacing w:after="0"/>
        <w:ind w:left="720" w:hanging="720"/>
      </w:pPr>
      <w:r w:rsidRPr="00F24865">
        <w:fldChar w:fldCharType="begin"/>
      </w:r>
      <w:r w:rsidRPr="00F24865">
        <w:instrText xml:space="preserve"> ADDIN EN.REFLIST </w:instrText>
      </w:r>
      <w:r w:rsidRPr="00F24865">
        <w:fldChar w:fldCharType="separate"/>
      </w:r>
      <w:bookmarkStart w:id="35" w:name="_ENREF_1"/>
      <w:r w:rsidR="00266C78" w:rsidRPr="00266C78">
        <w:t xml:space="preserve">Adachi, Y. (2013). </w:t>
      </w:r>
      <w:r w:rsidR="00266C78" w:rsidRPr="00266C78">
        <w:rPr>
          <w:i/>
        </w:rPr>
        <w:t>Building big business in Russia: the impact of informal corporate governance practices</w:t>
      </w:r>
      <w:r w:rsidR="00266C78" w:rsidRPr="00266C78">
        <w:t>. Routledge.</w:t>
      </w:r>
      <w:bookmarkEnd w:id="35"/>
    </w:p>
    <w:p w14:paraId="452B8594" w14:textId="77777777" w:rsidR="00266C78" w:rsidRPr="00266C78" w:rsidRDefault="00266C78" w:rsidP="00266C78">
      <w:pPr>
        <w:pStyle w:val="EndNoteBibliography"/>
        <w:spacing w:after="0"/>
        <w:ind w:left="720" w:hanging="720"/>
      </w:pPr>
      <w:bookmarkStart w:id="36" w:name="_ENREF_2"/>
      <w:r w:rsidRPr="00266C78">
        <w:t xml:space="preserve">Adams, R. B. &amp; Ferreira, D. (2007). A theory of friendly boards. </w:t>
      </w:r>
      <w:r w:rsidRPr="00266C78">
        <w:rPr>
          <w:i/>
        </w:rPr>
        <w:t xml:space="preserve">The Journal of Finance, </w:t>
      </w:r>
      <w:r w:rsidRPr="00266C78">
        <w:rPr>
          <w:b/>
        </w:rPr>
        <w:t>62</w:t>
      </w:r>
      <w:r w:rsidRPr="00266C78">
        <w:t>, 217-250.</w:t>
      </w:r>
      <w:bookmarkEnd w:id="36"/>
    </w:p>
    <w:p w14:paraId="6A7F377A" w14:textId="77777777" w:rsidR="00266C78" w:rsidRPr="00266C78" w:rsidRDefault="00266C78" w:rsidP="00266C78">
      <w:pPr>
        <w:pStyle w:val="EndNoteBibliography"/>
        <w:spacing w:after="0"/>
        <w:ind w:left="720" w:hanging="720"/>
      </w:pPr>
      <w:bookmarkStart w:id="37" w:name="_ENREF_3"/>
      <w:r w:rsidRPr="00266C78">
        <w:t xml:space="preserve">Adams, R. B., Hermalin, B. E. &amp; Weisbach, M. S. (2010). The role of boards of directors in corporate governance: A conceptual framework and survey. </w:t>
      </w:r>
      <w:r w:rsidRPr="00266C78">
        <w:rPr>
          <w:i/>
        </w:rPr>
        <w:t xml:space="preserve">Journal of Economic literature, </w:t>
      </w:r>
      <w:r w:rsidRPr="00266C78">
        <w:rPr>
          <w:b/>
        </w:rPr>
        <w:t>48</w:t>
      </w:r>
      <w:r w:rsidRPr="00266C78">
        <w:t>, 58-107.</w:t>
      </w:r>
      <w:bookmarkEnd w:id="37"/>
    </w:p>
    <w:p w14:paraId="2D77B38E" w14:textId="77777777" w:rsidR="00266C78" w:rsidRPr="00266C78" w:rsidRDefault="00266C78" w:rsidP="00266C78">
      <w:pPr>
        <w:pStyle w:val="EndNoteBibliography"/>
        <w:spacing w:after="0"/>
        <w:ind w:left="720" w:hanging="720"/>
      </w:pPr>
      <w:bookmarkStart w:id="38" w:name="_ENREF_4"/>
      <w:r w:rsidRPr="00266C78">
        <w:t xml:space="preserve">Aguilera, R. V. &amp; Crespi-Cladera, R. (2016). Global corporate governance: On the relevance of firms’ ownership structure. </w:t>
      </w:r>
      <w:r w:rsidRPr="00266C78">
        <w:rPr>
          <w:i/>
        </w:rPr>
        <w:t xml:space="preserve">Journal of World Business, </w:t>
      </w:r>
      <w:r w:rsidRPr="00266C78">
        <w:rPr>
          <w:b/>
        </w:rPr>
        <w:t>51</w:t>
      </w:r>
      <w:r w:rsidRPr="00266C78">
        <w:t>, 50-57.</w:t>
      </w:r>
      <w:bookmarkEnd w:id="38"/>
    </w:p>
    <w:p w14:paraId="23F0CD46" w14:textId="77777777" w:rsidR="00266C78" w:rsidRPr="00266C78" w:rsidRDefault="00266C78" w:rsidP="00266C78">
      <w:pPr>
        <w:pStyle w:val="EndNoteBibliography"/>
        <w:spacing w:after="0"/>
        <w:ind w:left="720" w:hanging="720"/>
      </w:pPr>
      <w:bookmarkStart w:id="39" w:name="_ENREF_5"/>
      <w:r w:rsidRPr="00266C78">
        <w:t xml:space="preserve">Aguilera, R. V., Desender, K. A., Lamy, M. L.-P. &amp; Lee, J. H. (2017). The governance impact of a changing investor landscape. </w:t>
      </w:r>
      <w:r w:rsidRPr="00266C78">
        <w:rPr>
          <w:i/>
        </w:rPr>
        <w:t xml:space="preserve">Journal of International Business Studies, </w:t>
      </w:r>
      <w:r w:rsidRPr="00266C78">
        <w:rPr>
          <w:b/>
        </w:rPr>
        <w:t>48</w:t>
      </w:r>
      <w:r w:rsidRPr="00266C78">
        <w:t>, 195-221.</w:t>
      </w:r>
      <w:bookmarkEnd w:id="39"/>
    </w:p>
    <w:p w14:paraId="4645FD14" w14:textId="77777777" w:rsidR="00266C78" w:rsidRPr="00266C78" w:rsidRDefault="00266C78" w:rsidP="00266C78">
      <w:pPr>
        <w:pStyle w:val="EndNoteBibliography"/>
        <w:spacing w:after="0"/>
        <w:ind w:left="720" w:hanging="720"/>
      </w:pPr>
      <w:bookmarkStart w:id="40" w:name="_ENREF_6"/>
      <w:r w:rsidRPr="00266C78">
        <w:t xml:space="preserve">Allcock, D. &amp; Filatotchev, I. (2010). Executive incentive schemes in initial public offerings: The effects of multiple-agency conflicts and corporate governance. </w:t>
      </w:r>
      <w:r w:rsidRPr="00266C78">
        <w:rPr>
          <w:i/>
        </w:rPr>
        <w:t xml:space="preserve">Journal of Management, </w:t>
      </w:r>
      <w:r w:rsidRPr="00266C78">
        <w:rPr>
          <w:b/>
        </w:rPr>
        <w:t>36</w:t>
      </w:r>
      <w:r w:rsidRPr="00266C78">
        <w:t>, 663-686.</w:t>
      </w:r>
      <w:bookmarkEnd w:id="40"/>
    </w:p>
    <w:p w14:paraId="13A86B31" w14:textId="77777777" w:rsidR="00266C78" w:rsidRPr="00266C78" w:rsidRDefault="00266C78" w:rsidP="00266C78">
      <w:pPr>
        <w:pStyle w:val="EndNoteBibliography"/>
        <w:spacing w:after="0"/>
        <w:ind w:left="720" w:hanging="720"/>
      </w:pPr>
      <w:bookmarkStart w:id="41" w:name="_ENREF_7"/>
      <w:r w:rsidRPr="00266C78">
        <w:t xml:space="preserve">Arellano, M. &amp; Bover, O. (1995). Another look at the instrumental variable estimation of error-components models. </w:t>
      </w:r>
      <w:r w:rsidRPr="00266C78">
        <w:rPr>
          <w:i/>
        </w:rPr>
        <w:t xml:space="preserve">Journal of Econometrics, </w:t>
      </w:r>
      <w:r w:rsidRPr="00266C78">
        <w:rPr>
          <w:b/>
        </w:rPr>
        <w:t>68</w:t>
      </w:r>
      <w:r w:rsidRPr="00266C78">
        <w:t>, 29-51.</w:t>
      </w:r>
      <w:bookmarkEnd w:id="41"/>
    </w:p>
    <w:p w14:paraId="0FF2AD1F" w14:textId="77777777" w:rsidR="00266C78" w:rsidRPr="00266C78" w:rsidRDefault="00266C78" w:rsidP="00266C78">
      <w:pPr>
        <w:pStyle w:val="EndNoteBibliography"/>
        <w:spacing w:after="0"/>
        <w:ind w:left="720" w:hanging="720"/>
      </w:pPr>
      <w:bookmarkStart w:id="42" w:name="_ENREF_8"/>
      <w:r w:rsidRPr="00266C78">
        <w:t xml:space="preserve">Arthurs, J. D., Hoskisson, R. E., Busenitz, L. W. &amp; Johnson, R. A. (2008). Managerial agents watching other agents: Multiple agency conflicts regarding underpricing in IPO firms. </w:t>
      </w:r>
      <w:r w:rsidRPr="00266C78">
        <w:rPr>
          <w:i/>
        </w:rPr>
        <w:t xml:space="preserve">Academy of Management Journal, </w:t>
      </w:r>
      <w:r w:rsidRPr="00266C78">
        <w:rPr>
          <w:b/>
        </w:rPr>
        <w:t>51</w:t>
      </w:r>
      <w:r w:rsidRPr="00266C78">
        <w:t>, 277-294.</w:t>
      </w:r>
      <w:bookmarkEnd w:id="42"/>
    </w:p>
    <w:p w14:paraId="47FF37DB" w14:textId="77777777" w:rsidR="00266C78" w:rsidRPr="00266C78" w:rsidRDefault="00266C78" w:rsidP="00266C78">
      <w:pPr>
        <w:pStyle w:val="EndNoteBibliography"/>
        <w:spacing w:after="0"/>
        <w:ind w:left="720" w:hanging="720"/>
      </w:pPr>
      <w:bookmarkStart w:id="43" w:name="_ENREF_9"/>
      <w:r w:rsidRPr="00266C78">
        <w:t xml:space="preserve">Barclay, M. J. &amp; Holderness, C. G. (1989). Private benefits from control of public corporations. </w:t>
      </w:r>
      <w:r w:rsidRPr="00266C78">
        <w:rPr>
          <w:i/>
        </w:rPr>
        <w:t xml:space="preserve">Journal of Financial Economics, </w:t>
      </w:r>
      <w:r w:rsidRPr="00266C78">
        <w:rPr>
          <w:b/>
        </w:rPr>
        <w:t>25</w:t>
      </w:r>
      <w:r w:rsidRPr="00266C78">
        <w:t>, 371-395.</w:t>
      </w:r>
      <w:bookmarkEnd w:id="43"/>
    </w:p>
    <w:p w14:paraId="7B141A94" w14:textId="77777777" w:rsidR="00266C78" w:rsidRPr="00266C78" w:rsidRDefault="00266C78" w:rsidP="00266C78">
      <w:pPr>
        <w:pStyle w:val="EndNoteBibliography"/>
        <w:spacing w:after="0"/>
        <w:ind w:left="720" w:hanging="720"/>
      </w:pPr>
      <w:bookmarkStart w:id="44" w:name="_ENREF_10"/>
      <w:r w:rsidRPr="00266C78">
        <w:t xml:space="preserve">Beck, T., Demirgüç-Kunt, A., Laeven, L. &amp; Maksimovic, V. (2006). The determinants of financing obstacles. </w:t>
      </w:r>
      <w:r w:rsidRPr="00266C78">
        <w:rPr>
          <w:i/>
        </w:rPr>
        <w:t xml:space="preserve">Journal of International Money and Finance, </w:t>
      </w:r>
      <w:r w:rsidRPr="00266C78">
        <w:rPr>
          <w:b/>
        </w:rPr>
        <w:t>25</w:t>
      </w:r>
      <w:r w:rsidRPr="00266C78">
        <w:t>, 932-952.</w:t>
      </w:r>
      <w:bookmarkEnd w:id="44"/>
    </w:p>
    <w:p w14:paraId="0A4BE9AC" w14:textId="77777777" w:rsidR="00266C78" w:rsidRPr="00266C78" w:rsidRDefault="00266C78" w:rsidP="00266C78">
      <w:pPr>
        <w:pStyle w:val="EndNoteBibliography"/>
        <w:spacing w:after="0"/>
        <w:ind w:left="720" w:hanging="720"/>
      </w:pPr>
      <w:bookmarkStart w:id="45" w:name="_ENREF_11"/>
      <w:r w:rsidRPr="00266C78">
        <w:t xml:space="preserve">Bell, R. G., Filatotchev, I. &amp; Aguilera, R. V. (2014). Corporate governance and investors' perceptions of foreign IPO value: An institutional perspective. </w:t>
      </w:r>
      <w:r w:rsidRPr="00266C78">
        <w:rPr>
          <w:i/>
        </w:rPr>
        <w:t xml:space="preserve">Academy of Management Journal, </w:t>
      </w:r>
      <w:r w:rsidRPr="00266C78">
        <w:rPr>
          <w:b/>
        </w:rPr>
        <w:t>57</w:t>
      </w:r>
      <w:r w:rsidRPr="00266C78">
        <w:t>, 301-320.</w:t>
      </w:r>
      <w:bookmarkEnd w:id="45"/>
    </w:p>
    <w:p w14:paraId="2519DC8B" w14:textId="77777777" w:rsidR="00266C78" w:rsidRPr="00266C78" w:rsidRDefault="00266C78" w:rsidP="00266C78">
      <w:pPr>
        <w:pStyle w:val="EndNoteBibliography"/>
        <w:spacing w:after="0"/>
        <w:ind w:left="720" w:hanging="720"/>
      </w:pPr>
      <w:bookmarkStart w:id="46" w:name="_ENREF_12"/>
      <w:r w:rsidRPr="00266C78">
        <w:t xml:space="preserve">Bell, R. G., Filatotchev, I. &amp; Rasheed, A. A. (2012). The liability of foreignness in capital markets: Sources and remedies. </w:t>
      </w:r>
      <w:r w:rsidRPr="00266C78">
        <w:rPr>
          <w:i/>
        </w:rPr>
        <w:t xml:space="preserve">Journal of International Business Studies, </w:t>
      </w:r>
      <w:r w:rsidRPr="00266C78">
        <w:rPr>
          <w:b/>
        </w:rPr>
        <w:t>43</w:t>
      </w:r>
      <w:r w:rsidRPr="00266C78">
        <w:t>, 107-122.</w:t>
      </w:r>
      <w:bookmarkEnd w:id="46"/>
    </w:p>
    <w:p w14:paraId="3481C448" w14:textId="77777777" w:rsidR="00266C78" w:rsidRPr="00266C78" w:rsidRDefault="00266C78" w:rsidP="00266C78">
      <w:pPr>
        <w:pStyle w:val="EndNoteBibliography"/>
        <w:spacing w:after="0"/>
        <w:ind w:left="720" w:hanging="720"/>
      </w:pPr>
      <w:bookmarkStart w:id="47" w:name="_ENREF_13"/>
      <w:r w:rsidRPr="00266C78">
        <w:t xml:space="preserve">Berezinets, I. &amp; Muravyev, A. (2017). </w:t>
      </w:r>
      <w:r w:rsidRPr="00266C78">
        <w:rPr>
          <w:i/>
        </w:rPr>
        <w:t>Governance structure, cross-listing status and corporate disclosure: Evidence from the emerging market of Russia.</w:t>
      </w:r>
      <w:r w:rsidRPr="00266C78">
        <w:t xml:space="preserve"> Paper presented at the World Finance Banking Symposium Bangkok, Thailand.</w:t>
      </w:r>
      <w:bookmarkEnd w:id="47"/>
    </w:p>
    <w:p w14:paraId="611C1486" w14:textId="77777777" w:rsidR="00266C78" w:rsidRPr="00266C78" w:rsidRDefault="00266C78" w:rsidP="00266C78">
      <w:pPr>
        <w:pStyle w:val="EndNoteBibliography"/>
        <w:spacing w:after="0"/>
        <w:ind w:left="720" w:hanging="720"/>
      </w:pPr>
      <w:bookmarkStart w:id="48" w:name="_ENREF_14"/>
      <w:r w:rsidRPr="00266C78">
        <w:t xml:space="preserve">Bertrand, M. &amp; Mullainathan, S. (2003). Enjoying the quiet life? Corporate governance and managerial preferences. </w:t>
      </w:r>
      <w:r w:rsidRPr="00266C78">
        <w:rPr>
          <w:i/>
        </w:rPr>
        <w:t xml:space="preserve">Journal of political economy, </w:t>
      </w:r>
      <w:r w:rsidRPr="00266C78">
        <w:rPr>
          <w:b/>
        </w:rPr>
        <w:t>111</w:t>
      </w:r>
      <w:r w:rsidRPr="00266C78">
        <w:t>, 1043-1075.</w:t>
      </w:r>
      <w:bookmarkEnd w:id="48"/>
    </w:p>
    <w:p w14:paraId="43C725E4" w14:textId="77777777" w:rsidR="00266C78" w:rsidRPr="00266C78" w:rsidRDefault="00266C78" w:rsidP="00266C78">
      <w:pPr>
        <w:pStyle w:val="EndNoteBibliography"/>
        <w:spacing w:after="0"/>
        <w:ind w:left="720" w:hanging="720"/>
      </w:pPr>
      <w:bookmarkStart w:id="49" w:name="_ENREF_15"/>
      <w:r w:rsidRPr="00266C78">
        <w:t xml:space="preserve">Bhaumik, S. K., Estrin, S. &amp; Mickiewicz, T. (2016). Ownership identity, strategy and performance: Business group affiliates versus independent firms in India. </w:t>
      </w:r>
      <w:r w:rsidRPr="00266C78">
        <w:rPr>
          <w:i/>
        </w:rPr>
        <w:t>Asia Pacific Journal of Management</w:t>
      </w:r>
      <w:r w:rsidRPr="00266C78">
        <w:t>, 1-31.</w:t>
      </w:r>
      <w:bookmarkEnd w:id="49"/>
    </w:p>
    <w:p w14:paraId="4E353628" w14:textId="77777777" w:rsidR="00266C78" w:rsidRPr="00266C78" w:rsidRDefault="00266C78" w:rsidP="00266C78">
      <w:pPr>
        <w:pStyle w:val="EndNoteBibliography"/>
        <w:spacing w:after="0"/>
        <w:ind w:left="720" w:hanging="720"/>
      </w:pPr>
      <w:bookmarkStart w:id="50" w:name="_ENREF_16"/>
      <w:r w:rsidRPr="00266C78">
        <w:t xml:space="preserve">Biddle, G. C., Hilary, G. &amp; Verdi, R. S. (2009). How does financial reporting quality relate to investment efficiency? </w:t>
      </w:r>
      <w:r w:rsidRPr="00266C78">
        <w:rPr>
          <w:i/>
        </w:rPr>
        <w:t xml:space="preserve">Journal of accounting and economics, </w:t>
      </w:r>
      <w:r w:rsidRPr="00266C78">
        <w:rPr>
          <w:b/>
        </w:rPr>
        <w:t>48</w:t>
      </w:r>
      <w:r w:rsidRPr="00266C78">
        <w:t>, 112-131.</w:t>
      </w:r>
      <w:bookmarkEnd w:id="50"/>
    </w:p>
    <w:p w14:paraId="27AB4CB6" w14:textId="77777777" w:rsidR="00266C78" w:rsidRPr="00266C78" w:rsidRDefault="00266C78" w:rsidP="00266C78">
      <w:pPr>
        <w:pStyle w:val="EndNoteBibliography"/>
        <w:spacing w:after="0"/>
        <w:ind w:left="720" w:hanging="720"/>
      </w:pPr>
      <w:bookmarkStart w:id="51" w:name="_ENREF_17"/>
      <w:r w:rsidRPr="00266C78">
        <w:t xml:space="preserve">Black, B. (2001). The corporate governance behavior and market value of Russian firms. </w:t>
      </w:r>
      <w:r w:rsidRPr="00266C78">
        <w:rPr>
          <w:i/>
        </w:rPr>
        <w:t xml:space="preserve">Emerging Markets Review, </w:t>
      </w:r>
      <w:r w:rsidRPr="00266C78">
        <w:rPr>
          <w:b/>
        </w:rPr>
        <w:t>2</w:t>
      </w:r>
      <w:r w:rsidRPr="00266C78">
        <w:t>, 89-108.</w:t>
      </w:r>
      <w:bookmarkEnd w:id="51"/>
    </w:p>
    <w:p w14:paraId="349B0982" w14:textId="77777777" w:rsidR="00266C78" w:rsidRPr="00266C78" w:rsidRDefault="00266C78" w:rsidP="00266C78">
      <w:pPr>
        <w:pStyle w:val="EndNoteBibliography"/>
        <w:spacing w:after="0"/>
        <w:ind w:left="720" w:hanging="720"/>
      </w:pPr>
      <w:bookmarkStart w:id="52" w:name="_ENREF_18"/>
      <w:r w:rsidRPr="00266C78">
        <w:t xml:space="preserve">Black, B. &amp; Muravyev, A. (2016). </w:t>
      </w:r>
      <w:r w:rsidRPr="00266C78">
        <w:rPr>
          <w:i/>
        </w:rPr>
        <w:t>Do disclosure and transparency matter for firm performance? Evidence from the Russian stock exchange.</w:t>
      </w:r>
      <w:r w:rsidRPr="00266C78">
        <w:t xml:space="preserve"> Paper presented at the XVI April International Academic Conference on Economic and Social Development, Higher School of Economics, Moscow.</w:t>
      </w:r>
      <w:bookmarkEnd w:id="52"/>
    </w:p>
    <w:p w14:paraId="3C32F6B4" w14:textId="77777777" w:rsidR="00266C78" w:rsidRPr="00266C78" w:rsidRDefault="00266C78" w:rsidP="00266C78">
      <w:pPr>
        <w:pStyle w:val="EndNoteBibliography"/>
        <w:spacing w:after="0"/>
        <w:ind w:left="720" w:hanging="720"/>
      </w:pPr>
      <w:bookmarkStart w:id="53" w:name="_ENREF_19"/>
      <w:r w:rsidRPr="00266C78">
        <w:t xml:space="preserve">Blundell, R. &amp; Bond, S. (1998). Initial conditions and moment restrictions in dynamic panel data models. </w:t>
      </w:r>
      <w:r w:rsidRPr="00266C78">
        <w:rPr>
          <w:i/>
        </w:rPr>
        <w:t xml:space="preserve">Journal of Econometrics, </w:t>
      </w:r>
      <w:r w:rsidRPr="00266C78">
        <w:rPr>
          <w:b/>
        </w:rPr>
        <w:t>87</w:t>
      </w:r>
      <w:r w:rsidRPr="00266C78">
        <w:t>, 115-143.</w:t>
      </w:r>
      <w:bookmarkEnd w:id="53"/>
    </w:p>
    <w:p w14:paraId="576A5705" w14:textId="77777777" w:rsidR="00266C78" w:rsidRPr="00266C78" w:rsidRDefault="00266C78" w:rsidP="00266C78">
      <w:pPr>
        <w:pStyle w:val="EndNoteBibliography"/>
        <w:spacing w:after="0"/>
        <w:ind w:left="720" w:hanging="720"/>
      </w:pPr>
      <w:bookmarkStart w:id="54" w:name="_ENREF_20"/>
      <w:r w:rsidRPr="00266C78">
        <w:t xml:space="preserve">Blundell, R., Bond, S., Devereux, M. &amp; Schiantarelli, F. (1992). Investment and Tobin's Q: Evidence from company panel data. </w:t>
      </w:r>
      <w:r w:rsidRPr="00266C78">
        <w:rPr>
          <w:i/>
        </w:rPr>
        <w:t xml:space="preserve">Journal of Econometrics, </w:t>
      </w:r>
      <w:r w:rsidRPr="00266C78">
        <w:rPr>
          <w:b/>
        </w:rPr>
        <w:t>51</w:t>
      </w:r>
      <w:r w:rsidRPr="00266C78">
        <w:t>, 233-257.</w:t>
      </w:r>
      <w:bookmarkEnd w:id="54"/>
    </w:p>
    <w:p w14:paraId="4B3142E0" w14:textId="77777777" w:rsidR="00266C78" w:rsidRPr="00266C78" w:rsidRDefault="00266C78" w:rsidP="00266C78">
      <w:pPr>
        <w:pStyle w:val="EndNoteBibliography"/>
        <w:spacing w:after="0"/>
        <w:ind w:left="720" w:hanging="720"/>
      </w:pPr>
      <w:bookmarkStart w:id="55" w:name="_ENREF_21"/>
      <w:r w:rsidRPr="00266C78">
        <w:t xml:space="preserve">Bond, S. &amp; Meghir, C. (1994). Dynamic investment models and the firm's financial policy. </w:t>
      </w:r>
      <w:r w:rsidRPr="00266C78">
        <w:rPr>
          <w:i/>
        </w:rPr>
        <w:t xml:space="preserve">The Review of Economic Studies, </w:t>
      </w:r>
      <w:r w:rsidRPr="00266C78">
        <w:rPr>
          <w:b/>
        </w:rPr>
        <w:t>61</w:t>
      </w:r>
      <w:r w:rsidRPr="00266C78">
        <w:t>, 197-222.</w:t>
      </w:r>
      <w:bookmarkEnd w:id="55"/>
    </w:p>
    <w:p w14:paraId="058568C9" w14:textId="77777777" w:rsidR="00266C78" w:rsidRPr="00266C78" w:rsidRDefault="00266C78" w:rsidP="00266C78">
      <w:pPr>
        <w:pStyle w:val="EndNoteBibliography"/>
        <w:spacing w:after="0"/>
        <w:ind w:left="720" w:hanging="720"/>
      </w:pPr>
      <w:bookmarkStart w:id="56" w:name="_ENREF_22"/>
      <w:r w:rsidRPr="00266C78">
        <w:t xml:space="preserve">Braendle, U. C. (2015). New corporate governance norms for Russia–What will change? </w:t>
      </w:r>
      <w:r w:rsidRPr="00266C78">
        <w:rPr>
          <w:i/>
        </w:rPr>
        <w:t xml:space="preserve">Corporate Board: Role, Duties and Composition, </w:t>
      </w:r>
      <w:r w:rsidRPr="00266C78">
        <w:rPr>
          <w:b/>
        </w:rPr>
        <w:t>11</w:t>
      </w:r>
      <w:r w:rsidRPr="00266C78">
        <w:t>, 21-29.</w:t>
      </w:r>
      <w:bookmarkEnd w:id="56"/>
    </w:p>
    <w:p w14:paraId="3C93FF49" w14:textId="77777777" w:rsidR="00266C78" w:rsidRPr="00266C78" w:rsidRDefault="00266C78" w:rsidP="00266C78">
      <w:pPr>
        <w:pStyle w:val="EndNoteBibliography"/>
        <w:spacing w:after="0"/>
        <w:ind w:left="720" w:hanging="720"/>
      </w:pPr>
      <w:bookmarkStart w:id="57" w:name="_ENREF_23"/>
      <w:r w:rsidRPr="00266C78">
        <w:t xml:space="preserve">Braguinsky, S. &amp; Mityakov, S. (2013). Foreign corporations and the culture of transparency: Evidence from Russian administrative data. </w:t>
      </w:r>
      <w:r w:rsidRPr="00266C78">
        <w:rPr>
          <w:i/>
        </w:rPr>
        <w:t>Journal of Financial Economics</w:t>
      </w:r>
      <w:r w:rsidRPr="00266C78">
        <w:t>.</w:t>
      </w:r>
      <w:bookmarkEnd w:id="57"/>
    </w:p>
    <w:p w14:paraId="0D6828A9" w14:textId="77777777" w:rsidR="00266C78" w:rsidRPr="00266C78" w:rsidRDefault="00266C78" w:rsidP="00266C78">
      <w:pPr>
        <w:pStyle w:val="EndNoteBibliography"/>
        <w:spacing w:after="0"/>
        <w:ind w:left="720" w:hanging="720"/>
      </w:pPr>
      <w:bookmarkStart w:id="58" w:name="_ENREF_24"/>
      <w:r w:rsidRPr="00266C78">
        <w:lastRenderedPageBreak/>
        <w:t xml:space="preserve">Brennan, N. &amp; McDermott, M. (2004). Alternative perspectives on independence of directors. </w:t>
      </w:r>
      <w:r w:rsidRPr="00266C78">
        <w:rPr>
          <w:i/>
        </w:rPr>
        <w:t xml:space="preserve">Corporate Governance: An International Review, </w:t>
      </w:r>
      <w:r w:rsidRPr="00266C78">
        <w:rPr>
          <w:b/>
        </w:rPr>
        <w:t>12</w:t>
      </w:r>
      <w:r w:rsidRPr="00266C78">
        <w:t>, 325-336.</w:t>
      </w:r>
      <w:bookmarkEnd w:id="58"/>
    </w:p>
    <w:p w14:paraId="630CD736" w14:textId="77777777" w:rsidR="00266C78" w:rsidRPr="00266C78" w:rsidRDefault="00266C78" w:rsidP="00266C78">
      <w:pPr>
        <w:pStyle w:val="EndNoteBibliography"/>
        <w:spacing w:after="0"/>
        <w:ind w:left="720" w:hanging="720"/>
      </w:pPr>
      <w:bookmarkStart w:id="59" w:name="_ENREF_25"/>
      <w:r w:rsidRPr="00266C78">
        <w:t xml:space="preserve">Brown, J. R., Fazzari, S. M. &amp; Petersen, B. C. (2009a). Financing innovation and growth: Cash flow, external equity, and the 1990s R&amp;D boom. </w:t>
      </w:r>
      <w:r w:rsidRPr="00266C78">
        <w:rPr>
          <w:i/>
        </w:rPr>
        <w:t xml:space="preserve">The Journal of Finance, </w:t>
      </w:r>
      <w:r w:rsidRPr="00266C78">
        <w:rPr>
          <w:b/>
        </w:rPr>
        <w:t>64</w:t>
      </w:r>
      <w:r w:rsidRPr="00266C78">
        <w:t>, 151-185.</w:t>
      </w:r>
      <w:bookmarkEnd w:id="59"/>
    </w:p>
    <w:p w14:paraId="58217375" w14:textId="77777777" w:rsidR="00266C78" w:rsidRPr="00266C78" w:rsidRDefault="00266C78" w:rsidP="00266C78">
      <w:pPr>
        <w:pStyle w:val="EndNoteBibliography"/>
        <w:spacing w:after="0"/>
        <w:ind w:left="720" w:hanging="720"/>
      </w:pPr>
      <w:bookmarkStart w:id="60" w:name="_ENREF_26"/>
      <w:r w:rsidRPr="00266C78">
        <w:t xml:space="preserve">Brown, J. R. &amp; Petersen, B. C. (2009b). Why has the investment-cash flow sensitivity declined so sharply? Rising R&amp;D and equity market developments. </w:t>
      </w:r>
      <w:r w:rsidRPr="00266C78">
        <w:rPr>
          <w:i/>
        </w:rPr>
        <w:t xml:space="preserve">Journal of Banking &amp; Finance, </w:t>
      </w:r>
      <w:r w:rsidRPr="00266C78">
        <w:rPr>
          <w:b/>
        </w:rPr>
        <w:t>33</w:t>
      </w:r>
      <w:r w:rsidRPr="00266C78">
        <w:t>, 971-984.</w:t>
      </w:r>
      <w:bookmarkEnd w:id="60"/>
    </w:p>
    <w:p w14:paraId="69F841F3" w14:textId="77777777" w:rsidR="00266C78" w:rsidRPr="00266C78" w:rsidRDefault="00266C78" w:rsidP="00266C78">
      <w:pPr>
        <w:pStyle w:val="EndNoteBibliography"/>
        <w:spacing w:after="0"/>
        <w:ind w:left="720" w:hanging="720"/>
      </w:pPr>
      <w:bookmarkStart w:id="61" w:name="_ENREF_27"/>
      <w:r w:rsidRPr="00266C78">
        <w:t xml:space="preserve">Bruton, G. D., Filatotchev, I., Chahine, S. &amp; Wright, M. (2010). Governance, ownership structure, and performance of IPO firms: The impact of different types of private equity investors and institutional environments. </w:t>
      </w:r>
      <w:r w:rsidRPr="00266C78">
        <w:rPr>
          <w:i/>
        </w:rPr>
        <w:t xml:space="preserve">Strategic Management Journal, </w:t>
      </w:r>
      <w:r w:rsidRPr="00266C78">
        <w:rPr>
          <w:b/>
        </w:rPr>
        <w:t>31</w:t>
      </w:r>
      <w:r w:rsidRPr="00266C78">
        <w:t>, 491-509.</w:t>
      </w:r>
      <w:bookmarkEnd w:id="61"/>
    </w:p>
    <w:p w14:paraId="4A77E538" w14:textId="77777777" w:rsidR="00266C78" w:rsidRPr="00266C78" w:rsidRDefault="00266C78" w:rsidP="00266C78">
      <w:pPr>
        <w:pStyle w:val="EndNoteBibliography"/>
        <w:spacing w:after="0"/>
        <w:ind w:left="720" w:hanging="720"/>
      </w:pPr>
      <w:bookmarkStart w:id="62" w:name="_ENREF_28"/>
      <w:r w:rsidRPr="00266C78">
        <w:t xml:space="preserve">Cerulli, G. (2015). Econometric evaluation of socio-economic programs. </w:t>
      </w:r>
      <w:r w:rsidRPr="00266C78">
        <w:rPr>
          <w:i/>
        </w:rPr>
        <w:t xml:space="preserve">Advanced Studies in Theoretical and Applied Econometrics Series, </w:t>
      </w:r>
      <w:r w:rsidRPr="00266C78">
        <w:rPr>
          <w:b/>
        </w:rPr>
        <w:t>49</w:t>
      </w:r>
      <w:r w:rsidRPr="00266C78">
        <w:t>.</w:t>
      </w:r>
      <w:bookmarkEnd w:id="62"/>
    </w:p>
    <w:p w14:paraId="11D87940" w14:textId="77777777" w:rsidR="00266C78" w:rsidRPr="00266C78" w:rsidRDefault="00266C78" w:rsidP="00266C78">
      <w:pPr>
        <w:pStyle w:val="EndNoteBibliography"/>
        <w:spacing w:after="0"/>
        <w:ind w:left="720" w:hanging="720"/>
      </w:pPr>
      <w:bookmarkStart w:id="63" w:name="_ENREF_29"/>
      <w:r w:rsidRPr="00266C78">
        <w:t xml:space="preserve">Chen, K. C., Chen, Z. &amp; Wei, K. J. (2011). Agency costs of free cash flow and the effect of shareholder rights on the implied cost of equity capital. </w:t>
      </w:r>
      <w:r w:rsidRPr="00266C78">
        <w:rPr>
          <w:i/>
        </w:rPr>
        <w:t xml:space="preserve">Journal of Financial and Quantitative Analysis, </w:t>
      </w:r>
      <w:r w:rsidRPr="00266C78">
        <w:rPr>
          <w:b/>
        </w:rPr>
        <w:t>46</w:t>
      </w:r>
      <w:r w:rsidRPr="00266C78">
        <w:t>, 171-207.</w:t>
      </w:r>
      <w:bookmarkEnd w:id="63"/>
    </w:p>
    <w:p w14:paraId="5BBF36FC" w14:textId="77777777" w:rsidR="00266C78" w:rsidRPr="00266C78" w:rsidRDefault="00266C78" w:rsidP="00266C78">
      <w:pPr>
        <w:pStyle w:val="EndNoteBibliography"/>
        <w:spacing w:after="0"/>
        <w:ind w:left="720" w:hanging="720"/>
      </w:pPr>
      <w:bookmarkStart w:id="64" w:name="_ENREF_30"/>
      <w:r w:rsidRPr="00266C78">
        <w:t xml:space="preserve">Chernykh, L. (2008). Ultimate ownership and control in Russia. </w:t>
      </w:r>
      <w:r w:rsidRPr="00266C78">
        <w:rPr>
          <w:i/>
        </w:rPr>
        <w:t xml:space="preserve">Journal of Financial Economics, </w:t>
      </w:r>
      <w:r w:rsidRPr="00266C78">
        <w:rPr>
          <w:b/>
        </w:rPr>
        <w:t>88</w:t>
      </w:r>
      <w:r w:rsidRPr="00266C78">
        <w:t>, 169-192.</w:t>
      </w:r>
      <w:bookmarkEnd w:id="64"/>
    </w:p>
    <w:p w14:paraId="7D5BFBAD" w14:textId="77777777" w:rsidR="00266C78" w:rsidRPr="00266C78" w:rsidRDefault="00266C78" w:rsidP="00266C78">
      <w:pPr>
        <w:pStyle w:val="EndNoteBibliography"/>
        <w:spacing w:after="0"/>
        <w:ind w:left="720" w:hanging="720"/>
      </w:pPr>
      <w:bookmarkStart w:id="65" w:name="_ENREF_31"/>
      <w:r w:rsidRPr="00266C78">
        <w:t xml:space="preserve">Child, J. &amp; Rodrigues, S. B. (2003). Corporate governance and new organizational forms: Issues of double and multiple agency. </w:t>
      </w:r>
      <w:r w:rsidRPr="00266C78">
        <w:rPr>
          <w:i/>
        </w:rPr>
        <w:t xml:space="preserve">Journal of Management and Governance, </w:t>
      </w:r>
      <w:r w:rsidRPr="00266C78">
        <w:rPr>
          <w:b/>
        </w:rPr>
        <w:t>7</w:t>
      </w:r>
      <w:r w:rsidRPr="00266C78">
        <w:t>, 337-360.</w:t>
      </w:r>
      <w:bookmarkEnd w:id="65"/>
    </w:p>
    <w:p w14:paraId="650B8FDF" w14:textId="77777777" w:rsidR="00266C78" w:rsidRPr="00266C78" w:rsidRDefault="00266C78" w:rsidP="00266C78">
      <w:pPr>
        <w:pStyle w:val="EndNoteBibliography"/>
        <w:spacing w:after="0"/>
        <w:ind w:left="720" w:hanging="720"/>
      </w:pPr>
      <w:bookmarkStart w:id="66" w:name="_ENREF_32"/>
      <w:r w:rsidRPr="00266C78">
        <w:t xml:space="preserve">Cimoli, M., Dosi, G. &amp; Stiglitz, J. E. (2009). </w:t>
      </w:r>
      <w:r w:rsidRPr="00266C78">
        <w:rPr>
          <w:i/>
        </w:rPr>
        <w:t>Industrial policy and development: The political economy of capabilities accumulation</w:t>
      </w:r>
      <w:r w:rsidRPr="00266C78">
        <w:t>.  Oxford: Oxford University Press.</w:t>
      </w:r>
      <w:bookmarkEnd w:id="66"/>
    </w:p>
    <w:p w14:paraId="2CD7F044" w14:textId="77777777" w:rsidR="00266C78" w:rsidRPr="00266C78" w:rsidRDefault="00266C78" w:rsidP="00266C78">
      <w:pPr>
        <w:pStyle w:val="EndNoteBibliography"/>
        <w:spacing w:after="0"/>
        <w:ind w:left="720" w:hanging="720"/>
      </w:pPr>
      <w:bookmarkStart w:id="67" w:name="_ENREF_33"/>
      <w:r w:rsidRPr="00266C78">
        <w:t xml:space="preserve">Coffee Jr, J. C. (2002). Racing towards the top?: The impact of cross-listings and stock market competition on international corporate governance. </w:t>
      </w:r>
      <w:r w:rsidRPr="00266C78">
        <w:rPr>
          <w:i/>
        </w:rPr>
        <w:t>Columbia law review</w:t>
      </w:r>
      <w:r w:rsidRPr="00266C78">
        <w:t>, 1757-1831.</w:t>
      </w:r>
      <w:bookmarkEnd w:id="67"/>
    </w:p>
    <w:p w14:paraId="0D2855A8" w14:textId="77777777" w:rsidR="00266C78" w:rsidRPr="00266C78" w:rsidRDefault="00266C78" w:rsidP="00266C78">
      <w:pPr>
        <w:pStyle w:val="EndNoteBibliography"/>
        <w:spacing w:after="0"/>
        <w:ind w:left="720" w:hanging="720"/>
      </w:pPr>
      <w:bookmarkStart w:id="68" w:name="_ENREF_34"/>
      <w:r w:rsidRPr="00266C78">
        <w:t xml:space="preserve">Daily, C. M., Dalton, D. R. &amp; Cannella, A. A. (2003). Corporate governance: Decades of dialogue and data. </w:t>
      </w:r>
      <w:r w:rsidRPr="00266C78">
        <w:rPr>
          <w:i/>
        </w:rPr>
        <w:t xml:space="preserve">Academy of Management Review, </w:t>
      </w:r>
      <w:r w:rsidRPr="00266C78">
        <w:rPr>
          <w:b/>
        </w:rPr>
        <w:t>28</w:t>
      </w:r>
      <w:r w:rsidRPr="00266C78">
        <w:t>, 371-382.</w:t>
      </w:r>
      <w:bookmarkEnd w:id="68"/>
    </w:p>
    <w:p w14:paraId="4FB80AD4" w14:textId="77777777" w:rsidR="00266C78" w:rsidRPr="00266C78" w:rsidRDefault="00266C78" w:rsidP="00266C78">
      <w:pPr>
        <w:pStyle w:val="EndNoteBibliography"/>
        <w:spacing w:after="0"/>
        <w:ind w:left="720" w:hanging="720"/>
      </w:pPr>
      <w:bookmarkStart w:id="69" w:name="_ENREF_35"/>
      <w:r w:rsidRPr="00266C78">
        <w:t xml:space="preserve">Dalton, D. R., Hitt, M. A., Certo, S. T. &amp; Dalton, C. M. (2007). The fundamental agency problem and its mitigation: Independence, equity, and the market for corporate control. </w:t>
      </w:r>
      <w:r w:rsidRPr="00266C78">
        <w:rPr>
          <w:i/>
        </w:rPr>
        <w:t xml:space="preserve">The Academy of Management Annals, </w:t>
      </w:r>
      <w:r w:rsidRPr="00266C78">
        <w:rPr>
          <w:b/>
        </w:rPr>
        <w:t>1</w:t>
      </w:r>
      <w:r w:rsidRPr="00266C78">
        <w:t>, 1-64.</w:t>
      </w:r>
      <w:bookmarkEnd w:id="69"/>
    </w:p>
    <w:p w14:paraId="44B96327" w14:textId="77777777" w:rsidR="00266C78" w:rsidRPr="00266C78" w:rsidRDefault="00266C78" w:rsidP="00266C78">
      <w:pPr>
        <w:pStyle w:val="EndNoteBibliography"/>
        <w:spacing w:after="0"/>
        <w:ind w:left="720" w:hanging="720"/>
      </w:pPr>
      <w:bookmarkStart w:id="70" w:name="_ENREF_36"/>
      <w:r w:rsidRPr="00266C78">
        <w:t>de Haas, R., Ferreira, D. &amp; Kirchmaier, T. (2017). The inner working of the board: Evidence from the emerging markets.,</w:t>
      </w:r>
      <w:r w:rsidRPr="00266C78">
        <w:rPr>
          <w:i/>
        </w:rPr>
        <w:t>European Banking Center Discussion Paper Series</w:t>
      </w:r>
      <w:r w:rsidRPr="00266C78">
        <w:t>. European Banking Center: Tilburg: Department of Finance.</w:t>
      </w:r>
      <w:bookmarkEnd w:id="70"/>
    </w:p>
    <w:p w14:paraId="21A4C50C" w14:textId="77777777" w:rsidR="00266C78" w:rsidRPr="00266C78" w:rsidRDefault="00266C78" w:rsidP="00266C78">
      <w:pPr>
        <w:pStyle w:val="EndNoteBibliography"/>
        <w:spacing w:after="0"/>
        <w:ind w:left="720" w:hanging="720"/>
      </w:pPr>
      <w:bookmarkStart w:id="71" w:name="_ENREF_37"/>
      <w:r w:rsidRPr="00266C78">
        <w:t xml:space="preserve">Deutsch, Y. (2005). The impact of board composition on firms’ critical decisions: A meta-analytic review. </w:t>
      </w:r>
      <w:r w:rsidRPr="00266C78">
        <w:rPr>
          <w:i/>
        </w:rPr>
        <w:t xml:space="preserve">Journal of Management, </w:t>
      </w:r>
      <w:r w:rsidRPr="00266C78">
        <w:rPr>
          <w:b/>
        </w:rPr>
        <w:t>31</w:t>
      </w:r>
      <w:r w:rsidRPr="00266C78">
        <w:t>, 424-444.</w:t>
      </w:r>
      <w:bookmarkEnd w:id="71"/>
    </w:p>
    <w:p w14:paraId="220948AF" w14:textId="77777777" w:rsidR="00266C78" w:rsidRPr="00266C78" w:rsidRDefault="00266C78" w:rsidP="00266C78">
      <w:pPr>
        <w:pStyle w:val="EndNoteBibliography"/>
        <w:spacing w:after="0"/>
        <w:ind w:left="720" w:hanging="720"/>
      </w:pPr>
      <w:bookmarkStart w:id="72" w:name="_ENREF_38"/>
      <w:r w:rsidRPr="00266C78">
        <w:t xml:space="preserve">Dharwadkar, B., George, G. &amp; Brandes, P. (2000). Privatization in emerging economies: An agency theory perspective. </w:t>
      </w:r>
      <w:r w:rsidRPr="00266C78">
        <w:rPr>
          <w:i/>
        </w:rPr>
        <w:t xml:space="preserve">Academy of Management Review, </w:t>
      </w:r>
      <w:r w:rsidRPr="00266C78">
        <w:rPr>
          <w:b/>
        </w:rPr>
        <w:t>25</w:t>
      </w:r>
      <w:r w:rsidRPr="00266C78">
        <w:t>, 650-669.</w:t>
      </w:r>
      <w:bookmarkEnd w:id="72"/>
    </w:p>
    <w:p w14:paraId="34B5FB09" w14:textId="77777777" w:rsidR="00266C78" w:rsidRPr="00266C78" w:rsidRDefault="00266C78" w:rsidP="00266C78">
      <w:pPr>
        <w:pStyle w:val="EndNoteBibliography"/>
        <w:spacing w:after="0"/>
        <w:ind w:left="720" w:hanging="720"/>
      </w:pPr>
      <w:bookmarkStart w:id="73" w:name="_ENREF_39"/>
      <w:r w:rsidRPr="00266C78">
        <w:t xml:space="preserve">Doidge, C., Karolyi, G. A. &amp; Stulz, R. M. (2007). Why do countries matter so much for corporate governance? </w:t>
      </w:r>
      <w:r w:rsidRPr="00266C78">
        <w:rPr>
          <w:i/>
        </w:rPr>
        <w:t xml:space="preserve">Journal of Financial Economics, </w:t>
      </w:r>
      <w:r w:rsidRPr="00266C78">
        <w:rPr>
          <w:b/>
        </w:rPr>
        <w:t>86</w:t>
      </w:r>
      <w:r w:rsidRPr="00266C78">
        <w:t>, 1-39.</w:t>
      </w:r>
      <w:bookmarkEnd w:id="73"/>
    </w:p>
    <w:p w14:paraId="3E80A994" w14:textId="77777777" w:rsidR="00266C78" w:rsidRPr="00266C78" w:rsidRDefault="00266C78" w:rsidP="00266C78">
      <w:pPr>
        <w:pStyle w:val="EndNoteBibliography"/>
        <w:spacing w:after="0"/>
        <w:ind w:left="720" w:hanging="720"/>
      </w:pPr>
      <w:bookmarkStart w:id="74" w:name="_ENREF_40"/>
      <w:r w:rsidRPr="00266C78">
        <w:t xml:space="preserve">Dolgopyatova, T. G., Libman, A. &amp; Yakovlev, A. (2015). The role of board directors in Russian high-growth firms: evidence from AFK Sistema, Part I (in Russian). </w:t>
      </w:r>
      <w:r w:rsidRPr="00266C78">
        <w:rPr>
          <w:i/>
        </w:rPr>
        <w:t xml:space="preserve">Russian Journal of Management, </w:t>
      </w:r>
      <w:r w:rsidRPr="00266C78">
        <w:rPr>
          <w:b/>
        </w:rPr>
        <w:t>13</w:t>
      </w:r>
      <w:r w:rsidRPr="00266C78">
        <w:t>, 91-112.</w:t>
      </w:r>
      <w:bookmarkEnd w:id="74"/>
    </w:p>
    <w:p w14:paraId="50A2E8A0" w14:textId="77777777" w:rsidR="00266C78" w:rsidRPr="00266C78" w:rsidRDefault="00266C78" w:rsidP="00266C78">
      <w:pPr>
        <w:pStyle w:val="EndNoteBibliography"/>
        <w:spacing w:after="0"/>
        <w:ind w:left="720" w:hanging="720"/>
      </w:pPr>
      <w:bookmarkStart w:id="75" w:name="_ENREF_41"/>
      <w:r w:rsidRPr="00266C78">
        <w:t xml:space="preserve">Douma, S., George, R. &amp; Kabir, R. (2006). Foreign and domestic ownership, business groups, and firm performance: Evidence from a large emerging market. </w:t>
      </w:r>
      <w:r w:rsidRPr="00266C78">
        <w:rPr>
          <w:i/>
        </w:rPr>
        <w:t xml:space="preserve">Strategic Management Journal, </w:t>
      </w:r>
      <w:r w:rsidRPr="00266C78">
        <w:rPr>
          <w:b/>
        </w:rPr>
        <w:t>27</w:t>
      </w:r>
      <w:r w:rsidRPr="00266C78">
        <w:t>, 637-657.</w:t>
      </w:r>
      <w:bookmarkEnd w:id="75"/>
    </w:p>
    <w:p w14:paraId="3EF12165" w14:textId="77777777" w:rsidR="00266C78" w:rsidRPr="00266C78" w:rsidRDefault="00266C78" w:rsidP="00266C78">
      <w:pPr>
        <w:pStyle w:val="EndNoteBibliography"/>
        <w:spacing w:after="0"/>
        <w:ind w:left="720" w:hanging="720"/>
      </w:pPr>
      <w:bookmarkStart w:id="76" w:name="_ENREF_42"/>
      <w:r w:rsidRPr="00266C78">
        <w:t xml:space="preserve">Durnev, A. &amp; Kim, E. H. (2005). To steal or not to steal: Firm attributes, legal environment, and valuation. </w:t>
      </w:r>
      <w:r w:rsidRPr="00266C78">
        <w:rPr>
          <w:i/>
        </w:rPr>
        <w:t xml:space="preserve">The Journal of Finance, </w:t>
      </w:r>
      <w:r w:rsidRPr="00266C78">
        <w:rPr>
          <w:b/>
        </w:rPr>
        <w:t>60</w:t>
      </w:r>
      <w:r w:rsidRPr="00266C78">
        <w:t>, 1461-1493.</w:t>
      </w:r>
      <w:bookmarkEnd w:id="76"/>
    </w:p>
    <w:p w14:paraId="2D40D29D" w14:textId="77777777" w:rsidR="00266C78" w:rsidRPr="00266C78" w:rsidRDefault="00266C78" w:rsidP="00266C78">
      <w:pPr>
        <w:pStyle w:val="EndNoteBibliography"/>
        <w:spacing w:after="0"/>
        <w:ind w:left="720" w:hanging="720"/>
      </w:pPr>
      <w:bookmarkStart w:id="77" w:name="_ENREF_43"/>
      <w:r w:rsidRPr="00266C78">
        <w:t xml:space="preserve">Dyck, A. &amp; Zingales, L. (2004). Private benefits of control: An international comparison. </w:t>
      </w:r>
      <w:r w:rsidRPr="00266C78">
        <w:rPr>
          <w:i/>
        </w:rPr>
        <w:t xml:space="preserve">The Journal of Finance, </w:t>
      </w:r>
      <w:r w:rsidRPr="00266C78">
        <w:rPr>
          <w:b/>
        </w:rPr>
        <w:t>59</w:t>
      </w:r>
      <w:r w:rsidRPr="00266C78">
        <w:t>, 537-600.</w:t>
      </w:r>
      <w:bookmarkEnd w:id="77"/>
    </w:p>
    <w:p w14:paraId="2D8B65FC" w14:textId="77777777" w:rsidR="00266C78" w:rsidRPr="00266C78" w:rsidRDefault="00266C78" w:rsidP="00266C78">
      <w:pPr>
        <w:pStyle w:val="EndNoteBibliography"/>
        <w:spacing w:after="0"/>
        <w:ind w:left="720" w:hanging="720"/>
      </w:pPr>
      <w:bookmarkStart w:id="78" w:name="_ENREF_44"/>
      <w:r w:rsidRPr="00266C78">
        <w:t xml:space="preserve">Dzarasov, R. (2010). Eichnerian megacorp and investment behaviour of Russian corporations. </w:t>
      </w:r>
      <w:r w:rsidRPr="00266C78">
        <w:rPr>
          <w:i/>
        </w:rPr>
        <w:t xml:space="preserve">Cambridge Journal of Economics, </w:t>
      </w:r>
      <w:r w:rsidRPr="00266C78">
        <w:rPr>
          <w:b/>
        </w:rPr>
        <w:t>35</w:t>
      </w:r>
      <w:r w:rsidRPr="00266C78">
        <w:t>, 199-217.</w:t>
      </w:r>
      <w:bookmarkEnd w:id="78"/>
    </w:p>
    <w:p w14:paraId="70D1BECB" w14:textId="77777777" w:rsidR="00266C78" w:rsidRPr="00266C78" w:rsidRDefault="00266C78" w:rsidP="00266C78">
      <w:pPr>
        <w:pStyle w:val="EndNoteBibliography"/>
        <w:spacing w:after="0"/>
        <w:ind w:left="720" w:hanging="720"/>
      </w:pPr>
      <w:bookmarkStart w:id="79" w:name="_ENREF_45"/>
      <w:r w:rsidRPr="00266C78">
        <w:t xml:space="preserve">Enikolopov, R. &amp; Stepanov, S. (2013). 'Corporate governance in Russia'. In M. Alexeev &amp; S. Weber (Eds.), </w:t>
      </w:r>
      <w:r w:rsidRPr="00266C78">
        <w:rPr>
          <w:i/>
        </w:rPr>
        <w:t>The Oxford handbook of the Russian economy</w:t>
      </w:r>
      <w:r w:rsidRPr="00266C78">
        <w:t>. Oxford: Oxford University Press, 221-245.</w:t>
      </w:r>
      <w:bookmarkEnd w:id="79"/>
    </w:p>
    <w:p w14:paraId="1C518314" w14:textId="77777777" w:rsidR="00266C78" w:rsidRPr="00266C78" w:rsidRDefault="00266C78" w:rsidP="00266C78">
      <w:pPr>
        <w:pStyle w:val="EndNoteBibliography"/>
        <w:spacing w:after="0"/>
        <w:ind w:left="720" w:hanging="720"/>
      </w:pPr>
      <w:bookmarkStart w:id="80" w:name="_ENREF_46"/>
      <w:r w:rsidRPr="00266C78">
        <w:t xml:space="preserve">Fairchild, A. J. &amp; MacKinnon, D. P. (2009). A General Model for Testing Mediation and Moderation Effects. </w:t>
      </w:r>
      <w:r w:rsidRPr="00266C78">
        <w:rPr>
          <w:i/>
        </w:rPr>
        <w:t xml:space="preserve">Prevention Science, </w:t>
      </w:r>
      <w:r w:rsidRPr="00266C78">
        <w:rPr>
          <w:b/>
        </w:rPr>
        <w:t>10</w:t>
      </w:r>
      <w:r w:rsidRPr="00266C78">
        <w:t>, 87-99.</w:t>
      </w:r>
      <w:bookmarkEnd w:id="80"/>
    </w:p>
    <w:p w14:paraId="58FE1E56" w14:textId="77777777" w:rsidR="00266C78" w:rsidRPr="00266C78" w:rsidRDefault="00266C78" w:rsidP="00266C78">
      <w:pPr>
        <w:pStyle w:val="EndNoteBibliography"/>
        <w:spacing w:after="0"/>
        <w:ind w:left="720" w:hanging="720"/>
      </w:pPr>
      <w:bookmarkStart w:id="81" w:name="_ENREF_47"/>
      <w:r w:rsidRPr="00266C78">
        <w:lastRenderedPageBreak/>
        <w:t xml:space="preserve">Fazzari, S., Hubbard, R. G. &amp; Petersen, B. C. (1988). Financing constraints and corporate investment. </w:t>
      </w:r>
      <w:r w:rsidRPr="00266C78">
        <w:rPr>
          <w:i/>
        </w:rPr>
        <w:t xml:space="preserve">Brookings Papers on Economic Activity, </w:t>
      </w:r>
      <w:r w:rsidRPr="00266C78">
        <w:rPr>
          <w:b/>
        </w:rPr>
        <w:t>1</w:t>
      </w:r>
      <w:r w:rsidRPr="00266C78">
        <w:t>, 141-206.</w:t>
      </w:r>
      <w:bookmarkEnd w:id="81"/>
    </w:p>
    <w:p w14:paraId="2345ACC0" w14:textId="77777777" w:rsidR="00266C78" w:rsidRPr="00266C78" w:rsidRDefault="00266C78" w:rsidP="00266C78">
      <w:pPr>
        <w:pStyle w:val="EndNoteBibliography"/>
        <w:spacing w:after="0"/>
        <w:ind w:left="720" w:hanging="720"/>
      </w:pPr>
      <w:bookmarkStart w:id="82" w:name="_ENREF_48"/>
      <w:r w:rsidRPr="00266C78">
        <w:t>Ferrarini, G. &amp; Filippelli, M. (2014). Independent directors and controlling shareholders around the world.</w:t>
      </w:r>
      <w:bookmarkEnd w:id="82"/>
    </w:p>
    <w:p w14:paraId="755EFE44" w14:textId="77777777" w:rsidR="00266C78" w:rsidRPr="00266C78" w:rsidRDefault="00266C78" w:rsidP="00266C78">
      <w:pPr>
        <w:pStyle w:val="EndNoteBibliography"/>
        <w:spacing w:after="0"/>
        <w:ind w:left="720" w:hanging="720"/>
      </w:pPr>
      <w:bookmarkStart w:id="83" w:name="_ENREF_49"/>
      <w:r w:rsidRPr="00266C78">
        <w:t xml:space="preserve">Filatotchev, I., Lien, Y.-C. &amp; Piesse, J. (2005). Corporate governance and performance in publicly listed, family-controlled firms: Evidence from Taiwan. </w:t>
      </w:r>
      <w:r w:rsidRPr="00266C78">
        <w:rPr>
          <w:i/>
        </w:rPr>
        <w:t xml:space="preserve">Asia Pacific Journal of Management, </w:t>
      </w:r>
      <w:r w:rsidRPr="00266C78">
        <w:rPr>
          <w:b/>
        </w:rPr>
        <w:t>22</w:t>
      </w:r>
      <w:r w:rsidRPr="00266C78">
        <w:t>, 257-283.</w:t>
      </w:r>
      <w:bookmarkEnd w:id="83"/>
    </w:p>
    <w:p w14:paraId="3FC8E3F3" w14:textId="77777777" w:rsidR="00266C78" w:rsidRPr="00266C78" w:rsidRDefault="00266C78" w:rsidP="00266C78">
      <w:pPr>
        <w:pStyle w:val="EndNoteBibliography"/>
        <w:spacing w:after="0"/>
        <w:ind w:left="720" w:hanging="720"/>
      </w:pPr>
      <w:bookmarkStart w:id="84" w:name="_ENREF_50"/>
      <w:r w:rsidRPr="00266C78">
        <w:t xml:space="preserve">Filatotchev, I., Zhang, X. &amp; Piesse, J. (2011). Multiple agency perspective, family control, and private information abuse in an emerging economy. </w:t>
      </w:r>
      <w:r w:rsidRPr="00266C78">
        <w:rPr>
          <w:i/>
        </w:rPr>
        <w:t xml:space="preserve">Asia Pacific Journal of Management, </w:t>
      </w:r>
      <w:r w:rsidRPr="00266C78">
        <w:rPr>
          <w:b/>
        </w:rPr>
        <w:t>28</w:t>
      </w:r>
      <w:r w:rsidRPr="00266C78">
        <w:t>, 69-93.</w:t>
      </w:r>
      <w:bookmarkEnd w:id="84"/>
    </w:p>
    <w:p w14:paraId="0A35A40B" w14:textId="77777777" w:rsidR="00266C78" w:rsidRPr="00266C78" w:rsidRDefault="00266C78" w:rsidP="00266C78">
      <w:pPr>
        <w:pStyle w:val="EndNoteBibliography"/>
        <w:spacing w:after="0"/>
        <w:ind w:left="720" w:hanging="720"/>
      </w:pPr>
      <w:bookmarkStart w:id="85" w:name="_ENREF_51"/>
      <w:r w:rsidRPr="00266C78">
        <w:t xml:space="preserve">Gomez-Mejia, L. R., Nunez-Nickel, M. &amp; Gutierrez, I. (2001). The role of family ties in agency contracts. </w:t>
      </w:r>
      <w:r w:rsidRPr="00266C78">
        <w:rPr>
          <w:i/>
        </w:rPr>
        <w:t xml:space="preserve">Academy of Management Journal, </w:t>
      </w:r>
      <w:r w:rsidRPr="00266C78">
        <w:rPr>
          <w:b/>
        </w:rPr>
        <w:t>44</w:t>
      </w:r>
      <w:r w:rsidRPr="00266C78">
        <w:t>, 81-95.</w:t>
      </w:r>
      <w:bookmarkEnd w:id="85"/>
    </w:p>
    <w:p w14:paraId="1935E623" w14:textId="77777777" w:rsidR="00266C78" w:rsidRPr="00266C78" w:rsidRDefault="00266C78" w:rsidP="00266C78">
      <w:pPr>
        <w:pStyle w:val="EndNoteBibliography"/>
        <w:spacing w:after="0"/>
        <w:ind w:left="720" w:hanging="720"/>
      </w:pPr>
      <w:bookmarkStart w:id="86" w:name="_ENREF_52"/>
      <w:r w:rsidRPr="00266C78">
        <w:t xml:space="preserve">Grosman, A., Okhmatovskiy, I. &amp; Wright, M. (2016). State Control and Corporate Governance in Transition Economies: 25 Years on from 1989. </w:t>
      </w:r>
      <w:r w:rsidRPr="00266C78">
        <w:rPr>
          <w:i/>
        </w:rPr>
        <w:t xml:space="preserve">Corporate Governance: An International Review, </w:t>
      </w:r>
      <w:r w:rsidRPr="00266C78">
        <w:rPr>
          <w:b/>
        </w:rPr>
        <w:t>24</w:t>
      </w:r>
      <w:r w:rsidRPr="00266C78">
        <w:t>, 200-221.</w:t>
      </w:r>
      <w:bookmarkEnd w:id="86"/>
    </w:p>
    <w:p w14:paraId="7E9A4C8C" w14:textId="77777777" w:rsidR="00266C78" w:rsidRPr="00266C78" w:rsidRDefault="00266C78" w:rsidP="00266C78">
      <w:pPr>
        <w:pStyle w:val="EndNoteBibliography"/>
        <w:spacing w:after="0"/>
        <w:ind w:left="720" w:hanging="720"/>
      </w:pPr>
      <w:bookmarkStart w:id="87" w:name="_ENREF_53"/>
      <w:r w:rsidRPr="00266C78">
        <w:t xml:space="preserve">Grossman, S. J. &amp; Hart, O. D. (1988). One share-one vote and the market for corporate control. </w:t>
      </w:r>
      <w:r w:rsidRPr="00266C78">
        <w:rPr>
          <w:i/>
        </w:rPr>
        <w:t xml:space="preserve">Journal of Financial Economics, </w:t>
      </w:r>
      <w:r w:rsidRPr="00266C78">
        <w:rPr>
          <w:b/>
        </w:rPr>
        <w:t>20</w:t>
      </w:r>
      <w:r w:rsidRPr="00266C78">
        <w:t>, 175-202.</w:t>
      </w:r>
      <w:bookmarkEnd w:id="87"/>
    </w:p>
    <w:p w14:paraId="08274456" w14:textId="77777777" w:rsidR="00266C78" w:rsidRPr="00266C78" w:rsidRDefault="00266C78" w:rsidP="00266C78">
      <w:pPr>
        <w:pStyle w:val="EndNoteBibliography"/>
        <w:spacing w:after="0"/>
        <w:ind w:left="720" w:hanging="720"/>
      </w:pPr>
      <w:bookmarkStart w:id="88" w:name="_ENREF_54"/>
      <w:r w:rsidRPr="00266C78">
        <w:t xml:space="preserve">Hermalin, B. E. &amp; Weisbach, M. S. (1991). The effects of board composition and direct incentives on firm performance. </w:t>
      </w:r>
      <w:r w:rsidRPr="00266C78">
        <w:rPr>
          <w:i/>
        </w:rPr>
        <w:t>Financial Management</w:t>
      </w:r>
      <w:r w:rsidRPr="00266C78">
        <w:t>, 101-112.</w:t>
      </w:r>
      <w:bookmarkEnd w:id="88"/>
    </w:p>
    <w:p w14:paraId="67E029BD" w14:textId="77777777" w:rsidR="00266C78" w:rsidRPr="00266C78" w:rsidRDefault="00266C78" w:rsidP="00266C78">
      <w:pPr>
        <w:pStyle w:val="EndNoteBibliography"/>
        <w:spacing w:after="0"/>
        <w:ind w:left="720" w:hanging="720"/>
      </w:pPr>
      <w:bookmarkStart w:id="89" w:name="_ENREF_55"/>
      <w:r w:rsidRPr="00266C78">
        <w:t xml:space="preserve">Hillman, A. J. &amp; Dalziel, T. (2003). Boards of directors and firm performance: Integrating agency and resource dependence perspectives. </w:t>
      </w:r>
      <w:r w:rsidRPr="00266C78">
        <w:rPr>
          <w:i/>
        </w:rPr>
        <w:t xml:space="preserve">Academy of Management Review, </w:t>
      </w:r>
      <w:r w:rsidRPr="00266C78">
        <w:rPr>
          <w:b/>
        </w:rPr>
        <w:t>28</w:t>
      </w:r>
      <w:r w:rsidRPr="00266C78">
        <w:t>, 383-396.</w:t>
      </w:r>
      <w:bookmarkEnd w:id="89"/>
    </w:p>
    <w:p w14:paraId="5A45DAA8" w14:textId="77777777" w:rsidR="00266C78" w:rsidRPr="00266C78" w:rsidRDefault="00266C78" w:rsidP="00266C78">
      <w:pPr>
        <w:pStyle w:val="EndNoteBibliography"/>
        <w:spacing w:after="0"/>
        <w:ind w:left="720" w:hanging="720"/>
      </w:pPr>
      <w:bookmarkStart w:id="90" w:name="_ENREF_56"/>
      <w:r w:rsidRPr="00266C78">
        <w:t xml:space="preserve">Hoskisson, R. E., Arthurs, J. D., White, R. E. &amp; Wyatt, C. (2013). 'Multiple Agency Theory'. In M. Wright, D. S. Siegel, K. Keasey &amp; I. Filatotchev (Eds.), </w:t>
      </w:r>
      <w:r w:rsidRPr="00266C78">
        <w:rPr>
          <w:i/>
        </w:rPr>
        <w:t>The Oxford handbook of corporate governance</w:t>
      </w:r>
      <w:r w:rsidRPr="00266C78">
        <w:t>. Oxford: OUP, 673-702.</w:t>
      </w:r>
      <w:bookmarkEnd w:id="90"/>
    </w:p>
    <w:p w14:paraId="2EF10B53" w14:textId="77777777" w:rsidR="00266C78" w:rsidRPr="00266C78" w:rsidRDefault="00266C78" w:rsidP="00266C78">
      <w:pPr>
        <w:pStyle w:val="EndNoteBibliography"/>
        <w:spacing w:after="0"/>
        <w:ind w:left="720" w:hanging="720"/>
      </w:pPr>
      <w:bookmarkStart w:id="91" w:name="_ENREF_57"/>
      <w:r w:rsidRPr="00266C78">
        <w:t xml:space="preserve">Hoskisson, R. E., Hitt, M. A., Johnson, R. A. &amp; Grossman, W. (2002). Conflicting voices: The effects of institutional ownership heterogeneity and internal governance on corporate innovation strategies. </w:t>
      </w:r>
      <w:r w:rsidRPr="00266C78">
        <w:rPr>
          <w:i/>
        </w:rPr>
        <w:t xml:space="preserve">Academy of Management Journal, </w:t>
      </w:r>
      <w:r w:rsidRPr="00266C78">
        <w:rPr>
          <w:b/>
        </w:rPr>
        <w:t>45</w:t>
      </w:r>
      <w:r w:rsidRPr="00266C78">
        <w:t>, 697-716.</w:t>
      </w:r>
      <w:bookmarkEnd w:id="91"/>
    </w:p>
    <w:p w14:paraId="38B3144B" w14:textId="77777777" w:rsidR="00266C78" w:rsidRPr="00266C78" w:rsidRDefault="00266C78" w:rsidP="00266C78">
      <w:pPr>
        <w:pStyle w:val="EndNoteBibliography"/>
        <w:spacing w:after="0"/>
        <w:ind w:left="720" w:hanging="720"/>
      </w:pPr>
      <w:bookmarkStart w:id="92" w:name="_ENREF_58"/>
      <w:r w:rsidRPr="00266C78">
        <w:t xml:space="preserve">Hung, H. (1998). A typology of the theories of the roles of governing boards. </w:t>
      </w:r>
      <w:r w:rsidRPr="00266C78">
        <w:rPr>
          <w:i/>
        </w:rPr>
        <w:t xml:space="preserve">Corporate governance, </w:t>
      </w:r>
      <w:r w:rsidRPr="00266C78">
        <w:rPr>
          <w:b/>
        </w:rPr>
        <w:t>6</w:t>
      </w:r>
      <w:r w:rsidRPr="00266C78">
        <w:t>, 101-111.</w:t>
      </w:r>
      <w:bookmarkEnd w:id="92"/>
    </w:p>
    <w:p w14:paraId="39039E54" w14:textId="77777777" w:rsidR="00266C78" w:rsidRPr="00266C78" w:rsidRDefault="00266C78" w:rsidP="00266C78">
      <w:pPr>
        <w:pStyle w:val="EndNoteBibliography"/>
        <w:spacing w:after="0"/>
        <w:ind w:left="720" w:hanging="720"/>
      </w:pPr>
      <w:bookmarkStart w:id="93" w:name="_ENREF_59"/>
      <w:r w:rsidRPr="00266C78">
        <w:t xml:space="preserve">Inoue, C. F., Lazzarini, S. G. &amp; Musacchio, A. (2013). Leviathan as a Minority Shareholder: Firm-Level Implications of State Equity Purchases. </w:t>
      </w:r>
      <w:r w:rsidRPr="00266C78">
        <w:rPr>
          <w:i/>
        </w:rPr>
        <w:t xml:space="preserve">Academy of Management Journal, </w:t>
      </w:r>
      <w:r w:rsidRPr="00266C78">
        <w:rPr>
          <w:b/>
        </w:rPr>
        <w:t>56</w:t>
      </w:r>
      <w:r w:rsidRPr="00266C78">
        <w:t>, 1775-1801.</w:t>
      </w:r>
      <w:bookmarkEnd w:id="93"/>
    </w:p>
    <w:p w14:paraId="639F0834" w14:textId="77777777" w:rsidR="00266C78" w:rsidRPr="00266C78" w:rsidRDefault="00266C78" w:rsidP="00266C78">
      <w:pPr>
        <w:pStyle w:val="EndNoteBibliography"/>
        <w:spacing w:after="0"/>
        <w:ind w:left="720" w:hanging="720"/>
      </w:pPr>
      <w:bookmarkStart w:id="94" w:name="_ENREF_60"/>
      <w:r w:rsidRPr="00266C78">
        <w:t xml:space="preserve">Iwasaki, I. (2008). The determinants of board composition in a transforming economy: Evidence from Russia. </w:t>
      </w:r>
      <w:r w:rsidRPr="00266C78">
        <w:rPr>
          <w:i/>
        </w:rPr>
        <w:t xml:space="preserve">Journal of Corporate Finance, </w:t>
      </w:r>
      <w:r w:rsidRPr="00266C78">
        <w:rPr>
          <w:b/>
        </w:rPr>
        <w:t>14</w:t>
      </w:r>
      <w:r w:rsidRPr="00266C78">
        <w:t>, 532-549.</w:t>
      </w:r>
      <w:bookmarkEnd w:id="94"/>
    </w:p>
    <w:p w14:paraId="2EB4501F" w14:textId="77777777" w:rsidR="00266C78" w:rsidRPr="00266C78" w:rsidRDefault="00266C78" w:rsidP="00266C78">
      <w:pPr>
        <w:pStyle w:val="EndNoteBibliography"/>
        <w:spacing w:after="0"/>
        <w:ind w:left="720" w:hanging="720"/>
      </w:pPr>
      <w:bookmarkStart w:id="95" w:name="_ENREF_61"/>
      <w:r w:rsidRPr="00266C78">
        <w:t>Iwasaki, I., Mizobata, S. &amp; Muravyev, A. A. (2017). Ownership Dynamics and Firm Performance in an Emerging Economy: A Meta-Analysis of the Russian Literature,</w:t>
      </w:r>
      <w:r w:rsidRPr="00266C78">
        <w:rPr>
          <w:i/>
        </w:rPr>
        <w:t>Kier Discussion Paper Series</w:t>
      </w:r>
      <w:r w:rsidRPr="00266C78">
        <w:t>. Kyoto, Japan: Kyoto Institute of Economic Research.</w:t>
      </w:r>
      <w:bookmarkEnd w:id="95"/>
    </w:p>
    <w:p w14:paraId="0316D390" w14:textId="77777777" w:rsidR="00266C78" w:rsidRPr="00266C78" w:rsidRDefault="00266C78" w:rsidP="00266C78">
      <w:pPr>
        <w:pStyle w:val="EndNoteBibliography"/>
        <w:spacing w:after="0"/>
        <w:ind w:left="720" w:hanging="720"/>
      </w:pPr>
      <w:bookmarkStart w:id="96" w:name="_ENREF_62"/>
      <w:r w:rsidRPr="00266C78">
        <w:t xml:space="preserve">Jiang, Y. &amp; Peng, M. W. (2011). Principal-principal conflicts during crisis. </w:t>
      </w:r>
      <w:r w:rsidRPr="00266C78">
        <w:rPr>
          <w:i/>
        </w:rPr>
        <w:t xml:space="preserve">Asia Pacific Journal of Management, </w:t>
      </w:r>
      <w:r w:rsidRPr="00266C78">
        <w:rPr>
          <w:b/>
        </w:rPr>
        <w:t>28</w:t>
      </w:r>
      <w:r w:rsidRPr="00266C78">
        <w:t>, 683-695.</w:t>
      </w:r>
      <w:bookmarkEnd w:id="96"/>
    </w:p>
    <w:p w14:paraId="47D145FE" w14:textId="77777777" w:rsidR="00266C78" w:rsidRPr="00266C78" w:rsidRDefault="00266C78" w:rsidP="00266C78">
      <w:pPr>
        <w:pStyle w:val="EndNoteBibliography"/>
        <w:spacing w:after="0"/>
        <w:ind w:left="720" w:hanging="720"/>
      </w:pPr>
      <w:bookmarkStart w:id="97" w:name="_ENREF_63"/>
      <w:r w:rsidRPr="00266C78">
        <w:t xml:space="preserve">Kabbach de Castro, L. R., Aguilera, R. V. &amp; Crespí-Cladera, R. (2017). Family Firms and Compliance: Reconciling the Conflicting Predictions Within the Socioemotional Wealth Perspective. </w:t>
      </w:r>
      <w:r w:rsidRPr="00266C78">
        <w:rPr>
          <w:i/>
        </w:rPr>
        <w:t xml:space="preserve">Family Business Review, </w:t>
      </w:r>
      <w:r w:rsidRPr="00266C78">
        <w:rPr>
          <w:b/>
        </w:rPr>
        <w:t>30</w:t>
      </w:r>
      <w:r w:rsidRPr="00266C78">
        <w:t>, 137-159.</w:t>
      </w:r>
      <w:bookmarkEnd w:id="97"/>
    </w:p>
    <w:p w14:paraId="675052F1" w14:textId="77777777" w:rsidR="00266C78" w:rsidRPr="00266C78" w:rsidRDefault="00266C78" w:rsidP="00266C78">
      <w:pPr>
        <w:pStyle w:val="EndNoteBibliography"/>
        <w:spacing w:after="0"/>
        <w:ind w:left="720" w:hanging="720"/>
      </w:pPr>
      <w:bookmarkStart w:id="98" w:name="_ENREF_64"/>
      <w:r w:rsidRPr="00266C78">
        <w:t xml:space="preserve">Kornai, J. (1986). The soft budget constraint. </w:t>
      </w:r>
      <w:r w:rsidRPr="00266C78">
        <w:rPr>
          <w:i/>
        </w:rPr>
        <w:t xml:space="preserve">Kyklos, </w:t>
      </w:r>
      <w:r w:rsidRPr="00266C78">
        <w:rPr>
          <w:b/>
        </w:rPr>
        <w:t>39</w:t>
      </w:r>
      <w:r w:rsidRPr="00266C78">
        <w:t>, 3-30.</w:t>
      </w:r>
      <w:bookmarkEnd w:id="98"/>
    </w:p>
    <w:p w14:paraId="459891F2" w14:textId="77777777" w:rsidR="00266C78" w:rsidRPr="00266C78" w:rsidRDefault="00266C78" w:rsidP="00266C78">
      <w:pPr>
        <w:pStyle w:val="EndNoteBibliography"/>
        <w:spacing w:after="0"/>
        <w:ind w:left="720" w:hanging="720"/>
      </w:pPr>
      <w:bookmarkStart w:id="99" w:name="_ENREF_65"/>
      <w:r w:rsidRPr="00266C78">
        <w:t>Kriukova, N. (2009). Independent directors in Russian companies (in Russian). In A. Landia &amp; A. Filatov (Eds.),</w:t>
      </w:r>
      <w:r w:rsidRPr="00266C78">
        <w:rPr>
          <w:i/>
        </w:rPr>
        <w:t>Corporate governance in state and private companies in an era of change</w:t>
      </w:r>
      <w:r w:rsidRPr="00266C78">
        <w:t xml:space="preserve"> (pp. 181). Moscow: Libright.</w:t>
      </w:r>
      <w:bookmarkEnd w:id="99"/>
    </w:p>
    <w:p w14:paraId="5F814E16" w14:textId="77777777" w:rsidR="00266C78" w:rsidRPr="00266C78" w:rsidRDefault="00266C78" w:rsidP="00266C78">
      <w:pPr>
        <w:pStyle w:val="EndNoteBibliography"/>
        <w:spacing w:after="0"/>
        <w:ind w:left="720" w:hanging="720"/>
      </w:pPr>
      <w:bookmarkStart w:id="100" w:name="_ENREF_66"/>
      <w:r w:rsidRPr="00266C78">
        <w:t xml:space="preserve">Kuznecovs, M. &amp; Pal, S. (2012). </w:t>
      </w:r>
      <w:r w:rsidRPr="00266C78">
        <w:rPr>
          <w:i/>
        </w:rPr>
        <w:t>Does corporate governance reform necessarily boost firm performance? Recent evidence from Russia</w:t>
      </w:r>
      <w:r w:rsidRPr="00266C78">
        <w:t>: Discussion Paper series, Forschungsinstitut zur Zukunft der Arbeit.</w:t>
      </w:r>
      <w:bookmarkEnd w:id="100"/>
    </w:p>
    <w:p w14:paraId="6B1AA095" w14:textId="77777777" w:rsidR="00266C78" w:rsidRPr="00266C78" w:rsidRDefault="00266C78" w:rsidP="00266C78">
      <w:pPr>
        <w:pStyle w:val="EndNoteBibliography"/>
        <w:spacing w:after="0"/>
        <w:ind w:left="720" w:hanging="720"/>
      </w:pPr>
      <w:bookmarkStart w:id="101" w:name="_ENREF_67"/>
      <w:r w:rsidRPr="00266C78">
        <w:t xml:space="preserve">Lazzarini, S. G. (2015). Strategizing by the government: Can industrial policy create firm‐level competitive advantage? </w:t>
      </w:r>
      <w:r w:rsidRPr="00266C78">
        <w:rPr>
          <w:i/>
        </w:rPr>
        <w:t xml:space="preserve">Strategic Management Journal, </w:t>
      </w:r>
      <w:r w:rsidRPr="00266C78">
        <w:rPr>
          <w:b/>
        </w:rPr>
        <w:t>36</w:t>
      </w:r>
      <w:r w:rsidRPr="00266C78">
        <w:t>, 97-112.</w:t>
      </w:r>
      <w:bookmarkEnd w:id="101"/>
    </w:p>
    <w:p w14:paraId="5249D6D6" w14:textId="77777777" w:rsidR="00266C78" w:rsidRPr="00266C78" w:rsidRDefault="00266C78" w:rsidP="00266C78">
      <w:pPr>
        <w:pStyle w:val="EndNoteBibliography"/>
        <w:spacing w:after="0"/>
        <w:ind w:left="720" w:hanging="720"/>
      </w:pPr>
      <w:bookmarkStart w:id="102" w:name="_ENREF_68"/>
      <w:r w:rsidRPr="00266C78">
        <w:t xml:space="preserve">Lehn, K. &amp; Poulsen, A. (1989). Free cash flow and stockholder gains in going private transactions. </w:t>
      </w:r>
      <w:r w:rsidRPr="00266C78">
        <w:rPr>
          <w:i/>
        </w:rPr>
        <w:t xml:space="preserve">The Journal of Finance, </w:t>
      </w:r>
      <w:r w:rsidRPr="00266C78">
        <w:rPr>
          <w:b/>
        </w:rPr>
        <w:t>44</w:t>
      </w:r>
      <w:r w:rsidRPr="00266C78">
        <w:t>, 771-787.</w:t>
      </w:r>
      <w:bookmarkEnd w:id="102"/>
    </w:p>
    <w:p w14:paraId="5307A604" w14:textId="77777777" w:rsidR="00266C78" w:rsidRPr="00266C78" w:rsidRDefault="00266C78" w:rsidP="00266C78">
      <w:pPr>
        <w:pStyle w:val="EndNoteBibliography"/>
        <w:spacing w:after="0"/>
        <w:ind w:left="720" w:hanging="720"/>
      </w:pPr>
      <w:bookmarkStart w:id="103" w:name="_ENREF_69"/>
      <w:r w:rsidRPr="00266C78">
        <w:t>Leutert, W. (2016). Challenges ahead in China's reform of state-owned enterprises,</w:t>
      </w:r>
      <w:r w:rsidRPr="00266C78">
        <w:rPr>
          <w:i/>
        </w:rPr>
        <w:t>Asia Policy</w:t>
      </w:r>
      <w:r w:rsidRPr="00266C78">
        <w:t xml:space="preserve"> (pp. 83-99). Washington, DC: Brookings Institute.</w:t>
      </w:r>
      <w:bookmarkEnd w:id="103"/>
    </w:p>
    <w:p w14:paraId="2068173A" w14:textId="77777777" w:rsidR="00266C78" w:rsidRPr="00266C78" w:rsidRDefault="00266C78" w:rsidP="00266C78">
      <w:pPr>
        <w:pStyle w:val="EndNoteBibliography"/>
        <w:spacing w:after="0"/>
        <w:ind w:left="720" w:hanging="720"/>
      </w:pPr>
      <w:bookmarkStart w:id="104" w:name="_ENREF_70"/>
      <w:r w:rsidRPr="00266C78">
        <w:lastRenderedPageBreak/>
        <w:t xml:space="preserve">Linck, J. S., Netter, J. M. &amp; Yang, T. (2008). The determinants of board structure. </w:t>
      </w:r>
      <w:r w:rsidRPr="00266C78">
        <w:rPr>
          <w:i/>
        </w:rPr>
        <w:t xml:space="preserve">Journal of Financial Economics, </w:t>
      </w:r>
      <w:r w:rsidRPr="00266C78">
        <w:rPr>
          <w:b/>
        </w:rPr>
        <w:t>87</w:t>
      </w:r>
      <w:r w:rsidRPr="00266C78">
        <w:t>, 308-328.</w:t>
      </w:r>
      <w:bookmarkEnd w:id="104"/>
    </w:p>
    <w:p w14:paraId="2B15E4F8" w14:textId="77777777" w:rsidR="00266C78" w:rsidRPr="00266C78" w:rsidRDefault="00266C78" w:rsidP="00266C78">
      <w:pPr>
        <w:pStyle w:val="EndNoteBibliography"/>
        <w:spacing w:after="0"/>
        <w:ind w:left="720" w:hanging="720"/>
      </w:pPr>
      <w:bookmarkStart w:id="105" w:name="_ENREF_71"/>
      <w:r w:rsidRPr="00266C78">
        <w:t xml:space="preserve">McCarthy, D. J. &amp; Puffer, S. M. (2003). Corporate governance in Russia: A framework for analysis. </w:t>
      </w:r>
      <w:r w:rsidRPr="00266C78">
        <w:rPr>
          <w:i/>
        </w:rPr>
        <w:t xml:space="preserve">Journal of World Business, </w:t>
      </w:r>
      <w:r w:rsidRPr="00266C78">
        <w:rPr>
          <w:b/>
        </w:rPr>
        <w:t>38</w:t>
      </w:r>
      <w:r w:rsidRPr="00266C78">
        <w:t>, 397-415.</w:t>
      </w:r>
      <w:bookmarkEnd w:id="105"/>
    </w:p>
    <w:p w14:paraId="0099F14A" w14:textId="77777777" w:rsidR="00266C78" w:rsidRPr="00266C78" w:rsidRDefault="00266C78" w:rsidP="00266C78">
      <w:pPr>
        <w:pStyle w:val="EndNoteBibliography"/>
        <w:spacing w:after="0"/>
        <w:ind w:left="720" w:hanging="720"/>
      </w:pPr>
      <w:bookmarkStart w:id="106" w:name="_ENREF_72"/>
      <w:r w:rsidRPr="00266C78">
        <w:t xml:space="preserve">Megginson, W. L. (2017). Privatization, state capitalism, and state ownership of business in the 21st century. </w:t>
      </w:r>
      <w:r w:rsidRPr="00266C78">
        <w:rPr>
          <w:i/>
        </w:rPr>
        <w:t xml:space="preserve">Foundations and Trends® in Finance, </w:t>
      </w:r>
      <w:r w:rsidRPr="00266C78">
        <w:rPr>
          <w:b/>
        </w:rPr>
        <w:t>11</w:t>
      </w:r>
      <w:r w:rsidRPr="00266C78">
        <w:t>, 1-153.</w:t>
      </w:r>
      <w:bookmarkEnd w:id="106"/>
    </w:p>
    <w:p w14:paraId="4D244927" w14:textId="77777777" w:rsidR="00266C78" w:rsidRPr="00266C78" w:rsidRDefault="00266C78" w:rsidP="00266C78">
      <w:pPr>
        <w:pStyle w:val="EndNoteBibliography"/>
        <w:spacing w:after="0"/>
        <w:ind w:left="720" w:hanging="720"/>
      </w:pPr>
      <w:bookmarkStart w:id="107" w:name="_ENREF_73"/>
      <w:r w:rsidRPr="00266C78">
        <w:t xml:space="preserve">Melkumov, D. (2009). Institutional background as a determinant of boards of directors’ internal and external roles: The case of Russia. </w:t>
      </w:r>
      <w:r w:rsidRPr="00266C78">
        <w:rPr>
          <w:i/>
        </w:rPr>
        <w:t xml:space="preserve">Journal of World Business, </w:t>
      </w:r>
      <w:r w:rsidRPr="00266C78">
        <w:rPr>
          <w:b/>
        </w:rPr>
        <w:t>44</w:t>
      </w:r>
      <w:r w:rsidRPr="00266C78">
        <w:t>, 94-103.</w:t>
      </w:r>
      <w:bookmarkEnd w:id="107"/>
    </w:p>
    <w:p w14:paraId="53FBE97D" w14:textId="77777777" w:rsidR="00266C78" w:rsidRPr="00266C78" w:rsidRDefault="00266C78" w:rsidP="00266C78">
      <w:pPr>
        <w:pStyle w:val="EndNoteBibliography"/>
        <w:spacing w:after="0"/>
        <w:ind w:left="720" w:hanging="720"/>
      </w:pPr>
      <w:bookmarkStart w:id="108" w:name="_ENREF_74"/>
      <w:r w:rsidRPr="00266C78">
        <w:t xml:space="preserve">Miletkov, M., Poulsen, A. &amp; Wintoki, M. B. (2016). Foreign independent directors and the quality of legal institutions. </w:t>
      </w:r>
      <w:r w:rsidRPr="00266C78">
        <w:rPr>
          <w:i/>
        </w:rPr>
        <w:t>Journal of International Business Studies</w:t>
      </w:r>
      <w:r w:rsidRPr="00266C78">
        <w:t>, 1-26.</w:t>
      </w:r>
      <w:bookmarkEnd w:id="108"/>
    </w:p>
    <w:p w14:paraId="21D3AE53" w14:textId="77777777" w:rsidR="00266C78" w:rsidRPr="00266C78" w:rsidRDefault="00266C78" w:rsidP="00266C78">
      <w:pPr>
        <w:pStyle w:val="EndNoteBibliography"/>
        <w:spacing w:after="0"/>
        <w:ind w:left="720" w:hanging="720"/>
      </w:pPr>
      <w:bookmarkStart w:id="109" w:name="_ENREF_75"/>
      <w:r w:rsidRPr="00266C78">
        <w:t xml:space="preserve">Miller, D., Lee, J., Chang, S. &amp; Le Breton-Miller, I. (2009). Filling the institutional void: The social behavior and performance of family vs non-family technology firms in emerging markets. </w:t>
      </w:r>
      <w:r w:rsidRPr="00266C78">
        <w:rPr>
          <w:i/>
        </w:rPr>
        <w:t xml:space="preserve">Journal of International Business Studies, </w:t>
      </w:r>
      <w:r w:rsidRPr="00266C78">
        <w:rPr>
          <w:b/>
        </w:rPr>
        <w:t>40</w:t>
      </w:r>
      <w:r w:rsidRPr="00266C78">
        <w:t>, 802-817.</w:t>
      </w:r>
      <w:bookmarkEnd w:id="109"/>
    </w:p>
    <w:p w14:paraId="56FFC8B6" w14:textId="77777777" w:rsidR="00266C78" w:rsidRPr="00266C78" w:rsidRDefault="00266C78" w:rsidP="00266C78">
      <w:pPr>
        <w:pStyle w:val="EndNoteBibliography"/>
        <w:spacing w:after="0"/>
        <w:ind w:left="720" w:hanging="720"/>
      </w:pPr>
      <w:bookmarkStart w:id="110" w:name="_ENREF_76"/>
      <w:r w:rsidRPr="00266C78">
        <w:t xml:space="preserve">Muravyev, A. (2017). Boards of directors in Russian publicly traded companies in 1998–2014: Structure, dynamics and performance effects. </w:t>
      </w:r>
      <w:r w:rsidRPr="00266C78">
        <w:rPr>
          <w:i/>
        </w:rPr>
        <w:t xml:space="preserve">Economic Systems, </w:t>
      </w:r>
      <w:r w:rsidRPr="00266C78">
        <w:rPr>
          <w:b/>
        </w:rPr>
        <w:t>41</w:t>
      </w:r>
      <w:r w:rsidRPr="00266C78">
        <w:t>, 5-25.</w:t>
      </w:r>
      <w:bookmarkEnd w:id="110"/>
    </w:p>
    <w:p w14:paraId="730629B5" w14:textId="77777777" w:rsidR="00266C78" w:rsidRPr="00266C78" w:rsidRDefault="00266C78" w:rsidP="00266C78">
      <w:pPr>
        <w:pStyle w:val="EndNoteBibliography"/>
        <w:spacing w:after="0"/>
        <w:ind w:left="720" w:hanging="720"/>
      </w:pPr>
      <w:bookmarkStart w:id="111" w:name="_ENREF_77"/>
      <w:r w:rsidRPr="00266C78">
        <w:t xml:space="preserve">Muravyev, A., Berezinets, I. &amp; Ilina, Y. (2014). The structure of corporate boards and private benefits of control: evidence from the Russian stock exchange. </w:t>
      </w:r>
      <w:r w:rsidRPr="00266C78">
        <w:rPr>
          <w:i/>
        </w:rPr>
        <w:t xml:space="preserve">International Review of Financial Analysis, </w:t>
      </w:r>
      <w:r w:rsidRPr="00266C78">
        <w:rPr>
          <w:b/>
        </w:rPr>
        <w:t>34</w:t>
      </w:r>
      <w:r w:rsidRPr="00266C78">
        <w:t>, 247-261.</w:t>
      </w:r>
      <w:bookmarkEnd w:id="111"/>
    </w:p>
    <w:p w14:paraId="48B8DB47" w14:textId="77777777" w:rsidR="00266C78" w:rsidRPr="00266C78" w:rsidRDefault="00266C78" w:rsidP="00266C78">
      <w:pPr>
        <w:pStyle w:val="EndNoteBibliography"/>
        <w:spacing w:after="0"/>
        <w:ind w:left="720" w:hanging="720"/>
      </w:pPr>
      <w:bookmarkStart w:id="112" w:name="_ENREF_78"/>
      <w:r w:rsidRPr="00266C78">
        <w:t xml:space="preserve">Musacchio, A., Lazzarini, S. &amp; Aguilera, R. (2015). New Varieties of State Capitalism: Strategic and Governance Implications. </w:t>
      </w:r>
      <w:r w:rsidRPr="00266C78">
        <w:rPr>
          <w:i/>
        </w:rPr>
        <w:t xml:space="preserve">The Academy of Management Perspectives, </w:t>
      </w:r>
      <w:r w:rsidRPr="00266C78">
        <w:rPr>
          <w:b/>
        </w:rPr>
        <w:t>29</w:t>
      </w:r>
      <w:r w:rsidRPr="00266C78">
        <w:t>, 115-131.</w:t>
      </w:r>
      <w:bookmarkEnd w:id="112"/>
    </w:p>
    <w:p w14:paraId="667EBAFD" w14:textId="77777777" w:rsidR="00266C78" w:rsidRPr="00266C78" w:rsidRDefault="00266C78" w:rsidP="00266C78">
      <w:pPr>
        <w:pStyle w:val="EndNoteBibliography"/>
        <w:spacing w:after="0"/>
        <w:ind w:left="720" w:hanging="720"/>
      </w:pPr>
      <w:bookmarkStart w:id="113" w:name="_ENREF_79"/>
      <w:r w:rsidRPr="00266C78">
        <w:t>Nehaytchuk, Y. &amp; Papchenkova, M. (2015, 27 September). Независимые директора попросились в госкомпании (Independent directors want to join state owned companies)</w:t>
      </w:r>
      <w:r w:rsidRPr="00266C78">
        <w:rPr>
          <w:i/>
        </w:rPr>
        <w:t>. Vedomosti</w:t>
      </w:r>
      <w:r w:rsidRPr="00266C78">
        <w:t>.</w:t>
      </w:r>
      <w:bookmarkEnd w:id="113"/>
    </w:p>
    <w:p w14:paraId="09DABC82" w14:textId="77777777" w:rsidR="00266C78" w:rsidRPr="00266C78" w:rsidRDefault="00266C78" w:rsidP="00266C78">
      <w:pPr>
        <w:pStyle w:val="EndNoteBibliography"/>
        <w:spacing w:after="0"/>
        <w:ind w:left="720" w:hanging="720"/>
      </w:pPr>
      <w:bookmarkStart w:id="114" w:name="_ENREF_80"/>
      <w:r w:rsidRPr="00266C78">
        <w:t xml:space="preserve">Nguyen, B. D. &amp; Nielsen, K. M. (2010). The value of independent directors: Evidence from sudden deaths. </w:t>
      </w:r>
      <w:r w:rsidRPr="00266C78">
        <w:rPr>
          <w:i/>
        </w:rPr>
        <w:t xml:space="preserve">Journal of Financial Economics, </w:t>
      </w:r>
      <w:r w:rsidRPr="00266C78">
        <w:rPr>
          <w:b/>
        </w:rPr>
        <w:t>98</w:t>
      </w:r>
      <w:r w:rsidRPr="00266C78">
        <w:t>, 550-567.</w:t>
      </w:r>
      <w:bookmarkEnd w:id="114"/>
    </w:p>
    <w:p w14:paraId="449C6E8A" w14:textId="77777777" w:rsidR="00266C78" w:rsidRPr="00266C78" w:rsidRDefault="00266C78" w:rsidP="00266C78">
      <w:pPr>
        <w:pStyle w:val="EndNoteBibliography"/>
        <w:spacing w:after="0"/>
        <w:ind w:left="720" w:hanging="720"/>
      </w:pPr>
      <w:bookmarkStart w:id="115" w:name="_ENREF_81"/>
      <w:r w:rsidRPr="00266C78">
        <w:t xml:space="preserve">Oehmichen, J., Schrapp, S. &amp; Wolff, M. (2016). Who needs experts most? board industry expertise and strategic change—a contingency perspective. </w:t>
      </w:r>
      <w:r w:rsidRPr="00266C78">
        <w:rPr>
          <w:i/>
        </w:rPr>
        <w:t>Strategic Management Journal</w:t>
      </w:r>
      <w:r w:rsidRPr="00266C78">
        <w:t>.</w:t>
      </w:r>
      <w:bookmarkEnd w:id="115"/>
    </w:p>
    <w:p w14:paraId="5F69C001" w14:textId="77777777" w:rsidR="00266C78" w:rsidRPr="00266C78" w:rsidRDefault="00266C78" w:rsidP="00266C78">
      <w:pPr>
        <w:pStyle w:val="EndNoteBibliography"/>
        <w:spacing w:after="0"/>
        <w:ind w:left="720" w:hanging="720"/>
      </w:pPr>
      <w:bookmarkStart w:id="116" w:name="_ENREF_82"/>
      <w:r w:rsidRPr="00266C78">
        <w:t xml:space="preserve">Oxelheim, L., Gregorič, A., Randøy, T. &amp; Thomsen, S. (2013). On the internationalization of corporate boards: The case of Nordic firms. </w:t>
      </w:r>
      <w:r w:rsidRPr="00266C78">
        <w:rPr>
          <w:i/>
        </w:rPr>
        <w:t xml:space="preserve">Journal of International Business Studies, </w:t>
      </w:r>
      <w:r w:rsidRPr="00266C78">
        <w:rPr>
          <w:b/>
        </w:rPr>
        <w:t>44</w:t>
      </w:r>
      <w:r w:rsidRPr="00266C78">
        <w:t>, 173-194.</w:t>
      </w:r>
      <w:bookmarkEnd w:id="116"/>
    </w:p>
    <w:p w14:paraId="7BABAFDD" w14:textId="77777777" w:rsidR="00266C78" w:rsidRPr="00266C78" w:rsidRDefault="00266C78" w:rsidP="00266C78">
      <w:pPr>
        <w:pStyle w:val="EndNoteBibliography"/>
        <w:spacing w:after="0"/>
        <w:ind w:left="720" w:hanging="720"/>
      </w:pPr>
      <w:bookmarkStart w:id="117" w:name="_ENREF_83"/>
      <w:r w:rsidRPr="00266C78">
        <w:t xml:space="preserve">Pagano, M., Röell, A. A. &amp; Zechner, J. (2002). The geography of equity listing: why do companies list abroad? </w:t>
      </w:r>
      <w:r w:rsidRPr="00266C78">
        <w:rPr>
          <w:i/>
        </w:rPr>
        <w:t xml:space="preserve">The Journal of Finance, </w:t>
      </w:r>
      <w:r w:rsidRPr="00266C78">
        <w:rPr>
          <w:b/>
        </w:rPr>
        <w:t>57</w:t>
      </w:r>
      <w:r w:rsidRPr="00266C78">
        <w:t>, 2651-2694.</w:t>
      </w:r>
      <w:bookmarkEnd w:id="117"/>
    </w:p>
    <w:p w14:paraId="6939D15D" w14:textId="77777777" w:rsidR="00266C78" w:rsidRPr="00266C78" w:rsidRDefault="00266C78" w:rsidP="00266C78">
      <w:pPr>
        <w:pStyle w:val="EndNoteBibliography"/>
        <w:spacing w:after="0"/>
        <w:ind w:left="720" w:hanging="720"/>
      </w:pPr>
      <w:bookmarkStart w:id="118" w:name="_ENREF_84"/>
      <w:r w:rsidRPr="00266C78">
        <w:t xml:space="preserve">Peng, M. W. (2004). Outside directors and firm performance during institutional transitions. </w:t>
      </w:r>
      <w:r w:rsidRPr="00266C78">
        <w:rPr>
          <w:i/>
        </w:rPr>
        <w:t xml:space="preserve">Strategic Management Journal, </w:t>
      </w:r>
      <w:r w:rsidRPr="00266C78">
        <w:rPr>
          <w:b/>
        </w:rPr>
        <w:t>25</w:t>
      </w:r>
      <w:r w:rsidRPr="00266C78">
        <w:t>, 453-471.</w:t>
      </w:r>
      <w:bookmarkEnd w:id="118"/>
    </w:p>
    <w:p w14:paraId="2D7B865D" w14:textId="77777777" w:rsidR="00266C78" w:rsidRPr="00266C78" w:rsidRDefault="00266C78" w:rsidP="00266C78">
      <w:pPr>
        <w:pStyle w:val="EndNoteBibliography"/>
        <w:spacing w:after="0"/>
        <w:ind w:left="720" w:hanging="720"/>
      </w:pPr>
      <w:bookmarkStart w:id="119" w:name="_ENREF_85"/>
      <w:r w:rsidRPr="00266C78">
        <w:t xml:space="preserve">Peng, M. W. &amp; Su, W. (2014). Cross-listing and the scope of the firm. </w:t>
      </w:r>
      <w:r w:rsidRPr="00266C78">
        <w:rPr>
          <w:i/>
        </w:rPr>
        <w:t xml:space="preserve">Journal of World Business, </w:t>
      </w:r>
      <w:r w:rsidRPr="00266C78">
        <w:rPr>
          <w:b/>
        </w:rPr>
        <w:t>49</w:t>
      </w:r>
      <w:r w:rsidRPr="00266C78">
        <w:t>, 42-50.</w:t>
      </w:r>
      <w:bookmarkEnd w:id="119"/>
    </w:p>
    <w:p w14:paraId="127B4A95" w14:textId="77777777" w:rsidR="00266C78" w:rsidRPr="00266C78" w:rsidRDefault="00266C78" w:rsidP="00266C78">
      <w:pPr>
        <w:pStyle w:val="EndNoteBibliography"/>
        <w:spacing w:after="0"/>
        <w:ind w:left="720" w:hanging="720"/>
      </w:pPr>
      <w:bookmarkStart w:id="120" w:name="_ENREF_86"/>
      <w:r w:rsidRPr="00266C78">
        <w:t xml:space="preserve">Pistor, K., Raiser, M. &amp; Gelfer, S. (2000). Law and finance in transition economies. </w:t>
      </w:r>
      <w:r w:rsidRPr="00266C78">
        <w:rPr>
          <w:i/>
        </w:rPr>
        <w:t xml:space="preserve">Economics of Transition, </w:t>
      </w:r>
      <w:r w:rsidRPr="00266C78">
        <w:rPr>
          <w:b/>
        </w:rPr>
        <w:t>8</w:t>
      </w:r>
      <w:r w:rsidRPr="00266C78">
        <w:t>, 325-368.</w:t>
      </w:r>
      <w:bookmarkEnd w:id="120"/>
    </w:p>
    <w:p w14:paraId="67625BF9" w14:textId="77777777" w:rsidR="00266C78" w:rsidRPr="00266C78" w:rsidRDefault="00266C78" w:rsidP="00266C78">
      <w:pPr>
        <w:pStyle w:val="EndNoteBibliography"/>
        <w:spacing w:after="0"/>
        <w:ind w:left="720" w:hanging="720"/>
      </w:pPr>
      <w:bookmarkStart w:id="121" w:name="_ENREF_87"/>
      <w:r w:rsidRPr="00266C78">
        <w:t xml:space="preserve">Pratt, M. G. &amp; Foreman, P. O. (2000). Classifying managerial responses to multiple organizational identities. </w:t>
      </w:r>
      <w:r w:rsidRPr="00266C78">
        <w:rPr>
          <w:i/>
        </w:rPr>
        <w:t xml:space="preserve">Academy of Management Review, </w:t>
      </w:r>
      <w:r w:rsidRPr="00266C78">
        <w:rPr>
          <w:b/>
        </w:rPr>
        <w:t>25</w:t>
      </w:r>
      <w:r w:rsidRPr="00266C78">
        <w:t>, 18-42.</w:t>
      </w:r>
      <w:bookmarkEnd w:id="121"/>
    </w:p>
    <w:p w14:paraId="67F0E0E0" w14:textId="77777777" w:rsidR="00266C78" w:rsidRPr="00266C78" w:rsidRDefault="00266C78" w:rsidP="00266C78">
      <w:pPr>
        <w:pStyle w:val="EndNoteBibliography"/>
        <w:spacing w:after="0"/>
        <w:ind w:left="720" w:hanging="720"/>
      </w:pPr>
      <w:bookmarkStart w:id="122" w:name="_ENREF_88"/>
      <w:r w:rsidRPr="00266C78">
        <w:t xml:space="preserve">Puffer, S. M. &amp; McCarthy, D. J. (2003). The emergence of corporate governance in Russia. </w:t>
      </w:r>
      <w:r w:rsidRPr="00266C78">
        <w:rPr>
          <w:i/>
        </w:rPr>
        <w:t xml:space="preserve">Journal of World Business, </w:t>
      </w:r>
      <w:r w:rsidRPr="00266C78">
        <w:rPr>
          <w:b/>
        </w:rPr>
        <w:t>38</w:t>
      </w:r>
      <w:r w:rsidRPr="00266C78">
        <w:t>, 284-298.</w:t>
      </w:r>
      <w:bookmarkEnd w:id="122"/>
    </w:p>
    <w:p w14:paraId="7202FB40" w14:textId="77777777" w:rsidR="00266C78" w:rsidRPr="00266C78" w:rsidRDefault="00266C78" w:rsidP="00266C78">
      <w:pPr>
        <w:pStyle w:val="EndNoteBibliography"/>
        <w:spacing w:after="0"/>
        <w:ind w:left="720" w:hanging="720"/>
      </w:pPr>
      <w:bookmarkStart w:id="123" w:name="_ENREF_89"/>
      <w:r w:rsidRPr="00266C78">
        <w:t xml:space="preserve">Puffer, S. M. &amp; McCarthy, D. J. (2007). Can Russia's state-managed, network capitalism be competitive?: Institutional pull versus institutional push. </w:t>
      </w:r>
      <w:r w:rsidRPr="00266C78">
        <w:rPr>
          <w:i/>
        </w:rPr>
        <w:t xml:space="preserve">Journal of World Business, </w:t>
      </w:r>
      <w:r w:rsidRPr="00266C78">
        <w:rPr>
          <w:b/>
        </w:rPr>
        <w:t>42</w:t>
      </w:r>
      <w:r w:rsidRPr="00266C78">
        <w:t>, 1-13.</w:t>
      </w:r>
      <w:bookmarkEnd w:id="123"/>
    </w:p>
    <w:p w14:paraId="697D68E5" w14:textId="77777777" w:rsidR="00266C78" w:rsidRPr="00266C78" w:rsidRDefault="00266C78" w:rsidP="00266C78">
      <w:pPr>
        <w:pStyle w:val="EndNoteBibliography"/>
        <w:spacing w:after="0"/>
        <w:ind w:left="720" w:hanging="720"/>
      </w:pPr>
      <w:bookmarkStart w:id="124" w:name="_ENREF_90"/>
      <w:r w:rsidRPr="00266C78">
        <w:t xml:space="preserve">Puffer, S. M. &amp; McCarthy, D. J. (2011). Two decades of Russian business and management research: An institutional theory perspective. </w:t>
      </w:r>
      <w:r w:rsidRPr="00266C78">
        <w:rPr>
          <w:i/>
        </w:rPr>
        <w:t xml:space="preserve">The Academy of Management Perspectives, </w:t>
      </w:r>
      <w:r w:rsidRPr="00266C78">
        <w:rPr>
          <w:b/>
        </w:rPr>
        <w:t>25</w:t>
      </w:r>
      <w:r w:rsidRPr="00266C78">
        <w:t>, 21-36.</w:t>
      </w:r>
      <w:bookmarkEnd w:id="124"/>
    </w:p>
    <w:p w14:paraId="7DA8E1E0" w14:textId="77777777" w:rsidR="00266C78" w:rsidRPr="00266C78" w:rsidRDefault="00266C78" w:rsidP="00266C78">
      <w:pPr>
        <w:pStyle w:val="EndNoteBibliography"/>
        <w:spacing w:after="0"/>
        <w:ind w:left="720" w:hanging="720"/>
      </w:pPr>
      <w:bookmarkStart w:id="125" w:name="_ENREF_91"/>
      <w:r w:rsidRPr="00266C78">
        <w:t xml:space="preserve">PwC. (2013). </w:t>
      </w:r>
      <w:r w:rsidRPr="00266C78">
        <w:rPr>
          <w:i/>
        </w:rPr>
        <w:t>Russian boards: selection, nomination and election</w:t>
      </w:r>
      <w:r w:rsidRPr="00266C78">
        <w:t>. Moscow: PwC.</w:t>
      </w:r>
      <w:bookmarkEnd w:id="125"/>
    </w:p>
    <w:p w14:paraId="53BF08E7" w14:textId="77777777" w:rsidR="00266C78" w:rsidRPr="00266C78" w:rsidRDefault="00266C78" w:rsidP="00266C78">
      <w:pPr>
        <w:pStyle w:val="EndNoteBibliography"/>
        <w:spacing w:after="0"/>
        <w:ind w:left="720" w:hanging="720"/>
      </w:pPr>
      <w:bookmarkStart w:id="126" w:name="_ENREF_92"/>
      <w:r w:rsidRPr="00266C78">
        <w:t xml:space="preserve">Raheja, C. G. (2005). Determinants of board size and composition: A theory of corporate boards. </w:t>
      </w:r>
      <w:r w:rsidRPr="00266C78">
        <w:rPr>
          <w:i/>
        </w:rPr>
        <w:t xml:space="preserve">Journal of Financial and Quantitative Analysis, </w:t>
      </w:r>
      <w:r w:rsidRPr="00266C78">
        <w:rPr>
          <w:b/>
        </w:rPr>
        <w:t>40</w:t>
      </w:r>
      <w:r w:rsidRPr="00266C78">
        <w:t>, 283-306.</w:t>
      </w:r>
      <w:bookmarkEnd w:id="126"/>
    </w:p>
    <w:p w14:paraId="4B028F9C" w14:textId="77777777" w:rsidR="00266C78" w:rsidRPr="00266C78" w:rsidRDefault="00266C78" w:rsidP="00266C78">
      <w:pPr>
        <w:pStyle w:val="EndNoteBibliography"/>
        <w:spacing w:after="0"/>
        <w:ind w:left="720" w:hanging="720"/>
      </w:pPr>
      <w:bookmarkStart w:id="127" w:name="_ENREF_93"/>
      <w:r w:rsidRPr="00266C78">
        <w:t xml:space="preserve">Raibman, N. (2017). Schoeder does not know why he is needed for Rosneft (In Russian).  </w:t>
      </w:r>
      <w:r w:rsidRPr="00266C78">
        <w:rPr>
          <w:i/>
        </w:rPr>
        <w:t>. Vedomosti</w:t>
      </w:r>
      <w:r w:rsidRPr="00266C78">
        <w:t>.</w:t>
      </w:r>
      <w:bookmarkEnd w:id="127"/>
    </w:p>
    <w:p w14:paraId="6C97A73C" w14:textId="77777777" w:rsidR="00266C78" w:rsidRPr="00283928" w:rsidRDefault="00266C78" w:rsidP="00266C78">
      <w:pPr>
        <w:pStyle w:val="EndNoteBibliography"/>
        <w:spacing w:after="0"/>
        <w:ind w:left="720" w:hanging="720"/>
        <w:rPr>
          <w:lang w:val="ru-RU"/>
        </w:rPr>
      </w:pPr>
      <w:bookmarkStart w:id="128" w:name="_ENREF_94"/>
      <w:r w:rsidRPr="00266C78">
        <w:t xml:space="preserve">Reinholt, M., Pedersen, T. &amp; Foss, N. J. (2011). Why a central network position isn't enough: The role of motivation and ability for knowledge sharing in employee networks. </w:t>
      </w:r>
      <w:r w:rsidRPr="00266C78">
        <w:rPr>
          <w:i/>
        </w:rPr>
        <w:t>Academy</w:t>
      </w:r>
      <w:r w:rsidRPr="00283928">
        <w:rPr>
          <w:i/>
          <w:lang w:val="ru-RU"/>
        </w:rPr>
        <w:t xml:space="preserve"> </w:t>
      </w:r>
      <w:r w:rsidRPr="00266C78">
        <w:rPr>
          <w:i/>
        </w:rPr>
        <w:t>of</w:t>
      </w:r>
      <w:r w:rsidRPr="00283928">
        <w:rPr>
          <w:i/>
          <w:lang w:val="ru-RU"/>
        </w:rPr>
        <w:t xml:space="preserve"> </w:t>
      </w:r>
      <w:r w:rsidRPr="00266C78">
        <w:rPr>
          <w:i/>
        </w:rPr>
        <w:t>Management</w:t>
      </w:r>
      <w:r w:rsidRPr="00283928">
        <w:rPr>
          <w:i/>
          <w:lang w:val="ru-RU"/>
        </w:rPr>
        <w:t xml:space="preserve"> </w:t>
      </w:r>
      <w:r w:rsidRPr="00266C78">
        <w:rPr>
          <w:i/>
        </w:rPr>
        <w:t>Journal</w:t>
      </w:r>
      <w:r w:rsidRPr="00283928">
        <w:rPr>
          <w:i/>
          <w:lang w:val="ru-RU"/>
        </w:rPr>
        <w:t xml:space="preserve">, </w:t>
      </w:r>
      <w:r w:rsidRPr="00283928">
        <w:rPr>
          <w:b/>
          <w:lang w:val="ru-RU"/>
        </w:rPr>
        <w:t>54</w:t>
      </w:r>
      <w:r w:rsidRPr="00283928">
        <w:rPr>
          <w:lang w:val="ru-RU"/>
        </w:rPr>
        <w:t>, 1277-1297.</w:t>
      </w:r>
      <w:bookmarkEnd w:id="128"/>
    </w:p>
    <w:p w14:paraId="2CD2D654" w14:textId="77777777" w:rsidR="00266C78" w:rsidRPr="00266C78" w:rsidRDefault="00266C78" w:rsidP="00266C78">
      <w:pPr>
        <w:pStyle w:val="EndNoteBibliography"/>
        <w:spacing w:after="0"/>
        <w:ind w:left="720" w:hanging="720"/>
      </w:pPr>
      <w:bookmarkStart w:id="129" w:name="_ENREF_95"/>
      <w:r w:rsidRPr="00266C78">
        <w:t>RID</w:t>
      </w:r>
      <w:r w:rsidRPr="00283928">
        <w:rPr>
          <w:lang w:val="ru-RU"/>
        </w:rPr>
        <w:t xml:space="preserve">. (2014). </w:t>
      </w:r>
      <w:r w:rsidRPr="00283928">
        <w:rPr>
          <w:i/>
          <w:lang w:val="ru-RU"/>
        </w:rPr>
        <w:t xml:space="preserve">Исследование практики корпоративного управления в госкомпаниях: сравнительный анализ по итогам 2008 – 2013 гг. </w:t>
      </w:r>
      <w:r w:rsidRPr="00266C78">
        <w:rPr>
          <w:i/>
        </w:rPr>
        <w:t xml:space="preserve">(Corporate governance practices in </w:t>
      </w:r>
      <w:r w:rsidRPr="00266C78">
        <w:rPr>
          <w:i/>
        </w:rPr>
        <w:lastRenderedPageBreak/>
        <w:t>state-owned companies: A comparative analysis during the 2008-2013 period)</w:t>
      </w:r>
      <w:r w:rsidRPr="00266C78">
        <w:t>. Moscow: Russian Institute of Directors.</w:t>
      </w:r>
      <w:bookmarkEnd w:id="129"/>
    </w:p>
    <w:p w14:paraId="212DFE87" w14:textId="77777777" w:rsidR="00266C78" w:rsidRPr="00266C78" w:rsidRDefault="00266C78" w:rsidP="00266C78">
      <w:pPr>
        <w:pStyle w:val="EndNoteBibliography"/>
        <w:spacing w:after="0"/>
        <w:ind w:left="720" w:hanging="720"/>
      </w:pPr>
      <w:bookmarkStart w:id="130" w:name="_ENREF_96"/>
      <w:r w:rsidRPr="00266C78">
        <w:t xml:space="preserve">RID. (2015). </w:t>
      </w:r>
      <w:r w:rsidRPr="00266C78">
        <w:rPr>
          <w:i/>
        </w:rPr>
        <w:t>Исследование практики корпоративного управления в Pоссии: Cравнительный анализ по итогам 2004 – 2014 гг (In Russian)</w:t>
      </w:r>
      <w:r w:rsidRPr="00266C78">
        <w:t>: Russian Institute of Directors.</w:t>
      </w:r>
      <w:bookmarkEnd w:id="130"/>
    </w:p>
    <w:p w14:paraId="33FB176E" w14:textId="77777777" w:rsidR="00266C78" w:rsidRPr="00266C78" w:rsidRDefault="00266C78" w:rsidP="00266C78">
      <w:pPr>
        <w:pStyle w:val="EndNoteBibliography"/>
        <w:spacing w:after="0"/>
        <w:ind w:left="720" w:hanging="720"/>
      </w:pPr>
      <w:bookmarkStart w:id="131" w:name="_ENREF_97"/>
      <w:r w:rsidRPr="00266C78">
        <w:t xml:space="preserve">Roberts, G. H. (2004). Convergent capitalisms? The internationalisation of financial markets and the 2002 Russian corporate governance code. </w:t>
      </w:r>
      <w:r w:rsidRPr="00266C78">
        <w:rPr>
          <w:i/>
        </w:rPr>
        <w:t xml:space="preserve">Europe-Asia Studies, </w:t>
      </w:r>
      <w:r w:rsidRPr="00266C78">
        <w:rPr>
          <w:b/>
        </w:rPr>
        <w:t>56</w:t>
      </w:r>
      <w:r w:rsidRPr="00266C78">
        <w:t>, 1235-1248.</w:t>
      </w:r>
      <w:bookmarkEnd w:id="131"/>
    </w:p>
    <w:p w14:paraId="2513825E" w14:textId="77777777" w:rsidR="00266C78" w:rsidRPr="00266C78" w:rsidRDefault="00266C78" w:rsidP="00266C78">
      <w:pPr>
        <w:pStyle w:val="EndNoteBibliography"/>
        <w:spacing w:after="0"/>
        <w:ind w:left="720" w:hanging="720"/>
      </w:pPr>
      <w:bookmarkStart w:id="132" w:name="_ENREF_98"/>
      <w:r w:rsidRPr="00266C78">
        <w:t xml:space="preserve">Roberts, J., McNulty, T. &amp; Stiles, P. (2005). Beyond agency conceptions of the work of the non‐executive director: Creating accountability in the boardroom. </w:t>
      </w:r>
      <w:r w:rsidRPr="00266C78">
        <w:rPr>
          <w:i/>
        </w:rPr>
        <w:t xml:space="preserve">British Journal of Management, </w:t>
      </w:r>
      <w:r w:rsidRPr="00266C78">
        <w:rPr>
          <w:b/>
        </w:rPr>
        <w:t>16</w:t>
      </w:r>
      <w:r w:rsidRPr="00266C78">
        <w:t>.</w:t>
      </w:r>
      <w:bookmarkEnd w:id="132"/>
    </w:p>
    <w:p w14:paraId="01DF7D62" w14:textId="77777777" w:rsidR="00266C78" w:rsidRPr="00266C78" w:rsidRDefault="00266C78" w:rsidP="00266C78">
      <w:pPr>
        <w:pStyle w:val="EndNoteBibliography"/>
        <w:spacing w:after="0"/>
        <w:ind w:left="720" w:hanging="720"/>
      </w:pPr>
      <w:bookmarkStart w:id="133" w:name="_ENREF_99"/>
      <w:r w:rsidRPr="00266C78">
        <w:t xml:space="preserve">Sanders, W. G. &amp; Carpenter, M. A. (1998). Internationalization and firm governance: The roles of CEO compensation, top team composition, and board structure. </w:t>
      </w:r>
      <w:r w:rsidRPr="00266C78">
        <w:rPr>
          <w:i/>
        </w:rPr>
        <w:t xml:space="preserve">Academy of Management Journal, </w:t>
      </w:r>
      <w:r w:rsidRPr="00266C78">
        <w:rPr>
          <w:b/>
        </w:rPr>
        <w:t>41</w:t>
      </w:r>
      <w:r w:rsidRPr="00266C78">
        <w:t>, 158-178.</w:t>
      </w:r>
      <w:bookmarkEnd w:id="133"/>
    </w:p>
    <w:p w14:paraId="292BAF4F" w14:textId="77777777" w:rsidR="00266C78" w:rsidRPr="00266C78" w:rsidRDefault="00266C78" w:rsidP="00266C78">
      <w:pPr>
        <w:pStyle w:val="EndNoteBibliography"/>
        <w:spacing w:after="0"/>
        <w:ind w:left="720" w:hanging="720"/>
      </w:pPr>
      <w:bookmarkStart w:id="134" w:name="_ENREF_100"/>
      <w:r w:rsidRPr="00266C78">
        <w:t xml:space="preserve">Sarens, G. &amp; Merendino, A. (2016). </w:t>
      </w:r>
      <w:r w:rsidRPr="00266C78">
        <w:rPr>
          <w:i/>
        </w:rPr>
        <w:t>" Multiple Agency Theory in Corporat Governance: an Alternative Lens to Study Independent Directors</w:t>
      </w:r>
      <w:r w:rsidRPr="00266C78">
        <w:t>.</w:t>
      </w:r>
      <w:bookmarkEnd w:id="134"/>
    </w:p>
    <w:p w14:paraId="417C7985" w14:textId="77777777" w:rsidR="00266C78" w:rsidRPr="00266C78" w:rsidRDefault="00266C78" w:rsidP="00266C78">
      <w:pPr>
        <w:pStyle w:val="EndNoteBibliography"/>
        <w:spacing w:after="0"/>
        <w:ind w:left="720" w:hanging="720"/>
      </w:pPr>
      <w:bookmarkStart w:id="135" w:name="_ENREF_101"/>
      <w:r w:rsidRPr="00266C78">
        <w:t xml:space="preserve">Sojli, E. &amp; Tham, W. W. (2017). Foreign political connections. </w:t>
      </w:r>
      <w:r w:rsidRPr="00266C78">
        <w:rPr>
          <w:i/>
        </w:rPr>
        <w:t xml:space="preserve">Journal of International Business Studies, </w:t>
      </w:r>
      <w:r w:rsidRPr="00266C78">
        <w:rPr>
          <w:b/>
        </w:rPr>
        <w:t>48</w:t>
      </w:r>
      <w:r w:rsidRPr="00266C78">
        <w:t>, 244-266.</w:t>
      </w:r>
      <w:bookmarkEnd w:id="135"/>
    </w:p>
    <w:p w14:paraId="0D874D9E" w14:textId="77777777" w:rsidR="00266C78" w:rsidRPr="00266C78" w:rsidRDefault="00266C78" w:rsidP="00266C78">
      <w:pPr>
        <w:pStyle w:val="EndNoteBibliography"/>
        <w:spacing w:after="0"/>
        <w:ind w:left="720" w:hanging="720"/>
      </w:pPr>
      <w:bookmarkStart w:id="136" w:name="_ENREF_102"/>
      <w:r w:rsidRPr="00266C78">
        <w:t xml:space="preserve">Sun, P., Hu, H. W. &amp; Hillman, A. (2015). The dark side of board political capital: Enabling blockholder rent appropriation. </w:t>
      </w:r>
      <w:r w:rsidRPr="00266C78">
        <w:rPr>
          <w:i/>
        </w:rPr>
        <w:t>Academy of Management Journal</w:t>
      </w:r>
      <w:r w:rsidRPr="00266C78">
        <w:t>, amj. 2014.0425.</w:t>
      </w:r>
      <w:bookmarkEnd w:id="136"/>
    </w:p>
    <w:p w14:paraId="5BD5F21F" w14:textId="77777777" w:rsidR="00266C78" w:rsidRPr="00266C78" w:rsidRDefault="00266C78" w:rsidP="00266C78">
      <w:pPr>
        <w:pStyle w:val="EndNoteBibliography"/>
        <w:spacing w:after="0"/>
        <w:ind w:left="720" w:hanging="720"/>
      </w:pPr>
      <w:bookmarkStart w:id="137" w:name="_ENREF_103"/>
      <w:r w:rsidRPr="00266C78">
        <w:t xml:space="preserve">Temouri, Y., Driffield, N. &amp; Bhaumik, S. K. (2016). A strategic perspective of cross-listing by emerging market firms: Evidence from Indonesia, Mexico, Poland and South Africa. </w:t>
      </w:r>
      <w:r w:rsidRPr="00266C78">
        <w:rPr>
          <w:i/>
        </w:rPr>
        <w:t xml:space="preserve">Journal of International Management, </w:t>
      </w:r>
      <w:r w:rsidRPr="00266C78">
        <w:rPr>
          <w:b/>
        </w:rPr>
        <w:t>22</w:t>
      </w:r>
      <w:r w:rsidRPr="00266C78">
        <w:t>, 265-279.</w:t>
      </w:r>
      <w:bookmarkEnd w:id="137"/>
    </w:p>
    <w:p w14:paraId="27AE27D1" w14:textId="77777777" w:rsidR="00266C78" w:rsidRPr="00266C78" w:rsidRDefault="00266C78" w:rsidP="00266C78">
      <w:pPr>
        <w:pStyle w:val="EndNoteBibliography"/>
        <w:spacing w:after="0"/>
        <w:ind w:left="720" w:hanging="720"/>
      </w:pPr>
      <w:bookmarkStart w:id="138" w:name="_ENREF_104"/>
      <w:r w:rsidRPr="00266C78">
        <w:t xml:space="preserve">Wintoki, M. B., Linck, J. S. &amp; Netter, J. M. (2012). Endogeneity and the dynamics of internal corporate governance. </w:t>
      </w:r>
      <w:r w:rsidRPr="00266C78">
        <w:rPr>
          <w:i/>
        </w:rPr>
        <w:t xml:space="preserve">Journal of Financial Economics, </w:t>
      </w:r>
      <w:r w:rsidRPr="00266C78">
        <w:rPr>
          <w:b/>
        </w:rPr>
        <w:t>105</w:t>
      </w:r>
      <w:r w:rsidRPr="00266C78">
        <w:t>, 581-606.</w:t>
      </w:r>
      <w:bookmarkEnd w:id="138"/>
    </w:p>
    <w:p w14:paraId="536DA7DB" w14:textId="77777777" w:rsidR="00266C78" w:rsidRPr="00266C78" w:rsidRDefault="00266C78" w:rsidP="00266C78">
      <w:pPr>
        <w:pStyle w:val="EndNoteBibliography"/>
        <w:spacing w:after="0"/>
        <w:ind w:left="720" w:hanging="720"/>
      </w:pPr>
      <w:bookmarkStart w:id="139" w:name="_ENREF_105"/>
      <w:r w:rsidRPr="00266C78">
        <w:t xml:space="preserve">Wood, G. &amp; Wright, M. (2015). Corporations and new statism: Trends and research priorities. </w:t>
      </w:r>
      <w:r w:rsidRPr="00266C78">
        <w:rPr>
          <w:i/>
        </w:rPr>
        <w:t xml:space="preserve">The Academy of Management Perspectives, </w:t>
      </w:r>
      <w:r w:rsidRPr="00266C78">
        <w:rPr>
          <w:b/>
        </w:rPr>
        <w:t>29</w:t>
      </w:r>
      <w:r w:rsidRPr="00266C78">
        <w:t>, 271-286.</w:t>
      </w:r>
      <w:bookmarkEnd w:id="139"/>
    </w:p>
    <w:p w14:paraId="1FF2DF78" w14:textId="77777777" w:rsidR="00266C78" w:rsidRPr="00266C78" w:rsidRDefault="00266C78" w:rsidP="00266C78">
      <w:pPr>
        <w:pStyle w:val="EndNoteBibliography"/>
        <w:spacing w:after="0"/>
        <w:ind w:left="720" w:hanging="720"/>
      </w:pPr>
      <w:bookmarkStart w:id="140" w:name="_ENREF_106"/>
      <w:r w:rsidRPr="00266C78">
        <w:t xml:space="preserve">Yoshikawa, T. &amp; Rasheed, A. A. (2009). Convergence of corporate governance: Critical review and future directions. </w:t>
      </w:r>
      <w:r w:rsidRPr="00266C78">
        <w:rPr>
          <w:i/>
        </w:rPr>
        <w:t xml:space="preserve">Corporate Governance: An International Review, </w:t>
      </w:r>
      <w:r w:rsidRPr="00266C78">
        <w:rPr>
          <w:b/>
        </w:rPr>
        <w:t>17</w:t>
      </w:r>
      <w:r w:rsidRPr="00266C78">
        <w:t>, 388-404.</w:t>
      </w:r>
      <w:bookmarkEnd w:id="140"/>
    </w:p>
    <w:p w14:paraId="4A017D03" w14:textId="77777777" w:rsidR="00266C78" w:rsidRPr="00266C78" w:rsidRDefault="00266C78" w:rsidP="00266C78">
      <w:pPr>
        <w:pStyle w:val="EndNoteBibliography"/>
        <w:spacing w:after="0"/>
        <w:ind w:left="720" w:hanging="720"/>
      </w:pPr>
      <w:bookmarkStart w:id="141" w:name="_ENREF_107"/>
      <w:r w:rsidRPr="00266C78">
        <w:t xml:space="preserve">Yoshikawa, T. &amp; Rasheed, A. A. (2010). Family Control and Ownership Monitoring in Family‐Controlled Firms in Japan. </w:t>
      </w:r>
      <w:r w:rsidRPr="00266C78">
        <w:rPr>
          <w:i/>
        </w:rPr>
        <w:t xml:space="preserve">Journal of Management Studies, </w:t>
      </w:r>
      <w:r w:rsidRPr="00266C78">
        <w:rPr>
          <w:b/>
        </w:rPr>
        <w:t>47</w:t>
      </w:r>
      <w:r w:rsidRPr="00266C78">
        <w:t>, 274-295.</w:t>
      </w:r>
      <w:bookmarkEnd w:id="141"/>
    </w:p>
    <w:p w14:paraId="2B3DD179" w14:textId="77777777" w:rsidR="00266C78" w:rsidRPr="00266C78" w:rsidRDefault="00266C78" w:rsidP="00266C78">
      <w:pPr>
        <w:pStyle w:val="EndNoteBibliography"/>
        <w:spacing w:after="0"/>
        <w:ind w:left="720" w:hanging="720"/>
      </w:pPr>
      <w:bookmarkStart w:id="142" w:name="_ENREF_108"/>
      <w:r w:rsidRPr="00266C78">
        <w:t xml:space="preserve">Young, M. N., Peng, M. W., Ahlstrom, D., Bruton, G. D. &amp; Jiang, Y. (2008). Corporate governance in emerging economies: A review of the principal–principal perspective. </w:t>
      </w:r>
      <w:r w:rsidRPr="00266C78">
        <w:rPr>
          <w:i/>
        </w:rPr>
        <w:t xml:space="preserve">Journal of Management Studies, </w:t>
      </w:r>
      <w:r w:rsidRPr="00266C78">
        <w:rPr>
          <w:b/>
        </w:rPr>
        <w:t>45</w:t>
      </w:r>
      <w:r w:rsidRPr="00266C78">
        <w:t>, 196-220.</w:t>
      </w:r>
      <w:bookmarkEnd w:id="142"/>
    </w:p>
    <w:p w14:paraId="00862DCF" w14:textId="77777777" w:rsidR="00266C78" w:rsidRPr="00266C78" w:rsidRDefault="00266C78" w:rsidP="00266C78">
      <w:pPr>
        <w:pStyle w:val="EndNoteBibliography"/>
        <w:spacing w:after="0"/>
        <w:ind w:left="720" w:hanging="720"/>
      </w:pPr>
      <w:bookmarkStart w:id="143" w:name="_ENREF_109"/>
      <w:r w:rsidRPr="00266C78">
        <w:t xml:space="preserve">Zattoni, A. &amp; Cuomo, F. (2008). Why adopt codes of good governance? A comparison of institutional and efficiency perspectives. </w:t>
      </w:r>
      <w:r w:rsidRPr="00266C78">
        <w:rPr>
          <w:i/>
        </w:rPr>
        <w:t xml:space="preserve">Corporate Governance: An International Review, </w:t>
      </w:r>
      <w:r w:rsidRPr="00266C78">
        <w:rPr>
          <w:b/>
        </w:rPr>
        <w:t>16</w:t>
      </w:r>
      <w:r w:rsidRPr="00266C78">
        <w:t>, 1-15.</w:t>
      </w:r>
      <w:bookmarkEnd w:id="143"/>
    </w:p>
    <w:p w14:paraId="561453E8" w14:textId="77777777" w:rsidR="00266C78" w:rsidRPr="00266C78" w:rsidRDefault="00266C78" w:rsidP="00266C78">
      <w:pPr>
        <w:pStyle w:val="EndNoteBibliography"/>
        <w:ind w:left="720" w:hanging="720"/>
      </w:pPr>
      <w:bookmarkStart w:id="144" w:name="_ENREF_110"/>
      <w:r w:rsidRPr="00266C78">
        <w:t xml:space="preserve">Zattoni, A. &amp; Cuomo, F. (2010). How Independent, Competent and Incentivized Should Non‐executive Directors Be? An Empirical Investigation of Good Governance Codes. </w:t>
      </w:r>
      <w:r w:rsidRPr="00266C78">
        <w:rPr>
          <w:i/>
        </w:rPr>
        <w:t xml:space="preserve">British Journal of Management, </w:t>
      </w:r>
      <w:r w:rsidRPr="00266C78">
        <w:rPr>
          <w:b/>
        </w:rPr>
        <w:t>21</w:t>
      </w:r>
      <w:r w:rsidRPr="00266C78">
        <w:t>, 63-79.</w:t>
      </w:r>
      <w:bookmarkEnd w:id="144"/>
    </w:p>
    <w:p w14:paraId="6ECB8D5F" w14:textId="035B067B" w:rsidR="002F196F" w:rsidRPr="00F24865" w:rsidRDefault="002F196F" w:rsidP="001B715C">
      <w:pPr>
        <w:spacing w:line="240" w:lineRule="auto"/>
        <w:rPr>
          <w:rFonts w:ascii="Times New Roman" w:hAnsi="Times New Roman" w:cs="Times New Roman"/>
          <w:b/>
          <w:sz w:val="24"/>
          <w:szCs w:val="24"/>
          <w:lang w:val="en-US"/>
        </w:rPr>
      </w:pPr>
      <w:r w:rsidRPr="00F24865">
        <w:rPr>
          <w:lang w:val="en-US"/>
        </w:rPr>
        <w:fldChar w:fldCharType="end"/>
      </w:r>
    </w:p>
    <w:p w14:paraId="11FB76B1" w14:textId="77777777" w:rsidR="00D92541" w:rsidRPr="00F24865" w:rsidRDefault="002779B3" w:rsidP="00A43D04">
      <w:pPr>
        <w:autoSpaceDE w:val="0"/>
        <w:autoSpaceDN w:val="0"/>
        <w:adjustRightInd w:val="0"/>
        <w:spacing w:afterLines="20" w:after="48" w:line="240" w:lineRule="auto"/>
        <w:ind w:left="426" w:hanging="386"/>
        <w:rPr>
          <w:rFonts w:ascii="Times New Roman" w:hAnsi="Times New Roman" w:cs="Times New Roman"/>
          <w:lang w:val="en-US"/>
        </w:rPr>
      </w:pPr>
      <w:r w:rsidRPr="00F24865">
        <w:rPr>
          <w:rFonts w:ascii="Times New Roman" w:hAnsi="Times New Roman" w:cs="Times New Roman"/>
          <w:lang w:val="en-US"/>
        </w:rPr>
        <w:br w:type="page"/>
      </w:r>
    </w:p>
    <w:p w14:paraId="77051D78" w14:textId="77777777" w:rsidR="00596122" w:rsidRDefault="00596122" w:rsidP="00A43D04">
      <w:pPr>
        <w:autoSpaceDE w:val="0"/>
        <w:autoSpaceDN w:val="0"/>
        <w:adjustRightInd w:val="0"/>
        <w:spacing w:afterLines="20" w:after="48" w:line="240" w:lineRule="auto"/>
        <w:ind w:left="426" w:hanging="386"/>
        <w:jc w:val="center"/>
        <w:rPr>
          <w:rFonts w:ascii="Times New Roman" w:hAnsi="Times New Roman" w:cs="Times New Roman"/>
          <w:b/>
          <w:sz w:val="24"/>
          <w:szCs w:val="24"/>
          <w:lang w:val="en-US"/>
        </w:rPr>
      </w:pPr>
      <w:bookmarkStart w:id="145" w:name="_Ref355722668"/>
      <w:bookmarkStart w:id="146" w:name="_Ref355722660"/>
      <w:bookmarkStart w:id="147" w:name="_Toc367315271"/>
      <w:r w:rsidRPr="00F24865">
        <w:rPr>
          <w:rFonts w:ascii="Times New Roman" w:hAnsi="Times New Roman" w:cs="Times New Roman"/>
          <w:b/>
          <w:sz w:val="24"/>
          <w:szCs w:val="24"/>
          <w:lang w:val="en-US"/>
        </w:rPr>
        <w:lastRenderedPageBreak/>
        <w:t xml:space="preserve">FIGURE </w:t>
      </w:r>
      <w:bookmarkEnd w:id="145"/>
      <w:r w:rsidRPr="00F24865">
        <w:rPr>
          <w:rFonts w:ascii="Times New Roman" w:hAnsi="Times New Roman" w:cs="Times New Roman"/>
          <w:b/>
          <w:sz w:val="24"/>
          <w:szCs w:val="24"/>
          <w:lang w:val="en-US"/>
        </w:rPr>
        <w:t xml:space="preserve">1 </w:t>
      </w:r>
      <w:r w:rsidRPr="00F24865">
        <w:rPr>
          <w:rFonts w:ascii="Times New Roman" w:hAnsi="Times New Roman" w:cs="Times New Roman"/>
          <w:b/>
          <w:sz w:val="24"/>
          <w:szCs w:val="24"/>
          <w:lang w:val="en-US"/>
        </w:rPr>
        <w:br/>
        <w:t>Organizing Framework</w:t>
      </w:r>
      <w:bookmarkEnd w:id="146"/>
      <w:bookmarkEnd w:id="147"/>
      <w:r w:rsidRPr="00F24865">
        <w:rPr>
          <w:rFonts w:ascii="Times New Roman" w:hAnsi="Times New Roman" w:cs="Times New Roman"/>
          <w:b/>
          <w:sz w:val="24"/>
          <w:szCs w:val="24"/>
          <w:lang w:val="en-US"/>
        </w:rPr>
        <w:t xml:space="preserve"> </w:t>
      </w:r>
    </w:p>
    <w:p w14:paraId="1A487524" w14:textId="77777777" w:rsidR="001B715C" w:rsidRDefault="001B715C" w:rsidP="00A43D04">
      <w:pPr>
        <w:autoSpaceDE w:val="0"/>
        <w:autoSpaceDN w:val="0"/>
        <w:adjustRightInd w:val="0"/>
        <w:spacing w:afterLines="20" w:after="48" w:line="240" w:lineRule="auto"/>
        <w:ind w:left="426" w:hanging="386"/>
        <w:jc w:val="center"/>
        <w:rPr>
          <w:rFonts w:ascii="Times New Roman" w:hAnsi="Times New Roman" w:cs="Times New Roman"/>
          <w:b/>
          <w:sz w:val="24"/>
          <w:szCs w:val="24"/>
          <w:lang w:val="en-US"/>
        </w:rPr>
      </w:pPr>
    </w:p>
    <w:p w14:paraId="68C292F5" w14:textId="77777777" w:rsidR="001B715C" w:rsidRPr="00F24865" w:rsidRDefault="001B715C" w:rsidP="00A43D04">
      <w:pPr>
        <w:autoSpaceDE w:val="0"/>
        <w:autoSpaceDN w:val="0"/>
        <w:adjustRightInd w:val="0"/>
        <w:spacing w:afterLines="20" w:after="48" w:line="240" w:lineRule="auto"/>
        <w:ind w:left="426" w:hanging="386"/>
        <w:jc w:val="center"/>
        <w:rPr>
          <w:rFonts w:ascii="Times New Roman" w:hAnsi="Times New Roman" w:cs="Times New Roman"/>
          <w:b/>
          <w:sz w:val="24"/>
          <w:szCs w:val="24"/>
          <w:lang w:val="en-US"/>
        </w:rPr>
      </w:pPr>
    </w:p>
    <w:p w14:paraId="0B8CB9A4" w14:textId="77777777" w:rsidR="00596122" w:rsidRPr="00F24865" w:rsidRDefault="00596122" w:rsidP="00A43D04">
      <w:pPr>
        <w:autoSpaceDE w:val="0"/>
        <w:autoSpaceDN w:val="0"/>
        <w:adjustRightInd w:val="0"/>
        <w:spacing w:afterLines="20" w:after="48" w:line="240" w:lineRule="auto"/>
        <w:ind w:left="426" w:hanging="386"/>
        <w:jc w:val="center"/>
        <w:rPr>
          <w:lang w:val="en-US"/>
        </w:rPr>
      </w:pPr>
    </w:p>
    <w:p w14:paraId="30BA8CFD" w14:textId="77777777" w:rsidR="00596122" w:rsidRPr="00F24865" w:rsidRDefault="009724A3" w:rsidP="009724A3">
      <w:pPr>
        <w:spacing w:line="240" w:lineRule="auto"/>
        <w:jc w:val="both"/>
        <w:rPr>
          <w:rFonts w:ascii="Times New Roman" w:hAnsi="Times New Roman" w:cs="Times New Roman"/>
          <w:b/>
          <w:sz w:val="24"/>
          <w:szCs w:val="24"/>
          <w:lang w:val="en-US"/>
        </w:rPr>
      </w:pPr>
      <w:r w:rsidRPr="00F24865">
        <w:rPr>
          <w:rFonts w:ascii="Times New Roman" w:hAnsi="Times New Roman" w:cs="Times New Roman"/>
          <w:noProof/>
          <w:lang w:eastAsia="en-GB"/>
        </w:rPr>
        <w:drawing>
          <wp:inline distT="0" distB="0" distL="0" distR="0" wp14:anchorId="5832B264" wp14:editId="2BF29AD8">
            <wp:extent cx="5774065" cy="209447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76588" cy="2095385"/>
                    </a:xfrm>
                    <a:prstGeom prst="rect">
                      <a:avLst/>
                    </a:prstGeom>
                    <a:noFill/>
                  </pic:spPr>
                </pic:pic>
              </a:graphicData>
            </a:graphic>
          </wp:inline>
        </w:drawing>
      </w:r>
    </w:p>
    <w:p w14:paraId="7FBF9987" w14:textId="77777777" w:rsidR="009E5422" w:rsidRDefault="00004D6D" w:rsidP="009E5422">
      <w:pPr>
        <w:jc w:val="center"/>
        <w:rPr>
          <w:rFonts w:ascii="Times New Roman" w:hAnsi="Times New Roman" w:cs="Times New Roman"/>
          <w:lang w:val="en-US"/>
        </w:rPr>
      </w:pPr>
      <w:r>
        <w:rPr>
          <w:rFonts w:ascii="Times New Roman" w:hAnsi="Times New Roman" w:cs="Times New Roman"/>
          <w:sz w:val="24"/>
          <w:szCs w:val="24"/>
          <w:lang w:val="en-US"/>
        </w:rPr>
        <w:br w:type="page"/>
      </w:r>
      <w:r w:rsidR="00003C4A">
        <w:rPr>
          <w:rFonts w:ascii="Times New Roman" w:hAnsi="Times New Roman" w:cs="Times New Roman"/>
          <w:b/>
          <w:lang w:val="en-US"/>
        </w:rPr>
        <w:lastRenderedPageBreak/>
        <w:t>FIGURE 2</w:t>
      </w:r>
      <w:r w:rsidR="009E5422">
        <w:rPr>
          <w:rFonts w:ascii="Times New Roman" w:hAnsi="Times New Roman" w:cs="Times New Roman"/>
          <w:lang w:val="en-US"/>
        </w:rPr>
        <w:t xml:space="preserve"> </w:t>
      </w:r>
      <w:r w:rsidR="009E5422">
        <w:rPr>
          <w:rFonts w:ascii="Times New Roman" w:hAnsi="Times New Roman" w:cs="Times New Roman"/>
          <w:lang w:val="en-US"/>
        </w:rPr>
        <w:br/>
        <w:t>The figure plots the interactive effect of the proportion of independent directors on the relationship between investment and gross-cash flow (GCF) based on the estimated effects reported in the results Table III, models (1)-(2).</w:t>
      </w:r>
    </w:p>
    <w:p w14:paraId="7471C527" w14:textId="77777777" w:rsidR="009E5422" w:rsidRDefault="009E5422" w:rsidP="009E5422">
      <w:pPr>
        <w:rPr>
          <w:rFonts w:ascii="Times New Roman" w:hAnsi="Times New Roman" w:cs="Times New Roman"/>
          <w:lang w:val="en-US"/>
        </w:rPr>
      </w:pPr>
    </w:p>
    <w:p w14:paraId="4BA565C6" w14:textId="77777777" w:rsidR="009E5422" w:rsidRDefault="009E5422" w:rsidP="009E5422">
      <w:pPr>
        <w:rPr>
          <w:rFonts w:ascii="Times New Roman" w:hAnsi="Times New Roman" w:cs="Times New Roman"/>
          <w:lang w:val="en-US"/>
        </w:rPr>
      </w:pPr>
      <w:r>
        <w:rPr>
          <w:rFonts w:ascii="Times New Roman" w:hAnsi="Times New Roman" w:cs="Times New Roman"/>
          <w:lang w:val="en-US"/>
        </w:rPr>
        <w:t>(a) Fixed Effects</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(b) GMM</w:t>
      </w:r>
    </w:p>
    <w:p w14:paraId="233E3978" w14:textId="77777777" w:rsidR="009E5422" w:rsidRDefault="009E5422" w:rsidP="009E5422">
      <w:pPr>
        <w:rPr>
          <w:rFonts w:ascii="Times New Roman" w:hAnsi="Times New Roman" w:cs="Times New Roman"/>
          <w:lang w:val="en-US"/>
        </w:rPr>
      </w:pPr>
      <w:r>
        <w:rPr>
          <w:rFonts w:ascii="Times New Roman" w:hAnsi="Times New Roman" w:cs="Times New Roman"/>
          <w:lang w:val="en-US"/>
        </w:rPr>
        <w:t xml:space="preserve">  </w:t>
      </w:r>
      <w:r>
        <w:rPr>
          <w:rFonts w:ascii="Times New Roman" w:hAnsi="Times New Roman" w:cs="Times New Roman"/>
          <w:noProof/>
          <w:lang w:eastAsia="en-GB"/>
        </w:rPr>
        <w:drawing>
          <wp:inline distT="0" distB="0" distL="0" distR="0" wp14:anchorId="152B1542" wp14:editId="30DB2EB6">
            <wp:extent cx="2779395" cy="1708785"/>
            <wp:effectExtent l="0" t="0" r="190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9395" cy="1708785"/>
                    </a:xfrm>
                    <a:prstGeom prst="rect">
                      <a:avLst/>
                    </a:prstGeom>
                    <a:noFill/>
                    <a:ln>
                      <a:noFill/>
                    </a:ln>
                  </pic:spPr>
                </pic:pic>
              </a:graphicData>
            </a:graphic>
          </wp:inline>
        </w:drawing>
      </w:r>
      <w:r>
        <w:rPr>
          <w:rFonts w:ascii="Times New Roman" w:hAnsi="Times New Roman" w:cs="Times New Roman"/>
          <w:noProof/>
          <w:lang w:eastAsia="en-GB"/>
        </w:rPr>
        <w:drawing>
          <wp:inline distT="0" distB="0" distL="0" distR="0" wp14:anchorId="639BDC9F" wp14:editId="6D6BBE2A">
            <wp:extent cx="2779395" cy="172021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79395" cy="1720215"/>
                    </a:xfrm>
                    <a:prstGeom prst="rect">
                      <a:avLst/>
                    </a:prstGeom>
                    <a:noFill/>
                    <a:ln>
                      <a:noFill/>
                    </a:ln>
                  </pic:spPr>
                </pic:pic>
              </a:graphicData>
            </a:graphic>
          </wp:inline>
        </w:drawing>
      </w:r>
    </w:p>
    <w:p w14:paraId="252F7096" w14:textId="77777777" w:rsidR="009E5422" w:rsidRDefault="009E5422" w:rsidP="009E5422">
      <w:pPr>
        <w:rPr>
          <w:rFonts w:ascii="Times New Roman" w:hAnsi="Times New Roman" w:cs="Times New Roman"/>
          <w:lang w:val="en-US"/>
        </w:rPr>
      </w:pPr>
    </w:p>
    <w:p w14:paraId="27FEE29E" w14:textId="77777777" w:rsidR="009E5422" w:rsidRDefault="00003C4A" w:rsidP="009E5422">
      <w:pPr>
        <w:jc w:val="center"/>
        <w:rPr>
          <w:rFonts w:ascii="Times New Roman" w:hAnsi="Times New Roman" w:cs="Times New Roman"/>
          <w:lang w:val="en-US"/>
        </w:rPr>
      </w:pPr>
      <w:r>
        <w:rPr>
          <w:rFonts w:ascii="Times New Roman" w:hAnsi="Times New Roman" w:cs="Times New Roman"/>
          <w:b/>
          <w:lang w:val="en-US"/>
        </w:rPr>
        <w:t>FIGURE 3</w:t>
      </w:r>
      <w:r w:rsidR="009E5422">
        <w:rPr>
          <w:rFonts w:ascii="Times New Roman" w:hAnsi="Times New Roman" w:cs="Times New Roman"/>
          <w:b/>
          <w:lang w:val="en-US"/>
        </w:rPr>
        <w:br/>
      </w:r>
      <w:r w:rsidR="009E5422">
        <w:rPr>
          <w:rFonts w:ascii="Times New Roman" w:hAnsi="Times New Roman" w:cs="Times New Roman"/>
          <w:lang w:val="en-US"/>
        </w:rPr>
        <w:t>The figure plots the interactive effect of the proportion of independent directors on the relationship between investment and gross-cash flow (GCF) for the sub-sample of privately owned firms based on the estimated effects reported in the results table IV, models (1) and (3).</w:t>
      </w:r>
    </w:p>
    <w:p w14:paraId="78487CBF" w14:textId="77777777" w:rsidR="009E5422" w:rsidRDefault="009E5422" w:rsidP="009E5422">
      <w:pPr>
        <w:rPr>
          <w:rFonts w:ascii="Times New Roman" w:hAnsi="Times New Roman" w:cs="Times New Roman"/>
          <w:lang w:val="en-US"/>
        </w:rPr>
      </w:pPr>
      <w:r>
        <w:rPr>
          <w:rFonts w:ascii="Times New Roman" w:hAnsi="Times New Roman" w:cs="Times New Roman"/>
          <w:lang w:val="en-US"/>
        </w:rPr>
        <w:t>a) Fixed Effects</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(b) GMM</w:t>
      </w:r>
    </w:p>
    <w:p w14:paraId="0FE691D1" w14:textId="77777777" w:rsidR="009E5422" w:rsidRDefault="009E5422" w:rsidP="009E5422">
      <w:pPr>
        <w:rPr>
          <w:rFonts w:ascii="Times New Roman" w:hAnsi="Times New Roman" w:cs="Times New Roman"/>
          <w:lang w:val="en-US"/>
        </w:rPr>
      </w:pPr>
      <w:r>
        <w:rPr>
          <w:rFonts w:ascii="Times New Roman" w:hAnsi="Times New Roman" w:cs="Times New Roman"/>
          <w:noProof/>
          <w:lang w:eastAsia="en-GB"/>
        </w:rPr>
        <w:drawing>
          <wp:inline distT="0" distB="0" distL="0" distR="0" wp14:anchorId="596B3B81" wp14:editId="01D6B396">
            <wp:extent cx="2743200" cy="16846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0" cy="1684655"/>
                    </a:xfrm>
                    <a:prstGeom prst="rect">
                      <a:avLst/>
                    </a:prstGeom>
                    <a:noFill/>
                    <a:ln>
                      <a:noFill/>
                    </a:ln>
                  </pic:spPr>
                </pic:pic>
              </a:graphicData>
            </a:graphic>
          </wp:inline>
        </w:drawing>
      </w:r>
      <w:r>
        <w:rPr>
          <w:rFonts w:ascii="Times New Roman" w:hAnsi="Times New Roman" w:cs="Times New Roman"/>
          <w:noProof/>
          <w:lang w:eastAsia="en-GB"/>
        </w:rPr>
        <w:drawing>
          <wp:inline distT="0" distB="0" distL="0" distR="0" wp14:anchorId="24B42E4D" wp14:editId="2F610B47">
            <wp:extent cx="2707005" cy="16725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07005" cy="1672590"/>
                    </a:xfrm>
                    <a:prstGeom prst="rect">
                      <a:avLst/>
                    </a:prstGeom>
                    <a:noFill/>
                    <a:ln>
                      <a:noFill/>
                    </a:ln>
                  </pic:spPr>
                </pic:pic>
              </a:graphicData>
            </a:graphic>
          </wp:inline>
        </w:drawing>
      </w:r>
    </w:p>
    <w:p w14:paraId="1B74BE18" w14:textId="77777777" w:rsidR="009E5422" w:rsidRDefault="009E5422" w:rsidP="009E5422">
      <w:pPr>
        <w:rPr>
          <w:rFonts w:ascii="Times New Roman" w:hAnsi="Times New Roman" w:cs="Times New Roman"/>
          <w:lang w:val="en-US"/>
        </w:rPr>
      </w:pPr>
    </w:p>
    <w:p w14:paraId="68AD56EA" w14:textId="77777777" w:rsidR="009E5422" w:rsidRDefault="009E5422" w:rsidP="009E5422">
      <w:pPr>
        <w:rPr>
          <w:rFonts w:ascii="Times New Roman" w:hAnsi="Times New Roman" w:cs="Times New Roman"/>
          <w:lang w:val="en-US"/>
        </w:rPr>
      </w:pPr>
    </w:p>
    <w:p w14:paraId="5CEC31B0" w14:textId="77777777" w:rsidR="009E5422" w:rsidRDefault="009E5422" w:rsidP="009E5422">
      <w:pPr>
        <w:rPr>
          <w:rFonts w:ascii="Times New Roman" w:hAnsi="Times New Roman" w:cs="Times New Roman"/>
          <w:lang w:val="en-US"/>
        </w:rPr>
      </w:pPr>
    </w:p>
    <w:p w14:paraId="6C3B0F3E" w14:textId="77777777" w:rsidR="009E5422" w:rsidRDefault="009E5422" w:rsidP="009E5422">
      <w:pPr>
        <w:rPr>
          <w:rFonts w:ascii="Times New Roman" w:hAnsi="Times New Roman" w:cs="Times New Roman"/>
          <w:lang w:val="en-US"/>
        </w:rPr>
      </w:pPr>
    </w:p>
    <w:p w14:paraId="30C4A35A" w14:textId="77777777" w:rsidR="009E5422" w:rsidRDefault="009E5422" w:rsidP="009E5422">
      <w:pPr>
        <w:spacing w:line="240" w:lineRule="auto"/>
        <w:rPr>
          <w:rFonts w:ascii="Times New Roman" w:hAnsi="Times New Roman" w:cs="Times New Roman"/>
          <w:b/>
          <w:bCs/>
          <w:sz w:val="24"/>
          <w:szCs w:val="24"/>
          <w:lang w:val="en-US"/>
        </w:rPr>
      </w:pPr>
    </w:p>
    <w:p w14:paraId="02BB87D8" w14:textId="77777777" w:rsidR="009E5422" w:rsidRDefault="009E5422" w:rsidP="009E5422">
      <w:pPr>
        <w:spacing w:line="240" w:lineRule="auto"/>
        <w:rPr>
          <w:rFonts w:ascii="Times New Roman" w:hAnsi="Times New Roman" w:cs="Times New Roman"/>
          <w:b/>
          <w:bCs/>
          <w:sz w:val="24"/>
          <w:szCs w:val="24"/>
          <w:lang w:val="en-US"/>
        </w:rPr>
      </w:pPr>
    </w:p>
    <w:p w14:paraId="6F571C44" w14:textId="77777777" w:rsidR="005C69DC" w:rsidRDefault="005C69DC" w:rsidP="009E5422">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7BE462C0" w14:textId="77777777" w:rsidR="005C69DC" w:rsidRDefault="005C69DC">
      <w:pPr>
        <w:rPr>
          <w:rFonts w:ascii="Times New Roman" w:hAnsi="Times New Roman" w:cs="Times New Roman"/>
          <w:sz w:val="24"/>
          <w:szCs w:val="24"/>
          <w:lang w:val="en-US"/>
        </w:rPr>
      </w:pPr>
    </w:p>
    <w:p w14:paraId="03AD4EDF" w14:textId="77777777" w:rsidR="00004D6D" w:rsidRPr="00F24865" w:rsidRDefault="00004D6D" w:rsidP="00004D6D">
      <w:pPr>
        <w:pStyle w:val="Caption"/>
        <w:jc w:val="center"/>
        <w:rPr>
          <w:rFonts w:ascii="Times New Roman" w:hAnsi="Times New Roman" w:cs="Times New Roman"/>
          <w:color w:val="auto"/>
          <w:sz w:val="24"/>
          <w:szCs w:val="24"/>
          <w:lang w:val="en-US"/>
        </w:rPr>
      </w:pPr>
      <w:r w:rsidRPr="00F24865">
        <w:rPr>
          <w:rFonts w:ascii="Times New Roman" w:hAnsi="Times New Roman" w:cs="Times New Roman"/>
          <w:color w:val="auto"/>
          <w:sz w:val="24"/>
          <w:szCs w:val="24"/>
          <w:lang w:val="en-US"/>
        </w:rPr>
        <w:t>T</w:t>
      </w:r>
      <w:r>
        <w:rPr>
          <w:rFonts w:ascii="Times New Roman" w:hAnsi="Times New Roman" w:cs="Times New Roman"/>
          <w:color w:val="auto"/>
          <w:sz w:val="24"/>
          <w:szCs w:val="24"/>
          <w:lang w:val="en-US"/>
        </w:rPr>
        <w:t>ABLE 1</w:t>
      </w:r>
      <w:r w:rsidRPr="00F24865">
        <w:rPr>
          <w:rFonts w:ascii="Times New Roman" w:hAnsi="Times New Roman" w:cs="Times New Roman"/>
          <w:color w:val="auto"/>
          <w:sz w:val="24"/>
          <w:szCs w:val="24"/>
          <w:lang w:val="en-US"/>
        </w:rPr>
        <w:t xml:space="preserve"> </w:t>
      </w:r>
      <w:r w:rsidRPr="00F24865">
        <w:rPr>
          <w:rFonts w:ascii="Times New Roman" w:hAnsi="Times New Roman" w:cs="Times New Roman"/>
          <w:color w:val="auto"/>
          <w:sz w:val="24"/>
          <w:szCs w:val="24"/>
          <w:lang w:val="en-US"/>
        </w:rPr>
        <w:br/>
        <w:t xml:space="preserve">Descriptive Statistics, EUR million </w:t>
      </w:r>
    </w:p>
    <w:p w14:paraId="2AB782E0" w14:textId="77777777" w:rsidR="00004D6D" w:rsidRDefault="00004D6D" w:rsidP="00004D6D">
      <w:pPr>
        <w:rPr>
          <w:rFonts w:ascii="Times New Roman" w:hAnsi="Times New Roman" w:cs="Times New Roman"/>
          <w:b/>
          <w:bCs/>
          <w:sz w:val="24"/>
          <w:szCs w:val="24"/>
          <w:lang w:val="en-US"/>
        </w:rPr>
      </w:pPr>
    </w:p>
    <w:tbl>
      <w:tblPr>
        <w:tblW w:w="8140" w:type="dxa"/>
        <w:jc w:val="center"/>
        <w:tblLook w:val="04A0" w:firstRow="1" w:lastRow="0" w:firstColumn="1" w:lastColumn="0" w:noHBand="0" w:noVBand="1"/>
      </w:tblPr>
      <w:tblGrid>
        <w:gridCol w:w="2880"/>
        <w:gridCol w:w="620"/>
        <w:gridCol w:w="960"/>
        <w:gridCol w:w="872"/>
        <w:gridCol w:w="960"/>
        <w:gridCol w:w="960"/>
        <w:gridCol w:w="960"/>
      </w:tblGrid>
      <w:tr w:rsidR="00004D6D" w:rsidRPr="00770CA2" w14:paraId="7DD5D838" w14:textId="77777777" w:rsidTr="00004D6D">
        <w:trPr>
          <w:trHeight w:val="264"/>
          <w:jc w:val="center"/>
        </w:trPr>
        <w:tc>
          <w:tcPr>
            <w:tcW w:w="2880" w:type="dxa"/>
            <w:tcBorders>
              <w:top w:val="single" w:sz="4" w:space="0" w:color="auto"/>
              <w:left w:val="nil"/>
              <w:bottom w:val="single" w:sz="4" w:space="0" w:color="auto"/>
              <w:right w:val="single" w:sz="4" w:space="0" w:color="auto"/>
            </w:tcBorders>
            <w:shd w:val="clear" w:color="auto" w:fill="auto"/>
            <w:noWrap/>
            <w:vAlign w:val="bottom"/>
            <w:hideMark/>
          </w:tcPr>
          <w:p w14:paraId="5D249840" w14:textId="77777777" w:rsidR="00004D6D" w:rsidRPr="00770CA2" w:rsidRDefault="00004D6D" w:rsidP="00004D6D">
            <w:pPr>
              <w:spacing w:after="0" w:line="240" w:lineRule="auto"/>
              <w:rPr>
                <w:rFonts w:ascii="Times New Roman" w:eastAsia="Times New Roman" w:hAnsi="Times New Roman" w:cs="Times New Roman"/>
                <w:b/>
                <w:bCs/>
                <w:color w:val="000000"/>
                <w:sz w:val="20"/>
                <w:szCs w:val="20"/>
                <w:lang w:eastAsia="en-GB"/>
              </w:rPr>
            </w:pPr>
            <w:r w:rsidRPr="00770CA2">
              <w:rPr>
                <w:rFonts w:ascii="Times New Roman" w:eastAsia="Times New Roman" w:hAnsi="Times New Roman" w:cs="Times New Roman"/>
                <w:b/>
                <w:bCs/>
                <w:color w:val="000000"/>
                <w:sz w:val="20"/>
                <w:szCs w:val="20"/>
                <w:lang w:eastAsia="en-GB"/>
              </w:rPr>
              <w:t>Variable</w:t>
            </w:r>
          </w:p>
        </w:tc>
        <w:tc>
          <w:tcPr>
            <w:tcW w:w="620" w:type="dxa"/>
            <w:tcBorders>
              <w:top w:val="single" w:sz="4" w:space="0" w:color="auto"/>
              <w:left w:val="nil"/>
              <w:bottom w:val="single" w:sz="4" w:space="0" w:color="auto"/>
              <w:right w:val="nil"/>
            </w:tcBorders>
            <w:shd w:val="clear" w:color="auto" w:fill="auto"/>
            <w:noWrap/>
            <w:vAlign w:val="bottom"/>
            <w:hideMark/>
          </w:tcPr>
          <w:p w14:paraId="5FF1B706" w14:textId="77777777" w:rsidR="00004D6D" w:rsidRPr="00770CA2" w:rsidRDefault="00004D6D" w:rsidP="00004D6D">
            <w:pPr>
              <w:spacing w:after="0" w:line="240" w:lineRule="auto"/>
              <w:jc w:val="center"/>
              <w:rPr>
                <w:rFonts w:ascii="Times New Roman" w:eastAsia="Times New Roman" w:hAnsi="Times New Roman" w:cs="Times New Roman"/>
                <w:b/>
                <w:bCs/>
                <w:color w:val="000000"/>
                <w:sz w:val="20"/>
                <w:szCs w:val="20"/>
                <w:lang w:eastAsia="en-GB"/>
              </w:rPr>
            </w:pPr>
            <w:r w:rsidRPr="00770CA2">
              <w:rPr>
                <w:rFonts w:ascii="Times New Roman" w:eastAsia="Times New Roman" w:hAnsi="Times New Roman" w:cs="Times New Roman"/>
                <w:b/>
                <w:bCs/>
                <w:color w:val="000000"/>
                <w:sz w:val="20"/>
                <w:szCs w:val="20"/>
                <w:lang w:eastAsia="en-GB"/>
              </w:rPr>
              <w:t>Obs</w:t>
            </w:r>
            <w:r w:rsidR="007046EF">
              <w:rPr>
                <w:rFonts w:ascii="Times New Roman" w:eastAsia="Times New Roman" w:hAnsi="Times New Roman" w:cs="Times New Roman"/>
                <w:b/>
                <w:bCs/>
                <w:color w:val="000000"/>
                <w:sz w:val="20"/>
                <w:szCs w:val="20"/>
                <w:lang w:eastAsia="en-GB"/>
              </w:rPr>
              <w:t>.</w:t>
            </w:r>
          </w:p>
        </w:tc>
        <w:tc>
          <w:tcPr>
            <w:tcW w:w="960" w:type="dxa"/>
            <w:tcBorders>
              <w:top w:val="single" w:sz="4" w:space="0" w:color="auto"/>
              <w:left w:val="nil"/>
              <w:bottom w:val="single" w:sz="4" w:space="0" w:color="auto"/>
              <w:right w:val="nil"/>
            </w:tcBorders>
            <w:shd w:val="clear" w:color="auto" w:fill="auto"/>
            <w:noWrap/>
            <w:vAlign w:val="bottom"/>
            <w:hideMark/>
          </w:tcPr>
          <w:p w14:paraId="570750F9" w14:textId="77777777" w:rsidR="00004D6D" w:rsidRPr="00770CA2" w:rsidRDefault="00004D6D" w:rsidP="00004D6D">
            <w:pPr>
              <w:spacing w:after="0" w:line="240" w:lineRule="auto"/>
              <w:jc w:val="center"/>
              <w:rPr>
                <w:rFonts w:ascii="Times New Roman" w:eastAsia="Times New Roman" w:hAnsi="Times New Roman" w:cs="Times New Roman"/>
                <w:b/>
                <w:bCs/>
                <w:color w:val="000000"/>
                <w:sz w:val="20"/>
                <w:szCs w:val="20"/>
                <w:lang w:eastAsia="en-GB"/>
              </w:rPr>
            </w:pPr>
            <w:r w:rsidRPr="00770CA2">
              <w:rPr>
                <w:rFonts w:ascii="Times New Roman" w:eastAsia="Times New Roman" w:hAnsi="Times New Roman" w:cs="Times New Roman"/>
                <w:b/>
                <w:bCs/>
                <w:color w:val="000000"/>
                <w:sz w:val="20"/>
                <w:szCs w:val="20"/>
                <w:lang w:eastAsia="en-GB"/>
              </w:rPr>
              <w:t>Mean</w:t>
            </w:r>
          </w:p>
        </w:tc>
        <w:tc>
          <w:tcPr>
            <w:tcW w:w="800" w:type="dxa"/>
            <w:tcBorders>
              <w:top w:val="single" w:sz="4" w:space="0" w:color="auto"/>
              <w:left w:val="nil"/>
              <w:bottom w:val="single" w:sz="4" w:space="0" w:color="auto"/>
              <w:right w:val="nil"/>
            </w:tcBorders>
            <w:shd w:val="clear" w:color="auto" w:fill="auto"/>
            <w:noWrap/>
            <w:vAlign w:val="bottom"/>
            <w:hideMark/>
          </w:tcPr>
          <w:p w14:paraId="4EBA3A98" w14:textId="77777777" w:rsidR="00004D6D" w:rsidRPr="00770CA2" w:rsidRDefault="00004D6D" w:rsidP="00004D6D">
            <w:pPr>
              <w:spacing w:after="0" w:line="240" w:lineRule="auto"/>
              <w:jc w:val="center"/>
              <w:rPr>
                <w:rFonts w:ascii="Times New Roman" w:eastAsia="Times New Roman" w:hAnsi="Times New Roman" w:cs="Times New Roman"/>
                <w:b/>
                <w:bCs/>
                <w:color w:val="000000"/>
                <w:sz w:val="20"/>
                <w:szCs w:val="20"/>
                <w:lang w:eastAsia="en-GB"/>
              </w:rPr>
            </w:pPr>
            <w:r w:rsidRPr="00770CA2">
              <w:rPr>
                <w:rFonts w:ascii="Times New Roman" w:eastAsia="Times New Roman" w:hAnsi="Times New Roman" w:cs="Times New Roman"/>
                <w:b/>
                <w:bCs/>
                <w:color w:val="000000"/>
                <w:sz w:val="20"/>
                <w:szCs w:val="20"/>
                <w:lang w:eastAsia="en-GB"/>
              </w:rPr>
              <w:t>Median</w:t>
            </w:r>
          </w:p>
        </w:tc>
        <w:tc>
          <w:tcPr>
            <w:tcW w:w="960" w:type="dxa"/>
            <w:tcBorders>
              <w:top w:val="single" w:sz="4" w:space="0" w:color="auto"/>
              <w:left w:val="nil"/>
              <w:bottom w:val="single" w:sz="4" w:space="0" w:color="auto"/>
              <w:right w:val="nil"/>
            </w:tcBorders>
            <w:shd w:val="clear" w:color="auto" w:fill="auto"/>
            <w:noWrap/>
            <w:vAlign w:val="bottom"/>
            <w:hideMark/>
          </w:tcPr>
          <w:p w14:paraId="5966C6C3" w14:textId="77777777" w:rsidR="00004D6D" w:rsidRPr="00770CA2" w:rsidRDefault="00004D6D" w:rsidP="00004D6D">
            <w:pPr>
              <w:spacing w:after="0" w:line="240" w:lineRule="auto"/>
              <w:jc w:val="center"/>
              <w:rPr>
                <w:rFonts w:ascii="Times New Roman" w:eastAsia="Times New Roman" w:hAnsi="Times New Roman" w:cs="Times New Roman"/>
                <w:b/>
                <w:bCs/>
                <w:color w:val="000000"/>
                <w:sz w:val="20"/>
                <w:szCs w:val="20"/>
                <w:lang w:eastAsia="en-GB"/>
              </w:rPr>
            </w:pPr>
            <w:r w:rsidRPr="00770CA2">
              <w:rPr>
                <w:rFonts w:ascii="Times New Roman" w:eastAsia="Times New Roman" w:hAnsi="Times New Roman" w:cs="Times New Roman"/>
                <w:b/>
                <w:bCs/>
                <w:color w:val="000000"/>
                <w:sz w:val="20"/>
                <w:szCs w:val="20"/>
                <w:lang w:eastAsia="en-GB"/>
              </w:rPr>
              <w:t>Std. Dev.</w:t>
            </w:r>
          </w:p>
        </w:tc>
        <w:tc>
          <w:tcPr>
            <w:tcW w:w="960" w:type="dxa"/>
            <w:tcBorders>
              <w:top w:val="single" w:sz="4" w:space="0" w:color="auto"/>
              <w:left w:val="nil"/>
              <w:bottom w:val="single" w:sz="4" w:space="0" w:color="auto"/>
              <w:right w:val="nil"/>
            </w:tcBorders>
            <w:shd w:val="clear" w:color="auto" w:fill="auto"/>
            <w:noWrap/>
            <w:vAlign w:val="bottom"/>
            <w:hideMark/>
          </w:tcPr>
          <w:p w14:paraId="56E4161B" w14:textId="77777777" w:rsidR="00004D6D" w:rsidRPr="00770CA2" w:rsidRDefault="00004D6D" w:rsidP="00004D6D">
            <w:pPr>
              <w:spacing w:after="0" w:line="240" w:lineRule="auto"/>
              <w:jc w:val="center"/>
              <w:rPr>
                <w:rFonts w:ascii="Times New Roman" w:eastAsia="Times New Roman" w:hAnsi="Times New Roman" w:cs="Times New Roman"/>
                <w:b/>
                <w:bCs/>
                <w:color w:val="000000"/>
                <w:sz w:val="20"/>
                <w:szCs w:val="20"/>
                <w:lang w:eastAsia="en-GB"/>
              </w:rPr>
            </w:pPr>
            <w:r w:rsidRPr="00770CA2">
              <w:rPr>
                <w:rFonts w:ascii="Times New Roman" w:eastAsia="Times New Roman" w:hAnsi="Times New Roman" w:cs="Times New Roman"/>
                <w:b/>
                <w:bCs/>
                <w:color w:val="000000"/>
                <w:sz w:val="20"/>
                <w:szCs w:val="20"/>
                <w:lang w:eastAsia="en-GB"/>
              </w:rPr>
              <w:t>Min</w:t>
            </w:r>
          </w:p>
        </w:tc>
        <w:tc>
          <w:tcPr>
            <w:tcW w:w="960" w:type="dxa"/>
            <w:tcBorders>
              <w:top w:val="single" w:sz="4" w:space="0" w:color="auto"/>
              <w:left w:val="nil"/>
              <w:bottom w:val="single" w:sz="4" w:space="0" w:color="auto"/>
              <w:right w:val="nil"/>
            </w:tcBorders>
            <w:shd w:val="clear" w:color="auto" w:fill="auto"/>
            <w:noWrap/>
            <w:vAlign w:val="bottom"/>
            <w:hideMark/>
          </w:tcPr>
          <w:p w14:paraId="0730FFE6" w14:textId="77777777" w:rsidR="00004D6D" w:rsidRPr="00770CA2" w:rsidRDefault="00004D6D" w:rsidP="00004D6D">
            <w:pPr>
              <w:spacing w:after="0" w:line="240" w:lineRule="auto"/>
              <w:jc w:val="center"/>
              <w:rPr>
                <w:rFonts w:ascii="Times New Roman" w:eastAsia="Times New Roman" w:hAnsi="Times New Roman" w:cs="Times New Roman"/>
                <w:b/>
                <w:bCs/>
                <w:color w:val="000000"/>
                <w:sz w:val="20"/>
                <w:szCs w:val="20"/>
                <w:lang w:eastAsia="en-GB"/>
              </w:rPr>
            </w:pPr>
            <w:r w:rsidRPr="00770CA2">
              <w:rPr>
                <w:rFonts w:ascii="Times New Roman" w:eastAsia="Times New Roman" w:hAnsi="Times New Roman" w:cs="Times New Roman"/>
                <w:b/>
                <w:bCs/>
                <w:color w:val="000000"/>
                <w:sz w:val="20"/>
                <w:szCs w:val="20"/>
                <w:lang w:eastAsia="en-GB"/>
              </w:rPr>
              <w:t>Max</w:t>
            </w:r>
          </w:p>
        </w:tc>
      </w:tr>
      <w:tr w:rsidR="00004D6D" w:rsidRPr="00770CA2" w14:paraId="04E83AE2" w14:textId="77777777" w:rsidTr="00004D6D">
        <w:trPr>
          <w:trHeight w:val="264"/>
          <w:jc w:val="center"/>
        </w:trPr>
        <w:tc>
          <w:tcPr>
            <w:tcW w:w="2880" w:type="dxa"/>
            <w:tcBorders>
              <w:top w:val="nil"/>
              <w:left w:val="nil"/>
              <w:bottom w:val="nil"/>
              <w:right w:val="single" w:sz="4" w:space="0" w:color="auto"/>
            </w:tcBorders>
            <w:shd w:val="clear" w:color="auto" w:fill="auto"/>
            <w:noWrap/>
            <w:vAlign w:val="bottom"/>
            <w:hideMark/>
          </w:tcPr>
          <w:p w14:paraId="0FD4C8FE"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 </w:t>
            </w:r>
          </w:p>
        </w:tc>
        <w:tc>
          <w:tcPr>
            <w:tcW w:w="620" w:type="dxa"/>
            <w:tcBorders>
              <w:top w:val="nil"/>
              <w:left w:val="nil"/>
              <w:bottom w:val="nil"/>
              <w:right w:val="nil"/>
            </w:tcBorders>
            <w:shd w:val="clear" w:color="auto" w:fill="auto"/>
            <w:noWrap/>
            <w:vAlign w:val="bottom"/>
            <w:hideMark/>
          </w:tcPr>
          <w:p w14:paraId="712F7A6F"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578DD13"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p>
        </w:tc>
        <w:tc>
          <w:tcPr>
            <w:tcW w:w="800" w:type="dxa"/>
            <w:tcBorders>
              <w:top w:val="nil"/>
              <w:left w:val="nil"/>
              <w:bottom w:val="nil"/>
              <w:right w:val="nil"/>
            </w:tcBorders>
            <w:shd w:val="clear" w:color="auto" w:fill="auto"/>
            <w:noWrap/>
            <w:vAlign w:val="bottom"/>
            <w:hideMark/>
          </w:tcPr>
          <w:p w14:paraId="48C5F958"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6DFB7DD5"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64173E8D"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6AC78FE5"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p>
        </w:tc>
      </w:tr>
      <w:tr w:rsidR="00004D6D" w:rsidRPr="00770CA2" w14:paraId="73ED4F48" w14:textId="77777777" w:rsidTr="00004D6D">
        <w:trPr>
          <w:trHeight w:val="264"/>
          <w:jc w:val="center"/>
        </w:trPr>
        <w:tc>
          <w:tcPr>
            <w:tcW w:w="2880" w:type="dxa"/>
            <w:tcBorders>
              <w:top w:val="nil"/>
              <w:left w:val="nil"/>
              <w:bottom w:val="nil"/>
              <w:right w:val="single" w:sz="4" w:space="0" w:color="auto"/>
            </w:tcBorders>
            <w:shd w:val="clear" w:color="auto" w:fill="auto"/>
            <w:noWrap/>
            <w:vAlign w:val="bottom"/>
            <w:hideMark/>
          </w:tcPr>
          <w:p w14:paraId="5C2798C9"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Investment (</w:t>
            </w:r>
            <w:r w:rsidRPr="00770CA2">
              <w:rPr>
                <w:rFonts w:ascii="Wingdings 3" w:eastAsia="Times New Roman" w:hAnsi="Wingdings 3" w:cs="Times New Roman"/>
                <w:color w:val="000000"/>
                <w:sz w:val="20"/>
                <w:szCs w:val="20"/>
                <w:lang w:eastAsia="en-GB"/>
              </w:rPr>
              <w:t></w:t>
            </w:r>
            <w:r w:rsidRPr="00770CA2">
              <w:rPr>
                <w:rFonts w:ascii="Times New Roman" w:eastAsia="Times New Roman" w:hAnsi="Times New Roman" w:cs="Times New Roman"/>
                <w:color w:val="000000"/>
                <w:sz w:val="20"/>
                <w:szCs w:val="20"/>
                <w:lang w:eastAsia="en-GB"/>
              </w:rPr>
              <w:t>ln)</w:t>
            </w:r>
          </w:p>
        </w:tc>
        <w:tc>
          <w:tcPr>
            <w:tcW w:w="620" w:type="dxa"/>
            <w:tcBorders>
              <w:top w:val="nil"/>
              <w:left w:val="nil"/>
              <w:bottom w:val="nil"/>
              <w:right w:val="nil"/>
            </w:tcBorders>
            <w:shd w:val="clear" w:color="auto" w:fill="auto"/>
            <w:noWrap/>
            <w:vAlign w:val="bottom"/>
            <w:hideMark/>
          </w:tcPr>
          <w:p w14:paraId="761D490F"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218</w:t>
            </w:r>
          </w:p>
        </w:tc>
        <w:tc>
          <w:tcPr>
            <w:tcW w:w="960" w:type="dxa"/>
            <w:tcBorders>
              <w:top w:val="nil"/>
              <w:left w:val="nil"/>
              <w:bottom w:val="nil"/>
              <w:right w:val="nil"/>
            </w:tcBorders>
            <w:shd w:val="clear" w:color="auto" w:fill="auto"/>
            <w:noWrap/>
            <w:vAlign w:val="bottom"/>
            <w:hideMark/>
          </w:tcPr>
          <w:p w14:paraId="5C88AFD2"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0.2917</w:t>
            </w:r>
          </w:p>
        </w:tc>
        <w:tc>
          <w:tcPr>
            <w:tcW w:w="800" w:type="dxa"/>
            <w:tcBorders>
              <w:top w:val="nil"/>
              <w:left w:val="nil"/>
              <w:bottom w:val="nil"/>
              <w:right w:val="nil"/>
            </w:tcBorders>
            <w:shd w:val="clear" w:color="auto" w:fill="auto"/>
            <w:noWrap/>
            <w:vAlign w:val="bottom"/>
            <w:hideMark/>
          </w:tcPr>
          <w:p w14:paraId="02CDF05F"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0.2678</w:t>
            </w:r>
          </w:p>
        </w:tc>
        <w:tc>
          <w:tcPr>
            <w:tcW w:w="960" w:type="dxa"/>
            <w:tcBorders>
              <w:top w:val="nil"/>
              <w:left w:val="nil"/>
              <w:bottom w:val="nil"/>
              <w:right w:val="nil"/>
            </w:tcBorders>
            <w:shd w:val="clear" w:color="auto" w:fill="auto"/>
            <w:noWrap/>
            <w:vAlign w:val="bottom"/>
            <w:hideMark/>
          </w:tcPr>
          <w:p w14:paraId="318B2143"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0.6632</w:t>
            </w:r>
          </w:p>
        </w:tc>
        <w:tc>
          <w:tcPr>
            <w:tcW w:w="960" w:type="dxa"/>
            <w:tcBorders>
              <w:top w:val="nil"/>
              <w:left w:val="nil"/>
              <w:bottom w:val="nil"/>
              <w:right w:val="nil"/>
            </w:tcBorders>
            <w:shd w:val="clear" w:color="auto" w:fill="auto"/>
            <w:noWrap/>
            <w:vAlign w:val="bottom"/>
            <w:hideMark/>
          </w:tcPr>
          <w:p w14:paraId="4187DC63"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-1.9947</w:t>
            </w:r>
          </w:p>
        </w:tc>
        <w:tc>
          <w:tcPr>
            <w:tcW w:w="960" w:type="dxa"/>
            <w:tcBorders>
              <w:top w:val="nil"/>
              <w:left w:val="nil"/>
              <w:bottom w:val="nil"/>
              <w:right w:val="nil"/>
            </w:tcBorders>
            <w:shd w:val="clear" w:color="auto" w:fill="auto"/>
            <w:noWrap/>
            <w:vAlign w:val="bottom"/>
            <w:hideMark/>
          </w:tcPr>
          <w:p w14:paraId="141E92AA"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3.6051</w:t>
            </w:r>
          </w:p>
        </w:tc>
      </w:tr>
      <w:tr w:rsidR="00004D6D" w:rsidRPr="00770CA2" w14:paraId="44A84953" w14:textId="77777777" w:rsidTr="00004D6D">
        <w:trPr>
          <w:trHeight w:val="264"/>
          <w:jc w:val="center"/>
        </w:trPr>
        <w:tc>
          <w:tcPr>
            <w:tcW w:w="2880" w:type="dxa"/>
            <w:tcBorders>
              <w:top w:val="nil"/>
              <w:left w:val="nil"/>
              <w:bottom w:val="nil"/>
              <w:right w:val="single" w:sz="4" w:space="0" w:color="auto"/>
            </w:tcBorders>
            <w:shd w:val="clear" w:color="auto" w:fill="auto"/>
            <w:noWrap/>
            <w:vAlign w:val="bottom"/>
            <w:hideMark/>
          </w:tcPr>
          <w:p w14:paraId="720780F4"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GCF (</w:t>
            </w:r>
            <w:r w:rsidRPr="00770CA2">
              <w:rPr>
                <w:rFonts w:ascii="Wingdings 3" w:eastAsia="Times New Roman" w:hAnsi="Wingdings 3" w:cs="Times New Roman"/>
                <w:color w:val="000000"/>
                <w:sz w:val="20"/>
                <w:szCs w:val="20"/>
                <w:lang w:eastAsia="en-GB"/>
              </w:rPr>
              <w:t></w:t>
            </w:r>
            <w:r w:rsidRPr="00770CA2">
              <w:rPr>
                <w:rFonts w:ascii="Times New Roman" w:eastAsia="Times New Roman" w:hAnsi="Times New Roman" w:cs="Times New Roman"/>
                <w:color w:val="000000"/>
                <w:sz w:val="20"/>
                <w:szCs w:val="20"/>
                <w:lang w:eastAsia="en-GB"/>
              </w:rPr>
              <w:t>ln)</w:t>
            </w:r>
          </w:p>
        </w:tc>
        <w:tc>
          <w:tcPr>
            <w:tcW w:w="620" w:type="dxa"/>
            <w:tcBorders>
              <w:top w:val="nil"/>
              <w:left w:val="nil"/>
              <w:bottom w:val="nil"/>
              <w:right w:val="nil"/>
            </w:tcBorders>
            <w:shd w:val="clear" w:color="auto" w:fill="auto"/>
            <w:noWrap/>
            <w:vAlign w:val="bottom"/>
            <w:hideMark/>
          </w:tcPr>
          <w:p w14:paraId="24EAFDF7"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218</w:t>
            </w:r>
          </w:p>
        </w:tc>
        <w:tc>
          <w:tcPr>
            <w:tcW w:w="960" w:type="dxa"/>
            <w:tcBorders>
              <w:top w:val="nil"/>
              <w:left w:val="nil"/>
              <w:bottom w:val="nil"/>
              <w:right w:val="nil"/>
            </w:tcBorders>
            <w:shd w:val="clear" w:color="auto" w:fill="auto"/>
            <w:noWrap/>
            <w:vAlign w:val="bottom"/>
            <w:hideMark/>
          </w:tcPr>
          <w:p w14:paraId="661DA0CE"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0.1873</w:t>
            </w:r>
          </w:p>
        </w:tc>
        <w:tc>
          <w:tcPr>
            <w:tcW w:w="800" w:type="dxa"/>
            <w:tcBorders>
              <w:top w:val="nil"/>
              <w:left w:val="nil"/>
              <w:bottom w:val="nil"/>
              <w:right w:val="nil"/>
            </w:tcBorders>
            <w:shd w:val="clear" w:color="auto" w:fill="auto"/>
            <w:noWrap/>
            <w:vAlign w:val="bottom"/>
            <w:hideMark/>
          </w:tcPr>
          <w:p w14:paraId="19AEE1E5"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0.1824</w:t>
            </w:r>
          </w:p>
        </w:tc>
        <w:tc>
          <w:tcPr>
            <w:tcW w:w="960" w:type="dxa"/>
            <w:tcBorders>
              <w:top w:val="nil"/>
              <w:left w:val="nil"/>
              <w:bottom w:val="nil"/>
              <w:right w:val="nil"/>
            </w:tcBorders>
            <w:shd w:val="clear" w:color="auto" w:fill="auto"/>
            <w:noWrap/>
            <w:vAlign w:val="bottom"/>
            <w:hideMark/>
          </w:tcPr>
          <w:p w14:paraId="651CC69C"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0.6429</w:t>
            </w:r>
          </w:p>
        </w:tc>
        <w:tc>
          <w:tcPr>
            <w:tcW w:w="960" w:type="dxa"/>
            <w:tcBorders>
              <w:top w:val="nil"/>
              <w:left w:val="nil"/>
              <w:bottom w:val="nil"/>
              <w:right w:val="nil"/>
            </w:tcBorders>
            <w:shd w:val="clear" w:color="auto" w:fill="auto"/>
            <w:noWrap/>
            <w:vAlign w:val="bottom"/>
            <w:hideMark/>
          </w:tcPr>
          <w:p w14:paraId="1BFC4643"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-2.3219</w:t>
            </w:r>
          </w:p>
        </w:tc>
        <w:tc>
          <w:tcPr>
            <w:tcW w:w="960" w:type="dxa"/>
            <w:tcBorders>
              <w:top w:val="nil"/>
              <w:left w:val="nil"/>
              <w:bottom w:val="nil"/>
              <w:right w:val="nil"/>
            </w:tcBorders>
            <w:shd w:val="clear" w:color="auto" w:fill="auto"/>
            <w:noWrap/>
            <w:vAlign w:val="bottom"/>
            <w:hideMark/>
          </w:tcPr>
          <w:p w14:paraId="382027EC"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2.3718</w:t>
            </w:r>
          </w:p>
        </w:tc>
      </w:tr>
      <w:tr w:rsidR="00004D6D" w:rsidRPr="00770CA2" w14:paraId="2EED4902" w14:textId="77777777" w:rsidTr="00004D6D">
        <w:trPr>
          <w:trHeight w:val="264"/>
          <w:jc w:val="center"/>
        </w:trPr>
        <w:tc>
          <w:tcPr>
            <w:tcW w:w="2880" w:type="dxa"/>
            <w:tcBorders>
              <w:top w:val="nil"/>
              <w:left w:val="nil"/>
              <w:bottom w:val="nil"/>
              <w:right w:val="single" w:sz="4" w:space="0" w:color="auto"/>
            </w:tcBorders>
            <w:shd w:val="clear" w:color="auto" w:fill="auto"/>
            <w:noWrap/>
            <w:vAlign w:val="bottom"/>
            <w:hideMark/>
          </w:tcPr>
          <w:p w14:paraId="0711BEA9"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LT Debt (ln)</w:t>
            </w:r>
          </w:p>
        </w:tc>
        <w:tc>
          <w:tcPr>
            <w:tcW w:w="620" w:type="dxa"/>
            <w:tcBorders>
              <w:top w:val="nil"/>
              <w:left w:val="nil"/>
              <w:bottom w:val="nil"/>
              <w:right w:val="nil"/>
            </w:tcBorders>
            <w:shd w:val="clear" w:color="auto" w:fill="auto"/>
            <w:noWrap/>
            <w:vAlign w:val="bottom"/>
            <w:hideMark/>
          </w:tcPr>
          <w:p w14:paraId="4ECC1423"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218</w:t>
            </w:r>
          </w:p>
        </w:tc>
        <w:tc>
          <w:tcPr>
            <w:tcW w:w="960" w:type="dxa"/>
            <w:tcBorders>
              <w:top w:val="nil"/>
              <w:left w:val="nil"/>
              <w:bottom w:val="nil"/>
              <w:right w:val="nil"/>
            </w:tcBorders>
            <w:shd w:val="clear" w:color="auto" w:fill="auto"/>
            <w:noWrap/>
            <w:vAlign w:val="bottom"/>
            <w:hideMark/>
          </w:tcPr>
          <w:p w14:paraId="062D6C25"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5.1096</w:t>
            </w:r>
          </w:p>
        </w:tc>
        <w:tc>
          <w:tcPr>
            <w:tcW w:w="800" w:type="dxa"/>
            <w:tcBorders>
              <w:top w:val="nil"/>
              <w:left w:val="nil"/>
              <w:bottom w:val="nil"/>
              <w:right w:val="nil"/>
            </w:tcBorders>
            <w:shd w:val="clear" w:color="auto" w:fill="auto"/>
            <w:noWrap/>
            <w:vAlign w:val="bottom"/>
            <w:hideMark/>
          </w:tcPr>
          <w:p w14:paraId="179A6A5C"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6.8806</w:t>
            </w:r>
          </w:p>
        </w:tc>
        <w:tc>
          <w:tcPr>
            <w:tcW w:w="960" w:type="dxa"/>
            <w:tcBorders>
              <w:top w:val="nil"/>
              <w:left w:val="nil"/>
              <w:bottom w:val="nil"/>
              <w:right w:val="nil"/>
            </w:tcBorders>
            <w:shd w:val="clear" w:color="auto" w:fill="auto"/>
            <w:noWrap/>
            <w:vAlign w:val="bottom"/>
            <w:hideMark/>
          </w:tcPr>
          <w:p w14:paraId="19EF17A0"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4.1829</w:t>
            </w:r>
          </w:p>
        </w:tc>
        <w:tc>
          <w:tcPr>
            <w:tcW w:w="960" w:type="dxa"/>
            <w:tcBorders>
              <w:top w:val="nil"/>
              <w:left w:val="nil"/>
              <w:bottom w:val="nil"/>
              <w:right w:val="nil"/>
            </w:tcBorders>
            <w:shd w:val="clear" w:color="auto" w:fill="auto"/>
            <w:noWrap/>
            <w:vAlign w:val="bottom"/>
            <w:hideMark/>
          </w:tcPr>
          <w:p w14:paraId="046A248E"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7708FD60"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12.2377</w:t>
            </w:r>
          </w:p>
        </w:tc>
      </w:tr>
      <w:tr w:rsidR="00004D6D" w:rsidRPr="00770CA2" w14:paraId="37AB0923" w14:textId="77777777" w:rsidTr="00004D6D">
        <w:trPr>
          <w:trHeight w:val="264"/>
          <w:jc w:val="center"/>
        </w:trPr>
        <w:tc>
          <w:tcPr>
            <w:tcW w:w="2880" w:type="dxa"/>
            <w:tcBorders>
              <w:top w:val="nil"/>
              <w:left w:val="nil"/>
              <w:bottom w:val="nil"/>
              <w:right w:val="single" w:sz="4" w:space="0" w:color="auto"/>
            </w:tcBorders>
            <w:shd w:val="clear" w:color="auto" w:fill="auto"/>
            <w:noWrap/>
            <w:vAlign w:val="bottom"/>
            <w:hideMark/>
          </w:tcPr>
          <w:p w14:paraId="60169263"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Equity (ln)</w:t>
            </w:r>
          </w:p>
        </w:tc>
        <w:tc>
          <w:tcPr>
            <w:tcW w:w="620" w:type="dxa"/>
            <w:tcBorders>
              <w:top w:val="nil"/>
              <w:left w:val="nil"/>
              <w:bottom w:val="nil"/>
              <w:right w:val="nil"/>
            </w:tcBorders>
            <w:shd w:val="clear" w:color="auto" w:fill="auto"/>
            <w:noWrap/>
            <w:vAlign w:val="bottom"/>
            <w:hideMark/>
          </w:tcPr>
          <w:p w14:paraId="5CFAD6CD"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218</w:t>
            </w:r>
          </w:p>
        </w:tc>
        <w:tc>
          <w:tcPr>
            <w:tcW w:w="960" w:type="dxa"/>
            <w:tcBorders>
              <w:top w:val="nil"/>
              <w:left w:val="nil"/>
              <w:bottom w:val="nil"/>
              <w:right w:val="nil"/>
            </w:tcBorders>
            <w:shd w:val="clear" w:color="auto" w:fill="auto"/>
            <w:noWrap/>
            <w:vAlign w:val="bottom"/>
            <w:hideMark/>
          </w:tcPr>
          <w:p w14:paraId="1E0F5376"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2.9588</w:t>
            </w:r>
          </w:p>
        </w:tc>
        <w:tc>
          <w:tcPr>
            <w:tcW w:w="800" w:type="dxa"/>
            <w:tcBorders>
              <w:top w:val="nil"/>
              <w:left w:val="nil"/>
              <w:bottom w:val="nil"/>
              <w:right w:val="nil"/>
            </w:tcBorders>
            <w:shd w:val="clear" w:color="auto" w:fill="auto"/>
            <w:noWrap/>
            <w:vAlign w:val="bottom"/>
            <w:hideMark/>
          </w:tcPr>
          <w:p w14:paraId="4D01994D"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51630B18"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4.0493</w:t>
            </w:r>
          </w:p>
        </w:tc>
        <w:tc>
          <w:tcPr>
            <w:tcW w:w="960" w:type="dxa"/>
            <w:tcBorders>
              <w:top w:val="nil"/>
              <w:left w:val="nil"/>
              <w:bottom w:val="nil"/>
              <w:right w:val="nil"/>
            </w:tcBorders>
            <w:shd w:val="clear" w:color="auto" w:fill="auto"/>
            <w:noWrap/>
            <w:vAlign w:val="bottom"/>
            <w:hideMark/>
          </w:tcPr>
          <w:p w14:paraId="5FAD75AD"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1C886583"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12.6002</w:t>
            </w:r>
          </w:p>
        </w:tc>
      </w:tr>
      <w:tr w:rsidR="00004D6D" w:rsidRPr="00770CA2" w14:paraId="4F81BAE7" w14:textId="77777777" w:rsidTr="00004D6D">
        <w:trPr>
          <w:trHeight w:val="264"/>
          <w:jc w:val="center"/>
        </w:trPr>
        <w:tc>
          <w:tcPr>
            <w:tcW w:w="2880" w:type="dxa"/>
            <w:tcBorders>
              <w:top w:val="nil"/>
              <w:left w:val="nil"/>
              <w:bottom w:val="nil"/>
              <w:right w:val="single" w:sz="4" w:space="0" w:color="auto"/>
            </w:tcBorders>
            <w:shd w:val="clear" w:color="auto" w:fill="auto"/>
            <w:noWrap/>
            <w:vAlign w:val="bottom"/>
            <w:hideMark/>
          </w:tcPr>
          <w:p w14:paraId="378A668C"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Tobin's Q</w:t>
            </w:r>
          </w:p>
        </w:tc>
        <w:tc>
          <w:tcPr>
            <w:tcW w:w="620" w:type="dxa"/>
            <w:tcBorders>
              <w:top w:val="nil"/>
              <w:left w:val="nil"/>
              <w:bottom w:val="nil"/>
              <w:right w:val="nil"/>
            </w:tcBorders>
            <w:shd w:val="clear" w:color="auto" w:fill="auto"/>
            <w:noWrap/>
            <w:vAlign w:val="bottom"/>
            <w:hideMark/>
          </w:tcPr>
          <w:p w14:paraId="538CD2BD"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167</w:t>
            </w:r>
          </w:p>
        </w:tc>
        <w:tc>
          <w:tcPr>
            <w:tcW w:w="960" w:type="dxa"/>
            <w:tcBorders>
              <w:top w:val="nil"/>
              <w:left w:val="nil"/>
              <w:bottom w:val="nil"/>
              <w:right w:val="nil"/>
            </w:tcBorders>
            <w:shd w:val="clear" w:color="auto" w:fill="auto"/>
            <w:noWrap/>
            <w:vAlign w:val="bottom"/>
            <w:hideMark/>
          </w:tcPr>
          <w:p w14:paraId="5C7D7A3F"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0.9698</w:t>
            </w:r>
          </w:p>
        </w:tc>
        <w:tc>
          <w:tcPr>
            <w:tcW w:w="800" w:type="dxa"/>
            <w:tcBorders>
              <w:top w:val="nil"/>
              <w:left w:val="nil"/>
              <w:bottom w:val="nil"/>
              <w:right w:val="nil"/>
            </w:tcBorders>
            <w:shd w:val="clear" w:color="auto" w:fill="auto"/>
            <w:noWrap/>
            <w:vAlign w:val="bottom"/>
            <w:hideMark/>
          </w:tcPr>
          <w:p w14:paraId="54C797B4"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0.7246</w:t>
            </w:r>
          </w:p>
        </w:tc>
        <w:tc>
          <w:tcPr>
            <w:tcW w:w="960" w:type="dxa"/>
            <w:tcBorders>
              <w:top w:val="nil"/>
              <w:left w:val="nil"/>
              <w:bottom w:val="nil"/>
              <w:right w:val="nil"/>
            </w:tcBorders>
            <w:shd w:val="clear" w:color="auto" w:fill="auto"/>
            <w:noWrap/>
            <w:vAlign w:val="bottom"/>
            <w:hideMark/>
          </w:tcPr>
          <w:p w14:paraId="0813C5E9"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0.9707</w:t>
            </w:r>
          </w:p>
        </w:tc>
        <w:tc>
          <w:tcPr>
            <w:tcW w:w="960" w:type="dxa"/>
            <w:tcBorders>
              <w:top w:val="nil"/>
              <w:left w:val="nil"/>
              <w:bottom w:val="nil"/>
              <w:right w:val="nil"/>
            </w:tcBorders>
            <w:shd w:val="clear" w:color="auto" w:fill="auto"/>
            <w:noWrap/>
            <w:vAlign w:val="bottom"/>
            <w:hideMark/>
          </w:tcPr>
          <w:p w14:paraId="799C363C"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0.0010</w:t>
            </w:r>
          </w:p>
        </w:tc>
        <w:tc>
          <w:tcPr>
            <w:tcW w:w="960" w:type="dxa"/>
            <w:tcBorders>
              <w:top w:val="nil"/>
              <w:left w:val="nil"/>
              <w:bottom w:val="nil"/>
              <w:right w:val="nil"/>
            </w:tcBorders>
            <w:shd w:val="clear" w:color="auto" w:fill="auto"/>
            <w:noWrap/>
            <w:vAlign w:val="bottom"/>
            <w:hideMark/>
          </w:tcPr>
          <w:p w14:paraId="78D99DA5"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7.6877</w:t>
            </w:r>
          </w:p>
        </w:tc>
      </w:tr>
      <w:tr w:rsidR="00004D6D" w:rsidRPr="00770CA2" w14:paraId="17F07D3A" w14:textId="77777777" w:rsidTr="00004D6D">
        <w:trPr>
          <w:trHeight w:val="264"/>
          <w:jc w:val="center"/>
        </w:trPr>
        <w:tc>
          <w:tcPr>
            <w:tcW w:w="2880" w:type="dxa"/>
            <w:tcBorders>
              <w:top w:val="nil"/>
              <w:left w:val="nil"/>
              <w:bottom w:val="nil"/>
              <w:right w:val="single" w:sz="4" w:space="0" w:color="auto"/>
            </w:tcBorders>
            <w:shd w:val="clear" w:color="auto" w:fill="auto"/>
            <w:noWrap/>
            <w:vAlign w:val="bottom"/>
            <w:hideMark/>
          </w:tcPr>
          <w:p w14:paraId="3EEC026A"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ID (%)</w:t>
            </w:r>
          </w:p>
        </w:tc>
        <w:tc>
          <w:tcPr>
            <w:tcW w:w="620" w:type="dxa"/>
            <w:tcBorders>
              <w:top w:val="nil"/>
              <w:left w:val="nil"/>
              <w:bottom w:val="nil"/>
              <w:right w:val="nil"/>
            </w:tcBorders>
            <w:shd w:val="clear" w:color="auto" w:fill="auto"/>
            <w:noWrap/>
            <w:vAlign w:val="bottom"/>
            <w:hideMark/>
          </w:tcPr>
          <w:p w14:paraId="7F2575D2"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218</w:t>
            </w:r>
          </w:p>
        </w:tc>
        <w:tc>
          <w:tcPr>
            <w:tcW w:w="960" w:type="dxa"/>
            <w:tcBorders>
              <w:top w:val="nil"/>
              <w:left w:val="nil"/>
              <w:bottom w:val="nil"/>
              <w:right w:val="nil"/>
            </w:tcBorders>
            <w:shd w:val="clear" w:color="auto" w:fill="auto"/>
            <w:noWrap/>
            <w:vAlign w:val="bottom"/>
            <w:hideMark/>
          </w:tcPr>
          <w:p w14:paraId="5B25E6E8"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0.1394</w:t>
            </w:r>
          </w:p>
        </w:tc>
        <w:tc>
          <w:tcPr>
            <w:tcW w:w="800" w:type="dxa"/>
            <w:tcBorders>
              <w:top w:val="nil"/>
              <w:left w:val="nil"/>
              <w:bottom w:val="nil"/>
              <w:right w:val="nil"/>
            </w:tcBorders>
            <w:shd w:val="clear" w:color="auto" w:fill="auto"/>
            <w:noWrap/>
            <w:vAlign w:val="bottom"/>
            <w:hideMark/>
          </w:tcPr>
          <w:p w14:paraId="58184898"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0.1000</w:t>
            </w:r>
          </w:p>
        </w:tc>
        <w:tc>
          <w:tcPr>
            <w:tcW w:w="960" w:type="dxa"/>
            <w:tcBorders>
              <w:top w:val="nil"/>
              <w:left w:val="nil"/>
              <w:bottom w:val="nil"/>
              <w:right w:val="nil"/>
            </w:tcBorders>
            <w:shd w:val="clear" w:color="auto" w:fill="auto"/>
            <w:noWrap/>
            <w:vAlign w:val="bottom"/>
            <w:hideMark/>
          </w:tcPr>
          <w:p w14:paraId="36A5C1CA"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0.1693</w:t>
            </w:r>
          </w:p>
        </w:tc>
        <w:tc>
          <w:tcPr>
            <w:tcW w:w="960" w:type="dxa"/>
            <w:tcBorders>
              <w:top w:val="nil"/>
              <w:left w:val="nil"/>
              <w:bottom w:val="nil"/>
              <w:right w:val="nil"/>
            </w:tcBorders>
            <w:shd w:val="clear" w:color="auto" w:fill="auto"/>
            <w:noWrap/>
            <w:vAlign w:val="bottom"/>
            <w:hideMark/>
          </w:tcPr>
          <w:p w14:paraId="100842AB"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27F25D42"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0.6200</w:t>
            </w:r>
          </w:p>
        </w:tc>
      </w:tr>
      <w:tr w:rsidR="00004D6D" w:rsidRPr="00770CA2" w14:paraId="227385BC" w14:textId="77777777" w:rsidTr="00004D6D">
        <w:trPr>
          <w:trHeight w:val="264"/>
          <w:jc w:val="center"/>
        </w:trPr>
        <w:tc>
          <w:tcPr>
            <w:tcW w:w="2880" w:type="dxa"/>
            <w:tcBorders>
              <w:top w:val="nil"/>
              <w:left w:val="nil"/>
              <w:bottom w:val="nil"/>
              <w:right w:val="single" w:sz="4" w:space="0" w:color="auto"/>
            </w:tcBorders>
            <w:shd w:val="clear" w:color="auto" w:fill="auto"/>
            <w:noWrap/>
            <w:vAlign w:val="bottom"/>
            <w:hideMark/>
          </w:tcPr>
          <w:p w14:paraId="0000E228"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FID (%)</w:t>
            </w:r>
          </w:p>
        </w:tc>
        <w:tc>
          <w:tcPr>
            <w:tcW w:w="620" w:type="dxa"/>
            <w:tcBorders>
              <w:top w:val="nil"/>
              <w:left w:val="nil"/>
              <w:bottom w:val="nil"/>
              <w:right w:val="nil"/>
            </w:tcBorders>
            <w:shd w:val="clear" w:color="auto" w:fill="auto"/>
            <w:noWrap/>
            <w:vAlign w:val="bottom"/>
            <w:hideMark/>
          </w:tcPr>
          <w:p w14:paraId="3CF0C1F8"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218</w:t>
            </w:r>
          </w:p>
        </w:tc>
        <w:tc>
          <w:tcPr>
            <w:tcW w:w="960" w:type="dxa"/>
            <w:tcBorders>
              <w:top w:val="nil"/>
              <w:left w:val="nil"/>
              <w:bottom w:val="nil"/>
              <w:right w:val="nil"/>
            </w:tcBorders>
            <w:shd w:val="clear" w:color="auto" w:fill="auto"/>
            <w:noWrap/>
            <w:vAlign w:val="bottom"/>
            <w:hideMark/>
          </w:tcPr>
          <w:p w14:paraId="7B4E0BBA"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0.0768</w:t>
            </w:r>
          </w:p>
        </w:tc>
        <w:tc>
          <w:tcPr>
            <w:tcW w:w="800" w:type="dxa"/>
            <w:tcBorders>
              <w:top w:val="nil"/>
              <w:left w:val="nil"/>
              <w:bottom w:val="nil"/>
              <w:right w:val="nil"/>
            </w:tcBorders>
            <w:shd w:val="clear" w:color="auto" w:fill="auto"/>
            <w:noWrap/>
            <w:vAlign w:val="bottom"/>
            <w:hideMark/>
          </w:tcPr>
          <w:p w14:paraId="7C24D4E1"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2C07B4C0"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0.1447</w:t>
            </w:r>
          </w:p>
        </w:tc>
        <w:tc>
          <w:tcPr>
            <w:tcW w:w="960" w:type="dxa"/>
            <w:tcBorders>
              <w:top w:val="nil"/>
              <w:left w:val="nil"/>
              <w:bottom w:val="nil"/>
              <w:right w:val="nil"/>
            </w:tcBorders>
            <w:shd w:val="clear" w:color="auto" w:fill="auto"/>
            <w:noWrap/>
            <w:vAlign w:val="bottom"/>
            <w:hideMark/>
          </w:tcPr>
          <w:p w14:paraId="3EADEAB7"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31123477"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0.5400</w:t>
            </w:r>
          </w:p>
        </w:tc>
      </w:tr>
      <w:tr w:rsidR="007046EF" w:rsidRPr="00770CA2" w14:paraId="7B7BAABA" w14:textId="77777777" w:rsidTr="00004D6D">
        <w:trPr>
          <w:trHeight w:val="264"/>
          <w:jc w:val="center"/>
        </w:trPr>
        <w:tc>
          <w:tcPr>
            <w:tcW w:w="2880" w:type="dxa"/>
            <w:tcBorders>
              <w:top w:val="nil"/>
              <w:left w:val="nil"/>
              <w:bottom w:val="nil"/>
              <w:right w:val="single" w:sz="4" w:space="0" w:color="auto"/>
            </w:tcBorders>
            <w:shd w:val="clear" w:color="auto" w:fill="auto"/>
            <w:noWrap/>
            <w:vAlign w:val="bottom"/>
          </w:tcPr>
          <w:p w14:paraId="44DE423B" w14:textId="77777777" w:rsidR="007046EF" w:rsidRPr="00770CA2" w:rsidRDefault="007046EF" w:rsidP="00004D6D">
            <w:pPr>
              <w:spacing w:after="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Independent Director (1/0)</w:t>
            </w:r>
          </w:p>
        </w:tc>
        <w:tc>
          <w:tcPr>
            <w:tcW w:w="620" w:type="dxa"/>
            <w:tcBorders>
              <w:top w:val="nil"/>
              <w:left w:val="nil"/>
              <w:bottom w:val="nil"/>
              <w:right w:val="nil"/>
            </w:tcBorders>
            <w:shd w:val="clear" w:color="auto" w:fill="auto"/>
            <w:noWrap/>
            <w:vAlign w:val="bottom"/>
          </w:tcPr>
          <w:p w14:paraId="1D9FAF79" w14:textId="77777777" w:rsidR="007046EF" w:rsidRPr="00770CA2" w:rsidRDefault="007046EF" w:rsidP="00004D6D">
            <w:pPr>
              <w:spacing w:after="0" w:line="240" w:lineRule="auto"/>
              <w:jc w:val="right"/>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218</w:t>
            </w:r>
          </w:p>
        </w:tc>
        <w:tc>
          <w:tcPr>
            <w:tcW w:w="960" w:type="dxa"/>
            <w:tcBorders>
              <w:top w:val="nil"/>
              <w:left w:val="nil"/>
              <w:bottom w:val="nil"/>
              <w:right w:val="nil"/>
            </w:tcBorders>
            <w:shd w:val="clear" w:color="auto" w:fill="auto"/>
            <w:noWrap/>
            <w:vAlign w:val="bottom"/>
          </w:tcPr>
          <w:p w14:paraId="121B66DD" w14:textId="77777777" w:rsidR="007046EF" w:rsidRPr="00770CA2" w:rsidRDefault="007046EF" w:rsidP="00004D6D">
            <w:pPr>
              <w:spacing w:after="0" w:line="240" w:lineRule="auto"/>
              <w:jc w:val="right"/>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0</w:t>
            </w:r>
            <w:r w:rsidRPr="007046EF">
              <w:rPr>
                <w:rFonts w:ascii="Times New Roman" w:eastAsia="Times New Roman" w:hAnsi="Times New Roman" w:cs="Times New Roman"/>
                <w:color w:val="000000"/>
                <w:sz w:val="20"/>
                <w:szCs w:val="20"/>
                <w:lang w:eastAsia="en-GB"/>
              </w:rPr>
              <w:t>.509</w:t>
            </w:r>
            <w:r>
              <w:rPr>
                <w:rFonts w:ascii="Times New Roman" w:eastAsia="Times New Roman" w:hAnsi="Times New Roman" w:cs="Times New Roman"/>
                <w:color w:val="000000"/>
                <w:sz w:val="20"/>
                <w:szCs w:val="20"/>
                <w:lang w:eastAsia="en-GB"/>
              </w:rPr>
              <w:t>2</w:t>
            </w:r>
          </w:p>
        </w:tc>
        <w:tc>
          <w:tcPr>
            <w:tcW w:w="800" w:type="dxa"/>
            <w:tcBorders>
              <w:top w:val="nil"/>
              <w:left w:val="nil"/>
              <w:bottom w:val="nil"/>
              <w:right w:val="nil"/>
            </w:tcBorders>
            <w:shd w:val="clear" w:color="auto" w:fill="auto"/>
            <w:noWrap/>
            <w:vAlign w:val="bottom"/>
          </w:tcPr>
          <w:p w14:paraId="4045DEB6" w14:textId="77777777" w:rsidR="007046EF" w:rsidRPr="00770CA2" w:rsidRDefault="007046EF" w:rsidP="00004D6D">
            <w:pPr>
              <w:spacing w:after="0" w:line="240" w:lineRule="auto"/>
              <w:jc w:val="right"/>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1.0000</w:t>
            </w:r>
          </w:p>
        </w:tc>
        <w:tc>
          <w:tcPr>
            <w:tcW w:w="960" w:type="dxa"/>
            <w:tcBorders>
              <w:top w:val="nil"/>
              <w:left w:val="nil"/>
              <w:bottom w:val="nil"/>
              <w:right w:val="nil"/>
            </w:tcBorders>
            <w:shd w:val="clear" w:color="auto" w:fill="auto"/>
            <w:noWrap/>
            <w:vAlign w:val="bottom"/>
          </w:tcPr>
          <w:p w14:paraId="537DCF52" w14:textId="77777777" w:rsidR="007046EF" w:rsidRPr="00770CA2" w:rsidRDefault="007046EF" w:rsidP="00004D6D">
            <w:pPr>
              <w:spacing w:after="0" w:line="240" w:lineRule="auto"/>
              <w:jc w:val="right"/>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0</w:t>
            </w:r>
            <w:r w:rsidRPr="007046EF">
              <w:rPr>
                <w:rFonts w:ascii="Times New Roman" w:eastAsia="Times New Roman" w:hAnsi="Times New Roman" w:cs="Times New Roman"/>
                <w:color w:val="000000"/>
                <w:sz w:val="20"/>
                <w:szCs w:val="20"/>
                <w:lang w:eastAsia="en-GB"/>
              </w:rPr>
              <w:t>.501</w:t>
            </w:r>
            <w:r>
              <w:rPr>
                <w:rFonts w:ascii="Times New Roman" w:eastAsia="Times New Roman" w:hAnsi="Times New Roman" w:cs="Times New Roman"/>
                <w:color w:val="000000"/>
                <w:sz w:val="20"/>
                <w:szCs w:val="20"/>
                <w:lang w:eastAsia="en-GB"/>
              </w:rPr>
              <w:t>1</w:t>
            </w:r>
          </w:p>
        </w:tc>
        <w:tc>
          <w:tcPr>
            <w:tcW w:w="960" w:type="dxa"/>
            <w:tcBorders>
              <w:top w:val="nil"/>
              <w:left w:val="nil"/>
              <w:bottom w:val="nil"/>
              <w:right w:val="nil"/>
            </w:tcBorders>
            <w:shd w:val="clear" w:color="auto" w:fill="auto"/>
            <w:noWrap/>
            <w:vAlign w:val="bottom"/>
          </w:tcPr>
          <w:p w14:paraId="1C876983" w14:textId="77777777" w:rsidR="007046EF" w:rsidRPr="00770CA2" w:rsidRDefault="007046EF" w:rsidP="00004D6D">
            <w:pPr>
              <w:spacing w:after="0" w:line="240" w:lineRule="auto"/>
              <w:jc w:val="right"/>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tcPr>
          <w:p w14:paraId="11E78F93" w14:textId="77777777" w:rsidR="007046EF" w:rsidRPr="00770CA2" w:rsidRDefault="007046EF" w:rsidP="00004D6D">
            <w:pPr>
              <w:spacing w:after="0" w:line="240" w:lineRule="auto"/>
              <w:jc w:val="right"/>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1.0000</w:t>
            </w:r>
          </w:p>
        </w:tc>
      </w:tr>
      <w:tr w:rsidR="00004D6D" w:rsidRPr="00770CA2" w14:paraId="2487234B" w14:textId="77777777" w:rsidTr="00004D6D">
        <w:trPr>
          <w:trHeight w:val="264"/>
          <w:jc w:val="center"/>
        </w:trPr>
        <w:tc>
          <w:tcPr>
            <w:tcW w:w="2880" w:type="dxa"/>
            <w:tcBorders>
              <w:top w:val="nil"/>
              <w:left w:val="nil"/>
              <w:bottom w:val="nil"/>
              <w:right w:val="single" w:sz="4" w:space="0" w:color="auto"/>
            </w:tcBorders>
            <w:shd w:val="clear" w:color="auto" w:fill="auto"/>
            <w:noWrap/>
            <w:vAlign w:val="bottom"/>
            <w:hideMark/>
          </w:tcPr>
          <w:p w14:paraId="5251A7D7"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Institutional Blockholder (1/0)</w:t>
            </w:r>
          </w:p>
        </w:tc>
        <w:tc>
          <w:tcPr>
            <w:tcW w:w="620" w:type="dxa"/>
            <w:tcBorders>
              <w:top w:val="nil"/>
              <w:left w:val="nil"/>
              <w:bottom w:val="nil"/>
              <w:right w:val="nil"/>
            </w:tcBorders>
            <w:shd w:val="clear" w:color="auto" w:fill="auto"/>
            <w:noWrap/>
            <w:vAlign w:val="bottom"/>
            <w:hideMark/>
          </w:tcPr>
          <w:p w14:paraId="21A0D021"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218</w:t>
            </w:r>
          </w:p>
        </w:tc>
        <w:tc>
          <w:tcPr>
            <w:tcW w:w="960" w:type="dxa"/>
            <w:tcBorders>
              <w:top w:val="nil"/>
              <w:left w:val="nil"/>
              <w:bottom w:val="nil"/>
              <w:right w:val="nil"/>
            </w:tcBorders>
            <w:shd w:val="clear" w:color="auto" w:fill="auto"/>
            <w:noWrap/>
            <w:vAlign w:val="bottom"/>
            <w:hideMark/>
          </w:tcPr>
          <w:p w14:paraId="315D407B"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0.0367</w:t>
            </w:r>
          </w:p>
        </w:tc>
        <w:tc>
          <w:tcPr>
            <w:tcW w:w="800" w:type="dxa"/>
            <w:tcBorders>
              <w:top w:val="nil"/>
              <w:left w:val="nil"/>
              <w:bottom w:val="nil"/>
              <w:right w:val="nil"/>
            </w:tcBorders>
            <w:shd w:val="clear" w:color="auto" w:fill="auto"/>
            <w:noWrap/>
            <w:vAlign w:val="bottom"/>
            <w:hideMark/>
          </w:tcPr>
          <w:p w14:paraId="617F74E4"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71B4303B"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0.1885</w:t>
            </w:r>
          </w:p>
        </w:tc>
        <w:tc>
          <w:tcPr>
            <w:tcW w:w="960" w:type="dxa"/>
            <w:tcBorders>
              <w:top w:val="nil"/>
              <w:left w:val="nil"/>
              <w:bottom w:val="nil"/>
              <w:right w:val="nil"/>
            </w:tcBorders>
            <w:shd w:val="clear" w:color="auto" w:fill="auto"/>
            <w:noWrap/>
            <w:vAlign w:val="bottom"/>
            <w:hideMark/>
          </w:tcPr>
          <w:p w14:paraId="28AB4CBC"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4EAB812B"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1.0000</w:t>
            </w:r>
          </w:p>
        </w:tc>
      </w:tr>
      <w:tr w:rsidR="00004D6D" w:rsidRPr="00770CA2" w14:paraId="3B2AD6A9" w14:textId="77777777" w:rsidTr="00004D6D">
        <w:trPr>
          <w:trHeight w:val="264"/>
          <w:jc w:val="center"/>
        </w:trPr>
        <w:tc>
          <w:tcPr>
            <w:tcW w:w="2880" w:type="dxa"/>
            <w:tcBorders>
              <w:top w:val="nil"/>
              <w:left w:val="nil"/>
              <w:bottom w:val="nil"/>
              <w:right w:val="single" w:sz="4" w:space="0" w:color="auto"/>
            </w:tcBorders>
            <w:shd w:val="clear" w:color="auto" w:fill="auto"/>
            <w:noWrap/>
            <w:vAlign w:val="bottom"/>
            <w:hideMark/>
          </w:tcPr>
          <w:p w14:paraId="6F61B176"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Private Blockholder (1/0)</w:t>
            </w:r>
          </w:p>
        </w:tc>
        <w:tc>
          <w:tcPr>
            <w:tcW w:w="620" w:type="dxa"/>
            <w:tcBorders>
              <w:top w:val="nil"/>
              <w:left w:val="nil"/>
              <w:bottom w:val="nil"/>
              <w:right w:val="nil"/>
            </w:tcBorders>
            <w:shd w:val="clear" w:color="auto" w:fill="auto"/>
            <w:noWrap/>
            <w:vAlign w:val="bottom"/>
            <w:hideMark/>
          </w:tcPr>
          <w:p w14:paraId="11E1E512"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218</w:t>
            </w:r>
          </w:p>
        </w:tc>
        <w:tc>
          <w:tcPr>
            <w:tcW w:w="960" w:type="dxa"/>
            <w:tcBorders>
              <w:top w:val="nil"/>
              <w:left w:val="nil"/>
              <w:bottom w:val="nil"/>
              <w:right w:val="nil"/>
            </w:tcBorders>
            <w:shd w:val="clear" w:color="auto" w:fill="auto"/>
            <w:noWrap/>
            <w:vAlign w:val="bottom"/>
            <w:hideMark/>
          </w:tcPr>
          <w:p w14:paraId="221D97EB"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0.5000</w:t>
            </w:r>
          </w:p>
        </w:tc>
        <w:tc>
          <w:tcPr>
            <w:tcW w:w="800" w:type="dxa"/>
            <w:tcBorders>
              <w:top w:val="nil"/>
              <w:left w:val="nil"/>
              <w:bottom w:val="nil"/>
              <w:right w:val="nil"/>
            </w:tcBorders>
            <w:shd w:val="clear" w:color="auto" w:fill="auto"/>
            <w:noWrap/>
            <w:vAlign w:val="bottom"/>
            <w:hideMark/>
          </w:tcPr>
          <w:p w14:paraId="6459C492"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0.5000</w:t>
            </w:r>
          </w:p>
        </w:tc>
        <w:tc>
          <w:tcPr>
            <w:tcW w:w="960" w:type="dxa"/>
            <w:tcBorders>
              <w:top w:val="nil"/>
              <w:left w:val="nil"/>
              <w:bottom w:val="nil"/>
              <w:right w:val="nil"/>
            </w:tcBorders>
            <w:shd w:val="clear" w:color="auto" w:fill="auto"/>
            <w:noWrap/>
            <w:vAlign w:val="bottom"/>
            <w:hideMark/>
          </w:tcPr>
          <w:p w14:paraId="62D709B3"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0.5012</w:t>
            </w:r>
          </w:p>
        </w:tc>
        <w:tc>
          <w:tcPr>
            <w:tcW w:w="960" w:type="dxa"/>
            <w:tcBorders>
              <w:top w:val="nil"/>
              <w:left w:val="nil"/>
              <w:bottom w:val="nil"/>
              <w:right w:val="nil"/>
            </w:tcBorders>
            <w:shd w:val="clear" w:color="auto" w:fill="auto"/>
            <w:noWrap/>
            <w:vAlign w:val="bottom"/>
            <w:hideMark/>
          </w:tcPr>
          <w:p w14:paraId="6E9C111C"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74494D63"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1.0000</w:t>
            </w:r>
          </w:p>
        </w:tc>
      </w:tr>
      <w:tr w:rsidR="00004D6D" w:rsidRPr="00770CA2" w14:paraId="647AAD22" w14:textId="77777777" w:rsidTr="00004D6D">
        <w:trPr>
          <w:trHeight w:val="264"/>
          <w:jc w:val="center"/>
        </w:trPr>
        <w:tc>
          <w:tcPr>
            <w:tcW w:w="2880" w:type="dxa"/>
            <w:tcBorders>
              <w:top w:val="nil"/>
              <w:left w:val="nil"/>
              <w:bottom w:val="nil"/>
              <w:right w:val="single" w:sz="4" w:space="0" w:color="auto"/>
            </w:tcBorders>
            <w:shd w:val="clear" w:color="auto" w:fill="auto"/>
            <w:noWrap/>
            <w:vAlign w:val="bottom"/>
            <w:hideMark/>
          </w:tcPr>
          <w:p w14:paraId="7579E96F"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State Blockholder (1/0)</w:t>
            </w:r>
          </w:p>
        </w:tc>
        <w:tc>
          <w:tcPr>
            <w:tcW w:w="620" w:type="dxa"/>
            <w:tcBorders>
              <w:top w:val="nil"/>
              <w:left w:val="nil"/>
              <w:bottom w:val="nil"/>
              <w:right w:val="nil"/>
            </w:tcBorders>
            <w:shd w:val="clear" w:color="auto" w:fill="auto"/>
            <w:noWrap/>
            <w:vAlign w:val="bottom"/>
            <w:hideMark/>
          </w:tcPr>
          <w:p w14:paraId="60FD3192"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218</w:t>
            </w:r>
          </w:p>
        </w:tc>
        <w:tc>
          <w:tcPr>
            <w:tcW w:w="960" w:type="dxa"/>
            <w:tcBorders>
              <w:top w:val="nil"/>
              <w:left w:val="nil"/>
              <w:bottom w:val="nil"/>
              <w:right w:val="nil"/>
            </w:tcBorders>
            <w:shd w:val="clear" w:color="auto" w:fill="auto"/>
            <w:noWrap/>
            <w:vAlign w:val="bottom"/>
            <w:hideMark/>
          </w:tcPr>
          <w:p w14:paraId="6C639DC1"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0.4633</w:t>
            </w:r>
          </w:p>
        </w:tc>
        <w:tc>
          <w:tcPr>
            <w:tcW w:w="800" w:type="dxa"/>
            <w:tcBorders>
              <w:top w:val="nil"/>
              <w:left w:val="nil"/>
              <w:bottom w:val="nil"/>
              <w:right w:val="nil"/>
            </w:tcBorders>
            <w:shd w:val="clear" w:color="auto" w:fill="auto"/>
            <w:noWrap/>
            <w:vAlign w:val="bottom"/>
            <w:hideMark/>
          </w:tcPr>
          <w:p w14:paraId="44A7EEA6"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797B21C1"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0.4998</w:t>
            </w:r>
          </w:p>
        </w:tc>
        <w:tc>
          <w:tcPr>
            <w:tcW w:w="960" w:type="dxa"/>
            <w:tcBorders>
              <w:top w:val="nil"/>
              <w:left w:val="nil"/>
              <w:bottom w:val="nil"/>
              <w:right w:val="nil"/>
            </w:tcBorders>
            <w:shd w:val="clear" w:color="auto" w:fill="auto"/>
            <w:noWrap/>
            <w:vAlign w:val="bottom"/>
            <w:hideMark/>
          </w:tcPr>
          <w:p w14:paraId="03CAE5F3"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19E44012"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1.0000</w:t>
            </w:r>
          </w:p>
        </w:tc>
      </w:tr>
      <w:tr w:rsidR="00004D6D" w:rsidRPr="00770CA2" w14:paraId="591DD3BC" w14:textId="77777777" w:rsidTr="00004D6D">
        <w:trPr>
          <w:trHeight w:val="264"/>
          <w:jc w:val="center"/>
        </w:trPr>
        <w:tc>
          <w:tcPr>
            <w:tcW w:w="2880" w:type="dxa"/>
            <w:tcBorders>
              <w:top w:val="nil"/>
              <w:left w:val="nil"/>
              <w:bottom w:val="nil"/>
              <w:right w:val="single" w:sz="4" w:space="0" w:color="auto"/>
            </w:tcBorders>
            <w:shd w:val="clear" w:color="auto" w:fill="auto"/>
            <w:noWrap/>
            <w:vAlign w:val="bottom"/>
            <w:hideMark/>
          </w:tcPr>
          <w:p w14:paraId="5150CCD7"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Cross-Listing (1/0)</w:t>
            </w:r>
          </w:p>
        </w:tc>
        <w:tc>
          <w:tcPr>
            <w:tcW w:w="620" w:type="dxa"/>
            <w:tcBorders>
              <w:top w:val="nil"/>
              <w:left w:val="nil"/>
              <w:bottom w:val="nil"/>
              <w:right w:val="nil"/>
            </w:tcBorders>
            <w:shd w:val="clear" w:color="auto" w:fill="auto"/>
            <w:noWrap/>
            <w:vAlign w:val="bottom"/>
            <w:hideMark/>
          </w:tcPr>
          <w:p w14:paraId="23CF25A1"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218</w:t>
            </w:r>
          </w:p>
        </w:tc>
        <w:tc>
          <w:tcPr>
            <w:tcW w:w="960" w:type="dxa"/>
            <w:tcBorders>
              <w:top w:val="nil"/>
              <w:left w:val="nil"/>
              <w:bottom w:val="nil"/>
              <w:right w:val="nil"/>
            </w:tcBorders>
            <w:shd w:val="clear" w:color="auto" w:fill="auto"/>
            <w:noWrap/>
            <w:vAlign w:val="bottom"/>
            <w:hideMark/>
          </w:tcPr>
          <w:p w14:paraId="5CE35CF1"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0.4495</w:t>
            </w:r>
          </w:p>
        </w:tc>
        <w:tc>
          <w:tcPr>
            <w:tcW w:w="800" w:type="dxa"/>
            <w:tcBorders>
              <w:top w:val="nil"/>
              <w:left w:val="nil"/>
              <w:bottom w:val="nil"/>
              <w:right w:val="nil"/>
            </w:tcBorders>
            <w:shd w:val="clear" w:color="auto" w:fill="auto"/>
            <w:noWrap/>
            <w:vAlign w:val="bottom"/>
            <w:hideMark/>
          </w:tcPr>
          <w:p w14:paraId="19716005"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2D7D6AD2"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0.4986</w:t>
            </w:r>
          </w:p>
        </w:tc>
        <w:tc>
          <w:tcPr>
            <w:tcW w:w="960" w:type="dxa"/>
            <w:tcBorders>
              <w:top w:val="nil"/>
              <w:left w:val="nil"/>
              <w:bottom w:val="nil"/>
              <w:right w:val="nil"/>
            </w:tcBorders>
            <w:shd w:val="clear" w:color="auto" w:fill="auto"/>
            <w:noWrap/>
            <w:vAlign w:val="bottom"/>
            <w:hideMark/>
          </w:tcPr>
          <w:p w14:paraId="3F77CD4F"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720C336D"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1.0000</w:t>
            </w:r>
          </w:p>
        </w:tc>
      </w:tr>
      <w:tr w:rsidR="00004D6D" w:rsidRPr="00770CA2" w14:paraId="5EAEA553" w14:textId="77777777" w:rsidTr="00004D6D">
        <w:trPr>
          <w:trHeight w:val="264"/>
          <w:jc w:val="center"/>
        </w:trPr>
        <w:tc>
          <w:tcPr>
            <w:tcW w:w="2880" w:type="dxa"/>
            <w:tcBorders>
              <w:top w:val="nil"/>
              <w:left w:val="nil"/>
              <w:bottom w:val="nil"/>
              <w:right w:val="single" w:sz="4" w:space="0" w:color="auto"/>
            </w:tcBorders>
            <w:shd w:val="clear" w:color="auto" w:fill="auto"/>
            <w:noWrap/>
            <w:vAlign w:val="bottom"/>
            <w:hideMark/>
          </w:tcPr>
          <w:p w14:paraId="6850A5F1"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MNE (1/0)</w:t>
            </w:r>
          </w:p>
        </w:tc>
        <w:tc>
          <w:tcPr>
            <w:tcW w:w="620" w:type="dxa"/>
            <w:tcBorders>
              <w:top w:val="nil"/>
              <w:left w:val="nil"/>
              <w:bottom w:val="nil"/>
              <w:right w:val="nil"/>
            </w:tcBorders>
            <w:shd w:val="clear" w:color="auto" w:fill="auto"/>
            <w:noWrap/>
            <w:vAlign w:val="bottom"/>
            <w:hideMark/>
          </w:tcPr>
          <w:p w14:paraId="78FAF5CC"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218</w:t>
            </w:r>
          </w:p>
        </w:tc>
        <w:tc>
          <w:tcPr>
            <w:tcW w:w="960" w:type="dxa"/>
            <w:tcBorders>
              <w:top w:val="nil"/>
              <w:left w:val="nil"/>
              <w:bottom w:val="nil"/>
              <w:right w:val="nil"/>
            </w:tcBorders>
            <w:shd w:val="clear" w:color="auto" w:fill="auto"/>
            <w:noWrap/>
            <w:vAlign w:val="bottom"/>
            <w:hideMark/>
          </w:tcPr>
          <w:p w14:paraId="4EB49EDA"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0.4220</w:t>
            </w:r>
          </w:p>
        </w:tc>
        <w:tc>
          <w:tcPr>
            <w:tcW w:w="800" w:type="dxa"/>
            <w:tcBorders>
              <w:top w:val="nil"/>
              <w:left w:val="nil"/>
              <w:bottom w:val="nil"/>
              <w:right w:val="nil"/>
            </w:tcBorders>
            <w:shd w:val="clear" w:color="auto" w:fill="auto"/>
            <w:noWrap/>
            <w:vAlign w:val="bottom"/>
            <w:hideMark/>
          </w:tcPr>
          <w:p w14:paraId="023EE1E6"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416CD9B8"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0.4950</w:t>
            </w:r>
          </w:p>
        </w:tc>
        <w:tc>
          <w:tcPr>
            <w:tcW w:w="960" w:type="dxa"/>
            <w:tcBorders>
              <w:top w:val="nil"/>
              <w:left w:val="nil"/>
              <w:bottom w:val="nil"/>
              <w:right w:val="nil"/>
            </w:tcBorders>
            <w:shd w:val="clear" w:color="auto" w:fill="auto"/>
            <w:noWrap/>
            <w:vAlign w:val="bottom"/>
            <w:hideMark/>
          </w:tcPr>
          <w:p w14:paraId="07E94549"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1B13B90B" w14:textId="77777777" w:rsidR="00004D6D" w:rsidRPr="00770CA2" w:rsidRDefault="00004D6D" w:rsidP="00004D6D">
            <w:pPr>
              <w:spacing w:after="0" w:line="240" w:lineRule="auto"/>
              <w:jc w:val="right"/>
              <w:rPr>
                <w:rFonts w:ascii="Times New Roman" w:eastAsia="Times New Roman" w:hAnsi="Times New Roman" w:cs="Times New Roman"/>
                <w:color w:val="000000"/>
                <w:sz w:val="20"/>
                <w:szCs w:val="20"/>
                <w:lang w:eastAsia="en-GB"/>
              </w:rPr>
            </w:pPr>
            <w:r w:rsidRPr="00770CA2">
              <w:rPr>
                <w:rFonts w:ascii="Times New Roman" w:eastAsia="Times New Roman" w:hAnsi="Times New Roman" w:cs="Times New Roman"/>
                <w:color w:val="000000"/>
                <w:sz w:val="20"/>
                <w:szCs w:val="20"/>
                <w:lang w:eastAsia="en-GB"/>
              </w:rPr>
              <w:t>1.0000</w:t>
            </w:r>
          </w:p>
        </w:tc>
      </w:tr>
      <w:tr w:rsidR="00004D6D" w:rsidRPr="00770CA2" w14:paraId="76DA2E8F" w14:textId="77777777" w:rsidTr="00004D6D">
        <w:trPr>
          <w:trHeight w:val="264"/>
          <w:jc w:val="center"/>
        </w:trPr>
        <w:tc>
          <w:tcPr>
            <w:tcW w:w="2880" w:type="dxa"/>
            <w:tcBorders>
              <w:top w:val="nil"/>
              <w:left w:val="nil"/>
              <w:bottom w:val="nil"/>
              <w:right w:val="nil"/>
            </w:tcBorders>
            <w:shd w:val="clear" w:color="auto" w:fill="auto"/>
            <w:noWrap/>
            <w:vAlign w:val="bottom"/>
            <w:hideMark/>
          </w:tcPr>
          <w:p w14:paraId="6D09422F"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p>
        </w:tc>
        <w:tc>
          <w:tcPr>
            <w:tcW w:w="620" w:type="dxa"/>
            <w:tcBorders>
              <w:top w:val="nil"/>
              <w:left w:val="nil"/>
              <w:bottom w:val="nil"/>
              <w:right w:val="nil"/>
            </w:tcBorders>
            <w:shd w:val="clear" w:color="auto" w:fill="auto"/>
            <w:noWrap/>
            <w:vAlign w:val="bottom"/>
            <w:hideMark/>
          </w:tcPr>
          <w:p w14:paraId="173CE788"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168B19F6"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p>
        </w:tc>
        <w:tc>
          <w:tcPr>
            <w:tcW w:w="800" w:type="dxa"/>
            <w:tcBorders>
              <w:top w:val="nil"/>
              <w:left w:val="nil"/>
              <w:bottom w:val="nil"/>
              <w:right w:val="nil"/>
            </w:tcBorders>
            <w:shd w:val="clear" w:color="auto" w:fill="auto"/>
            <w:noWrap/>
            <w:vAlign w:val="bottom"/>
            <w:hideMark/>
          </w:tcPr>
          <w:p w14:paraId="716FA5C4"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63374145"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59CFD1A7"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14AAC87D"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p>
        </w:tc>
      </w:tr>
      <w:tr w:rsidR="00004D6D" w:rsidRPr="00770CA2" w14:paraId="088CFF69" w14:textId="77777777" w:rsidTr="00004D6D">
        <w:trPr>
          <w:trHeight w:val="264"/>
          <w:jc w:val="center"/>
        </w:trPr>
        <w:tc>
          <w:tcPr>
            <w:tcW w:w="6220" w:type="dxa"/>
            <w:gridSpan w:val="5"/>
            <w:tcBorders>
              <w:top w:val="nil"/>
              <w:left w:val="nil"/>
              <w:bottom w:val="nil"/>
              <w:right w:val="nil"/>
            </w:tcBorders>
            <w:shd w:val="clear" w:color="auto" w:fill="auto"/>
            <w:noWrap/>
            <w:vAlign w:val="bottom"/>
            <w:hideMark/>
          </w:tcPr>
          <w:p w14:paraId="2B392B45" w14:textId="77777777" w:rsidR="00004D6D" w:rsidRPr="00770CA2" w:rsidRDefault="00004D6D" w:rsidP="00004D6D">
            <w:pPr>
              <w:spacing w:after="0" w:line="240" w:lineRule="auto"/>
              <w:rPr>
                <w:rFonts w:ascii="Times New Roman" w:eastAsia="Times New Roman" w:hAnsi="Times New Roman" w:cs="Times New Roman"/>
                <w:i/>
                <w:iCs/>
                <w:color w:val="000000"/>
                <w:sz w:val="20"/>
                <w:szCs w:val="20"/>
                <w:lang w:eastAsia="en-GB"/>
              </w:rPr>
            </w:pPr>
            <w:r w:rsidRPr="00770CA2">
              <w:rPr>
                <w:rFonts w:ascii="Times New Roman" w:eastAsia="Times New Roman" w:hAnsi="Times New Roman" w:cs="Times New Roman"/>
                <w:i/>
                <w:iCs/>
                <w:color w:val="000000"/>
                <w:sz w:val="20"/>
                <w:szCs w:val="20"/>
                <w:lang w:eastAsia="en-GB"/>
              </w:rPr>
              <w:t>Note: Blockholder is defined as having absolute control of &gt;=50%</w:t>
            </w:r>
          </w:p>
        </w:tc>
        <w:tc>
          <w:tcPr>
            <w:tcW w:w="960" w:type="dxa"/>
            <w:tcBorders>
              <w:top w:val="nil"/>
              <w:left w:val="nil"/>
              <w:bottom w:val="nil"/>
              <w:right w:val="nil"/>
            </w:tcBorders>
            <w:shd w:val="clear" w:color="auto" w:fill="auto"/>
            <w:noWrap/>
            <w:vAlign w:val="bottom"/>
            <w:hideMark/>
          </w:tcPr>
          <w:p w14:paraId="4B3DD1B4"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1DA2C5DA" w14:textId="77777777" w:rsidR="00004D6D" w:rsidRPr="00770CA2" w:rsidRDefault="00004D6D" w:rsidP="00004D6D">
            <w:pPr>
              <w:spacing w:after="0" w:line="240" w:lineRule="auto"/>
              <w:rPr>
                <w:rFonts w:ascii="Times New Roman" w:eastAsia="Times New Roman" w:hAnsi="Times New Roman" w:cs="Times New Roman"/>
                <w:color w:val="000000"/>
                <w:sz w:val="20"/>
                <w:szCs w:val="20"/>
                <w:lang w:eastAsia="en-GB"/>
              </w:rPr>
            </w:pPr>
          </w:p>
        </w:tc>
      </w:tr>
    </w:tbl>
    <w:p w14:paraId="242F1000" w14:textId="77777777" w:rsidR="00004D6D" w:rsidRPr="00770CA2" w:rsidRDefault="00004D6D" w:rsidP="00004D6D">
      <w:pPr>
        <w:pStyle w:val="Caption"/>
        <w:jc w:val="center"/>
        <w:rPr>
          <w:rFonts w:ascii="Times New Roman" w:hAnsi="Times New Roman" w:cs="Times New Roman"/>
          <w:color w:val="auto"/>
          <w:sz w:val="24"/>
          <w:szCs w:val="24"/>
        </w:rPr>
        <w:sectPr w:rsidR="00004D6D" w:rsidRPr="00770CA2" w:rsidSect="00C17CAB">
          <w:footerReference w:type="default" r:id="rId15"/>
          <w:type w:val="continuous"/>
          <w:pgSz w:w="11906" w:h="16838" w:code="9"/>
          <w:pgMar w:top="1440" w:right="1440" w:bottom="1440" w:left="1440" w:header="709" w:footer="709" w:gutter="0"/>
          <w:cols w:space="708"/>
          <w:titlePg/>
          <w:docGrid w:linePitch="360"/>
        </w:sectPr>
      </w:pPr>
    </w:p>
    <w:p w14:paraId="3C8593F6" w14:textId="77777777" w:rsidR="00004D6D" w:rsidRPr="00F24865" w:rsidRDefault="00004D6D" w:rsidP="00004D6D">
      <w:pPr>
        <w:pStyle w:val="Caption"/>
        <w:jc w:val="center"/>
        <w:rPr>
          <w:rFonts w:ascii="Times New Roman" w:hAnsi="Times New Roman" w:cs="Times New Roman"/>
          <w:color w:val="auto"/>
          <w:sz w:val="24"/>
          <w:szCs w:val="24"/>
          <w:lang w:val="en-US"/>
        </w:rPr>
      </w:pPr>
      <w:r w:rsidRPr="00F24865">
        <w:rPr>
          <w:rFonts w:ascii="Times New Roman" w:hAnsi="Times New Roman" w:cs="Times New Roman"/>
          <w:color w:val="auto"/>
          <w:sz w:val="24"/>
          <w:szCs w:val="24"/>
          <w:lang w:val="en-US"/>
        </w:rPr>
        <w:lastRenderedPageBreak/>
        <w:t>T</w:t>
      </w:r>
      <w:r>
        <w:rPr>
          <w:rFonts w:ascii="Times New Roman" w:hAnsi="Times New Roman" w:cs="Times New Roman"/>
          <w:color w:val="auto"/>
          <w:sz w:val="24"/>
          <w:szCs w:val="24"/>
          <w:lang w:val="en-US"/>
        </w:rPr>
        <w:t>ABLE 2</w:t>
      </w:r>
    </w:p>
    <w:p w14:paraId="6B8A148A" w14:textId="77777777" w:rsidR="00004D6D" w:rsidRPr="00F24865" w:rsidRDefault="00004D6D" w:rsidP="00004D6D">
      <w:pPr>
        <w:pStyle w:val="Caption"/>
        <w:jc w:val="center"/>
        <w:rPr>
          <w:rFonts w:ascii="Times New Roman" w:hAnsi="Times New Roman" w:cs="Times New Roman"/>
          <w:color w:val="auto"/>
          <w:sz w:val="24"/>
          <w:szCs w:val="24"/>
          <w:lang w:val="en-US"/>
        </w:rPr>
      </w:pPr>
      <w:r w:rsidRPr="00F24865">
        <w:rPr>
          <w:rFonts w:ascii="Times New Roman" w:hAnsi="Times New Roman" w:cs="Times New Roman"/>
          <w:color w:val="auto"/>
          <w:sz w:val="24"/>
          <w:szCs w:val="24"/>
          <w:lang w:val="en-US"/>
        </w:rPr>
        <w:t xml:space="preserve">Pairwise correlations </w:t>
      </w:r>
    </w:p>
    <w:tbl>
      <w:tblPr>
        <w:tblW w:w="14420" w:type="dxa"/>
        <w:tblInd w:w="93" w:type="dxa"/>
        <w:tblLook w:val="04A0" w:firstRow="1" w:lastRow="0" w:firstColumn="1" w:lastColumn="0" w:noHBand="0" w:noVBand="1"/>
      </w:tblPr>
      <w:tblGrid>
        <w:gridCol w:w="2860"/>
        <w:gridCol w:w="980"/>
        <w:gridCol w:w="980"/>
        <w:gridCol w:w="960"/>
        <w:gridCol w:w="960"/>
        <w:gridCol w:w="960"/>
        <w:gridCol w:w="960"/>
        <w:gridCol w:w="960"/>
        <w:gridCol w:w="960"/>
        <w:gridCol w:w="960"/>
        <w:gridCol w:w="960"/>
        <w:gridCol w:w="960"/>
        <w:gridCol w:w="960"/>
      </w:tblGrid>
      <w:tr w:rsidR="00004D6D" w:rsidRPr="009500E8" w14:paraId="282169A3" w14:textId="77777777" w:rsidTr="00004D6D">
        <w:trPr>
          <w:trHeight w:val="20"/>
        </w:trPr>
        <w:tc>
          <w:tcPr>
            <w:tcW w:w="2860" w:type="dxa"/>
            <w:tcBorders>
              <w:top w:val="single" w:sz="4" w:space="0" w:color="auto"/>
              <w:left w:val="nil"/>
              <w:bottom w:val="single" w:sz="4" w:space="0" w:color="auto"/>
              <w:right w:val="single" w:sz="4" w:space="0" w:color="auto"/>
            </w:tcBorders>
            <w:shd w:val="clear" w:color="auto" w:fill="auto"/>
            <w:noWrap/>
            <w:vAlign w:val="bottom"/>
            <w:hideMark/>
          </w:tcPr>
          <w:p w14:paraId="2B42D99C"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Variable</w:t>
            </w:r>
          </w:p>
        </w:tc>
        <w:tc>
          <w:tcPr>
            <w:tcW w:w="980" w:type="dxa"/>
            <w:tcBorders>
              <w:top w:val="single" w:sz="4" w:space="0" w:color="auto"/>
              <w:left w:val="nil"/>
              <w:bottom w:val="single" w:sz="4" w:space="0" w:color="auto"/>
              <w:right w:val="nil"/>
            </w:tcBorders>
            <w:shd w:val="clear" w:color="auto" w:fill="auto"/>
            <w:noWrap/>
            <w:vAlign w:val="bottom"/>
            <w:hideMark/>
          </w:tcPr>
          <w:p w14:paraId="3EA309AB" w14:textId="77777777" w:rsidR="00004D6D" w:rsidRPr="009500E8" w:rsidRDefault="00004D6D" w:rsidP="00004D6D">
            <w:pPr>
              <w:spacing w:after="0" w:line="240" w:lineRule="auto"/>
              <w:contextualSpacing/>
              <w:jc w:val="center"/>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1</w:t>
            </w:r>
          </w:p>
        </w:tc>
        <w:tc>
          <w:tcPr>
            <w:tcW w:w="980" w:type="dxa"/>
            <w:tcBorders>
              <w:top w:val="single" w:sz="4" w:space="0" w:color="auto"/>
              <w:left w:val="nil"/>
              <w:bottom w:val="single" w:sz="4" w:space="0" w:color="auto"/>
              <w:right w:val="nil"/>
            </w:tcBorders>
            <w:shd w:val="clear" w:color="auto" w:fill="auto"/>
            <w:noWrap/>
            <w:vAlign w:val="bottom"/>
            <w:hideMark/>
          </w:tcPr>
          <w:p w14:paraId="0FB6B05A" w14:textId="77777777" w:rsidR="00004D6D" w:rsidRPr="009500E8" w:rsidRDefault="00004D6D" w:rsidP="00004D6D">
            <w:pPr>
              <w:spacing w:after="0" w:line="240" w:lineRule="auto"/>
              <w:contextualSpacing/>
              <w:jc w:val="center"/>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2</w:t>
            </w:r>
          </w:p>
        </w:tc>
        <w:tc>
          <w:tcPr>
            <w:tcW w:w="960" w:type="dxa"/>
            <w:tcBorders>
              <w:top w:val="single" w:sz="4" w:space="0" w:color="auto"/>
              <w:left w:val="nil"/>
              <w:bottom w:val="single" w:sz="4" w:space="0" w:color="auto"/>
              <w:right w:val="nil"/>
            </w:tcBorders>
            <w:shd w:val="clear" w:color="auto" w:fill="auto"/>
            <w:noWrap/>
            <w:vAlign w:val="bottom"/>
            <w:hideMark/>
          </w:tcPr>
          <w:p w14:paraId="6E982E41" w14:textId="77777777" w:rsidR="00004D6D" w:rsidRPr="009500E8" w:rsidRDefault="00004D6D" w:rsidP="00004D6D">
            <w:pPr>
              <w:spacing w:after="0" w:line="240" w:lineRule="auto"/>
              <w:contextualSpacing/>
              <w:jc w:val="center"/>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3</w:t>
            </w:r>
          </w:p>
        </w:tc>
        <w:tc>
          <w:tcPr>
            <w:tcW w:w="960" w:type="dxa"/>
            <w:tcBorders>
              <w:top w:val="single" w:sz="4" w:space="0" w:color="auto"/>
              <w:left w:val="nil"/>
              <w:bottom w:val="single" w:sz="4" w:space="0" w:color="auto"/>
              <w:right w:val="nil"/>
            </w:tcBorders>
            <w:shd w:val="clear" w:color="auto" w:fill="auto"/>
            <w:noWrap/>
            <w:vAlign w:val="bottom"/>
            <w:hideMark/>
          </w:tcPr>
          <w:p w14:paraId="5F337157" w14:textId="77777777" w:rsidR="00004D6D" w:rsidRPr="009500E8" w:rsidRDefault="00004D6D" w:rsidP="00004D6D">
            <w:pPr>
              <w:spacing w:after="0" w:line="240" w:lineRule="auto"/>
              <w:contextualSpacing/>
              <w:jc w:val="center"/>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4</w:t>
            </w:r>
          </w:p>
        </w:tc>
        <w:tc>
          <w:tcPr>
            <w:tcW w:w="960" w:type="dxa"/>
            <w:tcBorders>
              <w:top w:val="single" w:sz="4" w:space="0" w:color="auto"/>
              <w:left w:val="nil"/>
              <w:bottom w:val="single" w:sz="4" w:space="0" w:color="auto"/>
              <w:right w:val="nil"/>
            </w:tcBorders>
            <w:shd w:val="clear" w:color="auto" w:fill="auto"/>
            <w:noWrap/>
            <w:vAlign w:val="bottom"/>
            <w:hideMark/>
          </w:tcPr>
          <w:p w14:paraId="53900F04" w14:textId="77777777" w:rsidR="00004D6D" w:rsidRPr="009500E8" w:rsidRDefault="00004D6D" w:rsidP="00004D6D">
            <w:pPr>
              <w:spacing w:after="0" w:line="240" w:lineRule="auto"/>
              <w:contextualSpacing/>
              <w:jc w:val="center"/>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5</w:t>
            </w:r>
          </w:p>
        </w:tc>
        <w:tc>
          <w:tcPr>
            <w:tcW w:w="960" w:type="dxa"/>
            <w:tcBorders>
              <w:top w:val="single" w:sz="4" w:space="0" w:color="auto"/>
              <w:left w:val="nil"/>
              <w:bottom w:val="single" w:sz="4" w:space="0" w:color="auto"/>
              <w:right w:val="nil"/>
            </w:tcBorders>
            <w:shd w:val="clear" w:color="auto" w:fill="auto"/>
            <w:noWrap/>
            <w:vAlign w:val="bottom"/>
            <w:hideMark/>
          </w:tcPr>
          <w:p w14:paraId="589CE252" w14:textId="77777777" w:rsidR="00004D6D" w:rsidRPr="009500E8" w:rsidRDefault="00004D6D" w:rsidP="00004D6D">
            <w:pPr>
              <w:spacing w:after="0" w:line="240" w:lineRule="auto"/>
              <w:contextualSpacing/>
              <w:jc w:val="center"/>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6</w:t>
            </w:r>
          </w:p>
        </w:tc>
        <w:tc>
          <w:tcPr>
            <w:tcW w:w="960" w:type="dxa"/>
            <w:tcBorders>
              <w:top w:val="single" w:sz="4" w:space="0" w:color="auto"/>
              <w:left w:val="nil"/>
              <w:bottom w:val="single" w:sz="4" w:space="0" w:color="auto"/>
              <w:right w:val="nil"/>
            </w:tcBorders>
            <w:shd w:val="clear" w:color="auto" w:fill="auto"/>
            <w:noWrap/>
            <w:vAlign w:val="bottom"/>
            <w:hideMark/>
          </w:tcPr>
          <w:p w14:paraId="15A343C6" w14:textId="77777777" w:rsidR="00004D6D" w:rsidRPr="009500E8" w:rsidRDefault="00004D6D" w:rsidP="00004D6D">
            <w:pPr>
              <w:spacing w:after="0" w:line="240" w:lineRule="auto"/>
              <w:contextualSpacing/>
              <w:jc w:val="center"/>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7</w:t>
            </w:r>
          </w:p>
        </w:tc>
        <w:tc>
          <w:tcPr>
            <w:tcW w:w="960" w:type="dxa"/>
            <w:tcBorders>
              <w:top w:val="single" w:sz="4" w:space="0" w:color="auto"/>
              <w:left w:val="nil"/>
              <w:bottom w:val="single" w:sz="4" w:space="0" w:color="auto"/>
              <w:right w:val="nil"/>
            </w:tcBorders>
            <w:shd w:val="clear" w:color="auto" w:fill="auto"/>
            <w:noWrap/>
            <w:vAlign w:val="bottom"/>
            <w:hideMark/>
          </w:tcPr>
          <w:p w14:paraId="336BD08E" w14:textId="77777777" w:rsidR="00004D6D" w:rsidRPr="009500E8" w:rsidRDefault="00004D6D" w:rsidP="00004D6D">
            <w:pPr>
              <w:spacing w:after="0" w:line="240" w:lineRule="auto"/>
              <w:contextualSpacing/>
              <w:jc w:val="center"/>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8</w:t>
            </w:r>
          </w:p>
        </w:tc>
        <w:tc>
          <w:tcPr>
            <w:tcW w:w="960" w:type="dxa"/>
            <w:tcBorders>
              <w:top w:val="single" w:sz="4" w:space="0" w:color="auto"/>
              <w:left w:val="nil"/>
              <w:bottom w:val="single" w:sz="4" w:space="0" w:color="auto"/>
              <w:right w:val="nil"/>
            </w:tcBorders>
            <w:shd w:val="clear" w:color="auto" w:fill="auto"/>
            <w:noWrap/>
            <w:vAlign w:val="bottom"/>
            <w:hideMark/>
          </w:tcPr>
          <w:p w14:paraId="4A2CB851" w14:textId="77777777" w:rsidR="00004D6D" w:rsidRPr="009500E8" w:rsidRDefault="00004D6D" w:rsidP="00004D6D">
            <w:pPr>
              <w:spacing w:after="0" w:line="240" w:lineRule="auto"/>
              <w:contextualSpacing/>
              <w:jc w:val="center"/>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9</w:t>
            </w:r>
          </w:p>
        </w:tc>
        <w:tc>
          <w:tcPr>
            <w:tcW w:w="960" w:type="dxa"/>
            <w:tcBorders>
              <w:top w:val="single" w:sz="4" w:space="0" w:color="auto"/>
              <w:left w:val="nil"/>
              <w:bottom w:val="single" w:sz="4" w:space="0" w:color="auto"/>
              <w:right w:val="nil"/>
            </w:tcBorders>
            <w:shd w:val="clear" w:color="auto" w:fill="auto"/>
            <w:noWrap/>
            <w:vAlign w:val="bottom"/>
            <w:hideMark/>
          </w:tcPr>
          <w:p w14:paraId="30A7E85F" w14:textId="77777777" w:rsidR="00004D6D" w:rsidRPr="009500E8" w:rsidRDefault="00004D6D" w:rsidP="00004D6D">
            <w:pPr>
              <w:spacing w:after="0" w:line="240" w:lineRule="auto"/>
              <w:contextualSpacing/>
              <w:jc w:val="center"/>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10</w:t>
            </w:r>
          </w:p>
        </w:tc>
        <w:tc>
          <w:tcPr>
            <w:tcW w:w="960" w:type="dxa"/>
            <w:tcBorders>
              <w:top w:val="single" w:sz="4" w:space="0" w:color="auto"/>
              <w:left w:val="nil"/>
              <w:bottom w:val="single" w:sz="4" w:space="0" w:color="auto"/>
              <w:right w:val="nil"/>
            </w:tcBorders>
            <w:shd w:val="clear" w:color="auto" w:fill="auto"/>
            <w:noWrap/>
            <w:vAlign w:val="bottom"/>
            <w:hideMark/>
          </w:tcPr>
          <w:p w14:paraId="348A6266" w14:textId="77777777" w:rsidR="00004D6D" w:rsidRPr="009500E8" w:rsidRDefault="00004D6D" w:rsidP="00004D6D">
            <w:pPr>
              <w:spacing w:after="0" w:line="240" w:lineRule="auto"/>
              <w:contextualSpacing/>
              <w:jc w:val="center"/>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11</w:t>
            </w:r>
          </w:p>
        </w:tc>
        <w:tc>
          <w:tcPr>
            <w:tcW w:w="960" w:type="dxa"/>
            <w:tcBorders>
              <w:top w:val="single" w:sz="4" w:space="0" w:color="auto"/>
              <w:left w:val="nil"/>
              <w:bottom w:val="single" w:sz="4" w:space="0" w:color="auto"/>
              <w:right w:val="nil"/>
            </w:tcBorders>
            <w:shd w:val="clear" w:color="auto" w:fill="auto"/>
            <w:noWrap/>
            <w:vAlign w:val="bottom"/>
            <w:hideMark/>
          </w:tcPr>
          <w:p w14:paraId="3BEDAD62" w14:textId="77777777" w:rsidR="00004D6D" w:rsidRPr="009500E8" w:rsidRDefault="00004D6D" w:rsidP="00004D6D">
            <w:pPr>
              <w:spacing w:after="0" w:line="240" w:lineRule="auto"/>
              <w:contextualSpacing/>
              <w:jc w:val="center"/>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12</w:t>
            </w:r>
          </w:p>
        </w:tc>
      </w:tr>
      <w:tr w:rsidR="00004D6D" w:rsidRPr="009500E8" w14:paraId="178426F4"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24DE4E4F"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 </w:t>
            </w:r>
          </w:p>
        </w:tc>
        <w:tc>
          <w:tcPr>
            <w:tcW w:w="980" w:type="dxa"/>
            <w:tcBorders>
              <w:top w:val="nil"/>
              <w:left w:val="nil"/>
              <w:bottom w:val="nil"/>
              <w:right w:val="nil"/>
            </w:tcBorders>
            <w:shd w:val="clear" w:color="auto" w:fill="auto"/>
            <w:noWrap/>
            <w:vAlign w:val="bottom"/>
            <w:hideMark/>
          </w:tcPr>
          <w:p w14:paraId="7F6EFA19"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80" w:type="dxa"/>
            <w:tcBorders>
              <w:top w:val="nil"/>
              <w:left w:val="nil"/>
              <w:bottom w:val="nil"/>
              <w:right w:val="nil"/>
            </w:tcBorders>
            <w:shd w:val="clear" w:color="auto" w:fill="auto"/>
            <w:noWrap/>
            <w:vAlign w:val="bottom"/>
            <w:hideMark/>
          </w:tcPr>
          <w:p w14:paraId="5F7D8345"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6D21E75F"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8B62AA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0F8E844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6974B80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3DC505DD"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A7ECBE5"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7D60FD8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0CEA64F5"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172FC0E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1E07423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7E7BAE65"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43D7127E"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1. Investment (</w:t>
            </w:r>
            <w:r w:rsidRPr="009500E8">
              <w:rPr>
                <w:rFonts w:ascii="Wingdings 3" w:eastAsia="Times New Roman" w:hAnsi="Wingdings 3" w:cs="Times New Roman"/>
                <w:color w:val="000000"/>
                <w:sz w:val="20"/>
                <w:szCs w:val="20"/>
                <w:lang w:eastAsia="en-GB"/>
              </w:rPr>
              <w:t></w:t>
            </w:r>
            <w:r w:rsidRPr="009500E8">
              <w:rPr>
                <w:rFonts w:ascii="Times New Roman" w:eastAsia="Times New Roman" w:hAnsi="Times New Roman" w:cs="Times New Roman"/>
                <w:color w:val="000000"/>
                <w:sz w:val="20"/>
                <w:szCs w:val="20"/>
                <w:lang w:eastAsia="en-GB"/>
              </w:rPr>
              <w:t>ln)</w:t>
            </w:r>
          </w:p>
        </w:tc>
        <w:tc>
          <w:tcPr>
            <w:tcW w:w="980" w:type="dxa"/>
            <w:tcBorders>
              <w:top w:val="nil"/>
              <w:left w:val="nil"/>
              <w:bottom w:val="nil"/>
              <w:right w:val="nil"/>
            </w:tcBorders>
            <w:shd w:val="clear" w:color="auto" w:fill="auto"/>
            <w:noWrap/>
            <w:vAlign w:val="bottom"/>
            <w:hideMark/>
          </w:tcPr>
          <w:p w14:paraId="2CED39ED"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1.0000</w:t>
            </w:r>
          </w:p>
        </w:tc>
        <w:tc>
          <w:tcPr>
            <w:tcW w:w="980" w:type="dxa"/>
            <w:tcBorders>
              <w:top w:val="nil"/>
              <w:left w:val="nil"/>
              <w:bottom w:val="nil"/>
              <w:right w:val="nil"/>
            </w:tcBorders>
            <w:shd w:val="clear" w:color="auto" w:fill="auto"/>
            <w:noWrap/>
            <w:vAlign w:val="bottom"/>
            <w:hideMark/>
          </w:tcPr>
          <w:p w14:paraId="23D3FDE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16BF973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F186009"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7529114F"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389EDF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1D7A4CA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77DAB605"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1C85CF7C"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547590A7"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3D3B30E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22CF1C4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59180F37" w14:textId="77777777" w:rsidTr="00004D6D">
        <w:trPr>
          <w:trHeight w:val="68"/>
        </w:trPr>
        <w:tc>
          <w:tcPr>
            <w:tcW w:w="2860" w:type="dxa"/>
            <w:tcBorders>
              <w:top w:val="nil"/>
              <w:left w:val="nil"/>
              <w:bottom w:val="nil"/>
              <w:right w:val="single" w:sz="4" w:space="0" w:color="auto"/>
            </w:tcBorders>
            <w:shd w:val="clear" w:color="auto" w:fill="auto"/>
            <w:noWrap/>
            <w:vAlign w:val="bottom"/>
            <w:hideMark/>
          </w:tcPr>
          <w:p w14:paraId="69DE4F27"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r w:rsidRPr="009500E8">
              <w:rPr>
                <w:rFonts w:ascii="Times New Roman" w:eastAsia="Times New Roman" w:hAnsi="Times New Roman" w:cs="Times New Roman"/>
                <w:color w:val="000000"/>
                <w:sz w:val="10"/>
                <w:szCs w:val="10"/>
                <w:lang w:eastAsia="en-GB"/>
              </w:rPr>
              <w:t> </w:t>
            </w:r>
          </w:p>
        </w:tc>
        <w:tc>
          <w:tcPr>
            <w:tcW w:w="980" w:type="dxa"/>
            <w:tcBorders>
              <w:top w:val="nil"/>
              <w:left w:val="nil"/>
              <w:bottom w:val="nil"/>
              <w:right w:val="nil"/>
            </w:tcBorders>
            <w:shd w:val="clear" w:color="auto" w:fill="auto"/>
            <w:noWrap/>
            <w:vAlign w:val="bottom"/>
            <w:hideMark/>
          </w:tcPr>
          <w:p w14:paraId="108F6BC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80" w:type="dxa"/>
            <w:tcBorders>
              <w:top w:val="nil"/>
              <w:left w:val="nil"/>
              <w:bottom w:val="nil"/>
              <w:right w:val="nil"/>
            </w:tcBorders>
            <w:shd w:val="clear" w:color="auto" w:fill="auto"/>
            <w:noWrap/>
            <w:vAlign w:val="bottom"/>
            <w:hideMark/>
          </w:tcPr>
          <w:p w14:paraId="692583C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5F3C8F9A"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315DF6E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7CD54A89"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1D997570"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233B135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2C61DFA7"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41CDC47D"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0DF7B97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7391E935"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3FAC893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r>
      <w:tr w:rsidR="00004D6D" w:rsidRPr="009500E8" w14:paraId="1035A769"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0B0C98D6"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2. GCF (</w:t>
            </w:r>
            <w:r w:rsidRPr="009500E8">
              <w:rPr>
                <w:rFonts w:ascii="Wingdings 3" w:eastAsia="Times New Roman" w:hAnsi="Wingdings 3" w:cs="Times New Roman"/>
                <w:color w:val="000000"/>
                <w:sz w:val="20"/>
                <w:szCs w:val="20"/>
                <w:lang w:eastAsia="en-GB"/>
              </w:rPr>
              <w:t></w:t>
            </w:r>
            <w:r w:rsidRPr="009500E8">
              <w:rPr>
                <w:rFonts w:ascii="Times New Roman" w:eastAsia="Times New Roman" w:hAnsi="Times New Roman" w:cs="Times New Roman"/>
                <w:color w:val="000000"/>
                <w:sz w:val="20"/>
                <w:szCs w:val="20"/>
                <w:lang w:eastAsia="en-GB"/>
              </w:rPr>
              <w:t>ln)</w:t>
            </w:r>
          </w:p>
        </w:tc>
        <w:tc>
          <w:tcPr>
            <w:tcW w:w="980" w:type="dxa"/>
            <w:tcBorders>
              <w:top w:val="nil"/>
              <w:left w:val="nil"/>
              <w:bottom w:val="nil"/>
              <w:right w:val="nil"/>
            </w:tcBorders>
            <w:shd w:val="clear" w:color="auto" w:fill="auto"/>
            <w:noWrap/>
            <w:vAlign w:val="bottom"/>
            <w:hideMark/>
          </w:tcPr>
          <w:p w14:paraId="7D4FF3C6"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0.1290</w:t>
            </w:r>
          </w:p>
        </w:tc>
        <w:tc>
          <w:tcPr>
            <w:tcW w:w="980" w:type="dxa"/>
            <w:tcBorders>
              <w:top w:val="nil"/>
              <w:left w:val="nil"/>
              <w:bottom w:val="nil"/>
              <w:right w:val="nil"/>
            </w:tcBorders>
            <w:shd w:val="clear" w:color="auto" w:fill="auto"/>
            <w:noWrap/>
            <w:vAlign w:val="bottom"/>
            <w:hideMark/>
          </w:tcPr>
          <w:p w14:paraId="7F47EF4F"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1.0000</w:t>
            </w:r>
          </w:p>
        </w:tc>
        <w:tc>
          <w:tcPr>
            <w:tcW w:w="960" w:type="dxa"/>
            <w:tcBorders>
              <w:top w:val="nil"/>
              <w:left w:val="nil"/>
              <w:bottom w:val="nil"/>
              <w:right w:val="nil"/>
            </w:tcBorders>
            <w:shd w:val="clear" w:color="auto" w:fill="auto"/>
            <w:noWrap/>
            <w:vAlign w:val="bottom"/>
            <w:hideMark/>
          </w:tcPr>
          <w:p w14:paraId="05B4979F"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7C29743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5D5C70CB"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3E5FFDAE"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0393BF3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561AC9D6"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5CBE0D6D"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0216040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21A4B2C5"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66AF49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130ABBBF"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7564323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 </w:t>
            </w:r>
          </w:p>
        </w:tc>
        <w:tc>
          <w:tcPr>
            <w:tcW w:w="980" w:type="dxa"/>
            <w:tcBorders>
              <w:top w:val="nil"/>
              <w:left w:val="nil"/>
              <w:bottom w:val="nil"/>
              <w:right w:val="nil"/>
            </w:tcBorders>
            <w:shd w:val="clear" w:color="auto" w:fill="auto"/>
            <w:noWrap/>
            <w:vAlign w:val="bottom"/>
            <w:hideMark/>
          </w:tcPr>
          <w:p w14:paraId="1FE78EB3"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0.0572</w:t>
            </w:r>
          </w:p>
        </w:tc>
        <w:tc>
          <w:tcPr>
            <w:tcW w:w="980" w:type="dxa"/>
            <w:tcBorders>
              <w:top w:val="nil"/>
              <w:left w:val="nil"/>
              <w:bottom w:val="nil"/>
              <w:right w:val="nil"/>
            </w:tcBorders>
            <w:shd w:val="clear" w:color="auto" w:fill="auto"/>
            <w:noWrap/>
            <w:vAlign w:val="bottom"/>
            <w:hideMark/>
          </w:tcPr>
          <w:p w14:paraId="115A225A"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9E4887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5F536EA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1EC801F0"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79FF19CB"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A8D772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30202CE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5D6702FD"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53EA8DC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684E24BE"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18E48D3A"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02BA895E" w14:textId="77777777" w:rsidTr="00004D6D">
        <w:trPr>
          <w:trHeight w:val="68"/>
        </w:trPr>
        <w:tc>
          <w:tcPr>
            <w:tcW w:w="2860" w:type="dxa"/>
            <w:tcBorders>
              <w:top w:val="nil"/>
              <w:left w:val="nil"/>
              <w:bottom w:val="nil"/>
              <w:right w:val="single" w:sz="4" w:space="0" w:color="auto"/>
            </w:tcBorders>
            <w:shd w:val="clear" w:color="auto" w:fill="auto"/>
            <w:noWrap/>
            <w:vAlign w:val="bottom"/>
            <w:hideMark/>
          </w:tcPr>
          <w:p w14:paraId="1DD1416A"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r w:rsidRPr="009500E8">
              <w:rPr>
                <w:rFonts w:ascii="Times New Roman" w:eastAsia="Times New Roman" w:hAnsi="Times New Roman" w:cs="Times New Roman"/>
                <w:color w:val="000000"/>
                <w:sz w:val="10"/>
                <w:szCs w:val="10"/>
                <w:lang w:eastAsia="en-GB"/>
              </w:rPr>
              <w:t> </w:t>
            </w:r>
          </w:p>
        </w:tc>
        <w:tc>
          <w:tcPr>
            <w:tcW w:w="980" w:type="dxa"/>
            <w:tcBorders>
              <w:top w:val="nil"/>
              <w:left w:val="nil"/>
              <w:bottom w:val="nil"/>
              <w:right w:val="nil"/>
            </w:tcBorders>
            <w:shd w:val="clear" w:color="auto" w:fill="auto"/>
            <w:noWrap/>
            <w:vAlign w:val="bottom"/>
            <w:hideMark/>
          </w:tcPr>
          <w:p w14:paraId="7FC74DBB"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80" w:type="dxa"/>
            <w:tcBorders>
              <w:top w:val="nil"/>
              <w:left w:val="nil"/>
              <w:bottom w:val="nil"/>
              <w:right w:val="nil"/>
            </w:tcBorders>
            <w:shd w:val="clear" w:color="auto" w:fill="auto"/>
            <w:noWrap/>
            <w:vAlign w:val="bottom"/>
            <w:hideMark/>
          </w:tcPr>
          <w:p w14:paraId="1BFDF10D"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78154BC6"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6408D2C7"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418B133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0F6C95D9"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53BD6525"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23DE28F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1CD559A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3FDC322E"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7D7DED7E"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630CF25B"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r>
      <w:tr w:rsidR="00004D6D" w:rsidRPr="009500E8" w14:paraId="6FA439B7"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49349BBD"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3. LT Debt (ln)</w:t>
            </w:r>
          </w:p>
        </w:tc>
        <w:tc>
          <w:tcPr>
            <w:tcW w:w="980" w:type="dxa"/>
            <w:tcBorders>
              <w:top w:val="nil"/>
              <w:left w:val="nil"/>
              <w:bottom w:val="nil"/>
              <w:right w:val="nil"/>
            </w:tcBorders>
            <w:shd w:val="clear" w:color="auto" w:fill="auto"/>
            <w:noWrap/>
            <w:vAlign w:val="bottom"/>
            <w:hideMark/>
          </w:tcPr>
          <w:p w14:paraId="02476B2C"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0.1228</w:t>
            </w:r>
          </w:p>
        </w:tc>
        <w:tc>
          <w:tcPr>
            <w:tcW w:w="980" w:type="dxa"/>
            <w:tcBorders>
              <w:top w:val="nil"/>
              <w:left w:val="nil"/>
              <w:bottom w:val="nil"/>
              <w:right w:val="nil"/>
            </w:tcBorders>
            <w:shd w:val="clear" w:color="auto" w:fill="auto"/>
            <w:noWrap/>
            <w:vAlign w:val="bottom"/>
            <w:hideMark/>
          </w:tcPr>
          <w:p w14:paraId="08E7225F"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0.0418</w:t>
            </w:r>
          </w:p>
        </w:tc>
        <w:tc>
          <w:tcPr>
            <w:tcW w:w="960" w:type="dxa"/>
            <w:tcBorders>
              <w:top w:val="nil"/>
              <w:left w:val="nil"/>
              <w:bottom w:val="nil"/>
              <w:right w:val="nil"/>
            </w:tcBorders>
            <w:shd w:val="clear" w:color="auto" w:fill="auto"/>
            <w:noWrap/>
            <w:vAlign w:val="bottom"/>
            <w:hideMark/>
          </w:tcPr>
          <w:p w14:paraId="261E5083"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1.0000</w:t>
            </w:r>
          </w:p>
        </w:tc>
        <w:tc>
          <w:tcPr>
            <w:tcW w:w="960" w:type="dxa"/>
            <w:tcBorders>
              <w:top w:val="nil"/>
              <w:left w:val="nil"/>
              <w:bottom w:val="nil"/>
              <w:right w:val="nil"/>
            </w:tcBorders>
            <w:shd w:val="clear" w:color="auto" w:fill="auto"/>
            <w:noWrap/>
            <w:vAlign w:val="bottom"/>
            <w:hideMark/>
          </w:tcPr>
          <w:p w14:paraId="74036C5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25F865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65B12266"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578193BF"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210DE76C"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2D73D65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FF221EA"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170C003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2707779"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41554716"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0A471CBE"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 </w:t>
            </w:r>
          </w:p>
        </w:tc>
        <w:tc>
          <w:tcPr>
            <w:tcW w:w="980" w:type="dxa"/>
            <w:tcBorders>
              <w:top w:val="nil"/>
              <w:left w:val="nil"/>
              <w:bottom w:val="nil"/>
              <w:right w:val="nil"/>
            </w:tcBorders>
            <w:shd w:val="clear" w:color="auto" w:fill="auto"/>
            <w:noWrap/>
            <w:vAlign w:val="bottom"/>
            <w:hideMark/>
          </w:tcPr>
          <w:p w14:paraId="652650DB"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0.0704</w:t>
            </w:r>
          </w:p>
        </w:tc>
        <w:tc>
          <w:tcPr>
            <w:tcW w:w="980" w:type="dxa"/>
            <w:tcBorders>
              <w:top w:val="nil"/>
              <w:left w:val="nil"/>
              <w:bottom w:val="nil"/>
              <w:right w:val="nil"/>
            </w:tcBorders>
            <w:shd w:val="clear" w:color="auto" w:fill="auto"/>
            <w:noWrap/>
            <w:vAlign w:val="bottom"/>
            <w:hideMark/>
          </w:tcPr>
          <w:p w14:paraId="09F8C55E"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0.5394</w:t>
            </w:r>
          </w:p>
        </w:tc>
        <w:tc>
          <w:tcPr>
            <w:tcW w:w="960" w:type="dxa"/>
            <w:tcBorders>
              <w:top w:val="nil"/>
              <w:left w:val="nil"/>
              <w:bottom w:val="nil"/>
              <w:right w:val="nil"/>
            </w:tcBorders>
            <w:shd w:val="clear" w:color="auto" w:fill="auto"/>
            <w:noWrap/>
            <w:vAlign w:val="bottom"/>
            <w:hideMark/>
          </w:tcPr>
          <w:p w14:paraId="27B85887"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6629016A"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E283F8F"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791B3B0B"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24B51CFE"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532609D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7553BD6A"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28967C9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3035F0FD"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206AEEBB"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5C0B80FC"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7F94F7F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r w:rsidRPr="009500E8">
              <w:rPr>
                <w:rFonts w:ascii="Times New Roman" w:eastAsia="Times New Roman" w:hAnsi="Times New Roman" w:cs="Times New Roman"/>
                <w:color w:val="000000"/>
                <w:sz w:val="10"/>
                <w:szCs w:val="10"/>
                <w:lang w:eastAsia="en-GB"/>
              </w:rPr>
              <w:t> </w:t>
            </w:r>
          </w:p>
        </w:tc>
        <w:tc>
          <w:tcPr>
            <w:tcW w:w="980" w:type="dxa"/>
            <w:tcBorders>
              <w:top w:val="nil"/>
              <w:left w:val="nil"/>
              <w:bottom w:val="nil"/>
              <w:right w:val="nil"/>
            </w:tcBorders>
            <w:shd w:val="clear" w:color="auto" w:fill="auto"/>
            <w:noWrap/>
            <w:vAlign w:val="bottom"/>
            <w:hideMark/>
          </w:tcPr>
          <w:p w14:paraId="10F900C5"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80" w:type="dxa"/>
            <w:tcBorders>
              <w:top w:val="nil"/>
              <w:left w:val="nil"/>
              <w:bottom w:val="nil"/>
              <w:right w:val="nil"/>
            </w:tcBorders>
            <w:shd w:val="clear" w:color="auto" w:fill="auto"/>
            <w:noWrap/>
            <w:vAlign w:val="bottom"/>
            <w:hideMark/>
          </w:tcPr>
          <w:p w14:paraId="3B9F30CD"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651FFAE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16E8F58A"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02207A8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3308C317"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7231187B"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60851055"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6BD06B36"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35ADEAC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6C13DCEE"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510F891A"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r>
      <w:tr w:rsidR="00004D6D" w:rsidRPr="009500E8" w14:paraId="078B452C"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40603BE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4. Equity (ln)</w:t>
            </w:r>
          </w:p>
        </w:tc>
        <w:tc>
          <w:tcPr>
            <w:tcW w:w="980" w:type="dxa"/>
            <w:tcBorders>
              <w:top w:val="nil"/>
              <w:left w:val="nil"/>
              <w:bottom w:val="nil"/>
              <w:right w:val="nil"/>
            </w:tcBorders>
            <w:shd w:val="clear" w:color="auto" w:fill="auto"/>
            <w:noWrap/>
            <w:vAlign w:val="bottom"/>
            <w:hideMark/>
          </w:tcPr>
          <w:p w14:paraId="46E61C00"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0.1437</w:t>
            </w:r>
          </w:p>
        </w:tc>
        <w:tc>
          <w:tcPr>
            <w:tcW w:w="980" w:type="dxa"/>
            <w:tcBorders>
              <w:top w:val="nil"/>
              <w:left w:val="nil"/>
              <w:bottom w:val="nil"/>
              <w:right w:val="nil"/>
            </w:tcBorders>
            <w:shd w:val="clear" w:color="auto" w:fill="auto"/>
            <w:noWrap/>
            <w:vAlign w:val="bottom"/>
            <w:hideMark/>
          </w:tcPr>
          <w:p w14:paraId="04CD101C"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0.0851</w:t>
            </w:r>
          </w:p>
        </w:tc>
        <w:tc>
          <w:tcPr>
            <w:tcW w:w="960" w:type="dxa"/>
            <w:tcBorders>
              <w:top w:val="nil"/>
              <w:left w:val="nil"/>
              <w:bottom w:val="nil"/>
              <w:right w:val="nil"/>
            </w:tcBorders>
            <w:shd w:val="clear" w:color="auto" w:fill="auto"/>
            <w:noWrap/>
            <w:vAlign w:val="bottom"/>
            <w:hideMark/>
          </w:tcPr>
          <w:p w14:paraId="49EFA90F"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-0.1421</w:t>
            </w:r>
          </w:p>
        </w:tc>
        <w:tc>
          <w:tcPr>
            <w:tcW w:w="960" w:type="dxa"/>
            <w:tcBorders>
              <w:top w:val="nil"/>
              <w:left w:val="nil"/>
              <w:bottom w:val="nil"/>
              <w:right w:val="nil"/>
            </w:tcBorders>
            <w:shd w:val="clear" w:color="auto" w:fill="auto"/>
            <w:noWrap/>
            <w:vAlign w:val="bottom"/>
            <w:hideMark/>
          </w:tcPr>
          <w:p w14:paraId="0A3588B5"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1.0000</w:t>
            </w:r>
          </w:p>
        </w:tc>
        <w:tc>
          <w:tcPr>
            <w:tcW w:w="960" w:type="dxa"/>
            <w:tcBorders>
              <w:top w:val="nil"/>
              <w:left w:val="nil"/>
              <w:bottom w:val="nil"/>
              <w:right w:val="nil"/>
            </w:tcBorders>
            <w:shd w:val="clear" w:color="auto" w:fill="auto"/>
            <w:noWrap/>
            <w:vAlign w:val="bottom"/>
            <w:hideMark/>
          </w:tcPr>
          <w:p w14:paraId="42CA3C9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6382D5C7"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2D500F3B"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73651F66"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09728B8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0A5ED305"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72D223A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02AED0C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0A0F23A8"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04E9604A"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 </w:t>
            </w:r>
          </w:p>
        </w:tc>
        <w:tc>
          <w:tcPr>
            <w:tcW w:w="980" w:type="dxa"/>
            <w:tcBorders>
              <w:top w:val="nil"/>
              <w:left w:val="nil"/>
              <w:bottom w:val="nil"/>
              <w:right w:val="nil"/>
            </w:tcBorders>
            <w:shd w:val="clear" w:color="auto" w:fill="auto"/>
            <w:noWrap/>
            <w:vAlign w:val="bottom"/>
            <w:hideMark/>
          </w:tcPr>
          <w:p w14:paraId="081F9CF1"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0.0340</w:t>
            </w:r>
          </w:p>
        </w:tc>
        <w:tc>
          <w:tcPr>
            <w:tcW w:w="980" w:type="dxa"/>
            <w:tcBorders>
              <w:top w:val="nil"/>
              <w:left w:val="nil"/>
              <w:bottom w:val="nil"/>
              <w:right w:val="nil"/>
            </w:tcBorders>
            <w:shd w:val="clear" w:color="auto" w:fill="auto"/>
            <w:noWrap/>
            <w:vAlign w:val="bottom"/>
            <w:hideMark/>
          </w:tcPr>
          <w:p w14:paraId="3FD47842"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0.2105</w:t>
            </w:r>
          </w:p>
        </w:tc>
        <w:tc>
          <w:tcPr>
            <w:tcW w:w="960" w:type="dxa"/>
            <w:tcBorders>
              <w:top w:val="nil"/>
              <w:left w:val="nil"/>
              <w:bottom w:val="nil"/>
              <w:right w:val="nil"/>
            </w:tcBorders>
            <w:shd w:val="clear" w:color="auto" w:fill="auto"/>
            <w:noWrap/>
            <w:vAlign w:val="bottom"/>
            <w:hideMark/>
          </w:tcPr>
          <w:p w14:paraId="55166371"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0.0361</w:t>
            </w:r>
          </w:p>
        </w:tc>
        <w:tc>
          <w:tcPr>
            <w:tcW w:w="960" w:type="dxa"/>
            <w:tcBorders>
              <w:top w:val="nil"/>
              <w:left w:val="nil"/>
              <w:bottom w:val="nil"/>
              <w:right w:val="nil"/>
            </w:tcBorders>
            <w:shd w:val="clear" w:color="auto" w:fill="auto"/>
            <w:noWrap/>
            <w:vAlign w:val="bottom"/>
            <w:hideMark/>
          </w:tcPr>
          <w:p w14:paraId="56F1D10C"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15EDA1E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586843DA"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32FFD97D"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1C475B57"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7887E4A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105BE8E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3101F6A7"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3360224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4B7AA8A5"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01D7AA2B"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r w:rsidRPr="009500E8">
              <w:rPr>
                <w:rFonts w:ascii="Times New Roman" w:eastAsia="Times New Roman" w:hAnsi="Times New Roman" w:cs="Times New Roman"/>
                <w:color w:val="000000"/>
                <w:sz w:val="10"/>
                <w:szCs w:val="10"/>
                <w:lang w:eastAsia="en-GB"/>
              </w:rPr>
              <w:t> </w:t>
            </w:r>
          </w:p>
        </w:tc>
        <w:tc>
          <w:tcPr>
            <w:tcW w:w="980" w:type="dxa"/>
            <w:tcBorders>
              <w:top w:val="nil"/>
              <w:left w:val="nil"/>
              <w:bottom w:val="nil"/>
              <w:right w:val="nil"/>
            </w:tcBorders>
            <w:shd w:val="clear" w:color="auto" w:fill="auto"/>
            <w:noWrap/>
            <w:vAlign w:val="bottom"/>
            <w:hideMark/>
          </w:tcPr>
          <w:p w14:paraId="49A7E7B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80" w:type="dxa"/>
            <w:tcBorders>
              <w:top w:val="nil"/>
              <w:left w:val="nil"/>
              <w:bottom w:val="nil"/>
              <w:right w:val="nil"/>
            </w:tcBorders>
            <w:shd w:val="clear" w:color="auto" w:fill="auto"/>
            <w:noWrap/>
            <w:vAlign w:val="bottom"/>
            <w:hideMark/>
          </w:tcPr>
          <w:p w14:paraId="49707AB9"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7B20DAA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3670410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0B7AC09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7F3A688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7EC89B17"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70F2CD65"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2DBE884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017E53D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6662853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6C9C83D6"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r>
      <w:tr w:rsidR="00004D6D" w:rsidRPr="009500E8" w14:paraId="65B681BD"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3BA49E2E"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5. Tobin's Q</w:t>
            </w:r>
          </w:p>
        </w:tc>
        <w:tc>
          <w:tcPr>
            <w:tcW w:w="980" w:type="dxa"/>
            <w:tcBorders>
              <w:top w:val="nil"/>
              <w:left w:val="nil"/>
              <w:bottom w:val="nil"/>
              <w:right w:val="nil"/>
            </w:tcBorders>
            <w:shd w:val="clear" w:color="auto" w:fill="auto"/>
            <w:noWrap/>
            <w:vAlign w:val="bottom"/>
            <w:hideMark/>
          </w:tcPr>
          <w:p w14:paraId="35551531"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0.2197</w:t>
            </w:r>
          </w:p>
        </w:tc>
        <w:tc>
          <w:tcPr>
            <w:tcW w:w="980" w:type="dxa"/>
            <w:tcBorders>
              <w:top w:val="nil"/>
              <w:left w:val="nil"/>
              <w:bottom w:val="nil"/>
              <w:right w:val="nil"/>
            </w:tcBorders>
            <w:shd w:val="clear" w:color="auto" w:fill="auto"/>
            <w:noWrap/>
            <w:vAlign w:val="bottom"/>
            <w:hideMark/>
          </w:tcPr>
          <w:p w14:paraId="1C1AC169"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0.0900</w:t>
            </w:r>
          </w:p>
        </w:tc>
        <w:tc>
          <w:tcPr>
            <w:tcW w:w="960" w:type="dxa"/>
            <w:tcBorders>
              <w:top w:val="nil"/>
              <w:left w:val="nil"/>
              <w:bottom w:val="nil"/>
              <w:right w:val="nil"/>
            </w:tcBorders>
            <w:shd w:val="clear" w:color="auto" w:fill="auto"/>
            <w:noWrap/>
            <w:vAlign w:val="bottom"/>
            <w:hideMark/>
          </w:tcPr>
          <w:p w14:paraId="497A8CFF"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-0.0519</w:t>
            </w:r>
          </w:p>
        </w:tc>
        <w:tc>
          <w:tcPr>
            <w:tcW w:w="960" w:type="dxa"/>
            <w:tcBorders>
              <w:top w:val="nil"/>
              <w:left w:val="nil"/>
              <w:bottom w:val="nil"/>
              <w:right w:val="nil"/>
            </w:tcBorders>
            <w:shd w:val="clear" w:color="auto" w:fill="auto"/>
            <w:noWrap/>
            <w:vAlign w:val="bottom"/>
            <w:hideMark/>
          </w:tcPr>
          <w:p w14:paraId="7D7FE0C9"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-0.0628</w:t>
            </w:r>
          </w:p>
        </w:tc>
        <w:tc>
          <w:tcPr>
            <w:tcW w:w="960" w:type="dxa"/>
            <w:tcBorders>
              <w:top w:val="nil"/>
              <w:left w:val="nil"/>
              <w:bottom w:val="nil"/>
              <w:right w:val="nil"/>
            </w:tcBorders>
            <w:shd w:val="clear" w:color="auto" w:fill="auto"/>
            <w:noWrap/>
            <w:vAlign w:val="bottom"/>
            <w:hideMark/>
          </w:tcPr>
          <w:p w14:paraId="2DDF6A2B"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1.0000</w:t>
            </w:r>
          </w:p>
        </w:tc>
        <w:tc>
          <w:tcPr>
            <w:tcW w:w="960" w:type="dxa"/>
            <w:tcBorders>
              <w:top w:val="nil"/>
              <w:left w:val="nil"/>
              <w:bottom w:val="nil"/>
              <w:right w:val="nil"/>
            </w:tcBorders>
            <w:shd w:val="clear" w:color="auto" w:fill="auto"/>
            <w:noWrap/>
            <w:vAlign w:val="bottom"/>
            <w:hideMark/>
          </w:tcPr>
          <w:p w14:paraId="6EF8C3DE"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587F0A17"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1CB30AAB"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1BAD14B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59FFAA95"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03FFFA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723E93BC"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11CB7DE7"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259C25F9"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 </w:t>
            </w:r>
          </w:p>
        </w:tc>
        <w:tc>
          <w:tcPr>
            <w:tcW w:w="980" w:type="dxa"/>
            <w:tcBorders>
              <w:top w:val="nil"/>
              <w:left w:val="nil"/>
              <w:bottom w:val="nil"/>
              <w:right w:val="nil"/>
            </w:tcBorders>
            <w:shd w:val="clear" w:color="auto" w:fill="auto"/>
            <w:noWrap/>
            <w:vAlign w:val="bottom"/>
            <w:hideMark/>
          </w:tcPr>
          <w:p w14:paraId="72699406"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0.0043</w:t>
            </w:r>
          </w:p>
        </w:tc>
        <w:tc>
          <w:tcPr>
            <w:tcW w:w="980" w:type="dxa"/>
            <w:tcBorders>
              <w:top w:val="nil"/>
              <w:left w:val="nil"/>
              <w:bottom w:val="nil"/>
              <w:right w:val="nil"/>
            </w:tcBorders>
            <w:shd w:val="clear" w:color="auto" w:fill="auto"/>
            <w:noWrap/>
            <w:vAlign w:val="bottom"/>
            <w:hideMark/>
          </w:tcPr>
          <w:p w14:paraId="5760B0D3"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0.2474</w:t>
            </w:r>
          </w:p>
        </w:tc>
        <w:tc>
          <w:tcPr>
            <w:tcW w:w="960" w:type="dxa"/>
            <w:tcBorders>
              <w:top w:val="nil"/>
              <w:left w:val="nil"/>
              <w:bottom w:val="nil"/>
              <w:right w:val="nil"/>
            </w:tcBorders>
            <w:shd w:val="clear" w:color="auto" w:fill="auto"/>
            <w:noWrap/>
            <w:vAlign w:val="bottom"/>
            <w:hideMark/>
          </w:tcPr>
          <w:p w14:paraId="336C783A"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0.5057</w:t>
            </w:r>
          </w:p>
        </w:tc>
        <w:tc>
          <w:tcPr>
            <w:tcW w:w="960" w:type="dxa"/>
            <w:tcBorders>
              <w:top w:val="nil"/>
              <w:left w:val="nil"/>
              <w:bottom w:val="nil"/>
              <w:right w:val="nil"/>
            </w:tcBorders>
            <w:shd w:val="clear" w:color="auto" w:fill="auto"/>
            <w:noWrap/>
            <w:vAlign w:val="bottom"/>
            <w:hideMark/>
          </w:tcPr>
          <w:p w14:paraId="634D2049"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0.4205</w:t>
            </w:r>
          </w:p>
        </w:tc>
        <w:tc>
          <w:tcPr>
            <w:tcW w:w="960" w:type="dxa"/>
            <w:tcBorders>
              <w:top w:val="nil"/>
              <w:left w:val="nil"/>
              <w:bottom w:val="nil"/>
              <w:right w:val="nil"/>
            </w:tcBorders>
            <w:shd w:val="clear" w:color="auto" w:fill="auto"/>
            <w:noWrap/>
            <w:vAlign w:val="bottom"/>
            <w:hideMark/>
          </w:tcPr>
          <w:p w14:paraId="20DC7AD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56180A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890FB0E"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7CFC1C0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6ECB3CFC"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05EF7BAC"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F682D2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6A992FCB"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4576378F"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46A9C3C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r w:rsidRPr="009500E8">
              <w:rPr>
                <w:rFonts w:ascii="Times New Roman" w:eastAsia="Times New Roman" w:hAnsi="Times New Roman" w:cs="Times New Roman"/>
                <w:color w:val="000000"/>
                <w:sz w:val="10"/>
                <w:szCs w:val="10"/>
                <w:lang w:eastAsia="en-GB"/>
              </w:rPr>
              <w:t> </w:t>
            </w:r>
          </w:p>
        </w:tc>
        <w:tc>
          <w:tcPr>
            <w:tcW w:w="980" w:type="dxa"/>
            <w:tcBorders>
              <w:top w:val="nil"/>
              <w:left w:val="nil"/>
              <w:bottom w:val="nil"/>
              <w:right w:val="nil"/>
            </w:tcBorders>
            <w:shd w:val="clear" w:color="auto" w:fill="auto"/>
            <w:noWrap/>
            <w:vAlign w:val="bottom"/>
            <w:hideMark/>
          </w:tcPr>
          <w:p w14:paraId="79C7D63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80" w:type="dxa"/>
            <w:tcBorders>
              <w:top w:val="nil"/>
              <w:left w:val="nil"/>
              <w:bottom w:val="nil"/>
              <w:right w:val="nil"/>
            </w:tcBorders>
            <w:shd w:val="clear" w:color="auto" w:fill="auto"/>
            <w:noWrap/>
            <w:vAlign w:val="bottom"/>
            <w:hideMark/>
          </w:tcPr>
          <w:p w14:paraId="02712B8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4A9EF11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4E930706"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7981469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6F7E381E"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583BBD5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06DAFEAF"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1A6937C6"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518D633F"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38254A3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099C1FA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r>
      <w:tr w:rsidR="00004D6D" w:rsidRPr="009500E8" w14:paraId="2288E76D"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633E3B25"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6. ID (%)</w:t>
            </w:r>
          </w:p>
        </w:tc>
        <w:tc>
          <w:tcPr>
            <w:tcW w:w="980" w:type="dxa"/>
            <w:tcBorders>
              <w:top w:val="nil"/>
              <w:left w:val="nil"/>
              <w:bottom w:val="nil"/>
              <w:right w:val="nil"/>
            </w:tcBorders>
            <w:shd w:val="clear" w:color="auto" w:fill="auto"/>
            <w:noWrap/>
            <w:vAlign w:val="bottom"/>
            <w:hideMark/>
          </w:tcPr>
          <w:p w14:paraId="656FDE3E"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-0.0762</w:t>
            </w:r>
          </w:p>
        </w:tc>
        <w:tc>
          <w:tcPr>
            <w:tcW w:w="980" w:type="dxa"/>
            <w:tcBorders>
              <w:top w:val="nil"/>
              <w:left w:val="nil"/>
              <w:bottom w:val="nil"/>
              <w:right w:val="nil"/>
            </w:tcBorders>
            <w:shd w:val="clear" w:color="auto" w:fill="auto"/>
            <w:noWrap/>
            <w:vAlign w:val="bottom"/>
            <w:hideMark/>
          </w:tcPr>
          <w:p w14:paraId="0FADEEA2"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-0.0312</w:t>
            </w:r>
          </w:p>
        </w:tc>
        <w:tc>
          <w:tcPr>
            <w:tcW w:w="960" w:type="dxa"/>
            <w:tcBorders>
              <w:top w:val="nil"/>
              <w:left w:val="nil"/>
              <w:bottom w:val="nil"/>
              <w:right w:val="nil"/>
            </w:tcBorders>
            <w:shd w:val="clear" w:color="auto" w:fill="auto"/>
            <w:noWrap/>
            <w:vAlign w:val="bottom"/>
            <w:hideMark/>
          </w:tcPr>
          <w:p w14:paraId="1EA864DE"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0.2772</w:t>
            </w:r>
          </w:p>
        </w:tc>
        <w:tc>
          <w:tcPr>
            <w:tcW w:w="960" w:type="dxa"/>
            <w:tcBorders>
              <w:top w:val="nil"/>
              <w:left w:val="nil"/>
              <w:bottom w:val="nil"/>
              <w:right w:val="nil"/>
            </w:tcBorders>
            <w:shd w:val="clear" w:color="auto" w:fill="auto"/>
            <w:noWrap/>
            <w:vAlign w:val="bottom"/>
            <w:hideMark/>
          </w:tcPr>
          <w:p w14:paraId="3D324BFA"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0.0667</w:t>
            </w:r>
          </w:p>
        </w:tc>
        <w:tc>
          <w:tcPr>
            <w:tcW w:w="960" w:type="dxa"/>
            <w:tcBorders>
              <w:top w:val="nil"/>
              <w:left w:val="nil"/>
              <w:bottom w:val="nil"/>
              <w:right w:val="nil"/>
            </w:tcBorders>
            <w:shd w:val="clear" w:color="auto" w:fill="auto"/>
            <w:noWrap/>
            <w:vAlign w:val="bottom"/>
            <w:hideMark/>
          </w:tcPr>
          <w:p w14:paraId="4D99798E"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-0.0707</w:t>
            </w:r>
          </w:p>
        </w:tc>
        <w:tc>
          <w:tcPr>
            <w:tcW w:w="960" w:type="dxa"/>
            <w:tcBorders>
              <w:top w:val="nil"/>
              <w:left w:val="nil"/>
              <w:bottom w:val="nil"/>
              <w:right w:val="nil"/>
            </w:tcBorders>
            <w:shd w:val="clear" w:color="auto" w:fill="auto"/>
            <w:noWrap/>
            <w:vAlign w:val="bottom"/>
            <w:hideMark/>
          </w:tcPr>
          <w:p w14:paraId="13D91E38"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1.0000</w:t>
            </w:r>
          </w:p>
        </w:tc>
        <w:tc>
          <w:tcPr>
            <w:tcW w:w="960" w:type="dxa"/>
            <w:tcBorders>
              <w:top w:val="nil"/>
              <w:left w:val="nil"/>
              <w:bottom w:val="nil"/>
              <w:right w:val="nil"/>
            </w:tcBorders>
            <w:shd w:val="clear" w:color="auto" w:fill="auto"/>
            <w:noWrap/>
            <w:vAlign w:val="bottom"/>
            <w:hideMark/>
          </w:tcPr>
          <w:p w14:paraId="0B6917D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59C3A615"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1C768D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1A0CF710"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7E6EF22E"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014DD8F5"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20C36D05"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792311D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 </w:t>
            </w:r>
          </w:p>
        </w:tc>
        <w:tc>
          <w:tcPr>
            <w:tcW w:w="980" w:type="dxa"/>
            <w:tcBorders>
              <w:top w:val="nil"/>
              <w:left w:val="nil"/>
              <w:bottom w:val="nil"/>
              <w:right w:val="nil"/>
            </w:tcBorders>
            <w:shd w:val="clear" w:color="auto" w:fill="auto"/>
            <w:noWrap/>
            <w:vAlign w:val="bottom"/>
            <w:hideMark/>
          </w:tcPr>
          <w:p w14:paraId="516F86BC"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0.2629</w:t>
            </w:r>
          </w:p>
        </w:tc>
        <w:tc>
          <w:tcPr>
            <w:tcW w:w="980" w:type="dxa"/>
            <w:tcBorders>
              <w:top w:val="nil"/>
              <w:left w:val="nil"/>
              <w:bottom w:val="nil"/>
              <w:right w:val="nil"/>
            </w:tcBorders>
            <w:shd w:val="clear" w:color="auto" w:fill="auto"/>
            <w:noWrap/>
            <w:vAlign w:val="bottom"/>
            <w:hideMark/>
          </w:tcPr>
          <w:p w14:paraId="3E90A9A5"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0.6467</w:t>
            </w:r>
          </w:p>
        </w:tc>
        <w:tc>
          <w:tcPr>
            <w:tcW w:w="960" w:type="dxa"/>
            <w:tcBorders>
              <w:top w:val="nil"/>
              <w:left w:val="nil"/>
              <w:bottom w:val="nil"/>
              <w:right w:val="nil"/>
            </w:tcBorders>
            <w:shd w:val="clear" w:color="auto" w:fill="auto"/>
            <w:noWrap/>
            <w:vAlign w:val="bottom"/>
            <w:hideMark/>
          </w:tcPr>
          <w:p w14:paraId="4EC9067E"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110AEAAA"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0.3268</w:t>
            </w:r>
          </w:p>
        </w:tc>
        <w:tc>
          <w:tcPr>
            <w:tcW w:w="960" w:type="dxa"/>
            <w:tcBorders>
              <w:top w:val="nil"/>
              <w:left w:val="nil"/>
              <w:bottom w:val="nil"/>
              <w:right w:val="nil"/>
            </w:tcBorders>
            <w:shd w:val="clear" w:color="auto" w:fill="auto"/>
            <w:noWrap/>
            <w:vAlign w:val="bottom"/>
            <w:hideMark/>
          </w:tcPr>
          <w:p w14:paraId="6AD93BE5"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0.3642</w:t>
            </w:r>
          </w:p>
        </w:tc>
        <w:tc>
          <w:tcPr>
            <w:tcW w:w="960" w:type="dxa"/>
            <w:tcBorders>
              <w:top w:val="nil"/>
              <w:left w:val="nil"/>
              <w:bottom w:val="nil"/>
              <w:right w:val="nil"/>
            </w:tcBorders>
            <w:shd w:val="clear" w:color="auto" w:fill="auto"/>
            <w:noWrap/>
            <w:vAlign w:val="bottom"/>
            <w:hideMark/>
          </w:tcPr>
          <w:p w14:paraId="2ADBAC9D"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879D69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0529D9EA"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319999EF"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6CB33AF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32E9169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3313FC5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00E879B4"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043A182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r w:rsidRPr="009500E8">
              <w:rPr>
                <w:rFonts w:ascii="Times New Roman" w:eastAsia="Times New Roman" w:hAnsi="Times New Roman" w:cs="Times New Roman"/>
                <w:color w:val="000000"/>
                <w:sz w:val="10"/>
                <w:szCs w:val="10"/>
                <w:lang w:eastAsia="en-GB"/>
              </w:rPr>
              <w:t> </w:t>
            </w:r>
          </w:p>
        </w:tc>
        <w:tc>
          <w:tcPr>
            <w:tcW w:w="980" w:type="dxa"/>
            <w:tcBorders>
              <w:top w:val="nil"/>
              <w:left w:val="nil"/>
              <w:bottom w:val="nil"/>
              <w:right w:val="nil"/>
            </w:tcBorders>
            <w:shd w:val="clear" w:color="auto" w:fill="auto"/>
            <w:noWrap/>
            <w:vAlign w:val="bottom"/>
            <w:hideMark/>
          </w:tcPr>
          <w:p w14:paraId="43BC967C"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80" w:type="dxa"/>
            <w:tcBorders>
              <w:top w:val="nil"/>
              <w:left w:val="nil"/>
              <w:bottom w:val="nil"/>
              <w:right w:val="nil"/>
            </w:tcBorders>
            <w:shd w:val="clear" w:color="auto" w:fill="auto"/>
            <w:noWrap/>
            <w:vAlign w:val="bottom"/>
            <w:hideMark/>
          </w:tcPr>
          <w:p w14:paraId="34E5ED7C"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73D49119"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3CCF713B"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7D37B5BA"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5D43A3D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06F1784E"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78A0EBD9"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5084E7C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15BCB88E"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0400CB59"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2D85CBCE"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r>
      <w:tr w:rsidR="00004D6D" w:rsidRPr="009500E8" w14:paraId="026C2C24"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71919606"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7. FID (%)</w:t>
            </w:r>
          </w:p>
        </w:tc>
        <w:tc>
          <w:tcPr>
            <w:tcW w:w="980" w:type="dxa"/>
            <w:tcBorders>
              <w:top w:val="nil"/>
              <w:left w:val="nil"/>
              <w:bottom w:val="nil"/>
              <w:right w:val="nil"/>
            </w:tcBorders>
            <w:shd w:val="clear" w:color="auto" w:fill="auto"/>
            <w:noWrap/>
            <w:vAlign w:val="bottom"/>
            <w:hideMark/>
          </w:tcPr>
          <w:p w14:paraId="793567C0"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0.0244</w:t>
            </w:r>
          </w:p>
        </w:tc>
        <w:tc>
          <w:tcPr>
            <w:tcW w:w="980" w:type="dxa"/>
            <w:tcBorders>
              <w:top w:val="nil"/>
              <w:left w:val="nil"/>
              <w:bottom w:val="nil"/>
              <w:right w:val="nil"/>
            </w:tcBorders>
            <w:shd w:val="clear" w:color="auto" w:fill="auto"/>
            <w:noWrap/>
            <w:vAlign w:val="bottom"/>
            <w:hideMark/>
          </w:tcPr>
          <w:p w14:paraId="10DA3AFF"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-0.0331</w:t>
            </w:r>
          </w:p>
        </w:tc>
        <w:tc>
          <w:tcPr>
            <w:tcW w:w="960" w:type="dxa"/>
            <w:tcBorders>
              <w:top w:val="nil"/>
              <w:left w:val="nil"/>
              <w:bottom w:val="nil"/>
              <w:right w:val="nil"/>
            </w:tcBorders>
            <w:shd w:val="clear" w:color="auto" w:fill="auto"/>
            <w:noWrap/>
            <w:vAlign w:val="bottom"/>
            <w:hideMark/>
          </w:tcPr>
          <w:p w14:paraId="1F16010F"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0.3471</w:t>
            </w:r>
          </w:p>
        </w:tc>
        <w:tc>
          <w:tcPr>
            <w:tcW w:w="960" w:type="dxa"/>
            <w:tcBorders>
              <w:top w:val="nil"/>
              <w:left w:val="nil"/>
              <w:bottom w:val="nil"/>
              <w:right w:val="nil"/>
            </w:tcBorders>
            <w:shd w:val="clear" w:color="auto" w:fill="auto"/>
            <w:noWrap/>
            <w:vAlign w:val="bottom"/>
            <w:hideMark/>
          </w:tcPr>
          <w:p w14:paraId="2A336DAC"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0.0340</w:t>
            </w:r>
          </w:p>
        </w:tc>
        <w:tc>
          <w:tcPr>
            <w:tcW w:w="960" w:type="dxa"/>
            <w:tcBorders>
              <w:top w:val="nil"/>
              <w:left w:val="nil"/>
              <w:bottom w:val="nil"/>
              <w:right w:val="nil"/>
            </w:tcBorders>
            <w:shd w:val="clear" w:color="auto" w:fill="auto"/>
            <w:noWrap/>
            <w:vAlign w:val="bottom"/>
            <w:hideMark/>
          </w:tcPr>
          <w:p w14:paraId="1203356E"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0.0245</w:t>
            </w:r>
          </w:p>
        </w:tc>
        <w:tc>
          <w:tcPr>
            <w:tcW w:w="960" w:type="dxa"/>
            <w:tcBorders>
              <w:top w:val="nil"/>
              <w:left w:val="nil"/>
              <w:bottom w:val="nil"/>
              <w:right w:val="nil"/>
            </w:tcBorders>
            <w:shd w:val="clear" w:color="auto" w:fill="auto"/>
            <w:noWrap/>
            <w:vAlign w:val="bottom"/>
            <w:hideMark/>
          </w:tcPr>
          <w:p w14:paraId="20257D8D"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0.7381</w:t>
            </w:r>
          </w:p>
        </w:tc>
        <w:tc>
          <w:tcPr>
            <w:tcW w:w="960" w:type="dxa"/>
            <w:tcBorders>
              <w:top w:val="nil"/>
              <w:left w:val="nil"/>
              <w:bottom w:val="nil"/>
              <w:right w:val="nil"/>
            </w:tcBorders>
            <w:shd w:val="clear" w:color="auto" w:fill="auto"/>
            <w:noWrap/>
            <w:vAlign w:val="bottom"/>
            <w:hideMark/>
          </w:tcPr>
          <w:p w14:paraId="594E53BA"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1.0000</w:t>
            </w:r>
          </w:p>
        </w:tc>
        <w:tc>
          <w:tcPr>
            <w:tcW w:w="960" w:type="dxa"/>
            <w:tcBorders>
              <w:top w:val="nil"/>
              <w:left w:val="nil"/>
              <w:bottom w:val="nil"/>
              <w:right w:val="nil"/>
            </w:tcBorders>
            <w:shd w:val="clear" w:color="auto" w:fill="auto"/>
            <w:noWrap/>
            <w:vAlign w:val="bottom"/>
            <w:hideMark/>
          </w:tcPr>
          <w:p w14:paraId="2CEEE7AE"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643AC145"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3D1563B6"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789F095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08355E37"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0F8AE311"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0AE6117C"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 </w:t>
            </w:r>
          </w:p>
        </w:tc>
        <w:tc>
          <w:tcPr>
            <w:tcW w:w="980" w:type="dxa"/>
            <w:tcBorders>
              <w:top w:val="nil"/>
              <w:left w:val="nil"/>
              <w:bottom w:val="nil"/>
              <w:right w:val="nil"/>
            </w:tcBorders>
            <w:shd w:val="clear" w:color="auto" w:fill="auto"/>
            <w:noWrap/>
            <w:vAlign w:val="bottom"/>
            <w:hideMark/>
          </w:tcPr>
          <w:p w14:paraId="37398290"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0.7196</w:t>
            </w:r>
          </w:p>
        </w:tc>
        <w:tc>
          <w:tcPr>
            <w:tcW w:w="980" w:type="dxa"/>
            <w:tcBorders>
              <w:top w:val="nil"/>
              <w:left w:val="nil"/>
              <w:bottom w:val="nil"/>
              <w:right w:val="nil"/>
            </w:tcBorders>
            <w:shd w:val="clear" w:color="auto" w:fill="auto"/>
            <w:noWrap/>
            <w:vAlign w:val="bottom"/>
            <w:hideMark/>
          </w:tcPr>
          <w:p w14:paraId="3452A7D8"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0.6266</w:t>
            </w:r>
          </w:p>
        </w:tc>
        <w:tc>
          <w:tcPr>
            <w:tcW w:w="960" w:type="dxa"/>
            <w:tcBorders>
              <w:top w:val="nil"/>
              <w:left w:val="nil"/>
              <w:bottom w:val="nil"/>
              <w:right w:val="nil"/>
            </w:tcBorders>
            <w:shd w:val="clear" w:color="auto" w:fill="auto"/>
            <w:noWrap/>
            <w:vAlign w:val="bottom"/>
            <w:hideMark/>
          </w:tcPr>
          <w:p w14:paraId="61FDD658"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6214D5BE"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0.6179</w:t>
            </w:r>
          </w:p>
        </w:tc>
        <w:tc>
          <w:tcPr>
            <w:tcW w:w="960" w:type="dxa"/>
            <w:tcBorders>
              <w:top w:val="nil"/>
              <w:left w:val="nil"/>
              <w:bottom w:val="nil"/>
              <w:right w:val="nil"/>
            </w:tcBorders>
            <w:shd w:val="clear" w:color="auto" w:fill="auto"/>
            <w:noWrap/>
            <w:vAlign w:val="bottom"/>
            <w:hideMark/>
          </w:tcPr>
          <w:p w14:paraId="5458C9D1"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0.7533</w:t>
            </w:r>
          </w:p>
        </w:tc>
        <w:tc>
          <w:tcPr>
            <w:tcW w:w="960" w:type="dxa"/>
            <w:tcBorders>
              <w:top w:val="nil"/>
              <w:left w:val="nil"/>
              <w:bottom w:val="nil"/>
              <w:right w:val="nil"/>
            </w:tcBorders>
            <w:shd w:val="clear" w:color="auto" w:fill="auto"/>
            <w:noWrap/>
            <w:vAlign w:val="bottom"/>
            <w:hideMark/>
          </w:tcPr>
          <w:p w14:paraId="6D433110"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45BE205C"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29EC327B"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65594FFB"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2E5E2BF9"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6DC9B67D"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6E6ABABD"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7A6B82DD"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5E35C72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r w:rsidRPr="009500E8">
              <w:rPr>
                <w:rFonts w:ascii="Times New Roman" w:eastAsia="Times New Roman" w:hAnsi="Times New Roman" w:cs="Times New Roman"/>
                <w:color w:val="000000"/>
                <w:sz w:val="10"/>
                <w:szCs w:val="10"/>
                <w:lang w:eastAsia="en-GB"/>
              </w:rPr>
              <w:t> </w:t>
            </w:r>
          </w:p>
        </w:tc>
        <w:tc>
          <w:tcPr>
            <w:tcW w:w="980" w:type="dxa"/>
            <w:tcBorders>
              <w:top w:val="nil"/>
              <w:left w:val="nil"/>
              <w:bottom w:val="nil"/>
              <w:right w:val="nil"/>
            </w:tcBorders>
            <w:shd w:val="clear" w:color="auto" w:fill="auto"/>
            <w:noWrap/>
            <w:vAlign w:val="bottom"/>
            <w:hideMark/>
          </w:tcPr>
          <w:p w14:paraId="502559E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80" w:type="dxa"/>
            <w:tcBorders>
              <w:top w:val="nil"/>
              <w:left w:val="nil"/>
              <w:bottom w:val="nil"/>
              <w:right w:val="nil"/>
            </w:tcBorders>
            <w:shd w:val="clear" w:color="auto" w:fill="auto"/>
            <w:noWrap/>
            <w:vAlign w:val="bottom"/>
            <w:hideMark/>
          </w:tcPr>
          <w:p w14:paraId="43F640F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5926317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2944B33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4B9C3107"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4211B089"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3BAE4D30"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28D406FA"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691C64CF"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015437B0"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16E9104A"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0622A6F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r>
      <w:tr w:rsidR="00004D6D" w:rsidRPr="009500E8" w14:paraId="5F61203A"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098864E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8. Institut.</w:t>
            </w:r>
            <w:r w:rsidRPr="009500E8">
              <w:rPr>
                <w:rFonts w:ascii="Times New Roman" w:eastAsia="Times New Roman" w:hAnsi="Times New Roman" w:cs="Times New Roman"/>
                <w:color w:val="000000"/>
                <w:sz w:val="20"/>
                <w:szCs w:val="20"/>
                <w:lang w:eastAsia="en-GB"/>
              </w:rPr>
              <w:t xml:space="preserve"> Blockholder (1/0)</w:t>
            </w:r>
          </w:p>
        </w:tc>
        <w:tc>
          <w:tcPr>
            <w:tcW w:w="980" w:type="dxa"/>
            <w:tcBorders>
              <w:top w:val="nil"/>
              <w:left w:val="nil"/>
              <w:bottom w:val="nil"/>
              <w:right w:val="nil"/>
            </w:tcBorders>
            <w:shd w:val="clear" w:color="auto" w:fill="auto"/>
            <w:noWrap/>
            <w:vAlign w:val="bottom"/>
            <w:hideMark/>
          </w:tcPr>
          <w:p w14:paraId="50933FCA"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-0.0814</w:t>
            </w:r>
          </w:p>
        </w:tc>
        <w:tc>
          <w:tcPr>
            <w:tcW w:w="980" w:type="dxa"/>
            <w:tcBorders>
              <w:top w:val="nil"/>
              <w:left w:val="nil"/>
              <w:bottom w:val="nil"/>
              <w:right w:val="nil"/>
            </w:tcBorders>
            <w:shd w:val="clear" w:color="auto" w:fill="auto"/>
            <w:noWrap/>
            <w:vAlign w:val="bottom"/>
            <w:hideMark/>
          </w:tcPr>
          <w:p w14:paraId="3C0314BB"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0.0120</w:t>
            </w:r>
          </w:p>
        </w:tc>
        <w:tc>
          <w:tcPr>
            <w:tcW w:w="960" w:type="dxa"/>
            <w:tcBorders>
              <w:top w:val="nil"/>
              <w:left w:val="nil"/>
              <w:bottom w:val="nil"/>
              <w:right w:val="nil"/>
            </w:tcBorders>
            <w:shd w:val="clear" w:color="auto" w:fill="auto"/>
            <w:noWrap/>
            <w:vAlign w:val="bottom"/>
            <w:hideMark/>
          </w:tcPr>
          <w:p w14:paraId="5D3F166F"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-0.1688</w:t>
            </w:r>
          </w:p>
        </w:tc>
        <w:tc>
          <w:tcPr>
            <w:tcW w:w="960" w:type="dxa"/>
            <w:tcBorders>
              <w:top w:val="nil"/>
              <w:left w:val="nil"/>
              <w:bottom w:val="nil"/>
              <w:right w:val="nil"/>
            </w:tcBorders>
            <w:shd w:val="clear" w:color="auto" w:fill="auto"/>
            <w:noWrap/>
            <w:vAlign w:val="bottom"/>
            <w:hideMark/>
          </w:tcPr>
          <w:p w14:paraId="584C8B9F"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0.0161</w:t>
            </w:r>
          </w:p>
        </w:tc>
        <w:tc>
          <w:tcPr>
            <w:tcW w:w="960" w:type="dxa"/>
            <w:tcBorders>
              <w:top w:val="nil"/>
              <w:left w:val="nil"/>
              <w:bottom w:val="nil"/>
              <w:right w:val="nil"/>
            </w:tcBorders>
            <w:shd w:val="clear" w:color="auto" w:fill="auto"/>
            <w:noWrap/>
            <w:vAlign w:val="bottom"/>
            <w:hideMark/>
          </w:tcPr>
          <w:p w14:paraId="0B9530CD"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-0.0235</w:t>
            </w:r>
          </w:p>
        </w:tc>
        <w:tc>
          <w:tcPr>
            <w:tcW w:w="960" w:type="dxa"/>
            <w:tcBorders>
              <w:top w:val="nil"/>
              <w:left w:val="nil"/>
              <w:bottom w:val="nil"/>
              <w:right w:val="nil"/>
            </w:tcBorders>
            <w:shd w:val="clear" w:color="auto" w:fill="auto"/>
            <w:noWrap/>
            <w:vAlign w:val="bottom"/>
            <w:hideMark/>
          </w:tcPr>
          <w:p w14:paraId="757DDA5F"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0.0006</w:t>
            </w:r>
          </w:p>
        </w:tc>
        <w:tc>
          <w:tcPr>
            <w:tcW w:w="960" w:type="dxa"/>
            <w:tcBorders>
              <w:top w:val="nil"/>
              <w:left w:val="nil"/>
              <w:bottom w:val="nil"/>
              <w:right w:val="nil"/>
            </w:tcBorders>
            <w:shd w:val="clear" w:color="auto" w:fill="auto"/>
            <w:noWrap/>
            <w:vAlign w:val="bottom"/>
            <w:hideMark/>
          </w:tcPr>
          <w:p w14:paraId="782F6DA9"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-0.1038</w:t>
            </w:r>
          </w:p>
        </w:tc>
        <w:tc>
          <w:tcPr>
            <w:tcW w:w="960" w:type="dxa"/>
            <w:tcBorders>
              <w:top w:val="nil"/>
              <w:left w:val="nil"/>
              <w:bottom w:val="nil"/>
              <w:right w:val="nil"/>
            </w:tcBorders>
            <w:shd w:val="clear" w:color="auto" w:fill="auto"/>
            <w:noWrap/>
            <w:vAlign w:val="bottom"/>
            <w:hideMark/>
          </w:tcPr>
          <w:p w14:paraId="4E8EF60A"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1.0000</w:t>
            </w:r>
          </w:p>
        </w:tc>
        <w:tc>
          <w:tcPr>
            <w:tcW w:w="960" w:type="dxa"/>
            <w:tcBorders>
              <w:top w:val="nil"/>
              <w:left w:val="nil"/>
              <w:bottom w:val="nil"/>
              <w:right w:val="nil"/>
            </w:tcBorders>
            <w:shd w:val="clear" w:color="auto" w:fill="auto"/>
            <w:noWrap/>
            <w:vAlign w:val="bottom"/>
            <w:hideMark/>
          </w:tcPr>
          <w:p w14:paraId="5D81AB0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528B4419"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3C04607"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24B574E"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738DECA8"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2C1E498E"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 </w:t>
            </w:r>
          </w:p>
        </w:tc>
        <w:tc>
          <w:tcPr>
            <w:tcW w:w="980" w:type="dxa"/>
            <w:tcBorders>
              <w:top w:val="nil"/>
              <w:left w:val="nil"/>
              <w:bottom w:val="nil"/>
              <w:right w:val="nil"/>
            </w:tcBorders>
            <w:shd w:val="clear" w:color="auto" w:fill="auto"/>
            <w:noWrap/>
            <w:vAlign w:val="bottom"/>
            <w:hideMark/>
          </w:tcPr>
          <w:p w14:paraId="20F8A96D"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0.2311</w:t>
            </w:r>
          </w:p>
        </w:tc>
        <w:tc>
          <w:tcPr>
            <w:tcW w:w="980" w:type="dxa"/>
            <w:tcBorders>
              <w:top w:val="nil"/>
              <w:left w:val="nil"/>
              <w:bottom w:val="nil"/>
              <w:right w:val="nil"/>
            </w:tcBorders>
            <w:shd w:val="clear" w:color="auto" w:fill="auto"/>
            <w:noWrap/>
            <w:vAlign w:val="bottom"/>
            <w:hideMark/>
          </w:tcPr>
          <w:p w14:paraId="7E887018"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0.8600</w:t>
            </w:r>
          </w:p>
        </w:tc>
        <w:tc>
          <w:tcPr>
            <w:tcW w:w="960" w:type="dxa"/>
            <w:tcBorders>
              <w:top w:val="nil"/>
              <w:left w:val="nil"/>
              <w:bottom w:val="nil"/>
              <w:right w:val="nil"/>
            </w:tcBorders>
            <w:shd w:val="clear" w:color="auto" w:fill="auto"/>
            <w:noWrap/>
            <w:vAlign w:val="bottom"/>
            <w:hideMark/>
          </w:tcPr>
          <w:p w14:paraId="53413D15"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0.0126</w:t>
            </w:r>
          </w:p>
        </w:tc>
        <w:tc>
          <w:tcPr>
            <w:tcW w:w="960" w:type="dxa"/>
            <w:tcBorders>
              <w:top w:val="nil"/>
              <w:left w:val="nil"/>
              <w:bottom w:val="nil"/>
              <w:right w:val="nil"/>
            </w:tcBorders>
            <w:shd w:val="clear" w:color="auto" w:fill="auto"/>
            <w:noWrap/>
            <w:vAlign w:val="bottom"/>
            <w:hideMark/>
          </w:tcPr>
          <w:p w14:paraId="08D12BEB"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0.8126</w:t>
            </w:r>
          </w:p>
        </w:tc>
        <w:tc>
          <w:tcPr>
            <w:tcW w:w="960" w:type="dxa"/>
            <w:tcBorders>
              <w:top w:val="nil"/>
              <w:left w:val="nil"/>
              <w:bottom w:val="nil"/>
              <w:right w:val="nil"/>
            </w:tcBorders>
            <w:shd w:val="clear" w:color="auto" w:fill="auto"/>
            <w:noWrap/>
            <w:vAlign w:val="bottom"/>
            <w:hideMark/>
          </w:tcPr>
          <w:p w14:paraId="5B8E8F51"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0.7632</w:t>
            </w:r>
          </w:p>
        </w:tc>
        <w:tc>
          <w:tcPr>
            <w:tcW w:w="960" w:type="dxa"/>
            <w:tcBorders>
              <w:top w:val="nil"/>
              <w:left w:val="nil"/>
              <w:bottom w:val="nil"/>
              <w:right w:val="nil"/>
            </w:tcBorders>
            <w:shd w:val="clear" w:color="auto" w:fill="auto"/>
            <w:noWrap/>
            <w:vAlign w:val="bottom"/>
            <w:hideMark/>
          </w:tcPr>
          <w:p w14:paraId="071CF211"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0.9925</w:t>
            </w:r>
          </w:p>
        </w:tc>
        <w:tc>
          <w:tcPr>
            <w:tcW w:w="960" w:type="dxa"/>
            <w:tcBorders>
              <w:top w:val="nil"/>
              <w:left w:val="nil"/>
              <w:bottom w:val="nil"/>
              <w:right w:val="nil"/>
            </w:tcBorders>
            <w:shd w:val="clear" w:color="auto" w:fill="auto"/>
            <w:noWrap/>
            <w:vAlign w:val="bottom"/>
            <w:hideMark/>
          </w:tcPr>
          <w:p w14:paraId="7C7F2F45"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0.1266</w:t>
            </w:r>
          </w:p>
        </w:tc>
        <w:tc>
          <w:tcPr>
            <w:tcW w:w="960" w:type="dxa"/>
            <w:tcBorders>
              <w:top w:val="nil"/>
              <w:left w:val="nil"/>
              <w:bottom w:val="nil"/>
              <w:right w:val="nil"/>
            </w:tcBorders>
            <w:shd w:val="clear" w:color="auto" w:fill="auto"/>
            <w:noWrap/>
            <w:vAlign w:val="bottom"/>
            <w:hideMark/>
          </w:tcPr>
          <w:p w14:paraId="364553A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1CA691DF"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3D36E2F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7DAD0399"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717012CB"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349068C1"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26BCCD10"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r w:rsidRPr="009500E8">
              <w:rPr>
                <w:rFonts w:ascii="Times New Roman" w:eastAsia="Times New Roman" w:hAnsi="Times New Roman" w:cs="Times New Roman"/>
                <w:color w:val="000000"/>
                <w:sz w:val="10"/>
                <w:szCs w:val="10"/>
                <w:lang w:eastAsia="en-GB"/>
              </w:rPr>
              <w:t> </w:t>
            </w:r>
          </w:p>
        </w:tc>
        <w:tc>
          <w:tcPr>
            <w:tcW w:w="980" w:type="dxa"/>
            <w:tcBorders>
              <w:top w:val="nil"/>
              <w:left w:val="nil"/>
              <w:bottom w:val="nil"/>
              <w:right w:val="nil"/>
            </w:tcBorders>
            <w:shd w:val="clear" w:color="auto" w:fill="auto"/>
            <w:noWrap/>
            <w:vAlign w:val="bottom"/>
            <w:hideMark/>
          </w:tcPr>
          <w:p w14:paraId="3413A52C"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80" w:type="dxa"/>
            <w:tcBorders>
              <w:top w:val="nil"/>
              <w:left w:val="nil"/>
              <w:bottom w:val="nil"/>
              <w:right w:val="nil"/>
            </w:tcBorders>
            <w:shd w:val="clear" w:color="auto" w:fill="auto"/>
            <w:noWrap/>
            <w:vAlign w:val="bottom"/>
            <w:hideMark/>
          </w:tcPr>
          <w:p w14:paraId="70B451F6"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50B9476C"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6EF5DA37"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68C163F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5E2501D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4CC3E899"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12BF137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475AACEC"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7CA8BAC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7011D3A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76F1C7F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r>
      <w:tr w:rsidR="00004D6D" w:rsidRPr="009500E8" w14:paraId="38C7D9AB"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230F85DD"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9. Private Blockholder (1/0)</w:t>
            </w:r>
          </w:p>
        </w:tc>
        <w:tc>
          <w:tcPr>
            <w:tcW w:w="980" w:type="dxa"/>
            <w:tcBorders>
              <w:top w:val="nil"/>
              <w:left w:val="nil"/>
              <w:bottom w:val="nil"/>
              <w:right w:val="nil"/>
            </w:tcBorders>
            <w:shd w:val="clear" w:color="auto" w:fill="auto"/>
            <w:noWrap/>
            <w:vAlign w:val="bottom"/>
            <w:hideMark/>
          </w:tcPr>
          <w:p w14:paraId="258F2948"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-0.0408</w:t>
            </w:r>
          </w:p>
        </w:tc>
        <w:tc>
          <w:tcPr>
            <w:tcW w:w="980" w:type="dxa"/>
            <w:tcBorders>
              <w:top w:val="nil"/>
              <w:left w:val="nil"/>
              <w:bottom w:val="nil"/>
              <w:right w:val="nil"/>
            </w:tcBorders>
            <w:shd w:val="clear" w:color="auto" w:fill="auto"/>
            <w:noWrap/>
            <w:vAlign w:val="bottom"/>
            <w:hideMark/>
          </w:tcPr>
          <w:p w14:paraId="002F7944"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0.0609</w:t>
            </w:r>
          </w:p>
        </w:tc>
        <w:tc>
          <w:tcPr>
            <w:tcW w:w="960" w:type="dxa"/>
            <w:tcBorders>
              <w:top w:val="nil"/>
              <w:left w:val="nil"/>
              <w:bottom w:val="nil"/>
              <w:right w:val="nil"/>
            </w:tcBorders>
            <w:shd w:val="clear" w:color="auto" w:fill="auto"/>
            <w:noWrap/>
            <w:vAlign w:val="bottom"/>
            <w:hideMark/>
          </w:tcPr>
          <w:p w14:paraId="384BCB78"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0.1575</w:t>
            </w:r>
          </w:p>
        </w:tc>
        <w:tc>
          <w:tcPr>
            <w:tcW w:w="960" w:type="dxa"/>
            <w:tcBorders>
              <w:top w:val="nil"/>
              <w:left w:val="nil"/>
              <w:bottom w:val="nil"/>
              <w:right w:val="nil"/>
            </w:tcBorders>
            <w:shd w:val="clear" w:color="auto" w:fill="auto"/>
            <w:noWrap/>
            <w:vAlign w:val="bottom"/>
            <w:hideMark/>
          </w:tcPr>
          <w:p w14:paraId="4EC9830D"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0.0672</w:t>
            </w:r>
          </w:p>
        </w:tc>
        <w:tc>
          <w:tcPr>
            <w:tcW w:w="960" w:type="dxa"/>
            <w:tcBorders>
              <w:top w:val="nil"/>
              <w:left w:val="nil"/>
              <w:bottom w:val="nil"/>
              <w:right w:val="nil"/>
            </w:tcBorders>
            <w:shd w:val="clear" w:color="auto" w:fill="auto"/>
            <w:noWrap/>
            <w:vAlign w:val="bottom"/>
            <w:hideMark/>
          </w:tcPr>
          <w:p w14:paraId="23B56463"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0.2255</w:t>
            </w:r>
          </w:p>
        </w:tc>
        <w:tc>
          <w:tcPr>
            <w:tcW w:w="960" w:type="dxa"/>
            <w:tcBorders>
              <w:top w:val="nil"/>
              <w:left w:val="nil"/>
              <w:bottom w:val="nil"/>
              <w:right w:val="nil"/>
            </w:tcBorders>
            <w:shd w:val="clear" w:color="auto" w:fill="auto"/>
            <w:noWrap/>
            <w:vAlign w:val="bottom"/>
            <w:hideMark/>
          </w:tcPr>
          <w:p w14:paraId="00D8FB91"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0.3830</w:t>
            </w:r>
          </w:p>
        </w:tc>
        <w:tc>
          <w:tcPr>
            <w:tcW w:w="960" w:type="dxa"/>
            <w:tcBorders>
              <w:top w:val="nil"/>
              <w:left w:val="nil"/>
              <w:bottom w:val="nil"/>
              <w:right w:val="nil"/>
            </w:tcBorders>
            <w:shd w:val="clear" w:color="auto" w:fill="auto"/>
            <w:noWrap/>
            <w:vAlign w:val="bottom"/>
            <w:hideMark/>
          </w:tcPr>
          <w:p w14:paraId="1F3795BC"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0.4987</w:t>
            </w:r>
          </w:p>
        </w:tc>
        <w:tc>
          <w:tcPr>
            <w:tcW w:w="960" w:type="dxa"/>
            <w:tcBorders>
              <w:top w:val="nil"/>
              <w:left w:val="nil"/>
              <w:bottom w:val="nil"/>
              <w:right w:val="nil"/>
            </w:tcBorders>
            <w:shd w:val="clear" w:color="auto" w:fill="auto"/>
            <w:noWrap/>
            <w:vAlign w:val="bottom"/>
            <w:hideMark/>
          </w:tcPr>
          <w:p w14:paraId="32781FA5"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-0.1952</w:t>
            </w:r>
          </w:p>
        </w:tc>
        <w:tc>
          <w:tcPr>
            <w:tcW w:w="960" w:type="dxa"/>
            <w:tcBorders>
              <w:top w:val="nil"/>
              <w:left w:val="nil"/>
              <w:bottom w:val="nil"/>
              <w:right w:val="nil"/>
            </w:tcBorders>
            <w:shd w:val="clear" w:color="auto" w:fill="auto"/>
            <w:noWrap/>
            <w:vAlign w:val="bottom"/>
            <w:hideMark/>
          </w:tcPr>
          <w:p w14:paraId="4562D3D2"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1.0000</w:t>
            </w:r>
          </w:p>
        </w:tc>
        <w:tc>
          <w:tcPr>
            <w:tcW w:w="960" w:type="dxa"/>
            <w:tcBorders>
              <w:top w:val="nil"/>
              <w:left w:val="nil"/>
              <w:bottom w:val="nil"/>
              <w:right w:val="nil"/>
            </w:tcBorders>
            <w:shd w:val="clear" w:color="auto" w:fill="auto"/>
            <w:noWrap/>
            <w:vAlign w:val="bottom"/>
            <w:hideMark/>
          </w:tcPr>
          <w:p w14:paraId="7B64FD6F"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6C5B814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0D7ABD96"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1E1B5ED9"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65F6351C"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 </w:t>
            </w:r>
          </w:p>
        </w:tc>
        <w:tc>
          <w:tcPr>
            <w:tcW w:w="980" w:type="dxa"/>
            <w:tcBorders>
              <w:top w:val="nil"/>
              <w:left w:val="nil"/>
              <w:bottom w:val="nil"/>
              <w:right w:val="nil"/>
            </w:tcBorders>
            <w:shd w:val="clear" w:color="auto" w:fill="auto"/>
            <w:noWrap/>
            <w:vAlign w:val="bottom"/>
            <w:hideMark/>
          </w:tcPr>
          <w:p w14:paraId="316051A8"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0.5492</w:t>
            </w:r>
          </w:p>
        </w:tc>
        <w:tc>
          <w:tcPr>
            <w:tcW w:w="980" w:type="dxa"/>
            <w:tcBorders>
              <w:top w:val="nil"/>
              <w:left w:val="nil"/>
              <w:bottom w:val="nil"/>
              <w:right w:val="nil"/>
            </w:tcBorders>
            <w:shd w:val="clear" w:color="auto" w:fill="auto"/>
            <w:noWrap/>
            <w:vAlign w:val="bottom"/>
            <w:hideMark/>
          </w:tcPr>
          <w:p w14:paraId="572975BE"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0.3710</w:t>
            </w:r>
          </w:p>
        </w:tc>
        <w:tc>
          <w:tcPr>
            <w:tcW w:w="960" w:type="dxa"/>
            <w:tcBorders>
              <w:top w:val="nil"/>
              <w:left w:val="nil"/>
              <w:bottom w:val="nil"/>
              <w:right w:val="nil"/>
            </w:tcBorders>
            <w:shd w:val="clear" w:color="auto" w:fill="auto"/>
            <w:noWrap/>
            <w:vAlign w:val="bottom"/>
            <w:hideMark/>
          </w:tcPr>
          <w:p w14:paraId="6C96E073"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0.0200</w:t>
            </w:r>
          </w:p>
        </w:tc>
        <w:tc>
          <w:tcPr>
            <w:tcW w:w="960" w:type="dxa"/>
            <w:tcBorders>
              <w:top w:val="nil"/>
              <w:left w:val="nil"/>
              <w:bottom w:val="nil"/>
              <w:right w:val="nil"/>
            </w:tcBorders>
            <w:shd w:val="clear" w:color="auto" w:fill="auto"/>
            <w:noWrap/>
            <w:vAlign w:val="bottom"/>
            <w:hideMark/>
          </w:tcPr>
          <w:p w14:paraId="732D813A"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0.3231</w:t>
            </w:r>
          </w:p>
        </w:tc>
        <w:tc>
          <w:tcPr>
            <w:tcW w:w="960" w:type="dxa"/>
            <w:tcBorders>
              <w:top w:val="nil"/>
              <w:left w:val="nil"/>
              <w:bottom w:val="nil"/>
              <w:right w:val="nil"/>
            </w:tcBorders>
            <w:shd w:val="clear" w:color="auto" w:fill="auto"/>
            <w:noWrap/>
            <w:vAlign w:val="bottom"/>
            <w:hideMark/>
          </w:tcPr>
          <w:p w14:paraId="33C38C2D"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0.0034</w:t>
            </w:r>
          </w:p>
        </w:tc>
        <w:tc>
          <w:tcPr>
            <w:tcW w:w="960" w:type="dxa"/>
            <w:tcBorders>
              <w:top w:val="nil"/>
              <w:left w:val="nil"/>
              <w:bottom w:val="nil"/>
              <w:right w:val="nil"/>
            </w:tcBorders>
            <w:shd w:val="clear" w:color="auto" w:fill="auto"/>
            <w:noWrap/>
            <w:vAlign w:val="bottom"/>
            <w:hideMark/>
          </w:tcPr>
          <w:p w14:paraId="6FE568CC"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4EF23AC4"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3DC55755"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0.0038</w:t>
            </w:r>
          </w:p>
        </w:tc>
        <w:tc>
          <w:tcPr>
            <w:tcW w:w="960" w:type="dxa"/>
            <w:tcBorders>
              <w:top w:val="nil"/>
              <w:left w:val="nil"/>
              <w:bottom w:val="nil"/>
              <w:right w:val="nil"/>
            </w:tcBorders>
            <w:shd w:val="clear" w:color="auto" w:fill="auto"/>
            <w:noWrap/>
            <w:vAlign w:val="bottom"/>
            <w:hideMark/>
          </w:tcPr>
          <w:p w14:paraId="56B42175"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57746D9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289CAC1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1D81F83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29AC8681"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1B1265A7"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r w:rsidRPr="009500E8">
              <w:rPr>
                <w:rFonts w:ascii="Times New Roman" w:eastAsia="Times New Roman" w:hAnsi="Times New Roman" w:cs="Times New Roman"/>
                <w:color w:val="000000"/>
                <w:sz w:val="10"/>
                <w:szCs w:val="10"/>
                <w:lang w:eastAsia="en-GB"/>
              </w:rPr>
              <w:t> </w:t>
            </w:r>
          </w:p>
        </w:tc>
        <w:tc>
          <w:tcPr>
            <w:tcW w:w="980" w:type="dxa"/>
            <w:tcBorders>
              <w:top w:val="nil"/>
              <w:left w:val="nil"/>
              <w:bottom w:val="nil"/>
              <w:right w:val="nil"/>
            </w:tcBorders>
            <w:shd w:val="clear" w:color="auto" w:fill="auto"/>
            <w:noWrap/>
            <w:vAlign w:val="bottom"/>
            <w:hideMark/>
          </w:tcPr>
          <w:p w14:paraId="2BD281B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80" w:type="dxa"/>
            <w:tcBorders>
              <w:top w:val="nil"/>
              <w:left w:val="nil"/>
              <w:bottom w:val="nil"/>
              <w:right w:val="nil"/>
            </w:tcBorders>
            <w:shd w:val="clear" w:color="auto" w:fill="auto"/>
            <w:noWrap/>
            <w:vAlign w:val="bottom"/>
            <w:hideMark/>
          </w:tcPr>
          <w:p w14:paraId="45C67530"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698A7F0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0137885C"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4A76E4F9"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4E3AFD19"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480C88D0"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23E9808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4FF3D91C"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58DCF7DD"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301DBA52"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7F8197E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r>
      <w:tr w:rsidR="00004D6D" w:rsidRPr="009500E8" w14:paraId="1A92E019"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5AB0CEC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10. State Blockholder (1/0)</w:t>
            </w:r>
          </w:p>
        </w:tc>
        <w:tc>
          <w:tcPr>
            <w:tcW w:w="980" w:type="dxa"/>
            <w:tcBorders>
              <w:top w:val="nil"/>
              <w:left w:val="nil"/>
              <w:bottom w:val="nil"/>
              <w:right w:val="nil"/>
            </w:tcBorders>
            <w:shd w:val="clear" w:color="auto" w:fill="auto"/>
            <w:noWrap/>
            <w:vAlign w:val="bottom"/>
            <w:hideMark/>
          </w:tcPr>
          <w:p w14:paraId="4BF90F1E"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0.0716</w:t>
            </w:r>
          </w:p>
        </w:tc>
        <w:tc>
          <w:tcPr>
            <w:tcW w:w="980" w:type="dxa"/>
            <w:tcBorders>
              <w:top w:val="nil"/>
              <w:left w:val="nil"/>
              <w:bottom w:val="nil"/>
              <w:right w:val="nil"/>
            </w:tcBorders>
            <w:shd w:val="clear" w:color="auto" w:fill="auto"/>
            <w:noWrap/>
            <w:vAlign w:val="bottom"/>
            <w:hideMark/>
          </w:tcPr>
          <w:p w14:paraId="2CC5CA8A"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-0.0656</w:t>
            </w:r>
          </w:p>
        </w:tc>
        <w:tc>
          <w:tcPr>
            <w:tcW w:w="960" w:type="dxa"/>
            <w:tcBorders>
              <w:top w:val="nil"/>
              <w:left w:val="nil"/>
              <w:bottom w:val="nil"/>
              <w:right w:val="nil"/>
            </w:tcBorders>
            <w:shd w:val="clear" w:color="auto" w:fill="auto"/>
            <w:noWrap/>
            <w:vAlign w:val="bottom"/>
            <w:hideMark/>
          </w:tcPr>
          <w:p w14:paraId="3AF7E567"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-0.0943</w:t>
            </w:r>
          </w:p>
        </w:tc>
        <w:tc>
          <w:tcPr>
            <w:tcW w:w="960" w:type="dxa"/>
            <w:tcBorders>
              <w:top w:val="nil"/>
              <w:left w:val="nil"/>
              <w:bottom w:val="nil"/>
              <w:right w:val="nil"/>
            </w:tcBorders>
            <w:shd w:val="clear" w:color="auto" w:fill="auto"/>
            <w:noWrap/>
            <w:vAlign w:val="bottom"/>
            <w:hideMark/>
          </w:tcPr>
          <w:p w14:paraId="53286F04"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-0.0735</w:t>
            </w:r>
          </w:p>
        </w:tc>
        <w:tc>
          <w:tcPr>
            <w:tcW w:w="960" w:type="dxa"/>
            <w:tcBorders>
              <w:top w:val="nil"/>
              <w:left w:val="nil"/>
              <w:bottom w:val="nil"/>
              <w:right w:val="nil"/>
            </w:tcBorders>
            <w:shd w:val="clear" w:color="auto" w:fill="auto"/>
            <w:noWrap/>
            <w:vAlign w:val="bottom"/>
            <w:hideMark/>
          </w:tcPr>
          <w:p w14:paraId="5137DB0C"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-0.2145</w:t>
            </w:r>
          </w:p>
        </w:tc>
        <w:tc>
          <w:tcPr>
            <w:tcW w:w="960" w:type="dxa"/>
            <w:tcBorders>
              <w:top w:val="nil"/>
              <w:left w:val="nil"/>
              <w:bottom w:val="nil"/>
              <w:right w:val="nil"/>
            </w:tcBorders>
            <w:shd w:val="clear" w:color="auto" w:fill="auto"/>
            <w:noWrap/>
            <w:vAlign w:val="bottom"/>
            <w:hideMark/>
          </w:tcPr>
          <w:p w14:paraId="66DB3918"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-0.3843</w:t>
            </w:r>
          </w:p>
        </w:tc>
        <w:tc>
          <w:tcPr>
            <w:tcW w:w="960" w:type="dxa"/>
            <w:tcBorders>
              <w:top w:val="nil"/>
              <w:left w:val="nil"/>
              <w:bottom w:val="nil"/>
              <w:right w:val="nil"/>
            </w:tcBorders>
            <w:shd w:val="clear" w:color="auto" w:fill="auto"/>
            <w:noWrap/>
            <w:vAlign w:val="bottom"/>
            <w:hideMark/>
          </w:tcPr>
          <w:p w14:paraId="032A307A"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-0.4609</w:t>
            </w:r>
          </w:p>
        </w:tc>
        <w:tc>
          <w:tcPr>
            <w:tcW w:w="960" w:type="dxa"/>
            <w:tcBorders>
              <w:top w:val="nil"/>
              <w:left w:val="nil"/>
              <w:bottom w:val="nil"/>
              <w:right w:val="nil"/>
            </w:tcBorders>
            <w:shd w:val="clear" w:color="auto" w:fill="auto"/>
            <w:noWrap/>
            <w:vAlign w:val="bottom"/>
            <w:hideMark/>
          </w:tcPr>
          <w:p w14:paraId="04927B3C"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-0.1813</w:t>
            </w:r>
          </w:p>
        </w:tc>
        <w:tc>
          <w:tcPr>
            <w:tcW w:w="960" w:type="dxa"/>
            <w:tcBorders>
              <w:top w:val="nil"/>
              <w:left w:val="nil"/>
              <w:bottom w:val="nil"/>
              <w:right w:val="nil"/>
            </w:tcBorders>
            <w:shd w:val="clear" w:color="auto" w:fill="auto"/>
            <w:noWrap/>
            <w:vAlign w:val="bottom"/>
            <w:hideMark/>
          </w:tcPr>
          <w:p w14:paraId="028E6826"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-0.9291</w:t>
            </w:r>
          </w:p>
        </w:tc>
        <w:tc>
          <w:tcPr>
            <w:tcW w:w="960" w:type="dxa"/>
            <w:tcBorders>
              <w:top w:val="nil"/>
              <w:left w:val="nil"/>
              <w:bottom w:val="nil"/>
              <w:right w:val="nil"/>
            </w:tcBorders>
            <w:shd w:val="clear" w:color="auto" w:fill="auto"/>
            <w:noWrap/>
            <w:vAlign w:val="bottom"/>
            <w:hideMark/>
          </w:tcPr>
          <w:p w14:paraId="2C3E1884"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1.0000</w:t>
            </w:r>
          </w:p>
        </w:tc>
        <w:tc>
          <w:tcPr>
            <w:tcW w:w="960" w:type="dxa"/>
            <w:tcBorders>
              <w:top w:val="nil"/>
              <w:left w:val="nil"/>
              <w:bottom w:val="nil"/>
              <w:right w:val="nil"/>
            </w:tcBorders>
            <w:shd w:val="clear" w:color="auto" w:fill="auto"/>
            <w:noWrap/>
            <w:vAlign w:val="bottom"/>
            <w:hideMark/>
          </w:tcPr>
          <w:p w14:paraId="653F5CAB"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AD2F87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1F68A525"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0FABE405"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 </w:t>
            </w:r>
          </w:p>
        </w:tc>
        <w:tc>
          <w:tcPr>
            <w:tcW w:w="980" w:type="dxa"/>
            <w:tcBorders>
              <w:top w:val="nil"/>
              <w:left w:val="nil"/>
              <w:bottom w:val="nil"/>
              <w:right w:val="nil"/>
            </w:tcBorders>
            <w:shd w:val="clear" w:color="auto" w:fill="auto"/>
            <w:noWrap/>
            <w:vAlign w:val="bottom"/>
            <w:hideMark/>
          </w:tcPr>
          <w:p w14:paraId="50574B7D"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0.2926</w:t>
            </w:r>
          </w:p>
        </w:tc>
        <w:tc>
          <w:tcPr>
            <w:tcW w:w="980" w:type="dxa"/>
            <w:tcBorders>
              <w:top w:val="nil"/>
              <w:left w:val="nil"/>
              <w:bottom w:val="nil"/>
              <w:right w:val="nil"/>
            </w:tcBorders>
            <w:shd w:val="clear" w:color="auto" w:fill="auto"/>
            <w:noWrap/>
            <w:vAlign w:val="bottom"/>
            <w:hideMark/>
          </w:tcPr>
          <w:p w14:paraId="3FF7D2AD"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0.3352</w:t>
            </w:r>
          </w:p>
        </w:tc>
        <w:tc>
          <w:tcPr>
            <w:tcW w:w="960" w:type="dxa"/>
            <w:tcBorders>
              <w:top w:val="nil"/>
              <w:left w:val="nil"/>
              <w:bottom w:val="nil"/>
              <w:right w:val="nil"/>
            </w:tcBorders>
            <w:shd w:val="clear" w:color="auto" w:fill="auto"/>
            <w:noWrap/>
            <w:vAlign w:val="bottom"/>
            <w:hideMark/>
          </w:tcPr>
          <w:p w14:paraId="215A0FA4"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0.1654</w:t>
            </w:r>
          </w:p>
        </w:tc>
        <w:tc>
          <w:tcPr>
            <w:tcW w:w="960" w:type="dxa"/>
            <w:tcBorders>
              <w:top w:val="nil"/>
              <w:left w:val="nil"/>
              <w:bottom w:val="nil"/>
              <w:right w:val="nil"/>
            </w:tcBorders>
            <w:shd w:val="clear" w:color="auto" w:fill="auto"/>
            <w:noWrap/>
            <w:vAlign w:val="bottom"/>
            <w:hideMark/>
          </w:tcPr>
          <w:p w14:paraId="1716C36C"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0.2800</w:t>
            </w:r>
          </w:p>
        </w:tc>
        <w:tc>
          <w:tcPr>
            <w:tcW w:w="960" w:type="dxa"/>
            <w:tcBorders>
              <w:top w:val="nil"/>
              <w:left w:val="nil"/>
              <w:bottom w:val="nil"/>
              <w:right w:val="nil"/>
            </w:tcBorders>
            <w:shd w:val="clear" w:color="auto" w:fill="auto"/>
            <w:noWrap/>
            <w:vAlign w:val="bottom"/>
            <w:hideMark/>
          </w:tcPr>
          <w:p w14:paraId="5F53CC97"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0.0054</w:t>
            </w:r>
          </w:p>
        </w:tc>
        <w:tc>
          <w:tcPr>
            <w:tcW w:w="960" w:type="dxa"/>
            <w:tcBorders>
              <w:top w:val="nil"/>
              <w:left w:val="nil"/>
              <w:bottom w:val="nil"/>
              <w:right w:val="nil"/>
            </w:tcBorders>
            <w:shd w:val="clear" w:color="auto" w:fill="auto"/>
            <w:noWrap/>
            <w:vAlign w:val="bottom"/>
            <w:hideMark/>
          </w:tcPr>
          <w:p w14:paraId="2CDCAC33"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28C6F739"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7406FF40"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0.0073</w:t>
            </w:r>
          </w:p>
        </w:tc>
        <w:tc>
          <w:tcPr>
            <w:tcW w:w="960" w:type="dxa"/>
            <w:tcBorders>
              <w:top w:val="nil"/>
              <w:left w:val="nil"/>
              <w:bottom w:val="nil"/>
              <w:right w:val="nil"/>
            </w:tcBorders>
            <w:shd w:val="clear" w:color="auto" w:fill="auto"/>
            <w:noWrap/>
            <w:vAlign w:val="bottom"/>
            <w:hideMark/>
          </w:tcPr>
          <w:p w14:paraId="4B7B2745"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4E9E66FF"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2DE211D0"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54D235D9"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06C1DBBB"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0C9431B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r w:rsidRPr="009500E8">
              <w:rPr>
                <w:rFonts w:ascii="Times New Roman" w:eastAsia="Times New Roman" w:hAnsi="Times New Roman" w:cs="Times New Roman"/>
                <w:color w:val="000000"/>
                <w:sz w:val="10"/>
                <w:szCs w:val="10"/>
                <w:lang w:eastAsia="en-GB"/>
              </w:rPr>
              <w:t> </w:t>
            </w:r>
          </w:p>
        </w:tc>
        <w:tc>
          <w:tcPr>
            <w:tcW w:w="980" w:type="dxa"/>
            <w:tcBorders>
              <w:top w:val="nil"/>
              <w:left w:val="nil"/>
              <w:bottom w:val="nil"/>
              <w:right w:val="nil"/>
            </w:tcBorders>
            <w:shd w:val="clear" w:color="auto" w:fill="auto"/>
            <w:noWrap/>
            <w:vAlign w:val="bottom"/>
            <w:hideMark/>
          </w:tcPr>
          <w:p w14:paraId="2C4418F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80" w:type="dxa"/>
            <w:tcBorders>
              <w:top w:val="nil"/>
              <w:left w:val="nil"/>
              <w:bottom w:val="nil"/>
              <w:right w:val="nil"/>
            </w:tcBorders>
            <w:shd w:val="clear" w:color="auto" w:fill="auto"/>
            <w:noWrap/>
            <w:vAlign w:val="bottom"/>
            <w:hideMark/>
          </w:tcPr>
          <w:p w14:paraId="4B7D98C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2C5A480F"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1E8B2B69"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5C0D2B51"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0043A9E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3ED9D6D7"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4613BA5E"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7DE17C37"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4E67428A"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6A708C0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7AB82DCC"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r>
      <w:tr w:rsidR="00004D6D" w:rsidRPr="009500E8" w14:paraId="00396F53"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561748B5"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11. Cross-Listing (1/0)</w:t>
            </w:r>
          </w:p>
        </w:tc>
        <w:tc>
          <w:tcPr>
            <w:tcW w:w="980" w:type="dxa"/>
            <w:tcBorders>
              <w:top w:val="nil"/>
              <w:left w:val="nil"/>
              <w:bottom w:val="nil"/>
              <w:right w:val="nil"/>
            </w:tcBorders>
            <w:shd w:val="clear" w:color="auto" w:fill="auto"/>
            <w:noWrap/>
            <w:vAlign w:val="bottom"/>
            <w:hideMark/>
          </w:tcPr>
          <w:p w14:paraId="564D354C"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0.0477</w:t>
            </w:r>
          </w:p>
        </w:tc>
        <w:tc>
          <w:tcPr>
            <w:tcW w:w="980" w:type="dxa"/>
            <w:tcBorders>
              <w:top w:val="nil"/>
              <w:left w:val="nil"/>
              <w:bottom w:val="nil"/>
              <w:right w:val="nil"/>
            </w:tcBorders>
            <w:shd w:val="clear" w:color="auto" w:fill="auto"/>
            <w:noWrap/>
            <w:vAlign w:val="bottom"/>
            <w:hideMark/>
          </w:tcPr>
          <w:p w14:paraId="6B0293E0"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-0.0004</w:t>
            </w:r>
          </w:p>
        </w:tc>
        <w:tc>
          <w:tcPr>
            <w:tcW w:w="960" w:type="dxa"/>
            <w:tcBorders>
              <w:top w:val="nil"/>
              <w:left w:val="nil"/>
              <w:bottom w:val="nil"/>
              <w:right w:val="nil"/>
            </w:tcBorders>
            <w:shd w:val="clear" w:color="auto" w:fill="auto"/>
            <w:noWrap/>
            <w:vAlign w:val="bottom"/>
            <w:hideMark/>
          </w:tcPr>
          <w:p w14:paraId="5CEFEE76"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0.1611</w:t>
            </w:r>
          </w:p>
        </w:tc>
        <w:tc>
          <w:tcPr>
            <w:tcW w:w="960" w:type="dxa"/>
            <w:tcBorders>
              <w:top w:val="nil"/>
              <w:left w:val="nil"/>
              <w:bottom w:val="nil"/>
              <w:right w:val="nil"/>
            </w:tcBorders>
            <w:shd w:val="clear" w:color="auto" w:fill="auto"/>
            <w:noWrap/>
            <w:vAlign w:val="bottom"/>
            <w:hideMark/>
          </w:tcPr>
          <w:p w14:paraId="7B9C08E5"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-0.0639</w:t>
            </w:r>
          </w:p>
        </w:tc>
        <w:tc>
          <w:tcPr>
            <w:tcW w:w="960" w:type="dxa"/>
            <w:tcBorders>
              <w:top w:val="nil"/>
              <w:left w:val="nil"/>
              <w:bottom w:val="nil"/>
              <w:right w:val="nil"/>
            </w:tcBorders>
            <w:shd w:val="clear" w:color="auto" w:fill="auto"/>
            <w:noWrap/>
            <w:vAlign w:val="bottom"/>
            <w:hideMark/>
          </w:tcPr>
          <w:p w14:paraId="2C0E25D7"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0.1247</w:t>
            </w:r>
          </w:p>
        </w:tc>
        <w:tc>
          <w:tcPr>
            <w:tcW w:w="960" w:type="dxa"/>
            <w:tcBorders>
              <w:top w:val="nil"/>
              <w:left w:val="nil"/>
              <w:bottom w:val="nil"/>
              <w:right w:val="nil"/>
            </w:tcBorders>
            <w:shd w:val="clear" w:color="auto" w:fill="auto"/>
            <w:noWrap/>
            <w:vAlign w:val="bottom"/>
            <w:hideMark/>
          </w:tcPr>
          <w:p w14:paraId="35CE6B45"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0.2640</w:t>
            </w:r>
          </w:p>
        </w:tc>
        <w:tc>
          <w:tcPr>
            <w:tcW w:w="960" w:type="dxa"/>
            <w:tcBorders>
              <w:top w:val="nil"/>
              <w:left w:val="nil"/>
              <w:bottom w:val="nil"/>
              <w:right w:val="nil"/>
            </w:tcBorders>
            <w:shd w:val="clear" w:color="auto" w:fill="auto"/>
            <w:noWrap/>
            <w:vAlign w:val="bottom"/>
            <w:hideMark/>
          </w:tcPr>
          <w:p w14:paraId="4AF5F874"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0.3655</w:t>
            </w:r>
          </w:p>
        </w:tc>
        <w:tc>
          <w:tcPr>
            <w:tcW w:w="960" w:type="dxa"/>
            <w:tcBorders>
              <w:top w:val="nil"/>
              <w:left w:val="nil"/>
              <w:bottom w:val="nil"/>
              <w:right w:val="nil"/>
            </w:tcBorders>
            <w:shd w:val="clear" w:color="auto" w:fill="auto"/>
            <w:noWrap/>
            <w:vAlign w:val="bottom"/>
            <w:hideMark/>
          </w:tcPr>
          <w:p w14:paraId="5949516E"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-0.1764</w:t>
            </w:r>
          </w:p>
        </w:tc>
        <w:tc>
          <w:tcPr>
            <w:tcW w:w="960" w:type="dxa"/>
            <w:tcBorders>
              <w:top w:val="nil"/>
              <w:left w:val="nil"/>
              <w:bottom w:val="nil"/>
              <w:right w:val="nil"/>
            </w:tcBorders>
            <w:shd w:val="clear" w:color="auto" w:fill="auto"/>
            <w:noWrap/>
            <w:vAlign w:val="bottom"/>
            <w:hideMark/>
          </w:tcPr>
          <w:p w14:paraId="6CC5DA40"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0.2951</w:t>
            </w:r>
          </w:p>
        </w:tc>
        <w:tc>
          <w:tcPr>
            <w:tcW w:w="960" w:type="dxa"/>
            <w:tcBorders>
              <w:top w:val="nil"/>
              <w:left w:val="nil"/>
              <w:bottom w:val="nil"/>
              <w:right w:val="nil"/>
            </w:tcBorders>
            <w:shd w:val="clear" w:color="auto" w:fill="auto"/>
            <w:noWrap/>
            <w:vAlign w:val="bottom"/>
            <w:hideMark/>
          </w:tcPr>
          <w:p w14:paraId="7D52BBA9"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-0.2294</w:t>
            </w:r>
          </w:p>
        </w:tc>
        <w:tc>
          <w:tcPr>
            <w:tcW w:w="960" w:type="dxa"/>
            <w:tcBorders>
              <w:top w:val="nil"/>
              <w:left w:val="nil"/>
              <w:bottom w:val="nil"/>
              <w:right w:val="nil"/>
            </w:tcBorders>
            <w:shd w:val="clear" w:color="auto" w:fill="auto"/>
            <w:noWrap/>
            <w:vAlign w:val="bottom"/>
            <w:hideMark/>
          </w:tcPr>
          <w:p w14:paraId="69F650AE"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1.0000</w:t>
            </w:r>
          </w:p>
        </w:tc>
        <w:tc>
          <w:tcPr>
            <w:tcW w:w="960" w:type="dxa"/>
            <w:tcBorders>
              <w:top w:val="nil"/>
              <w:left w:val="nil"/>
              <w:bottom w:val="nil"/>
              <w:right w:val="nil"/>
            </w:tcBorders>
            <w:shd w:val="clear" w:color="auto" w:fill="auto"/>
            <w:noWrap/>
            <w:vAlign w:val="bottom"/>
            <w:hideMark/>
          </w:tcPr>
          <w:p w14:paraId="2982210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56D41849"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3670609A"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 </w:t>
            </w:r>
          </w:p>
        </w:tc>
        <w:tc>
          <w:tcPr>
            <w:tcW w:w="980" w:type="dxa"/>
            <w:tcBorders>
              <w:top w:val="nil"/>
              <w:left w:val="nil"/>
              <w:bottom w:val="nil"/>
              <w:right w:val="nil"/>
            </w:tcBorders>
            <w:shd w:val="clear" w:color="auto" w:fill="auto"/>
            <w:noWrap/>
            <w:vAlign w:val="bottom"/>
            <w:hideMark/>
          </w:tcPr>
          <w:p w14:paraId="1036B630"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0.4833</w:t>
            </w:r>
          </w:p>
        </w:tc>
        <w:tc>
          <w:tcPr>
            <w:tcW w:w="980" w:type="dxa"/>
            <w:tcBorders>
              <w:top w:val="nil"/>
              <w:left w:val="nil"/>
              <w:bottom w:val="nil"/>
              <w:right w:val="nil"/>
            </w:tcBorders>
            <w:shd w:val="clear" w:color="auto" w:fill="auto"/>
            <w:noWrap/>
            <w:vAlign w:val="bottom"/>
            <w:hideMark/>
          </w:tcPr>
          <w:p w14:paraId="1DF800D1"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0.9952</w:t>
            </w:r>
          </w:p>
        </w:tc>
        <w:tc>
          <w:tcPr>
            <w:tcW w:w="960" w:type="dxa"/>
            <w:tcBorders>
              <w:top w:val="nil"/>
              <w:left w:val="nil"/>
              <w:bottom w:val="nil"/>
              <w:right w:val="nil"/>
            </w:tcBorders>
            <w:shd w:val="clear" w:color="auto" w:fill="auto"/>
            <w:noWrap/>
            <w:vAlign w:val="bottom"/>
            <w:hideMark/>
          </w:tcPr>
          <w:p w14:paraId="4E44204D"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0.0173</w:t>
            </w:r>
          </w:p>
        </w:tc>
        <w:tc>
          <w:tcPr>
            <w:tcW w:w="960" w:type="dxa"/>
            <w:tcBorders>
              <w:top w:val="nil"/>
              <w:left w:val="nil"/>
              <w:bottom w:val="nil"/>
              <w:right w:val="nil"/>
            </w:tcBorders>
            <w:shd w:val="clear" w:color="auto" w:fill="auto"/>
            <w:noWrap/>
            <w:vAlign w:val="bottom"/>
            <w:hideMark/>
          </w:tcPr>
          <w:p w14:paraId="269803AA"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0.3478</w:t>
            </w:r>
          </w:p>
        </w:tc>
        <w:tc>
          <w:tcPr>
            <w:tcW w:w="960" w:type="dxa"/>
            <w:tcBorders>
              <w:top w:val="nil"/>
              <w:left w:val="nil"/>
              <w:bottom w:val="nil"/>
              <w:right w:val="nil"/>
            </w:tcBorders>
            <w:shd w:val="clear" w:color="auto" w:fill="auto"/>
            <w:noWrap/>
            <w:vAlign w:val="bottom"/>
            <w:hideMark/>
          </w:tcPr>
          <w:p w14:paraId="30D1547F"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0.1083</w:t>
            </w:r>
          </w:p>
        </w:tc>
        <w:tc>
          <w:tcPr>
            <w:tcW w:w="960" w:type="dxa"/>
            <w:tcBorders>
              <w:top w:val="nil"/>
              <w:left w:val="nil"/>
              <w:bottom w:val="nil"/>
              <w:right w:val="nil"/>
            </w:tcBorders>
            <w:shd w:val="clear" w:color="auto" w:fill="auto"/>
            <w:noWrap/>
            <w:vAlign w:val="bottom"/>
            <w:hideMark/>
          </w:tcPr>
          <w:p w14:paraId="69A34767"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0.0001</w:t>
            </w:r>
          </w:p>
        </w:tc>
        <w:tc>
          <w:tcPr>
            <w:tcW w:w="960" w:type="dxa"/>
            <w:tcBorders>
              <w:top w:val="nil"/>
              <w:left w:val="nil"/>
              <w:bottom w:val="nil"/>
              <w:right w:val="nil"/>
            </w:tcBorders>
            <w:shd w:val="clear" w:color="auto" w:fill="auto"/>
            <w:noWrap/>
            <w:vAlign w:val="bottom"/>
            <w:hideMark/>
          </w:tcPr>
          <w:p w14:paraId="37F72E42"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20B66CC6"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0.0091</w:t>
            </w:r>
          </w:p>
        </w:tc>
        <w:tc>
          <w:tcPr>
            <w:tcW w:w="960" w:type="dxa"/>
            <w:tcBorders>
              <w:top w:val="nil"/>
              <w:left w:val="nil"/>
              <w:bottom w:val="nil"/>
              <w:right w:val="nil"/>
            </w:tcBorders>
            <w:shd w:val="clear" w:color="auto" w:fill="auto"/>
            <w:noWrap/>
            <w:vAlign w:val="bottom"/>
            <w:hideMark/>
          </w:tcPr>
          <w:p w14:paraId="1177B6C2"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38AAE740"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0.0006</w:t>
            </w:r>
          </w:p>
        </w:tc>
        <w:tc>
          <w:tcPr>
            <w:tcW w:w="960" w:type="dxa"/>
            <w:tcBorders>
              <w:top w:val="nil"/>
              <w:left w:val="nil"/>
              <w:bottom w:val="nil"/>
              <w:right w:val="nil"/>
            </w:tcBorders>
            <w:shd w:val="clear" w:color="auto" w:fill="auto"/>
            <w:noWrap/>
            <w:vAlign w:val="bottom"/>
            <w:hideMark/>
          </w:tcPr>
          <w:p w14:paraId="0F7653A0"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972DEA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34E9F734"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21B49924"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r w:rsidRPr="009500E8">
              <w:rPr>
                <w:rFonts w:ascii="Times New Roman" w:eastAsia="Times New Roman" w:hAnsi="Times New Roman" w:cs="Times New Roman"/>
                <w:color w:val="000000"/>
                <w:sz w:val="10"/>
                <w:szCs w:val="10"/>
                <w:lang w:eastAsia="en-GB"/>
              </w:rPr>
              <w:t> </w:t>
            </w:r>
          </w:p>
        </w:tc>
        <w:tc>
          <w:tcPr>
            <w:tcW w:w="980" w:type="dxa"/>
            <w:tcBorders>
              <w:top w:val="nil"/>
              <w:left w:val="nil"/>
              <w:bottom w:val="nil"/>
              <w:right w:val="nil"/>
            </w:tcBorders>
            <w:shd w:val="clear" w:color="auto" w:fill="auto"/>
            <w:noWrap/>
            <w:vAlign w:val="bottom"/>
            <w:hideMark/>
          </w:tcPr>
          <w:p w14:paraId="2863ADC8"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80" w:type="dxa"/>
            <w:tcBorders>
              <w:top w:val="nil"/>
              <w:left w:val="nil"/>
              <w:bottom w:val="nil"/>
              <w:right w:val="nil"/>
            </w:tcBorders>
            <w:shd w:val="clear" w:color="auto" w:fill="auto"/>
            <w:noWrap/>
            <w:vAlign w:val="bottom"/>
            <w:hideMark/>
          </w:tcPr>
          <w:p w14:paraId="130E91DF"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30FEE50A"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3DA57FFB"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112BA7BD"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52CEB22F"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5E969B9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52DB42D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409F6C1F"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3F03C870"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0F2D4F1A"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c>
          <w:tcPr>
            <w:tcW w:w="960" w:type="dxa"/>
            <w:tcBorders>
              <w:top w:val="nil"/>
              <w:left w:val="nil"/>
              <w:bottom w:val="nil"/>
              <w:right w:val="nil"/>
            </w:tcBorders>
            <w:shd w:val="clear" w:color="auto" w:fill="auto"/>
            <w:noWrap/>
            <w:vAlign w:val="bottom"/>
            <w:hideMark/>
          </w:tcPr>
          <w:p w14:paraId="584046D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10"/>
                <w:szCs w:val="10"/>
                <w:lang w:eastAsia="en-GB"/>
              </w:rPr>
            </w:pPr>
          </w:p>
        </w:tc>
      </w:tr>
      <w:tr w:rsidR="00004D6D" w:rsidRPr="009500E8" w14:paraId="63D1C0CA"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0EBD449C"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12. MNE (1/0)</w:t>
            </w:r>
          </w:p>
        </w:tc>
        <w:tc>
          <w:tcPr>
            <w:tcW w:w="980" w:type="dxa"/>
            <w:tcBorders>
              <w:top w:val="nil"/>
              <w:left w:val="nil"/>
              <w:bottom w:val="nil"/>
              <w:right w:val="nil"/>
            </w:tcBorders>
            <w:shd w:val="clear" w:color="auto" w:fill="auto"/>
            <w:noWrap/>
            <w:vAlign w:val="bottom"/>
            <w:hideMark/>
          </w:tcPr>
          <w:p w14:paraId="0DFDC96D"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-0.0047</w:t>
            </w:r>
          </w:p>
        </w:tc>
        <w:tc>
          <w:tcPr>
            <w:tcW w:w="980" w:type="dxa"/>
            <w:tcBorders>
              <w:top w:val="nil"/>
              <w:left w:val="nil"/>
              <w:bottom w:val="nil"/>
              <w:right w:val="nil"/>
            </w:tcBorders>
            <w:shd w:val="clear" w:color="auto" w:fill="auto"/>
            <w:noWrap/>
            <w:vAlign w:val="bottom"/>
            <w:hideMark/>
          </w:tcPr>
          <w:p w14:paraId="5C250947"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-0.0755</w:t>
            </w:r>
          </w:p>
        </w:tc>
        <w:tc>
          <w:tcPr>
            <w:tcW w:w="960" w:type="dxa"/>
            <w:tcBorders>
              <w:top w:val="nil"/>
              <w:left w:val="nil"/>
              <w:bottom w:val="nil"/>
              <w:right w:val="nil"/>
            </w:tcBorders>
            <w:shd w:val="clear" w:color="auto" w:fill="auto"/>
            <w:noWrap/>
            <w:vAlign w:val="bottom"/>
            <w:hideMark/>
          </w:tcPr>
          <w:p w14:paraId="13E1C8DB"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0.1625</w:t>
            </w:r>
          </w:p>
        </w:tc>
        <w:tc>
          <w:tcPr>
            <w:tcW w:w="960" w:type="dxa"/>
            <w:tcBorders>
              <w:top w:val="nil"/>
              <w:left w:val="nil"/>
              <w:bottom w:val="nil"/>
              <w:right w:val="nil"/>
            </w:tcBorders>
            <w:shd w:val="clear" w:color="auto" w:fill="auto"/>
            <w:noWrap/>
            <w:vAlign w:val="bottom"/>
            <w:hideMark/>
          </w:tcPr>
          <w:p w14:paraId="57E327CA"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-0.0245</w:t>
            </w:r>
          </w:p>
        </w:tc>
        <w:tc>
          <w:tcPr>
            <w:tcW w:w="960" w:type="dxa"/>
            <w:tcBorders>
              <w:top w:val="nil"/>
              <w:left w:val="nil"/>
              <w:bottom w:val="nil"/>
              <w:right w:val="nil"/>
            </w:tcBorders>
            <w:shd w:val="clear" w:color="auto" w:fill="auto"/>
            <w:noWrap/>
            <w:vAlign w:val="bottom"/>
            <w:hideMark/>
          </w:tcPr>
          <w:p w14:paraId="407A4CFF"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-0.0066</w:t>
            </w:r>
          </w:p>
        </w:tc>
        <w:tc>
          <w:tcPr>
            <w:tcW w:w="960" w:type="dxa"/>
            <w:tcBorders>
              <w:top w:val="nil"/>
              <w:left w:val="nil"/>
              <w:bottom w:val="nil"/>
              <w:right w:val="nil"/>
            </w:tcBorders>
            <w:shd w:val="clear" w:color="auto" w:fill="auto"/>
            <w:noWrap/>
            <w:vAlign w:val="bottom"/>
            <w:hideMark/>
          </w:tcPr>
          <w:p w14:paraId="2EE89998"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0.3988</w:t>
            </w:r>
          </w:p>
        </w:tc>
        <w:tc>
          <w:tcPr>
            <w:tcW w:w="960" w:type="dxa"/>
            <w:tcBorders>
              <w:top w:val="nil"/>
              <w:left w:val="nil"/>
              <w:bottom w:val="nil"/>
              <w:right w:val="nil"/>
            </w:tcBorders>
            <w:shd w:val="clear" w:color="auto" w:fill="auto"/>
            <w:noWrap/>
            <w:vAlign w:val="bottom"/>
            <w:hideMark/>
          </w:tcPr>
          <w:p w14:paraId="2C593695"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0.5631</w:t>
            </w:r>
          </w:p>
        </w:tc>
        <w:tc>
          <w:tcPr>
            <w:tcW w:w="960" w:type="dxa"/>
            <w:tcBorders>
              <w:top w:val="nil"/>
              <w:left w:val="nil"/>
              <w:bottom w:val="nil"/>
              <w:right w:val="nil"/>
            </w:tcBorders>
            <w:shd w:val="clear" w:color="auto" w:fill="auto"/>
            <w:noWrap/>
            <w:vAlign w:val="bottom"/>
            <w:hideMark/>
          </w:tcPr>
          <w:p w14:paraId="758FCE36"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0.2284</w:t>
            </w:r>
          </w:p>
        </w:tc>
        <w:tc>
          <w:tcPr>
            <w:tcW w:w="960" w:type="dxa"/>
            <w:tcBorders>
              <w:top w:val="nil"/>
              <w:left w:val="nil"/>
              <w:bottom w:val="nil"/>
              <w:right w:val="nil"/>
            </w:tcBorders>
            <w:shd w:val="clear" w:color="auto" w:fill="auto"/>
            <w:noWrap/>
            <w:vAlign w:val="bottom"/>
            <w:hideMark/>
          </w:tcPr>
          <w:p w14:paraId="28E6F6E3"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0.2415</w:t>
            </w:r>
          </w:p>
        </w:tc>
        <w:tc>
          <w:tcPr>
            <w:tcW w:w="960" w:type="dxa"/>
            <w:tcBorders>
              <w:top w:val="nil"/>
              <w:left w:val="nil"/>
              <w:bottom w:val="nil"/>
              <w:right w:val="nil"/>
            </w:tcBorders>
            <w:shd w:val="clear" w:color="auto" w:fill="auto"/>
            <w:noWrap/>
            <w:vAlign w:val="bottom"/>
            <w:hideMark/>
          </w:tcPr>
          <w:p w14:paraId="3F9A3350"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-0.3283</w:t>
            </w:r>
          </w:p>
        </w:tc>
        <w:tc>
          <w:tcPr>
            <w:tcW w:w="960" w:type="dxa"/>
            <w:tcBorders>
              <w:top w:val="nil"/>
              <w:left w:val="nil"/>
              <w:bottom w:val="nil"/>
              <w:right w:val="nil"/>
            </w:tcBorders>
            <w:shd w:val="clear" w:color="auto" w:fill="auto"/>
            <w:noWrap/>
            <w:vAlign w:val="bottom"/>
            <w:hideMark/>
          </w:tcPr>
          <w:p w14:paraId="19AF5D88"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0.5161</w:t>
            </w:r>
          </w:p>
        </w:tc>
        <w:tc>
          <w:tcPr>
            <w:tcW w:w="960" w:type="dxa"/>
            <w:tcBorders>
              <w:top w:val="nil"/>
              <w:left w:val="nil"/>
              <w:bottom w:val="nil"/>
              <w:right w:val="nil"/>
            </w:tcBorders>
            <w:shd w:val="clear" w:color="auto" w:fill="auto"/>
            <w:noWrap/>
            <w:vAlign w:val="bottom"/>
            <w:hideMark/>
          </w:tcPr>
          <w:p w14:paraId="77A3D93C"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1.0000</w:t>
            </w:r>
          </w:p>
        </w:tc>
      </w:tr>
      <w:tr w:rsidR="00004D6D" w:rsidRPr="009500E8" w14:paraId="235B9292" w14:textId="77777777" w:rsidTr="00004D6D">
        <w:trPr>
          <w:trHeight w:val="20"/>
        </w:trPr>
        <w:tc>
          <w:tcPr>
            <w:tcW w:w="2860" w:type="dxa"/>
            <w:tcBorders>
              <w:top w:val="nil"/>
              <w:left w:val="nil"/>
              <w:bottom w:val="nil"/>
              <w:right w:val="single" w:sz="4" w:space="0" w:color="auto"/>
            </w:tcBorders>
            <w:shd w:val="clear" w:color="auto" w:fill="auto"/>
            <w:noWrap/>
            <w:vAlign w:val="bottom"/>
            <w:hideMark/>
          </w:tcPr>
          <w:p w14:paraId="00DDF81A"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 </w:t>
            </w:r>
          </w:p>
        </w:tc>
        <w:tc>
          <w:tcPr>
            <w:tcW w:w="980" w:type="dxa"/>
            <w:tcBorders>
              <w:top w:val="nil"/>
              <w:left w:val="nil"/>
              <w:bottom w:val="nil"/>
              <w:right w:val="nil"/>
            </w:tcBorders>
            <w:shd w:val="clear" w:color="auto" w:fill="auto"/>
            <w:noWrap/>
            <w:vAlign w:val="bottom"/>
            <w:hideMark/>
          </w:tcPr>
          <w:p w14:paraId="5E83B471"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0.9450</w:t>
            </w:r>
          </w:p>
        </w:tc>
        <w:tc>
          <w:tcPr>
            <w:tcW w:w="980" w:type="dxa"/>
            <w:tcBorders>
              <w:top w:val="nil"/>
              <w:left w:val="nil"/>
              <w:bottom w:val="nil"/>
              <w:right w:val="nil"/>
            </w:tcBorders>
            <w:shd w:val="clear" w:color="auto" w:fill="auto"/>
            <w:noWrap/>
            <w:vAlign w:val="bottom"/>
            <w:hideMark/>
          </w:tcPr>
          <w:p w14:paraId="7DAE3953"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0.2673</w:t>
            </w:r>
          </w:p>
        </w:tc>
        <w:tc>
          <w:tcPr>
            <w:tcW w:w="960" w:type="dxa"/>
            <w:tcBorders>
              <w:top w:val="nil"/>
              <w:left w:val="nil"/>
              <w:bottom w:val="nil"/>
              <w:right w:val="nil"/>
            </w:tcBorders>
            <w:shd w:val="clear" w:color="auto" w:fill="auto"/>
            <w:noWrap/>
            <w:vAlign w:val="bottom"/>
            <w:hideMark/>
          </w:tcPr>
          <w:p w14:paraId="1FDA2E80"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0.0163</w:t>
            </w:r>
          </w:p>
        </w:tc>
        <w:tc>
          <w:tcPr>
            <w:tcW w:w="960" w:type="dxa"/>
            <w:tcBorders>
              <w:top w:val="nil"/>
              <w:left w:val="nil"/>
              <w:bottom w:val="nil"/>
              <w:right w:val="nil"/>
            </w:tcBorders>
            <w:shd w:val="clear" w:color="auto" w:fill="auto"/>
            <w:noWrap/>
            <w:vAlign w:val="bottom"/>
            <w:hideMark/>
          </w:tcPr>
          <w:p w14:paraId="10369608"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0.7187</w:t>
            </w:r>
          </w:p>
        </w:tc>
        <w:tc>
          <w:tcPr>
            <w:tcW w:w="960" w:type="dxa"/>
            <w:tcBorders>
              <w:top w:val="nil"/>
              <w:left w:val="nil"/>
              <w:bottom w:val="nil"/>
              <w:right w:val="nil"/>
            </w:tcBorders>
            <w:shd w:val="clear" w:color="auto" w:fill="auto"/>
            <w:noWrap/>
            <w:vAlign w:val="bottom"/>
            <w:hideMark/>
          </w:tcPr>
          <w:p w14:paraId="192666DB"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0.9328</w:t>
            </w:r>
          </w:p>
        </w:tc>
        <w:tc>
          <w:tcPr>
            <w:tcW w:w="960" w:type="dxa"/>
            <w:tcBorders>
              <w:top w:val="nil"/>
              <w:left w:val="nil"/>
              <w:bottom w:val="nil"/>
              <w:right w:val="nil"/>
            </w:tcBorders>
            <w:shd w:val="clear" w:color="auto" w:fill="auto"/>
            <w:noWrap/>
            <w:vAlign w:val="bottom"/>
            <w:hideMark/>
          </w:tcPr>
          <w:p w14:paraId="7144B101"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73475E35"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13F6185C"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0.0007</w:t>
            </w:r>
          </w:p>
        </w:tc>
        <w:tc>
          <w:tcPr>
            <w:tcW w:w="960" w:type="dxa"/>
            <w:tcBorders>
              <w:top w:val="nil"/>
              <w:left w:val="nil"/>
              <w:bottom w:val="nil"/>
              <w:right w:val="nil"/>
            </w:tcBorders>
            <w:shd w:val="clear" w:color="auto" w:fill="auto"/>
            <w:noWrap/>
            <w:vAlign w:val="bottom"/>
            <w:hideMark/>
          </w:tcPr>
          <w:p w14:paraId="631133B2"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0.0003</w:t>
            </w:r>
          </w:p>
        </w:tc>
        <w:tc>
          <w:tcPr>
            <w:tcW w:w="960" w:type="dxa"/>
            <w:tcBorders>
              <w:top w:val="nil"/>
              <w:left w:val="nil"/>
              <w:bottom w:val="nil"/>
              <w:right w:val="nil"/>
            </w:tcBorders>
            <w:shd w:val="clear" w:color="auto" w:fill="auto"/>
            <w:noWrap/>
            <w:vAlign w:val="bottom"/>
            <w:hideMark/>
          </w:tcPr>
          <w:p w14:paraId="25F92F4C"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63984535" w14:textId="77777777" w:rsidR="00004D6D" w:rsidRPr="009500E8" w:rsidRDefault="00004D6D" w:rsidP="00004D6D">
            <w:pPr>
              <w:spacing w:after="0" w:line="240" w:lineRule="auto"/>
              <w:contextualSpacing/>
              <w:jc w:val="right"/>
              <w:rPr>
                <w:rFonts w:ascii="Times New Roman" w:eastAsia="Times New Roman" w:hAnsi="Times New Roman" w:cs="Times New Roman"/>
                <w:color w:val="000000"/>
                <w:sz w:val="20"/>
                <w:szCs w:val="20"/>
                <w:lang w:eastAsia="en-GB"/>
              </w:rPr>
            </w:pPr>
            <w:r w:rsidRPr="009500E8">
              <w:rPr>
                <w:rFonts w:ascii="Times New Roman" w:eastAsia="Times New Roman" w:hAnsi="Times New Roman" w:cs="Times New Roman"/>
                <w:color w:val="000000"/>
                <w:sz w:val="20"/>
                <w:szCs w:val="20"/>
                <w:lang w:eastAsia="en-GB"/>
              </w:rPr>
              <w:t>0.0000</w:t>
            </w:r>
          </w:p>
        </w:tc>
        <w:tc>
          <w:tcPr>
            <w:tcW w:w="960" w:type="dxa"/>
            <w:tcBorders>
              <w:top w:val="nil"/>
              <w:left w:val="nil"/>
              <w:bottom w:val="nil"/>
              <w:right w:val="nil"/>
            </w:tcBorders>
            <w:shd w:val="clear" w:color="auto" w:fill="auto"/>
            <w:noWrap/>
            <w:vAlign w:val="bottom"/>
            <w:hideMark/>
          </w:tcPr>
          <w:p w14:paraId="63A3F0D9"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r w:rsidR="00004D6D" w:rsidRPr="009500E8" w14:paraId="589C3099" w14:textId="77777777" w:rsidTr="00004D6D">
        <w:trPr>
          <w:trHeight w:val="20"/>
        </w:trPr>
        <w:tc>
          <w:tcPr>
            <w:tcW w:w="2860" w:type="dxa"/>
            <w:tcBorders>
              <w:top w:val="nil"/>
              <w:left w:val="nil"/>
              <w:bottom w:val="nil"/>
              <w:right w:val="nil"/>
            </w:tcBorders>
            <w:shd w:val="clear" w:color="auto" w:fill="auto"/>
            <w:noWrap/>
            <w:vAlign w:val="bottom"/>
            <w:hideMark/>
          </w:tcPr>
          <w:p w14:paraId="0B12A76F"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80" w:type="dxa"/>
            <w:tcBorders>
              <w:top w:val="nil"/>
              <w:left w:val="nil"/>
              <w:bottom w:val="nil"/>
              <w:right w:val="nil"/>
            </w:tcBorders>
            <w:shd w:val="clear" w:color="auto" w:fill="auto"/>
            <w:noWrap/>
            <w:vAlign w:val="bottom"/>
            <w:hideMark/>
          </w:tcPr>
          <w:p w14:paraId="65AE103C"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80" w:type="dxa"/>
            <w:tcBorders>
              <w:top w:val="nil"/>
              <w:left w:val="nil"/>
              <w:bottom w:val="nil"/>
              <w:right w:val="nil"/>
            </w:tcBorders>
            <w:shd w:val="clear" w:color="auto" w:fill="auto"/>
            <w:noWrap/>
            <w:vAlign w:val="bottom"/>
            <w:hideMark/>
          </w:tcPr>
          <w:p w14:paraId="61B1AF80"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78A6BC4E"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2F92F160"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3342BF3A"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22AED543"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28381FDE"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0C2B47CA"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736DD670"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57C88085"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1F755A5"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bottom"/>
            <w:hideMark/>
          </w:tcPr>
          <w:p w14:paraId="489D60ED" w14:textId="77777777" w:rsidR="00004D6D" w:rsidRPr="009500E8" w:rsidRDefault="00004D6D" w:rsidP="00004D6D">
            <w:pPr>
              <w:spacing w:after="0" w:line="240" w:lineRule="auto"/>
              <w:contextualSpacing/>
              <w:rPr>
                <w:rFonts w:ascii="Times New Roman" w:eastAsia="Times New Roman" w:hAnsi="Times New Roman" w:cs="Times New Roman"/>
                <w:color w:val="000000"/>
                <w:sz w:val="20"/>
                <w:szCs w:val="20"/>
                <w:lang w:eastAsia="en-GB"/>
              </w:rPr>
            </w:pPr>
          </w:p>
        </w:tc>
      </w:tr>
    </w:tbl>
    <w:p w14:paraId="7B0148E0" w14:textId="77777777" w:rsidR="00004D6D" w:rsidRPr="001B715C" w:rsidRDefault="00004D6D" w:rsidP="00004D6D">
      <w:pPr>
        <w:rPr>
          <w:lang w:val="en-US"/>
        </w:rPr>
      </w:pPr>
    </w:p>
    <w:p w14:paraId="7B55BDC5" w14:textId="77777777" w:rsidR="00004D6D" w:rsidRDefault="00004D6D" w:rsidP="00004D6D">
      <w:r>
        <w:br w:type="page"/>
      </w:r>
    </w:p>
    <w:p w14:paraId="235E2D46" w14:textId="77777777" w:rsidR="00004D6D" w:rsidRDefault="00004D6D" w:rsidP="00004D6D">
      <w:pPr>
        <w:sectPr w:rsidR="00004D6D" w:rsidSect="00004D6D">
          <w:pgSz w:w="16838" w:h="11906" w:orient="landscape"/>
          <w:pgMar w:top="1440" w:right="1440" w:bottom="1440" w:left="1440" w:header="708" w:footer="708" w:gutter="0"/>
          <w:cols w:space="708"/>
          <w:docGrid w:linePitch="360"/>
        </w:sectPr>
      </w:pPr>
    </w:p>
    <w:p w14:paraId="6EFB8FE6" w14:textId="77777777" w:rsidR="00004D6D" w:rsidRPr="00F24865" w:rsidRDefault="00004D6D" w:rsidP="00004D6D">
      <w:pPr>
        <w:pStyle w:val="Caption"/>
        <w:keepNext/>
        <w:jc w:val="center"/>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lastRenderedPageBreak/>
        <w:t>TABLE 3</w:t>
      </w:r>
    </w:p>
    <w:p w14:paraId="43CC509B" w14:textId="77777777" w:rsidR="00004D6D" w:rsidRPr="00F24865" w:rsidRDefault="00004D6D" w:rsidP="00004D6D">
      <w:pPr>
        <w:spacing w:line="240" w:lineRule="auto"/>
        <w:jc w:val="center"/>
        <w:rPr>
          <w:rFonts w:ascii="Times New Roman" w:hAnsi="Times New Roman" w:cs="Times New Roman"/>
          <w:b/>
          <w:bCs/>
          <w:sz w:val="24"/>
          <w:szCs w:val="24"/>
          <w:lang w:val="en-US"/>
        </w:rPr>
      </w:pPr>
      <w:r w:rsidRPr="00F24865">
        <w:rPr>
          <w:rFonts w:ascii="Times New Roman" w:hAnsi="Times New Roman" w:cs="Times New Roman"/>
          <w:b/>
          <w:bCs/>
          <w:sz w:val="24"/>
          <w:szCs w:val="24"/>
          <w:lang w:val="en-US"/>
        </w:rPr>
        <w:t>The moderating effect of independent directors on investment</w:t>
      </w:r>
    </w:p>
    <w:tbl>
      <w:tblPr>
        <w:tblW w:w="7080" w:type="dxa"/>
        <w:jc w:val="center"/>
        <w:tblLook w:val="04A0" w:firstRow="1" w:lastRow="0" w:firstColumn="1" w:lastColumn="0" w:noHBand="0" w:noVBand="1"/>
      </w:tblPr>
      <w:tblGrid>
        <w:gridCol w:w="4760"/>
        <w:gridCol w:w="1160"/>
        <w:gridCol w:w="1160"/>
      </w:tblGrid>
      <w:tr w:rsidR="00004D6D" w:rsidRPr="00F24865" w14:paraId="1FBE89B5" w14:textId="77777777" w:rsidTr="00004D6D">
        <w:trPr>
          <w:trHeight w:val="20"/>
          <w:jc w:val="center"/>
        </w:trPr>
        <w:tc>
          <w:tcPr>
            <w:tcW w:w="4760" w:type="dxa"/>
            <w:tcBorders>
              <w:top w:val="single" w:sz="4" w:space="0" w:color="auto"/>
              <w:left w:val="nil"/>
              <w:bottom w:val="nil"/>
              <w:right w:val="nil"/>
            </w:tcBorders>
            <w:shd w:val="clear" w:color="auto" w:fill="auto"/>
            <w:noWrap/>
            <w:vAlign w:val="bottom"/>
            <w:hideMark/>
          </w:tcPr>
          <w:p w14:paraId="103D3370" w14:textId="77777777" w:rsidR="00004D6D" w:rsidRPr="00F24865" w:rsidRDefault="00004D6D" w:rsidP="00004D6D">
            <w:pPr>
              <w:spacing w:after="0" w:line="240" w:lineRule="auto"/>
              <w:contextualSpacing/>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 </w:t>
            </w:r>
          </w:p>
        </w:tc>
        <w:tc>
          <w:tcPr>
            <w:tcW w:w="1160" w:type="dxa"/>
            <w:tcBorders>
              <w:top w:val="single" w:sz="4" w:space="0" w:color="auto"/>
              <w:left w:val="nil"/>
              <w:bottom w:val="nil"/>
              <w:right w:val="nil"/>
            </w:tcBorders>
            <w:shd w:val="clear" w:color="auto" w:fill="auto"/>
            <w:noWrap/>
            <w:vAlign w:val="bottom"/>
            <w:hideMark/>
          </w:tcPr>
          <w:p w14:paraId="16EAFD19" w14:textId="77777777" w:rsidR="00004D6D" w:rsidRPr="00F24865" w:rsidRDefault="00004D6D" w:rsidP="00004D6D">
            <w:pPr>
              <w:spacing w:after="0" w:line="240" w:lineRule="auto"/>
              <w:contextualSpacing/>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(1)</w:t>
            </w:r>
          </w:p>
        </w:tc>
        <w:tc>
          <w:tcPr>
            <w:tcW w:w="1160" w:type="dxa"/>
            <w:tcBorders>
              <w:top w:val="single" w:sz="4" w:space="0" w:color="auto"/>
              <w:left w:val="nil"/>
              <w:bottom w:val="nil"/>
              <w:right w:val="nil"/>
            </w:tcBorders>
            <w:shd w:val="clear" w:color="auto" w:fill="auto"/>
            <w:noWrap/>
            <w:vAlign w:val="bottom"/>
            <w:hideMark/>
          </w:tcPr>
          <w:p w14:paraId="4FFC5E68" w14:textId="77777777" w:rsidR="00004D6D" w:rsidRPr="00F24865" w:rsidRDefault="00004D6D" w:rsidP="00004D6D">
            <w:pPr>
              <w:spacing w:after="0" w:line="240" w:lineRule="auto"/>
              <w:contextualSpacing/>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(2)</w:t>
            </w:r>
          </w:p>
        </w:tc>
      </w:tr>
      <w:tr w:rsidR="00004D6D" w:rsidRPr="00F24865" w14:paraId="069F6A95" w14:textId="77777777" w:rsidTr="00004D6D">
        <w:trPr>
          <w:trHeight w:val="264"/>
          <w:jc w:val="center"/>
        </w:trPr>
        <w:tc>
          <w:tcPr>
            <w:tcW w:w="4760" w:type="dxa"/>
            <w:tcBorders>
              <w:top w:val="nil"/>
              <w:left w:val="nil"/>
              <w:right w:val="nil"/>
            </w:tcBorders>
            <w:shd w:val="clear" w:color="auto" w:fill="auto"/>
            <w:noWrap/>
            <w:vAlign w:val="bottom"/>
            <w:hideMark/>
          </w:tcPr>
          <w:p w14:paraId="6BB5BAFE"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right w:val="nil"/>
            </w:tcBorders>
            <w:shd w:val="clear" w:color="auto" w:fill="auto"/>
            <w:noWrap/>
            <w:vAlign w:val="bottom"/>
            <w:hideMark/>
          </w:tcPr>
          <w:p w14:paraId="35D3A519"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Fixed Effects</w:t>
            </w:r>
          </w:p>
        </w:tc>
        <w:tc>
          <w:tcPr>
            <w:tcW w:w="1160" w:type="dxa"/>
            <w:tcBorders>
              <w:top w:val="nil"/>
              <w:left w:val="nil"/>
              <w:right w:val="nil"/>
            </w:tcBorders>
            <w:shd w:val="clear" w:color="auto" w:fill="auto"/>
            <w:noWrap/>
            <w:vAlign w:val="bottom"/>
            <w:hideMark/>
          </w:tcPr>
          <w:p w14:paraId="13718F9E"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GMM</w:t>
            </w:r>
          </w:p>
        </w:tc>
      </w:tr>
      <w:tr w:rsidR="00004D6D" w:rsidRPr="00F24865" w14:paraId="6785D160" w14:textId="77777777" w:rsidTr="00004D6D">
        <w:trPr>
          <w:trHeight w:val="528"/>
          <w:jc w:val="center"/>
        </w:trPr>
        <w:tc>
          <w:tcPr>
            <w:tcW w:w="4760" w:type="dxa"/>
            <w:tcBorders>
              <w:top w:val="nil"/>
              <w:left w:val="nil"/>
              <w:bottom w:val="single" w:sz="4" w:space="0" w:color="auto"/>
              <w:right w:val="nil"/>
            </w:tcBorders>
            <w:shd w:val="clear" w:color="auto" w:fill="auto"/>
            <w:noWrap/>
            <w:vAlign w:val="bottom"/>
            <w:hideMark/>
          </w:tcPr>
          <w:p w14:paraId="2CC882DD"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VARIABLES</w:t>
            </w:r>
          </w:p>
        </w:tc>
        <w:tc>
          <w:tcPr>
            <w:tcW w:w="1160" w:type="dxa"/>
            <w:tcBorders>
              <w:top w:val="nil"/>
              <w:left w:val="nil"/>
              <w:bottom w:val="single" w:sz="4" w:space="0" w:color="auto"/>
              <w:right w:val="nil"/>
            </w:tcBorders>
            <w:shd w:val="clear" w:color="auto" w:fill="auto"/>
            <w:vAlign w:val="bottom"/>
            <w:hideMark/>
          </w:tcPr>
          <w:p w14:paraId="23511C9F"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Investment, in first diff</w:t>
            </w:r>
          </w:p>
        </w:tc>
        <w:tc>
          <w:tcPr>
            <w:tcW w:w="1160" w:type="dxa"/>
            <w:tcBorders>
              <w:top w:val="nil"/>
              <w:left w:val="nil"/>
              <w:bottom w:val="single" w:sz="4" w:space="0" w:color="auto"/>
              <w:right w:val="nil"/>
            </w:tcBorders>
            <w:shd w:val="clear" w:color="auto" w:fill="auto"/>
            <w:vAlign w:val="bottom"/>
            <w:hideMark/>
          </w:tcPr>
          <w:p w14:paraId="79C3CC69"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Investment, in levels</w:t>
            </w:r>
          </w:p>
        </w:tc>
      </w:tr>
      <w:tr w:rsidR="00004D6D" w:rsidRPr="00F24865" w14:paraId="2C702173" w14:textId="77777777" w:rsidTr="00004D6D">
        <w:trPr>
          <w:trHeight w:val="264"/>
          <w:jc w:val="center"/>
        </w:trPr>
        <w:tc>
          <w:tcPr>
            <w:tcW w:w="4760" w:type="dxa"/>
            <w:tcBorders>
              <w:top w:val="single" w:sz="4" w:space="0" w:color="auto"/>
              <w:left w:val="nil"/>
              <w:bottom w:val="nil"/>
              <w:right w:val="nil"/>
            </w:tcBorders>
            <w:shd w:val="clear" w:color="auto" w:fill="auto"/>
            <w:noWrap/>
            <w:vAlign w:val="bottom"/>
            <w:hideMark/>
          </w:tcPr>
          <w:p w14:paraId="13BE4C2F"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GCF</w:t>
            </w:r>
          </w:p>
        </w:tc>
        <w:tc>
          <w:tcPr>
            <w:tcW w:w="1160" w:type="dxa"/>
            <w:tcBorders>
              <w:top w:val="single" w:sz="4" w:space="0" w:color="auto"/>
              <w:left w:val="nil"/>
              <w:bottom w:val="nil"/>
              <w:right w:val="nil"/>
            </w:tcBorders>
            <w:shd w:val="clear" w:color="auto" w:fill="auto"/>
            <w:noWrap/>
            <w:vAlign w:val="bottom"/>
            <w:hideMark/>
          </w:tcPr>
          <w:p w14:paraId="067D67AB"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-0.14</w:t>
            </w:r>
          </w:p>
        </w:tc>
        <w:tc>
          <w:tcPr>
            <w:tcW w:w="1160" w:type="dxa"/>
            <w:tcBorders>
              <w:top w:val="single" w:sz="4" w:space="0" w:color="auto"/>
              <w:left w:val="nil"/>
              <w:bottom w:val="nil"/>
              <w:right w:val="nil"/>
            </w:tcBorders>
            <w:shd w:val="clear" w:color="auto" w:fill="auto"/>
            <w:noWrap/>
            <w:vAlign w:val="bottom"/>
            <w:hideMark/>
          </w:tcPr>
          <w:p w14:paraId="13FEAE44"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-0.04</w:t>
            </w:r>
          </w:p>
        </w:tc>
      </w:tr>
      <w:tr w:rsidR="00004D6D" w:rsidRPr="00F24865" w14:paraId="3213CB0C" w14:textId="77777777" w:rsidTr="00004D6D">
        <w:trPr>
          <w:trHeight w:val="264"/>
          <w:jc w:val="center"/>
        </w:trPr>
        <w:tc>
          <w:tcPr>
            <w:tcW w:w="4760" w:type="dxa"/>
            <w:tcBorders>
              <w:top w:val="nil"/>
              <w:left w:val="nil"/>
              <w:bottom w:val="nil"/>
              <w:right w:val="nil"/>
            </w:tcBorders>
            <w:shd w:val="clear" w:color="auto" w:fill="auto"/>
            <w:noWrap/>
            <w:vAlign w:val="bottom"/>
            <w:hideMark/>
          </w:tcPr>
          <w:p w14:paraId="64BFFBD6"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342D3063"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(0.10)</w:t>
            </w:r>
          </w:p>
        </w:tc>
        <w:tc>
          <w:tcPr>
            <w:tcW w:w="1160" w:type="dxa"/>
            <w:tcBorders>
              <w:top w:val="nil"/>
              <w:left w:val="nil"/>
              <w:bottom w:val="nil"/>
              <w:right w:val="nil"/>
            </w:tcBorders>
            <w:shd w:val="clear" w:color="auto" w:fill="auto"/>
            <w:noWrap/>
            <w:vAlign w:val="bottom"/>
            <w:hideMark/>
          </w:tcPr>
          <w:p w14:paraId="44A6122B"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(0.09)</w:t>
            </w:r>
          </w:p>
        </w:tc>
      </w:tr>
      <w:tr w:rsidR="00004D6D" w:rsidRPr="00F24865" w14:paraId="5DD31DD1" w14:textId="77777777" w:rsidTr="00004D6D">
        <w:trPr>
          <w:trHeight w:val="264"/>
          <w:jc w:val="center"/>
        </w:trPr>
        <w:tc>
          <w:tcPr>
            <w:tcW w:w="4760" w:type="dxa"/>
            <w:tcBorders>
              <w:top w:val="nil"/>
              <w:left w:val="nil"/>
              <w:bottom w:val="nil"/>
              <w:right w:val="nil"/>
            </w:tcBorders>
            <w:shd w:val="clear" w:color="auto" w:fill="auto"/>
            <w:noWrap/>
            <w:vAlign w:val="bottom"/>
            <w:hideMark/>
          </w:tcPr>
          <w:p w14:paraId="3C615384"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GCF*ID</w:t>
            </w:r>
            <w:r>
              <w:rPr>
                <w:rFonts w:ascii="Times New Roman" w:eastAsia="Times New Roman" w:hAnsi="Times New Roman" w:cs="Times New Roman"/>
                <w:sz w:val="20"/>
                <w:szCs w:val="20"/>
                <w:lang w:val="en-US" w:eastAsia="en-GB"/>
              </w:rPr>
              <w:t xml:space="preserve"> P</w:t>
            </w:r>
            <w:r w:rsidRPr="00F24865">
              <w:rPr>
                <w:rFonts w:ascii="Times New Roman" w:eastAsia="Times New Roman" w:hAnsi="Times New Roman" w:cs="Times New Roman"/>
                <w:sz w:val="20"/>
                <w:szCs w:val="20"/>
                <w:lang w:val="en-US" w:eastAsia="en-GB"/>
              </w:rPr>
              <w:t>roportion</w:t>
            </w:r>
          </w:p>
        </w:tc>
        <w:tc>
          <w:tcPr>
            <w:tcW w:w="1160" w:type="dxa"/>
            <w:tcBorders>
              <w:top w:val="nil"/>
              <w:left w:val="nil"/>
              <w:bottom w:val="nil"/>
              <w:right w:val="nil"/>
            </w:tcBorders>
            <w:shd w:val="clear" w:color="auto" w:fill="auto"/>
            <w:noWrap/>
            <w:vAlign w:val="bottom"/>
            <w:hideMark/>
          </w:tcPr>
          <w:p w14:paraId="7CCDC5B7" w14:textId="77777777" w:rsidR="00004D6D" w:rsidRPr="00F24865" w:rsidRDefault="00004D6D" w:rsidP="00004D6D">
            <w:pPr>
              <w:spacing w:after="0" w:line="240" w:lineRule="auto"/>
              <w:jc w:val="center"/>
              <w:rPr>
                <w:rFonts w:ascii="Times New Roman" w:eastAsia="Times New Roman" w:hAnsi="Times New Roman" w:cs="Times New Roman"/>
                <w:b/>
                <w:bCs/>
                <w:sz w:val="20"/>
                <w:szCs w:val="20"/>
                <w:lang w:val="en-US" w:eastAsia="en-GB"/>
              </w:rPr>
            </w:pPr>
            <w:r w:rsidRPr="00F24865">
              <w:rPr>
                <w:rFonts w:ascii="Times New Roman" w:eastAsia="Times New Roman" w:hAnsi="Times New Roman" w:cs="Times New Roman"/>
                <w:b/>
                <w:bCs/>
                <w:sz w:val="20"/>
                <w:szCs w:val="20"/>
                <w:lang w:val="en-US" w:eastAsia="en-GB"/>
              </w:rPr>
              <w:t>0.84*</w:t>
            </w:r>
          </w:p>
        </w:tc>
        <w:tc>
          <w:tcPr>
            <w:tcW w:w="1160" w:type="dxa"/>
            <w:tcBorders>
              <w:top w:val="nil"/>
              <w:left w:val="nil"/>
              <w:bottom w:val="nil"/>
              <w:right w:val="nil"/>
            </w:tcBorders>
            <w:shd w:val="clear" w:color="auto" w:fill="auto"/>
            <w:noWrap/>
            <w:vAlign w:val="bottom"/>
            <w:hideMark/>
          </w:tcPr>
          <w:p w14:paraId="7D270AB8" w14:textId="77777777" w:rsidR="00004D6D" w:rsidRPr="00F24865" w:rsidRDefault="00004D6D" w:rsidP="00004D6D">
            <w:pPr>
              <w:spacing w:after="0" w:line="240" w:lineRule="auto"/>
              <w:jc w:val="center"/>
              <w:rPr>
                <w:rFonts w:ascii="Times New Roman" w:eastAsia="Times New Roman" w:hAnsi="Times New Roman" w:cs="Times New Roman"/>
                <w:b/>
                <w:bCs/>
                <w:sz w:val="20"/>
                <w:szCs w:val="20"/>
                <w:lang w:val="en-US" w:eastAsia="en-GB"/>
              </w:rPr>
            </w:pPr>
            <w:r w:rsidRPr="00F24865">
              <w:rPr>
                <w:rFonts w:ascii="Times New Roman" w:eastAsia="Times New Roman" w:hAnsi="Times New Roman" w:cs="Times New Roman"/>
                <w:b/>
                <w:bCs/>
                <w:sz w:val="20"/>
                <w:szCs w:val="20"/>
                <w:lang w:val="en-US" w:eastAsia="en-GB"/>
              </w:rPr>
              <w:t>0.36*</w:t>
            </w:r>
          </w:p>
        </w:tc>
      </w:tr>
      <w:tr w:rsidR="00004D6D" w:rsidRPr="00F24865" w14:paraId="7821F54E" w14:textId="77777777" w:rsidTr="00004D6D">
        <w:trPr>
          <w:trHeight w:val="264"/>
          <w:jc w:val="center"/>
        </w:trPr>
        <w:tc>
          <w:tcPr>
            <w:tcW w:w="4760" w:type="dxa"/>
            <w:tcBorders>
              <w:top w:val="nil"/>
              <w:left w:val="nil"/>
              <w:bottom w:val="nil"/>
              <w:right w:val="nil"/>
            </w:tcBorders>
            <w:shd w:val="clear" w:color="auto" w:fill="auto"/>
            <w:noWrap/>
            <w:vAlign w:val="bottom"/>
            <w:hideMark/>
          </w:tcPr>
          <w:p w14:paraId="072BC733"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3585B510" w14:textId="77777777" w:rsidR="00004D6D" w:rsidRPr="00F24865" w:rsidRDefault="00004D6D" w:rsidP="00004D6D">
            <w:pPr>
              <w:spacing w:after="0" w:line="240" w:lineRule="auto"/>
              <w:jc w:val="center"/>
              <w:rPr>
                <w:rFonts w:ascii="Times New Roman" w:eastAsia="Times New Roman" w:hAnsi="Times New Roman" w:cs="Times New Roman"/>
                <w:b/>
                <w:bCs/>
                <w:sz w:val="20"/>
                <w:szCs w:val="20"/>
                <w:lang w:val="en-US" w:eastAsia="en-GB"/>
              </w:rPr>
            </w:pPr>
            <w:r w:rsidRPr="00F24865">
              <w:rPr>
                <w:rFonts w:ascii="Times New Roman" w:eastAsia="Times New Roman" w:hAnsi="Times New Roman" w:cs="Times New Roman"/>
                <w:b/>
                <w:bCs/>
                <w:sz w:val="20"/>
                <w:szCs w:val="20"/>
                <w:lang w:val="en-US" w:eastAsia="en-GB"/>
              </w:rPr>
              <w:t>(0.32)</w:t>
            </w:r>
          </w:p>
        </w:tc>
        <w:tc>
          <w:tcPr>
            <w:tcW w:w="1160" w:type="dxa"/>
            <w:tcBorders>
              <w:top w:val="nil"/>
              <w:left w:val="nil"/>
              <w:bottom w:val="nil"/>
              <w:right w:val="nil"/>
            </w:tcBorders>
            <w:shd w:val="clear" w:color="auto" w:fill="auto"/>
            <w:noWrap/>
            <w:vAlign w:val="bottom"/>
            <w:hideMark/>
          </w:tcPr>
          <w:p w14:paraId="657FEFDE" w14:textId="77777777" w:rsidR="00004D6D" w:rsidRPr="00F24865" w:rsidRDefault="00004D6D" w:rsidP="00004D6D">
            <w:pPr>
              <w:spacing w:after="0" w:line="240" w:lineRule="auto"/>
              <w:jc w:val="center"/>
              <w:rPr>
                <w:rFonts w:ascii="Times New Roman" w:eastAsia="Times New Roman" w:hAnsi="Times New Roman" w:cs="Times New Roman"/>
                <w:b/>
                <w:bCs/>
                <w:sz w:val="20"/>
                <w:szCs w:val="20"/>
                <w:lang w:val="en-US" w:eastAsia="en-GB"/>
              </w:rPr>
            </w:pPr>
            <w:r w:rsidRPr="00F24865">
              <w:rPr>
                <w:rFonts w:ascii="Times New Roman" w:eastAsia="Times New Roman" w:hAnsi="Times New Roman" w:cs="Times New Roman"/>
                <w:b/>
                <w:bCs/>
                <w:sz w:val="20"/>
                <w:szCs w:val="20"/>
                <w:lang w:val="en-US" w:eastAsia="en-GB"/>
              </w:rPr>
              <w:t>(0.18)</w:t>
            </w:r>
          </w:p>
        </w:tc>
      </w:tr>
      <w:tr w:rsidR="00004D6D" w:rsidRPr="00F24865" w14:paraId="42A51275" w14:textId="77777777" w:rsidTr="00004D6D">
        <w:trPr>
          <w:trHeight w:val="264"/>
          <w:jc w:val="center"/>
        </w:trPr>
        <w:tc>
          <w:tcPr>
            <w:tcW w:w="4760" w:type="dxa"/>
            <w:tcBorders>
              <w:top w:val="nil"/>
              <w:left w:val="nil"/>
              <w:bottom w:val="nil"/>
              <w:right w:val="nil"/>
            </w:tcBorders>
            <w:shd w:val="clear" w:color="auto" w:fill="auto"/>
            <w:noWrap/>
            <w:vAlign w:val="bottom"/>
            <w:hideMark/>
          </w:tcPr>
          <w:p w14:paraId="49CCB37C"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ID Proportion</w:t>
            </w:r>
          </w:p>
        </w:tc>
        <w:tc>
          <w:tcPr>
            <w:tcW w:w="1160" w:type="dxa"/>
            <w:tcBorders>
              <w:top w:val="nil"/>
              <w:left w:val="nil"/>
              <w:bottom w:val="nil"/>
              <w:right w:val="nil"/>
            </w:tcBorders>
            <w:shd w:val="clear" w:color="auto" w:fill="auto"/>
            <w:noWrap/>
            <w:vAlign w:val="bottom"/>
            <w:hideMark/>
          </w:tcPr>
          <w:p w14:paraId="4D0E8984"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-1.47</w:t>
            </w:r>
          </w:p>
        </w:tc>
        <w:tc>
          <w:tcPr>
            <w:tcW w:w="1160" w:type="dxa"/>
            <w:tcBorders>
              <w:top w:val="nil"/>
              <w:left w:val="nil"/>
              <w:bottom w:val="nil"/>
              <w:right w:val="nil"/>
            </w:tcBorders>
            <w:shd w:val="clear" w:color="auto" w:fill="auto"/>
            <w:noWrap/>
            <w:vAlign w:val="bottom"/>
            <w:hideMark/>
          </w:tcPr>
          <w:p w14:paraId="41BE7541"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-3.51*</w:t>
            </w:r>
          </w:p>
        </w:tc>
      </w:tr>
      <w:tr w:rsidR="00004D6D" w:rsidRPr="00F24865" w14:paraId="0C30A3E3" w14:textId="77777777" w:rsidTr="00004D6D">
        <w:trPr>
          <w:trHeight w:val="264"/>
          <w:jc w:val="center"/>
        </w:trPr>
        <w:tc>
          <w:tcPr>
            <w:tcW w:w="4760" w:type="dxa"/>
            <w:tcBorders>
              <w:top w:val="nil"/>
              <w:left w:val="nil"/>
              <w:bottom w:val="nil"/>
              <w:right w:val="nil"/>
            </w:tcBorders>
            <w:shd w:val="clear" w:color="auto" w:fill="auto"/>
            <w:noWrap/>
            <w:vAlign w:val="bottom"/>
            <w:hideMark/>
          </w:tcPr>
          <w:p w14:paraId="51C1F628"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190D4CB4"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(1.90)</w:t>
            </w:r>
          </w:p>
        </w:tc>
        <w:tc>
          <w:tcPr>
            <w:tcW w:w="1160" w:type="dxa"/>
            <w:tcBorders>
              <w:top w:val="nil"/>
              <w:left w:val="nil"/>
              <w:bottom w:val="nil"/>
              <w:right w:val="nil"/>
            </w:tcBorders>
            <w:shd w:val="clear" w:color="auto" w:fill="auto"/>
            <w:noWrap/>
            <w:vAlign w:val="bottom"/>
            <w:hideMark/>
          </w:tcPr>
          <w:p w14:paraId="2E4445A5"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(1.73)</w:t>
            </w:r>
          </w:p>
        </w:tc>
      </w:tr>
      <w:tr w:rsidR="00004D6D" w:rsidRPr="00F24865" w14:paraId="13CD358E" w14:textId="77777777" w:rsidTr="00004D6D">
        <w:trPr>
          <w:trHeight w:val="264"/>
          <w:jc w:val="center"/>
        </w:trPr>
        <w:tc>
          <w:tcPr>
            <w:tcW w:w="4760" w:type="dxa"/>
            <w:tcBorders>
              <w:top w:val="nil"/>
              <w:left w:val="nil"/>
              <w:bottom w:val="nil"/>
              <w:right w:val="nil"/>
            </w:tcBorders>
            <w:shd w:val="clear" w:color="auto" w:fill="auto"/>
            <w:noWrap/>
            <w:vAlign w:val="bottom"/>
            <w:hideMark/>
          </w:tcPr>
          <w:p w14:paraId="410BDFE1"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Investment, lagged</w:t>
            </w:r>
          </w:p>
        </w:tc>
        <w:tc>
          <w:tcPr>
            <w:tcW w:w="1160" w:type="dxa"/>
            <w:tcBorders>
              <w:top w:val="nil"/>
              <w:left w:val="nil"/>
              <w:bottom w:val="nil"/>
              <w:right w:val="nil"/>
            </w:tcBorders>
            <w:shd w:val="clear" w:color="auto" w:fill="auto"/>
            <w:noWrap/>
            <w:vAlign w:val="bottom"/>
            <w:hideMark/>
          </w:tcPr>
          <w:p w14:paraId="7F989F37"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0.06</w:t>
            </w:r>
          </w:p>
        </w:tc>
        <w:tc>
          <w:tcPr>
            <w:tcW w:w="1160" w:type="dxa"/>
            <w:tcBorders>
              <w:top w:val="nil"/>
              <w:left w:val="nil"/>
              <w:bottom w:val="nil"/>
              <w:right w:val="nil"/>
            </w:tcBorders>
            <w:shd w:val="clear" w:color="auto" w:fill="auto"/>
            <w:noWrap/>
            <w:vAlign w:val="bottom"/>
            <w:hideMark/>
          </w:tcPr>
          <w:p w14:paraId="1D20F113"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0.94***</w:t>
            </w:r>
          </w:p>
        </w:tc>
      </w:tr>
      <w:tr w:rsidR="00004D6D" w:rsidRPr="00F24865" w14:paraId="00D860A3" w14:textId="77777777" w:rsidTr="00004D6D">
        <w:trPr>
          <w:trHeight w:val="264"/>
          <w:jc w:val="center"/>
        </w:trPr>
        <w:tc>
          <w:tcPr>
            <w:tcW w:w="4760" w:type="dxa"/>
            <w:tcBorders>
              <w:top w:val="nil"/>
              <w:left w:val="nil"/>
              <w:bottom w:val="nil"/>
              <w:right w:val="nil"/>
            </w:tcBorders>
            <w:shd w:val="clear" w:color="auto" w:fill="auto"/>
            <w:noWrap/>
            <w:vAlign w:val="bottom"/>
            <w:hideMark/>
          </w:tcPr>
          <w:p w14:paraId="428C3F49"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19649DED"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(0.06)</w:t>
            </w:r>
          </w:p>
        </w:tc>
        <w:tc>
          <w:tcPr>
            <w:tcW w:w="1160" w:type="dxa"/>
            <w:tcBorders>
              <w:top w:val="nil"/>
              <w:left w:val="nil"/>
              <w:bottom w:val="nil"/>
              <w:right w:val="nil"/>
            </w:tcBorders>
            <w:shd w:val="clear" w:color="auto" w:fill="auto"/>
            <w:noWrap/>
            <w:vAlign w:val="bottom"/>
            <w:hideMark/>
          </w:tcPr>
          <w:p w14:paraId="440B4EBC"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(0.11)</w:t>
            </w:r>
          </w:p>
        </w:tc>
      </w:tr>
      <w:tr w:rsidR="00004D6D" w:rsidRPr="00F24865" w14:paraId="4B555290" w14:textId="77777777" w:rsidTr="00004D6D">
        <w:trPr>
          <w:trHeight w:val="264"/>
          <w:jc w:val="center"/>
        </w:trPr>
        <w:tc>
          <w:tcPr>
            <w:tcW w:w="4760" w:type="dxa"/>
            <w:tcBorders>
              <w:top w:val="nil"/>
              <w:left w:val="nil"/>
              <w:bottom w:val="nil"/>
              <w:right w:val="nil"/>
            </w:tcBorders>
            <w:shd w:val="clear" w:color="auto" w:fill="auto"/>
            <w:noWrap/>
            <w:vAlign w:val="bottom"/>
            <w:hideMark/>
          </w:tcPr>
          <w:p w14:paraId="07FFF4A2"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Debt</w:t>
            </w:r>
          </w:p>
        </w:tc>
        <w:tc>
          <w:tcPr>
            <w:tcW w:w="1160" w:type="dxa"/>
            <w:tcBorders>
              <w:top w:val="nil"/>
              <w:left w:val="nil"/>
              <w:bottom w:val="nil"/>
              <w:right w:val="nil"/>
            </w:tcBorders>
            <w:shd w:val="clear" w:color="auto" w:fill="auto"/>
            <w:noWrap/>
            <w:vAlign w:val="bottom"/>
            <w:hideMark/>
          </w:tcPr>
          <w:p w14:paraId="01588CCD"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0.03*</w:t>
            </w:r>
          </w:p>
        </w:tc>
        <w:tc>
          <w:tcPr>
            <w:tcW w:w="1160" w:type="dxa"/>
            <w:tcBorders>
              <w:top w:val="nil"/>
              <w:left w:val="nil"/>
              <w:bottom w:val="nil"/>
              <w:right w:val="nil"/>
            </w:tcBorders>
            <w:shd w:val="clear" w:color="auto" w:fill="auto"/>
            <w:noWrap/>
            <w:vAlign w:val="bottom"/>
            <w:hideMark/>
          </w:tcPr>
          <w:p w14:paraId="3D1E37F4"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0.02+</w:t>
            </w:r>
          </w:p>
        </w:tc>
      </w:tr>
      <w:tr w:rsidR="00004D6D" w:rsidRPr="00F24865" w14:paraId="225E4F92" w14:textId="77777777" w:rsidTr="00004D6D">
        <w:trPr>
          <w:trHeight w:val="264"/>
          <w:jc w:val="center"/>
        </w:trPr>
        <w:tc>
          <w:tcPr>
            <w:tcW w:w="4760" w:type="dxa"/>
            <w:tcBorders>
              <w:top w:val="nil"/>
              <w:left w:val="nil"/>
              <w:bottom w:val="nil"/>
              <w:right w:val="nil"/>
            </w:tcBorders>
            <w:shd w:val="clear" w:color="auto" w:fill="auto"/>
            <w:noWrap/>
            <w:vAlign w:val="bottom"/>
            <w:hideMark/>
          </w:tcPr>
          <w:p w14:paraId="234D2D84"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62D7D434"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(0.01)</w:t>
            </w:r>
          </w:p>
        </w:tc>
        <w:tc>
          <w:tcPr>
            <w:tcW w:w="1160" w:type="dxa"/>
            <w:tcBorders>
              <w:top w:val="nil"/>
              <w:left w:val="nil"/>
              <w:bottom w:val="nil"/>
              <w:right w:val="nil"/>
            </w:tcBorders>
            <w:shd w:val="clear" w:color="auto" w:fill="auto"/>
            <w:noWrap/>
            <w:vAlign w:val="bottom"/>
            <w:hideMark/>
          </w:tcPr>
          <w:p w14:paraId="0CF4B206"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(0.01)</w:t>
            </w:r>
          </w:p>
        </w:tc>
      </w:tr>
      <w:tr w:rsidR="00004D6D" w:rsidRPr="00F24865" w14:paraId="4367E686" w14:textId="77777777" w:rsidTr="00004D6D">
        <w:trPr>
          <w:trHeight w:val="264"/>
          <w:jc w:val="center"/>
        </w:trPr>
        <w:tc>
          <w:tcPr>
            <w:tcW w:w="4760" w:type="dxa"/>
            <w:tcBorders>
              <w:top w:val="nil"/>
              <w:left w:val="nil"/>
              <w:bottom w:val="nil"/>
              <w:right w:val="nil"/>
            </w:tcBorders>
            <w:shd w:val="clear" w:color="auto" w:fill="auto"/>
            <w:noWrap/>
            <w:vAlign w:val="bottom"/>
            <w:hideMark/>
          </w:tcPr>
          <w:p w14:paraId="171F6125"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Equity</w:t>
            </w:r>
          </w:p>
        </w:tc>
        <w:tc>
          <w:tcPr>
            <w:tcW w:w="1160" w:type="dxa"/>
            <w:tcBorders>
              <w:top w:val="nil"/>
              <w:left w:val="nil"/>
              <w:bottom w:val="nil"/>
              <w:right w:val="nil"/>
            </w:tcBorders>
            <w:shd w:val="clear" w:color="auto" w:fill="auto"/>
            <w:noWrap/>
            <w:vAlign w:val="bottom"/>
            <w:hideMark/>
          </w:tcPr>
          <w:p w14:paraId="29DE7866"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0.03+</w:t>
            </w:r>
          </w:p>
        </w:tc>
        <w:tc>
          <w:tcPr>
            <w:tcW w:w="1160" w:type="dxa"/>
            <w:tcBorders>
              <w:top w:val="nil"/>
              <w:left w:val="nil"/>
              <w:bottom w:val="nil"/>
              <w:right w:val="nil"/>
            </w:tcBorders>
            <w:shd w:val="clear" w:color="auto" w:fill="auto"/>
            <w:noWrap/>
            <w:vAlign w:val="bottom"/>
            <w:hideMark/>
          </w:tcPr>
          <w:p w14:paraId="56BD9E1F"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0.02+</w:t>
            </w:r>
          </w:p>
        </w:tc>
      </w:tr>
      <w:tr w:rsidR="00004D6D" w:rsidRPr="00F24865" w14:paraId="1383CAF0" w14:textId="77777777" w:rsidTr="00004D6D">
        <w:trPr>
          <w:trHeight w:val="264"/>
          <w:jc w:val="center"/>
        </w:trPr>
        <w:tc>
          <w:tcPr>
            <w:tcW w:w="4760" w:type="dxa"/>
            <w:tcBorders>
              <w:top w:val="nil"/>
              <w:left w:val="nil"/>
              <w:bottom w:val="nil"/>
              <w:right w:val="nil"/>
            </w:tcBorders>
            <w:shd w:val="clear" w:color="auto" w:fill="auto"/>
            <w:noWrap/>
            <w:vAlign w:val="bottom"/>
            <w:hideMark/>
          </w:tcPr>
          <w:p w14:paraId="040385AA"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162B7C37"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(0.02)</w:t>
            </w:r>
          </w:p>
        </w:tc>
        <w:tc>
          <w:tcPr>
            <w:tcW w:w="1160" w:type="dxa"/>
            <w:tcBorders>
              <w:top w:val="nil"/>
              <w:left w:val="nil"/>
              <w:bottom w:val="nil"/>
              <w:right w:val="nil"/>
            </w:tcBorders>
            <w:shd w:val="clear" w:color="auto" w:fill="auto"/>
            <w:noWrap/>
            <w:vAlign w:val="bottom"/>
            <w:hideMark/>
          </w:tcPr>
          <w:p w14:paraId="1D48F8F7"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(0.01)</w:t>
            </w:r>
          </w:p>
        </w:tc>
      </w:tr>
      <w:tr w:rsidR="00004D6D" w:rsidRPr="00F24865" w14:paraId="169ED7F0" w14:textId="77777777" w:rsidTr="00004D6D">
        <w:trPr>
          <w:trHeight w:val="264"/>
          <w:jc w:val="center"/>
        </w:trPr>
        <w:tc>
          <w:tcPr>
            <w:tcW w:w="4760" w:type="dxa"/>
            <w:tcBorders>
              <w:top w:val="nil"/>
              <w:left w:val="nil"/>
              <w:right w:val="nil"/>
            </w:tcBorders>
            <w:shd w:val="clear" w:color="auto" w:fill="auto"/>
            <w:noWrap/>
            <w:vAlign w:val="bottom"/>
            <w:hideMark/>
          </w:tcPr>
          <w:p w14:paraId="420D1D4C"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Tobin's Q</w:t>
            </w:r>
          </w:p>
        </w:tc>
        <w:tc>
          <w:tcPr>
            <w:tcW w:w="1160" w:type="dxa"/>
            <w:tcBorders>
              <w:top w:val="nil"/>
              <w:left w:val="nil"/>
              <w:right w:val="nil"/>
            </w:tcBorders>
            <w:shd w:val="clear" w:color="auto" w:fill="auto"/>
            <w:noWrap/>
            <w:vAlign w:val="bottom"/>
            <w:hideMark/>
          </w:tcPr>
          <w:p w14:paraId="0C29CAB9"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0.22*</w:t>
            </w:r>
          </w:p>
        </w:tc>
        <w:tc>
          <w:tcPr>
            <w:tcW w:w="1160" w:type="dxa"/>
            <w:tcBorders>
              <w:top w:val="nil"/>
              <w:left w:val="nil"/>
              <w:right w:val="nil"/>
            </w:tcBorders>
            <w:shd w:val="clear" w:color="auto" w:fill="auto"/>
            <w:noWrap/>
            <w:vAlign w:val="bottom"/>
            <w:hideMark/>
          </w:tcPr>
          <w:p w14:paraId="3A52D414"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0.10</w:t>
            </w:r>
          </w:p>
        </w:tc>
      </w:tr>
      <w:tr w:rsidR="00004D6D" w:rsidRPr="00F24865" w14:paraId="7282A247" w14:textId="77777777" w:rsidTr="00004D6D">
        <w:trPr>
          <w:trHeight w:val="264"/>
          <w:jc w:val="center"/>
        </w:trPr>
        <w:tc>
          <w:tcPr>
            <w:tcW w:w="4760" w:type="dxa"/>
            <w:tcBorders>
              <w:top w:val="nil"/>
              <w:left w:val="nil"/>
              <w:bottom w:val="single" w:sz="4" w:space="0" w:color="auto"/>
              <w:right w:val="nil"/>
            </w:tcBorders>
            <w:shd w:val="clear" w:color="auto" w:fill="auto"/>
            <w:noWrap/>
            <w:vAlign w:val="bottom"/>
            <w:hideMark/>
          </w:tcPr>
          <w:p w14:paraId="66CECF67"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single" w:sz="4" w:space="0" w:color="auto"/>
              <w:right w:val="nil"/>
            </w:tcBorders>
            <w:shd w:val="clear" w:color="auto" w:fill="auto"/>
            <w:noWrap/>
            <w:vAlign w:val="bottom"/>
            <w:hideMark/>
          </w:tcPr>
          <w:p w14:paraId="26F78B9F"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(0.10)</w:t>
            </w:r>
          </w:p>
        </w:tc>
        <w:tc>
          <w:tcPr>
            <w:tcW w:w="1160" w:type="dxa"/>
            <w:tcBorders>
              <w:top w:val="nil"/>
              <w:left w:val="nil"/>
              <w:bottom w:val="single" w:sz="4" w:space="0" w:color="auto"/>
              <w:right w:val="nil"/>
            </w:tcBorders>
            <w:shd w:val="clear" w:color="auto" w:fill="auto"/>
            <w:noWrap/>
            <w:vAlign w:val="bottom"/>
            <w:hideMark/>
          </w:tcPr>
          <w:p w14:paraId="01B40724"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(0.07)</w:t>
            </w:r>
          </w:p>
        </w:tc>
      </w:tr>
      <w:tr w:rsidR="00004D6D" w:rsidRPr="00F24865" w14:paraId="034CA6CB" w14:textId="77777777" w:rsidTr="00004D6D">
        <w:trPr>
          <w:trHeight w:val="20"/>
          <w:jc w:val="center"/>
        </w:trPr>
        <w:tc>
          <w:tcPr>
            <w:tcW w:w="4760" w:type="dxa"/>
            <w:tcBorders>
              <w:top w:val="single" w:sz="4" w:space="0" w:color="auto"/>
              <w:left w:val="nil"/>
              <w:bottom w:val="nil"/>
              <w:right w:val="nil"/>
            </w:tcBorders>
            <w:shd w:val="clear" w:color="auto" w:fill="auto"/>
            <w:noWrap/>
            <w:vAlign w:val="bottom"/>
            <w:hideMark/>
          </w:tcPr>
          <w:p w14:paraId="18987276" w14:textId="77777777" w:rsidR="00004D6D" w:rsidRPr="00132876" w:rsidRDefault="00004D6D" w:rsidP="00004D6D">
            <w:pPr>
              <w:spacing w:after="0" w:line="240" w:lineRule="auto"/>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Observations</w:t>
            </w:r>
          </w:p>
        </w:tc>
        <w:tc>
          <w:tcPr>
            <w:tcW w:w="1160" w:type="dxa"/>
            <w:tcBorders>
              <w:top w:val="single" w:sz="4" w:space="0" w:color="auto"/>
              <w:left w:val="nil"/>
              <w:bottom w:val="nil"/>
              <w:right w:val="nil"/>
            </w:tcBorders>
            <w:shd w:val="clear" w:color="auto" w:fill="auto"/>
            <w:noWrap/>
            <w:vAlign w:val="bottom"/>
            <w:hideMark/>
          </w:tcPr>
          <w:p w14:paraId="2B6BDC3B" w14:textId="77777777" w:rsidR="00004D6D" w:rsidRPr="00132876" w:rsidRDefault="00004D6D" w:rsidP="00004D6D">
            <w:pPr>
              <w:spacing w:after="0" w:line="240" w:lineRule="auto"/>
              <w:jc w:val="center"/>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156</w:t>
            </w:r>
          </w:p>
        </w:tc>
        <w:tc>
          <w:tcPr>
            <w:tcW w:w="1160" w:type="dxa"/>
            <w:tcBorders>
              <w:top w:val="single" w:sz="4" w:space="0" w:color="auto"/>
              <w:left w:val="nil"/>
              <w:bottom w:val="nil"/>
              <w:right w:val="nil"/>
            </w:tcBorders>
            <w:shd w:val="clear" w:color="auto" w:fill="auto"/>
            <w:noWrap/>
            <w:vAlign w:val="bottom"/>
            <w:hideMark/>
          </w:tcPr>
          <w:p w14:paraId="63EC8239" w14:textId="77777777" w:rsidR="00004D6D" w:rsidRPr="00132876" w:rsidRDefault="00004D6D" w:rsidP="00004D6D">
            <w:pPr>
              <w:spacing w:after="0" w:line="240" w:lineRule="auto"/>
              <w:jc w:val="center"/>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206</w:t>
            </w:r>
          </w:p>
        </w:tc>
      </w:tr>
      <w:tr w:rsidR="00004D6D" w:rsidRPr="00F24865" w14:paraId="39BB15E2" w14:textId="77777777" w:rsidTr="00004D6D">
        <w:trPr>
          <w:trHeight w:val="20"/>
          <w:jc w:val="center"/>
        </w:trPr>
        <w:tc>
          <w:tcPr>
            <w:tcW w:w="4760" w:type="dxa"/>
            <w:tcBorders>
              <w:top w:val="nil"/>
              <w:left w:val="nil"/>
              <w:bottom w:val="nil"/>
              <w:right w:val="nil"/>
            </w:tcBorders>
            <w:shd w:val="clear" w:color="auto" w:fill="auto"/>
            <w:noWrap/>
            <w:vAlign w:val="bottom"/>
            <w:hideMark/>
          </w:tcPr>
          <w:p w14:paraId="2EA7644F" w14:textId="77777777" w:rsidR="00004D6D" w:rsidRPr="00132876" w:rsidRDefault="00004D6D" w:rsidP="00004D6D">
            <w:pPr>
              <w:spacing w:after="0" w:line="240" w:lineRule="auto"/>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R-squared</w:t>
            </w:r>
          </w:p>
        </w:tc>
        <w:tc>
          <w:tcPr>
            <w:tcW w:w="1160" w:type="dxa"/>
            <w:tcBorders>
              <w:top w:val="nil"/>
              <w:left w:val="nil"/>
              <w:bottom w:val="nil"/>
              <w:right w:val="nil"/>
            </w:tcBorders>
            <w:shd w:val="clear" w:color="auto" w:fill="auto"/>
            <w:noWrap/>
            <w:vAlign w:val="bottom"/>
            <w:hideMark/>
          </w:tcPr>
          <w:p w14:paraId="66BFE4C5" w14:textId="77777777" w:rsidR="00004D6D" w:rsidRPr="00132876" w:rsidRDefault="00004D6D" w:rsidP="00004D6D">
            <w:pPr>
              <w:spacing w:after="0" w:line="240" w:lineRule="auto"/>
              <w:jc w:val="center"/>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0.328</w:t>
            </w:r>
          </w:p>
        </w:tc>
        <w:tc>
          <w:tcPr>
            <w:tcW w:w="1160" w:type="dxa"/>
            <w:tcBorders>
              <w:top w:val="nil"/>
              <w:left w:val="nil"/>
              <w:bottom w:val="nil"/>
              <w:right w:val="nil"/>
            </w:tcBorders>
            <w:shd w:val="clear" w:color="auto" w:fill="auto"/>
            <w:noWrap/>
            <w:vAlign w:val="bottom"/>
            <w:hideMark/>
          </w:tcPr>
          <w:p w14:paraId="6AB841A4" w14:textId="77777777" w:rsidR="00004D6D" w:rsidRPr="00132876" w:rsidRDefault="00004D6D" w:rsidP="00004D6D">
            <w:pPr>
              <w:spacing w:after="0" w:line="240" w:lineRule="auto"/>
              <w:jc w:val="center"/>
              <w:rPr>
                <w:rFonts w:ascii="Times New Roman" w:eastAsia="Times New Roman" w:hAnsi="Times New Roman" w:cs="Times New Roman"/>
                <w:sz w:val="18"/>
                <w:szCs w:val="18"/>
                <w:lang w:val="en-US" w:eastAsia="en-GB"/>
              </w:rPr>
            </w:pPr>
          </w:p>
        </w:tc>
      </w:tr>
      <w:tr w:rsidR="00004D6D" w:rsidRPr="00F24865" w14:paraId="04399483" w14:textId="77777777" w:rsidTr="00004D6D">
        <w:trPr>
          <w:trHeight w:val="20"/>
          <w:jc w:val="center"/>
        </w:trPr>
        <w:tc>
          <w:tcPr>
            <w:tcW w:w="4760" w:type="dxa"/>
            <w:tcBorders>
              <w:top w:val="nil"/>
              <w:left w:val="nil"/>
              <w:bottom w:val="nil"/>
              <w:right w:val="nil"/>
            </w:tcBorders>
            <w:shd w:val="clear" w:color="auto" w:fill="auto"/>
            <w:noWrap/>
            <w:vAlign w:val="bottom"/>
            <w:hideMark/>
          </w:tcPr>
          <w:p w14:paraId="594348C1" w14:textId="77777777" w:rsidR="00004D6D" w:rsidRPr="00132876" w:rsidRDefault="00004D6D" w:rsidP="00004D6D">
            <w:pPr>
              <w:spacing w:after="0" w:line="240" w:lineRule="auto"/>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Number of firms</w:t>
            </w:r>
          </w:p>
        </w:tc>
        <w:tc>
          <w:tcPr>
            <w:tcW w:w="1160" w:type="dxa"/>
            <w:tcBorders>
              <w:top w:val="nil"/>
              <w:left w:val="nil"/>
              <w:bottom w:val="nil"/>
              <w:right w:val="nil"/>
            </w:tcBorders>
            <w:shd w:val="clear" w:color="auto" w:fill="auto"/>
            <w:noWrap/>
            <w:vAlign w:val="bottom"/>
            <w:hideMark/>
          </w:tcPr>
          <w:p w14:paraId="054B0329" w14:textId="77777777" w:rsidR="00004D6D" w:rsidRPr="00132876" w:rsidRDefault="00004D6D" w:rsidP="00004D6D">
            <w:pPr>
              <w:spacing w:after="0" w:line="240" w:lineRule="auto"/>
              <w:jc w:val="center"/>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41</w:t>
            </w:r>
          </w:p>
        </w:tc>
        <w:tc>
          <w:tcPr>
            <w:tcW w:w="1160" w:type="dxa"/>
            <w:tcBorders>
              <w:top w:val="nil"/>
              <w:left w:val="nil"/>
              <w:bottom w:val="nil"/>
              <w:right w:val="nil"/>
            </w:tcBorders>
            <w:shd w:val="clear" w:color="auto" w:fill="auto"/>
            <w:noWrap/>
            <w:vAlign w:val="bottom"/>
            <w:hideMark/>
          </w:tcPr>
          <w:p w14:paraId="29C4F6B7" w14:textId="77777777" w:rsidR="00004D6D" w:rsidRPr="00132876" w:rsidRDefault="00004D6D" w:rsidP="00004D6D">
            <w:pPr>
              <w:spacing w:after="0" w:line="240" w:lineRule="auto"/>
              <w:jc w:val="center"/>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44</w:t>
            </w:r>
          </w:p>
        </w:tc>
      </w:tr>
      <w:tr w:rsidR="00004D6D" w:rsidRPr="00F24865" w14:paraId="312EF0C9" w14:textId="77777777" w:rsidTr="00004D6D">
        <w:trPr>
          <w:trHeight w:val="20"/>
          <w:jc w:val="center"/>
        </w:trPr>
        <w:tc>
          <w:tcPr>
            <w:tcW w:w="4760" w:type="dxa"/>
            <w:tcBorders>
              <w:top w:val="nil"/>
              <w:left w:val="nil"/>
              <w:bottom w:val="nil"/>
              <w:right w:val="nil"/>
            </w:tcBorders>
            <w:shd w:val="clear" w:color="auto" w:fill="auto"/>
            <w:noWrap/>
            <w:vAlign w:val="bottom"/>
            <w:hideMark/>
          </w:tcPr>
          <w:p w14:paraId="30032AC0" w14:textId="77777777" w:rsidR="00004D6D" w:rsidRPr="00132876" w:rsidRDefault="00004D6D" w:rsidP="00004D6D">
            <w:pPr>
              <w:spacing w:after="0" w:line="240" w:lineRule="auto"/>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Wald Test for joint significance, p-value</w:t>
            </w:r>
          </w:p>
        </w:tc>
        <w:tc>
          <w:tcPr>
            <w:tcW w:w="1160" w:type="dxa"/>
            <w:tcBorders>
              <w:top w:val="nil"/>
              <w:left w:val="nil"/>
              <w:bottom w:val="nil"/>
              <w:right w:val="nil"/>
            </w:tcBorders>
            <w:shd w:val="clear" w:color="auto" w:fill="auto"/>
            <w:noWrap/>
            <w:vAlign w:val="bottom"/>
            <w:hideMark/>
          </w:tcPr>
          <w:p w14:paraId="048BD455" w14:textId="77777777" w:rsidR="00004D6D" w:rsidRPr="00132876" w:rsidRDefault="00004D6D" w:rsidP="00004D6D">
            <w:pPr>
              <w:spacing w:after="0" w:line="240" w:lineRule="auto"/>
              <w:jc w:val="center"/>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0.0097</w:t>
            </w:r>
          </w:p>
        </w:tc>
        <w:tc>
          <w:tcPr>
            <w:tcW w:w="1160" w:type="dxa"/>
            <w:tcBorders>
              <w:top w:val="nil"/>
              <w:left w:val="nil"/>
              <w:bottom w:val="nil"/>
              <w:right w:val="nil"/>
            </w:tcBorders>
            <w:shd w:val="clear" w:color="auto" w:fill="auto"/>
            <w:noWrap/>
            <w:vAlign w:val="bottom"/>
            <w:hideMark/>
          </w:tcPr>
          <w:p w14:paraId="035D666C" w14:textId="77777777" w:rsidR="00004D6D" w:rsidRPr="00132876" w:rsidRDefault="00004D6D" w:rsidP="00004D6D">
            <w:pPr>
              <w:spacing w:after="0" w:line="240" w:lineRule="auto"/>
              <w:jc w:val="center"/>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0.0552</w:t>
            </w:r>
          </w:p>
        </w:tc>
      </w:tr>
      <w:tr w:rsidR="00004D6D" w:rsidRPr="00F24865" w14:paraId="32E6A465" w14:textId="77777777" w:rsidTr="00004D6D">
        <w:trPr>
          <w:trHeight w:val="20"/>
          <w:jc w:val="center"/>
        </w:trPr>
        <w:tc>
          <w:tcPr>
            <w:tcW w:w="4760" w:type="dxa"/>
            <w:tcBorders>
              <w:top w:val="nil"/>
              <w:left w:val="nil"/>
              <w:bottom w:val="nil"/>
              <w:right w:val="nil"/>
            </w:tcBorders>
            <w:shd w:val="clear" w:color="auto" w:fill="auto"/>
            <w:noWrap/>
            <w:vAlign w:val="bottom"/>
            <w:hideMark/>
          </w:tcPr>
          <w:p w14:paraId="70D827A8" w14:textId="77777777" w:rsidR="00004D6D" w:rsidRPr="00132876" w:rsidRDefault="00004D6D" w:rsidP="00004D6D">
            <w:pPr>
              <w:spacing w:after="0" w:line="240" w:lineRule="auto"/>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Number of instruments</w:t>
            </w:r>
          </w:p>
        </w:tc>
        <w:tc>
          <w:tcPr>
            <w:tcW w:w="1160" w:type="dxa"/>
            <w:tcBorders>
              <w:top w:val="nil"/>
              <w:left w:val="nil"/>
              <w:bottom w:val="nil"/>
              <w:right w:val="nil"/>
            </w:tcBorders>
            <w:shd w:val="clear" w:color="auto" w:fill="auto"/>
            <w:noWrap/>
            <w:vAlign w:val="bottom"/>
            <w:hideMark/>
          </w:tcPr>
          <w:p w14:paraId="2F7653AA" w14:textId="77777777" w:rsidR="00004D6D" w:rsidRPr="00132876" w:rsidRDefault="00004D6D" w:rsidP="00004D6D">
            <w:pPr>
              <w:spacing w:after="0" w:line="240" w:lineRule="auto"/>
              <w:jc w:val="center"/>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n.a.</w:t>
            </w:r>
          </w:p>
        </w:tc>
        <w:tc>
          <w:tcPr>
            <w:tcW w:w="1160" w:type="dxa"/>
            <w:tcBorders>
              <w:top w:val="nil"/>
              <w:left w:val="nil"/>
              <w:bottom w:val="nil"/>
              <w:right w:val="nil"/>
            </w:tcBorders>
            <w:shd w:val="clear" w:color="auto" w:fill="auto"/>
            <w:noWrap/>
            <w:vAlign w:val="bottom"/>
            <w:hideMark/>
          </w:tcPr>
          <w:p w14:paraId="69746F81" w14:textId="77777777" w:rsidR="00004D6D" w:rsidRPr="00132876" w:rsidRDefault="00004D6D" w:rsidP="00004D6D">
            <w:pPr>
              <w:spacing w:after="0" w:line="240" w:lineRule="auto"/>
              <w:jc w:val="center"/>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16</w:t>
            </w:r>
          </w:p>
        </w:tc>
      </w:tr>
      <w:tr w:rsidR="00004D6D" w:rsidRPr="00F24865" w14:paraId="5A19227F" w14:textId="77777777" w:rsidTr="00004D6D">
        <w:trPr>
          <w:trHeight w:val="20"/>
          <w:jc w:val="center"/>
        </w:trPr>
        <w:tc>
          <w:tcPr>
            <w:tcW w:w="4760" w:type="dxa"/>
            <w:tcBorders>
              <w:top w:val="nil"/>
              <w:left w:val="nil"/>
              <w:bottom w:val="nil"/>
              <w:right w:val="nil"/>
            </w:tcBorders>
            <w:shd w:val="clear" w:color="auto" w:fill="auto"/>
            <w:noWrap/>
            <w:vAlign w:val="bottom"/>
            <w:hideMark/>
          </w:tcPr>
          <w:p w14:paraId="553D8C2F" w14:textId="77777777" w:rsidR="00004D6D" w:rsidRPr="00132876" w:rsidRDefault="00004D6D" w:rsidP="00004D6D">
            <w:pPr>
              <w:spacing w:after="0" w:line="240" w:lineRule="auto"/>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AR(1)</w:t>
            </w:r>
          </w:p>
        </w:tc>
        <w:tc>
          <w:tcPr>
            <w:tcW w:w="1160" w:type="dxa"/>
            <w:tcBorders>
              <w:top w:val="nil"/>
              <w:left w:val="nil"/>
              <w:bottom w:val="nil"/>
              <w:right w:val="nil"/>
            </w:tcBorders>
            <w:shd w:val="clear" w:color="auto" w:fill="auto"/>
            <w:noWrap/>
            <w:vAlign w:val="bottom"/>
            <w:hideMark/>
          </w:tcPr>
          <w:p w14:paraId="3537CA94" w14:textId="77777777" w:rsidR="00004D6D" w:rsidRPr="00132876" w:rsidRDefault="00004D6D" w:rsidP="00004D6D">
            <w:pPr>
              <w:spacing w:after="0" w:line="240" w:lineRule="auto"/>
              <w:jc w:val="center"/>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n.a.</w:t>
            </w:r>
          </w:p>
        </w:tc>
        <w:tc>
          <w:tcPr>
            <w:tcW w:w="1160" w:type="dxa"/>
            <w:tcBorders>
              <w:top w:val="nil"/>
              <w:left w:val="nil"/>
              <w:bottom w:val="nil"/>
              <w:right w:val="nil"/>
            </w:tcBorders>
            <w:shd w:val="clear" w:color="auto" w:fill="auto"/>
            <w:noWrap/>
            <w:vAlign w:val="bottom"/>
            <w:hideMark/>
          </w:tcPr>
          <w:p w14:paraId="386371FF" w14:textId="77777777" w:rsidR="00004D6D" w:rsidRPr="00132876" w:rsidRDefault="00004D6D" w:rsidP="00004D6D">
            <w:pPr>
              <w:spacing w:after="0" w:line="240" w:lineRule="auto"/>
              <w:jc w:val="center"/>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-1.956</w:t>
            </w:r>
          </w:p>
        </w:tc>
      </w:tr>
      <w:tr w:rsidR="00004D6D" w:rsidRPr="00F24865" w14:paraId="6209D305" w14:textId="77777777" w:rsidTr="00004D6D">
        <w:trPr>
          <w:trHeight w:val="20"/>
          <w:jc w:val="center"/>
        </w:trPr>
        <w:tc>
          <w:tcPr>
            <w:tcW w:w="4760" w:type="dxa"/>
            <w:tcBorders>
              <w:top w:val="nil"/>
              <w:left w:val="nil"/>
              <w:bottom w:val="nil"/>
              <w:right w:val="nil"/>
            </w:tcBorders>
            <w:shd w:val="clear" w:color="auto" w:fill="auto"/>
            <w:noWrap/>
            <w:vAlign w:val="bottom"/>
            <w:hideMark/>
          </w:tcPr>
          <w:p w14:paraId="114D3A55" w14:textId="77777777" w:rsidR="00004D6D" w:rsidRPr="00132876" w:rsidRDefault="00004D6D" w:rsidP="00004D6D">
            <w:pPr>
              <w:spacing w:after="0" w:line="240" w:lineRule="auto"/>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P-Value AR(1)</w:t>
            </w:r>
          </w:p>
        </w:tc>
        <w:tc>
          <w:tcPr>
            <w:tcW w:w="1160" w:type="dxa"/>
            <w:tcBorders>
              <w:top w:val="nil"/>
              <w:left w:val="nil"/>
              <w:bottom w:val="nil"/>
              <w:right w:val="nil"/>
            </w:tcBorders>
            <w:shd w:val="clear" w:color="auto" w:fill="auto"/>
            <w:noWrap/>
            <w:vAlign w:val="bottom"/>
            <w:hideMark/>
          </w:tcPr>
          <w:p w14:paraId="5AC37A56" w14:textId="77777777" w:rsidR="00004D6D" w:rsidRPr="00132876" w:rsidRDefault="00004D6D" w:rsidP="00004D6D">
            <w:pPr>
              <w:spacing w:after="0" w:line="240" w:lineRule="auto"/>
              <w:jc w:val="center"/>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n.a.</w:t>
            </w:r>
          </w:p>
        </w:tc>
        <w:tc>
          <w:tcPr>
            <w:tcW w:w="1160" w:type="dxa"/>
            <w:tcBorders>
              <w:top w:val="nil"/>
              <w:left w:val="nil"/>
              <w:bottom w:val="nil"/>
              <w:right w:val="nil"/>
            </w:tcBorders>
            <w:shd w:val="clear" w:color="auto" w:fill="auto"/>
            <w:noWrap/>
            <w:vAlign w:val="bottom"/>
            <w:hideMark/>
          </w:tcPr>
          <w:p w14:paraId="18391C92" w14:textId="77777777" w:rsidR="00004D6D" w:rsidRPr="00132876" w:rsidRDefault="00004D6D" w:rsidP="00004D6D">
            <w:pPr>
              <w:spacing w:after="0" w:line="240" w:lineRule="auto"/>
              <w:jc w:val="center"/>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0.0505</w:t>
            </w:r>
          </w:p>
        </w:tc>
      </w:tr>
      <w:tr w:rsidR="00004D6D" w:rsidRPr="00F24865" w14:paraId="2E6F629B" w14:textId="77777777" w:rsidTr="00004D6D">
        <w:trPr>
          <w:trHeight w:val="20"/>
          <w:jc w:val="center"/>
        </w:trPr>
        <w:tc>
          <w:tcPr>
            <w:tcW w:w="4760" w:type="dxa"/>
            <w:tcBorders>
              <w:top w:val="nil"/>
              <w:left w:val="nil"/>
              <w:bottom w:val="nil"/>
              <w:right w:val="nil"/>
            </w:tcBorders>
            <w:shd w:val="clear" w:color="auto" w:fill="auto"/>
            <w:noWrap/>
            <w:vAlign w:val="bottom"/>
            <w:hideMark/>
          </w:tcPr>
          <w:p w14:paraId="2DF159AF" w14:textId="77777777" w:rsidR="00004D6D" w:rsidRPr="00132876" w:rsidRDefault="00004D6D" w:rsidP="00004D6D">
            <w:pPr>
              <w:spacing w:after="0" w:line="240" w:lineRule="auto"/>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AR(2)</w:t>
            </w:r>
          </w:p>
        </w:tc>
        <w:tc>
          <w:tcPr>
            <w:tcW w:w="1160" w:type="dxa"/>
            <w:tcBorders>
              <w:top w:val="nil"/>
              <w:left w:val="nil"/>
              <w:bottom w:val="nil"/>
              <w:right w:val="nil"/>
            </w:tcBorders>
            <w:shd w:val="clear" w:color="auto" w:fill="auto"/>
            <w:noWrap/>
            <w:vAlign w:val="bottom"/>
            <w:hideMark/>
          </w:tcPr>
          <w:p w14:paraId="1F0A5383" w14:textId="77777777" w:rsidR="00004D6D" w:rsidRPr="00132876" w:rsidRDefault="00004D6D" w:rsidP="00004D6D">
            <w:pPr>
              <w:spacing w:after="0" w:line="240" w:lineRule="auto"/>
              <w:jc w:val="center"/>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n.a.</w:t>
            </w:r>
          </w:p>
        </w:tc>
        <w:tc>
          <w:tcPr>
            <w:tcW w:w="1160" w:type="dxa"/>
            <w:tcBorders>
              <w:top w:val="nil"/>
              <w:left w:val="nil"/>
              <w:bottom w:val="nil"/>
              <w:right w:val="nil"/>
            </w:tcBorders>
            <w:shd w:val="clear" w:color="auto" w:fill="auto"/>
            <w:noWrap/>
            <w:vAlign w:val="bottom"/>
            <w:hideMark/>
          </w:tcPr>
          <w:p w14:paraId="6A328042" w14:textId="77777777" w:rsidR="00004D6D" w:rsidRPr="00132876" w:rsidRDefault="00004D6D" w:rsidP="00004D6D">
            <w:pPr>
              <w:spacing w:after="0" w:line="240" w:lineRule="auto"/>
              <w:jc w:val="center"/>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-1.492</w:t>
            </w:r>
          </w:p>
        </w:tc>
      </w:tr>
      <w:tr w:rsidR="00004D6D" w:rsidRPr="00F24865" w14:paraId="3C220682" w14:textId="77777777" w:rsidTr="00004D6D">
        <w:trPr>
          <w:trHeight w:val="20"/>
          <w:jc w:val="center"/>
        </w:trPr>
        <w:tc>
          <w:tcPr>
            <w:tcW w:w="4760" w:type="dxa"/>
            <w:tcBorders>
              <w:top w:val="nil"/>
              <w:left w:val="nil"/>
              <w:bottom w:val="nil"/>
              <w:right w:val="nil"/>
            </w:tcBorders>
            <w:shd w:val="clear" w:color="auto" w:fill="auto"/>
            <w:noWrap/>
            <w:vAlign w:val="bottom"/>
            <w:hideMark/>
          </w:tcPr>
          <w:p w14:paraId="0226AD1A" w14:textId="77777777" w:rsidR="00004D6D" w:rsidRPr="00132876" w:rsidRDefault="00004D6D" w:rsidP="00004D6D">
            <w:pPr>
              <w:spacing w:after="0" w:line="240" w:lineRule="auto"/>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P-Value AR(2)</w:t>
            </w:r>
          </w:p>
        </w:tc>
        <w:tc>
          <w:tcPr>
            <w:tcW w:w="1160" w:type="dxa"/>
            <w:tcBorders>
              <w:top w:val="nil"/>
              <w:left w:val="nil"/>
              <w:bottom w:val="nil"/>
              <w:right w:val="nil"/>
            </w:tcBorders>
            <w:shd w:val="clear" w:color="auto" w:fill="auto"/>
            <w:noWrap/>
            <w:vAlign w:val="bottom"/>
            <w:hideMark/>
          </w:tcPr>
          <w:p w14:paraId="20CB7B4A" w14:textId="77777777" w:rsidR="00004D6D" w:rsidRPr="00132876" w:rsidRDefault="00004D6D" w:rsidP="00004D6D">
            <w:pPr>
              <w:spacing w:after="0" w:line="240" w:lineRule="auto"/>
              <w:jc w:val="center"/>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n.a.</w:t>
            </w:r>
          </w:p>
        </w:tc>
        <w:tc>
          <w:tcPr>
            <w:tcW w:w="1160" w:type="dxa"/>
            <w:tcBorders>
              <w:top w:val="nil"/>
              <w:left w:val="nil"/>
              <w:bottom w:val="nil"/>
              <w:right w:val="nil"/>
            </w:tcBorders>
            <w:shd w:val="clear" w:color="auto" w:fill="auto"/>
            <w:noWrap/>
            <w:vAlign w:val="bottom"/>
            <w:hideMark/>
          </w:tcPr>
          <w:p w14:paraId="39458C3E" w14:textId="77777777" w:rsidR="00004D6D" w:rsidRPr="00132876" w:rsidRDefault="00004D6D" w:rsidP="00004D6D">
            <w:pPr>
              <w:spacing w:after="0" w:line="240" w:lineRule="auto"/>
              <w:jc w:val="center"/>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0.136</w:t>
            </w:r>
          </w:p>
        </w:tc>
      </w:tr>
      <w:tr w:rsidR="00004D6D" w:rsidRPr="00F24865" w14:paraId="77E1103F" w14:textId="77777777" w:rsidTr="00004D6D">
        <w:trPr>
          <w:trHeight w:val="20"/>
          <w:jc w:val="center"/>
        </w:trPr>
        <w:tc>
          <w:tcPr>
            <w:tcW w:w="4760" w:type="dxa"/>
            <w:tcBorders>
              <w:top w:val="nil"/>
              <w:left w:val="nil"/>
              <w:bottom w:val="nil"/>
              <w:right w:val="nil"/>
            </w:tcBorders>
            <w:shd w:val="clear" w:color="auto" w:fill="auto"/>
            <w:noWrap/>
            <w:vAlign w:val="bottom"/>
            <w:hideMark/>
          </w:tcPr>
          <w:p w14:paraId="006076DB" w14:textId="77777777" w:rsidR="00004D6D" w:rsidRPr="00132876" w:rsidRDefault="00004D6D" w:rsidP="00004D6D">
            <w:pPr>
              <w:spacing w:after="0" w:line="240" w:lineRule="auto"/>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Hansen</w:t>
            </w:r>
          </w:p>
        </w:tc>
        <w:tc>
          <w:tcPr>
            <w:tcW w:w="1160" w:type="dxa"/>
            <w:tcBorders>
              <w:top w:val="nil"/>
              <w:left w:val="nil"/>
              <w:bottom w:val="nil"/>
              <w:right w:val="nil"/>
            </w:tcBorders>
            <w:shd w:val="clear" w:color="auto" w:fill="auto"/>
            <w:noWrap/>
            <w:vAlign w:val="bottom"/>
            <w:hideMark/>
          </w:tcPr>
          <w:p w14:paraId="0FBC69EE" w14:textId="77777777" w:rsidR="00004D6D" w:rsidRPr="00132876" w:rsidRDefault="00004D6D" w:rsidP="00004D6D">
            <w:pPr>
              <w:spacing w:after="0" w:line="240" w:lineRule="auto"/>
              <w:jc w:val="center"/>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n.a.</w:t>
            </w:r>
          </w:p>
        </w:tc>
        <w:tc>
          <w:tcPr>
            <w:tcW w:w="1160" w:type="dxa"/>
            <w:tcBorders>
              <w:top w:val="nil"/>
              <w:left w:val="nil"/>
              <w:bottom w:val="nil"/>
              <w:right w:val="nil"/>
            </w:tcBorders>
            <w:shd w:val="clear" w:color="auto" w:fill="auto"/>
            <w:noWrap/>
            <w:vAlign w:val="bottom"/>
            <w:hideMark/>
          </w:tcPr>
          <w:p w14:paraId="4A38960B" w14:textId="77777777" w:rsidR="00004D6D" w:rsidRPr="00132876" w:rsidRDefault="00004D6D" w:rsidP="00004D6D">
            <w:pPr>
              <w:spacing w:after="0" w:line="240" w:lineRule="auto"/>
              <w:jc w:val="center"/>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5.04</w:t>
            </w:r>
          </w:p>
        </w:tc>
      </w:tr>
      <w:tr w:rsidR="00004D6D" w:rsidRPr="00F24865" w14:paraId="66E4E147" w14:textId="77777777" w:rsidTr="00004D6D">
        <w:trPr>
          <w:trHeight w:val="20"/>
          <w:jc w:val="center"/>
        </w:trPr>
        <w:tc>
          <w:tcPr>
            <w:tcW w:w="4760" w:type="dxa"/>
            <w:tcBorders>
              <w:top w:val="nil"/>
              <w:left w:val="nil"/>
              <w:bottom w:val="single" w:sz="4" w:space="0" w:color="auto"/>
              <w:right w:val="nil"/>
            </w:tcBorders>
            <w:shd w:val="clear" w:color="auto" w:fill="auto"/>
            <w:noWrap/>
            <w:vAlign w:val="bottom"/>
            <w:hideMark/>
          </w:tcPr>
          <w:p w14:paraId="103934A7" w14:textId="77777777" w:rsidR="00004D6D" w:rsidRPr="00132876" w:rsidRDefault="00004D6D" w:rsidP="00004D6D">
            <w:pPr>
              <w:spacing w:after="0" w:line="240" w:lineRule="auto"/>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P-Value Hansen</w:t>
            </w:r>
          </w:p>
        </w:tc>
        <w:tc>
          <w:tcPr>
            <w:tcW w:w="1160" w:type="dxa"/>
            <w:tcBorders>
              <w:top w:val="nil"/>
              <w:left w:val="nil"/>
              <w:bottom w:val="single" w:sz="4" w:space="0" w:color="auto"/>
              <w:right w:val="nil"/>
            </w:tcBorders>
            <w:shd w:val="clear" w:color="auto" w:fill="auto"/>
            <w:noWrap/>
            <w:vAlign w:val="bottom"/>
            <w:hideMark/>
          </w:tcPr>
          <w:p w14:paraId="7DA5B691" w14:textId="77777777" w:rsidR="00004D6D" w:rsidRPr="00132876" w:rsidRDefault="00004D6D" w:rsidP="00004D6D">
            <w:pPr>
              <w:spacing w:after="0" w:line="240" w:lineRule="auto"/>
              <w:jc w:val="center"/>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n.a.</w:t>
            </w:r>
          </w:p>
        </w:tc>
        <w:tc>
          <w:tcPr>
            <w:tcW w:w="1160" w:type="dxa"/>
            <w:tcBorders>
              <w:top w:val="nil"/>
              <w:left w:val="nil"/>
              <w:bottom w:val="single" w:sz="4" w:space="0" w:color="auto"/>
              <w:right w:val="nil"/>
            </w:tcBorders>
            <w:shd w:val="clear" w:color="auto" w:fill="auto"/>
            <w:noWrap/>
            <w:vAlign w:val="bottom"/>
            <w:hideMark/>
          </w:tcPr>
          <w:p w14:paraId="5959D8F4" w14:textId="77777777" w:rsidR="00004D6D" w:rsidRPr="00132876" w:rsidRDefault="00004D6D" w:rsidP="00004D6D">
            <w:pPr>
              <w:spacing w:after="0" w:line="240" w:lineRule="auto"/>
              <w:jc w:val="center"/>
              <w:rPr>
                <w:rFonts w:ascii="Times New Roman" w:eastAsia="Times New Roman" w:hAnsi="Times New Roman" w:cs="Times New Roman"/>
                <w:sz w:val="18"/>
                <w:szCs w:val="18"/>
                <w:lang w:val="en-US" w:eastAsia="en-GB"/>
              </w:rPr>
            </w:pPr>
            <w:r w:rsidRPr="00132876">
              <w:rPr>
                <w:rFonts w:ascii="Times New Roman" w:eastAsia="Times New Roman" w:hAnsi="Times New Roman" w:cs="Times New Roman"/>
                <w:sz w:val="18"/>
                <w:szCs w:val="18"/>
                <w:lang w:val="en-US" w:eastAsia="en-GB"/>
              </w:rPr>
              <w:t>0.0256</w:t>
            </w:r>
          </w:p>
        </w:tc>
      </w:tr>
      <w:tr w:rsidR="00004D6D" w:rsidRPr="00F24865" w14:paraId="6431BCD5" w14:textId="77777777" w:rsidTr="00004D6D">
        <w:trPr>
          <w:trHeight w:val="264"/>
          <w:jc w:val="center"/>
        </w:trPr>
        <w:tc>
          <w:tcPr>
            <w:tcW w:w="7080" w:type="dxa"/>
            <w:gridSpan w:val="3"/>
            <w:tcBorders>
              <w:top w:val="nil"/>
              <w:left w:val="nil"/>
              <w:bottom w:val="nil"/>
              <w:right w:val="nil"/>
            </w:tcBorders>
            <w:shd w:val="clear" w:color="auto" w:fill="auto"/>
            <w:noWrap/>
            <w:vAlign w:val="bottom"/>
            <w:hideMark/>
          </w:tcPr>
          <w:p w14:paraId="75A35C6C" w14:textId="77777777" w:rsidR="00004D6D" w:rsidRPr="00575B4E" w:rsidRDefault="00004D6D" w:rsidP="00004D6D">
            <w:pPr>
              <w:spacing w:after="0" w:line="240" w:lineRule="auto"/>
              <w:jc w:val="both"/>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 xml:space="preserve">Note: Robust standard errors in parentheses. *** p&lt;0.001, ** p&lt;0.01, * p&lt;0.05, + p&lt;0.10. Year dummies included but not reported for brevity. All continuous variables are in natural logarithms, except Tobin’s Q. ID proportion represents the number of independent directors relative to total board size.  Wald test is for the joint significance of GCF and GCF*ID coefficients. </w:t>
            </w:r>
            <w:r>
              <w:rPr>
                <w:rFonts w:ascii="Times New Roman" w:eastAsia="Times New Roman" w:hAnsi="Times New Roman" w:cs="Times New Roman"/>
                <w:sz w:val="16"/>
                <w:szCs w:val="16"/>
                <w:lang w:val="en-US" w:eastAsia="en-GB"/>
              </w:rPr>
              <w:t xml:space="preserve">In the Fixed Effects (FE) specification, we compute investment and GCF in first differences of logarithms, e.g. the dependent variable </w:t>
            </w:r>
            <w:r w:rsidRPr="00575B4E">
              <w:rPr>
                <w:rFonts w:ascii="Times New Roman" w:eastAsia="Times New Roman" w:hAnsi="Times New Roman" w:cs="Times New Roman"/>
                <w:sz w:val="16"/>
                <w:szCs w:val="16"/>
                <w:lang w:val="en-US" w:eastAsia="en-GB"/>
              </w:rPr>
              <w:t xml:space="preserve">is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log⁡</m:t>
                  </m:r>
                  <m:r>
                    <w:rPr>
                      <w:rFonts w:ascii="Cambria Math" w:hAnsi="Cambria Math" w:cs="Times New Roman"/>
                      <w:sz w:val="16"/>
                      <w:szCs w:val="16"/>
                    </w:rPr>
                    <m:t>(Investment</m:t>
                  </m:r>
                </m:e>
                <m:sub>
                  <m:r>
                    <w:rPr>
                      <w:rFonts w:ascii="Cambria Math" w:hAnsi="Cambria Math" w:cs="Times New Roman"/>
                      <w:sz w:val="16"/>
                      <w:szCs w:val="16"/>
                    </w:rPr>
                    <m:t>it</m:t>
                  </m:r>
                </m:sub>
              </m:sSub>
              <m:r>
                <w:rPr>
                  <w:rFonts w:ascii="Cambria Math" w:hAnsi="Cambria Math" w:cs="Times New Roman"/>
                  <w:sz w:val="16"/>
                  <w:szCs w:val="16"/>
                  <w:lang w:val="en-US"/>
                </w:rPr>
                <m:t>)-</m:t>
              </m:r>
              <m:sSub>
                <m:sSubPr>
                  <m:ctrlPr>
                    <w:rPr>
                      <w:rFonts w:ascii="Cambria Math" w:hAnsi="Cambria Math" w:cs="Times New Roman"/>
                      <w:i/>
                      <w:sz w:val="16"/>
                      <w:szCs w:val="16"/>
                    </w:rPr>
                  </m:ctrlPr>
                </m:sSubPr>
                <m:e>
                  <m:r>
                    <m:rPr>
                      <m:sty m:val="p"/>
                    </m:rPr>
                    <w:rPr>
                      <w:rFonts w:ascii="Cambria Math" w:hAnsi="Cambria Math" w:cs="Times New Roman"/>
                      <w:sz w:val="16"/>
                      <w:szCs w:val="16"/>
                    </w:rPr>
                    <m:t>log⁡</m:t>
                  </m:r>
                  <m:r>
                    <w:rPr>
                      <w:rFonts w:ascii="Cambria Math" w:hAnsi="Cambria Math" w:cs="Times New Roman"/>
                      <w:sz w:val="16"/>
                      <w:szCs w:val="16"/>
                    </w:rPr>
                    <m:t>(Investment</m:t>
                  </m:r>
                </m:e>
                <m:sub>
                  <m:r>
                    <w:rPr>
                      <w:rFonts w:ascii="Cambria Math" w:hAnsi="Cambria Math" w:cs="Times New Roman"/>
                      <w:sz w:val="16"/>
                      <w:szCs w:val="16"/>
                    </w:rPr>
                    <m:t>i</m:t>
                  </m:r>
                  <m:r>
                    <w:rPr>
                      <w:rFonts w:ascii="Cambria Math" w:hAnsi="Cambria Math" w:cs="Times New Roman"/>
                      <w:sz w:val="16"/>
                      <w:szCs w:val="16"/>
                      <w:lang w:val="en-US"/>
                    </w:rPr>
                    <m:t>,</m:t>
                  </m:r>
                  <m:r>
                    <w:rPr>
                      <w:rFonts w:ascii="Cambria Math" w:hAnsi="Cambria Math" w:cs="Times New Roman"/>
                      <w:sz w:val="16"/>
                      <w:szCs w:val="16"/>
                    </w:rPr>
                    <m:t>t</m:t>
                  </m:r>
                  <m:r>
                    <w:rPr>
                      <w:rFonts w:ascii="Cambria Math" w:hAnsi="Cambria Math" w:cs="Times New Roman"/>
                      <w:sz w:val="16"/>
                      <w:szCs w:val="16"/>
                      <w:lang w:val="en-US"/>
                    </w:rPr>
                    <m:t>-1</m:t>
                  </m:r>
                </m:sub>
              </m:sSub>
              <m:r>
                <w:rPr>
                  <w:rFonts w:ascii="Cambria Math" w:hAnsi="Cambria Math" w:cs="Times New Roman"/>
                  <w:sz w:val="16"/>
                  <w:szCs w:val="16"/>
                </w:rPr>
                <m:t xml:space="preserve">). </m:t>
              </m:r>
            </m:oMath>
            <w:r w:rsidRPr="00575B4E">
              <w:rPr>
                <w:rFonts w:ascii="Times New Roman" w:eastAsia="Times New Roman" w:hAnsi="Times New Roman" w:cs="Times New Roman"/>
                <w:sz w:val="16"/>
                <w:szCs w:val="16"/>
                <w:lang w:val="en-US" w:eastAsia="en-GB"/>
              </w:rPr>
              <w:t xml:space="preserve"> </w:t>
            </w:r>
            <w:r>
              <w:rPr>
                <w:rFonts w:ascii="Times New Roman" w:eastAsia="Times New Roman" w:hAnsi="Times New Roman" w:cs="Times New Roman"/>
                <w:sz w:val="16"/>
                <w:szCs w:val="16"/>
                <w:lang w:val="en-US" w:eastAsia="en-GB"/>
              </w:rPr>
              <w:t xml:space="preserve">For the GMM specification, Investment and GCF variables have to be entered in levels (e.g. the dependent variable is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log⁡</m:t>
                  </m:r>
                  <m:r>
                    <w:rPr>
                      <w:rFonts w:ascii="Cambria Math" w:hAnsi="Cambria Math" w:cs="Times New Roman"/>
                      <w:sz w:val="16"/>
                      <w:szCs w:val="16"/>
                    </w:rPr>
                    <m:t>(Investment</m:t>
                  </m:r>
                </m:e>
                <m:sub>
                  <m:r>
                    <w:rPr>
                      <w:rFonts w:ascii="Cambria Math" w:hAnsi="Cambria Math" w:cs="Times New Roman"/>
                      <w:sz w:val="16"/>
                      <w:szCs w:val="16"/>
                    </w:rPr>
                    <m:t>it</m:t>
                  </m:r>
                </m:sub>
              </m:sSub>
              <m:r>
                <w:rPr>
                  <w:rFonts w:ascii="Cambria Math" w:hAnsi="Cambria Math" w:cs="Times New Roman"/>
                  <w:sz w:val="16"/>
                  <w:szCs w:val="16"/>
                  <w:lang w:val="en-US"/>
                </w:rPr>
                <m:t>)).</m:t>
              </m:r>
            </m:oMath>
            <w:r>
              <w:rPr>
                <w:rFonts w:ascii="Times New Roman" w:eastAsia="Times New Roman" w:hAnsi="Times New Roman" w:cs="Times New Roman"/>
                <w:sz w:val="16"/>
                <w:szCs w:val="16"/>
                <w:lang w:val="en-US" w:eastAsia="en-GB"/>
              </w:rPr>
              <w:t xml:space="preserve"> </w:t>
            </w:r>
            <w:r w:rsidRPr="00575B4E">
              <w:rPr>
                <w:rFonts w:ascii="Times New Roman" w:eastAsia="Times New Roman" w:hAnsi="Times New Roman" w:cs="Times New Roman"/>
                <w:sz w:val="16"/>
                <w:szCs w:val="16"/>
                <w:lang w:val="en-US" w:eastAsia="en-GB"/>
              </w:rPr>
              <w:t xml:space="preserve">For model (2), we use </w:t>
            </w:r>
            <w:r w:rsidRPr="00575B4E">
              <w:rPr>
                <w:rFonts w:ascii="Times New Roman" w:eastAsia="Times New Roman" w:hAnsi="Times New Roman" w:cs="Times New Roman"/>
                <w:i/>
                <w:sz w:val="16"/>
                <w:szCs w:val="16"/>
                <w:lang w:val="en-US" w:eastAsia="en-GB"/>
              </w:rPr>
              <w:t>xtabond2</w:t>
            </w:r>
            <w:r w:rsidRPr="00575B4E">
              <w:rPr>
                <w:rFonts w:ascii="Times New Roman" w:eastAsia="Times New Roman" w:hAnsi="Times New Roman" w:cs="Times New Roman"/>
                <w:sz w:val="16"/>
                <w:szCs w:val="16"/>
                <w:lang w:val="en-US" w:eastAsia="en-GB"/>
              </w:rPr>
              <w:t xml:space="preserve"> command (Roodman, 2009), with delimited lags (2 3), collapsed instruments, and small sample correction. We instrument the lagged dependent variable. Number of instruments does not exceed the number of panel members. The Hansen’s  J statistic of instrument exogeneity is low, robust, but may be weakened by many instruments.  Arellano-Bond test statistic indicative of no second or higher order auto-correlation of residuals AR(2) is not significant, consistent with Arellano-Bond approach, and does not provide evidence of misspecification. </w:t>
            </w:r>
          </w:p>
          <w:p w14:paraId="171D9033"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r>
      <w:tr w:rsidR="00004D6D" w:rsidRPr="00F24865" w14:paraId="32C0BF19" w14:textId="77777777" w:rsidTr="00004D6D">
        <w:trPr>
          <w:trHeight w:val="264"/>
          <w:jc w:val="center"/>
        </w:trPr>
        <w:tc>
          <w:tcPr>
            <w:tcW w:w="4760" w:type="dxa"/>
            <w:tcBorders>
              <w:top w:val="nil"/>
              <w:left w:val="nil"/>
              <w:bottom w:val="nil"/>
              <w:right w:val="nil"/>
            </w:tcBorders>
            <w:shd w:val="clear" w:color="auto" w:fill="auto"/>
            <w:noWrap/>
            <w:vAlign w:val="bottom"/>
            <w:hideMark/>
          </w:tcPr>
          <w:p w14:paraId="63261C15"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48103043"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301863FD"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r>
      <w:tr w:rsidR="00004D6D" w:rsidRPr="00F24865" w14:paraId="0A3AEB49" w14:textId="77777777" w:rsidTr="00004D6D">
        <w:trPr>
          <w:trHeight w:val="264"/>
          <w:jc w:val="center"/>
        </w:trPr>
        <w:tc>
          <w:tcPr>
            <w:tcW w:w="7080" w:type="dxa"/>
            <w:gridSpan w:val="3"/>
            <w:tcBorders>
              <w:top w:val="nil"/>
              <w:left w:val="nil"/>
              <w:bottom w:val="nil"/>
              <w:right w:val="nil"/>
            </w:tcBorders>
            <w:shd w:val="clear" w:color="auto" w:fill="auto"/>
            <w:noWrap/>
            <w:vAlign w:val="bottom"/>
            <w:hideMark/>
          </w:tcPr>
          <w:p w14:paraId="276FE1EC"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r>
    </w:tbl>
    <w:p w14:paraId="11610D1D" w14:textId="77777777" w:rsidR="00004D6D" w:rsidRPr="00F24865" w:rsidRDefault="00004D6D" w:rsidP="00004D6D">
      <w:pPr>
        <w:rPr>
          <w:rFonts w:ascii="Times New Roman" w:hAnsi="Times New Roman" w:cs="Times New Roman"/>
          <w:b/>
          <w:bCs/>
          <w:sz w:val="24"/>
          <w:szCs w:val="24"/>
          <w:lang w:val="en-US"/>
        </w:rPr>
      </w:pPr>
    </w:p>
    <w:p w14:paraId="5340D0D9" w14:textId="77777777" w:rsidR="00004D6D" w:rsidRPr="00F24865" w:rsidRDefault="00004D6D" w:rsidP="00004D6D">
      <w:pPr>
        <w:spacing w:line="240" w:lineRule="auto"/>
        <w:jc w:val="center"/>
        <w:rPr>
          <w:rFonts w:ascii="Times New Roman" w:hAnsi="Times New Roman" w:cs="Times New Roman"/>
          <w:b/>
          <w:bCs/>
          <w:sz w:val="24"/>
          <w:szCs w:val="24"/>
          <w:lang w:val="en-US"/>
        </w:rPr>
      </w:pPr>
    </w:p>
    <w:p w14:paraId="78990153" w14:textId="77777777" w:rsidR="00004D6D" w:rsidRPr="00F24865" w:rsidRDefault="00004D6D" w:rsidP="00004D6D">
      <w:pPr>
        <w:spacing w:line="240" w:lineRule="auto"/>
        <w:jc w:val="center"/>
        <w:rPr>
          <w:rFonts w:ascii="Times New Roman" w:hAnsi="Times New Roman" w:cs="Times New Roman"/>
          <w:b/>
          <w:bCs/>
          <w:sz w:val="24"/>
          <w:szCs w:val="24"/>
          <w:lang w:val="en-US"/>
        </w:rPr>
      </w:pPr>
    </w:p>
    <w:p w14:paraId="20D4CDF5" w14:textId="77777777" w:rsidR="00004D6D" w:rsidRPr="00F24865" w:rsidRDefault="00004D6D" w:rsidP="00004D6D">
      <w:pPr>
        <w:pStyle w:val="Caption"/>
        <w:keepNext/>
        <w:spacing w:line="480" w:lineRule="auto"/>
        <w:jc w:val="center"/>
        <w:rPr>
          <w:rFonts w:ascii="Times New Roman" w:hAnsi="Times New Roman" w:cs="Times New Roman"/>
          <w:color w:val="auto"/>
          <w:sz w:val="24"/>
          <w:szCs w:val="24"/>
          <w:lang w:val="en-US"/>
        </w:rPr>
        <w:sectPr w:rsidR="00004D6D" w:rsidRPr="00F24865" w:rsidSect="00C17CAB">
          <w:footerReference w:type="default" r:id="rId16"/>
          <w:pgSz w:w="11907" w:h="16839" w:code="9"/>
          <w:pgMar w:top="1440" w:right="1440" w:bottom="1440" w:left="1440" w:header="708" w:footer="708" w:gutter="0"/>
          <w:cols w:space="708"/>
          <w:docGrid w:linePitch="360"/>
        </w:sectPr>
      </w:pPr>
    </w:p>
    <w:p w14:paraId="1EEDECC6" w14:textId="77777777" w:rsidR="00004D6D" w:rsidRPr="00F24865" w:rsidRDefault="00004D6D" w:rsidP="00004D6D">
      <w:pPr>
        <w:pStyle w:val="Caption"/>
        <w:keepNext/>
        <w:spacing w:after="0"/>
        <w:jc w:val="center"/>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lastRenderedPageBreak/>
        <w:t>TABLE 4</w:t>
      </w:r>
    </w:p>
    <w:p w14:paraId="28A12752" w14:textId="77777777" w:rsidR="00004D6D" w:rsidRPr="00F24865" w:rsidRDefault="00004D6D" w:rsidP="00004D6D">
      <w:pPr>
        <w:spacing w:after="0" w:line="240" w:lineRule="auto"/>
        <w:jc w:val="center"/>
        <w:rPr>
          <w:rFonts w:ascii="Times New Roman" w:hAnsi="Times New Roman" w:cs="Times New Roman"/>
          <w:b/>
          <w:bCs/>
          <w:sz w:val="24"/>
          <w:szCs w:val="24"/>
          <w:lang w:val="en-US"/>
        </w:rPr>
      </w:pPr>
      <w:r w:rsidRPr="00F24865">
        <w:rPr>
          <w:rFonts w:ascii="Times New Roman" w:hAnsi="Times New Roman" w:cs="Times New Roman"/>
          <w:b/>
          <w:bCs/>
          <w:sz w:val="24"/>
          <w:szCs w:val="24"/>
          <w:lang w:val="en-US"/>
        </w:rPr>
        <w:t>The moderating effect of independent directors on investment in private firms and SOEs</w:t>
      </w:r>
    </w:p>
    <w:tbl>
      <w:tblPr>
        <w:tblW w:w="12140" w:type="dxa"/>
        <w:tblInd w:w="93" w:type="dxa"/>
        <w:tblLook w:val="04A0" w:firstRow="1" w:lastRow="0" w:firstColumn="1" w:lastColumn="0" w:noHBand="0" w:noVBand="1"/>
      </w:tblPr>
      <w:tblGrid>
        <w:gridCol w:w="2860"/>
        <w:gridCol w:w="1160"/>
        <w:gridCol w:w="1160"/>
        <w:gridCol w:w="1160"/>
        <w:gridCol w:w="1160"/>
        <w:gridCol w:w="1160"/>
        <w:gridCol w:w="1160"/>
        <w:gridCol w:w="1160"/>
        <w:gridCol w:w="1160"/>
      </w:tblGrid>
      <w:tr w:rsidR="00004D6D" w:rsidRPr="00F24865" w14:paraId="5D41CEC0" w14:textId="77777777" w:rsidTr="00004D6D">
        <w:trPr>
          <w:trHeight w:val="20"/>
        </w:trPr>
        <w:tc>
          <w:tcPr>
            <w:tcW w:w="2860" w:type="dxa"/>
            <w:tcBorders>
              <w:top w:val="single" w:sz="4" w:space="0" w:color="auto"/>
              <w:left w:val="nil"/>
              <w:bottom w:val="nil"/>
              <w:right w:val="nil"/>
            </w:tcBorders>
            <w:shd w:val="clear" w:color="auto" w:fill="auto"/>
            <w:noWrap/>
            <w:vAlign w:val="bottom"/>
            <w:hideMark/>
          </w:tcPr>
          <w:p w14:paraId="496E41E4"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bookmarkStart w:id="148" w:name="_Ref363220305"/>
            <w:bookmarkStart w:id="149" w:name="_Ref363220315"/>
            <w:bookmarkStart w:id="150" w:name="_Ref364781688"/>
            <w:bookmarkStart w:id="151" w:name="_Ref364781714"/>
            <w:bookmarkStart w:id="152" w:name="_Toc367315326"/>
            <w:r w:rsidRPr="00F24865">
              <w:rPr>
                <w:rFonts w:ascii="Times New Roman" w:eastAsia="Times New Roman" w:hAnsi="Times New Roman" w:cs="Times New Roman"/>
                <w:sz w:val="18"/>
                <w:szCs w:val="18"/>
                <w:lang w:val="en-US" w:eastAsia="en-GB"/>
              </w:rPr>
              <w:t> </w:t>
            </w:r>
          </w:p>
        </w:tc>
        <w:tc>
          <w:tcPr>
            <w:tcW w:w="1160" w:type="dxa"/>
            <w:tcBorders>
              <w:top w:val="single" w:sz="4" w:space="0" w:color="auto"/>
              <w:left w:val="nil"/>
              <w:bottom w:val="nil"/>
              <w:right w:val="nil"/>
            </w:tcBorders>
            <w:shd w:val="clear" w:color="auto" w:fill="auto"/>
            <w:noWrap/>
            <w:vAlign w:val="bottom"/>
            <w:hideMark/>
          </w:tcPr>
          <w:p w14:paraId="25E29E26"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(1)</w:t>
            </w:r>
          </w:p>
        </w:tc>
        <w:tc>
          <w:tcPr>
            <w:tcW w:w="1160" w:type="dxa"/>
            <w:tcBorders>
              <w:top w:val="single" w:sz="4" w:space="0" w:color="auto"/>
              <w:left w:val="nil"/>
              <w:bottom w:val="nil"/>
              <w:right w:val="nil"/>
            </w:tcBorders>
            <w:shd w:val="clear" w:color="auto" w:fill="auto"/>
            <w:noWrap/>
            <w:vAlign w:val="bottom"/>
          </w:tcPr>
          <w:p w14:paraId="01D9D4E0"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(2)</w:t>
            </w:r>
          </w:p>
        </w:tc>
        <w:tc>
          <w:tcPr>
            <w:tcW w:w="1160" w:type="dxa"/>
            <w:tcBorders>
              <w:top w:val="single" w:sz="4" w:space="0" w:color="auto"/>
              <w:left w:val="nil"/>
              <w:bottom w:val="nil"/>
              <w:right w:val="nil"/>
            </w:tcBorders>
            <w:shd w:val="clear" w:color="auto" w:fill="auto"/>
            <w:noWrap/>
            <w:vAlign w:val="bottom"/>
          </w:tcPr>
          <w:p w14:paraId="1CC84A47"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(3)</w:t>
            </w:r>
          </w:p>
        </w:tc>
        <w:tc>
          <w:tcPr>
            <w:tcW w:w="1160" w:type="dxa"/>
            <w:tcBorders>
              <w:top w:val="single" w:sz="4" w:space="0" w:color="auto"/>
              <w:left w:val="nil"/>
              <w:bottom w:val="nil"/>
              <w:right w:val="nil"/>
            </w:tcBorders>
            <w:shd w:val="clear" w:color="auto" w:fill="auto"/>
            <w:noWrap/>
            <w:vAlign w:val="bottom"/>
          </w:tcPr>
          <w:p w14:paraId="4AD64269"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(4)</w:t>
            </w:r>
          </w:p>
        </w:tc>
        <w:tc>
          <w:tcPr>
            <w:tcW w:w="1160" w:type="dxa"/>
            <w:tcBorders>
              <w:top w:val="single" w:sz="4" w:space="0" w:color="auto"/>
              <w:left w:val="nil"/>
              <w:bottom w:val="nil"/>
              <w:right w:val="nil"/>
            </w:tcBorders>
            <w:shd w:val="clear" w:color="auto" w:fill="auto"/>
            <w:noWrap/>
            <w:vAlign w:val="bottom"/>
          </w:tcPr>
          <w:p w14:paraId="18BEA4F7"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(5)</w:t>
            </w:r>
          </w:p>
        </w:tc>
        <w:tc>
          <w:tcPr>
            <w:tcW w:w="1160" w:type="dxa"/>
            <w:tcBorders>
              <w:top w:val="single" w:sz="4" w:space="0" w:color="auto"/>
              <w:left w:val="nil"/>
              <w:bottom w:val="nil"/>
              <w:right w:val="nil"/>
            </w:tcBorders>
            <w:shd w:val="clear" w:color="auto" w:fill="auto"/>
            <w:noWrap/>
            <w:vAlign w:val="bottom"/>
          </w:tcPr>
          <w:p w14:paraId="64CB6401"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(6)</w:t>
            </w:r>
          </w:p>
        </w:tc>
        <w:tc>
          <w:tcPr>
            <w:tcW w:w="1160" w:type="dxa"/>
            <w:tcBorders>
              <w:top w:val="single" w:sz="4" w:space="0" w:color="auto"/>
              <w:left w:val="nil"/>
              <w:bottom w:val="nil"/>
              <w:right w:val="nil"/>
            </w:tcBorders>
            <w:shd w:val="clear" w:color="auto" w:fill="auto"/>
            <w:noWrap/>
            <w:vAlign w:val="bottom"/>
          </w:tcPr>
          <w:p w14:paraId="69C8771E"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(7)</w:t>
            </w:r>
          </w:p>
        </w:tc>
        <w:tc>
          <w:tcPr>
            <w:tcW w:w="1160" w:type="dxa"/>
            <w:tcBorders>
              <w:top w:val="single" w:sz="4" w:space="0" w:color="auto"/>
              <w:left w:val="nil"/>
              <w:bottom w:val="nil"/>
              <w:right w:val="nil"/>
            </w:tcBorders>
            <w:shd w:val="clear" w:color="auto" w:fill="auto"/>
            <w:noWrap/>
            <w:vAlign w:val="bottom"/>
          </w:tcPr>
          <w:p w14:paraId="4A8EA44C"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(8)</w:t>
            </w:r>
          </w:p>
        </w:tc>
      </w:tr>
      <w:tr w:rsidR="00004D6D" w:rsidRPr="00F24865" w14:paraId="31C38686" w14:textId="77777777" w:rsidTr="00004D6D">
        <w:trPr>
          <w:trHeight w:val="20"/>
        </w:trPr>
        <w:tc>
          <w:tcPr>
            <w:tcW w:w="2860" w:type="dxa"/>
            <w:tcBorders>
              <w:top w:val="nil"/>
              <w:left w:val="nil"/>
              <w:bottom w:val="nil"/>
              <w:right w:val="nil"/>
            </w:tcBorders>
            <w:shd w:val="clear" w:color="auto" w:fill="auto"/>
            <w:noWrap/>
            <w:vAlign w:val="bottom"/>
            <w:hideMark/>
          </w:tcPr>
          <w:p w14:paraId="40A57F1B"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280A031B"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H1a</w:t>
            </w:r>
          </w:p>
        </w:tc>
        <w:tc>
          <w:tcPr>
            <w:tcW w:w="1160" w:type="dxa"/>
            <w:tcBorders>
              <w:top w:val="nil"/>
              <w:left w:val="nil"/>
              <w:bottom w:val="nil"/>
              <w:right w:val="nil"/>
            </w:tcBorders>
            <w:shd w:val="clear" w:color="auto" w:fill="auto"/>
            <w:noWrap/>
            <w:vAlign w:val="bottom"/>
            <w:hideMark/>
          </w:tcPr>
          <w:p w14:paraId="2325E38C"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H1a</w:t>
            </w:r>
          </w:p>
        </w:tc>
        <w:tc>
          <w:tcPr>
            <w:tcW w:w="1160" w:type="dxa"/>
            <w:tcBorders>
              <w:top w:val="nil"/>
              <w:left w:val="nil"/>
              <w:bottom w:val="nil"/>
              <w:right w:val="nil"/>
            </w:tcBorders>
            <w:shd w:val="clear" w:color="auto" w:fill="auto"/>
            <w:noWrap/>
            <w:vAlign w:val="bottom"/>
            <w:hideMark/>
          </w:tcPr>
          <w:p w14:paraId="7F97494C"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H1a</w:t>
            </w:r>
          </w:p>
        </w:tc>
        <w:tc>
          <w:tcPr>
            <w:tcW w:w="1160" w:type="dxa"/>
            <w:tcBorders>
              <w:top w:val="nil"/>
              <w:left w:val="nil"/>
              <w:bottom w:val="nil"/>
              <w:right w:val="nil"/>
            </w:tcBorders>
            <w:shd w:val="clear" w:color="auto" w:fill="auto"/>
            <w:noWrap/>
            <w:vAlign w:val="bottom"/>
            <w:hideMark/>
          </w:tcPr>
          <w:p w14:paraId="69E3E7D6"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H1a</w:t>
            </w:r>
          </w:p>
        </w:tc>
        <w:tc>
          <w:tcPr>
            <w:tcW w:w="1160" w:type="dxa"/>
            <w:tcBorders>
              <w:top w:val="nil"/>
              <w:left w:val="nil"/>
              <w:bottom w:val="nil"/>
              <w:right w:val="nil"/>
            </w:tcBorders>
            <w:shd w:val="clear" w:color="auto" w:fill="auto"/>
            <w:noWrap/>
            <w:vAlign w:val="bottom"/>
            <w:hideMark/>
          </w:tcPr>
          <w:p w14:paraId="6741E710"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H1b</w:t>
            </w:r>
          </w:p>
        </w:tc>
        <w:tc>
          <w:tcPr>
            <w:tcW w:w="1160" w:type="dxa"/>
            <w:tcBorders>
              <w:top w:val="nil"/>
              <w:left w:val="nil"/>
              <w:bottom w:val="nil"/>
              <w:right w:val="nil"/>
            </w:tcBorders>
            <w:shd w:val="clear" w:color="auto" w:fill="auto"/>
            <w:noWrap/>
            <w:vAlign w:val="bottom"/>
            <w:hideMark/>
          </w:tcPr>
          <w:p w14:paraId="664A4759"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H1b</w:t>
            </w:r>
          </w:p>
        </w:tc>
        <w:tc>
          <w:tcPr>
            <w:tcW w:w="1160" w:type="dxa"/>
            <w:tcBorders>
              <w:top w:val="nil"/>
              <w:left w:val="nil"/>
              <w:bottom w:val="nil"/>
              <w:right w:val="nil"/>
            </w:tcBorders>
            <w:shd w:val="clear" w:color="auto" w:fill="auto"/>
            <w:noWrap/>
            <w:vAlign w:val="bottom"/>
            <w:hideMark/>
          </w:tcPr>
          <w:p w14:paraId="4AA008CF"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H1b</w:t>
            </w:r>
          </w:p>
        </w:tc>
        <w:tc>
          <w:tcPr>
            <w:tcW w:w="1160" w:type="dxa"/>
            <w:tcBorders>
              <w:top w:val="nil"/>
              <w:left w:val="nil"/>
              <w:bottom w:val="nil"/>
              <w:right w:val="nil"/>
            </w:tcBorders>
            <w:shd w:val="clear" w:color="auto" w:fill="auto"/>
            <w:noWrap/>
            <w:vAlign w:val="bottom"/>
            <w:hideMark/>
          </w:tcPr>
          <w:p w14:paraId="787EC11E"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H1b</w:t>
            </w:r>
          </w:p>
        </w:tc>
      </w:tr>
      <w:tr w:rsidR="00004D6D" w:rsidRPr="00F24865" w14:paraId="4292AA35" w14:textId="77777777" w:rsidTr="00004D6D">
        <w:trPr>
          <w:trHeight w:val="20"/>
        </w:trPr>
        <w:tc>
          <w:tcPr>
            <w:tcW w:w="2860" w:type="dxa"/>
            <w:tcBorders>
              <w:top w:val="nil"/>
              <w:left w:val="nil"/>
              <w:bottom w:val="nil"/>
              <w:right w:val="nil"/>
            </w:tcBorders>
            <w:shd w:val="clear" w:color="auto" w:fill="auto"/>
            <w:noWrap/>
            <w:vAlign w:val="bottom"/>
            <w:hideMark/>
          </w:tcPr>
          <w:p w14:paraId="350C8870"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3CDB0EA6"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FE</w:t>
            </w:r>
          </w:p>
        </w:tc>
        <w:tc>
          <w:tcPr>
            <w:tcW w:w="1160" w:type="dxa"/>
            <w:tcBorders>
              <w:top w:val="nil"/>
              <w:left w:val="nil"/>
              <w:bottom w:val="nil"/>
              <w:right w:val="nil"/>
            </w:tcBorders>
            <w:shd w:val="clear" w:color="auto" w:fill="auto"/>
            <w:noWrap/>
            <w:vAlign w:val="bottom"/>
            <w:hideMark/>
          </w:tcPr>
          <w:p w14:paraId="3ACDC79A"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FE</w:t>
            </w:r>
          </w:p>
        </w:tc>
        <w:tc>
          <w:tcPr>
            <w:tcW w:w="1160" w:type="dxa"/>
            <w:tcBorders>
              <w:top w:val="nil"/>
              <w:left w:val="nil"/>
              <w:bottom w:val="nil"/>
              <w:right w:val="nil"/>
            </w:tcBorders>
            <w:shd w:val="clear" w:color="auto" w:fill="auto"/>
            <w:noWrap/>
            <w:vAlign w:val="bottom"/>
            <w:hideMark/>
          </w:tcPr>
          <w:p w14:paraId="036F3BDC"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GMM</w:t>
            </w:r>
          </w:p>
        </w:tc>
        <w:tc>
          <w:tcPr>
            <w:tcW w:w="1160" w:type="dxa"/>
            <w:tcBorders>
              <w:top w:val="nil"/>
              <w:left w:val="nil"/>
              <w:bottom w:val="nil"/>
              <w:right w:val="nil"/>
            </w:tcBorders>
            <w:shd w:val="clear" w:color="auto" w:fill="auto"/>
            <w:noWrap/>
            <w:vAlign w:val="bottom"/>
            <w:hideMark/>
          </w:tcPr>
          <w:p w14:paraId="5D582363"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GMM</w:t>
            </w:r>
          </w:p>
        </w:tc>
        <w:tc>
          <w:tcPr>
            <w:tcW w:w="1160" w:type="dxa"/>
            <w:tcBorders>
              <w:top w:val="nil"/>
              <w:left w:val="nil"/>
              <w:bottom w:val="nil"/>
              <w:right w:val="nil"/>
            </w:tcBorders>
            <w:shd w:val="clear" w:color="auto" w:fill="auto"/>
            <w:noWrap/>
            <w:vAlign w:val="bottom"/>
            <w:hideMark/>
          </w:tcPr>
          <w:p w14:paraId="19527D36"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FE</w:t>
            </w:r>
          </w:p>
        </w:tc>
        <w:tc>
          <w:tcPr>
            <w:tcW w:w="1160" w:type="dxa"/>
            <w:tcBorders>
              <w:top w:val="nil"/>
              <w:left w:val="nil"/>
              <w:bottom w:val="nil"/>
              <w:right w:val="nil"/>
            </w:tcBorders>
            <w:shd w:val="clear" w:color="auto" w:fill="auto"/>
            <w:noWrap/>
            <w:vAlign w:val="bottom"/>
            <w:hideMark/>
          </w:tcPr>
          <w:p w14:paraId="0C9A37D8"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FE</w:t>
            </w:r>
          </w:p>
        </w:tc>
        <w:tc>
          <w:tcPr>
            <w:tcW w:w="1160" w:type="dxa"/>
            <w:tcBorders>
              <w:top w:val="nil"/>
              <w:left w:val="nil"/>
              <w:bottom w:val="nil"/>
              <w:right w:val="nil"/>
            </w:tcBorders>
            <w:shd w:val="clear" w:color="auto" w:fill="auto"/>
            <w:noWrap/>
            <w:vAlign w:val="bottom"/>
            <w:hideMark/>
          </w:tcPr>
          <w:p w14:paraId="135D07ED"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GMM</w:t>
            </w:r>
          </w:p>
        </w:tc>
        <w:tc>
          <w:tcPr>
            <w:tcW w:w="1160" w:type="dxa"/>
            <w:tcBorders>
              <w:top w:val="nil"/>
              <w:left w:val="nil"/>
              <w:bottom w:val="nil"/>
              <w:right w:val="nil"/>
            </w:tcBorders>
            <w:shd w:val="clear" w:color="auto" w:fill="auto"/>
            <w:noWrap/>
            <w:vAlign w:val="bottom"/>
            <w:hideMark/>
          </w:tcPr>
          <w:p w14:paraId="7305DA3F"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GMM</w:t>
            </w:r>
          </w:p>
        </w:tc>
      </w:tr>
      <w:tr w:rsidR="00004D6D" w:rsidRPr="00F24865" w14:paraId="7604A4CD" w14:textId="77777777" w:rsidTr="00004D6D">
        <w:trPr>
          <w:trHeight w:val="20"/>
        </w:trPr>
        <w:tc>
          <w:tcPr>
            <w:tcW w:w="2860" w:type="dxa"/>
            <w:tcBorders>
              <w:top w:val="nil"/>
              <w:left w:val="nil"/>
              <w:bottom w:val="nil"/>
              <w:right w:val="nil"/>
            </w:tcBorders>
            <w:shd w:val="clear" w:color="auto" w:fill="auto"/>
            <w:noWrap/>
            <w:vAlign w:val="bottom"/>
            <w:hideMark/>
          </w:tcPr>
          <w:p w14:paraId="0F988EE5"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GCF</w:t>
            </w:r>
          </w:p>
        </w:tc>
        <w:tc>
          <w:tcPr>
            <w:tcW w:w="1160" w:type="dxa"/>
            <w:tcBorders>
              <w:top w:val="nil"/>
              <w:left w:val="nil"/>
              <w:bottom w:val="nil"/>
              <w:right w:val="nil"/>
            </w:tcBorders>
            <w:shd w:val="clear" w:color="auto" w:fill="auto"/>
            <w:noWrap/>
            <w:vAlign w:val="bottom"/>
            <w:hideMark/>
          </w:tcPr>
          <w:p w14:paraId="6AAEA049"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-0.72+</w:t>
            </w:r>
          </w:p>
        </w:tc>
        <w:tc>
          <w:tcPr>
            <w:tcW w:w="1160" w:type="dxa"/>
            <w:tcBorders>
              <w:top w:val="nil"/>
              <w:left w:val="nil"/>
              <w:bottom w:val="nil"/>
              <w:right w:val="nil"/>
            </w:tcBorders>
            <w:shd w:val="clear" w:color="auto" w:fill="auto"/>
            <w:noWrap/>
            <w:vAlign w:val="bottom"/>
            <w:hideMark/>
          </w:tcPr>
          <w:p w14:paraId="4847FA18"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-0.04</w:t>
            </w:r>
          </w:p>
        </w:tc>
        <w:tc>
          <w:tcPr>
            <w:tcW w:w="1160" w:type="dxa"/>
            <w:tcBorders>
              <w:top w:val="nil"/>
              <w:left w:val="nil"/>
              <w:bottom w:val="nil"/>
              <w:right w:val="nil"/>
            </w:tcBorders>
            <w:shd w:val="clear" w:color="auto" w:fill="auto"/>
            <w:noWrap/>
            <w:vAlign w:val="bottom"/>
            <w:hideMark/>
          </w:tcPr>
          <w:p w14:paraId="0C5241F0"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-0.06</w:t>
            </w:r>
          </w:p>
        </w:tc>
        <w:tc>
          <w:tcPr>
            <w:tcW w:w="1160" w:type="dxa"/>
            <w:tcBorders>
              <w:top w:val="nil"/>
              <w:left w:val="nil"/>
              <w:bottom w:val="nil"/>
              <w:right w:val="nil"/>
            </w:tcBorders>
            <w:shd w:val="clear" w:color="auto" w:fill="auto"/>
            <w:noWrap/>
            <w:vAlign w:val="bottom"/>
            <w:hideMark/>
          </w:tcPr>
          <w:p w14:paraId="4AB85826"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-0.12</w:t>
            </w:r>
          </w:p>
        </w:tc>
        <w:tc>
          <w:tcPr>
            <w:tcW w:w="1160" w:type="dxa"/>
            <w:tcBorders>
              <w:top w:val="nil"/>
              <w:left w:val="nil"/>
              <w:bottom w:val="nil"/>
              <w:right w:val="nil"/>
            </w:tcBorders>
            <w:shd w:val="clear" w:color="auto" w:fill="auto"/>
            <w:noWrap/>
            <w:vAlign w:val="bottom"/>
            <w:hideMark/>
          </w:tcPr>
          <w:p w14:paraId="1D1A79FB"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1BC6534C"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22765E88"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32154BAB"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r>
      <w:tr w:rsidR="00004D6D" w:rsidRPr="00F24865" w14:paraId="56BBEB0F" w14:textId="77777777" w:rsidTr="00004D6D">
        <w:trPr>
          <w:trHeight w:val="20"/>
        </w:trPr>
        <w:tc>
          <w:tcPr>
            <w:tcW w:w="2860" w:type="dxa"/>
            <w:tcBorders>
              <w:top w:val="nil"/>
              <w:left w:val="nil"/>
              <w:bottom w:val="nil"/>
              <w:right w:val="nil"/>
            </w:tcBorders>
            <w:shd w:val="clear" w:color="auto" w:fill="auto"/>
            <w:noWrap/>
            <w:vAlign w:val="bottom"/>
            <w:hideMark/>
          </w:tcPr>
          <w:p w14:paraId="2B3349D4"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69A41F82"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(0.37)</w:t>
            </w:r>
          </w:p>
        </w:tc>
        <w:tc>
          <w:tcPr>
            <w:tcW w:w="1160" w:type="dxa"/>
            <w:tcBorders>
              <w:top w:val="nil"/>
              <w:left w:val="nil"/>
              <w:bottom w:val="nil"/>
              <w:right w:val="nil"/>
            </w:tcBorders>
            <w:shd w:val="clear" w:color="auto" w:fill="auto"/>
            <w:noWrap/>
            <w:vAlign w:val="bottom"/>
            <w:hideMark/>
          </w:tcPr>
          <w:p w14:paraId="5859A1BB"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(0.12)</w:t>
            </w:r>
          </w:p>
        </w:tc>
        <w:tc>
          <w:tcPr>
            <w:tcW w:w="1160" w:type="dxa"/>
            <w:tcBorders>
              <w:top w:val="nil"/>
              <w:left w:val="nil"/>
              <w:bottom w:val="nil"/>
              <w:right w:val="nil"/>
            </w:tcBorders>
            <w:shd w:val="clear" w:color="auto" w:fill="auto"/>
            <w:noWrap/>
            <w:vAlign w:val="bottom"/>
            <w:hideMark/>
          </w:tcPr>
          <w:p w14:paraId="019E652B"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(0.14)</w:t>
            </w:r>
          </w:p>
        </w:tc>
        <w:tc>
          <w:tcPr>
            <w:tcW w:w="1160" w:type="dxa"/>
            <w:tcBorders>
              <w:top w:val="nil"/>
              <w:left w:val="nil"/>
              <w:bottom w:val="nil"/>
              <w:right w:val="nil"/>
            </w:tcBorders>
            <w:shd w:val="clear" w:color="auto" w:fill="auto"/>
            <w:noWrap/>
            <w:vAlign w:val="bottom"/>
            <w:hideMark/>
          </w:tcPr>
          <w:p w14:paraId="349BDB1E"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(0.16)</w:t>
            </w:r>
          </w:p>
        </w:tc>
        <w:tc>
          <w:tcPr>
            <w:tcW w:w="1160" w:type="dxa"/>
            <w:tcBorders>
              <w:top w:val="nil"/>
              <w:left w:val="nil"/>
              <w:bottom w:val="nil"/>
              <w:right w:val="nil"/>
            </w:tcBorders>
            <w:shd w:val="clear" w:color="auto" w:fill="auto"/>
            <w:noWrap/>
            <w:vAlign w:val="bottom"/>
            <w:hideMark/>
          </w:tcPr>
          <w:p w14:paraId="5A31E617"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4754DDAE"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1DC92BCA"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49A1941D"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r>
      <w:tr w:rsidR="00004D6D" w:rsidRPr="00F24865" w14:paraId="0850E6E0" w14:textId="77777777" w:rsidTr="00004D6D">
        <w:trPr>
          <w:trHeight w:val="20"/>
        </w:trPr>
        <w:tc>
          <w:tcPr>
            <w:tcW w:w="2860" w:type="dxa"/>
            <w:tcBorders>
              <w:top w:val="nil"/>
              <w:left w:val="nil"/>
              <w:bottom w:val="nil"/>
              <w:right w:val="nil"/>
            </w:tcBorders>
            <w:shd w:val="clear" w:color="auto" w:fill="auto"/>
            <w:noWrap/>
            <w:vAlign w:val="bottom"/>
            <w:hideMark/>
          </w:tcPr>
          <w:p w14:paraId="02358614"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GCF*ID Proportion</w:t>
            </w:r>
          </w:p>
        </w:tc>
        <w:tc>
          <w:tcPr>
            <w:tcW w:w="1160" w:type="dxa"/>
            <w:tcBorders>
              <w:top w:val="nil"/>
              <w:left w:val="nil"/>
              <w:bottom w:val="nil"/>
              <w:right w:val="nil"/>
            </w:tcBorders>
            <w:shd w:val="clear" w:color="auto" w:fill="auto"/>
            <w:noWrap/>
            <w:vAlign w:val="bottom"/>
            <w:hideMark/>
          </w:tcPr>
          <w:p w14:paraId="5A6568C2"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r w:rsidRPr="00F24865">
              <w:rPr>
                <w:rFonts w:ascii="Times New Roman" w:eastAsia="Times New Roman" w:hAnsi="Times New Roman" w:cs="Times New Roman"/>
                <w:b/>
                <w:bCs/>
                <w:sz w:val="18"/>
                <w:szCs w:val="18"/>
                <w:lang w:val="en-US" w:eastAsia="en-GB"/>
              </w:rPr>
              <w:t>2.64*</w:t>
            </w:r>
          </w:p>
        </w:tc>
        <w:tc>
          <w:tcPr>
            <w:tcW w:w="1160" w:type="dxa"/>
            <w:tcBorders>
              <w:top w:val="nil"/>
              <w:left w:val="nil"/>
              <w:bottom w:val="nil"/>
              <w:right w:val="nil"/>
            </w:tcBorders>
            <w:shd w:val="clear" w:color="auto" w:fill="auto"/>
            <w:noWrap/>
            <w:vAlign w:val="bottom"/>
            <w:hideMark/>
          </w:tcPr>
          <w:p w14:paraId="7F70BCDB"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r w:rsidRPr="00F24865">
              <w:rPr>
                <w:rFonts w:ascii="Times New Roman" w:eastAsia="Times New Roman" w:hAnsi="Times New Roman" w:cs="Times New Roman"/>
                <w:b/>
                <w:bCs/>
                <w:sz w:val="18"/>
                <w:szCs w:val="18"/>
                <w:lang w:val="en-US" w:eastAsia="en-GB"/>
              </w:rPr>
              <w:t>0.68</w:t>
            </w:r>
          </w:p>
        </w:tc>
        <w:tc>
          <w:tcPr>
            <w:tcW w:w="1160" w:type="dxa"/>
            <w:tcBorders>
              <w:top w:val="nil"/>
              <w:left w:val="nil"/>
              <w:bottom w:val="nil"/>
              <w:right w:val="nil"/>
            </w:tcBorders>
            <w:shd w:val="clear" w:color="auto" w:fill="auto"/>
            <w:noWrap/>
            <w:vAlign w:val="bottom"/>
            <w:hideMark/>
          </w:tcPr>
          <w:p w14:paraId="230A215C"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r w:rsidRPr="00F24865">
              <w:rPr>
                <w:rFonts w:ascii="Times New Roman" w:eastAsia="Times New Roman" w:hAnsi="Times New Roman" w:cs="Times New Roman"/>
                <w:b/>
                <w:bCs/>
                <w:sz w:val="18"/>
                <w:szCs w:val="18"/>
                <w:lang w:val="en-US" w:eastAsia="en-GB"/>
              </w:rPr>
              <w:t>0.86+</w:t>
            </w:r>
          </w:p>
        </w:tc>
        <w:tc>
          <w:tcPr>
            <w:tcW w:w="1160" w:type="dxa"/>
            <w:tcBorders>
              <w:top w:val="nil"/>
              <w:left w:val="nil"/>
              <w:bottom w:val="nil"/>
              <w:right w:val="nil"/>
            </w:tcBorders>
            <w:shd w:val="clear" w:color="auto" w:fill="auto"/>
            <w:noWrap/>
            <w:vAlign w:val="bottom"/>
            <w:hideMark/>
          </w:tcPr>
          <w:p w14:paraId="56AE8D61"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r w:rsidRPr="00F24865">
              <w:rPr>
                <w:rFonts w:ascii="Times New Roman" w:eastAsia="Times New Roman" w:hAnsi="Times New Roman" w:cs="Times New Roman"/>
                <w:b/>
                <w:bCs/>
                <w:sz w:val="18"/>
                <w:szCs w:val="18"/>
                <w:lang w:val="en-US" w:eastAsia="en-GB"/>
              </w:rPr>
              <w:t>0.67</w:t>
            </w:r>
          </w:p>
        </w:tc>
        <w:tc>
          <w:tcPr>
            <w:tcW w:w="1160" w:type="dxa"/>
            <w:tcBorders>
              <w:top w:val="nil"/>
              <w:left w:val="nil"/>
              <w:bottom w:val="nil"/>
              <w:right w:val="nil"/>
            </w:tcBorders>
            <w:shd w:val="clear" w:color="auto" w:fill="auto"/>
            <w:noWrap/>
            <w:vAlign w:val="bottom"/>
            <w:hideMark/>
          </w:tcPr>
          <w:p w14:paraId="01729C9B"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p>
        </w:tc>
        <w:tc>
          <w:tcPr>
            <w:tcW w:w="1160" w:type="dxa"/>
            <w:tcBorders>
              <w:top w:val="nil"/>
              <w:left w:val="nil"/>
              <w:bottom w:val="nil"/>
              <w:right w:val="nil"/>
            </w:tcBorders>
            <w:shd w:val="clear" w:color="auto" w:fill="auto"/>
            <w:noWrap/>
            <w:vAlign w:val="bottom"/>
            <w:hideMark/>
          </w:tcPr>
          <w:p w14:paraId="24EE9C09"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p>
        </w:tc>
        <w:tc>
          <w:tcPr>
            <w:tcW w:w="1160" w:type="dxa"/>
            <w:tcBorders>
              <w:top w:val="nil"/>
              <w:left w:val="nil"/>
              <w:bottom w:val="nil"/>
              <w:right w:val="nil"/>
            </w:tcBorders>
            <w:shd w:val="clear" w:color="auto" w:fill="auto"/>
            <w:noWrap/>
            <w:vAlign w:val="bottom"/>
            <w:hideMark/>
          </w:tcPr>
          <w:p w14:paraId="70E4C1CF"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12EC24EA"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r>
      <w:tr w:rsidR="00004D6D" w:rsidRPr="00F24865" w14:paraId="176C8B07" w14:textId="77777777" w:rsidTr="00004D6D">
        <w:trPr>
          <w:trHeight w:val="20"/>
        </w:trPr>
        <w:tc>
          <w:tcPr>
            <w:tcW w:w="2860" w:type="dxa"/>
            <w:tcBorders>
              <w:top w:val="nil"/>
              <w:left w:val="nil"/>
              <w:bottom w:val="nil"/>
              <w:right w:val="nil"/>
            </w:tcBorders>
            <w:shd w:val="clear" w:color="auto" w:fill="auto"/>
            <w:noWrap/>
            <w:vAlign w:val="bottom"/>
            <w:hideMark/>
          </w:tcPr>
          <w:p w14:paraId="22B5C5E4"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32757D3E"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(1.10)</w:t>
            </w:r>
          </w:p>
        </w:tc>
        <w:tc>
          <w:tcPr>
            <w:tcW w:w="1160" w:type="dxa"/>
            <w:tcBorders>
              <w:top w:val="nil"/>
              <w:left w:val="nil"/>
              <w:bottom w:val="nil"/>
              <w:right w:val="nil"/>
            </w:tcBorders>
            <w:shd w:val="clear" w:color="auto" w:fill="auto"/>
            <w:noWrap/>
            <w:vAlign w:val="bottom"/>
            <w:hideMark/>
          </w:tcPr>
          <w:p w14:paraId="60527CF4"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(0.54)</w:t>
            </w:r>
          </w:p>
        </w:tc>
        <w:tc>
          <w:tcPr>
            <w:tcW w:w="1160" w:type="dxa"/>
            <w:tcBorders>
              <w:top w:val="nil"/>
              <w:left w:val="nil"/>
              <w:bottom w:val="nil"/>
              <w:right w:val="nil"/>
            </w:tcBorders>
            <w:shd w:val="clear" w:color="auto" w:fill="auto"/>
            <w:noWrap/>
            <w:vAlign w:val="bottom"/>
            <w:hideMark/>
          </w:tcPr>
          <w:p w14:paraId="579076C7"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(0.47)</w:t>
            </w:r>
          </w:p>
        </w:tc>
        <w:tc>
          <w:tcPr>
            <w:tcW w:w="1160" w:type="dxa"/>
            <w:tcBorders>
              <w:top w:val="nil"/>
              <w:left w:val="nil"/>
              <w:bottom w:val="nil"/>
              <w:right w:val="nil"/>
            </w:tcBorders>
            <w:shd w:val="clear" w:color="auto" w:fill="auto"/>
            <w:noWrap/>
            <w:vAlign w:val="bottom"/>
            <w:hideMark/>
          </w:tcPr>
          <w:p w14:paraId="5C299DD6"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(0.60)</w:t>
            </w:r>
          </w:p>
        </w:tc>
        <w:tc>
          <w:tcPr>
            <w:tcW w:w="1160" w:type="dxa"/>
            <w:tcBorders>
              <w:top w:val="nil"/>
              <w:left w:val="nil"/>
              <w:bottom w:val="nil"/>
              <w:right w:val="nil"/>
            </w:tcBorders>
            <w:shd w:val="clear" w:color="auto" w:fill="auto"/>
            <w:noWrap/>
            <w:vAlign w:val="bottom"/>
            <w:hideMark/>
          </w:tcPr>
          <w:p w14:paraId="43990A03"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p>
        </w:tc>
        <w:tc>
          <w:tcPr>
            <w:tcW w:w="1160" w:type="dxa"/>
            <w:tcBorders>
              <w:top w:val="nil"/>
              <w:left w:val="nil"/>
              <w:bottom w:val="nil"/>
              <w:right w:val="nil"/>
            </w:tcBorders>
            <w:shd w:val="clear" w:color="auto" w:fill="auto"/>
            <w:noWrap/>
            <w:vAlign w:val="bottom"/>
            <w:hideMark/>
          </w:tcPr>
          <w:p w14:paraId="6121E4D0"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p>
        </w:tc>
        <w:tc>
          <w:tcPr>
            <w:tcW w:w="1160" w:type="dxa"/>
            <w:tcBorders>
              <w:top w:val="nil"/>
              <w:left w:val="nil"/>
              <w:bottom w:val="nil"/>
              <w:right w:val="nil"/>
            </w:tcBorders>
            <w:shd w:val="clear" w:color="auto" w:fill="auto"/>
            <w:noWrap/>
            <w:vAlign w:val="bottom"/>
            <w:hideMark/>
          </w:tcPr>
          <w:p w14:paraId="6C53E397"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694F0480"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r>
      <w:tr w:rsidR="00004D6D" w:rsidRPr="00F24865" w14:paraId="7A2104B8" w14:textId="77777777" w:rsidTr="00004D6D">
        <w:trPr>
          <w:trHeight w:val="20"/>
        </w:trPr>
        <w:tc>
          <w:tcPr>
            <w:tcW w:w="2860" w:type="dxa"/>
            <w:tcBorders>
              <w:top w:val="nil"/>
              <w:left w:val="nil"/>
              <w:bottom w:val="nil"/>
              <w:right w:val="nil"/>
            </w:tcBorders>
            <w:shd w:val="clear" w:color="auto" w:fill="auto"/>
            <w:noWrap/>
            <w:vAlign w:val="bottom"/>
            <w:hideMark/>
          </w:tcPr>
          <w:p w14:paraId="3A1E4DEE"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ID Proportion</w:t>
            </w:r>
          </w:p>
        </w:tc>
        <w:tc>
          <w:tcPr>
            <w:tcW w:w="1160" w:type="dxa"/>
            <w:tcBorders>
              <w:top w:val="nil"/>
              <w:left w:val="nil"/>
              <w:bottom w:val="nil"/>
              <w:right w:val="nil"/>
            </w:tcBorders>
            <w:shd w:val="clear" w:color="auto" w:fill="auto"/>
            <w:noWrap/>
            <w:vAlign w:val="bottom"/>
            <w:hideMark/>
          </w:tcPr>
          <w:p w14:paraId="37A07AC1"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-12.05**</w:t>
            </w:r>
          </w:p>
        </w:tc>
        <w:tc>
          <w:tcPr>
            <w:tcW w:w="1160" w:type="dxa"/>
            <w:tcBorders>
              <w:top w:val="nil"/>
              <w:left w:val="nil"/>
              <w:bottom w:val="nil"/>
              <w:right w:val="nil"/>
            </w:tcBorders>
            <w:shd w:val="clear" w:color="auto" w:fill="auto"/>
            <w:noWrap/>
            <w:vAlign w:val="bottom"/>
            <w:hideMark/>
          </w:tcPr>
          <w:p w14:paraId="2292090B"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-0.60</w:t>
            </w:r>
          </w:p>
        </w:tc>
        <w:tc>
          <w:tcPr>
            <w:tcW w:w="1160" w:type="dxa"/>
            <w:tcBorders>
              <w:top w:val="nil"/>
              <w:left w:val="nil"/>
              <w:bottom w:val="nil"/>
              <w:right w:val="nil"/>
            </w:tcBorders>
            <w:shd w:val="clear" w:color="auto" w:fill="auto"/>
            <w:noWrap/>
            <w:vAlign w:val="bottom"/>
            <w:hideMark/>
          </w:tcPr>
          <w:p w14:paraId="5771B70C"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-8.36+</w:t>
            </w:r>
          </w:p>
        </w:tc>
        <w:tc>
          <w:tcPr>
            <w:tcW w:w="1160" w:type="dxa"/>
            <w:tcBorders>
              <w:top w:val="nil"/>
              <w:left w:val="nil"/>
              <w:bottom w:val="nil"/>
              <w:right w:val="nil"/>
            </w:tcBorders>
            <w:shd w:val="clear" w:color="auto" w:fill="auto"/>
            <w:noWrap/>
            <w:vAlign w:val="bottom"/>
            <w:hideMark/>
          </w:tcPr>
          <w:p w14:paraId="40882F36"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-6.61</w:t>
            </w:r>
          </w:p>
        </w:tc>
        <w:tc>
          <w:tcPr>
            <w:tcW w:w="1160" w:type="dxa"/>
            <w:tcBorders>
              <w:top w:val="nil"/>
              <w:left w:val="nil"/>
              <w:bottom w:val="nil"/>
              <w:right w:val="nil"/>
            </w:tcBorders>
            <w:shd w:val="clear" w:color="auto" w:fill="auto"/>
            <w:noWrap/>
            <w:vAlign w:val="bottom"/>
            <w:hideMark/>
          </w:tcPr>
          <w:p w14:paraId="4387FB04"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52B59E78"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1C8D4F84"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74304055"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r>
      <w:tr w:rsidR="00004D6D" w:rsidRPr="00F24865" w14:paraId="668C3059" w14:textId="77777777" w:rsidTr="00004D6D">
        <w:trPr>
          <w:trHeight w:val="20"/>
        </w:trPr>
        <w:tc>
          <w:tcPr>
            <w:tcW w:w="2860" w:type="dxa"/>
            <w:tcBorders>
              <w:top w:val="nil"/>
              <w:left w:val="nil"/>
              <w:bottom w:val="nil"/>
              <w:right w:val="nil"/>
            </w:tcBorders>
            <w:shd w:val="clear" w:color="auto" w:fill="auto"/>
            <w:noWrap/>
            <w:vAlign w:val="bottom"/>
            <w:hideMark/>
          </w:tcPr>
          <w:p w14:paraId="5FBF132F"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404FD428"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(3.67)</w:t>
            </w:r>
          </w:p>
        </w:tc>
        <w:tc>
          <w:tcPr>
            <w:tcW w:w="1160" w:type="dxa"/>
            <w:tcBorders>
              <w:top w:val="nil"/>
              <w:left w:val="nil"/>
              <w:bottom w:val="nil"/>
              <w:right w:val="nil"/>
            </w:tcBorders>
            <w:shd w:val="clear" w:color="auto" w:fill="auto"/>
            <w:noWrap/>
            <w:vAlign w:val="bottom"/>
            <w:hideMark/>
          </w:tcPr>
          <w:p w14:paraId="518AD374"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(0.53)</w:t>
            </w:r>
          </w:p>
        </w:tc>
        <w:tc>
          <w:tcPr>
            <w:tcW w:w="1160" w:type="dxa"/>
            <w:tcBorders>
              <w:top w:val="nil"/>
              <w:left w:val="nil"/>
              <w:bottom w:val="nil"/>
              <w:right w:val="nil"/>
            </w:tcBorders>
            <w:shd w:val="clear" w:color="auto" w:fill="auto"/>
            <w:noWrap/>
            <w:vAlign w:val="bottom"/>
            <w:hideMark/>
          </w:tcPr>
          <w:p w14:paraId="55DEE993"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(4.90)</w:t>
            </w:r>
          </w:p>
        </w:tc>
        <w:tc>
          <w:tcPr>
            <w:tcW w:w="1160" w:type="dxa"/>
            <w:tcBorders>
              <w:top w:val="nil"/>
              <w:left w:val="nil"/>
              <w:bottom w:val="nil"/>
              <w:right w:val="nil"/>
            </w:tcBorders>
            <w:shd w:val="clear" w:color="auto" w:fill="auto"/>
            <w:noWrap/>
            <w:vAlign w:val="bottom"/>
            <w:hideMark/>
          </w:tcPr>
          <w:p w14:paraId="63B37D79"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(6.43)</w:t>
            </w:r>
          </w:p>
        </w:tc>
        <w:tc>
          <w:tcPr>
            <w:tcW w:w="1160" w:type="dxa"/>
            <w:tcBorders>
              <w:top w:val="nil"/>
              <w:left w:val="nil"/>
              <w:bottom w:val="nil"/>
              <w:right w:val="nil"/>
            </w:tcBorders>
            <w:shd w:val="clear" w:color="auto" w:fill="auto"/>
            <w:noWrap/>
            <w:vAlign w:val="bottom"/>
            <w:hideMark/>
          </w:tcPr>
          <w:p w14:paraId="77E17953"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1FF85459"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14C8A317"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70256B24"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r>
      <w:tr w:rsidR="00004D6D" w:rsidRPr="00F24865" w14:paraId="7C3CF535" w14:textId="77777777" w:rsidTr="00004D6D">
        <w:trPr>
          <w:trHeight w:val="20"/>
        </w:trPr>
        <w:tc>
          <w:tcPr>
            <w:tcW w:w="2860" w:type="dxa"/>
            <w:tcBorders>
              <w:top w:val="nil"/>
              <w:left w:val="nil"/>
              <w:bottom w:val="nil"/>
              <w:right w:val="nil"/>
            </w:tcBorders>
            <w:shd w:val="clear" w:color="auto" w:fill="auto"/>
            <w:noWrap/>
            <w:vAlign w:val="bottom"/>
            <w:hideMark/>
          </w:tcPr>
          <w:p w14:paraId="2B27B24E"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GCF*foreign*indep.</w:t>
            </w:r>
          </w:p>
        </w:tc>
        <w:tc>
          <w:tcPr>
            <w:tcW w:w="1160" w:type="dxa"/>
            <w:tcBorders>
              <w:top w:val="nil"/>
              <w:left w:val="nil"/>
              <w:bottom w:val="nil"/>
              <w:right w:val="nil"/>
            </w:tcBorders>
            <w:shd w:val="clear" w:color="auto" w:fill="auto"/>
            <w:noWrap/>
            <w:vAlign w:val="bottom"/>
            <w:hideMark/>
          </w:tcPr>
          <w:p w14:paraId="2CF02A5C"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1495E4F7"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557D8D87"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4CAB5DEB"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653ECD19"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1.15**</w:t>
            </w:r>
          </w:p>
        </w:tc>
        <w:tc>
          <w:tcPr>
            <w:tcW w:w="1160" w:type="dxa"/>
            <w:tcBorders>
              <w:top w:val="nil"/>
              <w:left w:val="nil"/>
              <w:bottom w:val="nil"/>
              <w:right w:val="nil"/>
            </w:tcBorders>
            <w:shd w:val="clear" w:color="auto" w:fill="auto"/>
            <w:noWrap/>
            <w:vAlign w:val="bottom"/>
            <w:hideMark/>
          </w:tcPr>
          <w:p w14:paraId="354F11EC"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1.38**</w:t>
            </w:r>
          </w:p>
        </w:tc>
        <w:tc>
          <w:tcPr>
            <w:tcW w:w="1160" w:type="dxa"/>
            <w:tcBorders>
              <w:top w:val="nil"/>
              <w:left w:val="nil"/>
              <w:bottom w:val="nil"/>
              <w:right w:val="nil"/>
            </w:tcBorders>
            <w:shd w:val="clear" w:color="auto" w:fill="auto"/>
            <w:noWrap/>
            <w:vAlign w:val="bottom"/>
            <w:hideMark/>
          </w:tcPr>
          <w:p w14:paraId="356F5C68"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0.69***</w:t>
            </w:r>
          </w:p>
        </w:tc>
        <w:tc>
          <w:tcPr>
            <w:tcW w:w="1160" w:type="dxa"/>
            <w:tcBorders>
              <w:top w:val="nil"/>
              <w:left w:val="nil"/>
              <w:bottom w:val="nil"/>
              <w:right w:val="nil"/>
            </w:tcBorders>
            <w:shd w:val="clear" w:color="auto" w:fill="auto"/>
            <w:noWrap/>
            <w:vAlign w:val="bottom"/>
            <w:hideMark/>
          </w:tcPr>
          <w:p w14:paraId="0C38DB2D"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0.48***</w:t>
            </w:r>
          </w:p>
        </w:tc>
      </w:tr>
      <w:tr w:rsidR="00004D6D" w:rsidRPr="00F24865" w14:paraId="1EAB9906" w14:textId="77777777" w:rsidTr="00004D6D">
        <w:trPr>
          <w:trHeight w:val="20"/>
        </w:trPr>
        <w:tc>
          <w:tcPr>
            <w:tcW w:w="2860" w:type="dxa"/>
            <w:tcBorders>
              <w:top w:val="nil"/>
              <w:left w:val="nil"/>
              <w:bottom w:val="nil"/>
              <w:right w:val="nil"/>
            </w:tcBorders>
            <w:shd w:val="clear" w:color="auto" w:fill="auto"/>
            <w:noWrap/>
            <w:vAlign w:val="bottom"/>
            <w:hideMark/>
          </w:tcPr>
          <w:p w14:paraId="4997E45F"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6320DC90"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7EBA6829"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503AE3A8"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7E3C7A1F"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7125EC26"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(0.38)</w:t>
            </w:r>
          </w:p>
        </w:tc>
        <w:tc>
          <w:tcPr>
            <w:tcW w:w="1160" w:type="dxa"/>
            <w:tcBorders>
              <w:top w:val="nil"/>
              <w:left w:val="nil"/>
              <w:bottom w:val="nil"/>
              <w:right w:val="nil"/>
            </w:tcBorders>
            <w:shd w:val="clear" w:color="auto" w:fill="auto"/>
            <w:noWrap/>
            <w:vAlign w:val="bottom"/>
            <w:hideMark/>
          </w:tcPr>
          <w:p w14:paraId="56E1556E"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(0.39)</w:t>
            </w:r>
          </w:p>
        </w:tc>
        <w:tc>
          <w:tcPr>
            <w:tcW w:w="1160" w:type="dxa"/>
            <w:tcBorders>
              <w:top w:val="nil"/>
              <w:left w:val="nil"/>
              <w:bottom w:val="nil"/>
              <w:right w:val="nil"/>
            </w:tcBorders>
            <w:shd w:val="clear" w:color="auto" w:fill="auto"/>
            <w:noWrap/>
            <w:vAlign w:val="bottom"/>
            <w:hideMark/>
          </w:tcPr>
          <w:p w14:paraId="1D973EE5"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(0.09)</w:t>
            </w:r>
          </w:p>
        </w:tc>
        <w:tc>
          <w:tcPr>
            <w:tcW w:w="1160" w:type="dxa"/>
            <w:tcBorders>
              <w:top w:val="nil"/>
              <w:left w:val="nil"/>
              <w:bottom w:val="nil"/>
              <w:right w:val="nil"/>
            </w:tcBorders>
            <w:shd w:val="clear" w:color="auto" w:fill="auto"/>
            <w:noWrap/>
            <w:vAlign w:val="bottom"/>
            <w:hideMark/>
          </w:tcPr>
          <w:p w14:paraId="4E549A2D"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(0.09)</w:t>
            </w:r>
          </w:p>
        </w:tc>
      </w:tr>
      <w:tr w:rsidR="00004D6D" w:rsidRPr="00F24865" w14:paraId="73615FBD" w14:textId="77777777" w:rsidTr="00004D6D">
        <w:trPr>
          <w:trHeight w:val="20"/>
        </w:trPr>
        <w:tc>
          <w:tcPr>
            <w:tcW w:w="2860" w:type="dxa"/>
            <w:tcBorders>
              <w:top w:val="nil"/>
              <w:left w:val="nil"/>
              <w:bottom w:val="nil"/>
              <w:right w:val="nil"/>
            </w:tcBorders>
            <w:shd w:val="clear" w:color="auto" w:fill="auto"/>
            <w:noWrap/>
            <w:vAlign w:val="bottom"/>
            <w:hideMark/>
          </w:tcPr>
          <w:p w14:paraId="381A4B81"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GCF*foreign*insider</w:t>
            </w:r>
          </w:p>
        </w:tc>
        <w:tc>
          <w:tcPr>
            <w:tcW w:w="1160" w:type="dxa"/>
            <w:tcBorders>
              <w:top w:val="nil"/>
              <w:left w:val="nil"/>
              <w:bottom w:val="nil"/>
              <w:right w:val="nil"/>
            </w:tcBorders>
            <w:shd w:val="clear" w:color="auto" w:fill="auto"/>
            <w:noWrap/>
            <w:vAlign w:val="bottom"/>
            <w:hideMark/>
          </w:tcPr>
          <w:p w14:paraId="63CF62E9"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261276B0"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2D6002F3"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575DE2EB"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47D72584"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23C7121F"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270EE895"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0.52***</w:t>
            </w:r>
          </w:p>
        </w:tc>
        <w:tc>
          <w:tcPr>
            <w:tcW w:w="1160" w:type="dxa"/>
            <w:tcBorders>
              <w:top w:val="nil"/>
              <w:left w:val="nil"/>
              <w:bottom w:val="nil"/>
              <w:right w:val="nil"/>
            </w:tcBorders>
            <w:shd w:val="clear" w:color="auto" w:fill="auto"/>
            <w:noWrap/>
            <w:vAlign w:val="bottom"/>
            <w:hideMark/>
          </w:tcPr>
          <w:p w14:paraId="01FD7440"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0.00</w:t>
            </w:r>
          </w:p>
        </w:tc>
      </w:tr>
      <w:tr w:rsidR="00004D6D" w:rsidRPr="00F24865" w14:paraId="55EFA0B4" w14:textId="77777777" w:rsidTr="00004D6D">
        <w:trPr>
          <w:trHeight w:val="20"/>
        </w:trPr>
        <w:tc>
          <w:tcPr>
            <w:tcW w:w="2860" w:type="dxa"/>
            <w:tcBorders>
              <w:top w:val="nil"/>
              <w:left w:val="nil"/>
              <w:bottom w:val="nil"/>
              <w:right w:val="nil"/>
            </w:tcBorders>
            <w:shd w:val="clear" w:color="auto" w:fill="auto"/>
            <w:noWrap/>
            <w:vAlign w:val="bottom"/>
            <w:hideMark/>
          </w:tcPr>
          <w:p w14:paraId="79A2C11B"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73D72BDB"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20BA64ED"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29BE8F06"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0E819221"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1BCFB144"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09D036CD"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13D319B0"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(0.09)</w:t>
            </w:r>
          </w:p>
        </w:tc>
        <w:tc>
          <w:tcPr>
            <w:tcW w:w="1160" w:type="dxa"/>
            <w:tcBorders>
              <w:top w:val="nil"/>
              <w:left w:val="nil"/>
              <w:bottom w:val="nil"/>
              <w:right w:val="nil"/>
            </w:tcBorders>
            <w:shd w:val="clear" w:color="auto" w:fill="auto"/>
            <w:noWrap/>
            <w:vAlign w:val="bottom"/>
            <w:hideMark/>
          </w:tcPr>
          <w:p w14:paraId="248D25CB"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(0.00)</w:t>
            </w:r>
          </w:p>
        </w:tc>
      </w:tr>
      <w:tr w:rsidR="00004D6D" w:rsidRPr="00F24865" w14:paraId="12C40A92" w14:textId="77777777" w:rsidTr="00004D6D">
        <w:trPr>
          <w:trHeight w:val="20"/>
        </w:trPr>
        <w:tc>
          <w:tcPr>
            <w:tcW w:w="2860" w:type="dxa"/>
            <w:tcBorders>
              <w:top w:val="nil"/>
              <w:left w:val="nil"/>
              <w:bottom w:val="nil"/>
              <w:right w:val="nil"/>
            </w:tcBorders>
            <w:shd w:val="clear" w:color="auto" w:fill="auto"/>
            <w:noWrap/>
            <w:vAlign w:val="bottom"/>
            <w:hideMark/>
          </w:tcPr>
          <w:p w14:paraId="64F50FED"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GCF*state*indep.</w:t>
            </w:r>
          </w:p>
        </w:tc>
        <w:tc>
          <w:tcPr>
            <w:tcW w:w="1160" w:type="dxa"/>
            <w:tcBorders>
              <w:top w:val="nil"/>
              <w:left w:val="nil"/>
              <w:bottom w:val="nil"/>
              <w:right w:val="nil"/>
            </w:tcBorders>
            <w:shd w:val="clear" w:color="auto" w:fill="auto"/>
            <w:noWrap/>
            <w:vAlign w:val="bottom"/>
            <w:hideMark/>
          </w:tcPr>
          <w:p w14:paraId="2870DE93"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0D178153"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59C91169"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p>
        </w:tc>
        <w:tc>
          <w:tcPr>
            <w:tcW w:w="1160" w:type="dxa"/>
            <w:tcBorders>
              <w:top w:val="nil"/>
              <w:left w:val="nil"/>
              <w:bottom w:val="nil"/>
              <w:right w:val="nil"/>
            </w:tcBorders>
            <w:shd w:val="clear" w:color="auto" w:fill="auto"/>
            <w:noWrap/>
            <w:vAlign w:val="bottom"/>
            <w:hideMark/>
          </w:tcPr>
          <w:p w14:paraId="11ADD532"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p>
        </w:tc>
        <w:tc>
          <w:tcPr>
            <w:tcW w:w="1160" w:type="dxa"/>
            <w:tcBorders>
              <w:top w:val="nil"/>
              <w:left w:val="nil"/>
              <w:bottom w:val="nil"/>
              <w:right w:val="nil"/>
            </w:tcBorders>
            <w:shd w:val="clear" w:color="auto" w:fill="auto"/>
            <w:noWrap/>
            <w:vAlign w:val="bottom"/>
            <w:hideMark/>
          </w:tcPr>
          <w:p w14:paraId="54D88FCB"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r w:rsidRPr="00F24865">
              <w:rPr>
                <w:rFonts w:ascii="Times New Roman" w:eastAsia="Times New Roman" w:hAnsi="Times New Roman" w:cs="Times New Roman"/>
                <w:b/>
                <w:bCs/>
                <w:sz w:val="18"/>
                <w:szCs w:val="18"/>
                <w:lang w:val="en-US" w:eastAsia="en-GB"/>
              </w:rPr>
              <w:t>0.46+</w:t>
            </w:r>
          </w:p>
        </w:tc>
        <w:tc>
          <w:tcPr>
            <w:tcW w:w="1160" w:type="dxa"/>
            <w:tcBorders>
              <w:top w:val="nil"/>
              <w:left w:val="nil"/>
              <w:bottom w:val="nil"/>
              <w:right w:val="nil"/>
            </w:tcBorders>
            <w:shd w:val="clear" w:color="auto" w:fill="auto"/>
            <w:noWrap/>
            <w:vAlign w:val="bottom"/>
            <w:hideMark/>
          </w:tcPr>
          <w:p w14:paraId="1311342B"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r w:rsidRPr="00F24865">
              <w:rPr>
                <w:rFonts w:ascii="Times New Roman" w:eastAsia="Times New Roman" w:hAnsi="Times New Roman" w:cs="Times New Roman"/>
                <w:b/>
                <w:bCs/>
                <w:sz w:val="18"/>
                <w:szCs w:val="18"/>
                <w:lang w:val="en-US" w:eastAsia="en-GB"/>
              </w:rPr>
              <w:t>0.46*</w:t>
            </w:r>
          </w:p>
        </w:tc>
        <w:tc>
          <w:tcPr>
            <w:tcW w:w="1160" w:type="dxa"/>
            <w:tcBorders>
              <w:top w:val="nil"/>
              <w:left w:val="nil"/>
              <w:bottom w:val="nil"/>
              <w:right w:val="nil"/>
            </w:tcBorders>
            <w:shd w:val="clear" w:color="auto" w:fill="auto"/>
            <w:noWrap/>
            <w:vAlign w:val="bottom"/>
            <w:hideMark/>
          </w:tcPr>
          <w:p w14:paraId="160B0BCC"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r w:rsidRPr="00F24865">
              <w:rPr>
                <w:rFonts w:ascii="Times New Roman" w:eastAsia="Times New Roman" w:hAnsi="Times New Roman" w:cs="Times New Roman"/>
                <w:b/>
                <w:bCs/>
                <w:sz w:val="18"/>
                <w:szCs w:val="18"/>
                <w:lang w:val="en-US" w:eastAsia="en-GB"/>
              </w:rPr>
              <w:t>0.72***</w:t>
            </w:r>
          </w:p>
        </w:tc>
        <w:tc>
          <w:tcPr>
            <w:tcW w:w="1160" w:type="dxa"/>
            <w:tcBorders>
              <w:top w:val="nil"/>
              <w:left w:val="nil"/>
              <w:bottom w:val="nil"/>
              <w:right w:val="nil"/>
            </w:tcBorders>
            <w:shd w:val="clear" w:color="auto" w:fill="auto"/>
            <w:noWrap/>
            <w:vAlign w:val="bottom"/>
            <w:hideMark/>
          </w:tcPr>
          <w:p w14:paraId="40D05119"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r w:rsidRPr="00F24865">
              <w:rPr>
                <w:rFonts w:ascii="Times New Roman" w:eastAsia="Times New Roman" w:hAnsi="Times New Roman" w:cs="Times New Roman"/>
                <w:b/>
                <w:bCs/>
                <w:sz w:val="18"/>
                <w:szCs w:val="18"/>
                <w:lang w:val="en-US" w:eastAsia="en-GB"/>
              </w:rPr>
              <w:t>0.52***</w:t>
            </w:r>
          </w:p>
        </w:tc>
      </w:tr>
      <w:tr w:rsidR="00004D6D" w:rsidRPr="00F24865" w14:paraId="57384B03" w14:textId="77777777" w:rsidTr="00004D6D">
        <w:trPr>
          <w:trHeight w:val="20"/>
        </w:trPr>
        <w:tc>
          <w:tcPr>
            <w:tcW w:w="2860" w:type="dxa"/>
            <w:tcBorders>
              <w:top w:val="nil"/>
              <w:left w:val="nil"/>
              <w:bottom w:val="nil"/>
              <w:right w:val="nil"/>
            </w:tcBorders>
            <w:shd w:val="clear" w:color="auto" w:fill="auto"/>
            <w:noWrap/>
            <w:vAlign w:val="bottom"/>
            <w:hideMark/>
          </w:tcPr>
          <w:p w14:paraId="05D63864"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063E1465"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16A125C9"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3F33413F"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p>
        </w:tc>
        <w:tc>
          <w:tcPr>
            <w:tcW w:w="1160" w:type="dxa"/>
            <w:tcBorders>
              <w:top w:val="nil"/>
              <w:left w:val="nil"/>
              <w:bottom w:val="nil"/>
              <w:right w:val="nil"/>
            </w:tcBorders>
            <w:shd w:val="clear" w:color="auto" w:fill="auto"/>
            <w:noWrap/>
            <w:vAlign w:val="bottom"/>
            <w:hideMark/>
          </w:tcPr>
          <w:p w14:paraId="2C5AF4B1"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p>
        </w:tc>
        <w:tc>
          <w:tcPr>
            <w:tcW w:w="1160" w:type="dxa"/>
            <w:tcBorders>
              <w:top w:val="nil"/>
              <w:left w:val="nil"/>
              <w:bottom w:val="nil"/>
              <w:right w:val="nil"/>
            </w:tcBorders>
            <w:shd w:val="clear" w:color="auto" w:fill="auto"/>
            <w:noWrap/>
            <w:vAlign w:val="bottom"/>
            <w:hideMark/>
          </w:tcPr>
          <w:p w14:paraId="3869E5DF"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(0.24)</w:t>
            </w:r>
          </w:p>
        </w:tc>
        <w:tc>
          <w:tcPr>
            <w:tcW w:w="1160" w:type="dxa"/>
            <w:tcBorders>
              <w:top w:val="nil"/>
              <w:left w:val="nil"/>
              <w:bottom w:val="nil"/>
              <w:right w:val="nil"/>
            </w:tcBorders>
            <w:shd w:val="clear" w:color="auto" w:fill="auto"/>
            <w:noWrap/>
            <w:vAlign w:val="bottom"/>
            <w:hideMark/>
          </w:tcPr>
          <w:p w14:paraId="51A45EFF"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(0.18)</w:t>
            </w:r>
          </w:p>
        </w:tc>
        <w:tc>
          <w:tcPr>
            <w:tcW w:w="1160" w:type="dxa"/>
            <w:tcBorders>
              <w:top w:val="nil"/>
              <w:left w:val="nil"/>
              <w:bottom w:val="nil"/>
              <w:right w:val="nil"/>
            </w:tcBorders>
            <w:shd w:val="clear" w:color="auto" w:fill="auto"/>
            <w:noWrap/>
            <w:vAlign w:val="bottom"/>
            <w:hideMark/>
          </w:tcPr>
          <w:p w14:paraId="29DD4550"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(0.10)</w:t>
            </w:r>
          </w:p>
        </w:tc>
        <w:tc>
          <w:tcPr>
            <w:tcW w:w="1160" w:type="dxa"/>
            <w:tcBorders>
              <w:top w:val="nil"/>
              <w:left w:val="nil"/>
              <w:bottom w:val="nil"/>
              <w:right w:val="nil"/>
            </w:tcBorders>
            <w:shd w:val="clear" w:color="auto" w:fill="auto"/>
            <w:noWrap/>
            <w:vAlign w:val="bottom"/>
            <w:hideMark/>
          </w:tcPr>
          <w:p w14:paraId="28B8DE63"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(0.10)</w:t>
            </w:r>
          </w:p>
        </w:tc>
      </w:tr>
      <w:tr w:rsidR="00004D6D" w:rsidRPr="00F24865" w14:paraId="439EF572" w14:textId="77777777" w:rsidTr="00004D6D">
        <w:trPr>
          <w:trHeight w:val="20"/>
        </w:trPr>
        <w:tc>
          <w:tcPr>
            <w:tcW w:w="2860" w:type="dxa"/>
            <w:tcBorders>
              <w:top w:val="nil"/>
              <w:left w:val="nil"/>
              <w:bottom w:val="nil"/>
              <w:right w:val="nil"/>
            </w:tcBorders>
            <w:shd w:val="clear" w:color="auto" w:fill="auto"/>
            <w:noWrap/>
            <w:vAlign w:val="bottom"/>
            <w:hideMark/>
          </w:tcPr>
          <w:p w14:paraId="25A2A422"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GCF*state*insider</w:t>
            </w:r>
          </w:p>
        </w:tc>
        <w:tc>
          <w:tcPr>
            <w:tcW w:w="1160" w:type="dxa"/>
            <w:tcBorders>
              <w:top w:val="nil"/>
              <w:left w:val="nil"/>
              <w:bottom w:val="nil"/>
              <w:right w:val="nil"/>
            </w:tcBorders>
            <w:shd w:val="clear" w:color="auto" w:fill="auto"/>
            <w:noWrap/>
            <w:vAlign w:val="bottom"/>
            <w:hideMark/>
          </w:tcPr>
          <w:p w14:paraId="6B7F715C"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132CBB6E"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361F18BE"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62050A30"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7664B31E"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-0.02</w:t>
            </w:r>
          </w:p>
        </w:tc>
        <w:tc>
          <w:tcPr>
            <w:tcW w:w="1160" w:type="dxa"/>
            <w:tcBorders>
              <w:top w:val="nil"/>
              <w:left w:val="nil"/>
              <w:bottom w:val="nil"/>
              <w:right w:val="nil"/>
            </w:tcBorders>
            <w:shd w:val="clear" w:color="auto" w:fill="auto"/>
            <w:noWrap/>
            <w:vAlign w:val="bottom"/>
            <w:hideMark/>
          </w:tcPr>
          <w:p w14:paraId="10388461"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-0.18+</w:t>
            </w:r>
          </w:p>
        </w:tc>
        <w:tc>
          <w:tcPr>
            <w:tcW w:w="1160" w:type="dxa"/>
            <w:tcBorders>
              <w:top w:val="nil"/>
              <w:left w:val="nil"/>
              <w:bottom w:val="nil"/>
              <w:right w:val="nil"/>
            </w:tcBorders>
            <w:shd w:val="clear" w:color="auto" w:fill="auto"/>
            <w:noWrap/>
            <w:vAlign w:val="bottom"/>
            <w:hideMark/>
          </w:tcPr>
          <w:p w14:paraId="633B4817"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0.70***</w:t>
            </w:r>
          </w:p>
        </w:tc>
        <w:tc>
          <w:tcPr>
            <w:tcW w:w="1160" w:type="dxa"/>
            <w:tcBorders>
              <w:top w:val="nil"/>
              <w:left w:val="nil"/>
              <w:bottom w:val="nil"/>
              <w:right w:val="nil"/>
            </w:tcBorders>
            <w:shd w:val="clear" w:color="auto" w:fill="auto"/>
            <w:noWrap/>
            <w:vAlign w:val="bottom"/>
            <w:hideMark/>
          </w:tcPr>
          <w:p w14:paraId="744985CD"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0.49***</w:t>
            </w:r>
          </w:p>
        </w:tc>
      </w:tr>
      <w:tr w:rsidR="00004D6D" w:rsidRPr="00F24865" w14:paraId="5BDE8CD4" w14:textId="77777777" w:rsidTr="00004D6D">
        <w:trPr>
          <w:trHeight w:val="20"/>
        </w:trPr>
        <w:tc>
          <w:tcPr>
            <w:tcW w:w="2860" w:type="dxa"/>
            <w:tcBorders>
              <w:top w:val="nil"/>
              <w:left w:val="nil"/>
              <w:bottom w:val="nil"/>
              <w:right w:val="nil"/>
            </w:tcBorders>
            <w:shd w:val="clear" w:color="auto" w:fill="auto"/>
            <w:noWrap/>
            <w:vAlign w:val="bottom"/>
            <w:hideMark/>
          </w:tcPr>
          <w:p w14:paraId="443AE683"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22AA1019"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7138671F"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1BD8FA83"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6E0F3CF1"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59A1E315"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(0.14)</w:t>
            </w:r>
          </w:p>
        </w:tc>
        <w:tc>
          <w:tcPr>
            <w:tcW w:w="1160" w:type="dxa"/>
            <w:tcBorders>
              <w:top w:val="nil"/>
              <w:left w:val="nil"/>
              <w:bottom w:val="nil"/>
              <w:right w:val="nil"/>
            </w:tcBorders>
            <w:shd w:val="clear" w:color="auto" w:fill="auto"/>
            <w:noWrap/>
            <w:vAlign w:val="bottom"/>
            <w:hideMark/>
          </w:tcPr>
          <w:p w14:paraId="32918E72"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(0.11)</w:t>
            </w:r>
          </w:p>
        </w:tc>
        <w:tc>
          <w:tcPr>
            <w:tcW w:w="1160" w:type="dxa"/>
            <w:tcBorders>
              <w:top w:val="nil"/>
              <w:left w:val="nil"/>
              <w:bottom w:val="nil"/>
              <w:right w:val="nil"/>
            </w:tcBorders>
            <w:shd w:val="clear" w:color="auto" w:fill="auto"/>
            <w:noWrap/>
            <w:vAlign w:val="bottom"/>
            <w:hideMark/>
          </w:tcPr>
          <w:p w14:paraId="151281E2"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(0.10)</w:t>
            </w:r>
          </w:p>
        </w:tc>
        <w:tc>
          <w:tcPr>
            <w:tcW w:w="1160" w:type="dxa"/>
            <w:tcBorders>
              <w:top w:val="nil"/>
              <w:left w:val="nil"/>
              <w:bottom w:val="nil"/>
              <w:right w:val="nil"/>
            </w:tcBorders>
            <w:shd w:val="clear" w:color="auto" w:fill="auto"/>
            <w:noWrap/>
            <w:vAlign w:val="bottom"/>
            <w:hideMark/>
          </w:tcPr>
          <w:p w14:paraId="020D861C"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(0.09)</w:t>
            </w:r>
          </w:p>
        </w:tc>
      </w:tr>
      <w:tr w:rsidR="00004D6D" w:rsidRPr="00F24865" w14:paraId="6DCB5C4B" w14:textId="77777777" w:rsidTr="00004D6D">
        <w:trPr>
          <w:trHeight w:val="20"/>
        </w:trPr>
        <w:tc>
          <w:tcPr>
            <w:tcW w:w="2860" w:type="dxa"/>
            <w:tcBorders>
              <w:top w:val="nil"/>
              <w:left w:val="nil"/>
              <w:bottom w:val="nil"/>
              <w:right w:val="nil"/>
            </w:tcBorders>
            <w:shd w:val="clear" w:color="auto" w:fill="auto"/>
            <w:noWrap/>
            <w:vAlign w:val="bottom"/>
            <w:hideMark/>
          </w:tcPr>
          <w:p w14:paraId="03CD84C0"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GCF*private*indep.</w:t>
            </w:r>
          </w:p>
        </w:tc>
        <w:tc>
          <w:tcPr>
            <w:tcW w:w="1160" w:type="dxa"/>
            <w:tcBorders>
              <w:top w:val="nil"/>
              <w:left w:val="nil"/>
              <w:bottom w:val="nil"/>
              <w:right w:val="nil"/>
            </w:tcBorders>
            <w:shd w:val="clear" w:color="auto" w:fill="auto"/>
            <w:noWrap/>
            <w:vAlign w:val="bottom"/>
            <w:hideMark/>
          </w:tcPr>
          <w:p w14:paraId="7E6A7B29"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5603C3B0"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69771113"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p>
        </w:tc>
        <w:tc>
          <w:tcPr>
            <w:tcW w:w="1160" w:type="dxa"/>
            <w:tcBorders>
              <w:top w:val="nil"/>
              <w:left w:val="nil"/>
              <w:bottom w:val="nil"/>
              <w:right w:val="nil"/>
            </w:tcBorders>
            <w:shd w:val="clear" w:color="auto" w:fill="auto"/>
            <w:noWrap/>
            <w:vAlign w:val="bottom"/>
            <w:hideMark/>
          </w:tcPr>
          <w:p w14:paraId="17D6F373"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p>
        </w:tc>
        <w:tc>
          <w:tcPr>
            <w:tcW w:w="1160" w:type="dxa"/>
            <w:tcBorders>
              <w:top w:val="nil"/>
              <w:left w:val="nil"/>
              <w:bottom w:val="nil"/>
              <w:right w:val="nil"/>
            </w:tcBorders>
            <w:shd w:val="clear" w:color="auto" w:fill="auto"/>
            <w:noWrap/>
            <w:vAlign w:val="bottom"/>
            <w:hideMark/>
          </w:tcPr>
          <w:p w14:paraId="2C464BAF"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r w:rsidRPr="00F24865">
              <w:rPr>
                <w:rFonts w:ascii="Times New Roman" w:eastAsia="Times New Roman" w:hAnsi="Times New Roman" w:cs="Times New Roman"/>
                <w:b/>
                <w:bCs/>
                <w:sz w:val="18"/>
                <w:szCs w:val="18"/>
                <w:lang w:val="en-US" w:eastAsia="en-GB"/>
              </w:rPr>
              <w:t>0.19+</w:t>
            </w:r>
          </w:p>
        </w:tc>
        <w:tc>
          <w:tcPr>
            <w:tcW w:w="1160" w:type="dxa"/>
            <w:tcBorders>
              <w:top w:val="nil"/>
              <w:left w:val="nil"/>
              <w:bottom w:val="nil"/>
              <w:right w:val="nil"/>
            </w:tcBorders>
            <w:shd w:val="clear" w:color="auto" w:fill="auto"/>
            <w:noWrap/>
            <w:vAlign w:val="bottom"/>
            <w:hideMark/>
          </w:tcPr>
          <w:p w14:paraId="1FD2484D"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r w:rsidRPr="00F24865">
              <w:rPr>
                <w:rFonts w:ascii="Times New Roman" w:eastAsia="Times New Roman" w:hAnsi="Times New Roman" w:cs="Times New Roman"/>
                <w:b/>
                <w:bCs/>
                <w:sz w:val="18"/>
                <w:szCs w:val="18"/>
                <w:lang w:val="en-US" w:eastAsia="en-GB"/>
              </w:rPr>
              <w:t>0.07</w:t>
            </w:r>
          </w:p>
        </w:tc>
        <w:tc>
          <w:tcPr>
            <w:tcW w:w="1160" w:type="dxa"/>
            <w:tcBorders>
              <w:top w:val="nil"/>
              <w:left w:val="nil"/>
              <w:bottom w:val="nil"/>
              <w:right w:val="nil"/>
            </w:tcBorders>
            <w:shd w:val="clear" w:color="auto" w:fill="auto"/>
            <w:noWrap/>
            <w:vAlign w:val="bottom"/>
            <w:hideMark/>
          </w:tcPr>
          <w:p w14:paraId="612C6FA3"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r w:rsidRPr="00F24865">
              <w:rPr>
                <w:rFonts w:ascii="Times New Roman" w:eastAsia="Times New Roman" w:hAnsi="Times New Roman" w:cs="Times New Roman"/>
                <w:b/>
                <w:bCs/>
                <w:sz w:val="18"/>
                <w:szCs w:val="18"/>
                <w:lang w:val="en-US" w:eastAsia="en-GB"/>
              </w:rPr>
              <w:t>0.71***</w:t>
            </w:r>
          </w:p>
        </w:tc>
        <w:tc>
          <w:tcPr>
            <w:tcW w:w="1160" w:type="dxa"/>
            <w:tcBorders>
              <w:top w:val="nil"/>
              <w:left w:val="nil"/>
              <w:bottom w:val="nil"/>
              <w:right w:val="nil"/>
            </w:tcBorders>
            <w:shd w:val="clear" w:color="auto" w:fill="auto"/>
            <w:noWrap/>
            <w:vAlign w:val="bottom"/>
            <w:hideMark/>
          </w:tcPr>
          <w:p w14:paraId="00C3ACDD"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r w:rsidRPr="00F24865">
              <w:rPr>
                <w:rFonts w:ascii="Times New Roman" w:eastAsia="Times New Roman" w:hAnsi="Times New Roman" w:cs="Times New Roman"/>
                <w:b/>
                <w:bCs/>
                <w:sz w:val="18"/>
                <w:szCs w:val="18"/>
                <w:lang w:val="en-US" w:eastAsia="en-GB"/>
              </w:rPr>
              <w:t>0.51***</w:t>
            </w:r>
          </w:p>
        </w:tc>
      </w:tr>
      <w:tr w:rsidR="00004D6D" w:rsidRPr="00F24865" w14:paraId="4D69F8E0" w14:textId="77777777" w:rsidTr="00004D6D">
        <w:trPr>
          <w:trHeight w:val="20"/>
        </w:trPr>
        <w:tc>
          <w:tcPr>
            <w:tcW w:w="2860" w:type="dxa"/>
            <w:tcBorders>
              <w:top w:val="nil"/>
              <w:left w:val="nil"/>
              <w:bottom w:val="nil"/>
              <w:right w:val="nil"/>
            </w:tcBorders>
            <w:shd w:val="clear" w:color="auto" w:fill="auto"/>
            <w:noWrap/>
            <w:vAlign w:val="bottom"/>
            <w:hideMark/>
          </w:tcPr>
          <w:p w14:paraId="2DA0AA6D"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07B6DC50"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0D2E8BD5"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4DB728A5"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p>
        </w:tc>
        <w:tc>
          <w:tcPr>
            <w:tcW w:w="1160" w:type="dxa"/>
            <w:tcBorders>
              <w:top w:val="nil"/>
              <w:left w:val="nil"/>
              <w:bottom w:val="nil"/>
              <w:right w:val="nil"/>
            </w:tcBorders>
            <w:shd w:val="clear" w:color="auto" w:fill="auto"/>
            <w:noWrap/>
            <w:vAlign w:val="bottom"/>
            <w:hideMark/>
          </w:tcPr>
          <w:p w14:paraId="069F199D" w14:textId="77777777" w:rsidR="00004D6D" w:rsidRPr="00F24865" w:rsidRDefault="00004D6D" w:rsidP="00004D6D">
            <w:pPr>
              <w:spacing w:after="0" w:line="240" w:lineRule="auto"/>
              <w:jc w:val="center"/>
              <w:rPr>
                <w:rFonts w:ascii="Times New Roman" w:eastAsia="Times New Roman" w:hAnsi="Times New Roman" w:cs="Times New Roman"/>
                <w:b/>
                <w:bCs/>
                <w:sz w:val="18"/>
                <w:szCs w:val="18"/>
                <w:lang w:val="en-US" w:eastAsia="en-GB"/>
              </w:rPr>
            </w:pPr>
          </w:p>
        </w:tc>
        <w:tc>
          <w:tcPr>
            <w:tcW w:w="1160" w:type="dxa"/>
            <w:tcBorders>
              <w:top w:val="nil"/>
              <w:left w:val="nil"/>
              <w:bottom w:val="nil"/>
              <w:right w:val="nil"/>
            </w:tcBorders>
            <w:shd w:val="clear" w:color="auto" w:fill="auto"/>
            <w:noWrap/>
            <w:vAlign w:val="bottom"/>
            <w:hideMark/>
          </w:tcPr>
          <w:p w14:paraId="20A63D15"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(0.10)</w:t>
            </w:r>
          </w:p>
        </w:tc>
        <w:tc>
          <w:tcPr>
            <w:tcW w:w="1160" w:type="dxa"/>
            <w:tcBorders>
              <w:top w:val="nil"/>
              <w:left w:val="nil"/>
              <w:bottom w:val="nil"/>
              <w:right w:val="nil"/>
            </w:tcBorders>
            <w:shd w:val="clear" w:color="auto" w:fill="auto"/>
            <w:noWrap/>
            <w:vAlign w:val="bottom"/>
            <w:hideMark/>
          </w:tcPr>
          <w:p w14:paraId="24820614"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(0.12)</w:t>
            </w:r>
          </w:p>
        </w:tc>
        <w:tc>
          <w:tcPr>
            <w:tcW w:w="1160" w:type="dxa"/>
            <w:tcBorders>
              <w:top w:val="nil"/>
              <w:left w:val="nil"/>
              <w:bottom w:val="nil"/>
              <w:right w:val="nil"/>
            </w:tcBorders>
            <w:shd w:val="clear" w:color="auto" w:fill="auto"/>
            <w:noWrap/>
            <w:vAlign w:val="bottom"/>
            <w:hideMark/>
          </w:tcPr>
          <w:p w14:paraId="2B2FF0A1"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(0.10)</w:t>
            </w:r>
          </w:p>
        </w:tc>
        <w:tc>
          <w:tcPr>
            <w:tcW w:w="1160" w:type="dxa"/>
            <w:tcBorders>
              <w:top w:val="nil"/>
              <w:left w:val="nil"/>
              <w:bottom w:val="nil"/>
              <w:right w:val="nil"/>
            </w:tcBorders>
            <w:shd w:val="clear" w:color="auto" w:fill="auto"/>
            <w:noWrap/>
            <w:vAlign w:val="bottom"/>
            <w:hideMark/>
          </w:tcPr>
          <w:p w14:paraId="692F0F47"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(0.09)</w:t>
            </w:r>
          </w:p>
        </w:tc>
      </w:tr>
      <w:tr w:rsidR="00004D6D" w:rsidRPr="00F24865" w14:paraId="0E9D34B2" w14:textId="77777777" w:rsidTr="00004D6D">
        <w:trPr>
          <w:trHeight w:val="20"/>
        </w:trPr>
        <w:tc>
          <w:tcPr>
            <w:tcW w:w="2860" w:type="dxa"/>
            <w:tcBorders>
              <w:top w:val="nil"/>
              <w:left w:val="nil"/>
              <w:bottom w:val="nil"/>
              <w:right w:val="nil"/>
            </w:tcBorders>
            <w:shd w:val="clear" w:color="auto" w:fill="auto"/>
            <w:noWrap/>
            <w:vAlign w:val="bottom"/>
            <w:hideMark/>
          </w:tcPr>
          <w:p w14:paraId="757D7A4B"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GCF*private*insider</w:t>
            </w:r>
          </w:p>
        </w:tc>
        <w:tc>
          <w:tcPr>
            <w:tcW w:w="1160" w:type="dxa"/>
            <w:tcBorders>
              <w:top w:val="nil"/>
              <w:left w:val="nil"/>
              <w:bottom w:val="nil"/>
              <w:right w:val="nil"/>
            </w:tcBorders>
            <w:shd w:val="clear" w:color="auto" w:fill="auto"/>
            <w:noWrap/>
            <w:vAlign w:val="bottom"/>
            <w:hideMark/>
          </w:tcPr>
          <w:p w14:paraId="69C9960A"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758DF524"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62025B6A"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0F79DCBC"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5115C900"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0.07</w:t>
            </w:r>
          </w:p>
        </w:tc>
        <w:tc>
          <w:tcPr>
            <w:tcW w:w="1160" w:type="dxa"/>
            <w:tcBorders>
              <w:top w:val="nil"/>
              <w:left w:val="nil"/>
              <w:bottom w:val="nil"/>
              <w:right w:val="nil"/>
            </w:tcBorders>
            <w:shd w:val="clear" w:color="auto" w:fill="auto"/>
            <w:noWrap/>
            <w:vAlign w:val="bottom"/>
            <w:hideMark/>
          </w:tcPr>
          <w:p w14:paraId="4BCCE163"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-0.59</w:t>
            </w:r>
          </w:p>
        </w:tc>
        <w:tc>
          <w:tcPr>
            <w:tcW w:w="1160" w:type="dxa"/>
            <w:tcBorders>
              <w:top w:val="nil"/>
              <w:left w:val="nil"/>
              <w:bottom w:val="nil"/>
              <w:right w:val="nil"/>
            </w:tcBorders>
            <w:shd w:val="clear" w:color="auto" w:fill="auto"/>
            <w:noWrap/>
            <w:vAlign w:val="bottom"/>
            <w:hideMark/>
          </w:tcPr>
          <w:p w14:paraId="0DEF6B62"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0.68***</w:t>
            </w:r>
          </w:p>
        </w:tc>
        <w:tc>
          <w:tcPr>
            <w:tcW w:w="1160" w:type="dxa"/>
            <w:tcBorders>
              <w:top w:val="nil"/>
              <w:left w:val="nil"/>
              <w:bottom w:val="nil"/>
              <w:right w:val="nil"/>
            </w:tcBorders>
            <w:shd w:val="clear" w:color="auto" w:fill="auto"/>
            <w:noWrap/>
            <w:vAlign w:val="bottom"/>
            <w:hideMark/>
          </w:tcPr>
          <w:p w14:paraId="34F74EF7"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0.44***</w:t>
            </w:r>
          </w:p>
        </w:tc>
      </w:tr>
      <w:tr w:rsidR="00004D6D" w:rsidRPr="00F24865" w14:paraId="6C8FC49F" w14:textId="77777777" w:rsidTr="00004D6D">
        <w:trPr>
          <w:trHeight w:val="20"/>
        </w:trPr>
        <w:tc>
          <w:tcPr>
            <w:tcW w:w="2860" w:type="dxa"/>
            <w:tcBorders>
              <w:top w:val="nil"/>
              <w:left w:val="nil"/>
              <w:bottom w:val="nil"/>
              <w:right w:val="nil"/>
            </w:tcBorders>
            <w:shd w:val="clear" w:color="auto" w:fill="auto"/>
            <w:noWrap/>
            <w:vAlign w:val="bottom"/>
            <w:hideMark/>
          </w:tcPr>
          <w:p w14:paraId="3FFB57C5"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286308DE"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7A58007D"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1D17C56E"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33FDD6EB"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2C2AB390"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(0.14)</w:t>
            </w:r>
          </w:p>
        </w:tc>
        <w:tc>
          <w:tcPr>
            <w:tcW w:w="1160" w:type="dxa"/>
            <w:tcBorders>
              <w:top w:val="nil"/>
              <w:left w:val="nil"/>
              <w:bottom w:val="nil"/>
              <w:right w:val="nil"/>
            </w:tcBorders>
            <w:shd w:val="clear" w:color="auto" w:fill="auto"/>
            <w:noWrap/>
            <w:vAlign w:val="bottom"/>
            <w:hideMark/>
          </w:tcPr>
          <w:p w14:paraId="7D376C02"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(0.51)</w:t>
            </w:r>
          </w:p>
        </w:tc>
        <w:tc>
          <w:tcPr>
            <w:tcW w:w="1160" w:type="dxa"/>
            <w:tcBorders>
              <w:top w:val="nil"/>
              <w:left w:val="nil"/>
              <w:bottom w:val="nil"/>
              <w:right w:val="nil"/>
            </w:tcBorders>
            <w:shd w:val="clear" w:color="auto" w:fill="auto"/>
            <w:noWrap/>
            <w:vAlign w:val="bottom"/>
            <w:hideMark/>
          </w:tcPr>
          <w:p w14:paraId="52377A9E"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(0.09)</w:t>
            </w:r>
          </w:p>
        </w:tc>
        <w:tc>
          <w:tcPr>
            <w:tcW w:w="1160" w:type="dxa"/>
            <w:tcBorders>
              <w:top w:val="nil"/>
              <w:left w:val="nil"/>
              <w:bottom w:val="nil"/>
              <w:right w:val="nil"/>
            </w:tcBorders>
            <w:shd w:val="clear" w:color="auto" w:fill="auto"/>
            <w:noWrap/>
            <w:vAlign w:val="bottom"/>
            <w:hideMark/>
          </w:tcPr>
          <w:p w14:paraId="3567DCD6"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(0.08)</w:t>
            </w:r>
          </w:p>
        </w:tc>
      </w:tr>
      <w:tr w:rsidR="00004D6D" w:rsidRPr="00F24865" w14:paraId="4B5B1558" w14:textId="77777777" w:rsidTr="00004D6D">
        <w:trPr>
          <w:trHeight w:val="20"/>
        </w:trPr>
        <w:tc>
          <w:tcPr>
            <w:tcW w:w="2860" w:type="dxa"/>
            <w:tcBorders>
              <w:top w:val="nil"/>
              <w:left w:val="nil"/>
              <w:bottom w:val="nil"/>
              <w:right w:val="nil"/>
            </w:tcBorders>
            <w:shd w:val="clear" w:color="auto" w:fill="auto"/>
            <w:noWrap/>
            <w:vAlign w:val="bottom"/>
            <w:hideMark/>
          </w:tcPr>
          <w:p w14:paraId="62770185"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Investment, lagged</w:t>
            </w:r>
          </w:p>
        </w:tc>
        <w:tc>
          <w:tcPr>
            <w:tcW w:w="1160" w:type="dxa"/>
            <w:tcBorders>
              <w:top w:val="nil"/>
              <w:left w:val="nil"/>
              <w:bottom w:val="nil"/>
              <w:right w:val="nil"/>
            </w:tcBorders>
            <w:shd w:val="clear" w:color="auto" w:fill="auto"/>
            <w:noWrap/>
            <w:vAlign w:val="bottom"/>
            <w:hideMark/>
          </w:tcPr>
          <w:p w14:paraId="0A822B9A"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0.02</w:t>
            </w:r>
          </w:p>
        </w:tc>
        <w:tc>
          <w:tcPr>
            <w:tcW w:w="1160" w:type="dxa"/>
            <w:tcBorders>
              <w:top w:val="nil"/>
              <w:left w:val="nil"/>
              <w:bottom w:val="nil"/>
              <w:right w:val="nil"/>
            </w:tcBorders>
            <w:shd w:val="clear" w:color="auto" w:fill="auto"/>
            <w:noWrap/>
            <w:vAlign w:val="bottom"/>
            <w:hideMark/>
          </w:tcPr>
          <w:p w14:paraId="3ECF7615"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-0.14</w:t>
            </w:r>
          </w:p>
        </w:tc>
        <w:tc>
          <w:tcPr>
            <w:tcW w:w="1160" w:type="dxa"/>
            <w:tcBorders>
              <w:top w:val="nil"/>
              <w:left w:val="nil"/>
              <w:bottom w:val="nil"/>
              <w:right w:val="nil"/>
            </w:tcBorders>
            <w:shd w:val="clear" w:color="auto" w:fill="auto"/>
            <w:noWrap/>
            <w:vAlign w:val="bottom"/>
            <w:hideMark/>
          </w:tcPr>
          <w:p w14:paraId="37F1D3E1"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0.41*</w:t>
            </w:r>
          </w:p>
        </w:tc>
        <w:tc>
          <w:tcPr>
            <w:tcW w:w="1160" w:type="dxa"/>
            <w:tcBorders>
              <w:top w:val="nil"/>
              <w:left w:val="nil"/>
              <w:bottom w:val="nil"/>
              <w:right w:val="nil"/>
            </w:tcBorders>
            <w:shd w:val="clear" w:color="auto" w:fill="auto"/>
            <w:noWrap/>
            <w:vAlign w:val="bottom"/>
            <w:hideMark/>
          </w:tcPr>
          <w:p w14:paraId="535A26D2"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0.03</w:t>
            </w:r>
          </w:p>
        </w:tc>
        <w:tc>
          <w:tcPr>
            <w:tcW w:w="1160" w:type="dxa"/>
            <w:tcBorders>
              <w:top w:val="nil"/>
              <w:left w:val="nil"/>
              <w:bottom w:val="nil"/>
              <w:right w:val="nil"/>
            </w:tcBorders>
            <w:shd w:val="clear" w:color="auto" w:fill="auto"/>
            <w:noWrap/>
            <w:vAlign w:val="bottom"/>
            <w:hideMark/>
          </w:tcPr>
          <w:p w14:paraId="44901616"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-0.05</w:t>
            </w:r>
          </w:p>
        </w:tc>
        <w:tc>
          <w:tcPr>
            <w:tcW w:w="1160" w:type="dxa"/>
            <w:tcBorders>
              <w:top w:val="nil"/>
              <w:left w:val="nil"/>
              <w:bottom w:val="nil"/>
              <w:right w:val="nil"/>
            </w:tcBorders>
            <w:shd w:val="clear" w:color="auto" w:fill="auto"/>
            <w:noWrap/>
            <w:vAlign w:val="bottom"/>
            <w:hideMark/>
          </w:tcPr>
          <w:p w14:paraId="66AC34FD"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0.07</w:t>
            </w:r>
          </w:p>
        </w:tc>
        <w:tc>
          <w:tcPr>
            <w:tcW w:w="1160" w:type="dxa"/>
            <w:tcBorders>
              <w:top w:val="nil"/>
              <w:left w:val="nil"/>
              <w:bottom w:val="nil"/>
              <w:right w:val="nil"/>
            </w:tcBorders>
            <w:shd w:val="clear" w:color="auto" w:fill="auto"/>
            <w:noWrap/>
            <w:vAlign w:val="bottom"/>
            <w:hideMark/>
          </w:tcPr>
          <w:p w14:paraId="7779B66F"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-0.03</w:t>
            </w:r>
          </w:p>
        </w:tc>
        <w:tc>
          <w:tcPr>
            <w:tcW w:w="1160" w:type="dxa"/>
            <w:tcBorders>
              <w:top w:val="nil"/>
              <w:left w:val="nil"/>
              <w:bottom w:val="nil"/>
              <w:right w:val="nil"/>
            </w:tcBorders>
            <w:shd w:val="clear" w:color="auto" w:fill="auto"/>
            <w:noWrap/>
            <w:vAlign w:val="bottom"/>
            <w:hideMark/>
          </w:tcPr>
          <w:p w14:paraId="1358A914"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0.20***</w:t>
            </w:r>
          </w:p>
        </w:tc>
      </w:tr>
      <w:tr w:rsidR="00004D6D" w:rsidRPr="00F24865" w14:paraId="107E5F3B" w14:textId="77777777" w:rsidTr="00004D6D">
        <w:trPr>
          <w:trHeight w:val="20"/>
        </w:trPr>
        <w:tc>
          <w:tcPr>
            <w:tcW w:w="2860" w:type="dxa"/>
            <w:tcBorders>
              <w:top w:val="nil"/>
              <w:left w:val="nil"/>
              <w:bottom w:val="nil"/>
              <w:right w:val="nil"/>
            </w:tcBorders>
            <w:shd w:val="clear" w:color="auto" w:fill="auto"/>
            <w:noWrap/>
            <w:vAlign w:val="bottom"/>
            <w:hideMark/>
          </w:tcPr>
          <w:p w14:paraId="004EA9D7"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64D63A8D"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(0.16)</w:t>
            </w:r>
          </w:p>
        </w:tc>
        <w:tc>
          <w:tcPr>
            <w:tcW w:w="1160" w:type="dxa"/>
            <w:tcBorders>
              <w:top w:val="nil"/>
              <w:left w:val="nil"/>
              <w:bottom w:val="nil"/>
              <w:right w:val="nil"/>
            </w:tcBorders>
            <w:shd w:val="clear" w:color="auto" w:fill="auto"/>
            <w:noWrap/>
            <w:vAlign w:val="bottom"/>
            <w:hideMark/>
          </w:tcPr>
          <w:p w14:paraId="09911BD4"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(0.11)</w:t>
            </w:r>
          </w:p>
        </w:tc>
        <w:tc>
          <w:tcPr>
            <w:tcW w:w="1160" w:type="dxa"/>
            <w:tcBorders>
              <w:top w:val="nil"/>
              <w:left w:val="nil"/>
              <w:bottom w:val="nil"/>
              <w:right w:val="nil"/>
            </w:tcBorders>
            <w:shd w:val="clear" w:color="auto" w:fill="auto"/>
            <w:noWrap/>
            <w:vAlign w:val="bottom"/>
            <w:hideMark/>
          </w:tcPr>
          <w:p w14:paraId="1EE54565"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(0.17)</w:t>
            </w:r>
          </w:p>
        </w:tc>
        <w:tc>
          <w:tcPr>
            <w:tcW w:w="1160" w:type="dxa"/>
            <w:tcBorders>
              <w:top w:val="nil"/>
              <w:left w:val="nil"/>
              <w:bottom w:val="nil"/>
              <w:right w:val="nil"/>
            </w:tcBorders>
            <w:shd w:val="clear" w:color="auto" w:fill="auto"/>
            <w:noWrap/>
            <w:vAlign w:val="bottom"/>
            <w:hideMark/>
          </w:tcPr>
          <w:p w14:paraId="5CA40211"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(0.48)</w:t>
            </w:r>
          </w:p>
        </w:tc>
        <w:tc>
          <w:tcPr>
            <w:tcW w:w="1160" w:type="dxa"/>
            <w:tcBorders>
              <w:top w:val="nil"/>
              <w:left w:val="nil"/>
              <w:bottom w:val="nil"/>
              <w:right w:val="nil"/>
            </w:tcBorders>
            <w:shd w:val="clear" w:color="auto" w:fill="auto"/>
            <w:noWrap/>
            <w:vAlign w:val="bottom"/>
            <w:hideMark/>
          </w:tcPr>
          <w:p w14:paraId="1AF01FDE"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(0.08)</w:t>
            </w:r>
          </w:p>
        </w:tc>
        <w:tc>
          <w:tcPr>
            <w:tcW w:w="1160" w:type="dxa"/>
            <w:tcBorders>
              <w:top w:val="nil"/>
              <w:left w:val="nil"/>
              <w:bottom w:val="nil"/>
              <w:right w:val="nil"/>
            </w:tcBorders>
            <w:shd w:val="clear" w:color="auto" w:fill="auto"/>
            <w:noWrap/>
            <w:vAlign w:val="bottom"/>
            <w:hideMark/>
          </w:tcPr>
          <w:p w14:paraId="09034B63"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(0.09)</w:t>
            </w:r>
          </w:p>
        </w:tc>
        <w:tc>
          <w:tcPr>
            <w:tcW w:w="1160" w:type="dxa"/>
            <w:tcBorders>
              <w:top w:val="nil"/>
              <w:left w:val="nil"/>
              <w:bottom w:val="nil"/>
              <w:right w:val="nil"/>
            </w:tcBorders>
            <w:shd w:val="clear" w:color="auto" w:fill="auto"/>
            <w:noWrap/>
            <w:vAlign w:val="bottom"/>
            <w:hideMark/>
          </w:tcPr>
          <w:p w14:paraId="5E6FD03B"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(0.10)</w:t>
            </w:r>
          </w:p>
        </w:tc>
        <w:tc>
          <w:tcPr>
            <w:tcW w:w="1160" w:type="dxa"/>
            <w:tcBorders>
              <w:top w:val="nil"/>
              <w:left w:val="nil"/>
              <w:bottom w:val="nil"/>
              <w:right w:val="nil"/>
            </w:tcBorders>
            <w:shd w:val="clear" w:color="auto" w:fill="auto"/>
            <w:noWrap/>
            <w:vAlign w:val="bottom"/>
            <w:hideMark/>
          </w:tcPr>
          <w:p w14:paraId="02945B47"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(0.05)</w:t>
            </w:r>
          </w:p>
        </w:tc>
      </w:tr>
      <w:tr w:rsidR="00004D6D" w:rsidRPr="00F24865" w14:paraId="7A13A17D" w14:textId="77777777" w:rsidTr="00004D6D">
        <w:trPr>
          <w:trHeight w:val="20"/>
        </w:trPr>
        <w:tc>
          <w:tcPr>
            <w:tcW w:w="2860" w:type="dxa"/>
            <w:tcBorders>
              <w:top w:val="nil"/>
              <w:left w:val="nil"/>
              <w:bottom w:val="nil"/>
              <w:right w:val="nil"/>
            </w:tcBorders>
            <w:shd w:val="clear" w:color="auto" w:fill="auto"/>
            <w:noWrap/>
            <w:vAlign w:val="bottom"/>
            <w:hideMark/>
          </w:tcPr>
          <w:p w14:paraId="5B1802E5"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Debt</w:t>
            </w:r>
          </w:p>
        </w:tc>
        <w:tc>
          <w:tcPr>
            <w:tcW w:w="1160" w:type="dxa"/>
            <w:tcBorders>
              <w:top w:val="nil"/>
              <w:left w:val="nil"/>
              <w:bottom w:val="nil"/>
              <w:right w:val="nil"/>
            </w:tcBorders>
            <w:shd w:val="clear" w:color="auto" w:fill="auto"/>
            <w:noWrap/>
            <w:vAlign w:val="bottom"/>
            <w:hideMark/>
          </w:tcPr>
          <w:p w14:paraId="4333FF55"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0.07**</w:t>
            </w:r>
          </w:p>
        </w:tc>
        <w:tc>
          <w:tcPr>
            <w:tcW w:w="1160" w:type="dxa"/>
            <w:tcBorders>
              <w:top w:val="nil"/>
              <w:left w:val="nil"/>
              <w:bottom w:val="nil"/>
              <w:right w:val="nil"/>
            </w:tcBorders>
            <w:shd w:val="clear" w:color="auto" w:fill="auto"/>
            <w:noWrap/>
            <w:vAlign w:val="bottom"/>
            <w:hideMark/>
          </w:tcPr>
          <w:p w14:paraId="3CD7282F"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0.01</w:t>
            </w:r>
          </w:p>
        </w:tc>
        <w:tc>
          <w:tcPr>
            <w:tcW w:w="1160" w:type="dxa"/>
            <w:tcBorders>
              <w:top w:val="nil"/>
              <w:left w:val="nil"/>
              <w:bottom w:val="nil"/>
              <w:right w:val="nil"/>
            </w:tcBorders>
            <w:shd w:val="clear" w:color="auto" w:fill="auto"/>
            <w:noWrap/>
            <w:vAlign w:val="bottom"/>
            <w:hideMark/>
          </w:tcPr>
          <w:p w14:paraId="252D77C8"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0.02*</w:t>
            </w:r>
          </w:p>
        </w:tc>
        <w:tc>
          <w:tcPr>
            <w:tcW w:w="1160" w:type="dxa"/>
            <w:tcBorders>
              <w:top w:val="nil"/>
              <w:left w:val="nil"/>
              <w:bottom w:val="nil"/>
              <w:right w:val="nil"/>
            </w:tcBorders>
            <w:shd w:val="clear" w:color="auto" w:fill="auto"/>
            <w:noWrap/>
            <w:vAlign w:val="bottom"/>
            <w:hideMark/>
          </w:tcPr>
          <w:p w14:paraId="5C58EBED"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0.03+</w:t>
            </w:r>
          </w:p>
        </w:tc>
        <w:tc>
          <w:tcPr>
            <w:tcW w:w="1160" w:type="dxa"/>
            <w:tcBorders>
              <w:top w:val="nil"/>
              <w:left w:val="nil"/>
              <w:bottom w:val="nil"/>
              <w:right w:val="nil"/>
            </w:tcBorders>
            <w:shd w:val="clear" w:color="auto" w:fill="auto"/>
            <w:noWrap/>
            <w:vAlign w:val="bottom"/>
            <w:hideMark/>
          </w:tcPr>
          <w:p w14:paraId="5A5FCCBF"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0.03*</w:t>
            </w:r>
          </w:p>
        </w:tc>
        <w:tc>
          <w:tcPr>
            <w:tcW w:w="1160" w:type="dxa"/>
            <w:tcBorders>
              <w:top w:val="nil"/>
              <w:left w:val="nil"/>
              <w:bottom w:val="nil"/>
              <w:right w:val="nil"/>
            </w:tcBorders>
            <w:shd w:val="clear" w:color="auto" w:fill="auto"/>
            <w:noWrap/>
            <w:vAlign w:val="bottom"/>
            <w:hideMark/>
          </w:tcPr>
          <w:p w14:paraId="283E9993"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0.05**</w:t>
            </w:r>
          </w:p>
        </w:tc>
        <w:tc>
          <w:tcPr>
            <w:tcW w:w="1160" w:type="dxa"/>
            <w:tcBorders>
              <w:top w:val="nil"/>
              <w:left w:val="nil"/>
              <w:bottom w:val="nil"/>
              <w:right w:val="nil"/>
            </w:tcBorders>
            <w:shd w:val="clear" w:color="auto" w:fill="auto"/>
            <w:noWrap/>
            <w:vAlign w:val="bottom"/>
            <w:hideMark/>
          </w:tcPr>
          <w:p w14:paraId="04965C3F"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0.05**</w:t>
            </w:r>
          </w:p>
        </w:tc>
        <w:tc>
          <w:tcPr>
            <w:tcW w:w="1160" w:type="dxa"/>
            <w:tcBorders>
              <w:top w:val="nil"/>
              <w:left w:val="nil"/>
              <w:bottom w:val="nil"/>
              <w:right w:val="nil"/>
            </w:tcBorders>
            <w:shd w:val="clear" w:color="auto" w:fill="auto"/>
            <w:noWrap/>
            <w:vAlign w:val="bottom"/>
            <w:hideMark/>
          </w:tcPr>
          <w:p w14:paraId="175D8713"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0.03*</w:t>
            </w:r>
          </w:p>
        </w:tc>
      </w:tr>
      <w:tr w:rsidR="00004D6D" w:rsidRPr="00F24865" w14:paraId="07B2A612" w14:textId="77777777" w:rsidTr="00004D6D">
        <w:trPr>
          <w:trHeight w:val="20"/>
        </w:trPr>
        <w:tc>
          <w:tcPr>
            <w:tcW w:w="2860" w:type="dxa"/>
            <w:tcBorders>
              <w:top w:val="nil"/>
              <w:left w:val="nil"/>
              <w:bottom w:val="nil"/>
              <w:right w:val="nil"/>
            </w:tcBorders>
            <w:shd w:val="clear" w:color="auto" w:fill="auto"/>
            <w:noWrap/>
            <w:vAlign w:val="bottom"/>
            <w:hideMark/>
          </w:tcPr>
          <w:p w14:paraId="5E274473"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2379DC5A"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(0.02)</w:t>
            </w:r>
          </w:p>
        </w:tc>
        <w:tc>
          <w:tcPr>
            <w:tcW w:w="1160" w:type="dxa"/>
            <w:tcBorders>
              <w:top w:val="nil"/>
              <w:left w:val="nil"/>
              <w:bottom w:val="nil"/>
              <w:right w:val="nil"/>
            </w:tcBorders>
            <w:shd w:val="clear" w:color="auto" w:fill="auto"/>
            <w:noWrap/>
            <w:vAlign w:val="bottom"/>
            <w:hideMark/>
          </w:tcPr>
          <w:p w14:paraId="150723BE"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(0.01)</w:t>
            </w:r>
          </w:p>
        </w:tc>
        <w:tc>
          <w:tcPr>
            <w:tcW w:w="1160" w:type="dxa"/>
            <w:tcBorders>
              <w:top w:val="nil"/>
              <w:left w:val="nil"/>
              <w:bottom w:val="nil"/>
              <w:right w:val="nil"/>
            </w:tcBorders>
            <w:shd w:val="clear" w:color="auto" w:fill="auto"/>
            <w:noWrap/>
            <w:vAlign w:val="bottom"/>
            <w:hideMark/>
          </w:tcPr>
          <w:p w14:paraId="4DF2E898"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(0.01)</w:t>
            </w:r>
          </w:p>
        </w:tc>
        <w:tc>
          <w:tcPr>
            <w:tcW w:w="1160" w:type="dxa"/>
            <w:tcBorders>
              <w:top w:val="nil"/>
              <w:left w:val="nil"/>
              <w:bottom w:val="nil"/>
              <w:right w:val="nil"/>
            </w:tcBorders>
            <w:shd w:val="clear" w:color="auto" w:fill="auto"/>
            <w:noWrap/>
            <w:vAlign w:val="bottom"/>
            <w:hideMark/>
          </w:tcPr>
          <w:p w14:paraId="7AD1EE60"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(0.01)</w:t>
            </w:r>
          </w:p>
        </w:tc>
        <w:tc>
          <w:tcPr>
            <w:tcW w:w="1160" w:type="dxa"/>
            <w:tcBorders>
              <w:top w:val="nil"/>
              <w:left w:val="nil"/>
              <w:bottom w:val="nil"/>
              <w:right w:val="nil"/>
            </w:tcBorders>
            <w:shd w:val="clear" w:color="auto" w:fill="auto"/>
            <w:noWrap/>
            <w:vAlign w:val="bottom"/>
            <w:hideMark/>
          </w:tcPr>
          <w:p w14:paraId="62B2CCF0"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(0.01)</w:t>
            </w:r>
          </w:p>
        </w:tc>
        <w:tc>
          <w:tcPr>
            <w:tcW w:w="1160" w:type="dxa"/>
            <w:tcBorders>
              <w:top w:val="nil"/>
              <w:left w:val="nil"/>
              <w:bottom w:val="nil"/>
              <w:right w:val="nil"/>
            </w:tcBorders>
            <w:shd w:val="clear" w:color="auto" w:fill="auto"/>
            <w:noWrap/>
            <w:vAlign w:val="bottom"/>
            <w:hideMark/>
          </w:tcPr>
          <w:p w14:paraId="006CFAF8"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(0.02)</w:t>
            </w:r>
          </w:p>
        </w:tc>
        <w:tc>
          <w:tcPr>
            <w:tcW w:w="1160" w:type="dxa"/>
            <w:tcBorders>
              <w:top w:val="nil"/>
              <w:left w:val="nil"/>
              <w:bottom w:val="nil"/>
              <w:right w:val="nil"/>
            </w:tcBorders>
            <w:shd w:val="clear" w:color="auto" w:fill="auto"/>
            <w:noWrap/>
            <w:vAlign w:val="bottom"/>
            <w:hideMark/>
          </w:tcPr>
          <w:p w14:paraId="6FE49F28"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(0.02)</w:t>
            </w:r>
          </w:p>
        </w:tc>
        <w:tc>
          <w:tcPr>
            <w:tcW w:w="1160" w:type="dxa"/>
            <w:tcBorders>
              <w:top w:val="nil"/>
              <w:left w:val="nil"/>
              <w:bottom w:val="nil"/>
              <w:right w:val="nil"/>
            </w:tcBorders>
            <w:shd w:val="clear" w:color="auto" w:fill="auto"/>
            <w:noWrap/>
            <w:vAlign w:val="bottom"/>
            <w:hideMark/>
          </w:tcPr>
          <w:p w14:paraId="30BAC209"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(0.01)</w:t>
            </w:r>
          </w:p>
        </w:tc>
      </w:tr>
      <w:tr w:rsidR="00004D6D" w:rsidRPr="00F24865" w14:paraId="1730DA5B" w14:textId="77777777" w:rsidTr="00004D6D">
        <w:trPr>
          <w:trHeight w:val="20"/>
        </w:trPr>
        <w:tc>
          <w:tcPr>
            <w:tcW w:w="2860" w:type="dxa"/>
            <w:tcBorders>
              <w:top w:val="nil"/>
              <w:left w:val="nil"/>
              <w:bottom w:val="nil"/>
              <w:right w:val="nil"/>
            </w:tcBorders>
            <w:shd w:val="clear" w:color="auto" w:fill="auto"/>
            <w:noWrap/>
            <w:vAlign w:val="bottom"/>
            <w:hideMark/>
          </w:tcPr>
          <w:p w14:paraId="6B99A8FF"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Equity</w:t>
            </w:r>
          </w:p>
        </w:tc>
        <w:tc>
          <w:tcPr>
            <w:tcW w:w="1160" w:type="dxa"/>
            <w:tcBorders>
              <w:top w:val="nil"/>
              <w:left w:val="nil"/>
              <w:bottom w:val="nil"/>
              <w:right w:val="nil"/>
            </w:tcBorders>
            <w:shd w:val="clear" w:color="auto" w:fill="auto"/>
            <w:noWrap/>
            <w:vAlign w:val="bottom"/>
            <w:hideMark/>
          </w:tcPr>
          <w:p w14:paraId="00F54224"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0.03</w:t>
            </w:r>
          </w:p>
        </w:tc>
        <w:tc>
          <w:tcPr>
            <w:tcW w:w="1160" w:type="dxa"/>
            <w:tcBorders>
              <w:top w:val="nil"/>
              <w:left w:val="nil"/>
              <w:bottom w:val="nil"/>
              <w:right w:val="nil"/>
            </w:tcBorders>
            <w:shd w:val="clear" w:color="auto" w:fill="auto"/>
            <w:noWrap/>
            <w:vAlign w:val="bottom"/>
            <w:hideMark/>
          </w:tcPr>
          <w:p w14:paraId="5BF70A29"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0.01</w:t>
            </w:r>
          </w:p>
        </w:tc>
        <w:tc>
          <w:tcPr>
            <w:tcW w:w="1160" w:type="dxa"/>
            <w:tcBorders>
              <w:top w:val="nil"/>
              <w:left w:val="nil"/>
              <w:bottom w:val="nil"/>
              <w:right w:val="nil"/>
            </w:tcBorders>
            <w:shd w:val="clear" w:color="auto" w:fill="auto"/>
            <w:noWrap/>
            <w:vAlign w:val="bottom"/>
            <w:hideMark/>
          </w:tcPr>
          <w:p w14:paraId="2F4DB1BF"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-0.00</w:t>
            </w:r>
          </w:p>
        </w:tc>
        <w:tc>
          <w:tcPr>
            <w:tcW w:w="1160" w:type="dxa"/>
            <w:tcBorders>
              <w:top w:val="nil"/>
              <w:left w:val="nil"/>
              <w:bottom w:val="nil"/>
              <w:right w:val="nil"/>
            </w:tcBorders>
            <w:shd w:val="clear" w:color="auto" w:fill="auto"/>
            <w:noWrap/>
            <w:vAlign w:val="bottom"/>
            <w:hideMark/>
          </w:tcPr>
          <w:p w14:paraId="52A8AC13"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0.01</w:t>
            </w:r>
          </w:p>
        </w:tc>
        <w:tc>
          <w:tcPr>
            <w:tcW w:w="1160" w:type="dxa"/>
            <w:tcBorders>
              <w:top w:val="nil"/>
              <w:left w:val="nil"/>
              <w:bottom w:val="nil"/>
              <w:right w:val="nil"/>
            </w:tcBorders>
            <w:shd w:val="clear" w:color="auto" w:fill="auto"/>
            <w:noWrap/>
            <w:vAlign w:val="bottom"/>
            <w:hideMark/>
          </w:tcPr>
          <w:p w14:paraId="2BDE3DE1"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0.02*</w:t>
            </w:r>
          </w:p>
        </w:tc>
        <w:tc>
          <w:tcPr>
            <w:tcW w:w="1160" w:type="dxa"/>
            <w:tcBorders>
              <w:top w:val="nil"/>
              <w:left w:val="nil"/>
              <w:bottom w:val="nil"/>
              <w:right w:val="nil"/>
            </w:tcBorders>
            <w:shd w:val="clear" w:color="auto" w:fill="auto"/>
            <w:noWrap/>
            <w:vAlign w:val="bottom"/>
            <w:hideMark/>
          </w:tcPr>
          <w:p w14:paraId="07F8A693"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0.03+</w:t>
            </w:r>
          </w:p>
        </w:tc>
        <w:tc>
          <w:tcPr>
            <w:tcW w:w="1160" w:type="dxa"/>
            <w:tcBorders>
              <w:top w:val="nil"/>
              <w:left w:val="nil"/>
              <w:bottom w:val="nil"/>
              <w:right w:val="nil"/>
            </w:tcBorders>
            <w:shd w:val="clear" w:color="auto" w:fill="auto"/>
            <w:noWrap/>
            <w:vAlign w:val="bottom"/>
            <w:hideMark/>
          </w:tcPr>
          <w:p w14:paraId="691B13F7"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0.02*</w:t>
            </w:r>
          </w:p>
        </w:tc>
        <w:tc>
          <w:tcPr>
            <w:tcW w:w="1160" w:type="dxa"/>
            <w:tcBorders>
              <w:top w:val="nil"/>
              <w:left w:val="nil"/>
              <w:bottom w:val="nil"/>
              <w:right w:val="nil"/>
            </w:tcBorders>
            <w:shd w:val="clear" w:color="auto" w:fill="auto"/>
            <w:noWrap/>
            <w:vAlign w:val="bottom"/>
            <w:hideMark/>
          </w:tcPr>
          <w:p w14:paraId="4ED9DE45"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0.03**</w:t>
            </w:r>
          </w:p>
        </w:tc>
      </w:tr>
      <w:tr w:rsidR="00004D6D" w:rsidRPr="00F24865" w14:paraId="38A68626" w14:textId="77777777" w:rsidTr="00004D6D">
        <w:trPr>
          <w:trHeight w:val="20"/>
        </w:trPr>
        <w:tc>
          <w:tcPr>
            <w:tcW w:w="2860" w:type="dxa"/>
            <w:tcBorders>
              <w:top w:val="nil"/>
              <w:left w:val="nil"/>
              <w:bottom w:val="nil"/>
              <w:right w:val="nil"/>
            </w:tcBorders>
            <w:shd w:val="clear" w:color="auto" w:fill="auto"/>
            <w:noWrap/>
            <w:vAlign w:val="bottom"/>
            <w:hideMark/>
          </w:tcPr>
          <w:p w14:paraId="48358E01"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49959800"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(0.02)</w:t>
            </w:r>
          </w:p>
        </w:tc>
        <w:tc>
          <w:tcPr>
            <w:tcW w:w="1160" w:type="dxa"/>
            <w:tcBorders>
              <w:top w:val="nil"/>
              <w:left w:val="nil"/>
              <w:bottom w:val="nil"/>
              <w:right w:val="nil"/>
            </w:tcBorders>
            <w:shd w:val="clear" w:color="auto" w:fill="auto"/>
            <w:noWrap/>
            <w:vAlign w:val="bottom"/>
            <w:hideMark/>
          </w:tcPr>
          <w:p w14:paraId="0AF51776"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(0.01)</w:t>
            </w:r>
          </w:p>
        </w:tc>
        <w:tc>
          <w:tcPr>
            <w:tcW w:w="1160" w:type="dxa"/>
            <w:tcBorders>
              <w:top w:val="nil"/>
              <w:left w:val="nil"/>
              <w:bottom w:val="nil"/>
              <w:right w:val="nil"/>
            </w:tcBorders>
            <w:shd w:val="clear" w:color="auto" w:fill="auto"/>
            <w:noWrap/>
            <w:vAlign w:val="bottom"/>
            <w:hideMark/>
          </w:tcPr>
          <w:p w14:paraId="7791CD13"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(0.01)</w:t>
            </w:r>
          </w:p>
        </w:tc>
        <w:tc>
          <w:tcPr>
            <w:tcW w:w="1160" w:type="dxa"/>
            <w:tcBorders>
              <w:top w:val="nil"/>
              <w:left w:val="nil"/>
              <w:bottom w:val="nil"/>
              <w:right w:val="nil"/>
            </w:tcBorders>
            <w:shd w:val="clear" w:color="auto" w:fill="auto"/>
            <w:noWrap/>
            <w:vAlign w:val="bottom"/>
            <w:hideMark/>
          </w:tcPr>
          <w:p w14:paraId="2F754F7C"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(0.01)</w:t>
            </w:r>
          </w:p>
        </w:tc>
        <w:tc>
          <w:tcPr>
            <w:tcW w:w="1160" w:type="dxa"/>
            <w:tcBorders>
              <w:top w:val="nil"/>
              <w:left w:val="nil"/>
              <w:bottom w:val="nil"/>
              <w:right w:val="nil"/>
            </w:tcBorders>
            <w:shd w:val="clear" w:color="auto" w:fill="auto"/>
            <w:noWrap/>
            <w:vAlign w:val="bottom"/>
            <w:hideMark/>
          </w:tcPr>
          <w:p w14:paraId="42770C02"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(0.01)</w:t>
            </w:r>
          </w:p>
        </w:tc>
        <w:tc>
          <w:tcPr>
            <w:tcW w:w="1160" w:type="dxa"/>
            <w:tcBorders>
              <w:top w:val="nil"/>
              <w:left w:val="nil"/>
              <w:bottom w:val="nil"/>
              <w:right w:val="nil"/>
            </w:tcBorders>
            <w:shd w:val="clear" w:color="auto" w:fill="auto"/>
            <w:noWrap/>
            <w:vAlign w:val="bottom"/>
            <w:hideMark/>
          </w:tcPr>
          <w:p w14:paraId="6C1478E6"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(0.02)</w:t>
            </w:r>
          </w:p>
        </w:tc>
        <w:tc>
          <w:tcPr>
            <w:tcW w:w="1160" w:type="dxa"/>
            <w:tcBorders>
              <w:top w:val="nil"/>
              <w:left w:val="nil"/>
              <w:bottom w:val="nil"/>
              <w:right w:val="nil"/>
            </w:tcBorders>
            <w:shd w:val="clear" w:color="auto" w:fill="auto"/>
            <w:noWrap/>
            <w:vAlign w:val="bottom"/>
            <w:hideMark/>
          </w:tcPr>
          <w:p w14:paraId="686EF707"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(0.01)</w:t>
            </w:r>
          </w:p>
        </w:tc>
        <w:tc>
          <w:tcPr>
            <w:tcW w:w="1160" w:type="dxa"/>
            <w:tcBorders>
              <w:top w:val="nil"/>
              <w:left w:val="nil"/>
              <w:bottom w:val="nil"/>
              <w:right w:val="nil"/>
            </w:tcBorders>
            <w:shd w:val="clear" w:color="auto" w:fill="auto"/>
            <w:noWrap/>
            <w:vAlign w:val="bottom"/>
            <w:hideMark/>
          </w:tcPr>
          <w:p w14:paraId="0407C1E8"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(0.01)</w:t>
            </w:r>
          </w:p>
        </w:tc>
      </w:tr>
      <w:tr w:rsidR="00004D6D" w:rsidRPr="00F24865" w14:paraId="51C1D675" w14:textId="77777777" w:rsidTr="00004D6D">
        <w:trPr>
          <w:trHeight w:val="20"/>
        </w:trPr>
        <w:tc>
          <w:tcPr>
            <w:tcW w:w="2860" w:type="dxa"/>
            <w:tcBorders>
              <w:top w:val="nil"/>
              <w:left w:val="nil"/>
              <w:bottom w:val="nil"/>
              <w:right w:val="nil"/>
            </w:tcBorders>
            <w:shd w:val="clear" w:color="auto" w:fill="auto"/>
            <w:noWrap/>
            <w:vAlign w:val="bottom"/>
            <w:hideMark/>
          </w:tcPr>
          <w:p w14:paraId="6775215D"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Tobin's Q</w:t>
            </w:r>
          </w:p>
        </w:tc>
        <w:tc>
          <w:tcPr>
            <w:tcW w:w="1160" w:type="dxa"/>
            <w:tcBorders>
              <w:top w:val="nil"/>
              <w:left w:val="nil"/>
              <w:bottom w:val="nil"/>
              <w:right w:val="nil"/>
            </w:tcBorders>
            <w:shd w:val="clear" w:color="auto" w:fill="auto"/>
            <w:noWrap/>
            <w:vAlign w:val="bottom"/>
            <w:hideMark/>
          </w:tcPr>
          <w:p w14:paraId="138DEA85"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0.45***</w:t>
            </w:r>
          </w:p>
        </w:tc>
        <w:tc>
          <w:tcPr>
            <w:tcW w:w="1160" w:type="dxa"/>
            <w:tcBorders>
              <w:top w:val="nil"/>
              <w:left w:val="nil"/>
              <w:bottom w:val="nil"/>
              <w:right w:val="nil"/>
            </w:tcBorders>
            <w:shd w:val="clear" w:color="auto" w:fill="auto"/>
            <w:noWrap/>
            <w:vAlign w:val="bottom"/>
            <w:hideMark/>
          </w:tcPr>
          <w:p w14:paraId="466A9BDA"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02E9C221"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5CC92DD9"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0.26</w:t>
            </w:r>
          </w:p>
        </w:tc>
        <w:tc>
          <w:tcPr>
            <w:tcW w:w="1160" w:type="dxa"/>
            <w:tcBorders>
              <w:top w:val="nil"/>
              <w:left w:val="nil"/>
              <w:bottom w:val="nil"/>
              <w:right w:val="nil"/>
            </w:tcBorders>
            <w:shd w:val="clear" w:color="auto" w:fill="auto"/>
            <w:noWrap/>
            <w:vAlign w:val="bottom"/>
            <w:hideMark/>
          </w:tcPr>
          <w:p w14:paraId="2CF0D113"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2D919E52"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0.18</w:t>
            </w:r>
          </w:p>
        </w:tc>
        <w:tc>
          <w:tcPr>
            <w:tcW w:w="1160" w:type="dxa"/>
            <w:tcBorders>
              <w:top w:val="nil"/>
              <w:left w:val="nil"/>
              <w:bottom w:val="nil"/>
              <w:right w:val="nil"/>
            </w:tcBorders>
            <w:shd w:val="clear" w:color="auto" w:fill="auto"/>
            <w:noWrap/>
            <w:vAlign w:val="bottom"/>
            <w:hideMark/>
          </w:tcPr>
          <w:p w14:paraId="46737027"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nil"/>
              <w:right w:val="nil"/>
            </w:tcBorders>
            <w:shd w:val="clear" w:color="auto" w:fill="auto"/>
            <w:noWrap/>
            <w:vAlign w:val="bottom"/>
            <w:hideMark/>
          </w:tcPr>
          <w:p w14:paraId="55A26321"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0.11</w:t>
            </w:r>
          </w:p>
        </w:tc>
      </w:tr>
      <w:tr w:rsidR="00004D6D" w:rsidRPr="00F24865" w14:paraId="1FA207B6" w14:textId="77777777" w:rsidTr="00004D6D">
        <w:trPr>
          <w:trHeight w:val="20"/>
        </w:trPr>
        <w:tc>
          <w:tcPr>
            <w:tcW w:w="2860" w:type="dxa"/>
            <w:tcBorders>
              <w:top w:val="nil"/>
              <w:left w:val="nil"/>
              <w:bottom w:val="single" w:sz="4" w:space="0" w:color="auto"/>
              <w:right w:val="nil"/>
            </w:tcBorders>
            <w:shd w:val="clear" w:color="auto" w:fill="auto"/>
            <w:noWrap/>
            <w:vAlign w:val="bottom"/>
            <w:hideMark/>
          </w:tcPr>
          <w:p w14:paraId="144D2ECF" w14:textId="77777777" w:rsidR="00004D6D" w:rsidRPr="00F24865" w:rsidRDefault="00004D6D" w:rsidP="00004D6D">
            <w:pPr>
              <w:spacing w:after="0" w:line="240" w:lineRule="auto"/>
              <w:rPr>
                <w:rFonts w:ascii="Times New Roman" w:eastAsia="Times New Roman" w:hAnsi="Times New Roman" w:cs="Times New Roman"/>
                <w:sz w:val="18"/>
                <w:szCs w:val="18"/>
                <w:lang w:val="en-US" w:eastAsia="en-GB"/>
              </w:rPr>
            </w:pPr>
          </w:p>
        </w:tc>
        <w:tc>
          <w:tcPr>
            <w:tcW w:w="1160" w:type="dxa"/>
            <w:tcBorders>
              <w:top w:val="nil"/>
              <w:left w:val="nil"/>
              <w:bottom w:val="single" w:sz="4" w:space="0" w:color="auto"/>
              <w:right w:val="nil"/>
            </w:tcBorders>
            <w:shd w:val="clear" w:color="auto" w:fill="auto"/>
            <w:noWrap/>
            <w:vAlign w:val="bottom"/>
            <w:hideMark/>
          </w:tcPr>
          <w:p w14:paraId="700968AE"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(0.11)</w:t>
            </w:r>
          </w:p>
        </w:tc>
        <w:tc>
          <w:tcPr>
            <w:tcW w:w="1160" w:type="dxa"/>
            <w:tcBorders>
              <w:top w:val="nil"/>
              <w:left w:val="nil"/>
              <w:bottom w:val="single" w:sz="4" w:space="0" w:color="auto"/>
              <w:right w:val="nil"/>
            </w:tcBorders>
            <w:shd w:val="clear" w:color="auto" w:fill="auto"/>
            <w:noWrap/>
            <w:vAlign w:val="bottom"/>
            <w:hideMark/>
          </w:tcPr>
          <w:p w14:paraId="3401BEDE"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single" w:sz="4" w:space="0" w:color="auto"/>
              <w:right w:val="nil"/>
            </w:tcBorders>
            <w:shd w:val="clear" w:color="auto" w:fill="auto"/>
            <w:noWrap/>
            <w:vAlign w:val="bottom"/>
            <w:hideMark/>
          </w:tcPr>
          <w:p w14:paraId="4204149A"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single" w:sz="4" w:space="0" w:color="auto"/>
              <w:right w:val="nil"/>
            </w:tcBorders>
            <w:shd w:val="clear" w:color="auto" w:fill="auto"/>
            <w:noWrap/>
            <w:vAlign w:val="bottom"/>
            <w:hideMark/>
          </w:tcPr>
          <w:p w14:paraId="31973C80"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(0.16)</w:t>
            </w:r>
          </w:p>
        </w:tc>
        <w:tc>
          <w:tcPr>
            <w:tcW w:w="1160" w:type="dxa"/>
            <w:tcBorders>
              <w:top w:val="nil"/>
              <w:left w:val="nil"/>
              <w:bottom w:val="single" w:sz="4" w:space="0" w:color="auto"/>
              <w:right w:val="nil"/>
            </w:tcBorders>
            <w:shd w:val="clear" w:color="auto" w:fill="auto"/>
            <w:noWrap/>
            <w:vAlign w:val="bottom"/>
            <w:hideMark/>
          </w:tcPr>
          <w:p w14:paraId="11F8CB33"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single" w:sz="4" w:space="0" w:color="auto"/>
              <w:right w:val="nil"/>
            </w:tcBorders>
            <w:shd w:val="clear" w:color="auto" w:fill="auto"/>
            <w:noWrap/>
            <w:vAlign w:val="bottom"/>
            <w:hideMark/>
          </w:tcPr>
          <w:p w14:paraId="10982F0F"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(0.18)</w:t>
            </w:r>
          </w:p>
        </w:tc>
        <w:tc>
          <w:tcPr>
            <w:tcW w:w="1160" w:type="dxa"/>
            <w:tcBorders>
              <w:top w:val="nil"/>
              <w:left w:val="nil"/>
              <w:bottom w:val="single" w:sz="4" w:space="0" w:color="auto"/>
              <w:right w:val="nil"/>
            </w:tcBorders>
            <w:shd w:val="clear" w:color="auto" w:fill="auto"/>
            <w:noWrap/>
            <w:vAlign w:val="bottom"/>
            <w:hideMark/>
          </w:tcPr>
          <w:p w14:paraId="39520986"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p>
        </w:tc>
        <w:tc>
          <w:tcPr>
            <w:tcW w:w="1160" w:type="dxa"/>
            <w:tcBorders>
              <w:top w:val="nil"/>
              <w:left w:val="nil"/>
              <w:bottom w:val="single" w:sz="4" w:space="0" w:color="auto"/>
              <w:right w:val="nil"/>
            </w:tcBorders>
            <w:shd w:val="clear" w:color="auto" w:fill="auto"/>
            <w:noWrap/>
            <w:vAlign w:val="bottom"/>
            <w:hideMark/>
          </w:tcPr>
          <w:p w14:paraId="1B442090" w14:textId="77777777" w:rsidR="00004D6D" w:rsidRPr="00F24865" w:rsidRDefault="00004D6D" w:rsidP="00004D6D">
            <w:pPr>
              <w:spacing w:after="0" w:line="240" w:lineRule="auto"/>
              <w:jc w:val="center"/>
              <w:rPr>
                <w:rFonts w:ascii="Times New Roman" w:eastAsia="Times New Roman" w:hAnsi="Times New Roman" w:cs="Times New Roman"/>
                <w:sz w:val="18"/>
                <w:szCs w:val="18"/>
                <w:lang w:val="en-US" w:eastAsia="en-GB"/>
              </w:rPr>
            </w:pPr>
            <w:r w:rsidRPr="00F24865">
              <w:rPr>
                <w:rFonts w:ascii="Times New Roman" w:eastAsia="Times New Roman" w:hAnsi="Times New Roman" w:cs="Times New Roman"/>
                <w:sz w:val="18"/>
                <w:szCs w:val="18"/>
                <w:lang w:val="en-US" w:eastAsia="en-GB"/>
              </w:rPr>
              <w:t>(0.07)</w:t>
            </w:r>
          </w:p>
        </w:tc>
      </w:tr>
      <w:tr w:rsidR="00004D6D" w:rsidRPr="00F24865" w14:paraId="157C3187" w14:textId="77777777" w:rsidTr="00004D6D">
        <w:trPr>
          <w:trHeight w:val="20"/>
        </w:trPr>
        <w:tc>
          <w:tcPr>
            <w:tcW w:w="2860" w:type="dxa"/>
            <w:tcBorders>
              <w:top w:val="single" w:sz="4" w:space="0" w:color="auto"/>
              <w:left w:val="nil"/>
              <w:bottom w:val="nil"/>
              <w:right w:val="nil"/>
            </w:tcBorders>
            <w:shd w:val="clear" w:color="auto" w:fill="auto"/>
            <w:noWrap/>
            <w:vAlign w:val="bottom"/>
            <w:hideMark/>
          </w:tcPr>
          <w:p w14:paraId="260E8AF7" w14:textId="77777777" w:rsidR="00004D6D" w:rsidRPr="00F24865" w:rsidRDefault="00004D6D" w:rsidP="00004D6D">
            <w:pPr>
              <w:spacing w:after="0" w:line="240" w:lineRule="auto"/>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Observations</w:t>
            </w:r>
          </w:p>
        </w:tc>
        <w:tc>
          <w:tcPr>
            <w:tcW w:w="1160" w:type="dxa"/>
            <w:tcBorders>
              <w:top w:val="single" w:sz="4" w:space="0" w:color="auto"/>
              <w:left w:val="nil"/>
              <w:bottom w:val="nil"/>
              <w:right w:val="nil"/>
            </w:tcBorders>
            <w:shd w:val="clear" w:color="auto" w:fill="auto"/>
            <w:noWrap/>
            <w:vAlign w:val="bottom"/>
            <w:hideMark/>
          </w:tcPr>
          <w:p w14:paraId="16F5E1E7"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74</w:t>
            </w:r>
          </w:p>
        </w:tc>
        <w:tc>
          <w:tcPr>
            <w:tcW w:w="1160" w:type="dxa"/>
            <w:tcBorders>
              <w:top w:val="single" w:sz="4" w:space="0" w:color="auto"/>
              <w:left w:val="nil"/>
              <w:bottom w:val="nil"/>
              <w:right w:val="nil"/>
            </w:tcBorders>
            <w:shd w:val="clear" w:color="auto" w:fill="auto"/>
            <w:noWrap/>
            <w:vAlign w:val="bottom"/>
            <w:hideMark/>
          </w:tcPr>
          <w:p w14:paraId="71E808EC"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156</w:t>
            </w:r>
          </w:p>
        </w:tc>
        <w:tc>
          <w:tcPr>
            <w:tcW w:w="1160" w:type="dxa"/>
            <w:tcBorders>
              <w:top w:val="single" w:sz="4" w:space="0" w:color="auto"/>
              <w:left w:val="nil"/>
              <w:bottom w:val="nil"/>
              <w:right w:val="nil"/>
            </w:tcBorders>
            <w:shd w:val="clear" w:color="auto" w:fill="auto"/>
            <w:noWrap/>
            <w:vAlign w:val="bottom"/>
            <w:hideMark/>
          </w:tcPr>
          <w:p w14:paraId="6DAB33CD"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156</w:t>
            </w:r>
          </w:p>
        </w:tc>
        <w:tc>
          <w:tcPr>
            <w:tcW w:w="1160" w:type="dxa"/>
            <w:tcBorders>
              <w:top w:val="single" w:sz="4" w:space="0" w:color="auto"/>
              <w:left w:val="nil"/>
              <w:bottom w:val="nil"/>
              <w:right w:val="nil"/>
            </w:tcBorders>
            <w:shd w:val="clear" w:color="auto" w:fill="auto"/>
            <w:noWrap/>
            <w:vAlign w:val="bottom"/>
            <w:hideMark/>
          </w:tcPr>
          <w:p w14:paraId="5BEF393B"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78</w:t>
            </w:r>
          </w:p>
        </w:tc>
        <w:tc>
          <w:tcPr>
            <w:tcW w:w="1160" w:type="dxa"/>
            <w:tcBorders>
              <w:top w:val="single" w:sz="4" w:space="0" w:color="auto"/>
              <w:left w:val="nil"/>
              <w:bottom w:val="nil"/>
              <w:right w:val="nil"/>
            </w:tcBorders>
            <w:shd w:val="clear" w:color="auto" w:fill="auto"/>
            <w:noWrap/>
            <w:vAlign w:val="bottom"/>
            <w:hideMark/>
          </w:tcPr>
          <w:p w14:paraId="03736CB8"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218</w:t>
            </w:r>
          </w:p>
        </w:tc>
        <w:tc>
          <w:tcPr>
            <w:tcW w:w="1160" w:type="dxa"/>
            <w:tcBorders>
              <w:top w:val="single" w:sz="4" w:space="0" w:color="auto"/>
              <w:left w:val="nil"/>
              <w:bottom w:val="nil"/>
              <w:right w:val="nil"/>
            </w:tcBorders>
            <w:shd w:val="clear" w:color="auto" w:fill="auto"/>
            <w:noWrap/>
            <w:vAlign w:val="bottom"/>
            <w:hideMark/>
          </w:tcPr>
          <w:p w14:paraId="7E1E91FA"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139</w:t>
            </w:r>
          </w:p>
        </w:tc>
        <w:tc>
          <w:tcPr>
            <w:tcW w:w="1160" w:type="dxa"/>
            <w:tcBorders>
              <w:top w:val="single" w:sz="4" w:space="0" w:color="auto"/>
              <w:left w:val="nil"/>
              <w:bottom w:val="nil"/>
              <w:right w:val="nil"/>
            </w:tcBorders>
            <w:shd w:val="clear" w:color="auto" w:fill="auto"/>
            <w:noWrap/>
            <w:vAlign w:val="bottom"/>
            <w:hideMark/>
          </w:tcPr>
          <w:p w14:paraId="75D31A6E"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265</w:t>
            </w:r>
          </w:p>
        </w:tc>
        <w:tc>
          <w:tcPr>
            <w:tcW w:w="1160" w:type="dxa"/>
            <w:tcBorders>
              <w:top w:val="single" w:sz="4" w:space="0" w:color="auto"/>
              <w:left w:val="nil"/>
              <w:bottom w:val="nil"/>
              <w:right w:val="nil"/>
            </w:tcBorders>
            <w:shd w:val="clear" w:color="auto" w:fill="auto"/>
            <w:noWrap/>
            <w:vAlign w:val="bottom"/>
            <w:hideMark/>
          </w:tcPr>
          <w:p w14:paraId="3EA9DC7B"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182</w:t>
            </w:r>
          </w:p>
        </w:tc>
      </w:tr>
      <w:tr w:rsidR="00004D6D" w:rsidRPr="00F24865" w14:paraId="793EAE28" w14:textId="77777777" w:rsidTr="00004D6D">
        <w:trPr>
          <w:trHeight w:val="20"/>
        </w:trPr>
        <w:tc>
          <w:tcPr>
            <w:tcW w:w="2860" w:type="dxa"/>
            <w:tcBorders>
              <w:top w:val="nil"/>
              <w:left w:val="nil"/>
              <w:bottom w:val="nil"/>
              <w:right w:val="nil"/>
            </w:tcBorders>
            <w:shd w:val="clear" w:color="auto" w:fill="auto"/>
            <w:noWrap/>
            <w:vAlign w:val="bottom"/>
            <w:hideMark/>
          </w:tcPr>
          <w:p w14:paraId="5884CF86" w14:textId="77777777" w:rsidR="00004D6D" w:rsidRPr="00F24865" w:rsidRDefault="00004D6D" w:rsidP="00004D6D">
            <w:pPr>
              <w:spacing w:after="0" w:line="240" w:lineRule="auto"/>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R-squared</w:t>
            </w:r>
          </w:p>
        </w:tc>
        <w:tc>
          <w:tcPr>
            <w:tcW w:w="1160" w:type="dxa"/>
            <w:tcBorders>
              <w:top w:val="nil"/>
              <w:left w:val="nil"/>
              <w:bottom w:val="nil"/>
              <w:right w:val="nil"/>
            </w:tcBorders>
            <w:shd w:val="clear" w:color="auto" w:fill="auto"/>
            <w:noWrap/>
            <w:vAlign w:val="bottom"/>
            <w:hideMark/>
          </w:tcPr>
          <w:p w14:paraId="7A1A2C74"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0.549</w:t>
            </w:r>
          </w:p>
        </w:tc>
        <w:tc>
          <w:tcPr>
            <w:tcW w:w="1160" w:type="dxa"/>
            <w:tcBorders>
              <w:top w:val="nil"/>
              <w:left w:val="nil"/>
              <w:bottom w:val="nil"/>
              <w:right w:val="nil"/>
            </w:tcBorders>
            <w:shd w:val="clear" w:color="auto" w:fill="auto"/>
            <w:noWrap/>
            <w:vAlign w:val="bottom"/>
            <w:hideMark/>
          </w:tcPr>
          <w:p w14:paraId="59286A1B"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0.260</w:t>
            </w:r>
          </w:p>
        </w:tc>
        <w:tc>
          <w:tcPr>
            <w:tcW w:w="1160" w:type="dxa"/>
            <w:tcBorders>
              <w:top w:val="nil"/>
              <w:left w:val="nil"/>
              <w:bottom w:val="nil"/>
              <w:right w:val="nil"/>
            </w:tcBorders>
            <w:shd w:val="clear" w:color="auto" w:fill="auto"/>
            <w:noWrap/>
            <w:vAlign w:val="bottom"/>
            <w:hideMark/>
          </w:tcPr>
          <w:p w14:paraId="7E7B7355"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610488CD"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0601034F"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0.242</w:t>
            </w:r>
          </w:p>
        </w:tc>
        <w:tc>
          <w:tcPr>
            <w:tcW w:w="1160" w:type="dxa"/>
            <w:tcBorders>
              <w:top w:val="nil"/>
              <w:left w:val="nil"/>
              <w:bottom w:val="nil"/>
              <w:right w:val="nil"/>
            </w:tcBorders>
            <w:shd w:val="clear" w:color="auto" w:fill="auto"/>
            <w:noWrap/>
            <w:vAlign w:val="bottom"/>
            <w:hideMark/>
          </w:tcPr>
          <w:p w14:paraId="6FE89136"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0.377</w:t>
            </w:r>
          </w:p>
        </w:tc>
        <w:tc>
          <w:tcPr>
            <w:tcW w:w="1160" w:type="dxa"/>
            <w:tcBorders>
              <w:top w:val="nil"/>
              <w:left w:val="nil"/>
              <w:bottom w:val="nil"/>
              <w:right w:val="nil"/>
            </w:tcBorders>
            <w:shd w:val="clear" w:color="auto" w:fill="auto"/>
            <w:noWrap/>
            <w:vAlign w:val="bottom"/>
            <w:hideMark/>
          </w:tcPr>
          <w:p w14:paraId="4817C891"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53763792"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r>
      <w:tr w:rsidR="00004D6D" w:rsidRPr="00F24865" w14:paraId="105C3A37" w14:textId="77777777" w:rsidTr="00004D6D">
        <w:trPr>
          <w:trHeight w:val="20"/>
        </w:trPr>
        <w:tc>
          <w:tcPr>
            <w:tcW w:w="2860" w:type="dxa"/>
            <w:tcBorders>
              <w:top w:val="nil"/>
              <w:left w:val="nil"/>
              <w:bottom w:val="nil"/>
              <w:right w:val="nil"/>
            </w:tcBorders>
            <w:shd w:val="clear" w:color="auto" w:fill="auto"/>
            <w:noWrap/>
            <w:vAlign w:val="bottom"/>
            <w:hideMark/>
          </w:tcPr>
          <w:p w14:paraId="74AC37BA" w14:textId="77777777" w:rsidR="00004D6D" w:rsidRPr="00F24865" w:rsidRDefault="00004D6D" w:rsidP="00004D6D">
            <w:pPr>
              <w:spacing w:after="0" w:line="240" w:lineRule="auto"/>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Number of firms</w:t>
            </w:r>
          </w:p>
        </w:tc>
        <w:tc>
          <w:tcPr>
            <w:tcW w:w="1160" w:type="dxa"/>
            <w:tcBorders>
              <w:top w:val="nil"/>
              <w:left w:val="nil"/>
              <w:bottom w:val="nil"/>
              <w:right w:val="nil"/>
            </w:tcBorders>
            <w:shd w:val="clear" w:color="auto" w:fill="auto"/>
            <w:noWrap/>
            <w:vAlign w:val="bottom"/>
            <w:hideMark/>
          </w:tcPr>
          <w:p w14:paraId="0DE2DCE0"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23</w:t>
            </w:r>
          </w:p>
        </w:tc>
        <w:tc>
          <w:tcPr>
            <w:tcW w:w="1160" w:type="dxa"/>
            <w:tcBorders>
              <w:top w:val="nil"/>
              <w:left w:val="nil"/>
              <w:bottom w:val="nil"/>
              <w:right w:val="nil"/>
            </w:tcBorders>
            <w:shd w:val="clear" w:color="auto" w:fill="auto"/>
            <w:noWrap/>
            <w:vAlign w:val="bottom"/>
            <w:hideMark/>
          </w:tcPr>
          <w:p w14:paraId="53402C0E"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28</w:t>
            </w:r>
          </w:p>
        </w:tc>
        <w:tc>
          <w:tcPr>
            <w:tcW w:w="1160" w:type="dxa"/>
            <w:tcBorders>
              <w:top w:val="nil"/>
              <w:left w:val="nil"/>
              <w:bottom w:val="nil"/>
              <w:right w:val="nil"/>
            </w:tcBorders>
            <w:shd w:val="clear" w:color="auto" w:fill="auto"/>
            <w:noWrap/>
            <w:vAlign w:val="bottom"/>
            <w:hideMark/>
          </w:tcPr>
          <w:p w14:paraId="5FE6F524"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28</w:t>
            </w:r>
          </w:p>
        </w:tc>
        <w:tc>
          <w:tcPr>
            <w:tcW w:w="1160" w:type="dxa"/>
            <w:tcBorders>
              <w:top w:val="nil"/>
              <w:left w:val="nil"/>
              <w:bottom w:val="nil"/>
              <w:right w:val="nil"/>
            </w:tcBorders>
            <w:shd w:val="clear" w:color="auto" w:fill="auto"/>
            <w:noWrap/>
            <w:vAlign w:val="bottom"/>
            <w:hideMark/>
          </w:tcPr>
          <w:p w14:paraId="3A576109"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24</w:t>
            </w:r>
          </w:p>
        </w:tc>
        <w:tc>
          <w:tcPr>
            <w:tcW w:w="1160" w:type="dxa"/>
            <w:tcBorders>
              <w:top w:val="nil"/>
              <w:left w:val="nil"/>
              <w:bottom w:val="nil"/>
              <w:right w:val="nil"/>
            </w:tcBorders>
            <w:shd w:val="clear" w:color="auto" w:fill="auto"/>
            <w:noWrap/>
            <w:vAlign w:val="bottom"/>
            <w:hideMark/>
          </w:tcPr>
          <w:p w14:paraId="453272E2"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46</w:t>
            </w:r>
          </w:p>
        </w:tc>
        <w:tc>
          <w:tcPr>
            <w:tcW w:w="1160" w:type="dxa"/>
            <w:tcBorders>
              <w:top w:val="nil"/>
              <w:left w:val="nil"/>
              <w:bottom w:val="nil"/>
              <w:right w:val="nil"/>
            </w:tcBorders>
            <w:shd w:val="clear" w:color="auto" w:fill="auto"/>
            <w:noWrap/>
            <w:vAlign w:val="bottom"/>
            <w:hideMark/>
          </w:tcPr>
          <w:p w14:paraId="3B6E0F0F"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38</w:t>
            </w:r>
          </w:p>
        </w:tc>
        <w:tc>
          <w:tcPr>
            <w:tcW w:w="1160" w:type="dxa"/>
            <w:tcBorders>
              <w:top w:val="nil"/>
              <w:left w:val="nil"/>
              <w:bottom w:val="nil"/>
              <w:right w:val="nil"/>
            </w:tcBorders>
            <w:shd w:val="clear" w:color="auto" w:fill="auto"/>
            <w:noWrap/>
            <w:vAlign w:val="bottom"/>
            <w:hideMark/>
          </w:tcPr>
          <w:p w14:paraId="08448CD1"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49</w:t>
            </w:r>
          </w:p>
        </w:tc>
        <w:tc>
          <w:tcPr>
            <w:tcW w:w="1160" w:type="dxa"/>
            <w:tcBorders>
              <w:top w:val="nil"/>
              <w:left w:val="nil"/>
              <w:bottom w:val="nil"/>
              <w:right w:val="nil"/>
            </w:tcBorders>
            <w:shd w:val="clear" w:color="auto" w:fill="auto"/>
            <w:noWrap/>
            <w:vAlign w:val="bottom"/>
            <w:hideMark/>
          </w:tcPr>
          <w:p w14:paraId="48DAE3A6"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42</w:t>
            </w:r>
          </w:p>
        </w:tc>
      </w:tr>
      <w:tr w:rsidR="00004D6D" w:rsidRPr="00F24865" w14:paraId="3D56A3C2" w14:textId="77777777" w:rsidTr="00004D6D">
        <w:trPr>
          <w:trHeight w:val="20"/>
        </w:trPr>
        <w:tc>
          <w:tcPr>
            <w:tcW w:w="2860" w:type="dxa"/>
            <w:tcBorders>
              <w:top w:val="nil"/>
              <w:left w:val="nil"/>
              <w:bottom w:val="nil"/>
              <w:right w:val="nil"/>
            </w:tcBorders>
            <w:shd w:val="clear" w:color="auto" w:fill="auto"/>
            <w:noWrap/>
            <w:vAlign w:val="bottom"/>
            <w:hideMark/>
          </w:tcPr>
          <w:p w14:paraId="3D31FA77" w14:textId="77777777" w:rsidR="00004D6D" w:rsidRPr="00F24865" w:rsidRDefault="00004D6D" w:rsidP="00004D6D">
            <w:pPr>
              <w:spacing w:after="0" w:line="240" w:lineRule="auto"/>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Wald Test for Joint Significance</w:t>
            </w:r>
          </w:p>
        </w:tc>
        <w:tc>
          <w:tcPr>
            <w:tcW w:w="1160" w:type="dxa"/>
            <w:tcBorders>
              <w:top w:val="nil"/>
              <w:left w:val="nil"/>
              <w:bottom w:val="nil"/>
              <w:right w:val="nil"/>
            </w:tcBorders>
            <w:shd w:val="clear" w:color="auto" w:fill="auto"/>
            <w:noWrap/>
            <w:vAlign w:val="bottom"/>
            <w:hideMark/>
          </w:tcPr>
          <w:p w14:paraId="416280B2"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0.0184</w:t>
            </w:r>
          </w:p>
        </w:tc>
        <w:tc>
          <w:tcPr>
            <w:tcW w:w="1160" w:type="dxa"/>
            <w:tcBorders>
              <w:top w:val="nil"/>
              <w:left w:val="nil"/>
              <w:bottom w:val="nil"/>
              <w:right w:val="nil"/>
            </w:tcBorders>
            <w:shd w:val="clear" w:color="auto" w:fill="auto"/>
            <w:noWrap/>
            <w:vAlign w:val="bottom"/>
            <w:hideMark/>
          </w:tcPr>
          <w:p w14:paraId="7AF001DB"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0.1506</w:t>
            </w:r>
          </w:p>
        </w:tc>
        <w:tc>
          <w:tcPr>
            <w:tcW w:w="1160" w:type="dxa"/>
            <w:tcBorders>
              <w:top w:val="nil"/>
              <w:left w:val="nil"/>
              <w:bottom w:val="nil"/>
              <w:right w:val="nil"/>
            </w:tcBorders>
            <w:shd w:val="clear" w:color="auto" w:fill="auto"/>
            <w:noWrap/>
            <w:vAlign w:val="bottom"/>
            <w:hideMark/>
          </w:tcPr>
          <w:p w14:paraId="64841C8D"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0.0446</w:t>
            </w:r>
          </w:p>
        </w:tc>
        <w:tc>
          <w:tcPr>
            <w:tcW w:w="1160" w:type="dxa"/>
            <w:tcBorders>
              <w:top w:val="nil"/>
              <w:left w:val="nil"/>
              <w:bottom w:val="nil"/>
              <w:right w:val="nil"/>
            </w:tcBorders>
            <w:shd w:val="clear" w:color="auto" w:fill="auto"/>
            <w:noWrap/>
            <w:vAlign w:val="bottom"/>
            <w:hideMark/>
          </w:tcPr>
          <w:p w14:paraId="3B483FF0"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0.278</w:t>
            </w:r>
          </w:p>
        </w:tc>
        <w:tc>
          <w:tcPr>
            <w:tcW w:w="1160" w:type="dxa"/>
            <w:tcBorders>
              <w:top w:val="nil"/>
              <w:left w:val="nil"/>
              <w:bottom w:val="nil"/>
              <w:right w:val="nil"/>
            </w:tcBorders>
            <w:shd w:val="clear" w:color="auto" w:fill="auto"/>
            <w:noWrap/>
            <w:vAlign w:val="bottom"/>
            <w:hideMark/>
          </w:tcPr>
          <w:p w14:paraId="5DC9B78C"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0.0057</w:t>
            </w:r>
          </w:p>
        </w:tc>
        <w:tc>
          <w:tcPr>
            <w:tcW w:w="1160" w:type="dxa"/>
            <w:tcBorders>
              <w:top w:val="nil"/>
              <w:left w:val="nil"/>
              <w:bottom w:val="nil"/>
              <w:right w:val="nil"/>
            </w:tcBorders>
            <w:shd w:val="clear" w:color="auto" w:fill="auto"/>
            <w:noWrap/>
            <w:vAlign w:val="bottom"/>
            <w:hideMark/>
          </w:tcPr>
          <w:p w14:paraId="1E935C24"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0.0006</w:t>
            </w:r>
          </w:p>
        </w:tc>
        <w:tc>
          <w:tcPr>
            <w:tcW w:w="1160" w:type="dxa"/>
            <w:tcBorders>
              <w:top w:val="nil"/>
              <w:left w:val="nil"/>
              <w:bottom w:val="nil"/>
              <w:right w:val="nil"/>
            </w:tcBorders>
            <w:shd w:val="clear" w:color="auto" w:fill="auto"/>
            <w:noWrap/>
            <w:vAlign w:val="bottom"/>
            <w:hideMark/>
          </w:tcPr>
          <w:p w14:paraId="1642823C"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1.42e-09</w:t>
            </w:r>
          </w:p>
        </w:tc>
        <w:tc>
          <w:tcPr>
            <w:tcW w:w="1160" w:type="dxa"/>
            <w:tcBorders>
              <w:top w:val="nil"/>
              <w:left w:val="nil"/>
              <w:bottom w:val="nil"/>
              <w:right w:val="nil"/>
            </w:tcBorders>
            <w:shd w:val="clear" w:color="auto" w:fill="auto"/>
            <w:noWrap/>
            <w:vAlign w:val="bottom"/>
            <w:hideMark/>
          </w:tcPr>
          <w:p w14:paraId="108AF145"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0.000</w:t>
            </w:r>
          </w:p>
        </w:tc>
      </w:tr>
      <w:tr w:rsidR="00004D6D" w:rsidRPr="00F24865" w14:paraId="73D8BDFE" w14:textId="77777777" w:rsidTr="00004D6D">
        <w:trPr>
          <w:trHeight w:val="20"/>
        </w:trPr>
        <w:tc>
          <w:tcPr>
            <w:tcW w:w="2860" w:type="dxa"/>
            <w:tcBorders>
              <w:top w:val="nil"/>
              <w:left w:val="nil"/>
              <w:bottom w:val="nil"/>
              <w:right w:val="nil"/>
            </w:tcBorders>
            <w:shd w:val="clear" w:color="auto" w:fill="auto"/>
            <w:noWrap/>
            <w:vAlign w:val="bottom"/>
            <w:hideMark/>
          </w:tcPr>
          <w:p w14:paraId="3FD50C17" w14:textId="77777777" w:rsidR="00004D6D" w:rsidRPr="00F24865" w:rsidRDefault="00004D6D" w:rsidP="00004D6D">
            <w:pPr>
              <w:spacing w:after="0" w:line="240" w:lineRule="auto"/>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Number of instruments</w:t>
            </w:r>
          </w:p>
        </w:tc>
        <w:tc>
          <w:tcPr>
            <w:tcW w:w="1160" w:type="dxa"/>
            <w:tcBorders>
              <w:top w:val="nil"/>
              <w:left w:val="nil"/>
              <w:bottom w:val="nil"/>
              <w:right w:val="nil"/>
            </w:tcBorders>
            <w:shd w:val="clear" w:color="auto" w:fill="auto"/>
            <w:noWrap/>
            <w:vAlign w:val="bottom"/>
            <w:hideMark/>
          </w:tcPr>
          <w:p w14:paraId="6B3D9430"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346ADA5E"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02481567"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16</w:t>
            </w:r>
          </w:p>
        </w:tc>
        <w:tc>
          <w:tcPr>
            <w:tcW w:w="1160" w:type="dxa"/>
            <w:tcBorders>
              <w:top w:val="nil"/>
              <w:left w:val="nil"/>
              <w:bottom w:val="nil"/>
              <w:right w:val="nil"/>
            </w:tcBorders>
            <w:shd w:val="clear" w:color="auto" w:fill="auto"/>
            <w:noWrap/>
            <w:vAlign w:val="bottom"/>
            <w:hideMark/>
          </w:tcPr>
          <w:p w14:paraId="2269CE50"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16</w:t>
            </w:r>
          </w:p>
        </w:tc>
        <w:tc>
          <w:tcPr>
            <w:tcW w:w="1160" w:type="dxa"/>
            <w:tcBorders>
              <w:top w:val="nil"/>
              <w:left w:val="nil"/>
              <w:bottom w:val="nil"/>
              <w:right w:val="nil"/>
            </w:tcBorders>
            <w:shd w:val="clear" w:color="auto" w:fill="auto"/>
            <w:noWrap/>
            <w:vAlign w:val="bottom"/>
            <w:hideMark/>
          </w:tcPr>
          <w:p w14:paraId="501C87E3"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7196027A"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22E9FB8E"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22</w:t>
            </w:r>
          </w:p>
        </w:tc>
        <w:tc>
          <w:tcPr>
            <w:tcW w:w="1160" w:type="dxa"/>
            <w:tcBorders>
              <w:top w:val="nil"/>
              <w:left w:val="nil"/>
              <w:bottom w:val="nil"/>
              <w:right w:val="nil"/>
            </w:tcBorders>
            <w:shd w:val="clear" w:color="auto" w:fill="auto"/>
            <w:noWrap/>
            <w:vAlign w:val="bottom"/>
            <w:hideMark/>
          </w:tcPr>
          <w:p w14:paraId="05644C88"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22</w:t>
            </w:r>
          </w:p>
        </w:tc>
      </w:tr>
      <w:tr w:rsidR="00004D6D" w:rsidRPr="00F24865" w14:paraId="0913FB47" w14:textId="77777777" w:rsidTr="00004D6D">
        <w:trPr>
          <w:trHeight w:val="20"/>
        </w:trPr>
        <w:tc>
          <w:tcPr>
            <w:tcW w:w="2860" w:type="dxa"/>
            <w:tcBorders>
              <w:top w:val="nil"/>
              <w:left w:val="nil"/>
              <w:bottom w:val="nil"/>
              <w:right w:val="nil"/>
            </w:tcBorders>
            <w:shd w:val="clear" w:color="auto" w:fill="auto"/>
            <w:noWrap/>
            <w:vAlign w:val="bottom"/>
            <w:hideMark/>
          </w:tcPr>
          <w:p w14:paraId="5CFDA924" w14:textId="77777777" w:rsidR="00004D6D" w:rsidRPr="00F24865" w:rsidRDefault="00004D6D" w:rsidP="00004D6D">
            <w:pPr>
              <w:spacing w:after="0" w:line="240" w:lineRule="auto"/>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AR(1)</w:t>
            </w:r>
          </w:p>
        </w:tc>
        <w:tc>
          <w:tcPr>
            <w:tcW w:w="1160" w:type="dxa"/>
            <w:tcBorders>
              <w:top w:val="nil"/>
              <w:left w:val="nil"/>
              <w:bottom w:val="nil"/>
              <w:right w:val="nil"/>
            </w:tcBorders>
            <w:shd w:val="clear" w:color="auto" w:fill="auto"/>
            <w:noWrap/>
            <w:vAlign w:val="bottom"/>
            <w:hideMark/>
          </w:tcPr>
          <w:p w14:paraId="0A4EAB44"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070CF35F"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16E148AC"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-2.175</w:t>
            </w:r>
          </w:p>
        </w:tc>
        <w:tc>
          <w:tcPr>
            <w:tcW w:w="1160" w:type="dxa"/>
            <w:tcBorders>
              <w:top w:val="nil"/>
              <w:left w:val="nil"/>
              <w:bottom w:val="nil"/>
              <w:right w:val="nil"/>
            </w:tcBorders>
            <w:shd w:val="clear" w:color="auto" w:fill="auto"/>
            <w:noWrap/>
            <w:vAlign w:val="bottom"/>
            <w:hideMark/>
          </w:tcPr>
          <w:p w14:paraId="5BADBB0F"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-0.0854</w:t>
            </w:r>
          </w:p>
        </w:tc>
        <w:tc>
          <w:tcPr>
            <w:tcW w:w="1160" w:type="dxa"/>
            <w:tcBorders>
              <w:top w:val="nil"/>
              <w:left w:val="nil"/>
              <w:bottom w:val="nil"/>
              <w:right w:val="nil"/>
            </w:tcBorders>
            <w:shd w:val="clear" w:color="auto" w:fill="auto"/>
            <w:noWrap/>
            <w:vAlign w:val="bottom"/>
            <w:hideMark/>
          </w:tcPr>
          <w:p w14:paraId="32EE20B7"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7469E664"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1DB88956"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-0.146</w:t>
            </w:r>
          </w:p>
        </w:tc>
        <w:tc>
          <w:tcPr>
            <w:tcW w:w="1160" w:type="dxa"/>
            <w:tcBorders>
              <w:top w:val="nil"/>
              <w:left w:val="nil"/>
              <w:bottom w:val="nil"/>
              <w:right w:val="nil"/>
            </w:tcBorders>
            <w:shd w:val="clear" w:color="auto" w:fill="auto"/>
            <w:noWrap/>
            <w:vAlign w:val="bottom"/>
            <w:hideMark/>
          </w:tcPr>
          <w:p w14:paraId="4B795739"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-1.762</w:t>
            </w:r>
          </w:p>
        </w:tc>
      </w:tr>
      <w:tr w:rsidR="00004D6D" w:rsidRPr="00F24865" w14:paraId="2CBB0547" w14:textId="77777777" w:rsidTr="00004D6D">
        <w:trPr>
          <w:trHeight w:val="20"/>
        </w:trPr>
        <w:tc>
          <w:tcPr>
            <w:tcW w:w="2860" w:type="dxa"/>
            <w:tcBorders>
              <w:top w:val="nil"/>
              <w:left w:val="nil"/>
              <w:bottom w:val="nil"/>
              <w:right w:val="nil"/>
            </w:tcBorders>
            <w:shd w:val="clear" w:color="auto" w:fill="auto"/>
            <w:noWrap/>
            <w:vAlign w:val="bottom"/>
            <w:hideMark/>
          </w:tcPr>
          <w:p w14:paraId="5E9B96E7" w14:textId="77777777" w:rsidR="00004D6D" w:rsidRPr="00F24865" w:rsidRDefault="00004D6D" w:rsidP="00004D6D">
            <w:pPr>
              <w:spacing w:after="0" w:line="240" w:lineRule="auto"/>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P-Value AR(1)</w:t>
            </w:r>
          </w:p>
        </w:tc>
        <w:tc>
          <w:tcPr>
            <w:tcW w:w="1160" w:type="dxa"/>
            <w:tcBorders>
              <w:top w:val="nil"/>
              <w:left w:val="nil"/>
              <w:bottom w:val="nil"/>
              <w:right w:val="nil"/>
            </w:tcBorders>
            <w:shd w:val="clear" w:color="auto" w:fill="auto"/>
            <w:noWrap/>
            <w:vAlign w:val="bottom"/>
            <w:hideMark/>
          </w:tcPr>
          <w:p w14:paraId="11F8FA08"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179CBDC8"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73294FF6"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0.0296</w:t>
            </w:r>
          </w:p>
        </w:tc>
        <w:tc>
          <w:tcPr>
            <w:tcW w:w="1160" w:type="dxa"/>
            <w:tcBorders>
              <w:top w:val="nil"/>
              <w:left w:val="nil"/>
              <w:bottom w:val="nil"/>
              <w:right w:val="nil"/>
            </w:tcBorders>
            <w:shd w:val="clear" w:color="auto" w:fill="auto"/>
            <w:noWrap/>
            <w:vAlign w:val="bottom"/>
            <w:hideMark/>
          </w:tcPr>
          <w:p w14:paraId="12ED73F3"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0.932</w:t>
            </w:r>
          </w:p>
        </w:tc>
        <w:tc>
          <w:tcPr>
            <w:tcW w:w="1160" w:type="dxa"/>
            <w:tcBorders>
              <w:top w:val="nil"/>
              <w:left w:val="nil"/>
              <w:bottom w:val="nil"/>
              <w:right w:val="nil"/>
            </w:tcBorders>
            <w:shd w:val="clear" w:color="auto" w:fill="auto"/>
            <w:noWrap/>
            <w:vAlign w:val="bottom"/>
            <w:hideMark/>
          </w:tcPr>
          <w:p w14:paraId="3A85F430"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3FF5B725"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507FDAE3"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0.884</w:t>
            </w:r>
          </w:p>
        </w:tc>
        <w:tc>
          <w:tcPr>
            <w:tcW w:w="1160" w:type="dxa"/>
            <w:tcBorders>
              <w:top w:val="nil"/>
              <w:left w:val="nil"/>
              <w:bottom w:val="nil"/>
              <w:right w:val="nil"/>
            </w:tcBorders>
            <w:shd w:val="clear" w:color="auto" w:fill="auto"/>
            <w:noWrap/>
            <w:vAlign w:val="bottom"/>
            <w:hideMark/>
          </w:tcPr>
          <w:p w14:paraId="53FD0523"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0.0780</w:t>
            </w:r>
          </w:p>
        </w:tc>
      </w:tr>
      <w:tr w:rsidR="00004D6D" w:rsidRPr="00F24865" w14:paraId="7AD1D48D" w14:textId="77777777" w:rsidTr="00004D6D">
        <w:trPr>
          <w:trHeight w:val="20"/>
        </w:trPr>
        <w:tc>
          <w:tcPr>
            <w:tcW w:w="2860" w:type="dxa"/>
            <w:tcBorders>
              <w:top w:val="nil"/>
              <w:left w:val="nil"/>
              <w:bottom w:val="nil"/>
              <w:right w:val="nil"/>
            </w:tcBorders>
            <w:shd w:val="clear" w:color="auto" w:fill="auto"/>
            <w:noWrap/>
            <w:vAlign w:val="bottom"/>
            <w:hideMark/>
          </w:tcPr>
          <w:p w14:paraId="1DC64E69" w14:textId="77777777" w:rsidR="00004D6D" w:rsidRPr="00F24865" w:rsidRDefault="00004D6D" w:rsidP="00004D6D">
            <w:pPr>
              <w:spacing w:after="0" w:line="240" w:lineRule="auto"/>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AR(2)</w:t>
            </w:r>
          </w:p>
        </w:tc>
        <w:tc>
          <w:tcPr>
            <w:tcW w:w="1160" w:type="dxa"/>
            <w:tcBorders>
              <w:top w:val="nil"/>
              <w:left w:val="nil"/>
              <w:bottom w:val="nil"/>
              <w:right w:val="nil"/>
            </w:tcBorders>
            <w:shd w:val="clear" w:color="auto" w:fill="auto"/>
            <w:noWrap/>
            <w:vAlign w:val="bottom"/>
            <w:hideMark/>
          </w:tcPr>
          <w:p w14:paraId="5BBACEE9"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28A0A666"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361C6428"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-1.669</w:t>
            </w:r>
          </w:p>
        </w:tc>
        <w:tc>
          <w:tcPr>
            <w:tcW w:w="1160" w:type="dxa"/>
            <w:tcBorders>
              <w:top w:val="nil"/>
              <w:left w:val="nil"/>
              <w:bottom w:val="nil"/>
              <w:right w:val="nil"/>
            </w:tcBorders>
            <w:shd w:val="clear" w:color="auto" w:fill="auto"/>
            <w:noWrap/>
            <w:vAlign w:val="bottom"/>
            <w:hideMark/>
          </w:tcPr>
          <w:p w14:paraId="7A3B28D8"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-0.551</w:t>
            </w:r>
          </w:p>
        </w:tc>
        <w:tc>
          <w:tcPr>
            <w:tcW w:w="1160" w:type="dxa"/>
            <w:tcBorders>
              <w:top w:val="nil"/>
              <w:left w:val="nil"/>
              <w:bottom w:val="nil"/>
              <w:right w:val="nil"/>
            </w:tcBorders>
            <w:shd w:val="clear" w:color="auto" w:fill="auto"/>
            <w:noWrap/>
            <w:vAlign w:val="bottom"/>
            <w:hideMark/>
          </w:tcPr>
          <w:p w14:paraId="4A9AF043"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350015AE"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5F4C77CB"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-1.525</w:t>
            </w:r>
          </w:p>
        </w:tc>
        <w:tc>
          <w:tcPr>
            <w:tcW w:w="1160" w:type="dxa"/>
            <w:tcBorders>
              <w:top w:val="nil"/>
              <w:left w:val="nil"/>
              <w:bottom w:val="nil"/>
              <w:right w:val="nil"/>
            </w:tcBorders>
            <w:shd w:val="clear" w:color="auto" w:fill="auto"/>
            <w:noWrap/>
            <w:vAlign w:val="bottom"/>
            <w:hideMark/>
          </w:tcPr>
          <w:p w14:paraId="139CA0CF"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-1.007</w:t>
            </w:r>
          </w:p>
        </w:tc>
      </w:tr>
      <w:tr w:rsidR="00004D6D" w:rsidRPr="00F24865" w14:paraId="6B6E2740" w14:textId="77777777" w:rsidTr="00004D6D">
        <w:trPr>
          <w:trHeight w:val="20"/>
        </w:trPr>
        <w:tc>
          <w:tcPr>
            <w:tcW w:w="2860" w:type="dxa"/>
            <w:tcBorders>
              <w:top w:val="nil"/>
              <w:left w:val="nil"/>
              <w:right w:val="nil"/>
            </w:tcBorders>
            <w:shd w:val="clear" w:color="auto" w:fill="auto"/>
            <w:noWrap/>
            <w:vAlign w:val="bottom"/>
            <w:hideMark/>
          </w:tcPr>
          <w:p w14:paraId="5ED41DA2" w14:textId="77777777" w:rsidR="00004D6D" w:rsidRPr="00F24865" w:rsidRDefault="00004D6D" w:rsidP="00004D6D">
            <w:pPr>
              <w:spacing w:after="0" w:line="240" w:lineRule="auto"/>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P-Value AR(2)</w:t>
            </w:r>
          </w:p>
        </w:tc>
        <w:tc>
          <w:tcPr>
            <w:tcW w:w="1160" w:type="dxa"/>
            <w:tcBorders>
              <w:top w:val="nil"/>
              <w:left w:val="nil"/>
              <w:right w:val="nil"/>
            </w:tcBorders>
            <w:shd w:val="clear" w:color="auto" w:fill="auto"/>
            <w:noWrap/>
            <w:vAlign w:val="bottom"/>
            <w:hideMark/>
          </w:tcPr>
          <w:p w14:paraId="0A81A5CC"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right w:val="nil"/>
            </w:tcBorders>
            <w:shd w:val="clear" w:color="auto" w:fill="auto"/>
            <w:noWrap/>
            <w:vAlign w:val="bottom"/>
            <w:hideMark/>
          </w:tcPr>
          <w:p w14:paraId="2AC243B3"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right w:val="nil"/>
            </w:tcBorders>
            <w:shd w:val="clear" w:color="auto" w:fill="auto"/>
            <w:noWrap/>
            <w:vAlign w:val="bottom"/>
            <w:hideMark/>
          </w:tcPr>
          <w:p w14:paraId="79ABF387"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0.0951</w:t>
            </w:r>
          </w:p>
        </w:tc>
        <w:tc>
          <w:tcPr>
            <w:tcW w:w="1160" w:type="dxa"/>
            <w:tcBorders>
              <w:top w:val="nil"/>
              <w:left w:val="nil"/>
              <w:right w:val="nil"/>
            </w:tcBorders>
            <w:shd w:val="clear" w:color="auto" w:fill="auto"/>
            <w:noWrap/>
            <w:vAlign w:val="bottom"/>
            <w:hideMark/>
          </w:tcPr>
          <w:p w14:paraId="54AA8983"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0.581</w:t>
            </w:r>
          </w:p>
        </w:tc>
        <w:tc>
          <w:tcPr>
            <w:tcW w:w="1160" w:type="dxa"/>
            <w:tcBorders>
              <w:top w:val="nil"/>
              <w:left w:val="nil"/>
              <w:right w:val="nil"/>
            </w:tcBorders>
            <w:shd w:val="clear" w:color="auto" w:fill="auto"/>
            <w:noWrap/>
            <w:vAlign w:val="bottom"/>
            <w:hideMark/>
          </w:tcPr>
          <w:p w14:paraId="2D6A5004"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right w:val="nil"/>
            </w:tcBorders>
            <w:shd w:val="clear" w:color="auto" w:fill="auto"/>
            <w:noWrap/>
            <w:vAlign w:val="bottom"/>
            <w:hideMark/>
          </w:tcPr>
          <w:p w14:paraId="628C72BB"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right w:val="nil"/>
            </w:tcBorders>
            <w:shd w:val="clear" w:color="auto" w:fill="auto"/>
            <w:noWrap/>
            <w:vAlign w:val="bottom"/>
            <w:hideMark/>
          </w:tcPr>
          <w:p w14:paraId="411A6280"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0.127</w:t>
            </w:r>
          </w:p>
        </w:tc>
        <w:tc>
          <w:tcPr>
            <w:tcW w:w="1160" w:type="dxa"/>
            <w:tcBorders>
              <w:top w:val="nil"/>
              <w:left w:val="nil"/>
              <w:right w:val="nil"/>
            </w:tcBorders>
            <w:shd w:val="clear" w:color="auto" w:fill="auto"/>
            <w:noWrap/>
            <w:vAlign w:val="bottom"/>
            <w:hideMark/>
          </w:tcPr>
          <w:p w14:paraId="2C4197ED"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0.314</w:t>
            </w:r>
          </w:p>
        </w:tc>
      </w:tr>
      <w:tr w:rsidR="00004D6D" w:rsidRPr="00F24865" w14:paraId="43DDA016" w14:textId="77777777" w:rsidTr="00004D6D">
        <w:trPr>
          <w:trHeight w:val="20"/>
        </w:trPr>
        <w:tc>
          <w:tcPr>
            <w:tcW w:w="2860" w:type="dxa"/>
            <w:tcBorders>
              <w:top w:val="nil"/>
              <w:left w:val="nil"/>
              <w:bottom w:val="nil"/>
              <w:right w:val="nil"/>
            </w:tcBorders>
            <w:shd w:val="clear" w:color="auto" w:fill="auto"/>
            <w:noWrap/>
            <w:vAlign w:val="bottom"/>
            <w:hideMark/>
          </w:tcPr>
          <w:p w14:paraId="7BE4BF60" w14:textId="77777777" w:rsidR="00004D6D" w:rsidRPr="00F24865" w:rsidRDefault="00004D6D" w:rsidP="00004D6D">
            <w:pPr>
              <w:spacing w:after="0" w:line="240" w:lineRule="auto"/>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Hansen</w:t>
            </w:r>
          </w:p>
        </w:tc>
        <w:tc>
          <w:tcPr>
            <w:tcW w:w="1160" w:type="dxa"/>
            <w:tcBorders>
              <w:top w:val="nil"/>
              <w:left w:val="nil"/>
              <w:bottom w:val="nil"/>
              <w:right w:val="nil"/>
            </w:tcBorders>
            <w:shd w:val="clear" w:color="auto" w:fill="auto"/>
            <w:noWrap/>
            <w:vAlign w:val="bottom"/>
            <w:hideMark/>
          </w:tcPr>
          <w:p w14:paraId="118ED345"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2F4BA841"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04828335"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0.0286</w:t>
            </w:r>
          </w:p>
        </w:tc>
        <w:tc>
          <w:tcPr>
            <w:tcW w:w="1160" w:type="dxa"/>
            <w:tcBorders>
              <w:top w:val="nil"/>
              <w:left w:val="nil"/>
              <w:bottom w:val="nil"/>
              <w:right w:val="nil"/>
            </w:tcBorders>
            <w:shd w:val="clear" w:color="auto" w:fill="auto"/>
            <w:noWrap/>
            <w:vAlign w:val="bottom"/>
            <w:hideMark/>
          </w:tcPr>
          <w:p w14:paraId="1DF04792"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2.187</w:t>
            </w:r>
          </w:p>
        </w:tc>
        <w:tc>
          <w:tcPr>
            <w:tcW w:w="1160" w:type="dxa"/>
            <w:tcBorders>
              <w:top w:val="nil"/>
              <w:left w:val="nil"/>
              <w:bottom w:val="nil"/>
              <w:right w:val="nil"/>
            </w:tcBorders>
            <w:shd w:val="clear" w:color="auto" w:fill="auto"/>
            <w:noWrap/>
            <w:vAlign w:val="bottom"/>
            <w:hideMark/>
          </w:tcPr>
          <w:p w14:paraId="25F6722D"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7A86DC6B"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22C2FE4B"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8.989</w:t>
            </w:r>
          </w:p>
        </w:tc>
        <w:tc>
          <w:tcPr>
            <w:tcW w:w="1160" w:type="dxa"/>
            <w:tcBorders>
              <w:top w:val="nil"/>
              <w:left w:val="nil"/>
              <w:bottom w:val="nil"/>
              <w:right w:val="nil"/>
            </w:tcBorders>
            <w:shd w:val="clear" w:color="auto" w:fill="auto"/>
            <w:noWrap/>
            <w:vAlign w:val="bottom"/>
            <w:hideMark/>
          </w:tcPr>
          <w:p w14:paraId="2DA23BD2"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10.37</w:t>
            </w:r>
          </w:p>
        </w:tc>
      </w:tr>
      <w:tr w:rsidR="00004D6D" w:rsidRPr="00F24865" w14:paraId="0372A6E3" w14:textId="77777777" w:rsidTr="00004D6D">
        <w:trPr>
          <w:trHeight w:val="20"/>
        </w:trPr>
        <w:tc>
          <w:tcPr>
            <w:tcW w:w="2860" w:type="dxa"/>
            <w:tcBorders>
              <w:top w:val="nil"/>
              <w:left w:val="nil"/>
              <w:bottom w:val="single" w:sz="4" w:space="0" w:color="auto"/>
              <w:right w:val="nil"/>
            </w:tcBorders>
            <w:shd w:val="clear" w:color="auto" w:fill="auto"/>
            <w:noWrap/>
            <w:vAlign w:val="bottom"/>
            <w:hideMark/>
          </w:tcPr>
          <w:p w14:paraId="285339B2" w14:textId="77777777" w:rsidR="00004D6D" w:rsidRPr="00F24865" w:rsidRDefault="00004D6D" w:rsidP="00004D6D">
            <w:pPr>
              <w:spacing w:after="0" w:line="240" w:lineRule="auto"/>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Hansen p-value</w:t>
            </w:r>
          </w:p>
        </w:tc>
        <w:tc>
          <w:tcPr>
            <w:tcW w:w="1160" w:type="dxa"/>
            <w:tcBorders>
              <w:top w:val="nil"/>
              <w:left w:val="nil"/>
              <w:bottom w:val="single" w:sz="4" w:space="0" w:color="auto"/>
              <w:right w:val="nil"/>
            </w:tcBorders>
            <w:shd w:val="clear" w:color="auto" w:fill="auto"/>
            <w:noWrap/>
            <w:vAlign w:val="bottom"/>
            <w:hideMark/>
          </w:tcPr>
          <w:p w14:paraId="1BD92301"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single" w:sz="4" w:space="0" w:color="auto"/>
              <w:right w:val="nil"/>
            </w:tcBorders>
            <w:shd w:val="clear" w:color="auto" w:fill="auto"/>
            <w:noWrap/>
            <w:vAlign w:val="bottom"/>
            <w:hideMark/>
          </w:tcPr>
          <w:p w14:paraId="74209FD2"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single" w:sz="4" w:space="0" w:color="auto"/>
              <w:right w:val="nil"/>
            </w:tcBorders>
            <w:shd w:val="clear" w:color="auto" w:fill="auto"/>
            <w:noWrap/>
            <w:vAlign w:val="bottom"/>
            <w:hideMark/>
          </w:tcPr>
          <w:p w14:paraId="22A03FEA"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just identified</w:t>
            </w:r>
          </w:p>
        </w:tc>
        <w:tc>
          <w:tcPr>
            <w:tcW w:w="1160" w:type="dxa"/>
            <w:tcBorders>
              <w:top w:val="nil"/>
              <w:left w:val="nil"/>
              <w:bottom w:val="single" w:sz="4" w:space="0" w:color="auto"/>
              <w:right w:val="nil"/>
            </w:tcBorders>
            <w:shd w:val="clear" w:color="auto" w:fill="auto"/>
            <w:noWrap/>
            <w:vAlign w:val="bottom"/>
            <w:hideMark/>
          </w:tcPr>
          <w:p w14:paraId="78C0BAF6"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just identified</w:t>
            </w:r>
          </w:p>
        </w:tc>
        <w:tc>
          <w:tcPr>
            <w:tcW w:w="1160" w:type="dxa"/>
            <w:tcBorders>
              <w:top w:val="nil"/>
              <w:left w:val="nil"/>
              <w:bottom w:val="single" w:sz="4" w:space="0" w:color="auto"/>
              <w:right w:val="nil"/>
            </w:tcBorders>
            <w:shd w:val="clear" w:color="auto" w:fill="auto"/>
            <w:noWrap/>
            <w:vAlign w:val="bottom"/>
            <w:hideMark/>
          </w:tcPr>
          <w:p w14:paraId="14D17019"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single" w:sz="4" w:space="0" w:color="auto"/>
              <w:right w:val="nil"/>
            </w:tcBorders>
            <w:shd w:val="clear" w:color="auto" w:fill="auto"/>
            <w:noWrap/>
            <w:vAlign w:val="bottom"/>
            <w:hideMark/>
          </w:tcPr>
          <w:p w14:paraId="41C624F5"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single" w:sz="4" w:space="0" w:color="auto"/>
              <w:right w:val="nil"/>
            </w:tcBorders>
            <w:shd w:val="clear" w:color="auto" w:fill="auto"/>
            <w:noWrap/>
            <w:vAlign w:val="bottom"/>
            <w:hideMark/>
          </w:tcPr>
          <w:p w14:paraId="6984957B"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0.0112</w:t>
            </w:r>
          </w:p>
        </w:tc>
        <w:tc>
          <w:tcPr>
            <w:tcW w:w="1160" w:type="dxa"/>
            <w:tcBorders>
              <w:top w:val="nil"/>
              <w:left w:val="nil"/>
              <w:bottom w:val="single" w:sz="4" w:space="0" w:color="auto"/>
              <w:right w:val="nil"/>
            </w:tcBorders>
            <w:shd w:val="clear" w:color="auto" w:fill="auto"/>
            <w:noWrap/>
            <w:vAlign w:val="bottom"/>
            <w:hideMark/>
          </w:tcPr>
          <w:p w14:paraId="1E677EA8" w14:textId="77777777" w:rsidR="00004D6D" w:rsidRPr="00F24865" w:rsidRDefault="00004D6D" w:rsidP="00004D6D">
            <w:pPr>
              <w:spacing w:after="0" w:line="240" w:lineRule="auto"/>
              <w:jc w:val="center"/>
              <w:rPr>
                <w:rFonts w:ascii="Times New Roman" w:eastAsia="Times New Roman" w:hAnsi="Times New Roman" w:cs="Times New Roman"/>
                <w:sz w:val="16"/>
                <w:szCs w:val="16"/>
                <w:lang w:val="en-US" w:eastAsia="en-GB"/>
              </w:rPr>
            </w:pPr>
            <w:r w:rsidRPr="00F24865">
              <w:rPr>
                <w:rFonts w:ascii="Times New Roman" w:eastAsia="Times New Roman" w:hAnsi="Times New Roman" w:cs="Times New Roman"/>
                <w:sz w:val="16"/>
                <w:szCs w:val="16"/>
                <w:lang w:val="en-US" w:eastAsia="en-GB"/>
              </w:rPr>
              <w:t>0.00128</w:t>
            </w:r>
          </w:p>
        </w:tc>
      </w:tr>
      <w:tr w:rsidR="00004D6D" w:rsidRPr="00F24865" w14:paraId="1C255466" w14:textId="77777777" w:rsidTr="00004D6D">
        <w:trPr>
          <w:trHeight w:val="20"/>
        </w:trPr>
        <w:tc>
          <w:tcPr>
            <w:tcW w:w="12140" w:type="dxa"/>
            <w:gridSpan w:val="9"/>
            <w:tcBorders>
              <w:top w:val="single" w:sz="4" w:space="0" w:color="auto"/>
              <w:left w:val="nil"/>
              <w:bottom w:val="nil"/>
              <w:right w:val="nil"/>
            </w:tcBorders>
            <w:shd w:val="clear" w:color="auto" w:fill="auto"/>
            <w:noWrap/>
            <w:vAlign w:val="bottom"/>
            <w:hideMark/>
          </w:tcPr>
          <w:p w14:paraId="6078FA40" w14:textId="77777777" w:rsidR="00004D6D" w:rsidRPr="00F24865" w:rsidRDefault="00004D6D" w:rsidP="00004D6D">
            <w:pPr>
              <w:spacing w:after="0" w:line="240" w:lineRule="auto"/>
              <w:rPr>
                <w:rFonts w:ascii="Times New Roman" w:eastAsia="Times New Roman" w:hAnsi="Times New Roman" w:cs="Times New Roman"/>
                <w:sz w:val="16"/>
                <w:szCs w:val="16"/>
                <w:lang w:val="en-US" w:eastAsia="en-GB"/>
              </w:rPr>
            </w:pPr>
            <w:r>
              <w:rPr>
                <w:rFonts w:ascii="Times New Roman" w:eastAsia="Times New Roman" w:hAnsi="Times New Roman" w:cs="Times New Roman"/>
                <w:sz w:val="16"/>
                <w:szCs w:val="16"/>
                <w:lang w:val="en-US" w:eastAsia="en-GB"/>
              </w:rPr>
              <w:t xml:space="preserve">Note: Please refer to notes under Table 3. </w:t>
            </w:r>
          </w:p>
        </w:tc>
      </w:tr>
      <w:tr w:rsidR="00004D6D" w:rsidRPr="00F24865" w14:paraId="021E83A3" w14:textId="77777777" w:rsidTr="00004D6D">
        <w:trPr>
          <w:trHeight w:val="20"/>
        </w:trPr>
        <w:tc>
          <w:tcPr>
            <w:tcW w:w="4020" w:type="dxa"/>
            <w:gridSpan w:val="2"/>
            <w:tcBorders>
              <w:top w:val="nil"/>
              <w:left w:val="nil"/>
              <w:bottom w:val="nil"/>
              <w:right w:val="nil"/>
            </w:tcBorders>
            <w:shd w:val="clear" w:color="auto" w:fill="auto"/>
            <w:noWrap/>
            <w:vAlign w:val="bottom"/>
            <w:hideMark/>
          </w:tcPr>
          <w:p w14:paraId="5F239D27" w14:textId="77777777" w:rsidR="00004D6D" w:rsidRPr="00F24865" w:rsidRDefault="00004D6D" w:rsidP="00004D6D">
            <w:pPr>
              <w:spacing w:after="0" w:line="240" w:lineRule="auto"/>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7450C1AC" w14:textId="77777777" w:rsidR="00004D6D" w:rsidRPr="00F24865" w:rsidRDefault="00004D6D" w:rsidP="00004D6D">
            <w:pPr>
              <w:spacing w:after="0" w:line="240" w:lineRule="auto"/>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5922E1E3" w14:textId="77777777" w:rsidR="00004D6D" w:rsidRPr="00F24865" w:rsidRDefault="00004D6D" w:rsidP="00004D6D">
            <w:pPr>
              <w:spacing w:after="0" w:line="240" w:lineRule="auto"/>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2A40ABCA" w14:textId="77777777" w:rsidR="00004D6D" w:rsidRPr="00F24865" w:rsidRDefault="00004D6D" w:rsidP="00004D6D">
            <w:pPr>
              <w:spacing w:after="0" w:line="240" w:lineRule="auto"/>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0E0B348F" w14:textId="77777777" w:rsidR="00004D6D" w:rsidRPr="00F24865" w:rsidRDefault="00004D6D" w:rsidP="00004D6D">
            <w:pPr>
              <w:spacing w:after="0" w:line="240" w:lineRule="auto"/>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5EEC130F" w14:textId="77777777" w:rsidR="00004D6D" w:rsidRPr="00F24865" w:rsidRDefault="00004D6D" w:rsidP="00004D6D">
            <w:pPr>
              <w:spacing w:after="0" w:line="240" w:lineRule="auto"/>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21A420BC" w14:textId="77777777" w:rsidR="00004D6D" w:rsidRPr="00F24865" w:rsidRDefault="00004D6D" w:rsidP="00004D6D">
            <w:pPr>
              <w:spacing w:after="0" w:line="240" w:lineRule="auto"/>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3088908F" w14:textId="77777777" w:rsidR="00004D6D" w:rsidRPr="00F24865" w:rsidRDefault="00004D6D" w:rsidP="00004D6D">
            <w:pPr>
              <w:spacing w:after="0" w:line="240" w:lineRule="auto"/>
              <w:rPr>
                <w:rFonts w:ascii="Times New Roman" w:eastAsia="Times New Roman" w:hAnsi="Times New Roman" w:cs="Times New Roman"/>
                <w:sz w:val="16"/>
                <w:szCs w:val="16"/>
                <w:lang w:val="en-US" w:eastAsia="en-GB"/>
              </w:rPr>
            </w:pPr>
          </w:p>
        </w:tc>
      </w:tr>
    </w:tbl>
    <w:p w14:paraId="67ACB4D7" w14:textId="77777777" w:rsidR="00004D6D" w:rsidRPr="00F24865" w:rsidRDefault="00004D6D" w:rsidP="00004D6D">
      <w:pPr>
        <w:rPr>
          <w:rFonts w:ascii="Times New Roman" w:hAnsi="Times New Roman" w:cs="Times New Roman"/>
          <w:b/>
          <w:bCs/>
          <w:sz w:val="24"/>
          <w:szCs w:val="24"/>
          <w:lang w:val="en-US"/>
        </w:rPr>
        <w:sectPr w:rsidR="00004D6D" w:rsidRPr="00F24865" w:rsidSect="00975A8A">
          <w:pgSz w:w="16839" w:h="11907" w:orient="landscape" w:code="9"/>
          <w:pgMar w:top="1440" w:right="1440" w:bottom="1440" w:left="1440" w:header="709" w:footer="709" w:gutter="0"/>
          <w:cols w:space="708"/>
          <w:docGrid w:linePitch="360"/>
        </w:sectPr>
      </w:pPr>
    </w:p>
    <w:p w14:paraId="67A297E3" w14:textId="77777777" w:rsidR="00004D6D" w:rsidRPr="00F24865" w:rsidRDefault="00004D6D" w:rsidP="00004D6D">
      <w:pPr>
        <w:rPr>
          <w:rFonts w:ascii="Times New Roman" w:hAnsi="Times New Roman" w:cs="Times New Roman"/>
          <w:b/>
          <w:bCs/>
          <w:sz w:val="24"/>
          <w:szCs w:val="24"/>
          <w:lang w:val="en-US"/>
        </w:rPr>
      </w:pPr>
    </w:p>
    <w:p w14:paraId="63A9D301" w14:textId="77777777" w:rsidR="00004D6D" w:rsidRPr="00F24865" w:rsidRDefault="00004D6D" w:rsidP="00004D6D">
      <w:pPr>
        <w:pStyle w:val="Caption"/>
        <w:keepNext/>
        <w:jc w:val="center"/>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TABLE 5</w:t>
      </w:r>
    </w:p>
    <w:p w14:paraId="0510AAA7" w14:textId="77777777" w:rsidR="00004D6D" w:rsidRPr="00F24865" w:rsidRDefault="00004D6D" w:rsidP="00004D6D">
      <w:pPr>
        <w:spacing w:line="240" w:lineRule="auto"/>
        <w:jc w:val="center"/>
        <w:rPr>
          <w:rFonts w:ascii="Times New Roman" w:hAnsi="Times New Roman" w:cs="Times New Roman"/>
          <w:b/>
          <w:bCs/>
          <w:sz w:val="24"/>
          <w:szCs w:val="24"/>
          <w:lang w:val="en-US"/>
        </w:rPr>
      </w:pPr>
      <w:r w:rsidRPr="00F24865">
        <w:rPr>
          <w:rFonts w:ascii="Times New Roman" w:hAnsi="Times New Roman" w:cs="Times New Roman"/>
          <w:b/>
          <w:bCs/>
          <w:sz w:val="24"/>
          <w:szCs w:val="24"/>
          <w:lang w:val="en-US"/>
        </w:rPr>
        <w:t xml:space="preserve">The moderating effects of independent directors in MNEs, cross-listed firms, and of foreign independent directors </w:t>
      </w:r>
    </w:p>
    <w:tbl>
      <w:tblPr>
        <w:tblW w:w="9960" w:type="dxa"/>
        <w:tblInd w:w="93" w:type="dxa"/>
        <w:tblLook w:val="04A0" w:firstRow="1" w:lastRow="0" w:firstColumn="1" w:lastColumn="0" w:noHBand="0" w:noVBand="1"/>
      </w:tblPr>
      <w:tblGrid>
        <w:gridCol w:w="3000"/>
        <w:gridCol w:w="1160"/>
        <w:gridCol w:w="1160"/>
        <w:gridCol w:w="1160"/>
        <w:gridCol w:w="1160"/>
        <w:gridCol w:w="1160"/>
        <w:gridCol w:w="1160"/>
      </w:tblGrid>
      <w:tr w:rsidR="00004D6D" w:rsidRPr="00F24865" w14:paraId="40C359BC" w14:textId="77777777" w:rsidTr="00004D6D">
        <w:trPr>
          <w:trHeight w:val="264"/>
        </w:trPr>
        <w:tc>
          <w:tcPr>
            <w:tcW w:w="3000" w:type="dxa"/>
            <w:tcBorders>
              <w:top w:val="single" w:sz="4" w:space="0" w:color="auto"/>
              <w:left w:val="nil"/>
              <w:bottom w:val="nil"/>
              <w:right w:val="nil"/>
            </w:tcBorders>
            <w:shd w:val="clear" w:color="auto" w:fill="auto"/>
            <w:noWrap/>
            <w:vAlign w:val="bottom"/>
            <w:hideMark/>
          </w:tcPr>
          <w:p w14:paraId="6B6F819C"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 VARIABLES</w:t>
            </w:r>
          </w:p>
        </w:tc>
        <w:tc>
          <w:tcPr>
            <w:tcW w:w="1160" w:type="dxa"/>
            <w:tcBorders>
              <w:top w:val="single" w:sz="4" w:space="0" w:color="auto"/>
              <w:left w:val="nil"/>
              <w:bottom w:val="nil"/>
              <w:right w:val="nil"/>
            </w:tcBorders>
            <w:shd w:val="clear" w:color="auto" w:fill="auto"/>
            <w:noWrap/>
            <w:vAlign w:val="bottom"/>
            <w:hideMark/>
          </w:tcPr>
          <w:p w14:paraId="2FCC3FAC"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(1)</w:t>
            </w:r>
          </w:p>
        </w:tc>
        <w:tc>
          <w:tcPr>
            <w:tcW w:w="1160" w:type="dxa"/>
            <w:tcBorders>
              <w:top w:val="single" w:sz="4" w:space="0" w:color="auto"/>
              <w:left w:val="nil"/>
              <w:bottom w:val="nil"/>
              <w:right w:val="nil"/>
            </w:tcBorders>
            <w:shd w:val="clear" w:color="auto" w:fill="auto"/>
            <w:noWrap/>
            <w:vAlign w:val="bottom"/>
            <w:hideMark/>
          </w:tcPr>
          <w:p w14:paraId="49B38905"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(2)</w:t>
            </w:r>
          </w:p>
        </w:tc>
        <w:tc>
          <w:tcPr>
            <w:tcW w:w="1160" w:type="dxa"/>
            <w:tcBorders>
              <w:top w:val="single" w:sz="4" w:space="0" w:color="auto"/>
              <w:left w:val="nil"/>
              <w:bottom w:val="nil"/>
              <w:right w:val="nil"/>
            </w:tcBorders>
            <w:shd w:val="clear" w:color="auto" w:fill="auto"/>
            <w:noWrap/>
            <w:vAlign w:val="bottom"/>
            <w:hideMark/>
          </w:tcPr>
          <w:p w14:paraId="079C4F00"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(3)</w:t>
            </w:r>
          </w:p>
        </w:tc>
        <w:tc>
          <w:tcPr>
            <w:tcW w:w="1160" w:type="dxa"/>
            <w:tcBorders>
              <w:top w:val="single" w:sz="4" w:space="0" w:color="auto"/>
              <w:left w:val="nil"/>
              <w:bottom w:val="nil"/>
              <w:right w:val="nil"/>
            </w:tcBorders>
            <w:shd w:val="clear" w:color="auto" w:fill="auto"/>
            <w:noWrap/>
            <w:vAlign w:val="bottom"/>
            <w:hideMark/>
          </w:tcPr>
          <w:p w14:paraId="128F5FBC"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(4)</w:t>
            </w:r>
          </w:p>
        </w:tc>
        <w:tc>
          <w:tcPr>
            <w:tcW w:w="1160" w:type="dxa"/>
            <w:tcBorders>
              <w:top w:val="single" w:sz="4" w:space="0" w:color="auto"/>
              <w:left w:val="nil"/>
              <w:bottom w:val="nil"/>
              <w:right w:val="nil"/>
            </w:tcBorders>
            <w:shd w:val="clear" w:color="auto" w:fill="auto"/>
            <w:noWrap/>
            <w:vAlign w:val="bottom"/>
            <w:hideMark/>
          </w:tcPr>
          <w:p w14:paraId="215873A2"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(5)</w:t>
            </w:r>
          </w:p>
        </w:tc>
        <w:tc>
          <w:tcPr>
            <w:tcW w:w="1160" w:type="dxa"/>
            <w:tcBorders>
              <w:top w:val="single" w:sz="4" w:space="0" w:color="auto"/>
              <w:left w:val="nil"/>
              <w:bottom w:val="nil"/>
              <w:right w:val="nil"/>
            </w:tcBorders>
            <w:shd w:val="clear" w:color="auto" w:fill="auto"/>
            <w:noWrap/>
            <w:vAlign w:val="bottom"/>
            <w:hideMark/>
          </w:tcPr>
          <w:p w14:paraId="5958DA81"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(6)</w:t>
            </w:r>
          </w:p>
        </w:tc>
      </w:tr>
      <w:tr w:rsidR="00004D6D" w:rsidRPr="00F24865" w14:paraId="1356FA6F" w14:textId="77777777" w:rsidTr="00004D6D">
        <w:trPr>
          <w:trHeight w:val="264"/>
        </w:trPr>
        <w:tc>
          <w:tcPr>
            <w:tcW w:w="3000" w:type="dxa"/>
            <w:tcBorders>
              <w:top w:val="nil"/>
              <w:left w:val="nil"/>
              <w:bottom w:val="nil"/>
              <w:right w:val="nil"/>
            </w:tcBorders>
            <w:shd w:val="clear" w:color="auto" w:fill="auto"/>
            <w:noWrap/>
            <w:vAlign w:val="bottom"/>
            <w:hideMark/>
          </w:tcPr>
          <w:p w14:paraId="21565718"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0857E660"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H2</w:t>
            </w:r>
          </w:p>
        </w:tc>
        <w:tc>
          <w:tcPr>
            <w:tcW w:w="1160" w:type="dxa"/>
            <w:tcBorders>
              <w:top w:val="nil"/>
              <w:left w:val="nil"/>
              <w:bottom w:val="nil"/>
              <w:right w:val="nil"/>
            </w:tcBorders>
            <w:shd w:val="clear" w:color="auto" w:fill="auto"/>
            <w:noWrap/>
            <w:vAlign w:val="bottom"/>
            <w:hideMark/>
          </w:tcPr>
          <w:p w14:paraId="2F2D9C43"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H2</w:t>
            </w:r>
          </w:p>
        </w:tc>
        <w:tc>
          <w:tcPr>
            <w:tcW w:w="1160" w:type="dxa"/>
            <w:tcBorders>
              <w:top w:val="nil"/>
              <w:left w:val="nil"/>
              <w:bottom w:val="nil"/>
              <w:right w:val="nil"/>
            </w:tcBorders>
            <w:shd w:val="clear" w:color="auto" w:fill="auto"/>
            <w:noWrap/>
            <w:vAlign w:val="bottom"/>
            <w:hideMark/>
          </w:tcPr>
          <w:p w14:paraId="03D07057"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H3</w:t>
            </w:r>
          </w:p>
        </w:tc>
        <w:tc>
          <w:tcPr>
            <w:tcW w:w="1160" w:type="dxa"/>
            <w:tcBorders>
              <w:top w:val="nil"/>
              <w:left w:val="nil"/>
              <w:bottom w:val="nil"/>
              <w:right w:val="nil"/>
            </w:tcBorders>
            <w:shd w:val="clear" w:color="auto" w:fill="auto"/>
            <w:noWrap/>
            <w:vAlign w:val="bottom"/>
            <w:hideMark/>
          </w:tcPr>
          <w:p w14:paraId="6E725D58"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H3</w:t>
            </w:r>
          </w:p>
        </w:tc>
        <w:tc>
          <w:tcPr>
            <w:tcW w:w="1160" w:type="dxa"/>
            <w:tcBorders>
              <w:top w:val="nil"/>
              <w:left w:val="nil"/>
              <w:bottom w:val="nil"/>
              <w:right w:val="nil"/>
            </w:tcBorders>
            <w:shd w:val="clear" w:color="auto" w:fill="auto"/>
            <w:noWrap/>
            <w:vAlign w:val="bottom"/>
            <w:hideMark/>
          </w:tcPr>
          <w:p w14:paraId="3473EB76"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H4</w:t>
            </w:r>
          </w:p>
        </w:tc>
        <w:tc>
          <w:tcPr>
            <w:tcW w:w="1160" w:type="dxa"/>
            <w:tcBorders>
              <w:top w:val="nil"/>
              <w:left w:val="nil"/>
              <w:bottom w:val="nil"/>
              <w:right w:val="nil"/>
            </w:tcBorders>
            <w:shd w:val="clear" w:color="auto" w:fill="auto"/>
            <w:noWrap/>
            <w:vAlign w:val="bottom"/>
            <w:hideMark/>
          </w:tcPr>
          <w:p w14:paraId="5E1CD652"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H4</w:t>
            </w:r>
          </w:p>
        </w:tc>
      </w:tr>
      <w:tr w:rsidR="00004D6D" w:rsidRPr="00F24865" w14:paraId="5624A1C2" w14:textId="77777777" w:rsidTr="00004D6D">
        <w:trPr>
          <w:trHeight w:val="264"/>
        </w:trPr>
        <w:tc>
          <w:tcPr>
            <w:tcW w:w="3000" w:type="dxa"/>
            <w:tcBorders>
              <w:top w:val="nil"/>
              <w:left w:val="nil"/>
              <w:bottom w:val="nil"/>
              <w:right w:val="nil"/>
            </w:tcBorders>
            <w:shd w:val="clear" w:color="auto" w:fill="auto"/>
            <w:noWrap/>
            <w:vAlign w:val="bottom"/>
            <w:hideMark/>
          </w:tcPr>
          <w:p w14:paraId="0AD2245B"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3AC97B18"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FE</w:t>
            </w:r>
          </w:p>
        </w:tc>
        <w:tc>
          <w:tcPr>
            <w:tcW w:w="1160" w:type="dxa"/>
            <w:tcBorders>
              <w:top w:val="nil"/>
              <w:left w:val="nil"/>
              <w:bottom w:val="nil"/>
              <w:right w:val="nil"/>
            </w:tcBorders>
            <w:shd w:val="clear" w:color="auto" w:fill="auto"/>
            <w:noWrap/>
            <w:vAlign w:val="bottom"/>
            <w:hideMark/>
          </w:tcPr>
          <w:p w14:paraId="5E841EDC"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GMM</w:t>
            </w:r>
          </w:p>
        </w:tc>
        <w:tc>
          <w:tcPr>
            <w:tcW w:w="1160" w:type="dxa"/>
            <w:tcBorders>
              <w:top w:val="nil"/>
              <w:left w:val="nil"/>
              <w:bottom w:val="nil"/>
              <w:right w:val="nil"/>
            </w:tcBorders>
            <w:shd w:val="clear" w:color="auto" w:fill="auto"/>
            <w:noWrap/>
            <w:vAlign w:val="bottom"/>
            <w:hideMark/>
          </w:tcPr>
          <w:p w14:paraId="0DA0C148"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FE</w:t>
            </w:r>
          </w:p>
        </w:tc>
        <w:tc>
          <w:tcPr>
            <w:tcW w:w="1160" w:type="dxa"/>
            <w:tcBorders>
              <w:top w:val="nil"/>
              <w:left w:val="nil"/>
              <w:bottom w:val="nil"/>
              <w:right w:val="nil"/>
            </w:tcBorders>
            <w:shd w:val="clear" w:color="auto" w:fill="auto"/>
            <w:noWrap/>
            <w:vAlign w:val="bottom"/>
            <w:hideMark/>
          </w:tcPr>
          <w:p w14:paraId="6B239516"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GMM</w:t>
            </w:r>
          </w:p>
        </w:tc>
        <w:tc>
          <w:tcPr>
            <w:tcW w:w="1160" w:type="dxa"/>
            <w:tcBorders>
              <w:top w:val="nil"/>
              <w:left w:val="nil"/>
              <w:bottom w:val="nil"/>
              <w:right w:val="nil"/>
            </w:tcBorders>
            <w:shd w:val="clear" w:color="auto" w:fill="auto"/>
            <w:noWrap/>
            <w:vAlign w:val="bottom"/>
            <w:hideMark/>
          </w:tcPr>
          <w:p w14:paraId="4F1B5418"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FE</w:t>
            </w:r>
          </w:p>
        </w:tc>
        <w:tc>
          <w:tcPr>
            <w:tcW w:w="1160" w:type="dxa"/>
            <w:tcBorders>
              <w:top w:val="nil"/>
              <w:left w:val="nil"/>
              <w:bottom w:val="nil"/>
              <w:right w:val="nil"/>
            </w:tcBorders>
            <w:shd w:val="clear" w:color="auto" w:fill="auto"/>
            <w:noWrap/>
            <w:vAlign w:val="bottom"/>
            <w:hideMark/>
          </w:tcPr>
          <w:p w14:paraId="6675F428"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GMM</w:t>
            </w:r>
          </w:p>
        </w:tc>
      </w:tr>
      <w:tr w:rsidR="00004D6D" w:rsidRPr="00F24865" w14:paraId="17A40050" w14:textId="77777777" w:rsidTr="00004D6D">
        <w:trPr>
          <w:trHeight w:val="264"/>
        </w:trPr>
        <w:tc>
          <w:tcPr>
            <w:tcW w:w="3000" w:type="dxa"/>
            <w:tcBorders>
              <w:top w:val="single" w:sz="4" w:space="0" w:color="auto"/>
              <w:left w:val="nil"/>
              <w:bottom w:val="nil"/>
              <w:right w:val="nil"/>
            </w:tcBorders>
            <w:shd w:val="clear" w:color="auto" w:fill="auto"/>
            <w:noWrap/>
            <w:vAlign w:val="bottom"/>
            <w:hideMark/>
          </w:tcPr>
          <w:p w14:paraId="565E79A6"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 </w:t>
            </w:r>
          </w:p>
        </w:tc>
        <w:tc>
          <w:tcPr>
            <w:tcW w:w="1160" w:type="dxa"/>
            <w:tcBorders>
              <w:top w:val="single" w:sz="4" w:space="0" w:color="auto"/>
              <w:left w:val="nil"/>
              <w:bottom w:val="nil"/>
              <w:right w:val="nil"/>
            </w:tcBorders>
            <w:shd w:val="clear" w:color="auto" w:fill="auto"/>
            <w:noWrap/>
            <w:vAlign w:val="bottom"/>
            <w:hideMark/>
          </w:tcPr>
          <w:p w14:paraId="016DBDE9"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 </w:t>
            </w:r>
          </w:p>
        </w:tc>
        <w:tc>
          <w:tcPr>
            <w:tcW w:w="1160" w:type="dxa"/>
            <w:tcBorders>
              <w:top w:val="single" w:sz="4" w:space="0" w:color="auto"/>
              <w:left w:val="nil"/>
              <w:bottom w:val="nil"/>
              <w:right w:val="nil"/>
            </w:tcBorders>
            <w:shd w:val="clear" w:color="auto" w:fill="auto"/>
            <w:noWrap/>
            <w:vAlign w:val="bottom"/>
            <w:hideMark/>
          </w:tcPr>
          <w:p w14:paraId="6A1B36A2"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 </w:t>
            </w:r>
          </w:p>
        </w:tc>
        <w:tc>
          <w:tcPr>
            <w:tcW w:w="1160" w:type="dxa"/>
            <w:tcBorders>
              <w:top w:val="single" w:sz="4" w:space="0" w:color="auto"/>
              <w:left w:val="nil"/>
              <w:bottom w:val="nil"/>
              <w:right w:val="nil"/>
            </w:tcBorders>
            <w:shd w:val="clear" w:color="auto" w:fill="auto"/>
            <w:noWrap/>
            <w:vAlign w:val="bottom"/>
            <w:hideMark/>
          </w:tcPr>
          <w:p w14:paraId="310BDE63"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 </w:t>
            </w:r>
          </w:p>
        </w:tc>
        <w:tc>
          <w:tcPr>
            <w:tcW w:w="1160" w:type="dxa"/>
            <w:tcBorders>
              <w:top w:val="single" w:sz="4" w:space="0" w:color="auto"/>
              <w:left w:val="nil"/>
              <w:bottom w:val="nil"/>
              <w:right w:val="nil"/>
            </w:tcBorders>
            <w:shd w:val="clear" w:color="auto" w:fill="auto"/>
            <w:noWrap/>
            <w:vAlign w:val="bottom"/>
            <w:hideMark/>
          </w:tcPr>
          <w:p w14:paraId="2F5F52BC"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 </w:t>
            </w:r>
          </w:p>
        </w:tc>
        <w:tc>
          <w:tcPr>
            <w:tcW w:w="1160" w:type="dxa"/>
            <w:tcBorders>
              <w:top w:val="single" w:sz="4" w:space="0" w:color="auto"/>
              <w:left w:val="nil"/>
              <w:bottom w:val="nil"/>
              <w:right w:val="nil"/>
            </w:tcBorders>
            <w:shd w:val="clear" w:color="auto" w:fill="auto"/>
            <w:noWrap/>
            <w:vAlign w:val="bottom"/>
            <w:hideMark/>
          </w:tcPr>
          <w:p w14:paraId="76F5B6CF"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 </w:t>
            </w:r>
          </w:p>
        </w:tc>
        <w:tc>
          <w:tcPr>
            <w:tcW w:w="1160" w:type="dxa"/>
            <w:tcBorders>
              <w:top w:val="single" w:sz="4" w:space="0" w:color="auto"/>
              <w:left w:val="nil"/>
              <w:bottom w:val="nil"/>
              <w:right w:val="nil"/>
            </w:tcBorders>
            <w:shd w:val="clear" w:color="auto" w:fill="auto"/>
            <w:noWrap/>
            <w:vAlign w:val="bottom"/>
            <w:hideMark/>
          </w:tcPr>
          <w:p w14:paraId="4B730C19"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 </w:t>
            </w:r>
          </w:p>
        </w:tc>
      </w:tr>
      <w:tr w:rsidR="00004D6D" w:rsidRPr="00F24865" w14:paraId="54035E1D" w14:textId="77777777" w:rsidTr="00004D6D">
        <w:trPr>
          <w:trHeight w:val="264"/>
        </w:trPr>
        <w:tc>
          <w:tcPr>
            <w:tcW w:w="3000" w:type="dxa"/>
            <w:tcBorders>
              <w:top w:val="nil"/>
              <w:left w:val="nil"/>
              <w:bottom w:val="nil"/>
              <w:right w:val="nil"/>
            </w:tcBorders>
            <w:shd w:val="clear" w:color="auto" w:fill="auto"/>
            <w:noWrap/>
            <w:vAlign w:val="bottom"/>
            <w:hideMark/>
          </w:tcPr>
          <w:p w14:paraId="09ACBFC1"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GCF</w:t>
            </w:r>
          </w:p>
        </w:tc>
        <w:tc>
          <w:tcPr>
            <w:tcW w:w="1160" w:type="dxa"/>
            <w:tcBorders>
              <w:top w:val="nil"/>
              <w:left w:val="nil"/>
              <w:bottom w:val="nil"/>
              <w:right w:val="nil"/>
            </w:tcBorders>
            <w:shd w:val="clear" w:color="auto" w:fill="auto"/>
            <w:noWrap/>
            <w:vAlign w:val="bottom"/>
            <w:hideMark/>
          </w:tcPr>
          <w:p w14:paraId="4344F58D"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-0.18*</w:t>
            </w:r>
          </w:p>
        </w:tc>
        <w:tc>
          <w:tcPr>
            <w:tcW w:w="1160" w:type="dxa"/>
            <w:tcBorders>
              <w:top w:val="nil"/>
              <w:left w:val="nil"/>
              <w:bottom w:val="nil"/>
              <w:right w:val="nil"/>
            </w:tcBorders>
            <w:shd w:val="clear" w:color="auto" w:fill="auto"/>
            <w:noWrap/>
            <w:vAlign w:val="bottom"/>
            <w:hideMark/>
          </w:tcPr>
          <w:p w14:paraId="478D0308"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-0.18</w:t>
            </w:r>
          </w:p>
        </w:tc>
        <w:tc>
          <w:tcPr>
            <w:tcW w:w="1160" w:type="dxa"/>
            <w:tcBorders>
              <w:top w:val="nil"/>
              <w:left w:val="nil"/>
              <w:bottom w:val="nil"/>
              <w:right w:val="nil"/>
            </w:tcBorders>
            <w:shd w:val="clear" w:color="auto" w:fill="auto"/>
            <w:noWrap/>
            <w:vAlign w:val="bottom"/>
            <w:hideMark/>
          </w:tcPr>
          <w:p w14:paraId="07BA1776"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-0.36**</w:t>
            </w:r>
          </w:p>
        </w:tc>
        <w:tc>
          <w:tcPr>
            <w:tcW w:w="1160" w:type="dxa"/>
            <w:tcBorders>
              <w:top w:val="nil"/>
              <w:left w:val="nil"/>
              <w:bottom w:val="nil"/>
              <w:right w:val="nil"/>
            </w:tcBorders>
            <w:shd w:val="clear" w:color="auto" w:fill="auto"/>
            <w:noWrap/>
            <w:vAlign w:val="bottom"/>
            <w:hideMark/>
          </w:tcPr>
          <w:p w14:paraId="0922BD46"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-0.11</w:t>
            </w:r>
          </w:p>
        </w:tc>
        <w:tc>
          <w:tcPr>
            <w:tcW w:w="1160" w:type="dxa"/>
            <w:tcBorders>
              <w:top w:val="nil"/>
              <w:left w:val="nil"/>
              <w:bottom w:val="nil"/>
              <w:right w:val="nil"/>
            </w:tcBorders>
            <w:shd w:val="clear" w:color="auto" w:fill="auto"/>
            <w:noWrap/>
            <w:vAlign w:val="bottom"/>
            <w:hideMark/>
          </w:tcPr>
          <w:p w14:paraId="14C3CAC6"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-0.06</w:t>
            </w:r>
          </w:p>
        </w:tc>
        <w:tc>
          <w:tcPr>
            <w:tcW w:w="1160" w:type="dxa"/>
            <w:tcBorders>
              <w:top w:val="nil"/>
              <w:left w:val="nil"/>
              <w:bottom w:val="nil"/>
              <w:right w:val="nil"/>
            </w:tcBorders>
            <w:shd w:val="clear" w:color="auto" w:fill="auto"/>
            <w:noWrap/>
            <w:vAlign w:val="bottom"/>
            <w:hideMark/>
          </w:tcPr>
          <w:p w14:paraId="3646C514"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-0.12</w:t>
            </w:r>
          </w:p>
        </w:tc>
      </w:tr>
      <w:tr w:rsidR="00004D6D" w:rsidRPr="00F24865" w14:paraId="140AA7C1" w14:textId="77777777" w:rsidTr="00004D6D">
        <w:trPr>
          <w:trHeight w:val="264"/>
        </w:trPr>
        <w:tc>
          <w:tcPr>
            <w:tcW w:w="3000" w:type="dxa"/>
            <w:tcBorders>
              <w:top w:val="nil"/>
              <w:left w:val="nil"/>
              <w:bottom w:val="nil"/>
              <w:right w:val="nil"/>
            </w:tcBorders>
            <w:shd w:val="clear" w:color="auto" w:fill="auto"/>
            <w:noWrap/>
            <w:vAlign w:val="bottom"/>
            <w:hideMark/>
          </w:tcPr>
          <w:p w14:paraId="203E742D"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16FB9C92"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(0.08)</w:t>
            </w:r>
          </w:p>
        </w:tc>
        <w:tc>
          <w:tcPr>
            <w:tcW w:w="1160" w:type="dxa"/>
            <w:tcBorders>
              <w:top w:val="nil"/>
              <w:left w:val="nil"/>
              <w:bottom w:val="nil"/>
              <w:right w:val="nil"/>
            </w:tcBorders>
            <w:shd w:val="clear" w:color="auto" w:fill="auto"/>
            <w:noWrap/>
            <w:vAlign w:val="bottom"/>
            <w:hideMark/>
          </w:tcPr>
          <w:p w14:paraId="4DB245AF"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(0.18)</w:t>
            </w:r>
          </w:p>
        </w:tc>
        <w:tc>
          <w:tcPr>
            <w:tcW w:w="1160" w:type="dxa"/>
            <w:tcBorders>
              <w:top w:val="nil"/>
              <w:left w:val="nil"/>
              <w:bottom w:val="nil"/>
              <w:right w:val="nil"/>
            </w:tcBorders>
            <w:shd w:val="clear" w:color="auto" w:fill="auto"/>
            <w:noWrap/>
            <w:vAlign w:val="bottom"/>
            <w:hideMark/>
          </w:tcPr>
          <w:p w14:paraId="4B2830B3"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(0.11)</w:t>
            </w:r>
          </w:p>
        </w:tc>
        <w:tc>
          <w:tcPr>
            <w:tcW w:w="1160" w:type="dxa"/>
            <w:tcBorders>
              <w:top w:val="nil"/>
              <w:left w:val="nil"/>
              <w:bottom w:val="nil"/>
              <w:right w:val="nil"/>
            </w:tcBorders>
            <w:shd w:val="clear" w:color="auto" w:fill="auto"/>
            <w:noWrap/>
            <w:vAlign w:val="bottom"/>
            <w:hideMark/>
          </w:tcPr>
          <w:p w14:paraId="5FE132F8"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(0.23)</w:t>
            </w:r>
          </w:p>
        </w:tc>
        <w:tc>
          <w:tcPr>
            <w:tcW w:w="1160" w:type="dxa"/>
            <w:tcBorders>
              <w:top w:val="nil"/>
              <w:left w:val="nil"/>
              <w:bottom w:val="nil"/>
              <w:right w:val="nil"/>
            </w:tcBorders>
            <w:shd w:val="clear" w:color="auto" w:fill="auto"/>
            <w:noWrap/>
            <w:vAlign w:val="bottom"/>
            <w:hideMark/>
          </w:tcPr>
          <w:p w14:paraId="5D6D3C2B"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(0.10)</w:t>
            </w:r>
          </w:p>
        </w:tc>
        <w:tc>
          <w:tcPr>
            <w:tcW w:w="1160" w:type="dxa"/>
            <w:tcBorders>
              <w:top w:val="nil"/>
              <w:left w:val="nil"/>
              <w:bottom w:val="nil"/>
              <w:right w:val="nil"/>
            </w:tcBorders>
            <w:shd w:val="clear" w:color="auto" w:fill="auto"/>
            <w:noWrap/>
            <w:vAlign w:val="bottom"/>
            <w:hideMark/>
          </w:tcPr>
          <w:p w14:paraId="42AA22ED"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(0.17)</w:t>
            </w:r>
          </w:p>
        </w:tc>
      </w:tr>
      <w:tr w:rsidR="00004D6D" w:rsidRPr="00F24865" w14:paraId="506F50F0" w14:textId="77777777" w:rsidTr="00004D6D">
        <w:trPr>
          <w:trHeight w:val="264"/>
        </w:trPr>
        <w:tc>
          <w:tcPr>
            <w:tcW w:w="3000" w:type="dxa"/>
            <w:tcBorders>
              <w:top w:val="nil"/>
              <w:left w:val="nil"/>
              <w:bottom w:val="nil"/>
              <w:right w:val="nil"/>
            </w:tcBorders>
            <w:shd w:val="clear" w:color="auto" w:fill="auto"/>
            <w:noWrap/>
            <w:vAlign w:val="bottom"/>
            <w:hideMark/>
          </w:tcPr>
          <w:p w14:paraId="77D25FCA" w14:textId="77777777" w:rsidR="00004D6D" w:rsidRPr="00F24865" w:rsidRDefault="00004D6D" w:rsidP="00004D6D">
            <w:pPr>
              <w:spacing w:after="0" w:line="240" w:lineRule="auto"/>
              <w:rPr>
                <w:rFonts w:ascii="Times New Roman" w:eastAsia="Times New Roman" w:hAnsi="Times New Roman" w:cs="Times New Roman"/>
                <w:b/>
                <w:bCs/>
                <w:sz w:val="20"/>
                <w:szCs w:val="20"/>
                <w:lang w:val="en-US" w:eastAsia="en-GB"/>
              </w:rPr>
            </w:pPr>
            <w:r w:rsidRPr="00F24865">
              <w:rPr>
                <w:rFonts w:ascii="Times New Roman" w:eastAsia="Times New Roman" w:hAnsi="Times New Roman" w:cs="Times New Roman"/>
                <w:b/>
                <w:bCs/>
                <w:sz w:val="20"/>
                <w:szCs w:val="20"/>
                <w:lang w:val="en-US" w:eastAsia="en-GB"/>
              </w:rPr>
              <w:t>GCF*ID Proportion</w:t>
            </w:r>
          </w:p>
        </w:tc>
        <w:tc>
          <w:tcPr>
            <w:tcW w:w="1160" w:type="dxa"/>
            <w:tcBorders>
              <w:top w:val="nil"/>
              <w:left w:val="nil"/>
              <w:bottom w:val="nil"/>
              <w:right w:val="nil"/>
            </w:tcBorders>
            <w:shd w:val="clear" w:color="auto" w:fill="auto"/>
            <w:noWrap/>
            <w:vAlign w:val="bottom"/>
            <w:hideMark/>
          </w:tcPr>
          <w:p w14:paraId="5CB1CFED" w14:textId="77777777" w:rsidR="00004D6D" w:rsidRPr="00F24865" w:rsidRDefault="00004D6D" w:rsidP="00004D6D">
            <w:pPr>
              <w:spacing w:after="0" w:line="240" w:lineRule="auto"/>
              <w:jc w:val="center"/>
              <w:rPr>
                <w:rFonts w:ascii="Times New Roman" w:eastAsia="Times New Roman" w:hAnsi="Times New Roman" w:cs="Times New Roman"/>
                <w:b/>
                <w:bCs/>
                <w:sz w:val="20"/>
                <w:szCs w:val="20"/>
                <w:lang w:val="en-US" w:eastAsia="en-GB"/>
              </w:rPr>
            </w:pPr>
            <w:r w:rsidRPr="00F24865">
              <w:rPr>
                <w:rFonts w:ascii="Times New Roman" w:eastAsia="Times New Roman" w:hAnsi="Times New Roman" w:cs="Times New Roman"/>
                <w:b/>
                <w:bCs/>
                <w:sz w:val="20"/>
                <w:szCs w:val="20"/>
                <w:lang w:val="en-US" w:eastAsia="en-GB"/>
              </w:rPr>
              <w:t>1.10*</w:t>
            </w:r>
          </w:p>
        </w:tc>
        <w:tc>
          <w:tcPr>
            <w:tcW w:w="1160" w:type="dxa"/>
            <w:tcBorders>
              <w:top w:val="nil"/>
              <w:left w:val="nil"/>
              <w:bottom w:val="nil"/>
              <w:right w:val="nil"/>
            </w:tcBorders>
            <w:shd w:val="clear" w:color="auto" w:fill="auto"/>
            <w:noWrap/>
            <w:vAlign w:val="bottom"/>
            <w:hideMark/>
          </w:tcPr>
          <w:p w14:paraId="2C82A791" w14:textId="77777777" w:rsidR="00004D6D" w:rsidRPr="00F24865" w:rsidRDefault="00004D6D" w:rsidP="00004D6D">
            <w:pPr>
              <w:spacing w:after="0" w:line="240" w:lineRule="auto"/>
              <w:jc w:val="center"/>
              <w:rPr>
                <w:rFonts w:ascii="Times New Roman" w:eastAsia="Times New Roman" w:hAnsi="Times New Roman" w:cs="Times New Roman"/>
                <w:b/>
                <w:bCs/>
                <w:sz w:val="20"/>
                <w:szCs w:val="20"/>
                <w:lang w:val="en-US" w:eastAsia="en-GB"/>
              </w:rPr>
            </w:pPr>
            <w:r w:rsidRPr="00F24865">
              <w:rPr>
                <w:rFonts w:ascii="Times New Roman" w:eastAsia="Times New Roman" w:hAnsi="Times New Roman" w:cs="Times New Roman"/>
                <w:b/>
                <w:bCs/>
                <w:sz w:val="20"/>
                <w:szCs w:val="20"/>
                <w:lang w:val="en-US" w:eastAsia="en-GB"/>
              </w:rPr>
              <w:t>1.27*</w:t>
            </w:r>
          </w:p>
        </w:tc>
        <w:tc>
          <w:tcPr>
            <w:tcW w:w="1160" w:type="dxa"/>
            <w:tcBorders>
              <w:top w:val="nil"/>
              <w:left w:val="nil"/>
              <w:bottom w:val="nil"/>
              <w:right w:val="nil"/>
            </w:tcBorders>
            <w:shd w:val="clear" w:color="auto" w:fill="auto"/>
            <w:noWrap/>
            <w:vAlign w:val="bottom"/>
            <w:hideMark/>
          </w:tcPr>
          <w:p w14:paraId="2B6331CE" w14:textId="77777777" w:rsidR="00004D6D" w:rsidRPr="00F24865" w:rsidRDefault="00004D6D" w:rsidP="00004D6D">
            <w:pPr>
              <w:spacing w:after="0" w:line="240" w:lineRule="auto"/>
              <w:jc w:val="center"/>
              <w:rPr>
                <w:rFonts w:ascii="Times New Roman" w:eastAsia="Times New Roman" w:hAnsi="Times New Roman" w:cs="Times New Roman"/>
                <w:b/>
                <w:bCs/>
                <w:sz w:val="20"/>
                <w:szCs w:val="20"/>
                <w:lang w:val="en-US" w:eastAsia="en-GB"/>
              </w:rPr>
            </w:pPr>
            <w:r w:rsidRPr="00F24865">
              <w:rPr>
                <w:rFonts w:ascii="Times New Roman" w:eastAsia="Times New Roman" w:hAnsi="Times New Roman" w:cs="Times New Roman"/>
                <w:b/>
                <w:bCs/>
                <w:sz w:val="20"/>
                <w:szCs w:val="20"/>
                <w:lang w:val="en-US" w:eastAsia="en-GB"/>
              </w:rPr>
              <w:t>2.08**</w:t>
            </w:r>
          </w:p>
        </w:tc>
        <w:tc>
          <w:tcPr>
            <w:tcW w:w="1160" w:type="dxa"/>
            <w:tcBorders>
              <w:top w:val="nil"/>
              <w:left w:val="nil"/>
              <w:bottom w:val="nil"/>
              <w:right w:val="nil"/>
            </w:tcBorders>
            <w:shd w:val="clear" w:color="auto" w:fill="auto"/>
            <w:noWrap/>
            <w:vAlign w:val="bottom"/>
            <w:hideMark/>
          </w:tcPr>
          <w:p w14:paraId="177A744B" w14:textId="77777777" w:rsidR="00004D6D" w:rsidRPr="00F24865" w:rsidRDefault="00004D6D" w:rsidP="00004D6D">
            <w:pPr>
              <w:spacing w:after="0" w:line="240" w:lineRule="auto"/>
              <w:jc w:val="center"/>
              <w:rPr>
                <w:rFonts w:ascii="Times New Roman" w:eastAsia="Times New Roman" w:hAnsi="Times New Roman" w:cs="Times New Roman"/>
                <w:b/>
                <w:bCs/>
                <w:sz w:val="20"/>
                <w:szCs w:val="20"/>
                <w:lang w:val="en-US" w:eastAsia="en-GB"/>
              </w:rPr>
            </w:pPr>
            <w:r w:rsidRPr="00F24865">
              <w:rPr>
                <w:rFonts w:ascii="Times New Roman" w:eastAsia="Times New Roman" w:hAnsi="Times New Roman" w:cs="Times New Roman"/>
                <w:b/>
                <w:bCs/>
                <w:sz w:val="20"/>
                <w:szCs w:val="20"/>
                <w:lang w:val="en-US" w:eastAsia="en-GB"/>
              </w:rPr>
              <w:t>1.14+</w:t>
            </w:r>
          </w:p>
        </w:tc>
        <w:tc>
          <w:tcPr>
            <w:tcW w:w="1160" w:type="dxa"/>
            <w:tcBorders>
              <w:top w:val="nil"/>
              <w:left w:val="nil"/>
              <w:bottom w:val="nil"/>
              <w:right w:val="nil"/>
            </w:tcBorders>
            <w:shd w:val="clear" w:color="auto" w:fill="auto"/>
            <w:noWrap/>
            <w:vAlign w:val="bottom"/>
            <w:hideMark/>
          </w:tcPr>
          <w:p w14:paraId="4FCC2D86" w14:textId="77777777" w:rsidR="00004D6D" w:rsidRPr="00F24865" w:rsidRDefault="00004D6D" w:rsidP="00004D6D">
            <w:pPr>
              <w:spacing w:after="0" w:line="240" w:lineRule="auto"/>
              <w:jc w:val="center"/>
              <w:rPr>
                <w:rFonts w:ascii="Times New Roman" w:eastAsia="Times New Roman" w:hAnsi="Times New Roman" w:cs="Times New Roman"/>
                <w:b/>
                <w:bCs/>
                <w:sz w:val="20"/>
                <w:szCs w:val="20"/>
                <w:lang w:val="en-US" w:eastAsia="en-GB"/>
              </w:rPr>
            </w:pPr>
          </w:p>
        </w:tc>
        <w:tc>
          <w:tcPr>
            <w:tcW w:w="1160" w:type="dxa"/>
            <w:tcBorders>
              <w:top w:val="nil"/>
              <w:left w:val="nil"/>
              <w:bottom w:val="nil"/>
              <w:right w:val="nil"/>
            </w:tcBorders>
            <w:shd w:val="clear" w:color="auto" w:fill="auto"/>
            <w:noWrap/>
            <w:vAlign w:val="bottom"/>
            <w:hideMark/>
          </w:tcPr>
          <w:p w14:paraId="66FB4412"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r>
      <w:tr w:rsidR="00004D6D" w:rsidRPr="00F24865" w14:paraId="0B453A7E" w14:textId="77777777" w:rsidTr="00004D6D">
        <w:trPr>
          <w:trHeight w:val="264"/>
        </w:trPr>
        <w:tc>
          <w:tcPr>
            <w:tcW w:w="3000" w:type="dxa"/>
            <w:tcBorders>
              <w:top w:val="nil"/>
              <w:left w:val="nil"/>
              <w:bottom w:val="nil"/>
              <w:right w:val="nil"/>
            </w:tcBorders>
            <w:shd w:val="clear" w:color="auto" w:fill="auto"/>
            <w:noWrap/>
            <w:vAlign w:val="bottom"/>
            <w:hideMark/>
          </w:tcPr>
          <w:p w14:paraId="5980DE54"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3FDE1FDF"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(0.47)</w:t>
            </w:r>
          </w:p>
        </w:tc>
        <w:tc>
          <w:tcPr>
            <w:tcW w:w="1160" w:type="dxa"/>
            <w:tcBorders>
              <w:top w:val="nil"/>
              <w:left w:val="nil"/>
              <w:bottom w:val="nil"/>
              <w:right w:val="nil"/>
            </w:tcBorders>
            <w:shd w:val="clear" w:color="auto" w:fill="auto"/>
            <w:noWrap/>
            <w:vAlign w:val="bottom"/>
            <w:hideMark/>
          </w:tcPr>
          <w:p w14:paraId="4779824E"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(0.54)</w:t>
            </w:r>
          </w:p>
        </w:tc>
        <w:tc>
          <w:tcPr>
            <w:tcW w:w="1160" w:type="dxa"/>
            <w:tcBorders>
              <w:top w:val="nil"/>
              <w:left w:val="nil"/>
              <w:bottom w:val="nil"/>
              <w:right w:val="nil"/>
            </w:tcBorders>
            <w:shd w:val="clear" w:color="auto" w:fill="auto"/>
            <w:noWrap/>
            <w:vAlign w:val="bottom"/>
            <w:hideMark/>
          </w:tcPr>
          <w:p w14:paraId="1B88D171"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(0.68)</w:t>
            </w:r>
          </w:p>
        </w:tc>
        <w:tc>
          <w:tcPr>
            <w:tcW w:w="1160" w:type="dxa"/>
            <w:tcBorders>
              <w:top w:val="nil"/>
              <w:left w:val="nil"/>
              <w:bottom w:val="nil"/>
              <w:right w:val="nil"/>
            </w:tcBorders>
            <w:shd w:val="clear" w:color="auto" w:fill="auto"/>
            <w:noWrap/>
            <w:vAlign w:val="bottom"/>
            <w:hideMark/>
          </w:tcPr>
          <w:p w14:paraId="6AD78D20"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(0.65)</w:t>
            </w:r>
          </w:p>
        </w:tc>
        <w:tc>
          <w:tcPr>
            <w:tcW w:w="1160" w:type="dxa"/>
            <w:tcBorders>
              <w:top w:val="nil"/>
              <w:left w:val="nil"/>
              <w:bottom w:val="nil"/>
              <w:right w:val="nil"/>
            </w:tcBorders>
            <w:shd w:val="clear" w:color="auto" w:fill="auto"/>
            <w:noWrap/>
            <w:vAlign w:val="bottom"/>
            <w:hideMark/>
          </w:tcPr>
          <w:p w14:paraId="6A4E03DA"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4DF6AC85"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r>
      <w:tr w:rsidR="00004D6D" w:rsidRPr="00F24865" w14:paraId="393495A9" w14:textId="77777777" w:rsidTr="00004D6D">
        <w:trPr>
          <w:trHeight w:val="264"/>
        </w:trPr>
        <w:tc>
          <w:tcPr>
            <w:tcW w:w="3000" w:type="dxa"/>
            <w:tcBorders>
              <w:top w:val="nil"/>
              <w:left w:val="nil"/>
              <w:bottom w:val="nil"/>
              <w:right w:val="nil"/>
            </w:tcBorders>
            <w:shd w:val="clear" w:color="auto" w:fill="auto"/>
            <w:noWrap/>
            <w:vAlign w:val="bottom"/>
            <w:hideMark/>
          </w:tcPr>
          <w:p w14:paraId="79E1B4E2"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GCF*FID Proportion</w:t>
            </w:r>
          </w:p>
        </w:tc>
        <w:tc>
          <w:tcPr>
            <w:tcW w:w="1160" w:type="dxa"/>
            <w:tcBorders>
              <w:top w:val="nil"/>
              <w:left w:val="nil"/>
              <w:bottom w:val="nil"/>
              <w:right w:val="nil"/>
            </w:tcBorders>
            <w:shd w:val="clear" w:color="auto" w:fill="auto"/>
            <w:noWrap/>
            <w:vAlign w:val="bottom"/>
            <w:hideMark/>
          </w:tcPr>
          <w:p w14:paraId="62E53C62"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0F4A663A"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344084C1"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2A31B71B"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504A5C3A" w14:textId="77777777" w:rsidR="00004D6D" w:rsidRPr="00F24865" w:rsidRDefault="00004D6D" w:rsidP="00004D6D">
            <w:pPr>
              <w:spacing w:after="0" w:line="240" w:lineRule="auto"/>
              <w:jc w:val="center"/>
              <w:rPr>
                <w:rFonts w:ascii="Times New Roman" w:eastAsia="Times New Roman" w:hAnsi="Times New Roman" w:cs="Times New Roman"/>
                <w:b/>
                <w:bCs/>
                <w:sz w:val="20"/>
                <w:szCs w:val="20"/>
                <w:lang w:val="en-US" w:eastAsia="en-GB"/>
              </w:rPr>
            </w:pPr>
            <w:r w:rsidRPr="00F24865">
              <w:rPr>
                <w:rFonts w:ascii="Times New Roman" w:eastAsia="Times New Roman" w:hAnsi="Times New Roman" w:cs="Times New Roman"/>
                <w:b/>
                <w:bCs/>
                <w:sz w:val="20"/>
                <w:szCs w:val="20"/>
                <w:lang w:val="en-US" w:eastAsia="en-GB"/>
              </w:rPr>
              <w:t>0.82**</w:t>
            </w:r>
          </w:p>
        </w:tc>
        <w:tc>
          <w:tcPr>
            <w:tcW w:w="1160" w:type="dxa"/>
            <w:tcBorders>
              <w:top w:val="nil"/>
              <w:left w:val="nil"/>
              <w:bottom w:val="nil"/>
              <w:right w:val="nil"/>
            </w:tcBorders>
            <w:shd w:val="clear" w:color="auto" w:fill="auto"/>
            <w:noWrap/>
            <w:vAlign w:val="bottom"/>
            <w:hideMark/>
          </w:tcPr>
          <w:p w14:paraId="4FC0F99B" w14:textId="77777777" w:rsidR="00004D6D" w:rsidRPr="00F24865" w:rsidRDefault="00004D6D" w:rsidP="00004D6D">
            <w:pPr>
              <w:spacing w:after="0" w:line="240" w:lineRule="auto"/>
              <w:jc w:val="center"/>
              <w:rPr>
                <w:rFonts w:ascii="Times New Roman" w:eastAsia="Times New Roman" w:hAnsi="Times New Roman" w:cs="Times New Roman"/>
                <w:b/>
                <w:bCs/>
                <w:sz w:val="20"/>
                <w:szCs w:val="20"/>
                <w:lang w:val="en-US" w:eastAsia="en-GB"/>
              </w:rPr>
            </w:pPr>
            <w:r w:rsidRPr="00F24865">
              <w:rPr>
                <w:rFonts w:ascii="Times New Roman" w:eastAsia="Times New Roman" w:hAnsi="Times New Roman" w:cs="Times New Roman"/>
                <w:b/>
                <w:bCs/>
                <w:sz w:val="20"/>
                <w:szCs w:val="20"/>
                <w:lang w:val="en-US" w:eastAsia="en-GB"/>
              </w:rPr>
              <w:t>1.07*</w:t>
            </w:r>
          </w:p>
        </w:tc>
      </w:tr>
      <w:tr w:rsidR="00004D6D" w:rsidRPr="00F24865" w14:paraId="6F35AC59" w14:textId="77777777" w:rsidTr="00004D6D">
        <w:trPr>
          <w:trHeight w:val="264"/>
        </w:trPr>
        <w:tc>
          <w:tcPr>
            <w:tcW w:w="3000" w:type="dxa"/>
            <w:tcBorders>
              <w:top w:val="nil"/>
              <w:left w:val="nil"/>
              <w:bottom w:val="nil"/>
              <w:right w:val="nil"/>
            </w:tcBorders>
            <w:shd w:val="clear" w:color="auto" w:fill="auto"/>
            <w:noWrap/>
            <w:vAlign w:val="bottom"/>
            <w:hideMark/>
          </w:tcPr>
          <w:p w14:paraId="315E52E1"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0A9E5D74"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7873EB34"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12130F59"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00407AB7"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44B0667E" w14:textId="77777777" w:rsidR="00004D6D" w:rsidRPr="00F24865" w:rsidRDefault="00004D6D" w:rsidP="00004D6D">
            <w:pPr>
              <w:spacing w:after="0" w:line="240" w:lineRule="auto"/>
              <w:jc w:val="center"/>
              <w:rPr>
                <w:rFonts w:ascii="Times New Roman" w:eastAsia="Times New Roman" w:hAnsi="Times New Roman" w:cs="Times New Roman"/>
                <w:b/>
                <w:bCs/>
                <w:sz w:val="20"/>
                <w:szCs w:val="20"/>
                <w:lang w:val="en-US" w:eastAsia="en-GB"/>
              </w:rPr>
            </w:pPr>
            <w:r w:rsidRPr="00F24865">
              <w:rPr>
                <w:rFonts w:ascii="Times New Roman" w:eastAsia="Times New Roman" w:hAnsi="Times New Roman" w:cs="Times New Roman"/>
                <w:b/>
                <w:bCs/>
                <w:sz w:val="20"/>
                <w:szCs w:val="20"/>
                <w:lang w:val="en-US" w:eastAsia="en-GB"/>
              </w:rPr>
              <w:t>(0.30)</w:t>
            </w:r>
          </w:p>
        </w:tc>
        <w:tc>
          <w:tcPr>
            <w:tcW w:w="1160" w:type="dxa"/>
            <w:tcBorders>
              <w:top w:val="nil"/>
              <w:left w:val="nil"/>
              <w:bottom w:val="nil"/>
              <w:right w:val="nil"/>
            </w:tcBorders>
            <w:shd w:val="clear" w:color="auto" w:fill="auto"/>
            <w:noWrap/>
            <w:vAlign w:val="bottom"/>
            <w:hideMark/>
          </w:tcPr>
          <w:p w14:paraId="3E58C977" w14:textId="77777777" w:rsidR="00004D6D" w:rsidRPr="00F24865" w:rsidRDefault="00004D6D" w:rsidP="00004D6D">
            <w:pPr>
              <w:spacing w:after="0" w:line="240" w:lineRule="auto"/>
              <w:jc w:val="center"/>
              <w:rPr>
                <w:rFonts w:ascii="Times New Roman" w:eastAsia="Times New Roman" w:hAnsi="Times New Roman" w:cs="Times New Roman"/>
                <w:b/>
                <w:bCs/>
                <w:sz w:val="20"/>
                <w:szCs w:val="20"/>
                <w:lang w:val="en-US" w:eastAsia="en-GB"/>
              </w:rPr>
            </w:pPr>
            <w:r w:rsidRPr="00F24865">
              <w:rPr>
                <w:rFonts w:ascii="Times New Roman" w:eastAsia="Times New Roman" w:hAnsi="Times New Roman" w:cs="Times New Roman"/>
                <w:b/>
                <w:bCs/>
                <w:sz w:val="20"/>
                <w:szCs w:val="20"/>
                <w:lang w:val="en-US" w:eastAsia="en-GB"/>
              </w:rPr>
              <w:t>(0.50)</w:t>
            </w:r>
          </w:p>
        </w:tc>
      </w:tr>
      <w:tr w:rsidR="00004D6D" w:rsidRPr="00F24865" w14:paraId="6D1CC1A0" w14:textId="77777777" w:rsidTr="00004D6D">
        <w:trPr>
          <w:trHeight w:val="264"/>
        </w:trPr>
        <w:tc>
          <w:tcPr>
            <w:tcW w:w="3000" w:type="dxa"/>
            <w:tcBorders>
              <w:top w:val="nil"/>
              <w:left w:val="nil"/>
              <w:bottom w:val="nil"/>
              <w:right w:val="nil"/>
            </w:tcBorders>
            <w:shd w:val="clear" w:color="auto" w:fill="auto"/>
            <w:noWrap/>
            <w:vAlign w:val="bottom"/>
            <w:hideMark/>
          </w:tcPr>
          <w:p w14:paraId="7921D587"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ID Proportion</w:t>
            </w:r>
          </w:p>
        </w:tc>
        <w:tc>
          <w:tcPr>
            <w:tcW w:w="1160" w:type="dxa"/>
            <w:tcBorders>
              <w:top w:val="nil"/>
              <w:left w:val="nil"/>
              <w:bottom w:val="nil"/>
              <w:right w:val="nil"/>
            </w:tcBorders>
            <w:shd w:val="clear" w:color="auto" w:fill="auto"/>
            <w:noWrap/>
            <w:vAlign w:val="bottom"/>
            <w:hideMark/>
          </w:tcPr>
          <w:p w14:paraId="22099E58"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-1.63</w:t>
            </w:r>
          </w:p>
        </w:tc>
        <w:tc>
          <w:tcPr>
            <w:tcW w:w="1160" w:type="dxa"/>
            <w:tcBorders>
              <w:top w:val="nil"/>
              <w:left w:val="nil"/>
              <w:bottom w:val="nil"/>
              <w:right w:val="nil"/>
            </w:tcBorders>
            <w:shd w:val="clear" w:color="auto" w:fill="auto"/>
            <w:noWrap/>
            <w:vAlign w:val="bottom"/>
            <w:hideMark/>
          </w:tcPr>
          <w:p w14:paraId="660C6B03"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-13.04*</w:t>
            </w:r>
          </w:p>
        </w:tc>
        <w:tc>
          <w:tcPr>
            <w:tcW w:w="1160" w:type="dxa"/>
            <w:tcBorders>
              <w:top w:val="nil"/>
              <w:left w:val="nil"/>
              <w:bottom w:val="nil"/>
              <w:right w:val="nil"/>
            </w:tcBorders>
            <w:shd w:val="clear" w:color="auto" w:fill="auto"/>
            <w:noWrap/>
            <w:vAlign w:val="bottom"/>
            <w:hideMark/>
          </w:tcPr>
          <w:p w14:paraId="05723227"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-6.12**</w:t>
            </w:r>
          </w:p>
        </w:tc>
        <w:tc>
          <w:tcPr>
            <w:tcW w:w="1160" w:type="dxa"/>
            <w:tcBorders>
              <w:top w:val="nil"/>
              <w:left w:val="nil"/>
              <w:bottom w:val="nil"/>
              <w:right w:val="nil"/>
            </w:tcBorders>
            <w:shd w:val="clear" w:color="auto" w:fill="auto"/>
            <w:noWrap/>
            <w:vAlign w:val="bottom"/>
            <w:hideMark/>
          </w:tcPr>
          <w:p w14:paraId="08FAB067"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-11.96</w:t>
            </w:r>
          </w:p>
        </w:tc>
        <w:tc>
          <w:tcPr>
            <w:tcW w:w="1160" w:type="dxa"/>
            <w:tcBorders>
              <w:top w:val="nil"/>
              <w:left w:val="nil"/>
              <w:bottom w:val="nil"/>
              <w:right w:val="nil"/>
            </w:tcBorders>
            <w:shd w:val="clear" w:color="auto" w:fill="auto"/>
            <w:noWrap/>
            <w:vAlign w:val="bottom"/>
            <w:hideMark/>
          </w:tcPr>
          <w:p w14:paraId="144E15AB"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12A20815"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r>
      <w:tr w:rsidR="00004D6D" w:rsidRPr="00F24865" w14:paraId="568BEDD5" w14:textId="77777777" w:rsidTr="00004D6D">
        <w:trPr>
          <w:trHeight w:val="264"/>
        </w:trPr>
        <w:tc>
          <w:tcPr>
            <w:tcW w:w="3000" w:type="dxa"/>
            <w:tcBorders>
              <w:top w:val="nil"/>
              <w:left w:val="nil"/>
              <w:bottom w:val="nil"/>
              <w:right w:val="nil"/>
            </w:tcBorders>
            <w:shd w:val="clear" w:color="auto" w:fill="auto"/>
            <w:noWrap/>
            <w:vAlign w:val="bottom"/>
            <w:hideMark/>
          </w:tcPr>
          <w:p w14:paraId="033D1994"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5A0AFF62"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(2.64)</w:t>
            </w:r>
          </w:p>
        </w:tc>
        <w:tc>
          <w:tcPr>
            <w:tcW w:w="1160" w:type="dxa"/>
            <w:tcBorders>
              <w:top w:val="nil"/>
              <w:left w:val="nil"/>
              <w:bottom w:val="nil"/>
              <w:right w:val="nil"/>
            </w:tcBorders>
            <w:shd w:val="clear" w:color="auto" w:fill="auto"/>
            <w:noWrap/>
            <w:vAlign w:val="bottom"/>
            <w:hideMark/>
          </w:tcPr>
          <w:p w14:paraId="72F42A6B"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(5.83)</w:t>
            </w:r>
          </w:p>
        </w:tc>
        <w:tc>
          <w:tcPr>
            <w:tcW w:w="1160" w:type="dxa"/>
            <w:tcBorders>
              <w:top w:val="nil"/>
              <w:left w:val="nil"/>
              <w:bottom w:val="nil"/>
              <w:right w:val="nil"/>
            </w:tcBorders>
            <w:shd w:val="clear" w:color="auto" w:fill="auto"/>
            <w:noWrap/>
            <w:vAlign w:val="bottom"/>
            <w:hideMark/>
          </w:tcPr>
          <w:p w14:paraId="1C0C3738"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(1.94)</w:t>
            </w:r>
          </w:p>
        </w:tc>
        <w:tc>
          <w:tcPr>
            <w:tcW w:w="1160" w:type="dxa"/>
            <w:tcBorders>
              <w:top w:val="nil"/>
              <w:left w:val="nil"/>
              <w:bottom w:val="nil"/>
              <w:right w:val="nil"/>
            </w:tcBorders>
            <w:shd w:val="clear" w:color="auto" w:fill="auto"/>
            <w:noWrap/>
            <w:vAlign w:val="bottom"/>
            <w:hideMark/>
          </w:tcPr>
          <w:p w14:paraId="1BAF2BFF"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(7.04)</w:t>
            </w:r>
          </w:p>
        </w:tc>
        <w:tc>
          <w:tcPr>
            <w:tcW w:w="1160" w:type="dxa"/>
            <w:tcBorders>
              <w:top w:val="nil"/>
              <w:left w:val="nil"/>
              <w:bottom w:val="nil"/>
              <w:right w:val="nil"/>
            </w:tcBorders>
            <w:shd w:val="clear" w:color="auto" w:fill="auto"/>
            <w:noWrap/>
            <w:vAlign w:val="bottom"/>
            <w:hideMark/>
          </w:tcPr>
          <w:p w14:paraId="2A37A882"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34485905"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r>
      <w:tr w:rsidR="00004D6D" w:rsidRPr="00F24865" w14:paraId="31D3D34F" w14:textId="77777777" w:rsidTr="00004D6D">
        <w:trPr>
          <w:trHeight w:val="264"/>
        </w:trPr>
        <w:tc>
          <w:tcPr>
            <w:tcW w:w="3000" w:type="dxa"/>
            <w:tcBorders>
              <w:top w:val="nil"/>
              <w:left w:val="nil"/>
              <w:bottom w:val="nil"/>
              <w:right w:val="nil"/>
            </w:tcBorders>
            <w:shd w:val="clear" w:color="auto" w:fill="auto"/>
            <w:noWrap/>
            <w:vAlign w:val="bottom"/>
            <w:hideMark/>
          </w:tcPr>
          <w:p w14:paraId="512FD620"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FID Proportion</w:t>
            </w:r>
          </w:p>
        </w:tc>
        <w:tc>
          <w:tcPr>
            <w:tcW w:w="1160" w:type="dxa"/>
            <w:tcBorders>
              <w:top w:val="nil"/>
              <w:left w:val="nil"/>
              <w:bottom w:val="nil"/>
              <w:right w:val="nil"/>
            </w:tcBorders>
            <w:shd w:val="clear" w:color="auto" w:fill="auto"/>
            <w:noWrap/>
            <w:vAlign w:val="bottom"/>
            <w:hideMark/>
          </w:tcPr>
          <w:p w14:paraId="333669FC"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498CB2A7"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35AE7CCC"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01F66692"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64C994F3"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18.55***</w:t>
            </w:r>
          </w:p>
        </w:tc>
        <w:tc>
          <w:tcPr>
            <w:tcW w:w="1160" w:type="dxa"/>
            <w:tcBorders>
              <w:top w:val="nil"/>
              <w:left w:val="nil"/>
              <w:bottom w:val="nil"/>
              <w:right w:val="nil"/>
            </w:tcBorders>
            <w:shd w:val="clear" w:color="auto" w:fill="auto"/>
            <w:noWrap/>
            <w:vAlign w:val="bottom"/>
            <w:hideMark/>
          </w:tcPr>
          <w:p w14:paraId="24642B0A"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-10.90*</w:t>
            </w:r>
          </w:p>
        </w:tc>
      </w:tr>
      <w:tr w:rsidR="00004D6D" w:rsidRPr="00F24865" w14:paraId="7665F4BD" w14:textId="77777777" w:rsidTr="00004D6D">
        <w:trPr>
          <w:trHeight w:val="264"/>
        </w:trPr>
        <w:tc>
          <w:tcPr>
            <w:tcW w:w="3000" w:type="dxa"/>
            <w:tcBorders>
              <w:top w:val="nil"/>
              <w:left w:val="nil"/>
              <w:bottom w:val="nil"/>
              <w:right w:val="nil"/>
            </w:tcBorders>
            <w:shd w:val="clear" w:color="auto" w:fill="auto"/>
            <w:noWrap/>
            <w:vAlign w:val="bottom"/>
            <w:hideMark/>
          </w:tcPr>
          <w:p w14:paraId="265E4BC7"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0A8DCF1D"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7D4F3963"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63599176"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7E2E3780"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4E142F52"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(1.16)</w:t>
            </w:r>
          </w:p>
        </w:tc>
        <w:tc>
          <w:tcPr>
            <w:tcW w:w="1160" w:type="dxa"/>
            <w:tcBorders>
              <w:top w:val="nil"/>
              <w:left w:val="nil"/>
              <w:bottom w:val="nil"/>
              <w:right w:val="nil"/>
            </w:tcBorders>
            <w:shd w:val="clear" w:color="auto" w:fill="auto"/>
            <w:noWrap/>
            <w:vAlign w:val="bottom"/>
            <w:hideMark/>
          </w:tcPr>
          <w:p w14:paraId="77684683"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(5.39)</w:t>
            </w:r>
          </w:p>
        </w:tc>
      </w:tr>
      <w:tr w:rsidR="00004D6D" w:rsidRPr="00F24865" w14:paraId="4A550814" w14:textId="77777777" w:rsidTr="00004D6D">
        <w:trPr>
          <w:trHeight w:val="264"/>
        </w:trPr>
        <w:tc>
          <w:tcPr>
            <w:tcW w:w="3000" w:type="dxa"/>
            <w:tcBorders>
              <w:top w:val="nil"/>
              <w:left w:val="nil"/>
              <w:bottom w:val="nil"/>
              <w:right w:val="nil"/>
            </w:tcBorders>
            <w:shd w:val="clear" w:color="auto" w:fill="auto"/>
            <w:noWrap/>
            <w:vAlign w:val="bottom"/>
            <w:hideMark/>
          </w:tcPr>
          <w:p w14:paraId="406AFF41"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Investment, lagged</w:t>
            </w:r>
          </w:p>
        </w:tc>
        <w:tc>
          <w:tcPr>
            <w:tcW w:w="1160" w:type="dxa"/>
            <w:tcBorders>
              <w:top w:val="nil"/>
              <w:left w:val="nil"/>
              <w:bottom w:val="nil"/>
              <w:right w:val="nil"/>
            </w:tcBorders>
            <w:shd w:val="clear" w:color="auto" w:fill="auto"/>
            <w:noWrap/>
            <w:vAlign w:val="bottom"/>
            <w:hideMark/>
          </w:tcPr>
          <w:p w14:paraId="63CF3F8C"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0.04</w:t>
            </w:r>
          </w:p>
        </w:tc>
        <w:tc>
          <w:tcPr>
            <w:tcW w:w="1160" w:type="dxa"/>
            <w:tcBorders>
              <w:top w:val="nil"/>
              <w:left w:val="nil"/>
              <w:bottom w:val="nil"/>
              <w:right w:val="nil"/>
            </w:tcBorders>
            <w:shd w:val="clear" w:color="auto" w:fill="auto"/>
            <w:noWrap/>
            <w:vAlign w:val="bottom"/>
            <w:hideMark/>
          </w:tcPr>
          <w:p w14:paraId="20C5BD05"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0.46*</w:t>
            </w:r>
          </w:p>
        </w:tc>
        <w:tc>
          <w:tcPr>
            <w:tcW w:w="1160" w:type="dxa"/>
            <w:tcBorders>
              <w:top w:val="nil"/>
              <w:left w:val="nil"/>
              <w:bottom w:val="nil"/>
              <w:right w:val="nil"/>
            </w:tcBorders>
            <w:shd w:val="clear" w:color="auto" w:fill="auto"/>
            <w:noWrap/>
            <w:vAlign w:val="bottom"/>
            <w:hideMark/>
          </w:tcPr>
          <w:p w14:paraId="5CF13684"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0.32**</w:t>
            </w:r>
          </w:p>
        </w:tc>
        <w:tc>
          <w:tcPr>
            <w:tcW w:w="1160" w:type="dxa"/>
            <w:tcBorders>
              <w:top w:val="nil"/>
              <w:left w:val="nil"/>
              <w:bottom w:val="nil"/>
              <w:right w:val="nil"/>
            </w:tcBorders>
            <w:shd w:val="clear" w:color="auto" w:fill="auto"/>
            <w:noWrap/>
            <w:vAlign w:val="bottom"/>
            <w:hideMark/>
          </w:tcPr>
          <w:p w14:paraId="2CC54DA8"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0.52*</w:t>
            </w:r>
          </w:p>
        </w:tc>
        <w:tc>
          <w:tcPr>
            <w:tcW w:w="1160" w:type="dxa"/>
            <w:tcBorders>
              <w:top w:val="nil"/>
              <w:left w:val="nil"/>
              <w:bottom w:val="nil"/>
              <w:right w:val="nil"/>
            </w:tcBorders>
            <w:shd w:val="clear" w:color="auto" w:fill="auto"/>
            <w:noWrap/>
            <w:vAlign w:val="bottom"/>
            <w:hideMark/>
          </w:tcPr>
          <w:p w14:paraId="2840E87F"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0.09</w:t>
            </w:r>
          </w:p>
        </w:tc>
        <w:tc>
          <w:tcPr>
            <w:tcW w:w="1160" w:type="dxa"/>
            <w:tcBorders>
              <w:top w:val="nil"/>
              <w:left w:val="nil"/>
              <w:bottom w:val="nil"/>
              <w:right w:val="nil"/>
            </w:tcBorders>
            <w:shd w:val="clear" w:color="auto" w:fill="auto"/>
            <w:noWrap/>
            <w:vAlign w:val="bottom"/>
            <w:hideMark/>
          </w:tcPr>
          <w:p w14:paraId="5D240808"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0.59**</w:t>
            </w:r>
          </w:p>
        </w:tc>
      </w:tr>
      <w:tr w:rsidR="00004D6D" w:rsidRPr="00F24865" w14:paraId="21007063" w14:textId="77777777" w:rsidTr="00004D6D">
        <w:trPr>
          <w:trHeight w:val="264"/>
        </w:trPr>
        <w:tc>
          <w:tcPr>
            <w:tcW w:w="3000" w:type="dxa"/>
            <w:tcBorders>
              <w:top w:val="nil"/>
              <w:left w:val="nil"/>
              <w:bottom w:val="nil"/>
              <w:right w:val="nil"/>
            </w:tcBorders>
            <w:shd w:val="clear" w:color="auto" w:fill="auto"/>
            <w:noWrap/>
            <w:vAlign w:val="bottom"/>
            <w:hideMark/>
          </w:tcPr>
          <w:p w14:paraId="3B23B3B1"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63B171A1"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(0.24)</w:t>
            </w:r>
          </w:p>
        </w:tc>
        <w:tc>
          <w:tcPr>
            <w:tcW w:w="1160" w:type="dxa"/>
            <w:tcBorders>
              <w:top w:val="nil"/>
              <w:left w:val="nil"/>
              <w:bottom w:val="nil"/>
              <w:right w:val="nil"/>
            </w:tcBorders>
            <w:shd w:val="clear" w:color="auto" w:fill="auto"/>
            <w:noWrap/>
            <w:vAlign w:val="bottom"/>
            <w:hideMark/>
          </w:tcPr>
          <w:p w14:paraId="29610FA5"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(0.19)</w:t>
            </w:r>
          </w:p>
        </w:tc>
        <w:tc>
          <w:tcPr>
            <w:tcW w:w="1160" w:type="dxa"/>
            <w:tcBorders>
              <w:top w:val="nil"/>
              <w:left w:val="nil"/>
              <w:bottom w:val="nil"/>
              <w:right w:val="nil"/>
            </w:tcBorders>
            <w:shd w:val="clear" w:color="auto" w:fill="auto"/>
            <w:noWrap/>
            <w:vAlign w:val="bottom"/>
            <w:hideMark/>
          </w:tcPr>
          <w:p w14:paraId="0BA204D6"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(0.10)</w:t>
            </w:r>
          </w:p>
        </w:tc>
        <w:tc>
          <w:tcPr>
            <w:tcW w:w="1160" w:type="dxa"/>
            <w:tcBorders>
              <w:top w:val="nil"/>
              <w:left w:val="nil"/>
              <w:bottom w:val="nil"/>
              <w:right w:val="nil"/>
            </w:tcBorders>
            <w:shd w:val="clear" w:color="auto" w:fill="auto"/>
            <w:noWrap/>
            <w:vAlign w:val="bottom"/>
            <w:hideMark/>
          </w:tcPr>
          <w:p w14:paraId="61A03BB0"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(0.24)</w:t>
            </w:r>
          </w:p>
        </w:tc>
        <w:tc>
          <w:tcPr>
            <w:tcW w:w="1160" w:type="dxa"/>
            <w:tcBorders>
              <w:top w:val="nil"/>
              <w:left w:val="nil"/>
              <w:bottom w:val="nil"/>
              <w:right w:val="nil"/>
            </w:tcBorders>
            <w:shd w:val="clear" w:color="auto" w:fill="auto"/>
            <w:noWrap/>
            <w:vAlign w:val="bottom"/>
            <w:hideMark/>
          </w:tcPr>
          <w:p w14:paraId="5B1EC6BF"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(0.05)</w:t>
            </w:r>
          </w:p>
        </w:tc>
        <w:tc>
          <w:tcPr>
            <w:tcW w:w="1160" w:type="dxa"/>
            <w:tcBorders>
              <w:top w:val="nil"/>
              <w:left w:val="nil"/>
              <w:bottom w:val="nil"/>
              <w:right w:val="nil"/>
            </w:tcBorders>
            <w:shd w:val="clear" w:color="auto" w:fill="auto"/>
            <w:noWrap/>
            <w:vAlign w:val="bottom"/>
            <w:hideMark/>
          </w:tcPr>
          <w:p w14:paraId="46BB783C"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(0.18)</w:t>
            </w:r>
          </w:p>
        </w:tc>
      </w:tr>
      <w:tr w:rsidR="00004D6D" w:rsidRPr="00F24865" w14:paraId="0DCE7C11" w14:textId="77777777" w:rsidTr="00004D6D">
        <w:trPr>
          <w:trHeight w:val="264"/>
        </w:trPr>
        <w:tc>
          <w:tcPr>
            <w:tcW w:w="3000" w:type="dxa"/>
            <w:tcBorders>
              <w:top w:val="nil"/>
              <w:left w:val="nil"/>
              <w:bottom w:val="nil"/>
              <w:right w:val="nil"/>
            </w:tcBorders>
            <w:shd w:val="clear" w:color="auto" w:fill="auto"/>
            <w:noWrap/>
            <w:vAlign w:val="bottom"/>
            <w:hideMark/>
          </w:tcPr>
          <w:p w14:paraId="28E45098"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Debt</w:t>
            </w:r>
          </w:p>
        </w:tc>
        <w:tc>
          <w:tcPr>
            <w:tcW w:w="1160" w:type="dxa"/>
            <w:tcBorders>
              <w:top w:val="nil"/>
              <w:left w:val="nil"/>
              <w:bottom w:val="nil"/>
              <w:right w:val="nil"/>
            </w:tcBorders>
            <w:shd w:val="clear" w:color="auto" w:fill="auto"/>
            <w:noWrap/>
            <w:vAlign w:val="bottom"/>
            <w:hideMark/>
          </w:tcPr>
          <w:p w14:paraId="59F4ADC2"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0.04</w:t>
            </w:r>
          </w:p>
        </w:tc>
        <w:tc>
          <w:tcPr>
            <w:tcW w:w="1160" w:type="dxa"/>
            <w:tcBorders>
              <w:top w:val="nil"/>
              <w:left w:val="nil"/>
              <w:bottom w:val="nil"/>
              <w:right w:val="nil"/>
            </w:tcBorders>
            <w:shd w:val="clear" w:color="auto" w:fill="auto"/>
            <w:noWrap/>
            <w:vAlign w:val="bottom"/>
            <w:hideMark/>
          </w:tcPr>
          <w:p w14:paraId="1ABAE3D0"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0.02+</w:t>
            </w:r>
          </w:p>
        </w:tc>
        <w:tc>
          <w:tcPr>
            <w:tcW w:w="1160" w:type="dxa"/>
            <w:tcBorders>
              <w:top w:val="nil"/>
              <w:left w:val="nil"/>
              <w:bottom w:val="nil"/>
              <w:right w:val="nil"/>
            </w:tcBorders>
            <w:shd w:val="clear" w:color="auto" w:fill="auto"/>
            <w:noWrap/>
            <w:vAlign w:val="bottom"/>
            <w:hideMark/>
          </w:tcPr>
          <w:p w14:paraId="0EC27177"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0.06*</w:t>
            </w:r>
          </w:p>
        </w:tc>
        <w:tc>
          <w:tcPr>
            <w:tcW w:w="1160" w:type="dxa"/>
            <w:tcBorders>
              <w:top w:val="nil"/>
              <w:left w:val="nil"/>
              <w:bottom w:val="nil"/>
              <w:right w:val="nil"/>
            </w:tcBorders>
            <w:shd w:val="clear" w:color="auto" w:fill="auto"/>
            <w:noWrap/>
            <w:vAlign w:val="bottom"/>
            <w:hideMark/>
          </w:tcPr>
          <w:p w14:paraId="54879FF8"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0.02</w:t>
            </w:r>
          </w:p>
        </w:tc>
        <w:tc>
          <w:tcPr>
            <w:tcW w:w="1160" w:type="dxa"/>
            <w:tcBorders>
              <w:top w:val="nil"/>
              <w:left w:val="nil"/>
              <w:bottom w:val="nil"/>
              <w:right w:val="nil"/>
            </w:tcBorders>
            <w:shd w:val="clear" w:color="auto" w:fill="auto"/>
            <w:noWrap/>
            <w:vAlign w:val="bottom"/>
            <w:hideMark/>
          </w:tcPr>
          <w:p w14:paraId="7210E0B5"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0.02*</w:t>
            </w:r>
          </w:p>
        </w:tc>
        <w:tc>
          <w:tcPr>
            <w:tcW w:w="1160" w:type="dxa"/>
            <w:tcBorders>
              <w:top w:val="nil"/>
              <w:left w:val="nil"/>
              <w:bottom w:val="nil"/>
              <w:right w:val="nil"/>
            </w:tcBorders>
            <w:shd w:val="clear" w:color="auto" w:fill="auto"/>
            <w:noWrap/>
            <w:vAlign w:val="bottom"/>
            <w:hideMark/>
          </w:tcPr>
          <w:p w14:paraId="0C896403"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0.03*</w:t>
            </w:r>
          </w:p>
        </w:tc>
      </w:tr>
      <w:tr w:rsidR="00004D6D" w:rsidRPr="00F24865" w14:paraId="5B7F53D2" w14:textId="77777777" w:rsidTr="00004D6D">
        <w:trPr>
          <w:trHeight w:val="264"/>
        </w:trPr>
        <w:tc>
          <w:tcPr>
            <w:tcW w:w="3000" w:type="dxa"/>
            <w:tcBorders>
              <w:top w:val="nil"/>
              <w:left w:val="nil"/>
              <w:bottom w:val="nil"/>
              <w:right w:val="nil"/>
            </w:tcBorders>
            <w:shd w:val="clear" w:color="auto" w:fill="auto"/>
            <w:noWrap/>
            <w:vAlign w:val="bottom"/>
            <w:hideMark/>
          </w:tcPr>
          <w:p w14:paraId="457A5BC3"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021F1B8A"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(0.03)</w:t>
            </w:r>
          </w:p>
        </w:tc>
        <w:tc>
          <w:tcPr>
            <w:tcW w:w="1160" w:type="dxa"/>
            <w:tcBorders>
              <w:top w:val="nil"/>
              <w:left w:val="nil"/>
              <w:bottom w:val="nil"/>
              <w:right w:val="nil"/>
            </w:tcBorders>
            <w:shd w:val="clear" w:color="auto" w:fill="auto"/>
            <w:noWrap/>
            <w:vAlign w:val="bottom"/>
            <w:hideMark/>
          </w:tcPr>
          <w:p w14:paraId="7E702C7C"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(0.01)</w:t>
            </w:r>
          </w:p>
        </w:tc>
        <w:tc>
          <w:tcPr>
            <w:tcW w:w="1160" w:type="dxa"/>
            <w:tcBorders>
              <w:top w:val="nil"/>
              <w:left w:val="nil"/>
              <w:bottom w:val="nil"/>
              <w:right w:val="nil"/>
            </w:tcBorders>
            <w:shd w:val="clear" w:color="auto" w:fill="auto"/>
            <w:noWrap/>
            <w:vAlign w:val="bottom"/>
            <w:hideMark/>
          </w:tcPr>
          <w:p w14:paraId="30678976"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(0.03)</w:t>
            </w:r>
          </w:p>
        </w:tc>
        <w:tc>
          <w:tcPr>
            <w:tcW w:w="1160" w:type="dxa"/>
            <w:tcBorders>
              <w:top w:val="nil"/>
              <w:left w:val="nil"/>
              <w:bottom w:val="nil"/>
              <w:right w:val="nil"/>
            </w:tcBorders>
            <w:shd w:val="clear" w:color="auto" w:fill="auto"/>
            <w:noWrap/>
            <w:vAlign w:val="bottom"/>
            <w:hideMark/>
          </w:tcPr>
          <w:p w14:paraId="0F113A61"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(0.02)</w:t>
            </w:r>
          </w:p>
        </w:tc>
        <w:tc>
          <w:tcPr>
            <w:tcW w:w="1160" w:type="dxa"/>
            <w:tcBorders>
              <w:top w:val="nil"/>
              <w:left w:val="nil"/>
              <w:bottom w:val="nil"/>
              <w:right w:val="nil"/>
            </w:tcBorders>
            <w:shd w:val="clear" w:color="auto" w:fill="auto"/>
            <w:noWrap/>
            <w:vAlign w:val="bottom"/>
            <w:hideMark/>
          </w:tcPr>
          <w:p w14:paraId="22F94BCB"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(0.01)</w:t>
            </w:r>
          </w:p>
        </w:tc>
        <w:tc>
          <w:tcPr>
            <w:tcW w:w="1160" w:type="dxa"/>
            <w:tcBorders>
              <w:top w:val="nil"/>
              <w:left w:val="nil"/>
              <w:bottom w:val="nil"/>
              <w:right w:val="nil"/>
            </w:tcBorders>
            <w:shd w:val="clear" w:color="auto" w:fill="auto"/>
            <w:noWrap/>
            <w:vAlign w:val="bottom"/>
            <w:hideMark/>
          </w:tcPr>
          <w:p w14:paraId="50DD7932"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(0.01)</w:t>
            </w:r>
          </w:p>
        </w:tc>
      </w:tr>
      <w:tr w:rsidR="00004D6D" w:rsidRPr="00F24865" w14:paraId="6F71B9A7" w14:textId="77777777" w:rsidTr="00004D6D">
        <w:trPr>
          <w:trHeight w:val="264"/>
        </w:trPr>
        <w:tc>
          <w:tcPr>
            <w:tcW w:w="3000" w:type="dxa"/>
            <w:tcBorders>
              <w:top w:val="nil"/>
              <w:left w:val="nil"/>
              <w:bottom w:val="nil"/>
              <w:right w:val="nil"/>
            </w:tcBorders>
            <w:shd w:val="clear" w:color="auto" w:fill="auto"/>
            <w:noWrap/>
            <w:vAlign w:val="bottom"/>
            <w:hideMark/>
          </w:tcPr>
          <w:p w14:paraId="3EBF8544"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Equity</w:t>
            </w:r>
          </w:p>
        </w:tc>
        <w:tc>
          <w:tcPr>
            <w:tcW w:w="1160" w:type="dxa"/>
            <w:tcBorders>
              <w:top w:val="nil"/>
              <w:left w:val="nil"/>
              <w:bottom w:val="nil"/>
              <w:right w:val="nil"/>
            </w:tcBorders>
            <w:shd w:val="clear" w:color="auto" w:fill="auto"/>
            <w:noWrap/>
            <w:vAlign w:val="bottom"/>
            <w:hideMark/>
          </w:tcPr>
          <w:p w14:paraId="546863B5"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0.00</w:t>
            </w:r>
          </w:p>
        </w:tc>
        <w:tc>
          <w:tcPr>
            <w:tcW w:w="1160" w:type="dxa"/>
            <w:tcBorders>
              <w:top w:val="nil"/>
              <w:left w:val="nil"/>
              <w:bottom w:val="nil"/>
              <w:right w:val="nil"/>
            </w:tcBorders>
            <w:shd w:val="clear" w:color="auto" w:fill="auto"/>
            <w:noWrap/>
            <w:vAlign w:val="bottom"/>
            <w:hideMark/>
          </w:tcPr>
          <w:p w14:paraId="43C60712"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-0.00</w:t>
            </w:r>
          </w:p>
        </w:tc>
        <w:tc>
          <w:tcPr>
            <w:tcW w:w="1160" w:type="dxa"/>
            <w:tcBorders>
              <w:top w:val="nil"/>
              <w:left w:val="nil"/>
              <w:bottom w:val="nil"/>
              <w:right w:val="nil"/>
            </w:tcBorders>
            <w:shd w:val="clear" w:color="auto" w:fill="auto"/>
            <w:noWrap/>
            <w:vAlign w:val="bottom"/>
            <w:hideMark/>
          </w:tcPr>
          <w:p w14:paraId="1F0A2218"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0.01</w:t>
            </w:r>
          </w:p>
        </w:tc>
        <w:tc>
          <w:tcPr>
            <w:tcW w:w="1160" w:type="dxa"/>
            <w:tcBorders>
              <w:top w:val="nil"/>
              <w:left w:val="nil"/>
              <w:bottom w:val="nil"/>
              <w:right w:val="nil"/>
            </w:tcBorders>
            <w:shd w:val="clear" w:color="auto" w:fill="auto"/>
            <w:noWrap/>
            <w:vAlign w:val="bottom"/>
            <w:hideMark/>
          </w:tcPr>
          <w:p w14:paraId="62CAC36A"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-0.00</w:t>
            </w:r>
          </w:p>
        </w:tc>
        <w:tc>
          <w:tcPr>
            <w:tcW w:w="1160" w:type="dxa"/>
            <w:tcBorders>
              <w:top w:val="nil"/>
              <w:left w:val="nil"/>
              <w:bottom w:val="nil"/>
              <w:right w:val="nil"/>
            </w:tcBorders>
            <w:shd w:val="clear" w:color="auto" w:fill="auto"/>
            <w:noWrap/>
            <w:vAlign w:val="bottom"/>
            <w:hideMark/>
          </w:tcPr>
          <w:p w14:paraId="17B7AB67"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0.02</w:t>
            </w:r>
          </w:p>
        </w:tc>
        <w:tc>
          <w:tcPr>
            <w:tcW w:w="1160" w:type="dxa"/>
            <w:tcBorders>
              <w:top w:val="nil"/>
              <w:left w:val="nil"/>
              <w:bottom w:val="nil"/>
              <w:right w:val="nil"/>
            </w:tcBorders>
            <w:shd w:val="clear" w:color="auto" w:fill="auto"/>
            <w:noWrap/>
            <w:vAlign w:val="bottom"/>
            <w:hideMark/>
          </w:tcPr>
          <w:p w14:paraId="7C37457D"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0.00</w:t>
            </w:r>
          </w:p>
        </w:tc>
      </w:tr>
      <w:tr w:rsidR="00004D6D" w:rsidRPr="00F24865" w14:paraId="74A12D37" w14:textId="77777777" w:rsidTr="00004D6D">
        <w:trPr>
          <w:trHeight w:val="264"/>
        </w:trPr>
        <w:tc>
          <w:tcPr>
            <w:tcW w:w="3000" w:type="dxa"/>
            <w:tcBorders>
              <w:top w:val="nil"/>
              <w:left w:val="nil"/>
              <w:bottom w:val="nil"/>
              <w:right w:val="nil"/>
            </w:tcBorders>
            <w:shd w:val="clear" w:color="auto" w:fill="auto"/>
            <w:noWrap/>
            <w:vAlign w:val="bottom"/>
            <w:hideMark/>
          </w:tcPr>
          <w:p w14:paraId="78EC3593"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18D036A0"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(0.03)</w:t>
            </w:r>
          </w:p>
        </w:tc>
        <w:tc>
          <w:tcPr>
            <w:tcW w:w="1160" w:type="dxa"/>
            <w:tcBorders>
              <w:top w:val="nil"/>
              <w:left w:val="nil"/>
              <w:bottom w:val="nil"/>
              <w:right w:val="nil"/>
            </w:tcBorders>
            <w:shd w:val="clear" w:color="auto" w:fill="auto"/>
            <w:noWrap/>
            <w:vAlign w:val="bottom"/>
            <w:hideMark/>
          </w:tcPr>
          <w:p w14:paraId="06CC5319"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(0.01)</w:t>
            </w:r>
          </w:p>
        </w:tc>
        <w:tc>
          <w:tcPr>
            <w:tcW w:w="1160" w:type="dxa"/>
            <w:tcBorders>
              <w:top w:val="nil"/>
              <w:left w:val="nil"/>
              <w:bottom w:val="nil"/>
              <w:right w:val="nil"/>
            </w:tcBorders>
            <w:shd w:val="clear" w:color="auto" w:fill="auto"/>
            <w:noWrap/>
            <w:vAlign w:val="bottom"/>
            <w:hideMark/>
          </w:tcPr>
          <w:p w14:paraId="679C97AF"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(0.03)</w:t>
            </w:r>
          </w:p>
        </w:tc>
        <w:tc>
          <w:tcPr>
            <w:tcW w:w="1160" w:type="dxa"/>
            <w:tcBorders>
              <w:top w:val="nil"/>
              <w:left w:val="nil"/>
              <w:bottom w:val="nil"/>
              <w:right w:val="nil"/>
            </w:tcBorders>
            <w:shd w:val="clear" w:color="auto" w:fill="auto"/>
            <w:noWrap/>
            <w:vAlign w:val="bottom"/>
            <w:hideMark/>
          </w:tcPr>
          <w:p w14:paraId="7D73F7DA"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(0.01)</w:t>
            </w:r>
          </w:p>
        </w:tc>
        <w:tc>
          <w:tcPr>
            <w:tcW w:w="1160" w:type="dxa"/>
            <w:tcBorders>
              <w:top w:val="nil"/>
              <w:left w:val="nil"/>
              <w:bottom w:val="nil"/>
              <w:right w:val="nil"/>
            </w:tcBorders>
            <w:shd w:val="clear" w:color="auto" w:fill="auto"/>
            <w:noWrap/>
            <w:vAlign w:val="bottom"/>
            <w:hideMark/>
          </w:tcPr>
          <w:p w14:paraId="64F859E2"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(0.02)</w:t>
            </w:r>
          </w:p>
        </w:tc>
        <w:tc>
          <w:tcPr>
            <w:tcW w:w="1160" w:type="dxa"/>
            <w:tcBorders>
              <w:top w:val="nil"/>
              <w:left w:val="nil"/>
              <w:bottom w:val="nil"/>
              <w:right w:val="nil"/>
            </w:tcBorders>
            <w:shd w:val="clear" w:color="auto" w:fill="auto"/>
            <w:noWrap/>
            <w:vAlign w:val="bottom"/>
            <w:hideMark/>
          </w:tcPr>
          <w:p w14:paraId="269D1E53"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(0.01)</w:t>
            </w:r>
          </w:p>
        </w:tc>
      </w:tr>
      <w:tr w:rsidR="00004D6D" w:rsidRPr="00F24865" w14:paraId="0B6AA096" w14:textId="77777777" w:rsidTr="00004D6D">
        <w:trPr>
          <w:trHeight w:val="264"/>
        </w:trPr>
        <w:tc>
          <w:tcPr>
            <w:tcW w:w="3000" w:type="dxa"/>
            <w:tcBorders>
              <w:top w:val="nil"/>
              <w:left w:val="nil"/>
              <w:bottom w:val="nil"/>
              <w:right w:val="nil"/>
            </w:tcBorders>
            <w:shd w:val="clear" w:color="auto" w:fill="auto"/>
            <w:noWrap/>
            <w:vAlign w:val="bottom"/>
            <w:hideMark/>
          </w:tcPr>
          <w:p w14:paraId="665099BA"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Tobin's Q</w:t>
            </w:r>
          </w:p>
        </w:tc>
        <w:tc>
          <w:tcPr>
            <w:tcW w:w="1160" w:type="dxa"/>
            <w:tcBorders>
              <w:top w:val="nil"/>
              <w:left w:val="nil"/>
              <w:bottom w:val="nil"/>
              <w:right w:val="nil"/>
            </w:tcBorders>
            <w:shd w:val="clear" w:color="auto" w:fill="auto"/>
            <w:noWrap/>
            <w:vAlign w:val="bottom"/>
            <w:hideMark/>
          </w:tcPr>
          <w:p w14:paraId="3D26736D"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0.25</w:t>
            </w:r>
          </w:p>
        </w:tc>
        <w:tc>
          <w:tcPr>
            <w:tcW w:w="1160" w:type="dxa"/>
            <w:tcBorders>
              <w:top w:val="nil"/>
              <w:left w:val="nil"/>
              <w:bottom w:val="nil"/>
              <w:right w:val="nil"/>
            </w:tcBorders>
            <w:shd w:val="clear" w:color="auto" w:fill="auto"/>
            <w:noWrap/>
            <w:vAlign w:val="bottom"/>
            <w:hideMark/>
          </w:tcPr>
          <w:p w14:paraId="0726E3EF"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7A02F84D"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0.61**</w:t>
            </w:r>
          </w:p>
        </w:tc>
        <w:tc>
          <w:tcPr>
            <w:tcW w:w="1160" w:type="dxa"/>
            <w:tcBorders>
              <w:top w:val="nil"/>
              <w:left w:val="nil"/>
              <w:bottom w:val="nil"/>
              <w:right w:val="nil"/>
            </w:tcBorders>
            <w:shd w:val="clear" w:color="auto" w:fill="auto"/>
            <w:noWrap/>
            <w:vAlign w:val="bottom"/>
            <w:hideMark/>
          </w:tcPr>
          <w:p w14:paraId="5EFC8FD1"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1A2629DB"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0.15+</w:t>
            </w:r>
          </w:p>
        </w:tc>
        <w:tc>
          <w:tcPr>
            <w:tcW w:w="1160" w:type="dxa"/>
            <w:tcBorders>
              <w:top w:val="nil"/>
              <w:left w:val="nil"/>
              <w:bottom w:val="nil"/>
              <w:right w:val="nil"/>
            </w:tcBorders>
            <w:shd w:val="clear" w:color="auto" w:fill="auto"/>
            <w:noWrap/>
            <w:vAlign w:val="bottom"/>
            <w:hideMark/>
          </w:tcPr>
          <w:p w14:paraId="452083BC"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r>
      <w:tr w:rsidR="00004D6D" w:rsidRPr="00F24865" w14:paraId="4F8C4A02" w14:textId="77777777" w:rsidTr="00004D6D">
        <w:trPr>
          <w:trHeight w:val="264"/>
        </w:trPr>
        <w:tc>
          <w:tcPr>
            <w:tcW w:w="3000" w:type="dxa"/>
            <w:tcBorders>
              <w:top w:val="nil"/>
              <w:left w:val="nil"/>
              <w:bottom w:val="nil"/>
              <w:right w:val="nil"/>
            </w:tcBorders>
            <w:shd w:val="clear" w:color="auto" w:fill="auto"/>
            <w:noWrap/>
            <w:vAlign w:val="bottom"/>
            <w:hideMark/>
          </w:tcPr>
          <w:p w14:paraId="149F5371"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3F50CB53"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(0.22)</w:t>
            </w:r>
          </w:p>
        </w:tc>
        <w:tc>
          <w:tcPr>
            <w:tcW w:w="1160" w:type="dxa"/>
            <w:tcBorders>
              <w:top w:val="nil"/>
              <w:left w:val="nil"/>
              <w:bottom w:val="nil"/>
              <w:right w:val="nil"/>
            </w:tcBorders>
            <w:shd w:val="clear" w:color="auto" w:fill="auto"/>
            <w:noWrap/>
            <w:vAlign w:val="bottom"/>
            <w:hideMark/>
          </w:tcPr>
          <w:p w14:paraId="19950E9D"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065E6040"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(0.20)</w:t>
            </w:r>
          </w:p>
        </w:tc>
        <w:tc>
          <w:tcPr>
            <w:tcW w:w="1160" w:type="dxa"/>
            <w:tcBorders>
              <w:top w:val="nil"/>
              <w:left w:val="nil"/>
              <w:bottom w:val="nil"/>
              <w:right w:val="nil"/>
            </w:tcBorders>
            <w:shd w:val="clear" w:color="auto" w:fill="auto"/>
            <w:noWrap/>
            <w:vAlign w:val="bottom"/>
            <w:hideMark/>
          </w:tcPr>
          <w:p w14:paraId="6D9F281A"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0DD257C6"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r w:rsidRPr="00F24865">
              <w:rPr>
                <w:rFonts w:ascii="Times New Roman" w:eastAsia="Times New Roman" w:hAnsi="Times New Roman" w:cs="Times New Roman"/>
                <w:sz w:val="20"/>
                <w:szCs w:val="20"/>
                <w:lang w:val="en-US" w:eastAsia="en-GB"/>
              </w:rPr>
              <w:t>(0.09)</w:t>
            </w:r>
          </w:p>
        </w:tc>
        <w:tc>
          <w:tcPr>
            <w:tcW w:w="1160" w:type="dxa"/>
            <w:tcBorders>
              <w:top w:val="nil"/>
              <w:left w:val="nil"/>
              <w:bottom w:val="nil"/>
              <w:right w:val="nil"/>
            </w:tcBorders>
            <w:shd w:val="clear" w:color="auto" w:fill="auto"/>
            <w:noWrap/>
            <w:vAlign w:val="bottom"/>
            <w:hideMark/>
          </w:tcPr>
          <w:p w14:paraId="597DF0D0"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r>
      <w:tr w:rsidR="00004D6D" w:rsidRPr="00F24865" w14:paraId="77E11C9A" w14:textId="77777777" w:rsidTr="00004D6D">
        <w:trPr>
          <w:trHeight w:val="264"/>
        </w:trPr>
        <w:tc>
          <w:tcPr>
            <w:tcW w:w="3000" w:type="dxa"/>
            <w:tcBorders>
              <w:top w:val="nil"/>
              <w:left w:val="nil"/>
              <w:bottom w:val="single" w:sz="4" w:space="0" w:color="auto"/>
              <w:right w:val="nil"/>
            </w:tcBorders>
            <w:shd w:val="clear" w:color="auto" w:fill="auto"/>
            <w:noWrap/>
            <w:vAlign w:val="bottom"/>
            <w:hideMark/>
          </w:tcPr>
          <w:p w14:paraId="53FFFE86"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single" w:sz="4" w:space="0" w:color="auto"/>
              <w:right w:val="nil"/>
            </w:tcBorders>
            <w:shd w:val="clear" w:color="auto" w:fill="auto"/>
            <w:noWrap/>
            <w:vAlign w:val="bottom"/>
            <w:hideMark/>
          </w:tcPr>
          <w:p w14:paraId="1ED445AE"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single" w:sz="4" w:space="0" w:color="auto"/>
              <w:right w:val="nil"/>
            </w:tcBorders>
            <w:shd w:val="clear" w:color="auto" w:fill="auto"/>
            <w:noWrap/>
            <w:vAlign w:val="bottom"/>
            <w:hideMark/>
          </w:tcPr>
          <w:p w14:paraId="5081E65F"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single" w:sz="4" w:space="0" w:color="auto"/>
              <w:right w:val="nil"/>
            </w:tcBorders>
            <w:shd w:val="clear" w:color="auto" w:fill="auto"/>
            <w:noWrap/>
            <w:vAlign w:val="bottom"/>
            <w:hideMark/>
          </w:tcPr>
          <w:p w14:paraId="226FB343"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single" w:sz="4" w:space="0" w:color="auto"/>
              <w:right w:val="nil"/>
            </w:tcBorders>
            <w:shd w:val="clear" w:color="auto" w:fill="auto"/>
            <w:noWrap/>
            <w:vAlign w:val="bottom"/>
            <w:hideMark/>
          </w:tcPr>
          <w:p w14:paraId="323CE8A2"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single" w:sz="4" w:space="0" w:color="auto"/>
              <w:right w:val="nil"/>
            </w:tcBorders>
            <w:shd w:val="clear" w:color="auto" w:fill="auto"/>
            <w:noWrap/>
            <w:vAlign w:val="bottom"/>
            <w:hideMark/>
          </w:tcPr>
          <w:p w14:paraId="65B559C7"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c>
          <w:tcPr>
            <w:tcW w:w="1160" w:type="dxa"/>
            <w:tcBorders>
              <w:top w:val="nil"/>
              <w:left w:val="nil"/>
              <w:bottom w:val="single" w:sz="4" w:space="0" w:color="auto"/>
              <w:right w:val="nil"/>
            </w:tcBorders>
            <w:shd w:val="clear" w:color="auto" w:fill="auto"/>
            <w:noWrap/>
            <w:vAlign w:val="bottom"/>
            <w:hideMark/>
          </w:tcPr>
          <w:p w14:paraId="794219B5" w14:textId="77777777" w:rsidR="00004D6D" w:rsidRPr="00F24865" w:rsidRDefault="00004D6D" w:rsidP="00004D6D">
            <w:pPr>
              <w:spacing w:after="0" w:line="240" w:lineRule="auto"/>
              <w:jc w:val="center"/>
              <w:rPr>
                <w:rFonts w:ascii="Times New Roman" w:eastAsia="Times New Roman" w:hAnsi="Times New Roman" w:cs="Times New Roman"/>
                <w:sz w:val="20"/>
                <w:szCs w:val="20"/>
                <w:lang w:val="en-US" w:eastAsia="en-GB"/>
              </w:rPr>
            </w:pPr>
          </w:p>
        </w:tc>
      </w:tr>
      <w:tr w:rsidR="00004D6D" w:rsidRPr="00F24865" w14:paraId="1219787E" w14:textId="77777777" w:rsidTr="00004D6D">
        <w:trPr>
          <w:trHeight w:val="264"/>
        </w:trPr>
        <w:tc>
          <w:tcPr>
            <w:tcW w:w="3000" w:type="dxa"/>
            <w:tcBorders>
              <w:top w:val="single" w:sz="4" w:space="0" w:color="auto"/>
              <w:left w:val="nil"/>
              <w:bottom w:val="nil"/>
              <w:right w:val="nil"/>
            </w:tcBorders>
            <w:shd w:val="clear" w:color="auto" w:fill="auto"/>
            <w:noWrap/>
            <w:vAlign w:val="bottom"/>
            <w:hideMark/>
          </w:tcPr>
          <w:p w14:paraId="121336DC" w14:textId="77777777" w:rsidR="00004D6D" w:rsidRPr="00575B4E" w:rsidRDefault="00004D6D" w:rsidP="00004D6D">
            <w:pPr>
              <w:spacing w:after="0" w:line="240" w:lineRule="auto"/>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Observations</w:t>
            </w:r>
          </w:p>
        </w:tc>
        <w:tc>
          <w:tcPr>
            <w:tcW w:w="1160" w:type="dxa"/>
            <w:tcBorders>
              <w:top w:val="single" w:sz="4" w:space="0" w:color="auto"/>
              <w:left w:val="nil"/>
              <w:bottom w:val="nil"/>
              <w:right w:val="nil"/>
            </w:tcBorders>
            <w:shd w:val="clear" w:color="auto" w:fill="auto"/>
            <w:noWrap/>
            <w:vAlign w:val="bottom"/>
            <w:hideMark/>
          </w:tcPr>
          <w:p w14:paraId="062C5397"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55</w:t>
            </w:r>
          </w:p>
        </w:tc>
        <w:tc>
          <w:tcPr>
            <w:tcW w:w="1160" w:type="dxa"/>
            <w:tcBorders>
              <w:top w:val="single" w:sz="4" w:space="0" w:color="auto"/>
              <w:left w:val="nil"/>
              <w:bottom w:val="nil"/>
              <w:right w:val="nil"/>
            </w:tcBorders>
            <w:shd w:val="clear" w:color="auto" w:fill="auto"/>
            <w:noWrap/>
            <w:vAlign w:val="bottom"/>
            <w:hideMark/>
          </w:tcPr>
          <w:p w14:paraId="6D8F8E23"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114</w:t>
            </w:r>
          </w:p>
        </w:tc>
        <w:tc>
          <w:tcPr>
            <w:tcW w:w="1160" w:type="dxa"/>
            <w:tcBorders>
              <w:top w:val="single" w:sz="4" w:space="0" w:color="auto"/>
              <w:left w:val="nil"/>
              <w:bottom w:val="nil"/>
              <w:right w:val="nil"/>
            </w:tcBorders>
            <w:shd w:val="clear" w:color="auto" w:fill="auto"/>
            <w:noWrap/>
            <w:vAlign w:val="bottom"/>
            <w:hideMark/>
          </w:tcPr>
          <w:p w14:paraId="374CBD17"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57</w:t>
            </w:r>
          </w:p>
        </w:tc>
        <w:tc>
          <w:tcPr>
            <w:tcW w:w="1160" w:type="dxa"/>
            <w:tcBorders>
              <w:top w:val="single" w:sz="4" w:space="0" w:color="auto"/>
              <w:left w:val="nil"/>
              <w:bottom w:val="nil"/>
              <w:right w:val="nil"/>
            </w:tcBorders>
            <w:shd w:val="clear" w:color="auto" w:fill="auto"/>
            <w:noWrap/>
            <w:vAlign w:val="bottom"/>
            <w:hideMark/>
          </w:tcPr>
          <w:p w14:paraId="15FEF63F"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107</w:t>
            </w:r>
          </w:p>
        </w:tc>
        <w:tc>
          <w:tcPr>
            <w:tcW w:w="1160" w:type="dxa"/>
            <w:tcBorders>
              <w:top w:val="single" w:sz="4" w:space="0" w:color="auto"/>
              <w:left w:val="nil"/>
              <w:bottom w:val="nil"/>
              <w:right w:val="nil"/>
            </w:tcBorders>
            <w:shd w:val="clear" w:color="auto" w:fill="auto"/>
            <w:noWrap/>
            <w:vAlign w:val="bottom"/>
            <w:hideMark/>
          </w:tcPr>
          <w:p w14:paraId="71398F06"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156</w:t>
            </w:r>
          </w:p>
        </w:tc>
        <w:tc>
          <w:tcPr>
            <w:tcW w:w="1160" w:type="dxa"/>
            <w:tcBorders>
              <w:top w:val="single" w:sz="4" w:space="0" w:color="auto"/>
              <w:left w:val="nil"/>
              <w:bottom w:val="nil"/>
              <w:right w:val="nil"/>
            </w:tcBorders>
            <w:shd w:val="clear" w:color="auto" w:fill="auto"/>
            <w:noWrap/>
            <w:vAlign w:val="bottom"/>
            <w:hideMark/>
          </w:tcPr>
          <w:p w14:paraId="4830C59A"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284</w:t>
            </w:r>
          </w:p>
        </w:tc>
      </w:tr>
      <w:tr w:rsidR="00004D6D" w:rsidRPr="00F24865" w14:paraId="07D8F4BA" w14:textId="77777777" w:rsidTr="00004D6D">
        <w:trPr>
          <w:trHeight w:val="264"/>
        </w:trPr>
        <w:tc>
          <w:tcPr>
            <w:tcW w:w="3000" w:type="dxa"/>
            <w:tcBorders>
              <w:top w:val="nil"/>
              <w:left w:val="nil"/>
              <w:bottom w:val="nil"/>
              <w:right w:val="nil"/>
            </w:tcBorders>
            <w:shd w:val="clear" w:color="auto" w:fill="auto"/>
            <w:noWrap/>
            <w:vAlign w:val="bottom"/>
            <w:hideMark/>
          </w:tcPr>
          <w:p w14:paraId="7630418D" w14:textId="77777777" w:rsidR="00004D6D" w:rsidRPr="00575B4E" w:rsidRDefault="00004D6D" w:rsidP="00004D6D">
            <w:pPr>
              <w:spacing w:after="0" w:line="240" w:lineRule="auto"/>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R-squared</w:t>
            </w:r>
          </w:p>
        </w:tc>
        <w:tc>
          <w:tcPr>
            <w:tcW w:w="1160" w:type="dxa"/>
            <w:tcBorders>
              <w:top w:val="nil"/>
              <w:left w:val="nil"/>
              <w:bottom w:val="nil"/>
              <w:right w:val="nil"/>
            </w:tcBorders>
            <w:shd w:val="clear" w:color="auto" w:fill="auto"/>
            <w:noWrap/>
            <w:vAlign w:val="bottom"/>
            <w:hideMark/>
          </w:tcPr>
          <w:p w14:paraId="344FBEE0"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0.352</w:t>
            </w:r>
          </w:p>
        </w:tc>
        <w:tc>
          <w:tcPr>
            <w:tcW w:w="1160" w:type="dxa"/>
            <w:tcBorders>
              <w:top w:val="nil"/>
              <w:left w:val="nil"/>
              <w:bottom w:val="nil"/>
              <w:right w:val="nil"/>
            </w:tcBorders>
            <w:shd w:val="clear" w:color="auto" w:fill="auto"/>
            <w:noWrap/>
            <w:vAlign w:val="bottom"/>
            <w:hideMark/>
          </w:tcPr>
          <w:p w14:paraId="725A6C91"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1203E4AC"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0.543</w:t>
            </w:r>
          </w:p>
        </w:tc>
        <w:tc>
          <w:tcPr>
            <w:tcW w:w="1160" w:type="dxa"/>
            <w:tcBorders>
              <w:top w:val="nil"/>
              <w:left w:val="nil"/>
              <w:bottom w:val="nil"/>
              <w:right w:val="nil"/>
            </w:tcBorders>
            <w:shd w:val="clear" w:color="auto" w:fill="auto"/>
            <w:noWrap/>
            <w:vAlign w:val="bottom"/>
            <w:hideMark/>
          </w:tcPr>
          <w:p w14:paraId="3A6866D6"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523DFD1A"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0.394</w:t>
            </w:r>
          </w:p>
        </w:tc>
        <w:tc>
          <w:tcPr>
            <w:tcW w:w="1160" w:type="dxa"/>
            <w:tcBorders>
              <w:top w:val="nil"/>
              <w:left w:val="nil"/>
              <w:bottom w:val="nil"/>
              <w:right w:val="nil"/>
            </w:tcBorders>
            <w:shd w:val="clear" w:color="auto" w:fill="auto"/>
            <w:noWrap/>
            <w:vAlign w:val="bottom"/>
            <w:hideMark/>
          </w:tcPr>
          <w:p w14:paraId="2F23B4B9"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p>
        </w:tc>
      </w:tr>
      <w:tr w:rsidR="00004D6D" w:rsidRPr="00F24865" w14:paraId="51DC6F3D" w14:textId="77777777" w:rsidTr="00004D6D">
        <w:trPr>
          <w:trHeight w:val="264"/>
        </w:trPr>
        <w:tc>
          <w:tcPr>
            <w:tcW w:w="3000" w:type="dxa"/>
            <w:tcBorders>
              <w:top w:val="nil"/>
              <w:left w:val="nil"/>
              <w:bottom w:val="nil"/>
              <w:right w:val="nil"/>
            </w:tcBorders>
            <w:shd w:val="clear" w:color="auto" w:fill="auto"/>
            <w:noWrap/>
            <w:vAlign w:val="bottom"/>
            <w:hideMark/>
          </w:tcPr>
          <w:p w14:paraId="29313D0B" w14:textId="77777777" w:rsidR="00004D6D" w:rsidRPr="00575B4E" w:rsidRDefault="00004D6D" w:rsidP="00004D6D">
            <w:pPr>
              <w:spacing w:after="0" w:line="240" w:lineRule="auto"/>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Wald Test for Joint Significance</w:t>
            </w:r>
          </w:p>
        </w:tc>
        <w:tc>
          <w:tcPr>
            <w:tcW w:w="1160" w:type="dxa"/>
            <w:tcBorders>
              <w:top w:val="nil"/>
              <w:left w:val="nil"/>
              <w:bottom w:val="nil"/>
              <w:right w:val="nil"/>
            </w:tcBorders>
            <w:shd w:val="clear" w:color="auto" w:fill="auto"/>
            <w:noWrap/>
            <w:vAlign w:val="bottom"/>
            <w:hideMark/>
          </w:tcPr>
          <w:p w14:paraId="60FF8EAF"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0.0471</w:t>
            </w:r>
          </w:p>
        </w:tc>
        <w:tc>
          <w:tcPr>
            <w:tcW w:w="1160" w:type="dxa"/>
            <w:tcBorders>
              <w:top w:val="nil"/>
              <w:left w:val="nil"/>
              <w:bottom w:val="nil"/>
              <w:right w:val="nil"/>
            </w:tcBorders>
            <w:shd w:val="clear" w:color="auto" w:fill="auto"/>
            <w:noWrap/>
            <w:vAlign w:val="bottom"/>
            <w:hideMark/>
          </w:tcPr>
          <w:p w14:paraId="4711B88C"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0.0562</w:t>
            </w:r>
          </w:p>
        </w:tc>
        <w:tc>
          <w:tcPr>
            <w:tcW w:w="1160" w:type="dxa"/>
            <w:tcBorders>
              <w:top w:val="nil"/>
              <w:left w:val="nil"/>
              <w:bottom w:val="nil"/>
              <w:right w:val="nil"/>
            </w:tcBorders>
            <w:shd w:val="clear" w:color="auto" w:fill="auto"/>
            <w:noWrap/>
            <w:vAlign w:val="bottom"/>
            <w:hideMark/>
          </w:tcPr>
          <w:p w14:paraId="0DE1BF0F"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0.0107</w:t>
            </w:r>
          </w:p>
        </w:tc>
        <w:tc>
          <w:tcPr>
            <w:tcW w:w="1160" w:type="dxa"/>
            <w:tcBorders>
              <w:top w:val="nil"/>
              <w:left w:val="nil"/>
              <w:bottom w:val="nil"/>
              <w:right w:val="nil"/>
            </w:tcBorders>
            <w:shd w:val="clear" w:color="auto" w:fill="auto"/>
            <w:noWrap/>
            <w:vAlign w:val="bottom"/>
            <w:hideMark/>
          </w:tcPr>
          <w:p w14:paraId="286B6104"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0.161</w:t>
            </w:r>
          </w:p>
        </w:tc>
        <w:tc>
          <w:tcPr>
            <w:tcW w:w="1160" w:type="dxa"/>
            <w:tcBorders>
              <w:top w:val="nil"/>
              <w:left w:val="nil"/>
              <w:bottom w:val="nil"/>
              <w:right w:val="nil"/>
            </w:tcBorders>
            <w:shd w:val="clear" w:color="auto" w:fill="auto"/>
            <w:noWrap/>
            <w:vAlign w:val="bottom"/>
            <w:hideMark/>
          </w:tcPr>
          <w:p w14:paraId="3A75A3A1"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0.0014</w:t>
            </w:r>
          </w:p>
        </w:tc>
        <w:tc>
          <w:tcPr>
            <w:tcW w:w="1160" w:type="dxa"/>
            <w:tcBorders>
              <w:top w:val="nil"/>
              <w:left w:val="nil"/>
              <w:bottom w:val="nil"/>
              <w:right w:val="nil"/>
            </w:tcBorders>
            <w:shd w:val="clear" w:color="auto" w:fill="auto"/>
            <w:noWrap/>
            <w:vAlign w:val="bottom"/>
            <w:hideMark/>
          </w:tcPr>
          <w:p w14:paraId="4E1334C6"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0.0464</w:t>
            </w:r>
          </w:p>
        </w:tc>
      </w:tr>
      <w:tr w:rsidR="00004D6D" w:rsidRPr="00F24865" w14:paraId="75E2088F" w14:textId="77777777" w:rsidTr="00004D6D">
        <w:trPr>
          <w:trHeight w:val="264"/>
        </w:trPr>
        <w:tc>
          <w:tcPr>
            <w:tcW w:w="3000" w:type="dxa"/>
            <w:tcBorders>
              <w:top w:val="nil"/>
              <w:left w:val="nil"/>
              <w:bottom w:val="nil"/>
              <w:right w:val="nil"/>
            </w:tcBorders>
            <w:shd w:val="clear" w:color="auto" w:fill="auto"/>
            <w:noWrap/>
            <w:vAlign w:val="bottom"/>
            <w:hideMark/>
          </w:tcPr>
          <w:p w14:paraId="10A452CD" w14:textId="77777777" w:rsidR="00004D6D" w:rsidRPr="00575B4E" w:rsidRDefault="00004D6D" w:rsidP="00004D6D">
            <w:pPr>
              <w:spacing w:after="0" w:line="240" w:lineRule="auto"/>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Number of firms</w:t>
            </w:r>
          </w:p>
        </w:tc>
        <w:tc>
          <w:tcPr>
            <w:tcW w:w="1160" w:type="dxa"/>
            <w:tcBorders>
              <w:top w:val="nil"/>
              <w:left w:val="nil"/>
              <w:bottom w:val="nil"/>
              <w:right w:val="nil"/>
            </w:tcBorders>
            <w:shd w:val="clear" w:color="auto" w:fill="auto"/>
            <w:noWrap/>
            <w:vAlign w:val="bottom"/>
            <w:hideMark/>
          </w:tcPr>
          <w:p w14:paraId="0B093B92"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15</w:t>
            </w:r>
          </w:p>
        </w:tc>
        <w:tc>
          <w:tcPr>
            <w:tcW w:w="1160" w:type="dxa"/>
            <w:tcBorders>
              <w:top w:val="nil"/>
              <w:left w:val="nil"/>
              <w:bottom w:val="nil"/>
              <w:right w:val="nil"/>
            </w:tcBorders>
            <w:shd w:val="clear" w:color="auto" w:fill="auto"/>
            <w:noWrap/>
            <w:vAlign w:val="bottom"/>
            <w:hideMark/>
          </w:tcPr>
          <w:p w14:paraId="7C3F133F"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17</w:t>
            </w:r>
          </w:p>
        </w:tc>
        <w:tc>
          <w:tcPr>
            <w:tcW w:w="1160" w:type="dxa"/>
            <w:tcBorders>
              <w:top w:val="nil"/>
              <w:left w:val="nil"/>
              <w:bottom w:val="nil"/>
              <w:right w:val="nil"/>
            </w:tcBorders>
            <w:shd w:val="clear" w:color="auto" w:fill="auto"/>
            <w:noWrap/>
            <w:vAlign w:val="bottom"/>
            <w:hideMark/>
          </w:tcPr>
          <w:p w14:paraId="1AD25578"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16</w:t>
            </w:r>
          </w:p>
        </w:tc>
        <w:tc>
          <w:tcPr>
            <w:tcW w:w="1160" w:type="dxa"/>
            <w:tcBorders>
              <w:top w:val="nil"/>
              <w:left w:val="nil"/>
              <w:bottom w:val="nil"/>
              <w:right w:val="nil"/>
            </w:tcBorders>
            <w:shd w:val="clear" w:color="auto" w:fill="auto"/>
            <w:noWrap/>
            <w:vAlign w:val="bottom"/>
            <w:hideMark/>
          </w:tcPr>
          <w:p w14:paraId="1225A08F"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19</w:t>
            </w:r>
          </w:p>
        </w:tc>
        <w:tc>
          <w:tcPr>
            <w:tcW w:w="1160" w:type="dxa"/>
            <w:tcBorders>
              <w:top w:val="nil"/>
              <w:left w:val="nil"/>
              <w:bottom w:val="nil"/>
              <w:right w:val="nil"/>
            </w:tcBorders>
            <w:shd w:val="clear" w:color="auto" w:fill="auto"/>
            <w:noWrap/>
            <w:vAlign w:val="bottom"/>
            <w:hideMark/>
          </w:tcPr>
          <w:p w14:paraId="488D37C2"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41</w:t>
            </w:r>
          </w:p>
        </w:tc>
        <w:tc>
          <w:tcPr>
            <w:tcW w:w="1160" w:type="dxa"/>
            <w:tcBorders>
              <w:top w:val="nil"/>
              <w:left w:val="nil"/>
              <w:bottom w:val="nil"/>
              <w:right w:val="nil"/>
            </w:tcBorders>
            <w:shd w:val="clear" w:color="auto" w:fill="auto"/>
            <w:noWrap/>
            <w:vAlign w:val="bottom"/>
            <w:hideMark/>
          </w:tcPr>
          <w:p w14:paraId="6CA0F4F3"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49</w:t>
            </w:r>
          </w:p>
        </w:tc>
      </w:tr>
      <w:tr w:rsidR="00004D6D" w:rsidRPr="00F24865" w14:paraId="03EDE863" w14:textId="77777777" w:rsidTr="00004D6D">
        <w:trPr>
          <w:trHeight w:val="264"/>
        </w:trPr>
        <w:tc>
          <w:tcPr>
            <w:tcW w:w="3000" w:type="dxa"/>
            <w:tcBorders>
              <w:top w:val="nil"/>
              <w:left w:val="nil"/>
              <w:bottom w:val="nil"/>
              <w:right w:val="nil"/>
            </w:tcBorders>
            <w:shd w:val="clear" w:color="auto" w:fill="auto"/>
            <w:noWrap/>
            <w:vAlign w:val="bottom"/>
            <w:hideMark/>
          </w:tcPr>
          <w:p w14:paraId="7B6F4092" w14:textId="77777777" w:rsidR="00004D6D" w:rsidRPr="00575B4E" w:rsidRDefault="00004D6D" w:rsidP="00004D6D">
            <w:pPr>
              <w:spacing w:after="0" w:line="240" w:lineRule="auto"/>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Number of instruments</w:t>
            </w:r>
          </w:p>
        </w:tc>
        <w:tc>
          <w:tcPr>
            <w:tcW w:w="1160" w:type="dxa"/>
            <w:tcBorders>
              <w:top w:val="nil"/>
              <w:left w:val="nil"/>
              <w:bottom w:val="nil"/>
              <w:right w:val="nil"/>
            </w:tcBorders>
            <w:shd w:val="clear" w:color="auto" w:fill="auto"/>
            <w:noWrap/>
            <w:vAlign w:val="bottom"/>
            <w:hideMark/>
          </w:tcPr>
          <w:p w14:paraId="760D0D28"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6DBEBBED"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16</w:t>
            </w:r>
          </w:p>
        </w:tc>
        <w:tc>
          <w:tcPr>
            <w:tcW w:w="1160" w:type="dxa"/>
            <w:tcBorders>
              <w:top w:val="nil"/>
              <w:left w:val="nil"/>
              <w:bottom w:val="nil"/>
              <w:right w:val="nil"/>
            </w:tcBorders>
            <w:shd w:val="clear" w:color="auto" w:fill="auto"/>
            <w:noWrap/>
            <w:vAlign w:val="bottom"/>
            <w:hideMark/>
          </w:tcPr>
          <w:p w14:paraId="493C71CD" w14:textId="77777777" w:rsidR="00004D6D" w:rsidRPr="00575B4E" w:rsidRDefault="00004D6D" w:rsidP="00004D6D">
            <w:pPr>
              <w:spacing w:after="0" w:line="240" w:lineRule="auto"/>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2EE6A54F"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16</w:t>
            </w:r>
          </w:p>
        </w:tc>
        <w:tc>
          <w:tcPr>
            <w:tcW w:w="1160" w:type="dxa"/>
            <w:tcBorders>
              <w:top w:val="nil"/>
              <w:left w:val="nil"/>
              <w:bottom w:val="nil"/>
              <w:right w:val="nil"/>
            </w:tcBorders>
            <w:shd w:val="clear" w:color="auto" w:fill="auto"/>
            <w:noWrap/>
            <w:vAlign w:val="bottom"/>
            <w:hideMark/>
          </w:tcPr>
          <w:p w14:paraId="61608763"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4F36C9F0"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16</w:t>
            </w:r>
          </w:p>
        </w:tc>
      </w:tr>
      <w:tr w:rsidR="00004D6D" w:rsidRPr="00F24865" w14:paraId="258B334C" w14:textId="77777777" w:rsidTr="00004D6D">
        <w:trPr>
          <w:trHeight w:val="264"/>
        </w:trPr>
        <w:tc>
          <w:tcPr>
            <w:tcW w:w="3000" w:type="dxa"/>
            <w:tcBorders>
              <w:top w:val="nil"/>
              <w:left w:val="nil"/>
              <w:bottom w:val="nil"/>
              <w:right w:val="nil"/>
            </w:tcBorders>
            <w:shd w:val="clear" w:color="auto" w:fill="auto"/>
            <w:noWrap/>
            <w:vAlign w:val="bottom"/>
            <w:hideMark/>
          </w:tcPr>
          <w:p w14:paraId="58F8DC87" w14:textId="77777777" w:rsidR="00004D6D" w:rsidRPr="00575B4E" w:rsidRDefault="00004D6D" w:rsidP="00004D6D">
            <w:pPr>
              <w:spacing w:after="0" w:line="240" w:lineRule="auto"/>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AR(1)</w:t>
            </w:r>
          </w:p>
        </w:tc>
        <w:tc>
          <w:tcPr>
            <w:tcW w:w="1160" w:type="dxa"/>
            <w:tcBorders>
              <w:top w:val="nil"/>
              <w:left w:val="nil"/>
              <w:bottom w:val="nil"/>
              <w:right w:val="nil"/>
            </w:tcBorders>
            <w:shd w:val="clear" w:color="auto" w:fill="auto"/>
            <w:noWrap/>
            <w:vAlign w:val="bottom"/>
            <w:hideMark/>
          </w:tcPr>
          <w:p w14:paraId="5E311A95"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1CD5A36B"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-1.559</w:t>
            </w:r>
          </w:p>
        </w:tc>
        <w:tc>
          <w:tcPr>
            <w:tcW w:w="1160" w:type="dxa"/>
            <w:tcBorders>
              <w:top w:val="nil"/>
              <w:left w:val="nil"/>
              <w:bottom w:val="nil"/>
              <w:right w:val="nil"/>
            </w:tcBorders>
            <w:shd w:val="clear" w:color="auto" w:fill="auto"/>
            <w:noWrap/>
            <w:vAlign w:val="bottom"/>
            <w:hideMark/>
          </w:tcPr>
          <w:p w14:paraId="4AEAF8D1" w14:textId="77777777" w:rsidR="00004D6D" w:rsidRPr="00575B4E" w:rsidRDefault="00004D6D" w:rsidP="00004D6D">
            <w:pPr>
              <w:spacing w:after="0" w:line="240" w:lineRule="auto"/>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33584590"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-1.774</w:t>
            </w:r>
          </w:p>
        </w:tc>
        <w:tc>
          <w:tcPr>
            <w:tcW w:w="1160" w:type="dxa"/>
            <w:tcBorders>
              <w:top w:val="nil"/>
              <w:left w:val="nil"/>
              <w:bottom w:val="nil"/>
              <w:right w:val="nil"/>
            </w:tcBorders>
            <w:shd w:val="clear" w:color="auto" w:fill="auto"/>
            <w:noWrap/>
            <w:vAlign w:val="bottom"/>
            <w:hideMark/>
          </w:tcPr>
          <w:p w14:paraId="5C7184C5"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09FF6325"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-1.956</w:t>
            </w:r>
          </w:p>
        </w:tc>
      </w:tr>
      <w:tr w:rsidR="00004D6D" w:rsidRPr="00F24865" w14:paraId="5F158A4B" w14:textId="77777777" w:rsidTr="00004D6D">
        <w:trPr>
          <w:trHeight w:val="264"/>
        </w:trPr>
        <w:tc>
          <w:tcPr>
            <w:tcW w:w="3000" w:type="dxa"/>
            <w:tcBorders>
              <w:top w:val="nil"/>
              <w:left w:val="nil"/>
              <w:bottom w:val="nil"/>
              <w:right w:val="nil"/>
            </w:tcBorders>
            <w:shd w:val="clear" w:color="auto" w:fill="auto"/>
            <w:noWrap/>
            <w:vAlign w:val="bottom"/>
            <w:hideMark/>
          </w:tcPr>
          <w:p w14:paraId="683BAE91" w14:textId="77777777" w:rsidR="00004D6D" w:rsidRPr="00575B4E" w:rsidRDefault="00004D6D" w:rsidP="00004D6D">
            <w:pPr>
              <w:spacing w:after="0" w:line="240" w:lineRule="auto"/>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P-Value AR(1)</w:t>
            </w:r>
          </w:p>
        </w:tc>
        <w:tc>
          <w:tcPr>
            <w:tcW w:w="1160" w:type="dxa"/>
            <w:tcBorders>
              <w:top w:val="nil"/>
              <w:left w:val="nil"/>
              <w:bottom w:val="nil"/>
              <w:right w:val="nil"/>
            </w:tcBorders>
            <w:shd w:val="clear" w:color="auto" w:fill="auto"/>
            <w:noWrap/>
            <w:vAlign w:val="bottom"/>
            <w:hideMark/>
          </w:tcPr>
          <w:p w14:paraId="54A4E736"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5546EA18"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0.119</w:t>
            </w:r>
          </w:p>
        </w:tc>
        <w:tc>
          <w:tcPr>
            <w:tcW w:w="1160" w:type="dxa"/>
            <w:tcBorders>
              <w:top w:val="nil"/>
              <w:left w:val="nil"/>
              <w:bottom w:val="nil"/>
              <w:right w:val="nil"/>
            </w:tcBorders>
            <w:shd w:val="clear" w:color="auto" w:fill="auto"/>
            <w:noWrap/>
            <w:vAlign w:val="bottom"/>
            <w:hideMark/>
          </w:tcPr>
          <w:p w14:paraId="1C8F6EA4" w14:textId="77777777" w:rsidR="00004D6D" w:rsidRPr="00575B4E" w:rsidRDefault="00004D6D" w:rsidP="00004D6D">
            <w:pPr>
              <w:spacing w:after="0" w:line="240" w:lineRule="auto"/>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45944DD6"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0.0760</w:t>
            </w:r>
          </w:p>
        </w:tc>
        <w:tc>
          <w:tcPr>
            <w:tcW w:w="1160" w:type="dxa"/>
            <w:tcBorders>
              <w:top w:val="nil"/>
              <w:left w:val="nil"/>
              <w:bottom w:val="nil"/>
              <w:right w:val="nil"/>
            </w:tcBorders>
            <w:shd w:val="clear" w:color="auto" w:fill="auto"/>
            <w:noWrap/>
            <w:vAlign w:val="bottom"/>
            <w:hideMark/>
          </w:tcPr>
          <w:p w14:paraId="657AF6C9"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395A7A60"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0.0505</w:t>
            </w:r>
          </w:p>
        </w:tc>
      </w:tr>
      <w:tr w:rsidR="00004D6D" w:rsidRPr="00F24865" w14:paraId="143A02F2" w14:textId="77777777" w:rsidTr="00004D6D">
        <w:trPr>
          <w:trHeight w:val="264"/>
        </w:trPr>
        <w:tc>
          <w:tcPr>
            <w:tcW w:w="3000" w:type="dxa"/>
            <w:tcBorders>
              <w:top w:val="nil"/>
              <w:left w:val="nil"/>
              <w:bottom w:val="nil"/>
              <w:right w:val="nil"/>
            </w:tcBorders>
            <w:shd w:val="clear" w:color="auto" w:fill="auto"/>
            <w:noWrap/>
            <w:vAlign w:val="bottom"/>
            <w:hideMark/>
          </w:tcPr>
          <w:p w14:paraId="58673BC8" w14:textId="77777777" w:rsidR="00004D6D" w:rsidRPr="00575B4E" w:rsidRDefault="00004D6D" w:rsidP="00004D6D">
            <w:pPr>
              <w:spacing w:after="0" w:line="240" w:lineRule="auto"/>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AR(2)</w:t>
            </w:r>
          </w:p>
        </w:tc>
        <w:tc>
          <w:tcPr>
            <w:tcW w:w="1160" w:type="dxa"/>
            <w:tcBorders>
              <w:top w:val="nil"/>
              <w:left w:val="nil"/>
              <w:bottom w:val="nil"/>
              <w:right w:val="nil"/>
            </w:tcBorders>
            <w:shd w:val="clear" w:color="auto" w:fill="auto"/>
            <w:noWrap/>
            <w:vAlign w:val="bottom"/>
            <w:hideMark/>
          </w:tcPr>
          <w:p w14:paraId="0B6D4E03"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7B568135"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0.726</w:t>
            </w:r>
          </w:p>
        </w:tc>
        <w:tc>
          <w:tcPr>
            <w:tcW w:w="1160" w:type="dxa"/>
            <w:tcBorders>
              <w:top w:val="nil"/>
              <w:left w:val="nil"/>
              <w:bottom w:val="nil"/>
              <w:right w:val="nil"/>
            </w:tcBorders>
            <w:shd w:val="clear" w:color="auto" w:fill="auto"/>
            <w:noWrap/>
            <w:vAlign w:val="bottom"/>
            <w:hideMark/>
          </w:tcPr>
          <w:p w14:paraId="40A7D054" w14:textId="77777777" w:rsidR="00004D6D" w:rsidRPr="00575B4E" w:rsidRDefault="00004D6D" w:rsidP="00004D6D">
            <w:pPr>
              <w:spacing w:after="0" w:line="240" w:lineRule="auto"/>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00F00CF2"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-0.486</w:t>
            </w:r>
          </w:p>
        </w:tc>
        <w:tc>
          <w:tcPr>
            <w:tcW w:w="1160" w:type="dxa"/>
            <w:tcBorders>
              <w:top w:val="nil"/>
              <w:left w:val="nil"/>
              <w:bottom w:val="nil"/>
              <w:right w:val="nil"/>
            </w:tcBorders>
            <w:shd w:val="clear" w:color="auto" w:fill="auto"/>
            <w:noWrap/>
            <w:vAlign w:val="bottom"/>
            <w:hideMark/>
          </w:tcPr>
          <w:p w14:paraId="142D5F02"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2BA280F5"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-1.492</w:t>
            </w:r>
          </w:p>
        </w:tc>
      </w:tr>
      <w:tr w:rsidR="00004D6D" w:rsidRPr="00F24865" w14:paraId="7C1115EA" w14:textId="77777777" w:rsidTr="00004D6D">
        <w:trPr>
          <w:trHeight w:val="264"/>
        </w:trPr>
        <w:tc>
          <w:tcPr>
            <w:tcW w:w="3000" w:type="dxa"/>
            <w:tcBorders>
              <w:top w:val="nil"/>
              <w:left w:val="nil"/>
              <w:bottom w:val="nil"/>
              <w:right w:val="nil"/>
            </w:tcBorders>
            <w:shd w:val="clear" w:color="auto" w:fill="auto"/>
            <w:noWrap/>
            <w:vAlign w:val="bottom"/>
            <w:hideMark/>
          </w:tcPr>
          <w:p w14:paraId="108FC822" w14:textId="77777777" w:rsidR="00004D6D" w:rsidRPr="00575B4E" w:rsidRDefault="00004D6D" w:rsidP="00004D6D">
            <w:pPr>
              <w:spacing w:after="0" w:line="240" w:lineRule="auto"/>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P-Value AR(2)</w:t>
            </w:r>
          </w:p>
        </w:tc>
        <w:tc>
          <w:tcPr>
            <w:tcW w:w="1160" w:type="dxa"/>
            <w:tcBorders>
              <w:top w:val="nil"/>
              <w:left w:val="nil"/>
              <w:bottom w:val="nil"/>
              <w:right w:val="nil"/>
            </w:tcBorders>
            <w:shd w:val="clear" w:color="auto" w:fill="auto"/>
            <w:noWrap/>
            <w:vAlign w:val="bottom"/>
            <w:hideMark/>
          </w:tcPr>
          <w:p w14:paraId="76FD83BF"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76B43234"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0.468</w:t>
            </w:r>
          </w:p>
        </w:tc>
        <w:tc>
          <w:tcPr>
            <w:tcW w:w="1160" w:type="dxa"/>
            <w:tcBorders>
              <w:top w:val="nil"/>
              <w:left w:val="nil"/>
              <w:bottom w:val="nil"/>
              <w:right w:val="nil"/>
            </w:tcBorders>
            <w:shd w:val="clear" w:color="auto" w:fill="auto"/>
            <w:noWrap/>
            <w:vAlign w:val="bottom"/>
            <w:hideMark/>
          </w:tcPr>
          <w:p w14:paraId="79F6E834" w14:textId="77777777" w:rsidR="00004D6D" w:rsidRPr="00575B4E" w:rsidRDefault="00004D6D" w:rsidP="00004D6D">
            <w:pPr>
              <w:spacing w:after="0" w:line="240" w:lineRule="auto"/>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103701B6"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0.627</w:t>
            </w:r>
          </w:p>
        </w:tc>
        <w:tc>
          <w:tcPr>
            <w:tcW w:w="1160" w:type="dxa"/>
            <w:tcBorders>
              <w:top w:val="nil"/>
              <w:left w:val="nil"/>
              <w:bottom w:val="nil"/>
              <w:right w:val="nil"/>
            </w:tcBorders>
            <w:shd w:val="clear" w:color="auto" w:fill="auto"/>
            <w:noWrap/>
            <w:vAlign w:val="bottom"/>
            <w:hideMark/>
          </w:tcPr>
          <w:p w14:paraId="29496F79"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01462BF5"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0.136</w:t>
            </w:r>
          </w:p>
        </w:tc>
      </w:tr>
      <w:tr w:rsidR="00004D6D" w:rsidRPr="00F24865" w14:paraId="5C3D1D01" w14:textId="77777777" w:rsidTr="00004D6D">
        <w:trPr>
          <w:trHeight w:val="264"/>
        </w:trPr>
        <w:tc>
          <w:tcPr>
            <w:tcW w:w="3000" w:type="dxa"/>
            <w:tcBorders>
              <w:top w:val="nil"/>
              <w:left w:val="nil"/>
              <w:bottom w:val="nil"/>
              <w:right w:val="nil"/>
            </w:tcBorders>
            <w:shd w:val="clear" w:color="auto" w:fill="auto"/>
            <w:noWrap/>
            <w:vAlign w:val="bottom"/>
            <w:hideMark/>
          </w:tcPr>
          <w:p w14:paraId="3682AFE4" w14:textId="77777777" w:rsidR="00004D6D" w:rsidRPr="00575B4E" w:rsidRDefault="00004D6D" w:rsidP="00004D6D">
            <w:pPr>
              <w:spacing w:after="0" w:line="240" w:lineRule="auto"/>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Hansen</w:t>
            </w:r>
          </w:p>
        </w:tc>
        <w:tc>
          <w:tcPr>
            <w:tcW w:w="1160" w:type="dxa"/>
            <w:tcBorders>
              <w:top w:val="nil"/>
              <w:left w:val="nil"/>
              <w:bottom w:val="nil"/>
              <w:right w:val="nil"/>
            </w:tcBorders>
            <w:shd w:val="clear" w:color="auto" w:fill="auto"/>
            <w:noWrap/>
            <w:vAlign w:val="bottom"/>
            <w:hideMark/>
          </w:tcPr>
          <w:p w14:paraId="4EA282D6"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4B8230BF"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3.280</w:t>
            </w:r>
          </w:p>
        </w:tc>
        <w:tc>
          <w:tcPr>
            <w:tcW w:w="1160" w:type="dxa"/>
            <w:tcBorders>
              <w:top w:val="nil"/>
              <w:left w:val="nil"/>
              <w:bottom w:val="nil"/>
              <w:right w:val="nil"/>
            </w:tcBorders>
            <w:shd w:val="clear" w:color="auto" w:fill="auto"/>
            <w:noWrap/>
            <w:vAlign w:val="bottom"/>
            <w:hideMark/>
          </w:tcPr>
          <w:p w14:paraId="5C94E388" w14:textId="77777777" w:rsidR="00004D6D" w:rsidRPr="00575B4E" w:rsidRDefault="00004D6D" w:rsidP="00004D6D">
            <w:pPr>
              <w:spacing w:after="0" w:line="240" w:lineRule="auto"/>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56E9B192"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4.125</w:t>
            </w:r>
          </w:p>
        </w:tc>
        <w:tc>
          <w:tcPr>
            <w:tcW w:w="1160" w:type="dxa"/>
            <w:tcBorders>
              <w:top w:val="nil"/>
              <w:left w:val="nil"/>
              <w:bottom w:val="nil"/>
              <w:right w:val="nil"/>
            </w:tcBorders>
            <w:shd w:val="clear" w:color="auto" w:fill="auto"/>
            <w:noWrap/>
            <w:vAlign w:val="bottom"/>
            <w:hideMark/>
          </w:tcPr>
          <w:p w14:paraId="5E4E0DB9"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p>
        </w:tc>
        <w:tc>
          <w:tcPr>
            <w:tcW w:w="1160" w:type="dxa"/>
            <w:tcBorders>
              <w:top w:val="nil"/>
              <w:left w:val="nil"/>
              <w:bottom w:val="nil"/>
              <w:right w:val="nil"/>
            </w:tcBorders>
            <w:shd w:val="clear" w:color="auto" w:fill="auto"/>
            <w:noWrap/>
            <w:vAlign w:val="bottom"/>
            <w:hideMark/>
          </w:tcPr>
          <w:p w14:paraId="73714A52"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0.0256</w:t>
            </w:r>
          </w:p>
        </w:tc>
      </w:tr>
      <w:tr w:rsidR="00004D6D" w:rsidRPr="00F24865" w14:paraId="5D6BE486" w14:textId="77777777" w:rsidTr="00004D6D">
        <w:trPr>
          <w:trHeight w:val="264"/>
        </w:trPr>
        <w:tc>
          <w:tcPr>
            <w:tcW w:w="3000" w:type="dxa"/>
            <w:tcBorders>
              <w:top w:val="nil"/>
              <w:left w:val="nil"/>
              <w:bottom w:val="single" w:sz="4" w:space="0" w:color="auto"/>
              <w:right w:val="nil"/>
            </w:tcBorders>
            <w:shd w:val="clear" w:color="auto" w:fill="auto"/>
            <w:noWrap/>
            <w:vAlign w:val="bottom"/>
            <w:hideMark/>
          </w:tcPr>
          <w:p w14:paraId="2F8E9AE3" w14:textId="77777777" w:rsidR="00004D6D" w:rsidRPr="00575B4E" w:rsidRDefault="00004D6D" w:rsidP="00004D6D">
            <w:pPr>
              <w:spacing w:after="0" w:line="240" w:lineRule="auto"/>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P-Value Hansen</w:t>
            </w:r>
          </w:p>
        </w:tc>
        <w:tc>
          <w:tcPr>
            <w:tcW w:w="1160" w:type="dxa"/>
            <w:tcBorders>
              <w:top w:val="nil"/>
              <w:left w:val="nil"/>
              <w:bottom w:val="single" w:sz="4" w:space="0" w:color="auto"/>
              <w:right w:val="nil"/>
            </w:tcBorders>
            <w:shd w:val="clear" w:color="auto" w:fill="auto"/>
            <w:noWrap/>
            <w:vAlign w:val="bottom"/>
            <w:hideMark/>
          </w:tcPr>
          <w:p w14:paraId="0CD8C30C"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 </w:t>
            </w:r>
          </w:p>
        </w:tc>
        <w:tc>
          <w:tcPr>
            <w:tcW w:w="1160" w:type="dxa"/>
            <w:tcBorders>
              <w:top w:val="nil"/>
              <w:left w:val="nil"/>
              <w:bottom w:val="single" w:sz="4" w:space="0" w:color="auto"/>
              <w:right w:val="nil"/>
            </w:tcBorders>
            <w:shd w:val="clear" w:color="auto" w:fill="auto"/>
            <w:noWrap/>
            <w:vAlign w:val="bottom"/>
            <w:hideMark/>
          </w:tcPr>
          <w:p w14:paraId="72BF48E5"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just identified</w:t>
            </w:r>
          </w:p>
        </w:tc>
        <w:tc>
          <w:tcPr>
            <w:tcW w:w="1160" w:type="dxa"/>
            <w:tcBorders>
              <w:top w:val="nil"/>
              <w:left w:val="nil"/>
              <w:bottom w:val="single" w:sz="4" w:space="0" w:color="auto"/>
              <w:right w:val="nil"/>
            </w:tcBorders>
            <w:shd w:val="clear" w:color="auto" w:fill="auto"/>
            <w:noWrap/>
            <w:vAlign w:val="bottom"/>
            <w:hideMark/>
          </w:tcPr>
          <w:p w14:paraId="2F5C7978"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 </w:t>
            </w:r>
          </w:p>
        </w:tc>
        <w:tc>
          <w:tcPr>
            <w:tcW w:w="1160" w:type="dxa"/>
            <w:tcBorders>
              <w:top w:val="nil"/>
              <w:left w:val="nil"/>
              <w:bottom w:val="single" w:sz="4" w:space="0" w:color="auto"/>
              <w:right w:val="nil"/>
            </w:tcBorders>
            <w:shd w:val="clear" w:color="auto" w:fill="auto"/>
            <w:noWrap/>
            <w:vAlign w:val="bottom"/>
            <w:hideMark/>
          </w:tcPr>
          <w:p w14:paraId="09ACC93D"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just identified</w:t>
            </w:r>
          </w:p>
        </w:tc>
        <w:tc>
          <w:tcPr>
            <w:tcW w:w="1160" w:type="dxa"/>
            <w:tcBorders>
              <w:top w:val="nil"/>
              <w:left w:val="nil"/>
              <w:bottom w:val="single" w:sz="4" w:space="0" w:color="auto"/>
              <w:right w:val="nil"/>
            </w:tcBorders>
            <w:shd w:val="clear" w:color="auto" w:fill="auto"/>
            <w:noWrap/>
            <w:vAlign w:val="bottom"/>
            <w:hideMark/>
          </w:tcPr>
          <w:p w14:paraId="44B0D811"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 </w:t>
            </w:r>
          </w:p>
        </w:tc>
        <w:tc>
          <w:tcPr>
            <w:tcW w:w="1160" w:type="dxa"/>
            <w:tcBorders>
              <w:top w:val="nil"/>
              <w:left w:val="nil"/>
              <w:bottom w:val="single" w:sz="4" w:space="0" w:color="auto"/>
              <w:right w:val="nil"/>
            </w:tcBorders>
            <w:shd w:val="clear" w:color="auto" w:fill="auto"/>
            <w:noWrap/>
            <w:vAlign w:val="bottom"/>
            <w:hideMark/>
          </w:tcPr>
          <w:p w14:paraId="4F5DD2C6" w14:textId="77777777" w:rsidR="00004D6D" w:rsidRPr="00575B4E" w:rsidRDefault="00004D6D" w:rsidP="00004D6D">
            <w:pPr>
              <w:spacing w:after="0" w:line="240" w:lineRule="auto"/>
              <w:jc w:val="center"/>
              <w:rPr>
                <w:rFonts w:ascii="Times New Roman" w:eastAsia="Times New Roman" w:hAnsi="Times New Roman" w:cs="Times New Roman"/>
                <w:sz w:val="16"/>
                <w:szCs w:val="16"/>
                <w:lang w:val="en-US" w:eastAsia="en-GB"/>
              </w:rPr>
            </w:pPr>
            <w:r w:rsidRPr="00575B4E">
              <w:rPr>
                <w:rFonts w:ascii="Times New Roman" w:eastAsia="Times New Roman" w:hAnsi="Times New Roman" w:cs="Times New Roman"/>
                <w:sz w:val="16"/>
                <w:szCs w:val="16"/>
                <w:lang w:val="en-US" w:eastAsia="en-GB"/>
              </w:rPr>
              <w:t>just identified</w:t>
            </w:r>
          </w:p>
        </w:tc>
      </w:tr>
      <w:tr w:rsidR="00004D6D" w:rsidRPr="00F24865" w14:paraId="61EED95B" w14:textId="77777777" w:rsidTr="00004D6D">
        <w:trPr>
          <w:trHeight w:val="264"/>
        </w:trPr>
        <w:tc>
          <w:tcPr>
            <w:tcW w:w="4160" w:type="dxa"/>
            <w:gridSpan w:val="2"/>
            <w:tcBorders>
              <w:top w:val="nil"/>
              <w:left w:val="nil"/>
              <w:bottom w:val="nil"/>
              <w:right w:val="nil"/>
            </w:tcBorders>
            <w:shd w:val="clear" w:color="auto" w:fill="auto"/>
            <w:noWrap/>
            <w:vAlign w:val="bottom"/>
          </w:tcPr>
          <w:p w14:paraId="0F2AC66B"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r>
              <w:rPr>
                <w:rFonts w:ascii="Times New Roman" w:eastAsia="Times New Roman" w:hAnsi="Times New Roman" w:cs="Times New Roman"/>
                <w:sz w:val="16"/>
                <w:szCs w:val="16"/>
                <w:lang w:val="en-US" w:eastAsia="en-GB"/>
              </w:rPr>
              <w:t>Note: Please refer to notes under Table 3.</w:t>
            </w:r>
          </w:p>
        </w:tc>
        <w:tc>
          <w:tcPr>
            <w:tcW w:w="1160" w:type="dxa"/>
            <w:tcBorders>
              <w:top w:val="nil"/>
              <w:left w:val="nil"/>
              <w:bottom w:val="nil"/>
              <w:right w:val="nil"/>
            </w:tcBorders>
            <w:shd w:val="clear" w:color="auto" w:fill="auto"/>
            <w:noWrap/>
            <w:vAlign w:val="bottom"/>
            <w:hideMark/>
          </w:tcPr>
          <w:p w14:paraId="770AB343"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708BFA9D"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451A3AD1"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1A4F3F6A"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6D409707"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r>
      <w:tr w:rsidR="00004D6D" w:rsidRPr="00F24865" w14:paraId="41E30FDD" w14:textId="77777777" w:rsidTr="00004D6D">
        <w:trPr>
          <w:trHeight w:val="264"/>
        </w:trPr>
        <w:tc>
          <w:tcPr>
            <w:tcW w:w="4160" w:type="dxa"/>
            <w:gridSpan w:val="2"/>
            <w:tcBorders>
              <w:top w:val="nil"/>
              <w:left w:val="nil"/>
              <w:bottom w:val="nil"/>
              <w:right w:val="nil"/>
            </w:tcBorders>
            <w:shd w:val="clear" w:color="auto" w:fill="auto"/>
            <w:noWrap/>
            <w:vAlign w:val="bottom"/>
          </w:tcPr>
          <w:p w14:paraId="231574F7"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0934F9B5"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505C3D4A"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7DA823FC"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36796E2A"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6B83FF39"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r>
      <w:tr w:rsidR="00004D6D" w:rsidRPr="00F24865" w14:paraId="27FCDD24" w14:textId="77777777" w:rsidTr="00004D6D">
        <w:trPr>
          <w:trHeight w:val="264"/>
        </w:trPr>
        <w:tc>
          <w:tcPr>
            <w:tcW w:w="3000" w:type="dxa"/>
            <w:tcBorders>
              <w:top w:val="nil"/>
              <w:left w:val="nil"/>
              <w:bottom w:val="nil"/>
              <w:right w:val="nil"/>
            </w:tcBorders>
            <w:shd w:val="clear" w:color="auto" w:fill="auto"/>
            <w:noWrap/>
            <w:vAlign w:val="bottom"/>
          </w:tcPr>
          <w:p w14:paraId="3EE46954"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tcPr>
          <w:p w14:paraId="5BA97F66"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10895BA0"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008CCE5D"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34D572F8"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7BA85BDF"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c>
          <w:tcPr>
            <w:tcW w:w="1160" w:type="dxa"/>
            <w:tcBorders>
              <w:top w:val="nil"/>
              <w:left w:val="nil"/>
              <w:bottom w:val="nil"/>
              <w:right w:val="nil"/>
            </w:tcBorders>
            <w:shd w:val="clear" w:color="auto" w:fill="auto"/>
            <w:noWrap/>
            <w:vAlign w:val="bottom"/>
            <w:hideMark/>
          </w:tcPr>
          <w:p w14:paraId="04D9862B" w14:textId="77777777" w:rsidR="00004D6D" w:rsidRPr="00F24865" w:rsidRDefault="00004D6D" w:rsidP="00004D6D">
            <w:pPr>
              <w:spacing w:after="0" w:line="240" w:lineRule="auto"/>
              <w:rPr>
                <w:rFonts w:ascii="Times New Roman" w:eastAsia="Times New Roman" w:hAnsi="Times New Roman" w:cs="Times New Roman"/>
                <w:sz w:val="20"/>
                <w:szCs w:val="20"/>
                <w:lang w:val="en-US" w:eastAsia="en-GB"/>
              </w:rPr>
            </w:pPr>
          </w:p>
        </w:tc>
      </w:tr>
      <w:bookmarkEnd w:id="148"/>
      <w:bookmarkEnd w:id="149"/>
      <w:bookmarkEnd w:id="150"/>
      <w:bookmarkEnd w:id="151"/>
      <w:bookmarkEnd w:id="152"/>
    </w:tbl>
    <w:p w14:paraId="2ABC666D" w14:textId="77777777" w:rsidR="00004D6D" w:rsidRPr="00F24865" w:rsidRDefault="00004D6D" w:rsidP="00004D6D">
      <w:pPr>
        <w:ind w:left="720" w:firstLine="720"/>
        <w:rPr>
          <w:lang w:val="en-US"/>
        </w:rPr>
      </w:pPr>
    </w:p>
    <w:p w14:paraId="18B22DDB" w14:textId="77777777" w:rsidR="00004D6D" w:rsidRPr="006F1CEF" w:rsidRDefault="00004D6D" w:rsidP="00004D6D"/>
    <w:p w14:paraId="0695DE43" w14:textId="77777777" w:rsidR="00410E29" w:rsidRDefault="00410E29">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3E7C708E" w14:textId="77777777" w:rsidR="00410E29" w:rsidRPr="00F24865" w:rsidRDefault="00410E29" w:rsidP="00410E29">
      <w:pPr>
        <w:pStyle w:val="Caption"/>
        <w:keepNext/>
        <w:jc w:val="center"/>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lastRenderedPageBreak/>
        <w:t>TABLE 6</w:t>
      </w:r>
    </w:p>
    <w:p w14:paraId="46F6C49D" w14:textId="77777777" w:rsidR="00410E29" w:rsidRPr="00F24865" w:rsidRDefault="00410E29" w:rsidP="00410E29">
      <w:pPr>
        <w:spacing w:line="240" w:lineRule="auto"/>
        <w:jc w:val="center"/>
        <w:rPr>
          <w:rFonts w:ascii="Times New Roman" w:hAnsi="Times New Roman" w:cs="Times New Roman"/>
          <w:b/>
          <w:bCs/>
          <w:sz w:val="24"/>
          <w:szCs w:val="24"/>
          <w:lang w:val="en-US"/>
        </w:rPr>
      </w:pPr>
      <w:r w:rsidRPr="00410E29">
        <w:rPr>
          <w:rFonts w:ascii="Times New Roman" w:hAnsi="Times New Roman" w:cs="Times New Roman"/>
          <w:b/>
          <w:bCs/>
          <w:sz w:val="24"/>
          <w:szCs w:val="24"/>
          <w:lang w:val="en-US"/>
        </w:rPr>
        <w:t>Business Groups and Independent Directors</w:t>
      </w:r>
    </w:p>
    <w:tbl>
      <w:tblPr>
        <w:tblW w:w="10020" w:type="dxa"/>
        <w:tblInd w:w="93" w:type="dxa"/>
        <w:tblLook w:val="04A0" w:firstRow="1" w:lastRow="0" w:firstColumn="1" w:lastColumn="0" w:noHBand="0" w:noVBand="1"/>
      </w:tblPr>
      <w:tblGrid>
        <w:gridCol w:w="4080"/>
        <w:gridCol w:w="1780"/>
        <w:gridCol w:w="1840"/>
        <w:gridCol w:w="1160"/>
        <w:gridCol w:w="1160"/>
      </w:tblGrid>
      <w:tr w:rsidR="00410E29" w14:paraId="05211B5F" w14:textId="77777777" w:rsidTr="00410E29">
        <w:trPr>
          <w:trHeight w:val="276"/>
        </w:trPr>
        <w:tc>
          <w:tcPr>
            <w:tcW w:w="4080" w:type="dxa"/>
            <w:tcBorders>
              <w:top w:val="single" w:sz="4" w:space="0" w:color="000000"/>
              <w:left w:val="nil"/>
              <w:bottom w:val="nil"/>
              <w:right w:val="nil"/>
            </w:tcBorders>
            <w:noWrap/>
            <w:vAlign w:val="bottom"/>
            <w:hideMark/>
          </w:tcPr>
          <w:p w14:paraId="03E18A63"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VARIABLES</w:t>
            </w:r>
          </w:p>
        </w:tc>
        <w:tc>
          <w:tcPr>
            <w:tcW w:w="1780" w:type="dxa"/>
            <w:tcBorders>
              <w:top w:val="single" w:sz="4" w:space="0" w:color="000000"/>
              <w:left w:val="nil"/>
              <w:bottom w:val="nil"/>
              <w:right w:val="nil"/>
            </w:tcBorders>
            <w:noWrap/>
            <w:vAlign w:val="bottom"/>
            <w:hideMark/>
          </w:tcPr>
          <w:p w14:paraId="7E86B926"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(1)</w:t>
            </w:r>
          </w:p>
        </w:tc>
        <w:tc>
          <w:tcPr>
            <w:tcW w:w="1840" w:type="dxa"/>
            <w:tcBorders>
              <w:top w:val="single" w:sz="4" w:space="0" w:color="000000"/>
              <w:left w:val="nil"/>
              <w:bottom w:val="nil"/>
              <w:right w:val="nil"/>
            </w:tcBorders>
            <w:noWrap/>
            <w:vAlign w:val="bottom"/>
            <w:hideMark/>
          </w:tcPr>
          <w:p w14:paraId="1179E80F"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(2)</w:t>
            </w:r>
          </w:p>
        </w:tc>
        <w:tc>
          <w:tcPr>
            <w:tcW w:w="1160" w:type="dxa"/>
            <w:tcBorders>
              <w:top w:val="single" w:sz="4" w:space="0" w:color="000000"/>
              <w:left w:val="nil"/>
              <w:bottom w:val="nil"/>
              <w:right w:val="nil"/>
            </w:tcBorders>
            <w:noWrap/>
            <w:vAlign w:val="bottom"/>
            <w:hideMark/>
          </w:tcPr>
          <w:p w14:paraId="0CC847AB"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(3)</w:t>
            </w:r>
          </w:p>
        </w:tc>
        <w:tc>
          <w:tcPr>
            <w:tcW w:w="1160" w:type="dxa"/>
            <w:tcBorders>
              <w:top w:val="single" w:sz="4" w:space="0" w:color="000000"/>
              <w:left w:val="nil"/>
              <w:bottom w:val="nil"/>
              <w:right w:val="nil"/>
            </w:tcBorders>
            <w:noWrap/>
            <w:vAlign w:val="bottom"/>
            <w:hideMark/>
          </w:tcPr>
          <w:p w14:paraId="7A7211C8"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(4)</w:t>
            </w:r>
          </w:p>
        </w:tc>
      </w:tr>
      <w:tr w:rsidR="00410E29" w14:paraId="0F2BA804" w14:textId="77777777" w:rsidTr="00410E29">
        <w:trPr>
          <w:trHeight w:val="276"/>
        </w:trPr>
        <w:tc>
          <w:tcPr>
            <w:tcW w:w="4080" w:type="dxa"/>
            <w:noWrap/>
            <w:vAlign w:val="bottom"/>
            <w:hideMark/>
          </w:tcPr>
          <w:p w14:paraId="6223CCC6"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Independent directors (Y/N)</w:t>
            </w:r>
          </w:p>
        </w:tc>
        <w:tc>
          <w:tcPr>
            <w:tcW w:w="1780" w:type="dxa"/>
            <w:noWrap/>
            <w:vAlign w:val="bottom"/>
            <w:hideMark/>
          </w:tcPr>
          <w:p w14:paraId="1273A9CA" w14:textId="77777777" w:rsidR="00410E29" w:rsidRDefault="00410E29">
            <w:pPr>
              <w:rPr>
                <w:rFonts w:ascii="Times New Roman" w:eastAsia="Times New Roman" w:hAnsi="Times New Roman" w:cs="Times New Roman"/>
                <w:lang w:val="en-US" w:eastAsia="en-GB"/>
              </w:rPr>
            </w:pPr>
          </w:p>
        </w:tc>
        <w:tc>
          <w:tcPr>
            <w:tcW w:w="1840" w:type="dxa"/>
            <w:noWrap/>
            <w:vAlign w:val="bottom"/>
            <w:hideMark/>
          </w:tcPr>
          <w:p w14:paraId="7A456666"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-0.40</w:t>
            </w:r>
          </w:p>
        </w:tc>
        <w:tc>
          <w:tcPr>
            <w:tcW w:w="1160" w:type="dxa"/>
            <w:noWrap/>
            <w:vAlign w:val="bottom"/>
            <w:hideMark/>
          </w:tcPr>
          <w:p w14:paraId="537643DA" w14:textId="77777777" w:rsidR="00410E29" w:rsidRDefault="00410E29">
            <w:pPr>
              <w:rPr>
                <w:rFonts w:ascii="Times New Roman" w:eastAsia="Times New Roman" w:hAnsi="Times New Roman" w:cs="Times New Roman"/>
                <w:lang w:val="en-US" w:eastAsia="en-GB"/>
              </w:rPr>
            </w:pPr>
          </w:p>
        </w:tc>
        <w:tc>
          <w:tcPr>
            <w:tcW w:w="1160" w:type="dxa"/>
            <w:noWrap/>
            <w:vAlign w:val="bottom"/>
            <w:hideMark/>
          </w:tcPr>
          <w:p w14:paraId="7B15D224"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-0.74*</w:t>
            </w:r>
          </w:p>
        </w:tc>
      </w:tr>
      <w:tr w:rsidR="00410E29" w14:paraId="03D95D1D" w14:textId="77777777" w:rsidTr="00410E29">
        <w:trPr>
          <w:trHeight w:val="276"/>
        </w:trPr>
        <w:tc>
          <w:tcPr>
            <w:tcW w:w="4080" w:type="dxa"/>
            <w:noWrap/>
            <w:vAlign w:val="bottom"/>
            <w:hideMark/>
          </w:tcPr>
          <w:p w14:paraId="18D95B86" w14:textId="77777777" w:rsidR="00410E29" w:rsidRDefault="00410E29">
            <w:pPr>
              <w:rPr>
                <w:rFonts w:ascii="Times New Roman" w:eastAsia="Times New Roman" w:hAnsi="Times New Roman" w:cs="Times New Roman"/>
                <w:lang w:val="en-US" w:eastAsia="en-GB"/>
              </w:rPr>
            </w:pPr>
          </w:p>
        </w:tc>
        <w:tc>
          <w:tcPr>
            <w:tcW w:w="1780" w:type="dxa"/>
            <w:noWrap/>
            <w:vAlign w:val="bottom"/>
            <w:hideMark/>
          </w:tcPr>
          <w:p w14:paraId="6598F4C0" w14:textId="77777777" w:rsidR="00410E29" w:rsidRDefault="00410E29">
            <w:pPr>
              <w:spacing w:after="0"/>
              <w:rPr>
                <w:sz w:val="20"/>
                <w:szCs w:val="20"/>
                <w:lang w:eastAsia="en-GB"/>
              </w:rPr>
            </w:pPr>
          </w:p>
        </w:tc>
        <w:tc>
          <w:tcPr>
            <w:tcW w:w="1840" w:type="dxa"/>
            <w:noWrap/>
            <w:vAlign w:val="bottom"/>
            <w:hideMark/>
          </w:tcPr>
          <w:p w14:paraId="37F2581F"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(0.32)</w:t>
            </w:r>
          </w:p>
        </w:tc>
        <w:tc>
          <w:tcPr>
            <w:tcW w:w="1160" w:type="dxa"/>
            <w:noWrap/>
            <w:vAlign w:val="bottom"/>
            <w:hideMark/>
          </w:tcPr>
          <w:p w14:paraId="672B6617" w14:textId="77777777" w:rsidR="00410E29" w:rsidRDefault="00410E29">
            <w:pPr>
              <w:rPr>
                <w:rFonts w:ascii="Times New Roman" w:eastAsia="Times New Roman" w:hAnsi="Times New Roman" w:cs="Times New Roman"/>
                <w:lang w:val="en-US" w:eastAsia="en-GB"/>
              </w:rPr>
            </w:pPr>
          </w:p>
        </w:tc>
        <w:tc>
          <w:tcPr>
            <w:tcW w:w="1160" w:type="dxa"/>
            <w:noWrap/>
            <w:vAlign w:val="bottom"/>
            <w:hideMark/>
          </w:tcPr>
          <w:p w14:paraId="06F86F7A"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(0.37)</w:t>
            </w:r>
          </w:p>
        </w:tc>
      </w:tr>
      <w:tr w:rsidR="00410E29" w14:paraId="7088D7AB" w14:textId="77777777" w:rsidTr="00410E29">
        <w:trPr>
          <w:trHeight w:val="276"/>
        </w:trPr>
        <w:tc>
          <w:tcPr>
            <w:tcW w:w="4080" w:type="dxa"/>
            <w:noWrap/>
            <w:vAlign w:val="bottom"/>
            <w:hideMark/>
          </w:tcPr>
          <w:p w14:paraId="44D5C114"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Independent Directors Proportion</w:t>
            </w:r>
          </w:p>
        </w:tc>
        <w:tc>
          <w:tcPr>
            <w:tcW w:w="1780" w:type="dxa"/>
            <w:noWrap/>
            <w:vAlign w:val="bottom"/>
            <w:hideMark/>
          </w:tcPr>
          <w:p w14:paraId="575D0829"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-2.54*</w:t>
            </w:r>
          </w:p>
        </w:tc>
        <w:tc>
          <w:tcPr>
            <w:tcW w:w="1840" w:type="dxa"/>
            <w:noWrap/>
            <w:vAlign w:val="bottom"/>
            <w:hideMark/>
          </w:tcPr>
          <w:p w14:paraId="270EFC51" w14:textId="77777777" w:rsidR="00410E29" w:rsidRDefault="00410E29">
            <w:pPr>
              <w:rPr>
                <w:rFonts w:ascii="Times New Roman" w:eastAsia="Times New Roman" w:hAnsi="Times New Roman" w:cs="Times New Roman"/>
                <w:lang w:val="en-US" w:eastAsia="en-GB"/>
              </w:rPr>
            </w:pPr>
          </w:p>
        </w:tc>
        <w:tc>
          <w:tcPr>
            <w:tcW w:w="1160" w:type="dxa"/>
            <w:noWrap/>
            <w:vAlign w:val="bottom"/>
            <w:hideMark/>
          </w:tcPr>
          <w:p w14:paraId="04F266BA"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-3.34*</w:t>
            </w:r>
          </w:p>
        </w:tc>
        <w:tc>
          <w:tcPr>
            <w:tcW w:w="1160" w:type="dxa"/>
            <w:noWrap/>
            <w:vAlign w:val="bottom"/>
            <w:hideMark/>
          </w:tcPr>
          <w:p w14:paraId="625BA2FE" w14:textId="77777777" w:rsidR="00410E29" w:rsidRDefault="00410E29">
            <w:pPr>
              <w:rPr>
                <w:rFonts w:ascii="Times New Roman" w:eastAsia="Times New Roman" w:hAnsi="Times New Roman" w:cs="Times New Roman"/>
                <w:lang w:val="en-US" w:eastAsia="en-GB"/>
              </w:rPr>
            </w:pPr>
          </w:p>
        </w:tc>
      </w:tr>
      <w:tr w:rsidR="00410E29" w14:paraId="26EC528B" w14:textId="77777777" w:rsidTr="00410E29">
        <w:trPr>
          <w:trHeight w:val="276"/>
        </w:trPr>
        <w:tc>
          <w:tcPr>
            <w:tcW w:w="4080" w:type="dxa"/>
            <w:noWrap/>
            <w:vAlign w:val="bottom"/>
            <w:hideMark/>
          </w:tcPr>
          <w:p w14:paraId="4CC69C74" w14:textId="77777777" w:rsidR="00410E29" w:rsidRDefault="00410E29">
            <w:pPr>
              <w:spacing w:after="0"/>
              <w:rPr>
                <w:sz w:val="20"/>
                <w:szCs w:val="20"/>
                <w:lang w:eastAsia="en-GB"/>
              </w:rPr>
            </w:pPr>
          </w:p>
        </w:tc>
        <w:tc>
          <w:tcPr>
            <w:tcW w:w="1780" w:type="dxa"/>
            <w:noWrap/>
            <w:vAlign w:val="bottom"/>
            <w:hideMark/>
          </w:tcPr>
          <w:p w14:paraId="7A6CE62E"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(1.29)</w:t>
            </w:r>
          </w:p>
        </w:tc>
        <w:tc>
          <w:tcPr>
            <w:tcW w:w="1840" w:type="dxa"/>
            <w:noWrap/>
            <w:vAlign w:val="bottom"/>
            <w:hideMark/>
          </w:tcPr>
          <w:p w14:paraId="3EC75CF6" w14:textId="77777777" w:rsidR="00410E29" w:rsidRDefault="00410E29">
            <w:pPr>
              <w:rPr>
                <w:rFonts w:ascii="Times New Roman" w:eastAsia="Times New Roman" w:hAnsi="Times New Roman" w:cs="Times New Roman"/>
                <w:lang w:val="en-US" w:eastAsia="en-GB"/>
              </w:rPr>
            </w:pPr>
          </w:p>
        </w:tc>
        <w:tc>
          <w:tcPr>
            <w:tcW w:w="1160" w:type="dxa"/>
            <w:noWrap/>
            <w:vAlign w:val="bottom"/>
            <w:hideMark/>
          </w:tcPr>
          <w:p w14:paraId="014612BA"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(1.57)</w:t>
            </w:r>
          </w:p>
        </w:tc>
        <w:tc>
          <w:tcPr>
            <w:tcW w:w="1160" w:type="dxa"/>
            <w:noWrap/>
            <w:vAlign w:val="bottom"/>
            <w:hideMark/>
          </w:tcPr>
          <w:p w14:paraId="78491660" w14:textId="77777777" w:rsidR="00410E29" w:rsidRDefault="00410E29">
            <w:pPr>
              <w:rPr>
                <w:rFonts w:ascii="Times New Roman" w:eastAsia="Times New Roman" w:hAnsi="Times New Roman" w:cs="Times New Roman"/>
                <w:lang w:val="en-US" w:eastAsia="en-GB"/>
              </w:rPr>
            </w:pPr>
          </w:p>
        </w:tc>
      </w:tr>
      <w:tr w:rsidR="00410E29" w14:paraId="775DA7BB" w14:textId="77777777" w:rsidTr="00410E29">
        <w:trPr>
          <w:trHeight w:val="276"/>
        </w:trPr>
        <w:tc>
          <w:tcPr>
            <w:tcW w:w="4080" w:type="dxa"/>
            <w:noWrap/>
            <w:vAlign w:val="bottom"/>
            <w:hideMark/>
          </w:tcPr>
          <w:p w14:paraId="532772A4"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Size (Sales)</w:t>
            </w:r>
          </w:p>
        </w:tc>
        <w:tc>
          <w:tcPr>
            <w:tcW w:w="1780" w:type="dxa"/>
            <w:noWrap/>
            <w:vAlign w:val="bottom"/>
            <w:hideMark/>
          </w:tcPr>
          <w:p w14:paraId="2B65D6BF"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1.31***</w:t>
            </w:r>
          </w:p>
        </w:tc>
        <w:tc>
          <w:tcPr>
            <w:tcW w:w="1840" w:type="dxa"/>
            <w:noWrap/>
            <w:vAlign w:val="bottom"/>
            <w:hideMark/>
          </w:tcPr>
          <w:p w14:paraId="7CEC16B4"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0.56**</w:t>
            </w:r>
          </w:p>
        </w:tc>
        <w:tc>
          <w:tcPr>
            <w:tcW w:w="1160" w:type="dxa"/>
            <w:noWrap/>
            <w:vAlign w:val="bottom"/>
            <w:hideMark/>
          </w:tcPr>
          <w:p w14:paraId="082FF5E0"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1.44***</w:t>
            </w:r>
          </w:p>
        </w:tc>
        <w:tc>
          <w:tcPr>
            <w:tcW w:w="1160" w:type="dxa"/>
            <w:noWrap/>
            <w:vAlign w:val="bottom"/>
            <w:hideMark/>
          </w:tcPr>
          <w:p w14:paraId="32F836DE"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0.61**</w:t>
            </w:r>
          </w:p>
        </w:tc>
      </w:tr>
      <w:tr w:rsidR="00410E29" w14:paraId="62B0095C" w14:textId="77777777" w:rsidTr="00410E29">
        <w:trPr>
          <w:trHeight w:val="276"/>
        </w:trPr>
        <w:tc>
          <w:tcPr>
            <w:tcW w:w="4080" w:type="dxa"/>
            <w:noWrap/>
            <w:vAlign w:val="bottom"/>
            <w:hideMark/>
          </w:tcPr>
          <w:p w14:paraId="5EF89CE7" w14:textId="77777777" w:rsidR="00410E29" w:rsidRDefault="00410E29">
            <w:pPr>
              <w:rPr>
                <w:rFonts w:ascii="Times New Roman" w:eastAsia="Times New Roman" w:hAnsi="Times New Roman" w:cs="Times New Roman"/>
                <w:lang w:val="en-US" w:eastAsia="en-GB"/>
              </w:rPr>
            </w:pPr>
          </w:p>
        </w:tc>
        <w:tc>
          <w:tcPr>
            <w:tcW w:w="1780" w:type="dxa"/>
            <w:noWrap/>
            <w:vAlign w:val="bottom"/>
            <w:hideMark/>
          </w:tcPr>
          <w:p w14:paraId="02A84062"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(0.32)</w:t>
            </w:r>
          </w:p>
        </w:tc>
        <w:tc>
          <w:tcPr>
            <w:tcW w:w="1840" w:type="dxa"/>
            <w:noWrap/>
            <w:vAlign w:val="bottom"/>
            <w:hideMark/>
          </w:tcPr>
          <w:p w14:paraId="0BBAA9C0"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(0.17)</w:t>
            </w:r>
          </w:p>
        </w:tc>
        <w:tc>
          <w:tcPr>
            <w:tcW w:w="1160" w:type="dxa"/>
            <w:noWrap/>
            <w:vAlign w:val="bottom"/>
            <w:hideMark/>
          </w:tcPr>
          <w:p w14:paraId="130EDC6F"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(0.42)</w:t>
            </w:r>
          </w:p>
        </w:tc>
        <w:tc>
          <w:tcPr>
            <w:tcW w:w="1160" w:type="dxa"/>
            <w:noWrap/>
            <w:vAlign w:val="bottom"/>
            <w:hideMark/>
          </w:tcPr>
          <w:p w14:paraId="3C2B42D7"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(0.20)</w:t>
            </w:r>
          </w:p>
        </w:tc>
      </w:tr>
      <w:tr w:rsidR="00410E29" w14:paraId="735A25FE" w14:textId="77777777" w:rsidTr="00410E29">
        <w:trPr>
          <w:trHeight w:val="276"/>
        </w:trPr>
        <w:tc>
          <w:tcPr>
            <w:tcW w:w="4080" w:type="dxa"/>
            <w:noWrap/>
            <w:vAlign w:val="bottom"/>
            <w:hideMark/>
          </w:tcPr>
          <w:p w14:paraId="1663E917"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Debt</w:t>
            </w:r>
          </w:p>
        </w:tc>
        <w:tc>
          <w:tcPr>
            <w:tcW w:w="1780" w:type="dxa"/>
            <w:noWrap/>
            <w:vAlign w:val="bottom"/>
            <w:hideMark/>
          </w:tcPr>
          <w:p w14:paraId="11F1C298" w14:textId="77777777" w:rsidR="00410E29" w:rsidRDefault="00410E29">
            <w:pPr>
              <w:rPr>
                <w:rFonts w:ascii="Times New Roman" w:eastAsia="Times New Roman" w:hAnsi="Times New Roman" w:cs="Times New Roman"/>
                <w:lang w:val="en-US" w:eastAsia="en-GB"/>
              </w:rPr>
            </w:pPr>
          </w:p>
        </w:tc>
        <w:tc>
          <w:tcPr>
            <w:tcW w:w="1840" w:type="dxa"/>
            <w:noWrap/>
            <w:vAlign w:val="bottom"/>
            <w:hideMark/>
          </w:tcPr>
          <w:p w14:paraId="02C2ED48" w14:textId="77777777" w:rsidR="00410E29" w:rsidRDefault="00410E29">
            <w:pPr>
              <w:spacing w:after="0"/>
              <w:rPr>
                <w:sz w:val="20"/>
                <w:szCs w:val="20"/>
                <w:lang w:eastAsia="en-GB"/>
              </w:rPr>
            </w:pPr>
          </w:p>
        </w:tc>
        <w:tc>
          <w:tcPr>
            <w:tcW w:w="1160" w:type="dxa"/>
            <w:noWrap/>
            <w:vAlign w:val="bottom"/>
            <w:hideMark/>
          </w:tcPr>
          <w:p w14:paraId="0B158F25"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-0.07</w:t>
            </w:r>
          </w:p>
        </w:tc>
        <w:tc>
          <w:tcPr>
            <w:tcW w:w="1160" w:type="dxa"/>
            <w:noWrap/>
            <w:vAlign w:val="bottom"/>
            <w:hideMark/>
          </w:tcPr>
          <w:p w14:paraId="55212375"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-0.01</w:t>
            </w:r>
          </w:p>
        </w:tc>
      </w:tr>
      <w:tr w:rsidR="00410E29" w14:paraId="6BB9C233" w14:textId="77777777" w:rsidTr="00410E29">
        <w:trPr>
          <w:trHeight w:val="276"/>
        </w:trPr>
        <w:tc>
          <w:tcPr>
            <w:tcW w:w="4080" w:type="dxa"/>
            <w:noWrap/>
            <w:vAlign w:val="bottom"/>
            <w:hideMark/>
          </w:tcPr>
          <w:p w14:paraId="647084C5" w14:textId="77777777" w:rsidR="00410E29" w:rsidRDefault="00410E29">
            <w:pPr>
              <w:rPr>
                <w:rFonts w:ascii="Times New Roman" w:eastAsia="Times New Roman" w:hAnsi="Times New Roman" w:cs="Times New Roman"/>
                <w:lang w:val="en-US" w:eastAsia="en-GB"/>
              </w:rPr>
            </w:pPr>
          </w:p>
        </w:tc>
        <w:tc>
          <w:tcPr>
            <w:tcW w:w="1780" w:type="dxa"/>
            <w:noWrap/>
            <w:vAlign w:val="bottom"/>
            <w:hideMark/>
          </w:tcPr>
          <w:p w14:paraId="4BA27160" w14:textId="77777777" w:rsidR="00410E29" w:rsidRDefault="00410E29">
            <w:pPr>
              <w:spacing w:after="0"/>
              <w:rPr>
                <w:sz w:val="20"/>
                <w:szCs w:val="20"/>
                <w:lang w:eastAsia="en-GB"/>
              </w:rPr>
            </w:pPr>
          </w:p>
        </w:tc>
        <w:tc>
          <w:tcPr>
            <w:tcW w:w="1840" w:type="dxa"/>
            <w:noWrap/>
            <w:vAlign w:val="bottom"/>
            <w:hideMark/>
          </w:tcPr>
          <w:p w14:paraId="31E45AB9" w14:textId="77777777" w:rsidR="00410E29" w:rsidRDefault="00410E29">
            <w:pPr>
              <w:spacing w:after="0"/>
              <w:rPr>
                <w:sz w:val="20"/>
                <w:szCs w:val="20"/>
                <w:lang w:eastAsia="en-GB"/>
              </w:rPr>
            </w:pPr>
          </w:p>
        </w:tc>
        <w:tc>
          <w:tcPr>
            <w:tcW w:w="1160" w:type="dxa"/>
            <w:noWrap/>
            <w:vAlign w:val="bottom"/>
            <w:hideMark/>
          </w:tcPr>
          <w:p w14:paraId="207945CC"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(0.05)</w:t>
            </w:r>
          </w:p>
        </w:tc>
        <w:tc>
          <w:tcPr>
            <w:tcW w:w="1160" w:type="dxa"/>
            <w:noWrap/>
            <w:vAlign w:val="bottom"/>
            <w:hideMark/>
          </w:tcPr>
          <w:p w14:paraId="67776DBC"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(0.04)</w:t>
            </w:r>
          </w:p>
        </w:tc>
      </w:tr>
      <w:tr w:rsidR="00410E29" w14:paraId="7F2CCD9D" w14:textId="77777777" w:rsidTr="00410E29">
        <w:trPr>
          <w:trHeight w:val="276"/>
        </w:trPr>
        <w:tc>
          <w:tcPr>
            <w:tcW w:w="4080" w:type="dxa"/>
            <w:noWrap/>
            <w:vAlign w:val="bottom"/>
            <w:hideMark/>
          </w:tcPr>
          <w:p w14:paraId="505C16DD"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Equity</w:t>
            </w:r>
          </w:p>
        </w:tc>
        <w:tc>
          <w:tcPr>
            <w:tcW w:w="1780" w:type="dxa"/>
            <w:noWrap/>
            <w:vAlign w:val="bottom"/>
            <w:hideMark/>
          </w:tcPr>
          <w:p w14:paraId="77E5EB55" w14:textId="77777777" w:rsidR="00410E29" w:rsidRDefault="00410E29">
            <w:pPr>
              <w:rPr>
                <w:rFonts w:ascii="Times New Roman" w:eastAsia="Times New Roman" w:hAnsi="Times New Roman" w:cs="Times New Roman"/>
                <w:lang w:val="en-US" w:eastAsia="en-GB"/>
              </w:rPr>
            </w:pPr>
          </w:p>
        </w:tc>
        <w:tc>
          <w:tcPr>
            <w:tcW w:w="1840" w:type="dxa"/>
            <w:noWrap/>
            <w:vAlign w:val="bottom"/>
            <w:hideMark/>
          </w:tcPr>
          <w:p w14:paraId="4A820DEB" w14:textId="77777777" w:rsidR="00410E29" w:rsidRDefault="00410E29">
            <w:pPr>
              <w:spacing w:after="0"/>
              <w:rPr>
                <w:sz w:val="20"/>
                <w:szCs w:val="20"/>
                <w:lang w:eastAsia="en-GB"/>
              </w:rPr>
            </w:pPr>
          </w:p>
        </w:tc>
        <w:tc>
          <w:tcPr>
            <w:tcW w:w="1160" w:type="dxa"/>
            <w:noWrap/>
            <w:vAlign w:val="bottom"/>
            <w:hideMark/>
          </w:tcPr>
          <w:p w14:paraId="7A5CDBE4"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0.17***</w:t>
            </w:r>
          </w:p>
        </w:tc>
        <w:tc>
          <w:tcPr>
            <w:tcW w:w="1160" w:type="dxa"/>
            <w:noWrap/>
            <w:vAlign w:val="bottom"/>
            <w:hideMark/>
          </w:tcPr>
          <w:p w14:paraId="576CACC4"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0.12**</w:t>
            </w:r>
          </w:p>
        </w:tc>
      </w:tr>
      <w:tr w:rsidR="00410E29" w14:paraId="0024D800" w14:textId="77777777" w:rsidTr="00410E29">
        <w:trPr>
          <w:trHeight w:val="276"/>
        </w:trPr>
        <w:tc>
          <w:tcPr>
            <w:tcW w:w="4080" w:type="dxa"/>
            <w:noWrap/>
            <w:vAlign w:val="bottom"/>
            <w:hideMark/>
          </w:tcPr>
          <w:p w14:paraId="74D90E3F" w14:textId="77777777" w:rsidR="00410E29" w:rsidRDefault="00410E29">
            <w:pPr>
              <w:rPr>
                <w:rFonts w:ascii="Times New Roman" w:eastAsia="Times New Roman" w:hAnsi="Times New Roman" w:cs="Times New Roman"/>
                <w:lang w:val="en-US" w:eastAsia="en-GB"/>
              </w:rPr>
            </w:pPr>
          </w:p>
        </w:tc>
        <w:tc>
          <w:tcPr>
            <w:tcW w:w="1780" w:type="dxa"/>
            <w:noWrap/>
            <w:vAlign w:val="bottom"/>
            <w:hideMark/>
          </w:tcPr>
          <w:p w14:paraId="46047DCC" w14:textId="77777777" w:rsidR="00410E29" w:rsidRDefault="00410E29">
            <w:pPr>
              <w:spacing w:after="0"/>
              <w:rPr>
                <w:sz w:val="20"/>
                <w:szCs w:val="20"/>
                <w:lang w:eastAsia="en-GB"/>
              </w:rPr>
            </w:pPr>
          </w:p>
        </w:tc>
        <w:tc>
          <w:tcPr>
            <w:tcW w:w="1840" w:type="dxa"/>
            <w:noWrap/>
            <w:vAlign w:val="bottom"/>
            <w:hideMark/>
          </w:tcPr>
          <w:p w14:paraId="355ADF24" w14:textId="77777777" w:rsidR="00410E29" w:rsidRDefault="00410E29">
            <w:pPr>
              <w:spacing w:after="0"/>
              <w:rPr>
                <w:sz w:val="20"/>
                <w:szCs w:val="20"/>
                <w:lang w:eastAsia="en-GB"/>
              </w:rPr>
            </w:pPr>
          </w:p>
        </w:tc>
        <w:tc>
          <w:tcPr>
            <w:tcW w:w="1160" w:type="dxa"/>
            <w:noWrap/>
            <w:vAlign w:val="bottom"/>
            <w:hideMark/>
          </w:tcPr>
          <w:p w14:paraId="7A2F2E5C"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(0.05)</w:t>
            </w:r>
          </w:p>
        </w:tc>
        <w:tc>
          <w:tcPr>
            <w:tcW w:w="1160" w:type="dxa"/>
            <w:noWrap/>
            <w:vAlign w:val="bottom"/>
            <w:hideMark/>
          </w:tcPr>
          <w:p w14:paraId="7F1267CB"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(0.04)</w:t>
            </w:r>
          </w:p>
        </w:tc>
      </w:tr>
      <w:tr w:rsidR="00410E29" w14:paraId="6B1561F9" w14:textId="77777777" w:rsidTr="00410E29">
        <w:trPr>
          <w:trHeight w:val="276"/>
        </w:trPr>
        <w:tc>
          <w:tcPr>
            <w:tcW w:w="4080" w:type="dxa"/>
            <w:noWrap/>
            <w:vAlign w:val="bottom"/>
            <w:hideMark/>
          </w:tcPr>
          <w:p w14:paraId="207F3837"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GIC Industries = 101020</w:t>
            </w:r>
          </w:p>
        </w:tc>
        <w:tc>
          <w:tcPr>
            <w:tcW w:w="1780" w:type="dxa"/>
            <w:noWrap/>
            <w:vAlign w:val="bottom"/>
            <w:hideMark/>
          </w:tcPr>
          <w:p w14:paraId="4B9C6302"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-1.41*</w:t>
            </w:r>
          </w:p>
        </w:tc>
        <w:tc>
          <w:tcPr>
            <w:tcW w:w="1840" w:type="dxa"/>
            <w:noWrap/>
            <w:vAlign w:val="bottom"/>
            <w:hideMark/>
          </w:tcPr>
          <w:p w14:paraId="498F2176"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0.68</w:t>
            </w:r>
          </w:p>
        </w:tc>
        <w:tc>
          <w:tcPr>
            <w:tcW w:w="1160" w:type="dxa"/>
            <w:noWrap/>
            <w:vAlign w:val="bottom"/>
            <w:hideMark/>
          </w:tcPr>
          <w:p w14:paraId="13038EA0"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-1.06</w:t>
            </w:r>
          </w:p>
        </w:tc>
        <w:tc>
          <w:tcPr>
            <w:tcW w:w="1160" w:type="dxa"/>
            <w:noWrap/>
            <w:vAlign w:val="bottom"/>
            <w:hideMark/>
          </w:tcPr>
          <w:p w14:paraId="0A83530A"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1.13+</w:t>
            </w:r>
          </w:p>
        </w:tc>
      </w:tr>
      <w:tr w:rsidR="00410E29" w14:paraId="1CCF3C92" w14:textId="77777777" w:rsidTr="00410E29">
        <w:trPr>
          <w:trHeight w:val="276"/>
        </w:trPr>
        <w:tc>
          <w:tcPr>
            <w:tcW w:w="4080" w:type="dxa"/>
            <w:noWrap/>
            <w:vAlign w:val="bottom"/>
            <w:hideMark/>
          </w:tcPr>
          <w:p w14:paraId="2E5C8844" w14:textId="77777777" w:rsidR="00410E29" w:rsidRDefault="00410E29">
            <w:pPr>
              <w:rPr>
                <w:rFonts w:ascii="Times New Roman" w:eastAsia="Times New Roman" w:hAnsi="Times New Roman" w:cs="Times New Roman"/>
                <w:lang w:val="en-US" w:eastAsia="en-GB"/>
              </w:rPr>
            </w:pPr>
          </w:p>
        </w:tc>
        <w:tc>
          <w:tcPr>
            <w:tcW w:w="1780" w:type="dxa"/>
            <w:noWrap/>
            <w:vAlign w:val="bottom"/>
            <w:hideMark/>
          </w:tcPr>
          <w:p w14:paraId="2EE46774"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(0.63)</w:t>
            </w:r>
          </w:p>
        </w:tc>
        <w:tc>
          <w:tcPr>
            <w:tcW w:w="1840" w:type="dxa"/>
            <w:noWrap/>
            <w:vAlign w:val="bottom"/>
            <w:hideMark/>
          </w:tcPr>
          <w:p w14:paraId="0B61A350"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(0.58)</w:t>
            </w:r>
          </w:p>
        </w:tc>
        <w:tc>
          <w:tcPr>
            <w:tcW w:w="1160" w:type="dxa"/>
            <w:noWrap/>
            <w:vAlign w:val="bottom"/>
            <w:hideMark/>
          </w:tcPr>
          <w:p w14:paraId="3BC2E331"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(0.83)</w:t>
            </w:r>
          </w:p>
        </w:tc>
        <w:tc>
          <w:tcPr>
            <w:tcW w:w="1160" w:type="dxa"/>
            <w:noWrap/>
            <w:vAlign w:val="bottom"/>
            <w:hideMark/>
          </w:tcPr>
          <w:p w14:paraId="3E92B24E"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(0.66)</w:t>
            </w:r>
          </w:p>
        </w:tc>
      </w:tr>
      <w:tr w:rsidR="00410E29" w14:paraId="26E8C1F1" w14:textId="77777777" w:rsidTr="00410E29">
        <w:trPr>
          <w:trHeight w:val="276"/>
        </w:trPr>
        <w:tc>
          <w:tcPr>
            <w:tcW w:w="4080" w:type="dxa"/>
            <w:noWrap/>
            <w:vAlign w:val="bottom"/>
            <w:hideMark/>
          </w:tcPr>
          <w:p w14:paraId="55536589"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GIC Industries = 151010</w:t>
            </w:r>
          </w:p>
        </w:tc>
        <w:tc>
          <w:tcPr>
            <w:tcW w:w="1780" w:type="dxa"/>
            <w:noWrap/>
            <w:vAlign w:val="bottom"/>
            <w:hideMark/>
          </w:tcPr>
          <w:p w14:paraId="7B6B10F5"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3.44***</w:t>
            </w:r>
          </w:p>
        </w:tc>
        <w:tc>
          <w:tcPr>
            <w:tcW w:w="1840" w:type="dxa"/>
            <w:noWrap/>
            <w:vAlign w:val="bottom"/>
            <w:hideMark/>
          </w:tcPr>
          <w:p w14:paraId="55767F30"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3.17***</w:t>
            </w:r>
          </w:p>
        </w:tc>
        <w:tc>
          <w:tcPr>
            <w:tcW w:w="1160" w:type="dxa"/>
            <w:noWrap/>
            <w:vAlign w:val="bottom"/>
            <w:hideMark/>
          </w:tcPr>
          <w:p w14:paraId="3DFA3BC4"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4.79***</w:t>
            </w:r>
          </w:p>
        </w:tc>
        <w:tc>
          <w:tcPr>
            <w:tcW w:w="1160" w:type="dxa"/>
            <w:noWrap/>
            <w:vAlign w:val="bottom"/>
            <w:hideMark/>
          </w:tcPr>
          <w:p w14:paraId="43D39430"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3.92***</w:t>
            </w:r>
          </w:p>
        </w:tc>
      </w:tr>
      <w:tr w:rsidR="00410E29" w14:paraId="506E5AAF" w14:textId="77777777" w:rsidTr="00410E29">
        <w:trPr>
          <w:trHeight w:val="276"/>
        </w:trPr>
        <w:tc>
          <w:tcPr>
            <w:tcW w:w="4080" w:type="dxa"/>
            <w:noWrap/>
            <w:vAlign w:val="bottom"/>
            <w:hideMark/>
          </w:tcPr>
          <w:p w14:paraId="4A64FF7C" w14:textId="77777777" w:rsidR="00410E29" w:rsidRDefault="00410E29">
            <w:pPr>
              <w:rPr>
                <w:rFonts w:ascii="Times New Roman" w:eastAsia="Times New Roman" w:hAnsi="Times New Roman" w:cs="Times New Roman"/>
                <w:lang w:val="en-US" w:eastAsia="en-GB"/>
              </w:rPr>
            </w:pPr>
          </w:p>
        </w:tc>
        <w:tc>
          <w:tcPr>
            <w:tcW w:w="1780" w:type="dxa"/>
            <w:noWrap/>
            <w:vAlign w:val="bottom"/>
            <w:hideMark/>
          </w:tcPr>
          <w:p w14:paraId="1FAA1616"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(0.91)</w:t>
            </w:r>
          </w:p>
        </w:tc>
        <w:tc>
          <w:tcPr>
            <w:tcW w:w="1840" w:type="dxa"/>
            <w:noWrap/>
            <w:vAlign w:val="bottom"/>
            <w:hideMark/>
          </w:tcPr>
          <w:p w14:paraId="5B1DFBE5"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(0.70)</w:t>
            </w:r>
          </w:p>
        </w:tc>
        <w:tc>
          <w:tcPr>
            <w:tcW w:w="1160" w:type="dxa"/>
            <w:noWrap/>
            <w:vAlign w:val="bottom"/>
            <w:hideMark/>
          </w:tcPr>
          <w:p w14:paraId="285558FC"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(1.19)</w:t>
            </w:r>
          </w:p>
        </w:tc>
        <w:tc>
          <w:tcPr>
            <w:tcW w:w="1160" w:type="dxa"/>
            <w:noWrap/>
            <w:vAlign w:val="bottom"/>
            <w:hideMark/>
          </w:tcPr>
          <w:p w14:paraId="6D437863"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(0.82)</w:t>
            </w:r>
          </w:p>
        </w:tc>
      </w:tr>
      <w:tr w:rsidR="00410E29" w14:paraId="07C8D532" w14:textId="77777777" w:rsidTr="00410E29">
        <w:trPr>
          <w:trHeight w:val="276"/>
        </w:trPr>
        <w:tc>
          <w:tcPr>
            <w:tcW w:w="4080" w:type="dxa"/>
            <w:noWrap/>
            <w:vAlign w:val="bottom"/>
            <w:hideMark/>
          </w:tcPr>
          <w:p w14:paraId="3499DAFE"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GIC Industries = 151040</w:t>
            </w:r>
          </w:p>
        </w:tc>
        <w:tc>
          <w:tcPr>
            <w:tcW w:w="1780" w:type="dxa"/>
            <w:noWrap/>
            <w:vAlign w:val="bottom"/>
            <w:hideMark/>
          </w:tcPr>
          <w:p w14:paraId="0D731FF0"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0.96</w:t>
            </w:r>
          </w:p>
        </w:tc>
        <w:tc>
          <w:tcPr>
            <w:tcW w:w="1840" w:type="dxa"/>
            <w:noWrap/>
            <w:vAlign w:val="bottom"/>
            <w:hideMark/>
          </w:tcPr>
          <w:p w14:paraId="149CEF9D"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1.90**</w:t>
            </w:r>
          </w:p>
        </w:tc>
        <w:tc>
          <w:tcPr>
            <w:tcW w:w="1160" w:type="dxa"/>
            <w:noWrap/>
            <w:vAlign w:val="bottom"/>
            <w:hideMark/>
          </w:tcPr>
          <w:p w14:paraId="63A12111"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1.87*</w:t>
            </w:r>
          </w:p>
        </w:tc>
        <w:tc>
          <w:tcPr>
            <w:tcW w:w="1160" w:type="dxa"/>
            <w:noWrap/>
            <w:vAlign w:val="bottom"/>
            <w:hideMark/>
          </w:tcPr>
          <w:p w14:paraId="377E6A82"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2.42***</w:t>
            </w:r>
          </w:p>
        </w:tc>
      </w:tr>
      <w:tr w:rsidR="00410E29" w14:paraId="5FFC150B" w14:textId="77777777" w:rsidTr="00410E29">
        <w:trPr>
          <w:trHeight w:val="276"/>
        </w:trPr>
        <w:tc>
          <w:tcPr>
            <w:tcW w:w="4080" w:type="dxa"/>
            <w:noWrap/>
            <w:vAlign w:val="bottom"/>
            <w:hideMark/>
          </w:tcPr>
          <w:p w14:paraId="3EA79C15" w14:textId="77777777" w:rsidR="00410E29" w:rsidRDefault="00410E29">
            <w:pPr>
              <w:rPr>
                <w:rFonts w:ascii="Times New Roman" w:eastAsia="Times New Roman" w:hAnsi="Times New Roman" w:cs="Times New Roman"/>
                <w:lang w:val="en-US" w:eastAsia="en-GB"/>
              </w:rPr>
            </w:pPr>
          </w:p>
        </w:tc>
        <w:tc>
          <w:tcPr>
            <w:tcW w:w="1780" w:type="dxa"/>
            <w:noWrap/>
            <w:vAlign w:val="bottom"/>
            <w:hideMark/>
          </w:tcPr>
          <w:p w14:paraId="3F1B9EF5"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(0.60)</w:t>
            </w:r>
          </w:p>
        </w:tc>
        <w:tc>
          <w:tcPr>
            <w:tcW w:w="1840" w:type="dxa"/>
            <w:noWrap/>
            <w:vAlign w:val="bottom"/>
            <w:hideMark/>
          </w:tcPr>
          <w:p w14:paraId="21ADE1DD"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(0.63)</w:t>
            </w:r>
          </w:p>
        </w:tc>
        <w:tc>
          <w:tcPr>
            <w:tcW w:w="1160" w:type="dxa"/>
            <w:noWrap/>
            <w:vAlign w:val="bottom"/>
            <w:hideMark/>
          </w:tcPr>
          <w:p w14:paraId="26BEB25B"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(0.78)</w:t>
            </w:r>
          </w:p>
        </w:tc>
        <w:tc>
          <w:tcPr>
            <w:tcW w:w="1160" w:type="dxa"/>
            <w:noWrap/>
            <w:vAlign w:val="bottom"/>
            <w:hideMark/>
          </w:tcPr>
          <w:p w14:paraId="7CCD0314"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(0.73)</w:t>
            </w:r>
          </w:p>
        </w:tc>
      </w:tr>
      <w:tr w:rsidR="00410E29" w14:paraId="07807709" w14:textId="77777777" w:rsidTr="00410E29">
        <w:trPr>
          <w:trHeight w:val="276"/>
        </w:trPr>
        <w:tc>
          <w:tcPr>
            <w:tcW w:w="4080" w:type="dxa"/>
            <w:noWrap/>
            <w:vAlign w:val="bottom"/>
            <w:hideMark/>
          </w:tcPr>
          <w:p w14:paraId="64C02DB9"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GIC Industries = 301010</w:t>
            </w:r>
          </w:p>
        </w:tc>
        <w:tc>
          <w:tcPr>
            <w:tcW w:w="1780" w:type="dxa"/>
            <w:noWrap/>
            <w:vAlign w:val="bottom"/>
            <w:hideMark/>
          </w:tcPr>
          <w:p w14:paraId="3BA6ED2C"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2.94**</w:t>
            </w:r>
          </w:p>
        </w:tc>
        <w:tc>
          <w:tcPr>
            <w:tcW w:w="1840" w:type="dxa"/>
            <w:noWrap/>
            <w:vAlign w:val="bottom"/>
            <w:hideMark/>
          </w:tcPr>
          <w:p w14:paraId="0DE57818"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2.07**</w:t>
            </w:r>
          </w:p>
        </w:tc>
        <w:tc>
          <w:tcPr>
            <w:tcW w:w="1160" w:type="dxa"/>
            <w:noWrap/>
            <w:vAlign w:val="bottom"/>
            <w:hideMark/>
          </w:tcPr>
          <w:p w14:paraId="373CF2A8"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3.35**</w:t>
            </w:r>
          </w:p>
        </w:tc>
        <w:tc>
          <w:tcPr>
            <w:tcW w:w="1160" w:type="dxa"/>
            <w:noWrap/>
            <w:vAlign w:val="bottom"/>
            <w:hideMark/>
          </w:tcPr>
          <w:p w14:paraId="3835EAE0"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2.34**</w:t>
            </w:r>
          </w:p>
        </w:tc>
      </w:tr>
      <w:tr w:rsidR="00410E29" w14:paraId="4D4BB6DA" w14:textId="77777777" w:rsidTr="00410E29">
        <w:trPr>
          <w:trHeight w:val="276"/>
        </w:trPr>
        <w:tc>
          <w:tcPr>
            <w:tcW w:w="4080" w:type="dxa"/>
            <w:noWrap/>
            <w:vAlign w:val="bottom"/>
            <w:hideMark/>
          </w:tcPr>
          <w:p w14:paraId="666337B5" w14:textId="77777777" w:rsidR="00410E29" w:rsidRDefault="00410E29">
            <w:pPr>
              <w:rPr>
                <w:rFonts w:ascii="Times New Roman" w:eastAsia="Times New Roman" w:hAnsi="Times New Roman" w:cs="Times New Roman"/>
                <w:lang w:val="en-US" w:eastAsia="en-GB"/>
              </w:rPr>
            </w:pPr>
          </w:p>
        </w:tc>
        <w:tc>
          <w:tcPr>
            <w:tcW w:w="1780" w:type="dxa"/>
            <w:noWrap/>
            <w:vAlign w:val="bottom"/>
            <w:hideMark/>
          </w:tcPr>
          <w:p w14:paraId="075D17BD"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(0.94)</w:t>
            </w:r>
          </w:p>
        </w:tc>
        <w:tc>
          <w:tcPr>
            <w:tcW w:w="1840" w:type="dxa"/>
            <w:noWrap/>
            <w:vAlign w:val="bottom"/>
            <w:hideMark/>
          </w:tcPr>
          <w:p w14:paraId="1964603D"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(0.75)</w:t>
            </w:r>
          </w:p>
        </w:tc>
        <w:tc>
          <w:tcPr>
            <w:tcW w:w="1160" w:type="dxa"/>
            <w:noWrap/>
            <w:vAlign w:val="bottom"/>
            <w:hideMark/>
          </w:tcPr>
          <w:p w14:paraId="3ACCCEF0"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(1.05)</w:t>
            </w:r>
          </w:p>
        </w:tc>
        <w:tc>
          <w:tcPr>
            <w:tcW w:w="1160" w:type="dxa"/>
            <w:noWrap/>
            <w:vAlign w:val="bottom"/>
            <w:hideMark/>
          </w:tcPr>
          <w:p w14:paraId="5E2BB1AA"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(0.86)</w:t>
            </w:r>
          </w:p>
        </w:tc>
      </w:tr>
      <w:tr w:rsidR="00410E29" w14:paraId="57DA9577" w14:textId="77777777" w:rsidTr="00410E29">
        <w:trPr>
          <w:trHeight w:val="276"/>
        </w:trPr>
        <w:tc>
          <w:tcPr>
            <w:tcW w:w="4080" w:type="dxa"/>
            <w:noWrap/>
            <w:vAlign w:val="bottom"/>
            <w:hideMark/>
          </w:tcPr>
          <w:p w14:paraId="6CB298D7"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GIC Industries = 501010</w:t>
            </w:r>
          </w:p>
        </w:tc>
        <w:tc>
          <w:tcPr>
            <w:tcW w:w="1780" w:type="dxa"/>
            <w:noWrap/>
            <w:vAlign w:val="bottom"/>
            <w:hideMark/>
          </w:tcPr>
          <w:p w14:paraId="1A9E7388"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1.49+</w:t>
            </w:r>
          </w:p>
        </w:tc>
        <w:tc>
          <w:tcPr>
            <w:tcW w:w="1840" w:type="dxa"/>
            <w:noWrap/>
            <w:vAlign w:val="bottom"/>
            <w:hideMark/>
          </w:tcPr>
          <w:p w14:paraId="4BC2F2F6"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0.97</w:t>
            </w:r>
          </w:p>
        </w:tc>
        <w:tc>
          <w:tcPr>
            <w:tcW w:w="1160" w:type="dxa"/>
            <w:noWrap/>
            <w:vAlign w:val="bottom"/>
            <w:hideMark/>
          </w:tcPr>
          <w:p w14:paraId="10EF96F2"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2.36*</w:t>
            </w:r>
          </w:p>
        </w:tc>
        <w:tc>
          <w:tcPr>
            <w:tcW w:w="1160" w:type="dxa"/>
            <w:noWrap/>
            <w:vAlign w:val="bottom"/>
            <w:hideMark/>
          </w:tcPr>
          <w:p w14:paraId="527E71A5"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1.30+</w:t>
            </w:r>
          </w:p>
        </w:tc>
      </w:tr>
      <w:tr w:rsidR="00410E29" w14:paraId="381284DC" w14:textId="77777777" w:rsidTr="00410E29">
        <w:trPr>
          <w:trHeight w:val="276"/>
        </w:trPr>
        <w:tc>
          <w:tcPr>
            <w:tcW w:w="4080" w:type="dxa"/>
            <w:noWrap/>
            <w:vAlign w:val="bottom"/>
            <w:hideMark/>
          </w:tcPr>
          <w:p w14:paraId="77A4DDDA" w14:textId="77777777" w:rsidR="00410E29" w:rsidRDefault="00410E29">
            <w:pPr>
              <w:rPr>
                <w:rFonts w:ascii="Times New Roman" w:eastAsia="Times New Roman" w:hAnsi="Times New Roman" w:cs="Times New Roman"/>
                <w:lang w:val="en-US" w:eastAsia="en-GB"/>
              </w:rPr>
            </w:pPr>
          </w:p>
        </w:tc>
        <w:tc>
          <w:tcPr>
            <w:tcW w:w="1780" w:type="dxa"/>
            <w:noWrap/>
            <w:vAlign w:val="bottom"/>
            <w:hideMark/>
          </w:tcPr>
          <w:p w14:paraId="0ADFFC6B"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(0.81)</w:t>
            </w:r>
          </w:p>
        </w:tc>
        <w:tc>
          <w:tcPr>
            <w:tcW w:w="1840" w:type="dxa"/>
            <w:noWrap/>
            <w:vAlign w:val="bottom"/>
            <w:hideMark/>
          </w:tcPr>
          <w:p w14:paraId="4DE3510A"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(0.63)</w:t>
            </w:r>
          </w:p>
        </w:tc>
        <w:tc>
          <w:tcPr>
            <w:tcW w:w="1160" w:type="dxa"/>
            <w:noWrap/>
            <w:vAlign w:val="bottom"/>
            <w:hideMark/>
          </w:tcPr>
          <w:p w14:paraId="24A8C101"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(1.01)</w:t>
            </w:r>
          </w:p>
        </w:tc>
        <w:tc>
          <w:tcPr>
            <w:tcW w:w="1160" w:type="dxa"/>
            <w:noWrap/>
            <w:vAlign w:val="bottom"/>
            <w:hideMark/>
          </w:tcPr>
          <w:p w14:paraId="79010B11"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(0.73)</w:t>
            </w:r>
          </w:p>
        </w:tc>
      </w:tr>
      <w:tr w:rsidR="00410E29" w14:paraId="067F912D" w14:textId="77777777" w:rsidTr="00410E29">
        <w:trPr>
          <w:trHeight w:val="276"/>
        </w:trPr>
        <w:tc>
          <w:tcPr>
            <w:tcW w:w="4080" w:type="dxa"/>
            <w:noWrap/>
            <w:vAlign w:val="bottom"/>
            <w:hideMark/>
          </w:tcPr>
          <w:p w14:paraId="397FC52A" w14:textId="77777777" w:rsidR="00410E29" w:rsidRDefault="00410E29">
            <w:pPr>
              <w:rPr>
                <w:rFonts w:ascii="Times New Roman" w:eastAsia="Times New Roman" w:hAnsi="Times New Roman" w:cs="Times New Roman"/>
                <w:lang w:val="en-US" w:eastAsia="en-GB"/>
              </w:rPr>
            </w:pPr>
          </w:p>
        </w:tc>
        <w:tc>
          <w:tcPr>
            <w:tcW w:w="1780" w:type="dxa"/>
            <w:noWrap/>
            <w:vAlign w:val="bottom"/>
            <w:hideMark/>
          </w:tcPr>
          <w:p w14:paraId="75BB9C8B" w14:textId="77777777" w:rsidR="00410E29" w:rsidRDefault="00410E29">
            <w:pPr>
              <w:spacing w:after="0"/>
              <w:rPr>
                <w:sz w:val="20"/>
                <w:szCs w:val="20"/>
                <w:lang w:eastAsia="en-GB"/>
              </w:rPr>
            </w:pPr>
          </w:p>
        </w:tc>
        <w:tc>
          <w:tcPr>
            <w:tcW w:w="1840" w:type="dxa"/>
            <w:noWrap/>
            <w:vAlign w:val="bottom"/>
            <w:hideMark/>
          </w:tcPr>
          <w:p w14:paraId="39717ADB" w14:textId="77777777" w:rsidR="00410E29" w:rsidRDefault="00410E29">
            <w:pPr>
              <w:spacing w:after="0"/>
              <w:rPr>
                <w:sz w:val="20"/>
                <w:szCs w:val="20"/>
                <w:lang w:eastAsia="en-GB"/>
              </w:rPr>
            </w:pPr>
          </w:p>
        </w:tc>
        <w:tc>
          <w:tcPr>
            <w:tcW w:w="1160" w:type="dxa"/>
            <w:noWrap/>
            <w:vAlign w:val="bottom"/>
            <w:hideMark/>
          </w:tcPr>
          <w:p w14:paraId="5182EEDC" w14:textId="77777777" w:rsidR="00410E29" w:rsidRDefault="00410E29">
            <w:pPr>
              <w:spacing w:after="0"/>
              <w:rPr>
                <w:sz w:val="20"/>
                <w:szCs w:val="20"/>
                <w:lang w:eastAsia="en-GB"/>
              </w:rPr>
            </w:pPr>
          </w:p>
        </w:tc>
        <w:tc>
          <w:tcPr>
            <w:tcW w:w="1160" w:type="dxa"/>
            <w:noWrap/>
            <w:vAlign w:val="bottom"/>
            <w:hideMark/>
          </w:tcPr>
          <w:p w14:paraId="27125CD1" w14:textId="77777777" w:rsidR="00410E29" w:rsidRDefault="00410E29">
            <w:pPr>
              <w:spacing w:after="0"/>
              <w:rPr>
                <w:sz w:val="20"/>
                <w:szCs w:val="20"/>
                <w:lang w:eastAsia="en-GB"/>
              </w:rPr>
            </w:pPr>
          </w:p>
        </w:tc>
      </w:tr>
      <w:tr w:rsidR="00410E29" w14:paraId="334A0CCC" w14:textId="77777777" w:rsidTr="00410E29">
        <w:trPr>
          <w:trHeight w:val="276"/>
        </w:trPr>
        <w:tc>
          <w:tcPr>
            <w:tcW w:w="4080" w:type="dxa"/>
            <w:noWrap/>
            <w:vAlign w:val="bottom"/>
            <w:hideMark/>
          </w:tcPr>
          <w:p w14:paraId="66F11741"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Constant</w:t>
            </w:r>
          </w:p>
        </w:tc>
        <w:tc>
          <w:tcPr>
            <w:tcW w:w="1780" w:type="dxa"/>
            <w:noWrap/>
            <w:vAlign w:val="bottom"/>
            <w:hideMark/>
          </w:tcPr>
          <w:p w14:paraId="4A160363"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-14.72***</w:t>
            </w:r>
          </w:p>
        </w:tc>
        <w:tc>
          <w:tcPr>
            <w:tcW w:w="1840" w:type="dxa"/>
            <w:noWrap/>
            <w:vAlign w:val="bottom"/>
            <w:hideMark/>
          </w:tcPr>
          <w:p w14:paraId="498CC096"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-7.89***</w:t>
            </w:r>
          </w:p>
        </w:tc>
        <w:tc>
          <w:tcPr>
            <w:tcW w:w="1160" w:type="dxa"/>
            <w:noWrap/>
            <w:vAlign w:val="bottom"/>
            <w:hideMark/>
          </w:tcPr>
          <w:p w14:paraId="37C5093E"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-17.50***</w:t>
            </w:r>
          </w:p>
        </w:tc>
        <w:tc>
          <w:tcPr>
            <w:tcW w:w="1160" w:type="dxa"/>
            <w:noWrap/>
            <w:vAlign w:val="bottom"/>
            <w:hideMark/>
          </w:tcPr>
          <w:p w14:paraId="1D0065B2"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-9.38***</w:t>
            </w:r>
          </w:p>
        </w:tc>
      </w:tr>
      <w:tr w:rsidR="00410E29" w14:paraId="10FC6BCE" w14:textId="77777777" w:rsidTr="00410E29">
        <w:trPr>
          <w:trHeight w:val="276"/>
        </w:trPr>
        <w:tc>
          <w:tcPr>
            <w:tcW w:w="4080" w:type="dxa"/>
            <w:noWrap/>
            <w:vAlign w:val="bottom"/>
            <w:hideMark/>
          </w:tcPr>
          <w:p w14:paraId="3AD9AB40" w14:textId="77777777" w:rsidR="00410E29" w:rsidRDefault="00410E29">
            <w:pPr>
              <w:rPr>
                <w:rFonts w:ascii="Times New Roman" w:eastAsia="Times New Roman" w:hAnsi="Times New Roman" w:cs="Times New Roman"/>
                <w:lang w:val="en-US" w:eastAsia="en-GB"/>
              </w:rPr>
            </w:pPr>
          </w:p>
        </w:tc>
        <w:tc>
          <w:tcPr>
            <w:tcW w:w="1780" w:type="dxa"/>
            <w:noWrap/>
            <w:vAlign w:val="bottom"/>
            <w:hideMark/>
          </w:tcPr>
          <w:p w14:paraId="4B8B987B"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(3.55)</w:t>
            </w:r>
          </w:p>
        </w:tc>
        <w:tc>
          <w:tcPr>
            <w:tcW w:w="1840" w:type="dxa"/>
            <w:noWrap/>
            <w:vAlign w:val="bottom"/>
            <w:hideMark/>
          </w:tcPr>
          <w:p w14:paraId="4565858B"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(1.84)</w:t>
            </w:r>
          </w:p>
        </w:tc>
        <w:tc>
          <w:tcPr>
            <w:tcW w:w="1160" w:type="dxa"/>
            <w:noWrap/>
            <w:vAlign w:val="bottom"/>
            <w:hideMark/>
          </w:tcPr>
          <w:p w14:paraId="62C0FDAF"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(4.67)</w:t>
            </w:r>
          </w:p>
        </w:tc>
        <w:tc>
          <w:tcPr>
            <w:tcW w:w="1160" w:type="dxa"/>
            <w:noWrap/>
            <w:vAlign w:val="bottom"/>
            <w:hideMark/>
          </w:tcPr>
          <w:p w14:paraId="20D11AC3"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(2.20)</w:t>
            </w:r>
          </w:p>
        </w:tc>
      </w:tr>
      <w:tr w:rsidR="00410E29" w14:paraId="77C629F4" w14:textId="77777777" w:rsidTr="00410E29">
        <w:trPr>
          <w:trHeight w:val="276"/>
        </w:trPr>
        <w:tc>
          <w:tcPr>
            <w:tcW w:w="4080" w:type="dxa"/>
            <w:noWrap/>
            <w:vAlign w:val="bottom"/>
            <w:hideMark/>
          </w:tcPr>
          <w:p w14:paraId="3EC083D2" w14:textId="77777777" w:rsidR="00410E29" w:rsidRDefault="00410E29">
            <w:pPr>
              <w:rPr>
                <w:rFonts w:ascii="Times New Roman" w:eastAsia="Times New Roman" w:hAnsi="Times New Roman" w:cs="Times New Roman"/>
                <w:lang w:val="en-US" w:eastAsia="en-GB"/>
              </w:rPr>
            </w:pPr>
          </w:p>
        </w:tc>
        <w:tc>
          <w:tcPr>
            <w:tcW w:w="1780" w:type="dxa"/>
            <w:noWrap/>
            <w:vAlign w:val="bottom"/>
            <w:hideMark/>
          </w:tcPr>
          <w:p w14:paraId="7A8DDBCA" w14:textId="77777777" w:rsidR="00410E29" w:rsidRDefault="00410E29">
            <w:pPr>
              <w:spacing w:after="0"/>
              <w:rPr>
                <w:sz w:val="20"/>
                <w:szCs w:val="20"/>
                <w:lang w:eastAsia="en-GB"/>
              </w:rPr>
            </w:pPr>
          </w:p>
        </w:tc>
        <w:tc>
          <w:tcPr>
            <w:tcW w:w="1840" w:type="dxa"/>
            <w:noWrap/>
            <w:vAlign w:val="bottom"/>
            <w:hideMark/>
          </w:tcPr>
          <w:p w14:paraId="2F35BFAE" w14:textId="77777777" w:rsidR="00410E29" w:rsidRDefault="00410E29">
            <w:pPr>
              <w:spacing w:after="0"/>
              <w:rPr>
                <w:sz w:val="20"/>
                <w:szCs w:val="20"/>
                <w:lang w:eastAsia="en-GB"/>
              </w:rPr>
            </w:pPr>
          </w:p>
        </w:tc>
        <w:tc>
          <w:tcPr>
            <w:tcW w:w="1160" w:type="dxa"/>
            <w:noWrap/>
            <w:vAlign w:val="bottom"/>
            <w:hideMark/>
          </w:tcPr>
          <w:p w14:paraId="3C07543F" w14:textId="77777777" w:rsidR="00410E29" w:rsidRDefault="00410E29">
            <w:pPr>
              <w:spacing w:after="0"/>
              <w:rPr>
                <w:sz w:val="20"/>
                <w:szCs w:val="20"/>
                <w:lang w:eastAsia="en-GB"/>
              </w:rPr>
            </w:pPr>
          </w:p>
        </w:tc>
        <w:tc>
          <w:tcPr>
            <w:tcW w:w="1160" w:type="dxa"/>
            <w:noWrap/>
            <w:vAlign w:val="bottom"/>
            <w:hideMark/>
          </w:tcPr>
          <w:p w14:paraId="0037CD28" w14:textId="77777777" w:rsidR="00410E29" w:rsidRDefault="00410E29">
            <w:pPr>
              <w:spacing w:after="0"/>
              <w:rPr>
                <w:sz w:val="20"/>
                <w:szCs w:val="20"/>
                <w:lang w:eastAsia="en-GB"/>
              </w:rPr>
            </w:pPr>
          </w:p>
        </w:tc>
      </w:tr>
      <w:tr w:rsidR="00410E29" w14:paraId="0EA7E021" w14:textId="77777777" w:rsidTr="00410E29">
        <w:trPr>
          <w:trHeight w:val="276"/>
        </w:trPr>
        <w:tc>
          <w:tcPr>
            <w:tcW w:w="4080" w:type="dxa"/>
            <w:tcBorders>
              <w:top w:val="nil"/>
              <w:left w:val="nil"/>
              <w:bottom w:val="single" w:sz="4" w:space="0" w:color="000000"/>
              <w:right w:val="nil"/>
            </w:tcBorders>
            <w:noWrap/>
            <w:vAlign w:val="bottom"/>
            <w:hideMark/>
          </w:tcPr>
          <w:p w14:paraId="08447F37"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Observations</w:t>
            </w:r>
          </w:p>
        </w:tc>
        <w:tc>
          <w:tcPr>
            <w:tcW w:w="1780" w:type="dxa"/>
            <w:tcBorders>
              <w:top w:val="nil"/>
              <w:left w:val="nil"/>
              <w:bottom w:val="single" w:sz="4" w:space="0" w:color="000000"/>
              <w:right w:val="nil"/>
            </w:tcBorders>
            <w:noWrap/>
            <w:vAlign w:val="bottom"/>
            <w:hideMark/>
          </w:tcPr>
          <w:p w14:paraId="46D10F5C"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282</w:t>
            </w:r>
          </w:p>
        </w:tc>
        <w:tc>
          <w:tcPr>
            <w:tcW w:w="1840" w:type="dxa"/>
            <w:tcBorders>
              <w:top w:val="nil"/>
              <w:left w:val="nil"/>
              <w:bottom w:val="single" w:sz="4" w:space="0" w:color="000000"/>
              <w:right w:val="nil"/>
            </w:tcBorders>
            <w:noWrap/>
            <w:vAlign w:val="bottom"/>
            <w:hideMark/>
          </w:tcPr>
          <w:p w14:paraId="5D4726F8"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389</w:t>
            </w:r>
          </w:p>
        </w:tc>
        <w:tc>
          <w:tcPr>
            <w:tcW w:w="1160" w:type="dxa"/>
            <w:tcBorders>
              <w:top w:val="nil"/>
              <w:left w:val="nil"/>
              <w:bottom w:val="single" w:sz="4" w:space="0" w:color="000000"/>
              <w:right w:val="nil"/>
            </w:tcBorders>
            <w:noWrap/>
            <w:vAlign w:val="bottom"/>
            <w:hideMark/>
          </w:tcPr>
          <w:p w14:paraId="0DAEDD2D"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244</w:t>
            </w:r>
          </w:p>
        </w:tc>
        <w:tc>
          <w:tcPr>
            <w:tcW w:w="1160" w:type="dxa"/>
            <w:tcBorders>
              <w:top w:val="nil"/>
              <w:left w:val="nil"/>
              <w:bottom w:val="single" w:sz="4" w:space="0" w:color="000000"/>
              <w:right w:val="nil"/>
            </w:tcBorders>
            <w:noWrap/>
            <w:vAlign w:val="bottom"/>
            <w:hideMark/>
          </w:tcPr>
          <w:p w14:paraId="0867BC1A"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335</w:t>
            </w:r>
          </w:p>
        </w:tc>
      </w:tr>
      <w:tr w:rsidR="00410E29" w14:paraId="3DA41968" w14:textId="77777777" w:rsidTr="00410E29">
        <w:trPr>
          <w:trHeight w:val="276"/>
        </w:trPr>
        <w:tc>
          <w:tcPr>
            <w:tcW w:w="4080" w:type="dxa"/>
            <w:noWrap/>
            <w:vAlign w:val="bottom"/>
            <w:hideMark/>
          </w:tcPr>
          <w:p w14:paraId="594E0BAF"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Robust standard errors in parentheses</w:t>
            </w:r>
          </w:p>
        </w:tc>
        <w:tc>
          <w:tcPr>
            <w:tcW w:w="1780" w:type="dxa"/>
            <w:noWrap/>
            <w:vAlign w:val="bottom"/>
            <w:hideMark/>
          </w:tcPr>
          <w:p w14:paraId="22230D2C" w14:textId="77777777" w:rsidR="00410E29" w:rsidRDefault="00410E29">
            <w:pPr>
              <w:rPr>
                <w:rFonts w:ascii="Times New Roman" w:eastAsia="Times New Roman" w:hAnsi="Times New Roman" w:cs="Times New Roman"/>
                <w:lang w:val="en-US" w:eastAsia="en-GB"/>
              </w:rPr>
            </w:pPr>
          </w:p>
        </w:tc>
        <w:tc>
          <w:tcPr>
            <w:tcW w:w="1840" w:type="dxa"/>
            <w:noWrap/>
            <w:vAlign w:val="bottom"/>
            <w:hideMark/>
          </w:tcPr>
          <w:p w14:paraId="35BD073C" w14:textId="77777777" w:rsidR="00410E29" w:rsidRDefault="00410E29">
            <w:pPr>
              <w:spacing w:after="0"/>
              <w:rPr>
                <w:sz w:val="20"/>
                <w:szCs w:val="20"/>
                <w:lang w:eastAsia="en-GB"/>
              </w:rPr>
            </w:pPr>
          </w:p>
        </w:tc>
        <w:tc>
          <w:tcPr>
            <w:tcW w:w="1160" w:type="dxa"/>
            <w:noWrap/>
            <w:vAlign w:val="bottom"/>
            <w:hideMark/>
          </w:tcPr>
          <w:p w14:paraId="2FCB4FC1" w14:textId="77777777" w:rsidR="00410E29" w:rsidRDefault="00410E29">
            <w:pPr>
              <w:spacing w:after="0"/>
              <w:rPr>
                <w:sz w:val="20"/>
                <w:szCs w:val="20"/>
                <w:lang w:eastAsia="en-GB"/>
              </w:rPr>
            </w:pPr>
          </w:p>
        </w:tc>
        <w:tc>
          <w:tcPr>
            <w:tcW w:w="1160" w:type="dxa"/>
            <w:noWrap/>
            <w:vAlign w:val="bottom"/>
            <w:hideMark/>
          </w:tcPr>
          <w:p w14:paraId="25BF797B" w14:textId="77777777" w:rsidR="00410E29" w:rsidRDefault="00410E29">
            <w:pPr>
              <w:spacing w:after="0"/>
              <w:rPr>
                <w:sz w:val="20"/>
                <w:szCs w:val="20"/>
                <w:lang w:eastAsia="en-GB"/>
              </w:rPr>
            </w:pPr>
          </w:p>
        </w:tc>
      </w:tr>
      <w:tr w:rsidR="00410E29" w14:paraId="24661FE3" w14:textId="77777777" w:rsidTr="00410E29">
        <w:trPr>
          <w:trHeight w:val="276"/>
        </w:trPr>
        <w:tc>
          <w:tcPr>
            <w:tcW w:w="4080" w:type="dxa"/>
            <w:noWrap/>
            <w:vAlign w:val="bottom"/>
            <w:hideMark/>
          </w:tcPr>
          <w:p w14:paraId="5B6F8DAF"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 p&lt;0.001, ** p&lt;0.01, * p&lt;0.05, + p&lt;0.10</w:t>
            </w:r>
          </w:p>
        </w:tc>
        <w:tc>
          <w:tcPr>
            <w:tcW w:w="1780" w:type="dxa"/>
            <w:noWrap/>
            <w:vAlign w:val="bottom"/>
            <w:hideMark/>
          </w:tcPr>
          <w:p w14:paraId="619B69C9" w14:textId="77777777" w:rsidR="00410E29" w:rsidRDefault="00410E29">
            <w:pPr>
              <w:rPr>
                <w:rFonts w:ascii="Times New Roman" w:eastAsia="Times New Roman" w:hAnsi="Times New Roman" w:cs="Times New Roman"/>
                <w:lang w:val="en-US" w:eastAsia="en-GB"/>
              </w:rPr>
            </w:pPr>
          </w:p>
        </w:tc>
        <w:tc>
          <w:tcPr>
            <w:tcW w:w="1840" w:type="dxa"/>
            <w:noWrap/>
            <w:vAlign w:val="bottom"/>
            <w:hideMark/>
          </w:tcPr>
          <w:p w14:paraId="22361D7C" w14:textId="77777777" w:rsidR="00410E29" w:rsidRDefault="00410E29">
            <w:pPr>
              <w:spacing w:after="0"/>
              <w:rPr>
                <w:sz w:val="20"/>
                <w:szCs w:val="20"/>
                <w:lang w:eastAsia="en-GB"/>
              </w:rPr>
            </w:pPr>
          </w:p>
        </w:tc>
        <w:tc>
          <w:tcPr>
            <w:tcW w:w="1160" w:type="dxa"/>
            <w:noWrap/>
            <w:vAlign w:val="bottom"/>
            <w:hideMark/>
          </w:tcPr>
          <w:p w14:paraId="1115F33E" w14:textId="77777777" w:rsidR="00410E29" w:rsidRDefault="00410E29">
            <w:pPr>
              <w:spacing w:after="0"/>
              <w:rPr>
                <w:sz w:val="20"/>
                <w:szCs w:val="20"/>
                <w:lang w:eastAsia="en-GB"/>
              </w:rPr>
            </w:pPr>
          </w:p>
        </w:tc>
        <w:tc>
          <w:tcPr>
            <w:tcW w:w="1160" w:type="dxa"/>
            <w:noWrap/>
            <w:vAlign w:val="bottom"/>
            <w:hideMark/>
          </w:tcPr>
          <w:p w14:paraId="12215928" w14:textId="77777777" w:rsidR="00410E29" w:rsidRDefault="00410E29">
            <w:pPr>
              <w:spacing w:after="0"/>
              <w:rPr>
                <w:sz w:val="20"/>
                <w:szCs w:val="20"/>
                <w:lang w:eastAsia="en-GB"/>
              </w:rPr>
            </w:pPr>
          </w:p>
        </w:tc>
      </w:tr>
      <w:tr w:rsidR="00410E29" w14:paraId="7DBADAEC" w14:textId="77777777" w:rsidTr="00410E29">
        <w:trPr>
          <w:trHeight w:val="276"/>
        </w:trPr>
        <w:tc>
          <w:tcPr>
            <w:tcW w:w="4080" w:type="dxa"/>
            <w:noWrap/>
            <w:vAlign w:val="bottom"/>
            <w:hideMark/>
          </w:tcPr>
          <w:p w14:paraId="7CE1FE75" w14:textId="77777777" w:rsidR="00410E29" w:rsidRDefault="00410E29">
            <w:pPr>
              <w:tabs>
                <w:tab w:val="left" w:pos="2880"/>
              </w:tabs>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Year dummies included</w:t>
            </w:r>
          </w:p>
        </w:tc>
        <w:tc>
          <w:tcPr>
            <w:tcW w:w="1780" w:type="dxa"/>
            <w:noWrap/>
            <w:vAlign w:val="bottom"/>
            <w:hideMark/>
          </w:tcPr>
          <w:p w14:paraId="04EBDB26" w14:textId="77777777" w:rsidR="00410E29" w:rsidRDefault="00410E29">
            <w:pPr>
              <w:rPr>
                <w:rFonts w:ascii="Times New Roman" w:eastAsia="Times New Roman" w:hAnsi="Times New Roman" w:cs="Times New Roman"/>
                <w:lang w:val="en-US" w:eastAsia="en-GB"/>
              </w:rPr>
            </w:pPr>
          </w:p>
        </w:tc>
        <w:tc>
          <w:tcPr>
            <w:tcW w:w="1840" w:type="dxa"/>
            <w:noWrap/>
            <w:vAlign w:val="bottom"/>
            <w:hideMark/>
          </w:tcPr>
          <w:p w14:paraId="6742F208" w14:textId="77777777" w:rsidR="00410E29" w:rsidRDefault="00410E29">
            <w:pPr>
              <w:spacing w:after="0"/>
              <w:rPr>
                <w:sz w:val="20"/>
                <w:szCs w:val="20"/>
                <w:lang w:eastAsia="en-GB"/>
              </w:rPr>
            </w:pPr>
          </w:p>
        </w:tc>
        <w:tc>
          <w:tcPr>
            <w:tcW w:w="1160" w:type="dxa"/>
            <w:noWrap/>
            <w:vAlign w:val="bottom"/>
            <w:hideMark/>
          </w:tcPr>
          <w:p w14:paraId="0E4C03B6" w14:textId="77777777" w:rsidR="00410E29" w:rsidRDefault="00410E29">
            <w:pPr>
              <w:spacing w:after="0"/>
              <w:rPr>
                <w:sz w:val="20"/>
                <w:szCs w:val="20"/>
                <w:lang w:eastAsia="en-GB"/>
              </w:rPr>
            </w:pPr>
          </w:p>
        </w:tc>
        <w:tc>
          <w:tcPr>
            <w:tcW w:w="1160" w:type="dxa"/>
            <w:noWrap/>
            <w:vAlign w:val="bottom"/>
            <w:hideMark/>
          </w:tcPr>
          <w:p w14:paraId="153718B0" w14:textId="77777777" w:rsidR="00410E29" w:rsidRDefault="00410E29">
            <w:pPr>
              <w:spacing w:after="0"/>
              <w:rPr>
                <w:sz w:val="20"/>
                <w:szCs w:val="20"/>
                <w:lang w:eastAsia="en-GB"/>
              </w:rPr>
            </w:pPr>
          </w:p>
        </w:tc>
      </w:tr>
      <w:tr w:rsidR="00410E29" w14:paraId="6AD13CF0" w14:textId="77777777" w:rsidTr="00410E29">
        <w:trPr>
          <w:trHeight w:val="276"/>
        </w:trPr>
        <w:tc>
          <w:tcPr>
            <w:tcW w:w="4080" w:type="dxa"/>
            <w:noWrap/>
            <w:vAlign w:val="bottom"/>
            <w:hideMark/>
          </w:tcPr>
          <w:p w14:paraId="046D786A" w14:textId="77777777" w:rsidR="00410E29" w:rsidRDefault="00410E29">
            <w:pPr>
              <w:spacing w:after="0"/>
              <w:rPr>
                <w:sz w:val="20"/>
                <w:szCs w:val="20"/>
                <w:lang w:eastAsia="en-GB"/>
              </w:rPr>
            </w:pPr>
          </w:p>
        </w:tc>
        <w:tc>
          <w:tcPr>
            <w:tcW w:w="1780" w:type="dxa"/>
            <w:noWrap/>
            <w:vAlign w:val="bottom"/>
            <w:hideMark/>
          </w:tcPr>
          <w:p w14:paraId="76B1248A" w14:textId="77777777" w:rsidR="00410E29" w:rsidRDefault="00410E29">
            <w:pPr>
              <w:spacing w:after="0"/>
              <w:rPr>
                <w:sz w:val="20"/>
                <w:szCs w:val="20"/>
                <w:lang w:eastAsia="en-GB"/>
              </w:rPr>
            </w:pPr>
          </w:p>
        </w:tc>
        <w:tc>
          <w:tcPr>
            <w:tcW w:w="1840" w:type="dxa"/>
            <w:noWrap/>
            <w:vAlign w:val="bottom"/>
            <w:hideMark/>
          </w:tcPr>
          <w:p w14:paraId="04D3BE85" w14:textId="77777777" w:rsidR="00410E29" w:rsidRDefault="00410E29">
            <w:pPr>
              <w:spacing w:after="0"/>
              <w:rPr>
                <w:sz w:val="20"/>
                <w:szCs w:val="20"/>
                <w:lang w:eastAsia="en-GB"/>
              </w:rPr>
            </w:pPr>
          </w:p>
        </w:tc>
        <w:tc>
          <w:tcPr>
            <w:tcW w:w="1160" w:type="dxa"/>
            <w:noWrap/>
            <w:vAlign w:val="bottom"/>
            <w:hideMark/>
          </w:tcPr>
          <w:p w14:paraId="4A409582" w14:textId="77777777" w:rsidR="00410E29" w:rsidRDefault="00410E29">
            <w:pPr>
              <w:spacing w:after="0"/>
              <w:rPr>
                <w:sz w:val="20"/>
                <w:szCs w:val="20"/>
                <w:lang w:eastAsia="en-GB"/>
              </w:rPr>
            </w:pPr>
          </w:p>
        </w:tc>
        <w:tc>
          <w:tcPr>
            <w:tcW w:w="1160" w:type="dxa"/>
            <w:noWrap/>
            <w:vAlign w:val="bottom"/>
            <w:hideMark/>
          </w:tcPr>
          <w:p w14:paraId="2AB487FA" w14:textId="77777777" w:rsidR="00410E29" w:rsidRDefault="00410E29">
            <w:pPr>
              <w:spacing w:after="0"/>
              <w:rPr>
                <w:sz w:val="20"/>
                <w:szCs w:val="20"/>
                <w:lang w:eastAsia="en-GB"/>
              </w:rPr>
            </w:pPr>
          </w:p>
        </w:tc>
      </w:tr>
    </w:tbl>
    <w:p w14:paraId="781BA916" w14:textId="138132C3" w:rsidR="00596122" w:rsidRPr="00F24865" w:rsidRDefault="00596122" w:rsidP="009724A3">
      <w:pPr>
        <w:spacing w:line="240" w:lineRule="auto"/>
        <w:rPr>
          <w:rFonts w:ascii="Times New Roman" w:hAnsi="Times New Roman" w:cs="Times New Roman"/>
          <w:b/>
          <w:bCs/>
          <w:sz w:val="24"/>
          <w:szCs w:val="24"/>
          <w:lang w:val="en-US"/>
        </w:rPr>
      </w:pPr>
    </w:p>
    <w:sectPr w:rsidR="00596122" w:rsidRPr="00F24865" w:rsidSect="00975A8A">
      <w:footerReference w:type="default" r:id="rId17"/>
      <w:type w:val="continuous"/>
      <w:pgSz w:w="11907" w:h="16839" w:code="9"/>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0" w:author="Author" w:initials="A">
    <w:p w14:paraId="0A2D5C72" w14:textId="5C4E0193" w:rsidR="00283928" w:rsidRDefault="00283928">
      <w:pPr>
        <w:pStyle w:val="CommentText"/>
      </w:pPr>
      <w:r>
        <w:rPr>
          <w:rStyle w:val="CommentReference"/>
        </w:rPr>
        <w:annotationRef/>
      </w:r>
      <w:r>
        <w:t>This sentence is a bit unclear and clumsy – can you reword?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A2D5C7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9683AF" w16cid:durableId="1ECCE24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706340" w14:textId="77777777" w:rsidR="00476335" w:rsidRDefault="00476335" w:rsidP="00D35A7D">
      <w:pPr>
        <w:spacing w:after="0" w:line="240" w:lineRule="auto"/>
      </w:pPr>
      <w:r>
        <w:separator/>
      </w:r>
    </w:p>
  </w:endnote>
  <w:endnote w:type="continuationSeparator" w:id="0">
    <w:p w14:paraId="70B7558A" w14:textId="77777777" w:rsidR="00476335" w:rsidRDefault="00476335" w:rsidP="00D35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1221584"/>
      <w:docPartObj>
        <w:docPartGallery w:val="Page Numbers (Bottom of Page)"/>
        <w:docPartUnique/>
      </w:docPartObj>
    </w:sdtPr>
    <w:sdtEndPr>
      <w:rPr>
        <w:rFonts w:ascii="Times New Roman" w:hAnsi="Times New Roman" w:cs="Times New Roman"/>
        <w:noProof/>
        <w:sz w:val="24"/>
        <w:szCs w:val="24"/>
      </w:rPr>
    </w:sdtEndPr>
    <w:sdtContent>
      <w:p w14:paraId="4D20ED95" w14:textId="77777777" w:rsidR="00F96ACE" w:rsidRPr="003B2947" w:rsidRDefault="00F96ACE" w:rsidP="003B2947">
        <w:pPr>
          <w:pStyle w:val="Footer"/>
          <w:jc w:val="center"/>
          <w:rPr>
            <w:rFonts w:ascii="Times New Roman" w:hAnsi="Times New Roman" w:cs="Times New Roman"/>
            <w:sz w:val="24"/>
            <w:szCs w:val="24"/>
          </w:rPr>
        </w:pPr>
        <w:r w:rsidRPr="003B2947">
          <w:rPr>
            <w:rFonts w:ascii="Times New Roman" w:hAnsi="Times New Roman" w:cs="Times New Roman"/>
            <w:sz w:val="24"/>
            <w:szCs w:val="24"/>
          </w:rPr>
          <w:fldChar w:fldCharType="begin"/>
        </w:r>
        <w:r w:rsidRPr="003B2947">
          <w:rPr>
            <w:rFonts w:ascii="Times New Roman" w:hAnsi="Times New Roman" w:cs="Times New Roman"/>
            <w:sz w:val="24"/>
            <w:szCs w:val="24"/>
          </w:rPr>
          <w:instrText xml:space="preserve"> PAGE   \* MERGEFORMAT </w:instrText>
        </w:r>
        <w:r w:rsidRPr="003B2947">
          <w:rPr>
            <w:rFonts w:ascii="Times New Roman" w:hAnsi="Times New Roman" w:cs="Times New Roman"/>
            <w:sz w:val="24"/>
            <w:szCs w:val="24"/>
          </w:rPr>
          <w:fldChar w:fldCharType="separate"/>
        </w:r>
        <w:r w:rsidR="00BE1581">
          <w:rPr>
            <w:rFonts w:ascii="Times New Roman" w:hAnsi="Times New Roman" w:cs="Times New Roman"/>
            <w:noProof/>
            <w:sz w:val="24"/>
            <w:szCs w:val="24"/>
          </w:rPr>
          <w:t>47</w:t>
        </w:r>
        <w:r w:rsidRPr="003B2947">
          <w:rPr>
            <w:rFonts w:ascii="Times New Roman" w:hAnsi="Times New Roman" w:cs="Times New Roman"/>
            <w:noProof/>
            <w:sz w:val="24"/>
            <w:szCs w:val="24"/>
          </w:rPr>
          <w:fldChar w:fldCharType="end"/>
        </w:r>
      </w:p>
    </w:sdtContent>
  </w:sdt>
  <w:p w14:paraId="03474147" w14:textId="77777777" w:rsidR="00F96ACE" w:rsidRDefault="00F96A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1670663"/>
      <w:docPartObj>
        <w:docPartGallery w:val="Page Numbers (Bottom of Page)"/>
        <w:docPartUnique/>
      </w:docPartObj>
    </w:sdtPr>
    <w:sdtEndPr>
      <w:rPr>
        <w:rFonts w:ascii="Times New Roman" w:hAnsi="Times New Roman" w:cs="Times New Roman"/>
        <w:noProof/>
        <w:sz w:val="24"/>
      </w:rPr>
    </w:sdtEndPr>
    <w:sdtContent>
      <w:p w14:paraId="1650EDE8" w14:textId="77777777" w:rsidR="00F96ACE" w:rsidRPr="00975A8A" w:rsidRDefault="00F96ACE">
        <w:pPr>
          <w:pStyle w:val="Footer"/>
          <w:jc w:val="center"/>
          <w:rPr>
            <w:rFonts w:ascii="Times New Roman" w:hAnsi="Times New Roman" w:cs="Times New Roman"/>
            <w:sz w:val="24"/>
          </w:rPr>
        </w:pPr>
        <w:r w:rsidRPr="00975A8A">
          <w:rPr>
            <w:rFonts w:ascii="Times New Roman" w:hAnsi="Times New Roman" w:cs="Times New Roman"/>
            <w:sz w:val="24"/>
          </w:rPr>
          <w:fldChar w:fldCharType="begin"/>
        </w:r>
        <w:r w:rsidRPr="00975A8A">
          <w:rPr>
            <w:rFonts w:ascii="Times New Roman" w:hAnsi="Times New Roman" w:cs="Times New Roman"/>
            <w:sz w:val="24"/>
          </w:rPr>
          <w:instrText xml:space="preserve"> PAGE   \* MERGEFORMAT </w:instrText>
        </w:r>
        <w:r w:rsidRPr="00975A8A">
          <w:rPr>
            <w:rFonts w:ascii="Times New Roman" w:hAnsi="Times New Roman" w:cs="Times New Roman"/>
            <w:sz w:val="24"/>
          </w:rPr>
          <w:fldChar w:fldCharType="separate"/>
        </w:r>
        <w:r w:rsidR="00BE1581">
          <w:rPr>
            <w:rFonts w:ascii="Times New Roman" w:hAnsi="Times New Roman" w:cs="Times New Roman"/>
            <w:noProof/>
            <w:sz w:val="24"/>
          </w:rPr>
          <w:t>49</w:t>
        </w:r>
        <w:r w:rsidRPr="00975A8A">
          <w:rPr>
            <w:rFonts w:ascii="Times New Roman" w:hAnsi="Times New Roman" w:cs="Times New Roman"/>
            <w:noProof/>
            <w:sz w:val="24"/>
          </w:rPr>
          <w:fldChar w:fldCharType="end"/>
        </w:r>
      </w:p>
    </w:sdtContent>
  </w:sdt>
  <w:p w14:paraId="39C3A60A" w14:textId="77777777" w:rsidR="00F96ACE" w:rsidRPr="002971A9" w:rsidRDefault="00F96ACE" w:rsidP="002971A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117402294"/>
      <w:docPartObj>
        <w:docPartGallery w:val="Page Numbers (Bottom of Page)"/>
        <w:docPartUnique/>
      </w:docPartObj>
    </w:sdtPr>
    <w:sdtEndPr>
      <w:rPr>
        <w:noProof/>
        <w:sz w:val="24"/>
      </w:rPr>
    </w:sdtEndPr>
    <w:sdtContent>
      <w:p w14:paraId="331BE825" w14:textId="77777777" w:rsidR="00F96ACE" w:rsidRPr="00975A8A" w:rsidRDefault="00F96ACE">
        <w:pPr>
          <w:pStyle w:val="Footer"/>
          <w:jc w:val="center"/>
          <w:rPr>
            <w:rFonts w:ascii="Times New Roman" w:hAnsi="Times New Roman" w:cs="Times New Roman"/>
            <w:sz w:val="24"/>
          </w:rPr>
        </w:pPr>
        <w:r w:rsidRPr="00975A8A">
          <w:rPr>
            <w:rFonts w:ascii="Times New Roman" w:hAnsi="Times New Roman" w:cs="Times New Roman"/>
            <w:sz w:val="24"/>
          </w:rPr>
          <w:fldChar w:fldCharType="begin"/>
        </w:r>
        <w:r w:rsidRPr="00975A8A">
          <w:rPr>
            <w:rFonts w:ascii="Times New Roman" w:hAnsi="Times New Roman" w:cs="Times New Roman"/>
            <w:sz w:val="24"/>
          </w:rPr>
          <w:instrText xml:space="preserve"> PAGE   \* MERGEFORMAT </w:instrText>
        </w:r>
        <w:r w:rsidRPr="00975A8A">
          <w:rPr>
            <w:rFonts w:ascii="Times New Roman" w:hAnsi="Times New Roman" w:cs="Times New Roman"/>
            <w:sz w:val="24"/>
          </w:rPr>
          <w:fldChar w:fldCharType="separate"/>
        </w:r>
        <w:r w:rsidR="00BE1581">
          <w:rPr>
            <w:rFonts w:ascii="Times New Roman" w:hAnsi="Times New Roman" w:cs="Times New Roman"/>
            <w:noProof/>
            <w:sz w:val="24"/>
          </w:rPr>
          <w:t>51</w:t>
        </w:r>
        <w:r w:rsidRPr="00975A8A">
          <w:rPr>
            <w:rFonts w:ascii="Times New Roman" w:hAnsi="Times New Roman" w:cs="Times New Roman"/>
            <w:noProof/>
            <w:sz w:val="24"/>
          </w:rPr>
          <w:fldChar w:fldCharType="end"/>
        </w:r>
      </w:p>
    </w:sdtContent>
  </w:sdt>
  <w:p w14:paraId="50A598F9" w14:textId="77777777" w:rsidR="00F96ACE" w:rsidRDefault="00F96ACE" w:rsidP="00975A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42AA6C" w14:textId="77777777" w:rsidR="00476335" w:rsidRDefault="00476335" w:rsidP="00D35A7D">
      <w:pPr>
        <w:spacing w:after="0" w:line="240" w:lineRule="auto"/>
      </w:pPr>
      <w:r>
        <w:separator/>
      </w:r>
    </w:p>
  </w:footnote>
  <w:footnote w:type="continuationSeparator" w:id="0">
    <w:p w14:paraId="317B18B5" w14:textId="77777777" w:rsidR="00476335" w:rsidRDefault="00476335" w:rsidP="00D35A7D">
      <w:pPr>
        <w:spacing w:after="0" w:line="240" w:lineRule="auto"/>
      </w:pPr>
      <w:r>
        <w:continuationSeparator/>
      </w:r>
    </w:p>
  </w:footnote>
  <w:footnote w:id="1">
    <w:p w14:paraId="0D58F736" w14:textId="77777777" w:rsidR="00F96ACE" w:rsidRPr="00B05B4D" w:rsidRDefault="00F96ACE" w:rsidP="00A052B0">
      <w:pPr>
        <w:pStyle w:val="FootnoteText"/>
        <w:rPr>
          <w:rFonts w:ascii="Times New Roman" w:hAnsi="Times New Roman" w:cs="Times New Roman"/>
        </w:rPr>
      </w:pPr>
      <w:r w:rsidRPr="00B05B4D">
        <w:rPr>
          <w:rStyle w:val="FootnoteReference"/>
          <w:rFonts w:ascii="Times New Roman" w:hAnsi="Times New Roman" w:cs="Times New Roman"/>
        </w:rPr>
        <w:footnoteRef/>
      </w:r>
      <w:r w:rsidRPr="00B05B4D">
        <w:rPr>
          <w:rFonts w:ascii="Times New Roman" w:hAnsi="Times New Roman" w:cs="Times New Roman"/>
        </w:rPr>
        <w:t xml:space="preserve"> The GCF and Investment variables are in first differences for fixed effects, and in levels for GMM specification.</w:t>
      </w:r>
    </w:p>
  </w:footnote>
  <w:footnote w:id="2">
    <w:p w14:paraId="2910814D" w14:textId="77777777" w:rsidR="00F96ACE" w:rsidRPr="00852838" w:rsidRDefault="00F96ACE" w:rsidP="00A052B0">
      <w:pPr>
        <w:pStyle w:val="FootnoteText"/>
        <w:jc w:val="both"/>
        <w:rPr>
          <w:rFonts w:ascii="Times New Roman" w:hAnsi="Times New Roman" w:cs="Times New Roman"/>
        </w:rPr>
      </w:pPr>
      <w:r w:rsidRPr="00852838">
        <w:rPr>
          <w:rStyle w:val="FootnoteReference"/>
          <w:rFonts w:ascii="Times New Roman" w:hAnsi="Times New Roman" w:cs="Times New Roman"/>
        </w:rPr>
        <w:footnoteRef/>
      </w:r>
      <w:r w:rsidRPr="00852838">
        <w:rPr>
          <w:rFonts w:ascii="Times New Roman" w:hAnsi="Times New Roman" w:cs="Times New Roman"/>
        </w:rPr>
        <w:t xml:space="preserve"> Governance may be constrained not merely by shareholders but by bondholders. We have measure</w:t>
      </w:r>
      <w:r>
        <w:rPr>
          <w:rFonts w:ascii="Times New Roman" w:hAnsi="Times New Roman" w:cs="Times New Roman"/>
        </w:rPr>
        <w:t>d</w:t>
      </w:r>
      <w:r w:rsidRPr="00852838">
        <w:rPr>
          <w:rFonts w:ascii="Times New Roman" w:hAnsi="Times New Roman" w:cs="Times New Roman"/>
        </w:rPr>
        <w:t xml:space="preserve"> </w:t>
      </w:r>
      <w:r>
        <w:rPr>
          <w:rFonts w:ascii="Times New Roman" w:hAnsi="Times New Roman" w:cs="Times New Roman"/>
        </w:rPr>
        <w:t>the effects of bondholders</w:t>
      </w:r>
      <w:r w:rsidRPr="00852838">
        <w:rPr>
          <w:rFonts w:ascii="Times New Roman" w:hAnsi="Times New Roman" w:cs="Times New Roman"/>
        </w:rPr>
        <w:t xml:space="preserve"> by examining debt ratings by the major ratings agencies.  We were able to collect bond ratings for 10 </w:t>
      </w:r>
      <w:r>
        <w:rPr>
          <w:rFonts w:ascii="Times New Roman" w:hAnsi="Times New Roman" w:cs="Times New Roman"/>
        </w:rPr>
        <w:t>firms</w:t>
      </w:r>
      <w:r w:rsidRPr="00852838">
        <w:rPr>
          <w:rFonts w:ascii="Times New Roman" w:hAnsi="Times New Roman" w:cs="Times New Roman"/>
        </w:rPr>
        <w:t xml:space="preserve"> (17% of total sample). While this is only a small proportion of our sample, we have tested our baseline hypothesis in OLS on this sub-sample (unfortunately, the number of firms further drops to 6 as we include all the explanatory va</w:t>
      </w:r>
      <w:r>
        <w:rPr>
          <w:rFonts w:ascii="Times New Roman" w:hAnsi="Times New Roman" w:cs="Times New Roman"/>
        </w:rPr>
        <w:t xml:space="preserve">riables). </w:t>
      </w:r>
      <w:r w:rsidRPr="00852838">
        <w:rPr>
          <w:rFonts w:ascii="Times New Roman" w:hAnsi="Times New Roman" w:cs="Times New Roman"/>
        </w:rPr>
        <w:t>The results indicate that in economic terms, for firms with public bonds and a proportion of independent directors, every 1% increase in cash-flow leads to an increase of</w:t>
      </w:r>
      <w:r>
        <w:rPr>
          <w:rFonts w:ascii="Times New Roman" w:hAnsi="Times New Roman" w:cs="Times New Roman"/>
        </w:rPr>
        <w:t xml:space="preserve"> 6.84% in investments</w:t>
      </w:r>
    </w:p>
  </w:footnote>
  <w:footnote w:id="3">
    <w:p w14:paraId="793D20AA" w14:textId="77777777" w:rsidR="00F96ACE" w:rsidRDefault="00F96ACE" w:rsidP="00A052B0">
      <w:pPr>
        <w:pStyle w:val="FootnoteText"/>
      </w:pPr>
      <w:r w:rsidRPr="00A77C52">
        <w:rPr>
          <w:rStyle w:val="FootnoteReference"/>
          <w:rFonts w:ascii="Times New Roman" w:hAnsi="Times New Roman" w:cs="Times New Roman"/>
        </w:rPr>
        <w:footnoteRef/>
      </w:r>
      <w:r w:rsidRPr="00A77C52">
        <w:rPr>
          <w:rFonts w:ascii="Times New Roman" w:hAnsi="Times New Roman" w:cs="Times New Roman"/>
        </w:rPr>
        <w:t xml:space="preserve"> </w:t>
      </w:r>
      <w:r w:rsidRPr="00A77C52">
        <w:rPr>
          <w:rFonts w:ascii="Times New Roman" w:hAnsi="Times New Roman" w:cs="Times New Roman"/>
          <w:lang w:val="en-US"/>
        </w:rPr>
        <w:t>To</w:t>
      </w:r>
      <w:r>
        <w:rPr>
          <w:rFonts w:ascii="Times New Roman" w:hAnsi="Times New Roman" w:cs="Times New Roman"/>
          <w:lang w:val="en-US"/>
        </w:rPr>
        <w:t xml:space="preserve"> avoid comparing the coefficients across different sub-groups of firms and testing the differences in coefficients for statistical significance, we have them all in one specification by using the three way interactions. Specifications in models (5) to (8) have mutually exclusive and exhaustive dummies on GCF with all the possible combinations (6 in total), therefore we do not need to report the direct effect of GCF.</w:t>
      </w:r>
    </w:p>
  </w:footnote>
  <w:footnote w:id="4">
    <w:p w14:paraId="391B14B7" w14:textId="77777777" w:rsidR="00F96ACE" w:rsidRPr="00C77D40" w:rsidRDefault="00F96ACE" w:rsidP="00A052B0">
      <w:pPr>
        <w:pStyle w:val="FootnoteText"/>
        <w:rPr>
          <w:rFonts w:ascii="Times New Roman" w:hAnsi="Times New Roman" w:cs="Times New Roman"/>
        </w:rPr>
      </w:pPr>
      <w:r w:rsidRPr="00A423B4">
        <w:rPr>
          <w:rStyle w:val="FootnoteReference"/>
          <w:rFonts w:ascii="Times New Roman" w:hAnsi="Times New Roman" w:cs="Times New Roman"/>
        </w:rPr>
        <w:footnoteRef/>
      </w:r>
      <w:r w:rsidRPr="00A423B4">
        <w:rPr>
          <w:rFonts w:ascii="Times New Roman" w:hAnsi="Times New Roman" w:cs="Times New Roman"/>
        </w:rPr>
        <w:t xml:space="preserve"> To calculate the total effect of GCF in private firms, we add the two interactions together, GCF*private*indep. and GCF*private*insider </w:t>
      </w:r>
    </w:p>
  </w:footnote>
  <w:footnote w:id="5">
    <w:p w14:paraId="5EF68D2A" w14:textId="77777777" w:rsidR="00F96ACE" w:rsidRPr="007208B0" w:rsidRDefault="00F96ACE">
      <w:pPr>
        <w:pStyle w:val="FootnoteText"/>
        <w:rPr>
          <w:rFonts w:ascii="Times New Roman" w:hAnsi="Times New Roman" w:cs="Times New Roman"/>
        </w:rPr>
      </w:pPr>
      <w:r w:rsidRPr="007208B0">
        <w:rPr>
          <w:rStyle w:val="FootnoteReference"/>
          <w:rFonts w:ascii="Times New Roman" w:hAnsi="Times New Roman" w:cs="Times New Roman"/>
        </w:rPr>
        <w:footnoteRef/>
      </w:r>
      <w:r w:rsidRPr="007208B0">
        <w:rPr>
          <w:rFonts w:ascii="Times New Roman" w:hAnsi="Times New Roman" w:cs="Times New Roman"/>
        </w:rPr>
        <w:t xml:space="preserve"> Most firms in our sample are electric utilities, oil &amp; gas, metals &amp; mining, distributors, and food producers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84CF2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064139"/>
    <w:multiLevelType w:val="hybridMultilevel"/>
    <w:tmpl w:val="D74E5E8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6187F70"/>
    <w:multiLevelType w:val="multilevel"/>
    <w:tmpl w:val="96C69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264A6"/>
    <w:multiLevelType w:val="multilevel"/>
    <w:tmpl w:val="CCEC01D2"/>
    <w:lvl w:ilvl="0">
      <w:start w:val="1"/>
      <w:numFmt w:val="decimal"/>
      <w:lvlText w:val="%1."/>
      <w:lvlJc w:val="left"/>
      <w:pPr>
        <w:tabs>
          <w:tab w:val="num" w:pos="567"/>
        </w:tabs>
        <w:ind w:left="567" w:hanging="567"/>
      </w:pPr>
      <w:rPr>
        <w:rFonts w:cs="Times New Roman" w:hint="default"/>
        <w:bCs w:val="0"/>
        <w:iCs w:val="0"/>
        <w:caps w:val="0"/>
        <w:strike w:val="0"/>
        <w:dstrike w:val="0"/>
        <w:vanish w:val="0"/>
        <w:spacing w:val="0"/>
        <w:kern w:val="0"/>
        <w:position w:val="0"/>
        <w:u w:val="none"/>
        <w:vertAlign w:val="baseline"/>
        <w:em w:val="none"/>
        <w:lang w:val="sv-SE"/>
      </w:rPr>
    </w:lvl>
    <w:lvl w:ilvl="1">
      <w:start w:val="1"/>
      <w:numFmt w:val="decimal"/>
      <w:lvlText w:val="%1.%2"/>
      <w:lvlJc w:val="left"/>
      <w:pPr>
        <w:tabs>
          <w:tab w:val="num" w:pos="0"/>
        </w:tabs>
        <w:ind w:left="426" w:hanging="426"/>
      </w:pPr>
      <w:rPr>
        <w:rFonts w:cs="Times New Roman" w:hint="default"/>
      </w:rPr>
    </w:lvl>
    <w:lvl w:ilvl="2">
      <w:start w:val="1"/>
      <w:numFmt w:val="decimal"/>
      <w:lvlText w:val="%1.%2.%3"/>
      <w:lvlJc w:val="left"/>
      <w:pPr>
        <w:tabs>
          <w:tab w:val="num" w:pos="567"/>
        </w:tabs>
        <w:ind w:left="567" w:hanging="567"/>
      </w:pPr>
      <w:rPr>
        <w:rFonts w:cs="Times New Roman" w:hint="default"/>
      </w:rPr>
    </w:lvl>
    <w:lvl w:ilvl="3">
      <w:start w:val="1"/>
      <w:numFmt w:val="decimal"/>
      <w:lvlText w:val="%4."/>
      <w:lvlJc w:val="left"/>
      <w:pPr>
        <w:tabs>
          <w:tab w:val="num" w:pos="439"/>
        </w:tabs>
        <w:ind w:left="439" w:hanging="864"/>
      </w:pPr>
      <w:rPr>
        <w:rFonts w:hint="default"/>
      </w:rPr>
    </w:lvl>
    <w:lvl w:ilvl="4">
      <w:start w:val="1"/>
      <w:numFmt w:val="lowerLetter"/>
      <w:lvlText w:val="%5."/>
      <w:lvlJc w:val="left"/>
      <w:pPr>
        <w:tabs>
          <w:tab w:val="num" w:pos="583"/>
        </w:tabs>
        <w:ind w:left="583" w:hanging="1008"/>
      </w:pPr>
      <w:rPr>
        <w:rFonts w:hint="default"/>
      </w:rPr>
    </w:lvl>
    <w:lvl w:ilvl="5">
      <w:start w:val="1"/>
      <w:numFmt w:val="lowerRoman"/>
      <w:lvlText w:val="(%6)"/>
      <w:lvlJc w:val="left"/>
      <w:pPr>
        <w:tabs>
          <w:tab w:val="num" w:pos="727"/>
        </w:tabs>
        <w:ind w:left="727" w:hanging="727"/>
      </w:pPr>
      <w:rPr>
        <w:rFonts w:hint="default"/>
      </w:rPr>
    </w:lvl>
    <w:lvl w:ilvl="6">
      <w:start w:val="1"/>
      <w:numFmt w:val="decimal"/>
      <w:lvlText w:val="%1.%2.%3.%4.%5.%6.%7"/>
      <w:lvlJc w:val="left"/>
      <w:pPr>
        <w:tabs>
          <w:tab w:val="num" w:pos="-425"/>
        </w:tabs>
        <w:ind w:left="871" w:hanging="1296"/>
      </w:pPr>
      <w:rPr>
        <w:rFonts w:hint="default"/>
      </w:rPr>
    </w:lvl>
    <w:lvl w:ilvl="7">
      <w:start w:val="1"/>
      <w:numFmt w:val="lowerLetter"/>
      <w:lvlText w:val="%1.%2.%3.%4.%5.%6.%7.%8"/>
      <w:lvlJc w:val="left"/>
      <w:pPr>
        <w:tabs>
          <w:tab w:val="num" w:pos="1015"/>
        </w:tabs>
        <w:ind w:left="1015" w:hanging="1440"/>
      </w:pPr>
      <w:rPr>
        <w:rFonts w:hint="default"/>
      </w:rPr>
    </w:lvl>
    <w:lvl w:ilvl="8">
      <w:start w:val="1"/>
      <w:numFmt w:val="decimal"/>
      <w:lvlText w:val="%1.%2.%3.%4.%5.%6.%7.%8.%9"/>
      <w:lvlJc w:val="left"/>
      <w:pPr>
        <w:tabs>
          <w:tab w:val="num" w:pos="-425"/>
        </w:tabs>
        <w:ind w:left="1159" w:hanging="1584"/>
      </w:pPr>
      <w:rPr>
        <w:rFonts w:hint="default"/>
      </w:rPr>
    </w:lvl>
  </w:abstractNum>
  <w:abstractNum w:abstractNumId="4" w15:restartNumberingAfterBreak="0">
    <w:nsid w:val="135723F4"/>
    <w:multiLevelType w:val="multilevel"/>
    <w:tmpl w:val="904428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730DF9"/>
    <w:multiLevelType w:val="multilevel"/>
    <w:tmpl w:val="7D465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442FE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782D5E"/>
    <w:multiLevelType w:val="multilevel"/>
    <w:tmpl w:val="2FAEA3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C7A30D8"/>
    <w:multiLevelType w:val="hybridMultilevel"/>
    <w:tmpl w:val="913C3D18"/>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B17264"/>
    <w:multiLevelType w:val="hybridMultilevel"/>
    <w:tmpl w:val="72966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957F9F"/>
    <w:multiLevelType w:val="hybridMultilevel"/>
    <w:tmpl w:val="3E56F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D048C9"/>
    <w:multiLevelType w:val="hybridMultilevel"/>
    <w:tmpl w:val="36884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CB6C4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9450717"/>
    <w:multiLevelType w:val="hybridMultilevel"/>
    <w:tmpl w:val="7276AC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5E63BC"/>
    <w:multiLevelType w:val="multilevel"/>
    <w:tmpl w:val="EED85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B12CA7"/>
    <w:multiLevelType w:val="hybridMultilevel"/>
    <w:tmpl w:val="7BE8F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DA1630"/>
    <w:multiLevelType w:val="hybridMultilevel"/>
    <w:tmpl w:val="B84E0948"/>
    <w:lvl w:ilvl="0" w:tplc="605E5024">
      <w:start w:val="1"/>
      <w:numFmt w:val="bullet"/>
      <w:lvlText w:val="•"/>
      <w:lvlJc w:val="left"/>
      <w:pPr>
        <w:tabs>
          <w:tab w:val="num" w:pos="720"/>
        </w:tabs>
        <w:ind w:left="720" w:hanging="360"/>
      </w:pPr>
      <w:rPr>
        <w:rFonts w:ascii="Times" w:hAnsi="Times" w:hint="default"/>
      </w:rPr>
    </w:lvl>
    <w:lvl w:ilvl="1" w:tplc="E2EC1832" w:tentative="1">
      <w:start w:val="1"/>
      <w:numFmt w:val="bullet"/>
      <w:lvlText w:val="•"/>
      <w:lvlJc w:val="left"/>
      <w:pPr>
        <w:tabs>
          <w:tab w:val="num" w:pos="1440"/>
        </w:tabs>
        <w:ind w:left="1440" w:hanging="360"/>
      </w:pPr>
      <w:rPr>
        <w:rFonts w:ascii="Times" w:hAnsi="Times" w:hint="default"/>
      </w:rPr>
    </w:lvl>
    <w:lvl w:ilvl="2" w:tplc="755E0394" w:tentative="1">
      <w:start w:val="1"/>
      <w:numFmt w:val="bullet"/>
      <w:lvlText w:val="•"/>
      <w:lvlJc w:val="left"/>
      <w:pPr>
        <w:tabs>
          <w:tab w:val="num" w:pos="2160"/>
        </w:tabs>
        <w:ind w:left="2160" w:hanging="360"/>
      </w:pPr>
      <w:rPr>
        <w:rFonts w:ascii="Times" w:hAnsi="Times" w:hint="default"/>
      </w:rPr>
    </w:lvl>
    <w:lvl w:ilvl="3" w:tplc="83026542" w:tentative="1">
      <w:start w:val="1"/>
      <w:numFmt w:val="bullet"/>
      <w:lvlText w:val="•"/>
      <w:lvlJc w:val="left"/>
      <w:pPr>
        <w:tabs>
          <w:tab w:val="num" w:pos="2880"/>
        </w:tabs>
        <w:ind w:left="2880" w:hanging="360"/>
      </w:pPr>
      <w:rPr>
        <w:rFonts w:ascii="Times" w:hAnsi="Times" w:hint="default"/>
      </w:rPr>
    </w:lvl>
    <w:lvl w:ilvl="4" w:tplc="FF261E52" w:tentative="1">
      <w:start w:val="1"/>
      <w:numFmt w:val="bullet"/>
      <w:lvlText w:val="•"/>
      <w:lvlJc w:val="left"/>
      <w:pPr>
        <w:tabs>
          <w:tab w:val="num" w:pos="3600"/>
        </w:tabs>
        <w:ind w:left="3600" w:hanging="360"/>
      </w:pPr>
      <w:rPr>
        <w:rFonts w:ascii="Times" w:hAnsi="Times" w:hint="default"/>
      </w:rPr>
    </w:lvl>
    <w:lvl w:ilvl="5" w:tplc="7262B1A0" w:tentative="1">
      <w:start w:val="1"/>
      <w:numFmt w:val="bullet"/>
      <w:lvlText w:val="•"/>
      <w:lvlJc w:val="left"/>
      <w:pPr>
        <w:tabs>
          <w:tab w:val="num" w:pos="4320"/>
        </w:tabs>
        <w:ind w:left="4320" w:hanging="360"/>
      </w:pPr>
      <w:rPr>
        <w:rFonts w:ascii="Times" w:hAnsi="Times" w:hint="default"/>
      </w:rPr>
    </w:lvl>
    <w:lvl w:ilvl="6" w:tplc="BA18D35E" w:tentative="1">
      <w:start w:val="1"/>
      <w:numFmt w:val="bullet"/>
      <w:lvlText w:val="•"/>
      <w:lvlJc w:val="left"/>
      <w:pPr>
        <w:tabs>
          <w:tab w:val="num" w:pos="5040"/>
        </w:tabs>
        <w:ind w:left="5040" w:hanging="360"/>
      </w:pPr>
      <w:rPr>
        <w:rFonts w:ascii="Times" w:hAnsi="Times" w:hint="default"/>
      </w:rPr>
    </w:lvl>
    <w:lvl w:ilvl="7" w:tplc="7DD6DD1A" w:tentative="1">
      <w:start w:val="1"/>
      <w:numFmt w:val="bullet"/>
      <w:lvlText w:val="•"/>
      <w:lvlJc w:val="left"/>
      <w:pPr>
        <w:tabs>
          <w:tab w:val="num" w:pos="5760"/>
        </w:tabs>
        <w:ind w:left="5760" w:hanging="360"/>
      </w:pPr>
      <w:rPr>
        <w:rFonts w:ascii="Times" w:hAnsi="Times" w:hint="default"/>
      </w:rPr>
    </w:lvl>
    <w:lvl w:ilvl="8" w:tplc="AC5E43A8" w:tentative="1">
      <w:start w:val="1"/>
      <w:numFmt w:val="bullet"/>
      <w:lvlText w:val="•"/>
      <w:lvlJc w:val="left"/>
      <w:pPr>
        <w:tabs>
          <w:tab w:val="num" w:pos="6480"/>
        </w:tabs>
        <w:ind w:left="6480" w:hanging="360"/>
      </w:pPr>
      <w:rPr>
        <w:rFonts w:ascii="Times" w:hAnsi="Times" w:hint="default"/>
      </w:rPr>
    </w:lvl>
  </w:abstractNum>
  <w:abstractNum w:abstractNumId="17" w15:restartNumberingAfterBreak="0">
    <w:nsid w:val="338073A5"/>
    <w:multiLevelType w:val="hybridMultilevel"/>
    <w:tmpl w:val="E3AE3AB2"/>
    <w:lvl w:ilvl="0" w:tplc="2A44F44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CF5314"/>
    <w:multiLevelType w:val="hybridMultilevel"/>
    <w:tmpl w:val="CD5AA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ED77B8"/>
    <w:multiLevelType w:val="hybridMultilevel"/>
    <w:tmpl w:val="4BAC7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C31CFC"/>
    <w:multiLevelType w:val="hybridMultilevel"/>
    <w:tmpl w:val="6DCED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0A507D"/>
    <w:multiLevelType w:val="multilevel"/>
    <w:tmpl w:val="36084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1114EE"/>
    <w:multiLevelType w:val="hybridMultilevel"/>
    <w:tmpl w:val="B0C2A59A"/>
    <w:lvl w:ilvl="0" w:tplc="AA08955E">
      <w:start w:val="1"/>
      <w:numFmt w:val="lowerRoman"/>
      <w:pStyle w:val="List"/>
      <w:lvlText w:val="(%1)"/>
      <w:lvlJc w:val="left"/>
      <w:pPr>
        <w:ind w:left="360" w:hanging="360"/>
      </w:pPr>
      <w:rPr>
        <w:rFonts w:hint="default"/>
        <w:b w:val="0"/>
        <w:i w:val="0"/>
        <w:sz w:val="24"/>
        <w:effect w:val="none"/>
      </w:r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23" w15:restartNumberingAfterBreak="0">
    <w:nsid w:val="529C66F0"/>
    <w:multiLevelType w:val="multilevel"/>
    <w:tmpl w:val="904428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3B76AC4"/>
    <w:multiLevelType w:val="multilevel"/>
    <w:tmpl w:val="904428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793C3D"/>
    <w:multiLevelType w:val="hybridMultilevel"/>
    <w:tmpl w:val="6DD2A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8926B9"/>
    <w:multiLevelType w:val="multilevel"/>
    <w:tmpl w:val="6C2E7E10"/>
    <w:lvl w:ilvl="0">
      <w:start w:val="1"/>
      <w:numFmt w:val="decimal"/>
      <w:lvlText w:val="%1"/>
      <w:lvlJc w:val="left"/>
      <w:pPr>
        <w:tabs>
          <w:tab w:val="num" w:pos="432"/>
        </w:tabs>
        <w:ind w:left="432" w:hanging="432"/>
      </w:pPr>
      <w:rPr>
        <w:lang w:val="en-GB"/>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68F96783"/>
    <w:multiLevelType w:val="hybridMultilevel"/>
    <w:tmpl w:val="AE8225FC"/>
    <w:lvl w:ilvl="0" w:tplc="057E04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E663E2"/>
    <w:multiLevelType w:val="hybridMultilevel"/>
    <w:tmpl w:val="7BE8F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B3128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2C2469E"/>
    <w:multiLevelType w:val="hybridMultilevel"/>
    <w:tmpl w:val="4718C3D2"/>
    <w:lvl w:ilvl="0" w:tplc="7D967470">
      <w:start w:val="1"/>
      <w:numFmt w:val="decimal"/>
      <w:lvlText w:val="%1."/>
      <w:lvlJc w:val="left"/>
      <w:pPr>
        <w:ind w:left="426" w:hanging="360"/>
      </w:pPr>
      <w:rPr>
        <w:rFonts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31" w15:restartNumberingAfterBreak="0">
    <w:nsid w:val="73E1447B"/>
    <w:multiLevelType w:val="hybridMultilevel"/>
    <w:tmpl w:val="A2C4D2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8A22674"/>
    <w:multiLevelType w:val="hybridMultilevel"/>
    <w:tmpl w:val="EA8242BC"/>
    <w:lvl w:ilvl="0" w:tplc="9F146158">
      <w:start w:val="1"/>
      <w:numFmt w:val="decimal"/>
      <w:lvlText w:val="%1."/>
      <w:lvlJc w:val="left"/>
      <w:pPr>
        <w:tabs>
          <w:tab w:val="num" w:pos="720"/>
        </w:tabs>
        <w:ind w:left="720" w:hanging="360"/>
      </w:pPr>
    </w:lvl>
    <w:lvl w:ilvl="1" w:tplc="C0528374" w:tentative="1">
      <w:start w:val="1"/>
      <w:numFmt w:val="decimal"/>
      <w:lvlText w:val="%2."/>
      <w:lvlJc w:val="left"/>
      <w:pPr>
        <w:tabs>
          <w:tab w:val="num" w:pos="1440"/>
        </w:tabs>
        <w:ind w:left="1440" w:hanging="360"/>
      </w:pPr>
    </w:lvl>
    <w:lvl w:ilvl="2" w:tplc="8C90F1AA" w:tentative="1">
      <w:start w:val="1"/>
      <w:numFmt w:val="decimal"/>
      <w:lvlText w:val="%3."/>
      <w:lvlJc w:val="left"/>
      <w:pPr>
        <w:tabs>
          <w:tab w:val="num" w:pos="2160"/>
        </w:tabs>
        <w:ind w:left="2160" w:hanging="360"/>
      </w:pPr>
    </w:lvl>
    <w:lvl w:ilvl="3" w:tplc="CF1274C4" w:tentative="1">
      <w:start w:val="1"/>
      <w:numFmt w:val="decimal"/>
      <w:lvlText w:val="%4."/>
      <w:lvlJc w:val="left"/>
      <w:pPr>
        <w:tabs>
          <w:tab w:val="num" w:pos="2880"/>
        </w:tabs>
        <w:ind w:left="2880" w:hanging="360"/>
      </w:pPr>
    </w:lvl>
    <w:lvl w:ilvl="4" w:tplc="21529926" w:tentative="1">
      <w:start w:val="1"/>
      <w:numFmt w:val="decimal"/>
      <w:lvlText w:val="%5."/>
      <w:lvlJc w:val="left"/>
      <w:pPr>
        <w:tabs>
          <w:tab w:val="num" w:pos="3600"/>
        </w:tabs>
        <w:ind w:left="3600" w:hanging="360"/>
      </w:pPr>
    </w:lvl>
    <w:lvl w:ilvl="5" w:tplc="C5D28FC0" w:tentative="1">
      <w:start w:val="1"/>
      <w:numFmt w:val="decimal"/>
      <w:lvlText w:val="%6."/>
      <w:lvlJc w:val="left"/>
      <w:pPr>
        <w:tabs>
          <w:tab w:val="num" w:pos="4320"/>
        </w:tabs>
        <w:ind w:left="4320" w:hanging="360"/>
      </w:pPr>
    </w:lvl>
    <w:lvl w:ilvl="6" w:tplc="25C42FB4" w:tentative="1">
      <w:start w:val="1"/>
      <w:numFmt w:val="decimal"/>
      <w:lvlText w:val="%7."/>
      <w:lvlJc w:val="left"/>
      <w:pPr>
        <w:tabs>
          <w:tab w:val="num" w:pos="5040"/>
        </w:tabs>
        <w:ind w:left="5040" w:hanging="360"/>
      </w:pPr>
    </w:lvl>
    <w:lvl w:ilvl="7" w:tplc="91ECA2C8" w:tentative="1">
      <w:start w:val="1"/>
      <w:numFmt w:val="decimal"/>
      <w:lvlText w:val="%8."/>
      <w:lvlJc w:val="left"/>
      <w:pPr>
        <w:tabs>
          <w:tab w:val="num" w:pos="5760"/>
        </w:tabs>
        <w:ind w:left="5760" w:hanging="360"/>
      </w:pPr>
    </w:lvl>
    <w:lvl w:ilvl="8" w:tplc="6F9056B6" w:tentative="1">
      <w:start w:val="1"/>
      <w:numFmt w:val="decimal"/>
      <w:lvlText w:val="%9."/>
      <w:lvlJc w:val="left"/>
      <w:pPr>
        <w:tabs>
          <w:tab w:val="num" w:pos="6480"/>
        </w:tabs>
        <w:ind w:left="6480" w:hanging="360"/>
      </w:pPr>
    </w:lvl>
  </w:abstractNum>
  <w:abstractNum w:abstractNumId="33" w15:restartNumberingAfterBreak="0">
    <w:nsid w:val="79340B6B"/>
    <w:multiLevelType w:val="multilevel"/>
    <w:tmpl w:val="6346E96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D7A17A2"/>
    <w:multiLevelType w:val="multilevel"/>
    <w:tmpl w:val="B18E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9"/>
  </w:num>
  <w:num w:numId="3">
    <w:abstractNumId w:val="17"/>
  </w:num>
  <w:num w:numId="4">
    <w:abstractNumId w:val="32"/>
  </w:num>
  <w:num w:numId="5">
    <w:abstractNumId w:val="10"/>
  </w:num>
  <w:num w:numId="6">
    <w:abstractNumId w:val="25"/>
  </w:num>
  <w:num w:numId="7">
    <w:abstractNumId w:val="6"/>
  </w:num>
  <w:num w:numId="8">
    <w:abstractNumId w:val="29"/>
  </w:num>
  <w:num w:numId="9">
    <w:abstractNumId w:val="28"/>
  </w:num>
  <w:num w:numId="10">
    <w:abstractNumId w:val="34"/>
  </w:num>
  <w:num w:numId="11">
    <w:abstractNumId w:val="15"/>
  </w:num>
  <w:num w:numId="12">
    <w:abstractNumId w:val="2"/>
  </w:num>
  <w:num w:numId="13">
    <w:abstractNumId w:val="14"/>
  </w:num>
  <w:num w:numId="14">
    <w:abstractNumId w:val="3"/>
  </w:num>
  <w:num w:numId="15">
    <w:abstractNumId w:val="22"/>
  </w:num>
  <w:num w:numId="16">
    <w:abstractNumId w:val="0"/>
  </w:num>
  <w:num w:numId="17">
    <w:abstractNumId w:val="26"/>
  </w:num>
  <w:num w:numId="18">
    <w:abstractNumId w:val="7"/>
  </w:num>
  <w:num w:numId="19">
    <w:abstractNumId w:val="33"/>
  </w:num>
  <w:num w:numId="20">
    <w:abstractNumId w:val="8"/>
  </w:num>
  <w:num w:numId="21">
    <w:abstractNumId w:val="20"/>
  </w:num>
  <w:num w:numId="22">
    <w:abstractNumId w:val="9"/>
  </w:num>
  <w:num w:numId="23">
    <w:abstractNumId w:val="18"/>
  </w:num>
  <w:num w:numId="24">
    <w:abstractNumId w:val="11"/>
  </w:num>
  <w:num w:numId="25">
    <w:abstractNumId w:val="16"/>
  </w:num>
  <w:num w:numId="26">
    <w:abstractNumId w:val="21"/>
  </w:num>
  <w:num w:numId="27">
    <w:abstractNumId w:val="5"/>
  </w:num>
  <w:num w:numId="28">
    <w:abstractNumId w:val="12"/>
  </w:num>
  <w:num w:numId="29">
    <w:abstractNumId w:val="31"/>
  </w:num>
  <w:num w:numId="30">
    <w:abstractNumId w:val="30"/>
  </w:num>
  <w:num w:numId="31">
    <w:abstractNumId w:val="13"/>
  </w:num>
  <w:num w:numId="32">
    <w:abstractNumId w:val="1"/>
  </w:num>
  <w:num w:numId="33">
    <w:abstractNumId w:val="4"/>
  </w:num>
  <w:num w:numId="34">
    <w:abstractNumId w:val="23"/>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MS-wiley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xdsfzvadmzzxdzereeq5xdf7eaxsdwfdfave&quot;&gt;Blockholders Copy Copy Copy&lt;record-ids&gt;&lt;item&gt;1&lt;/item&gt;&lt;item&gt;7&lt;/item&gt;&lt;item&gt;8&lt;/item&gt;&lt;item&gt;12&lt;/item&gt;&lt;item&gt;18&lt;/item&gt;&lt;item&gt;19&lt;/item&gt;&lt;item&gt;20&lt;/item&gt;&lt;item&gt;21&lt;/item&gt;&lt;item&gt;27&lt;/item&gt;&lt;item&gt;34&lt;/item&gt;&lt;item&gt;35&lt;/item&gt;&lt;item&gt;49&lt;/item&gt;&lt;item&gt;58&lt;/item&gt;&lt;item&gt;62&lt;/item&gt;&lt;item&gt;69&lt;/item&gt;&lt;item&gt;71&lt;/item&gt;&lt;item&gt;107&lt;/item&gt;&lt;item&gt;112&lt;/item&gt;&lt;item&gt;139&lt;/item&gt;&lt;item&gt;165&lt;/item&gt;&lt;item&gt;168&lt;/item&gt;&lt;item&gt;204&lt;/item&gt;&lt;item&gt;211&lt;/item&gt;&lt;item&gt;284&lt;/item&gt;&lt;item&gt;339&lt;/item&gt;&lt;item&gt;385&lt;/item&gt;&lt;item&gt;433&lt;/item&gt;&lt;item&gt;488&lt;/item&gt;&lt;item&gt;489&lt;/item&gt;&lt;item&gt;497&lt;/item&gt;&lt;item&gt;594&lt;/item&gt;&lt;item&gt;629&lt;/item&gt;&lt;item&gt;633&lt;/item&gt;&lt;item&gt;635&lt;/item&gt;&lt;item&gt;637&lt;/item&gt;&lt;item&gt;642&lt;/item&gt;&lt;item&gt;645&lt;/item&gt;&lt;item&gt;646&lt;/item&gt;&lt;item&gt;647&lt;/item&gt;&lt;item&gt;648&lt;/item&gt;&lt;item&gt;649&lt;/item&gt;&lt;item&gt;656&lt;/item&gt;&lt;item&gt;657&lt;/item&gt;&lt;item&gt;659&lt;/item&gt;&lt;item&gt;660&lt;/item&gt;&lt;item&gt;661&lt;/item&gt;&lt;item&gt;662&lt;/item&gt;&lt;item&gt;663&lt;/item&gt;&lt;item&gt;664&lt;/item&gt;&lt;item&gt;665&lt;/item&gt;&lt;item&gt;666&lt;/item&gt;&lt;item&gt;670&lt;/item&gt;&lt;item&gt;671&lt;/item&gt;&lt;item&gt;672&lt;/item&gt;&lt;item&gt;674&lt;/item&gt;&lt;item&gt;675&lt;/item&gt;&lt;item&gt;679&lt;/item&gt;&lt;item&gt;681&lt;/item&gt;&lt;item&gt;718&lt;/item&gt;&lt;item&gt;719&lt;/item&gt;&lt;item&gt;720&lt;/item&gt;&lt;item&gt;721&lt;/item&gt;&lt;item&gt;723&lt;/item&gt;&lt;item&gt;724&lt;/item&gt;&lt;item&gt;725&lt;/item&gt;&lt;item&gt;726&lt;/item&gt;&lt;item&gt;727&lt;/item&gt;&lt;item&gt;728&lt;/item&gt;&lt;item&gt;730&lt;/item&gt;&lt;item&gt;731&lt;/item&gt;&lt;item&gt;732&lt;/item&gt;&lt;item&gt;733&lt;/item&gt;&lt;item&gt;734&lt;/item&gt;&lt;item&gt;735&lt;/item&gt;&lt;item&gt;739&lt;/item&gt;&lt;item&gt;740&lt;/item&gt;&lt;item&gt;774&lt;/item&gt;&lt;item&gt;790&lt;/item&gt;&lt;item&gt;791&lt;/item&gt;&lt;item&gt;807&lt;/item&gt;&lt;item&gt;831&lt;/item&gt;&lt;item&gt;832&lt;/item&gt;&lt;item&gt;833&lt;/item&gt;&lt;item&gt;834&lt;/item&gt;&lt;item&gt;835&lt;/item&gt;&lt;item&gt;836&lt;/item&gt;&lt;item&gt;838&lt;/item&gt;&lt;item&gt;839&lt;/item&gt;&lt;item&gt;840&lt;/item&gt;&lt;item&gt;841&lt;/item&gt;&lt;item&gt;842&lt;/item&gt;&lt;item&gt;843&lt;/item&gt;&lt;item&gt;854&lt;/item&gt;&lt;item&gt;863&lt;/item&gt;&lt;item&gt;864&lt;/item&gt;&lt;/record-ids&gt;&lt;/item&gt;&lt;/Libraries&gt;"/>
  </w:docVars>
  <w:rsids>
    <w:rsidRoot w:val="00D35A7D"/>
    <w:rsid w:val="00000972"/>
    <w:rsid w:val="0000108D"/>
    <w:rsid w:val="00001575"/>
    <w:rsid w:val="0000198D"/>
    <w:rsid w:val="000029DE"/>
    <w:rsid w:val="00002E96"/>
    <w:rsid w:val="000035DE"/>
    <w:rsid w:val="0000377F"/>
    <w:rsid w:val="00003C4A"/>
    <w:rsid w:val="00004D6D"/>
    <w:rsid w:val="00007B4B"/>
    <w:rsid w:val="00010D91"/>
    <w:rsid w:val="000113AB"/>
    <w:rsid w:val="00011927"/>
    <w:rsid w:val="00012548"/>
    <w:rsid w:val="00013259"/>
    <w:rsid w:val="000142D2"/>
    <w:rsid w:val="0001439F"/>
    <w:rsid w:val="000148E1"/>
    <w:rsid w:val="00014D36"/>
    <w:rsid w:val="00015286"/>
    <w:rsid w:val="00015D50"/>
    <w:rsid w:val="00015D65"/>
    <w:rsid w:val="0001716E"/>
    <w:rsid w:val="00020626"/>
    <w:rsid w:val="000206B5"/>
    <w:rsid w:val="0002385A"/>
    <w:rsid w:val="00023CFA"/>
    <w:rsid w:val="000260DD"/>
    <w:rsid w:val="000318BF"/>
    <w:rsid w:val="0003245B"/>
    <w:rsid w:val="000343B9"/>
    <w:rsid w:val="0003520C"/>
    <w:rsid w:val="00036EEE"/>
    <w:rsid w:val="000374AE"/>
    <w:rsid w:val="000405A8"/>
    <w:rsid w:val="00041565"/>
    <w:rsid w:val="00046B8F"/>
    <w:rsid w:val="00050038"/>
    <w:rsid w:val="000543B3"/>
    <w:rsid w:val="00055F33"/>
    <w:rsid w:val="00065099"/>
    <w:rsid w:val="00067052"/>
    <w:rsid w:val="00067FC4"/>
    <w:rsid w:val="0007312B"/>
    <w:rsid w:val="000742F7"/>
    <w:rsid w:val="0007624E"/>
    <w:rsid w:val="0007627E"/>
    <w:rsid w:val="000771C7"/>
    <w:rsid w:val="00080202"/>
    <w:rsid w:val="00084FF6"/>
    <w:rsid w:val="00085883"/>
    <w:rsid w:val="00085BF1"/>
    <w:rsid w:val="000879AF"/>
    <w:rsid w:val="00087C52"/>
    <w:rsid w:val="00090A1A"/>
    <w:rsid w:val="0009155D"/>
    <w:rsid w:val="000942DE"/>
    <w:rsid w:val="000950C8"/>
    <w:rsid w:val="00095CFF"/>
    <w:rsid w:val="00095FC8"/>
    <w:rsid w:val="00096C16"/>
    <w:rsid w:val="0009730A"/>
    <w:rsid w:val="000979EC"/>
    <w:rsid w:val="00097AA5"/>
    <w:rsid w:val="000A1893"/>
    <w:rsid w:val="000A3AC0"/>
    <w:rsid w:val="000A691C"/>
    <w:rsid w:val="000A6A02"/>
    <w:rsid w:val="000A7723"/>
    <w:rsid w:val="000A7C0A"/>
    <w:rsid w:val="000B09BF"/>
    <w:rsid w:val="000B0B55"/>
    <w:rsid w:val="000B1BBF"/>
    <w:rsid w:val="000B2AED"/>
    <w:rsid w:val="000B2C2F"/>
    <w:rsid w:val="000B6461"/>
    <w:rsid w:val="000B6588"/>
    <w:rsid w:val="000B660A"/>
    <w:rsid w:val="000B664A"/>
    <w:rsid w:val="000B6736"/>
    <w:rsid w:val="000B69E8"/>
    <w:rsid w:val="000B6A55"/>
    <w:rsid w:val="000B6BF1"/>
    <w:rsid w:val="000B775D"/>
    <w:rsid w:val="000B78A2"/>
    <w:rsid w:val="000C02BE"/>
    <w:rsid w:val="000C0BAB"/>
    <w:rsid w:val="000C1053"/>
    <w:rsid w:val="000C246E"/>
    <w:rsid w:val="000C3039"/>
    <w:rsid w:val="000C409A"/>
    <w:rsid w:val="000C4D77"/>
    <w:rsid w:val="000C5D39"/>
    <w:rsid w:val="000C6664"/>
    <w:rsid w:val="000C66F2"/>
    <w:rsid w:val="000C6EBB"/>
    <w:rsid w:val="000D09E6"/>
    <w:rsid w:val="000D149F"/>
    <w:rsid w:val="000D19B4"/>
    <w:rsid w:val="000D1BBC"/>
    <w:rsid w:val="000D2273"/>
    <w:rsid w:val="000D27AB"/>
    <w:rsid w:val="000D2923"/>
    <w:rsid w:val="000D5213"/>
    <w:rsid w:val="000D7538"/>
    <w:rsid w:val="000E44FB"/>
    <w:rsid w:val="000E4C78"/>
    <w:rsid w:val="000E4F01"/>
    <w:rsid w:val="000E5628"/>
    <w:rsid w:val="000E648C"/>
    <w:rsid w:val="000F009B"/>
    <w:rsid w:val="000F0608"/>
    <w:rsid w:val="000F0A87"/>
    <w:rsid w:val="000F13F5"/>
    <w:rsid w:val="000F200F"/>
    <w:rsid w:val="000F2427"/>
    <w:rsid w:val="000F3285"/>
    <w:rsid w:val="000F34BF"/>
    <w:rsid w:val="000F4BD7"/>
    <w:rsid w:val="000F5BC2"/>
    <w:rsid w:val="000F7208"/>
    <w:rsid w:val="00100E24"/>
    <w:rsid w:val="00101464"/>
    <w:rsid w:val="00103299"/>
    <w:rsid w:val="0010400E"/>
    <w:rsid w:val="001067EA"/>
    <w:rsid w:val="00106A3F"/>
    <w:rsid w:val="001073E2"/>
    <w:rsid w:val="00107BDE"/>
    <w:rsid w:val="0011046D"/>
    <w:rsid w:val="00110A01"/>
    <w:rsid w:val="00113A67"/>
    <w:rsid w:val="00113C1C"/>
    <w:rsid w:val="001144C5"/>
    <w:rsid w:val="0011667B"/>
    <w:rsid w:val="001172B5"/>
    <w:rsid w:val="0012006A"/>
    <w:rsid w:val="001238E4"/>
    <w:rsid w:val="0012667A"/>
    <w:rsid w:val="00132211"/>
    <w:rsid w:val="00133933"/>
    <w:rsid w:val="00133A57"/>
    <w:rsid w:val="00137D8D"/>
    <w:rsid w:val="00137DDF"/>
    <w:rsid w:val="00144FE2"/>
    <w:rsid w:val="00145E32"/>
    <w:rsid w:val="00146EC9"/>
    <w:rsid w:val="00150EF9"/>
    <w:rsid w:val="00152D4F"/>
    <w:rsid w:val="00153132"/>
    <w:rsid w:val="001534D9"/>
    <w:rsid w:val="0015471D"/>
    <w:rsid w:val="001558DB"/>
    <w:rsid w:val="00157134"/>
    <w:rsid w:val="00161159"/>
    <w:rsid w:val="0016180D"/>
    <w:rsid w:val="00163AB3"/>
    <w:rsid w:val="00163C15"/>
    <w:rsid w:val="00163F54"/>
    <w:rsid w:val="00164018"/>
    <w:rsid w:val="001644FB"/>
    <w:rsid w:val="0016519C"/>
    <w:rsid w:val="00167D79"/>
    <w:rsid w:val="00170482"/>
    <w:rsid w:val="00172728"/>
    <w:rsid w:val="001750D7"/>
    <w:rsid w:val="0017543C"/>
    <w:rsid w:val="001807EC"/>
    <w:rsid w:val="001810B9"/>
    <w:rsid w:val="00181221"/>
    <w:rsid w:val="00182290"/>
    <w:rsid w:val="00183F4D"/>
    <w:rsid w:val="00187734"/>
    <w:rsid w:val="001879DE"/>
    <w:rsid w:val="00192AAC"/>
    <w:rsid w:val="00192F65"/>
    <w:rsid w:val="00194087"/>
    <w:rsid w:val="001941D9"/>
    <w:rsid w:val="00194E43"/>
    <w:rsid w:val="0019537A"/>
    <w:rsid w:val="001958F8"/>
    <w:rsid w:val="00195DCA"/>
    <w:rsid w:val="001A06EA"/>
    <w:rsid w:val="001A17B5"/>
    <w:rsid w:val="001A3120"/>
    <w:rsid w:val="001A5F9C"/>
    <w:rsid w:val="001B0971"/>
    <w:rsid w:val="001B2F3A"/>
    <w:rsid w:val="001B3442"/>
    <w:rsid w:val="001B42D8"/>
    <w:rsid w:val="001B5F79"/>
    <w:rsid w:val="001B6681"/>
    <w:rsid w:val="001B715C"/>
    <w:rsid w:val="001B7AFB"/>
    <w:rsid w:val="001B7EFD"/>
    <w:rsid w:val="001C033C"/>
    <w:rsid w:val="001C178A"/>
    <w:rsid w:val="001C19EB"/>
    <w:rsid w:val="001C1A27"/>
    <w:rsid w:val="001C1FAB"/>
    <w:rsid w:val="001C3483"/>
    <w:rsid w:val="001C34EB"/>
    <w:rsid w:val="001C35AC"/>
    <w:rsid w:val="001C485C"/>
    <w:rsid w:val="001C4EFA"/>
    <w:rsid w:val="001C4F85"/>
    <w:rsid w:val="001C62D3"/>
    <w:rsid w:val="001D00B0"/>
    <w:rsid w:val="001D0CF3"/>
    <w:rsid w:val="001D0FBF"/>
    <w:rsid w:val="001D162A"/>
    <w:rsid w:val="001D23B6"/>
    <w:rsid w:val="001D5076"/>
    <w:rsid w:val="001D6C42"/>
    <w:rsid w:val="001D788C"/>
    <w:rsid w:val="001E0A9C"/>
    <w:rsid w:val="001E4893"/>
    <w:rsid w:val="001E51E0"/>
    <w:rsid w:val="001E6625"/>
    <w:rsid w:val="001E75FF"/>
    <w:rsid w:val="001F0128"/>
    <w:rsid w:val="001F01E1"/>
    <w:rsid w:val="001F090D"/>
    <w:rsid w:val="001F1C3C"/>
    <w:rsid w:val="001F262C"/>
    <w:rsid w:val="001F2C9A"/>
    <w:rsid w:val="001F3690"/>
    <w:rsid w:val="001F3977"/>
    <w:rsid w:val="001F4883"/>
    <w:rsid w:val="001F5873"/>
    <w:rsid w:val="001F58B5"/>
    <w:rsid w:val="001F5C42"/>
    <w:rsid w:val="001F62EF"/>
    <w:rsid w:val="001F69A0"/>
    <w:rsid w:val="00202638"/>
    <w:rsid w:val="002028A5"/>
    <w:rsid w:val="00204994"/>
    <w:rsid w:val="0020688C"/>
    <w:rsid w:val="002103AE"/>
    <w:rsid w:val="0021148F"/>
    <w:rsid w:val="002117CC"/>
    <w:rsid w:val="002135C9"/>
    <w:rsid w:val="00217336"/>
    <w:rsid w:val="00217467"/>
    <w:rsid w:val="00222062"/>
    <w:rsid w:val="002233DF"/>
    <w:rsid w:val="0022378E"/>
    <w:rsid w:val="0022381E"/>
    <w:rsid w:val="00226593"/>
    <w:rsid w:val="00226776"/>
    <w:rsid w:val="00226B26"/>
    <w:rsid w:val="00226FCA"/>
    <w:rsid w:val="00227483"/>
    <w:rsid w:val="0023038B"/>
    <w:rsid w:val="00233FA7"/>
    <w:rsid w:val="0023452A"/>
    <w:rsid w:val="00234BC0"/>
    <w:rsid w:val="00235DF1"/>
    <w:rsid w:val="002361CC"/>
    <w:rsid w:val="00236551"/>
    <w:rsid w:val="00236D56"/>
    <w:rsid w:val="0024096D"/>
    <w:rsid w:val="002411E0"/>
    <w:rsid w:val="00243182"/>
    <w:rsid w:val="0024408E"/>
    <w:rsid w:val="00245AF8"/>
    <w:rsid w:val="00246E25"/>
    <w:rsid w:val="00247861"/>
    <w:rsid w:val="00247F94"/>
    <w:rsid w:val="00251A53"/>
    <w:rsid w:val="00252740"/>
    <w:rsid w:val="002549F7"/>
    <w:rsid w:val="00255C08"/>
    <w:rsid w:val="00256386"/>
    <w:rsid w:val="00260246"/>
    <w:rsid w:val="00261022"/>
    <w:rsid w:val="00261E75"/>
    <w:rsid w:val="00262FE3"/>
    <w:rsid w:val="00263403"/>
    <w:rsid w:val="002646EA"/>
    <w:rsid w:val="00264AD9"/>
    <w:rsid w:val="0026588D"/>
    <w:rsid w:val="00266C78"/>
    <w:rsid w:val="00266E59"/>
    <w:rsid w:val="00270798"/>
    <w:rsid w:val="00270CB9"/>
    <w:rsid w:val="00275197"/>
    <w:rsid w:val="0027623C"/>
    <w:rsid w:val="002765E3"/>
    <w:rsid w:val="00276C0D"/>
    <w:rsid w:val="002779B3"/>
    <w:rsid w:val="00277C74"/>
    <w:rsid w:val="00277DB8"/>
    <w:rsid w:val="00277E57"/>
    <w:rsid w:val="00281F58"/>
    <w:rsid w:val="00283928"/>
    <w:rsid w:val="00284E19"/>
    <w:rsid w:val="00284F55"/>
    <w:rsid w:val="0028507F"/>
    <w:rsid w:val="00287763"/>
    <w:rsid w:val="00290FD5"/>
    <w:rsid w:val="002917E9"/>
    <w:rsid w:val="002931AE"/>
    <w:rsid w:val="002931EB"/>
    <w:rsid w:val="00293CCC"/>
    <w:rsid w:val="00293F98"/>
    <w:rsid w:val="00294FE3"/>
    <w:rsid w:val="00296A0C"/>
    <w:rsid w:val="002970F0"/>
    <w:rsid w:val="002971A9"/>
    <w:rsid w:val="002973D9"/>
    <w:rsid w:val="00297B86"/>
    <w:rsid w:val="002A1B02"/>
    <w:rsid w:val="002A2DA1"/>
    <w:rsid w:val="002A30DE"/>
    <w:rsid w:val="002A3877"/>
    <w:rsid w:val="002A42BD"/>
    <w:rsid w:val="002A4BF5"/>
    <w:rsid w:val="002A5144"/>
    <w:rsid w:val="002A58F0"/>
    <w:rsid w:val="002A5BB6"/>
    <w:rsid w:val="002B219D"/>
    <w:rsid w:val="002B24B8"/>
    <w:rsid w:val="002B2C95"/>
    <w:rsid w:val="002C245B"/>
    <w:rsid w:val="002C358F"/>
    <w:rsid w:val="002C3E1B"/>
    <w:rsid w:val="002C46A2"/>
    <w:rsid w:val="002C5D63"/>
    <w:rsid w:val="002C5D79"/>
    <w:rsid w:val="002D03DE"/>
    <w:rsid w:val="002D0DE7"/>
    <w:rsid w:val="002D22CB"/>
    <w:rsid w:val="002D7C60"/>
    <w:rsid w:val="002E029B"/>
    <w:rsid w:val="002E2C2C"/>
    <w:rsid w:val="002E31B8"/>
    <w:rsid w:val="002E34D6"/>
    <w:rsid w:val="002E75EB"/>
    <w:rsid w:val="002F0E38"/>
    <w:rsid w:val="002F0F93"/>
    <w:rsid w:val="002F196F"/>
    <w:rsid w:val="002F1D8E"/>
    <w:rsid w:val="002F5FCA"/>
    <w:rsid w:val="00301930"/>
    <w:rsid w:val="0030351F"/>
    <w:rsid w:val="00304737"/>
    <w:rsid w:val="00305966"/>
    <w:rsid w:val="003121E3"/>
    <w:rsid w:val="00312D60"/>
    <w:rsid w:val="003137DC"/>
    <w:rsid w:val="00313892"/>
    <w:rsid w:val="00313A21"/>
    <w:rsid w:val="00314210"/>
    <w:rsid w:val="00316200"/>
    <w:rsid w:val="00316426"/>
    <w:rsid w:val="0032008C"/>
    <w:rsid w:val="00320313"/>
    <w:rsid w:val="00320F3D"/>
    <w:rsid w:val="00320FE3"/>
    <w:rsid w:val="00321DB0"/>
    <w:rsid w:val="00322515"/>
    <w:rsid w:val="00322C5F"/>
    <w:rsid w:val="00323B9D"/>
    <w:rsid w:val="00324365"/>
    <w:rsid w:val="003245E2"/>
    <w:rsid w:val="00324D8A"/>
    <w:rsid w:val="003274B7"/>
    <w:rsid w:val="00327FFD"/>
    <w:rsid w:val="00332BFE"/>
    <w:rsid w:val="00333DBF"/>
    <w:rsid w:val="003357E8"/>
    <w:rsid w:val="00337CBC"/>
    <w:rsid w:val="003405CF"/>
    <w:rsid w:val="00340862"/>
    <w:rsid w:val="00340E5D"/>
    <w:rsid w:val="00343BF1"/>
    <w:rsid w:val="00343C35"/>
    <w:rsid w:val="00343DA4"/>
    <w:rsid w:val="003451CA"/>
    <w:rsid w:val="00346F5C"/>
    <w:rsid w:val="0034722C"/>
    <w:rsid w:val="00347E55"/>
    <w:rsid w:val="0035251D"/>
    <w:rsid w:val="00352CE8"/>
    <w:rsid w:val="0035395A"/>
    <w:rsid w:val="00354F5C"/>
    <w:rsid w:val="00355863"/>
    <w:rsid w:val="0035670A"/>
    <w:rsid w:val="00356A0A"/>
    <w:rsid w:val="00356BF1"/>
    <w:rsid w:val="00357505"/>
    <w:rsid w:val="0036129E"/>
    <w:rsid w:val="003614E3"/>
    <w:rsid w:val="003619F3"/>
    <w:rsid w:val="00362867"/>
    <w:rsid w:val="00362877"/>
    <w:rsid w:val="0036325F"/>
    <w:rsid w:val="003661DE"/>
    <w:rsid w:val="00367C25"/>
    <w:rsid w:val="003715DF"/>
    <w:rsid w:val="00371E74"/>
    <w:rsid w:val="00371F8E"/>
    <w:rsid w:val="00372AE5"/>
    <w:rsid w:val="00373C00"/>
    <w:rsid w:val="0037402B"/>
    <w:rsid w:val="003747C5"/>
    <w:rsid w:val="00374BFB"/>
    <w:rsid w:val="003758AF"/>
    <w:rsid w:val="00375ECD"/>
    <w:rsid w:val="00377851"/>
    <w:rsid w:val="00377A8B"/>
    <w:rsid w:val="00377B6F"/>
    <w:rsid w:val="00377BD1"/>
    <w:rsid w:val="00381FC1"/>
    <w:rsid w:val="003830C6"/>
    <w:rsid w:val="00383C37"/>
    <w:rsid w:val="00384649"/>
    <w:rsid w:val="00387317"/>
    <w:rsid w:val="0038745F"/>
    <w:rsid w:val="0039031A"/>
    <w:rsid w:val="003910CA"/>
    <w:rsid w:val="003911DE"/>
    <w:rsid w:val="00393FEC"/>
    <w:rsid w:val="003942D1"/>
    <w:rsid w:val="003946E7"/>
    <w:rsid w:val="00395019"/>
    <w:rsid w:val="00395BDD"/>
    <w:rsid w:val="003A02E3"/>
    <w:rsid w:val="003A0A72"/>
    <w:rsid w:val="003A1E4E"/>
    <w:rsid w:val="003A2CD5"/>
    <w:rsid w:val="003A57BF"/>
    <w:rsid w:val="003A77B8"/>
    <w:rsid w:val="003B15F6"/>
    <w:rsid w:val="003B2947"/>
    <w:rsid w:val="003B4EF4"/>
    <w:rsid w:val="003B6512"/>
    <w:rsid w:val="003B661F"/>
    <w:rsid w:val="003B7110"/>
    <w:rsid w:val="003C04AF"/>
    <w:rsid w:val="003C24D7"/>
    <w:rsid w:val="003C43FD"/>
    <w:rsid w:val="003C4403"/>
    <w:rsid w:val="003C4790"/>
    <w:rsid w:val="003C665B"/>
    <w:rsid w:val="003C6FC5"/>
    <w:rsid w:val="003C7938"/>
    <w:rsid w:val="003D0546"/>
    <w:rsid w:val="003D0C26"/>
    <w:rsid w:val="003D1377"/>
    <w:rsid w:val="003D1451"/>
    <w:rsid w:val="003D4E6E"/>
    <w:rsid w:val="003D5126"/>
    <w:rsid w:val="003D531E"/>
    <w:rsid w:val="003D78F4"/>
    <w:rsid w:val="003D7C6A"/>
    <w:rsid w:val="003E0C16"/>
    <w:rsid w:val="003E0D38"/>
    <w:rsid w:val="003E11E0"/>
    <w:rsid w:val="003E132B"/>
    <w:rsid w:val="003E4F71"/>
    <w:rsid w:val="003E5B05"/>
    <w:rsid w:val="003F2F35"/>
    <w:rsid w:val="003F584F"/>
    <w:rsid w:val="003F58E4"/>
    <w:rsid w:val="003F5E22"/>
    <w:rsid w:val="003F6641"/>
    <w:rsid w:val="004006AD"/>
    <w:rsid w:val="00400E4A"/>
    <w:rsid w:val="004031E0"/>
    <w:rsid w:val="0040727C"/>
    <w:rsid w:val="0041044C"/>
    <w:rsid w:val="00410793"/>
    <w:rsid w:val="00410882"/>
    <w:rsid w:val="00410E29"/>
    <w:rsid w:val="00411129"/>
    <w:rsid w:val="00411C26"/>
    <w:rsid w:val="004143E6"/>
    <w:rsid w:val="004145DC"/>
    <w:rsid w:val="00420130"/>
    <w:rsid w:val="00420E73"/>
    <w:rsid w:val="00422697"/>
    <w:rsid w:val="00422FEC"/>
    <w:rsid w:val="00423EB6"/>
    <w:rsid w:val="0042661F"/>
    <w:rsid w:val="00427594"/>
    <w:rsid w:val="00427A45"/>
    <w:rsid w:val="00427EDC"/>
    <w:rsid w:val="00431F3D"/>
    <w:rsid w:val="0043259B"/>
    <w:rsid w:val="00433E8B"/>
    <w:rsid w:val="004349CB"/>
    <w:rsid w:val="00434B0A"/>
    <w:rsid w:val="0043589E"/>
    <w:rsid w:val="00440086"/>
    <w:rsid w:val="00440F7A"/>
    <w:rsid w:val="00442C4D"/>
    <w:rsid w:val="00444043"/>
    <w:rsid w:val="004443A1"/>
    <w:rsid w:val="00445AFA"/>
    <w:rsid w:val="00445EBA"/>
    <w:rsid w:val="004473F6"/>
    <w:rsid w:val="00447DF4"/>
    <w:rsid w:val="00447F51"/>
    <w:rsid w:val="004507A5"/>
    <w:rsid w:val="004519D3"/>
    <w:rsid w:val="00453645"/>
    <w:rsid w:val="00456E6D"/>
    <w:rsid w:val="004573D0"/>
    <w:rsid w:val="00457ADF"/>
    <w:rsid w:val="00460B0F"/>
    <w:rsid w:val="00461775"/>
    <w:rsid w:val="0046230C"/>
    <w:rsid w:val="0046271B"/>
    <w:rsid w:val="00462A59"/>
    <w:rsid w:val="0046455E"/>
    <w:rsid w:val="004666E3"/>
    <w:rsid w:val="0047029E"/>
    <w:rsid w:val="00470D6A"/>
    <w:rsid w:val="00471612"/>
    <w:rsid w:val="004716A0"/>
    <w:rsid w:val="00474353"/>
    <w:rsid w:val="00475F43"/>
    <w:rsid w:val="00476335"/>
    <w:rsid w:val="0048025D"/>
    <w:rsid w:val="0048147F"/>
    <w:rsid w:val="00481FC4"/>
    <w:rsid w:val="00485442"/>
    <w:rsid w:val="00485EFB"/>
    <w:rsid w:val="004878E7"/>
    <w:rsid w:val="00492DBC"/>
    <w:rsid w:val="00492DD4"/>
    <w:rsid w:val="00492F20"/>
    <w:rsid w:val="004959D5"/>
    <w:rsid w:val="004974A9"/>
    <w:rsid w:val="004A42A5"/>
    <w:rsid w:val="004A5882"/>
    <w:rsid w:val="004A58D8"/>
    <w:rsid w:val="004A6706"/>
    <w:rsid w:val="004A7216"/>
    <w:rsid w:val="004A7539"/>
    <w:rsid w:val="004B386C"/>
    <w:rsid w:val="004B58CE"/>
    <w:rsid w:val="004B61EF"/>
    <w:rsid w:val="004B6FBF"/>
    <w:rsid w:val="004C114F"/>
    <w:rsid w:val="004C362E"/>
    <w:rsid w:val="004C3A3D"/>
    <w:rsid w:val="004C5387"/>
    <w:rsid w:val="004C57AD"/>
    <w:rsid w:val="004D01E4"/>
    <w:rsid w:val="004D111B"/>
    <w:rsid w:val="004D52DC"/>
    <w:rsid w:val="004D68B5"/>
    <w:rsid w:val="004E053D"/>
    <w:rsid w:val="004E14A3"/>
    <w:rsid w:val="004E22D0"/>
    <w:rsid w:val="004E2781"/>
    <w:rsid w:val="004E2C86"/>
    <w:rsid w:val="004E2CE9"/>
    <w:rsid w:val="004E2E6B"/>
    <w:rsid w:val="004E300A"/>
    <w:rsid w:val="004E3EF8"/>
    <w:rsid w:val="004E449F"/>
    <w:rsid w:val="004E5DD7"/>
    <w:rsid w:val="004E5F29"/>
    <w:rsid w:val="004E64F0"/>
    <w:rsid w:val="004E66A2"/>
    <w:rsid w:val="004F290B"/>
    <w:rsid w:val="004F30A6"/>
    <w:rsid w:val="004F5BFE"/>
    <w:rsid w:val="005008C4"/>
    <w:rsid w:val="00500989"/>
    <w:rsid w:val="00501E68"/>
    <w:rsid w:val="005023BC"/>
    <w:rsid w:val="00502551"/>
    <w:rsid w:val="005034C2"/>
    <w:rsid w:val="00503BE3"/>
    <w:rsid w:val="00503D5B"/>
    <w:rsid w:val="00504112"/>
    <w:rsid w:val="0050506E"/>
    <w:rsid w:val="00505FF3"/>
    <w:rsid w:val="0050619E"/>
    <w:rsid w:val="00506F19"/>
    <w:rsid w:val="005104D2"/>
    <w:rsid w:val="00515D58"/>
    <w:rsid w:val="0051612D"/>
    <w:rsid w:val="00516ECF"/>
    <w:rsid w:val="0051750F"/>
    <w:rsid w:val="0052059D"/>
    <w:rsid w:val="005223E8"/>
    <w:rsid w:val="00523338"/>
    <w:rsid w:val="00523C07"/>
    <w:rsid w:val="00523EFB"/>
    <w:rsid w:val="00524332"/>
    <w:rsid w:val="00530B1E"/>
    <w:rsid w:val="0053105D"/>
    <w:rsid w:val="0053119F"/>
    <w:rsid w:val="00531CAA"/>
    <w:rsid w:val="005329C3"/>
    <w:rsid w:val="005330FB"/>
    <w:rsid w:val="00533AD9"/>
    <w:rsid w:val="005340E9"/>
    <w:rsid w:val="0053485D"/>
    <w:rsid w:val="00534E1F"/>
    <w:rsid w:val="00535449"/>
    <w:rsid w:val="00537AD3"/>
    <w:rsid w:val="00541501"/>
    <w:rsid w:val="005461D7"/>
    <w:rsid w:val="00546C56"/>
    <w:rsid w:val="005471C1"/>
    <w:rsid w:val="005471F9"/>
    <w:rsid w:val="005479F2"/>
    <w:rsid w:val="00547FB6"/>
    <w:rsid w:val="005502EE"/>
    <w:rsid w:val="005518A0"/>
    <w:rsid w:val="00560781"/>
    <w:rsid w:val="00560A4B"/>
    <w:rsid w:val="00562614"/>
    <w:rsid w:val="00562A39"/>
    <w:rsid w:val="00565022"/>
    <w:rsid w:val="0056734D"/>
    <w:rsid w:val="00567473"/>
    <w:rsid w:val="00567FBC"/>
    <w:rsid w:val="00570273"/>
    <w:rsid w:val="00570F9B"/>
    <w:rsid w:val="00571406"/>
    <w:rsid w:val="00572482"/>
    <w:rsid w:val="005728BB"/>
    <w:rsid w:val="00572B64"/>
    <w:rsid w:val="00575738"/>
    <w:rsid w:val="005759A7"/>
    <w:rsid w:val="00575FE6"/>
    <w:rsid w:val="00577497"/>
    <w:rsid w:val="005778B1"/>
    <w:rsid w:val="005800BE"/>
    <w:rsid w:val="005803BD"/>
    <w:rsid w:val="00580DC8"/>
    <w:rsid w:val="00580DD9"/>
    <w:rsid w:val="00581445"/>
    <w:rsid w:val="00581463"/>
    <w:rsid w:val="00582DAD"/>
    <w:rsid w:val="005830C9"/>
    <w:rsid w:val="00584612"/>
    <w:rsid w:val="005867DE"/>
    <w:rsid w:val="00586D79"/>
    <w:rsid w:val="00587222"/>
    <w:rsid w:val="00587587"/>
    <w:rsid w:val="00587CF9"/>
    <w:rsid w:val="00590025"/>
    <w:rsid w:val="0059017D"/>
    <w:rsid w:val="00590DB4"/>
    <w:rsid w:val="00591D12"/>
    <w:rsid w:val="0059404F"/>
    <w:rsid w:val="00594636"/>
    <w:rsid w:val="005949EC"/>
    <w:rsid w:val="00596122"/>
    <w:rsid w:val="005969F0"/>
    <w:rsid w:val="00596B8D"/>
    <w:rsid w:val="00596D6A"/>
    <w:rsid w:val="005A06C9"/>
    <w:rsid w:val="005A20EA"/>
    <w:rsid w:val="005A3BA6"/>
    <w:rsid w:val="005A442F"/>
    <w:rsid w:val="005A484F"/>
    <w:rsid w:val="005A498B"/>
    <w:rsid w:val="005A49D4"/>
    <w:rsid w:val="005A63F0"/>
    <w:rsid w:val="005A6AF9"/>
    <w:rsid w:val="005A7C3F"/>
    <w:rsid w:val="005A7E67"/>
    <w:rsid w:val="005A7F3A"/>
    <w:rsid w:val="005B0AC9"/>
    <w:rsid w:val="005B12A5"/>
    <w:rsid w:val="005B265F"/>
    <w:rsid w:val="005B41CA"/>
    <w:rsid w:val="005B43C7"/>
    <w:rsid w:val="005B4ADF"/>
    <w:rsid w:val="005B4C2A"/>
    <w:rsid w:val="005B6052"/>
    <w:rsid w:val="005C0747"/>
    <w:rsid w:val="005C09B8"/>
    <w:rsid w:val="005C308E"/>
    <w:rsid w:val="005C3303"/>
    <w:rsid w:val="005C3D84"/>
    <w:rsid w:val="005C4DB6"/>
    <w:rsid w:val="005C5CFB"/>
    <w:rsid w:val="005C69DC"/>
    <w:rsid w:val="005C7CFE"/>
    <w:rsid w:val="005D0779"/>
    <w:rsid w:val="005D1712"/>
    <w:rsid w:val="005D2536"/>
    <w:rsid w:val="005D3D68"/>
    <w:rsid w:val="005D3E29"/>
    <w:rsid w:val="005D4006"/>
    <w:rsid w:val="005D4CD8"/>
    <w:rsid w:val="005D5D3D"/>
    <w:rsid w:val="005E1580"/>
    <w:rsid w:val="005E18F8"/>
    <w:rsid w:val="005E1FC2"/>
    <w:rsid w:val="005E2F7B"/>
    <w:rsid w:val="005E3423"/>
    <w:rsid w:val="005E52D2"/>
    <w:rsid w:val="005E59A4"/>
    <w:rsid w:val="005E67FF"/>
    <w:rsid w:val="005E68D3"/>
    <w:rsid w:val="005E7600"/>
    <w:rsid w:val="005F35CB"/>
    <w:rsid w:val="005F3FEF"/>
    <w:rsid w:val="005F56A3"/>
    <w:rsid w:val="005F7737"/>
    <w:rsid w:val="005F7B84"/>
    <w:rsid w:val="00602503"/>
    <w:rsid w:val="006037F0"/>
    <w:rsid w:val="00603BB5"/>
    <w:rsid w:val="00604511"/>
    <w:rsid w:val="00605C3A"/>
    <w:rsid w:val="0061193D"/>
    <w:rsid w:val="00612687"/>
    <w:rsid w:val="00613805"/>
    <w:rsid w:val="00614EF4"/>
    <w:rsid w:val="00615B26"/>
    <w:rsid w:val="00623FBA"/>
    <w:rsid w:val="006248EC"/>
    <w:rsid w:val="00624E46"/>
    <w:rsid w:val="006250EB"/>
    <w:rsid w:val="00625146"/>
    <w:rsid w:val="0062571A"/>
    <w:rsid w:val="006272A3"/>
    <w:rsid w:val="00627954"/>
    <w:rsid w:val="006311DE"/>
    <w:rsid w:val="00635566"/>
    <w:rsid w:val="00640502"/>
    <w:rsid w:val="00642226"/>
    <w:rsid w:val="006436C5"/>
    <w:rsid w:val="00646404"/>
    <w:rsid w:val="00646C08"/>
    <w:rsid w:val="006525E8"/>
    <w:rsid w:val="0065271E"/>
    <w:rsid w:val="00652FA2"/>
    <w:rsid w:val="00655075"/>
    <w:rsid w:val="006559C1"/>
    <w:rsid w:val="00657040"/>
    <w:rsid w:val="0066222E"/>
    <w:rsid w:val="00662688"/>
    <w:rsid w:val="00662F34"/>
    <w:rsid w:val="0066521F"/>
    <w:rsid w:val="00667E88"/>
    <w:rsid w:val="00670308"/>
    <w:rsid w:val="00671264"/>
    <w:rsid w:val="0067215D"/>
    <w:rsid w:val="006737C9"/>
    <w:rsid w:val="00674609"/>
    <w:rsid w:val="00674A8C"/>
    <w:rsid w:val="0067725C"/>
    <w:rsid w:val="00677276"/>
    <w:rsid w:val="006817FC"/>
    <w:rsid w:val="00681895"/>
    <w:rsid w:val="006855AD"/>
    <w:rsid w:val="006863E5"/>
    <w:rsid w:val="0068751E"/>
    <w:rsid w:val="00691BAC"/>
    <w:rsid w:val="00691F2E"/>
    <w:rsid w:val="006949A7"/>
    <w:rsid w:val="0069590E"/>
    <w:rsid w:val="00696443"/>
    <w:rsid w:val="006A1208"/>
    <w:rsid w:val="006A1AFF"/>
    <w:rsid w:val="006A1EFF"/>
    <w:rsid w:val="006A2333"/>
    <w:rsid w:val="006A361D"/>
    <w:rsid w:val="006A3660"/>
    <w:rsid w:val="006A5354"/>
    <w:rsid w:val="006A5D0A"/>
    <w:rsid w:val="006A65A4"/>
    <w:rsid w:val="006A6FB0"/>
    <w:rsid w:val="006A7308"/>
    <w:rsid w:val="006A7C39"/>
    <w:rsid w:val="006B025E"/>
    <w:rsid w:val="006B5778"/>
    <w:rsid w:val="006B7CB2"/>
    <w:rsid w:val="006C1AC3"/>
    <w:rsid w:val="006C2803"/>
    <w:rsid w:val="006C3FEA"/>
    <w:rsid w:val="006C407C"/>
    <w:rsid w:val="006C512E"/>
    <w:rsid w:val="006C5B5C"/>
    <w:rsid w:val="006C645E"/>
    <w:rsid w:val="006C7C5A"/>
    <w:rsid w:val="006C7D89"/>
    <w:rsid w:val="006D0B20"/>
    <w:rsid w:val="006D1468"/>
    <w:rsid w:val="006D2571"/>
    <w:rsid w:val="006D2BDC"/>
    <w:rsid w:val="006D3F04"/>
    <w:rsid w:val="006D59F5"/>
    <w:rsid w:val="006D60F6"/>
    <w:rsid w:val="006D6A01"/>
    <w:rsid w:val="006D6CBC"/>
    <w:rsid w:val="006D7ACB"/>
    <w:rsid w:val="006E0D02"/>
    <w:rsid w:val="006E164F"/>
    <w:rsid w:val="006E3C49"/>
    <w:rsid w:val="006E6DE9"/>
    <w:rsid w:val="006F003D"/>
    <w:rsid w:val="006F0FA1"/>
    <w:rsid w:val="006F3C71"/>
    <w:rsid w:val="006F3D56"/>
    <w:rsid w:val="006F5CED"/>
    <w:rsid w:val="006F638F"/>
    <w:rsid w:val="007015C7"/>
    <w:rsid w:val="00702D12"/>
    <w:rsid w:val="00703848"/>
    <w:rsid w:val="007046EF"/>
    <w:rsid w:val="0070603A"/>
    <w:rsid w:val="00706940"/>
    <w:rsid w:val="007103A1"/>
    <w:rsid w:val="00710878"/>
    <w:rsid w:val="00710E64"/>
    <w:rsid w:val="00711470"/>
    <w:rsid w:val="00711DAF"/>
    <w:rsid w:val="00713B34"/>
    <w:rsid w:val="0071485B"/>
    <w:rsid w:val="007157B5"/>
    <w:rsid w:val="0071605F"/>
    <w:rsid w:val="00716A7A"/>
    <w:rsid w:val="00720335"/>
    <w:rsid w:val="007208B0"/>
    <w:rsid w:val="007216AD"/>
    <w:rsid w:val="00721D6A"/>
    <w:rsid w:val="0072495F"/>
    <w:rsid w:val="00725F8A"/>
    <w:rsid w:val="00731865"/>
    <w:rsid w:val="00731FD9"/>
    <w:rsid w:val="00733CDD"/>
    <w:rsid w:val="007359DE"/>
    <w:rsid w:val="00737B6C"/>
    <w:rsid w:val="0074015A"/>
    <w:rsid w:val="007422F2"/>
    <w:rsid w:val="00743559"/>
    <w:rsid w:val="0074435C"/>
    <w:rsid w:val="00744BEB"/>
    <w:rsid w:val="00745241"/>
    <w:rsid w:val="00750497"/>
    <w:rsid w:val="00752602"/>
    <w:rsid w:val="007530D5"/>
    <w:rsid w:val="00755613"/>
    <w:rsid w:val="007617C2"/>
    <w:rsid w:val="00761879"/>
    <w:rsid w:val="00761ED1"/>
    <w:rsid w:val="00764A04"/>
    <w:rsid w:val="0076595D"/>
    <w:rsid w:val="0077265E"/>
    <w:rsid w:val="007726E9"/>
    <w:rsid w:val="00772C36"/>
    <w:rsid w:val="007732D9"/>
    <w:rsid w:val="00774406"/>
    <w:rsid w:val="00775065"/>
    <w:rsid w:val="007752D6"/>
    <w:rsid w:val="00775925"/>
    <w:rsid w:val="00776761"/>
    <w:rsid w:val="00777A9F"/>
    <w:rsid w:val="00777FF1"/>
    <w:rsid w:val="00780581"/>
    <w:rsid w:val="00781B19"/>
    <w:rsid w:val="00781DD2"/>
    <w:rsid w:val="00782315"/>
    <w:rsid w:val="007826E3"/>
    <w:rsid w:val="00783D88"/>
    <w:rsid w:val="00784CEF"/>
    <w:rsid w:val="00787D72"/>
    <w:rsid w:val="00790AE0"/>
    <w:rsid w:val="00791D26"/>
    <w:rsid w:val="00791E9B"/>
    <w:rsid w:val="00793744"/>
    <w:rsid w:val="00794B3A"/>
    <w:rsid w:val="007958C2"/>
    <w:rsid w:val="00797EEA"/>
    <w:rsid w:val="007A0A5C"/>
    <w:rsid w:val="007A0C68"/>
    <w:rsid w:val="007A15F2"/>
    <w:rsid w:val="007A4B07"/>
    <w:rsid w:val="007A6F6E"/>
    <w:rsid w:val="007A763E"/>
    <w:rsid w:val="007A78A5"/>
    <w:rsid w:val="007B13EA"/>
    <w:rsid w:val="007B237F"/>
    <w:rsid w:val="007B273F"/>
    <w:rsid w:val="007B3462"/>
    <w:rsid w:val="007B357B"/>
    <w:rsid w:val="007B4DBF"/>
    <w:rsid w:val="007B5212"/>
    <w:rsid w:val="007B5A61"/>
    <w:rsid w:val="007B6641"/>
    <w:rsid w:val="007B7112"/>
    <w:rsid w:val="007B787E"/>
    <w:rsid w:val="007B7DFE"/>
    <w:rsid w:val="007C03D9"/>
    <w:rsid w:val="007C0501"/>
    <w:rsid w:val="007C1BA1"/>
    <w:rsid w:val="007C66F7"/>
    <w:rsid w:val="007C67C0"/>
    <w:rsid w:val="007C6ACE"/>
    <w:rsid w:val="007C7A66"/>
    <w:rsid w:val="007D022A"/>
    <w:rsid w:val="007D0B96"/>
    <w:rsid w:val="007D338A"/>
    <w:rsid w:val="007D5349"/>
    <w:rsid w:val="007D5769"/>
    <w:rsid w:val="007D597E"/>
    <w:rsid w:val="007D5AC4"/>
    <w:rsid w:val="007D77A4"/>
    <w:rsid w:val="007E17C5"/>
    <w:rsid w:val="007E4AE7"/>
    <w:rsid w:val="007E516A"/>
    <w:rsid w:val="007E5185"/>
    <w:rsid w:val="007E7015"/>
    <w:rsid w:val="007F1D60"/>
    <w:rsid w:val="007F2457"/>
    <w:rsid w:val="007F5A21"/>
    <w:rsid w:val="007F6C89"/>
    <w:rsid w:val="007F7C14"/>
    <w:rsid w:val="008002A5"/>
    <w:rsid w:val="00801415"/>
    <w:rsid w:val="00801DFD"/>
    <w:rsid w:val="00802A3D"/>
    <w:rsid w:val="00802E72"/>
    <w:rsid w:val="00805803"/>
    <w:rsid w:val="00807FE8"/>
    <w:rsid w:val="00811B76"/>
    <w:rsid w:val="00812091"/>
    <w:rsid w:val="00812954"/>
    <w:rsid w:val="00812C55"/>
    <w:rsid w:val="00816AB1"/>
    <w:rsid w:val="00822F72"/>
    <w:rsid w:val="00824CB3"/>
    <w:rsid w:val="0082697D"/>
    <w:rsid w:val="00831C5B"/>
    <w:rsid w:val="00837A1D"/>
    <w:rsid w:val="008400C7"/>
    <w:rsid w:val="00840E52"/>
    <w:rsid w:val="00840E80"/>
    <w:rsid w:val="00841BA4"/>
    <w:rsid w:val="0084523F"/>
    <w:rsid w:val="00845E5B"/>
    <w:rsid w:val="0084747D"/>
    <w:rsid w:val="00847C2C"/>
    <w:rsid w:val="00847F23"/>
    <w:rsid w:val="0085089B"/>
    <w:rsid w:val="0085149D"/>
    <w:rsid w:val="0085241E"/>
    <w:rsid w:val="00852E48"/>
    <w:rsid w:val="00853916"/>
    <w:rsid w:val="0085396C"/>
    <w:rsid w:val="0085419B"/>
    <w:rsid w:val="0085487C"/>
    <w:rsid w:val="00855DCE"/>
    <w:rsid w:val="0086130D"/>
    <w:rsid w:val="008616A8"/>
    <w:rsid w:val="008638BA"/>
    <w:rsid w:val="008647EC"/>
    <w:rsid w:val="00864DB7"/>
    <w:rsid w:val="00865182"/>
    <w:rsid w:val="008656BF"/>
    <w:rsid w:val="008663A4"/>
    <w:rsid w:val="00866C28"/>
    <w:rsid w:val="00867A5E"/>
    <w:rsid w:val="00870C5A"/>
    <w:rsid w:val="008714A0"/>
    <w:rsid w:val="008724E8"/>
    <w:rsid w:val="00872C82"/>
    <w:rsid w:val="00872CB0"/>
    <w:rsid w:val="00873DD6"/>
    <w:rsid w:val="00873FEB"/>
    <w:rsid w:val="00874DB0"/>
    <w:rsid w:val="008756CB"/>
    <w:rsid w:val="00875980"/>
    <w:rsid w:val="00875C4B"/>
    <w:rsid w:val="008765BF"/>
    <w:rsid w:val="008768AF"/>
    <w:rsid w:val="00880E63"/>
    <w:rsid w:val="00881427"/>
    <w:rsid w:val="00882016"/>
    <w:rsid w:val="00882E96"/>
    <w:rsid w:val="00885781"/>
    <w:rsid w:val="00885DE6"/>
    <w:rsid w:val="00890000"/>
    <w:rsid w:val="00890D11"/>
    <w:rsid w:val="00891DA9"/>
    <w:rsid w:val="00893367"/>
    <w:rsid w:val="00894ED3"/>
    <w:rsid w:val="00895CB7"/>
    <w:rsid w:val="00895DCB"/>
    <w:rsid w:val="008961EE"/>
    <w:rsid w:val="0089671E"/>
    <w:rsid w:val="00896FA4"/>
    <w:rsid w:val="00897815"/>
    <w:rsid w:val="008A0B34"/>
    <w:rsid w:val="008A2848"/>
    <w:rsid w:val="008A3B05"/>
    <w:rsid w:val="008A3FE0"/>
    <w:rsid w:val="008A4C29"/>
    <w:rsid w:val="008B01DD"/>
    <w:rsid w:val="008B1380"/>
    <w:rsid w:val="008B23CD"/>
    <w:rsid w:val="008B33D6"/>
    <w:rsid w:val="008B362F"/>
    <w:rsid w:val="008B4FDD"/>
    <w:rsid w:val="008B6E2A"/>
    <w:rsid w:val="008C36C6"/>
    <w:rsid w:val="008C4B4E"/>
    <w:rsid w:val="008C70F2"/>
    <w:rsid w:val="008C75A7"/>
    <w:rsid w:val="008C7CF1"/>
    <w:rsid w:val="008D01C3"/>
    <w:rsid w:val="008D2223"/>
    <w:rsid w:val="008D39A6"/>
    <w:rsid w:val="008D4F42"/>
    <w:rsid w:val="008D5E2F"/>
    <w:rsid w:val="008D61BA"/>
    <w:rsid w:val="008D65D0"/>
    <w:rsid w:val="008D7306"/>
    <w:rsid w:val="008D7D5A"/>
    <w:rsid w:val="008E15AD"/>
    <w:rsid w:val="008E1A46"/>
    <w:rsid w:val="008E1D24"/>
    <w:rsid w:val="008E1DED"/>
    <w:rsid w:val="008E1E54"/>
    <w:rsid w:val="008E3A95"/>
    <w:rsid w:val="008E4ADF"/>
    <w:rsid w:val="008E5E32"/>
    <w:rsid w:val="008E6AE9"/>
    <w:rsid w:val="008F0815"/>
    <w:rsid w:val="008F1440"/>
    <w:rsid w:val="008F1A77"/>
    <w:rsid w:val="008F1B54"/>
    <w:rsid w:val="008F2755"/>
    <w:rsid w:val="008F3173"/>
    <w:rsid w:val="008F497A"/>
    <w:rsid w:val="008F72A9"/>
    <w:rsid w:val="008F7392"/>
    <w:rsid w:val="008F771B"/>
    <w:rsid w:val="009002D3"/>
    <w:rsid w:val="00901495"/>
    <w:rsid w:val="00901FF6"/>
    <w:rsid w:val="009020DC"/>
    <w:rsid w:val="009023F8"/>
    <w:rsid w:val="00904212"/>
    <w:rsid w:val="00904DFE"/>
    <w:rsid w:val="00904F85"/>
    <w:rsid w:val="00905683"/>
    <w:rsid w:val="00906777"/>
    <w:rsid w:val="00906BDF"/>
    <w:rsid w:val="009078FB"/>
    <w:rsid w:val="00910AF9"/>
    <w:rsid w:val="009125CE"/>
    <w:rsid w:val="009134F7"/>
    <w:rsid w:val="00914B25"/>
    <w:rsid w:val="009170CA"/>
    <w:rsid w:val="00921217"/>
    <w:rsid w:val="00921F91"/>
    <w:rsid w:val="00922D17"/>
    <w:rsid w:val="009243D1"/>
    <w:rsid w:val="009247AA"/>
    <w:rsid w:val="00924F24"/>
    <w:rsid w:val="00926AD5"/>
    <w:rsid w:val="00926ED0"/>
    <w:rsid w:val="009278C9"/>
    <w:rsid w:val="009301F1"/>
    <w:rsid w:val="00930258"/>
    <w:rsid w:val="009319AC"/>
    <w:rsid w:val="00932AEB"/>
    <w:rsid w:val="00932FC0"/>
    <w:rsid w:val="00933889"/>
    <w:rsid w:val="009339D8"/>
    <w:rsid w:val="00935224"/>
    <w:rsid w:val="00935A7D"/>
    <w:rsid w:val="009365DD"/>
    <w:rsid w:val="00941035"/>
    <w:rsid w:val="00941700"/>
    <w:rsid w:val="00941F68"/>
    <w:rsid w:val="0094323A"/>
    <w:rsid w:val="009437D3"/>
    <w:rsid w:val="00943EA0"/>
    <w:rsid w:val="00944C20"/>
    <w:rsid w:val="009453C3"/>
    <w:rsid w:val="00950031"/>
    <w:rsid w:val="009503E0"/>
    <w:rsid w:val="00950E04"/>
    <w:rsid w:val="00951882"/>
    <w:rsid w:val="009527FA"/>
    <w:rsid w:val="00952B78"/>
    <w:rsid w:val="00952FF7"/>
    <w:rsid w:val="009534C9"/>
    <w:rsid w:val="009559BA"/>
    <w:rsid w:val="009568C4"/>
    <w:rsid w:val="009601D8"/>
    <w:rsid w:val="009605F6"/>
    <w:rsid w:val="0096137F"/>
    <w:rsid w:val="00962E5B"/>
    <w:rsid w:val="00963DC0"/>
    <w:rsid w:val="009669D7"/>
    <w:rsid w:val="00966BD7"/>
    <w:rsid w:val="0096763C"/>
    <w:rsid w:val="009702C3"/>
    <w:rsid w:val="00971150"/>
    <w:rsid w:val="009713B6"/>
    <w:rsid w:val="009713E2"/>
    <w:rsid w:val="0097223B"/>
    <w:rsid w:val="009724A3"/>
    <w:rsid w:val="00972E87"/>
    <w:rsid w:val="00973A85"/>
    <w:rsid w:val="00974211"/>
    <w:rsid w:val="0097464E"/>
    <w:rsid w:val="00975A8A"/>
    <w:rsid w:val="009762C4"/>
    <w:rsid w:val="009764D4"/>
    <w:rsid w:val="00977E35"/>
    <w:rsid w:val="00980A61"/>
    <w:rsid w:val="00981FEB"/>
    <w:rsid w:val="009837BC"/>
    <w:rsid w:val="009837D7"/>
    <w:rsid w:val="009852DB"/>
    <w:rsid w:val="00985808"/>
    <w:rsid w:val="00986EF5"/>
    <w:rsid w:val="009879C8"/>
    <w:rsid w:val="009907FB"/>
    <w:rsid w:val="00991601"/>
    <w:rsid w:val="009928FF"/>
    <w:rsid w:val="0099591C"/>
    <w:rsid w:val="00996959"/>
    <w:rsid w:val="009969D1"/>
    <w:rsid w:val="009973FE"/>
    <w:rsid w:val="009A17AD"/>
    <w:rsid w:val="009A1B35"/>
    <w:rsid w:val="009A218B"/>
    <w:rsid w:val="009A2279"/>
    <w:rsid w:val="009A2590"/>
    <w:rsid w:val="009A2827"/>
    <w:rsid w:val="009A3264"/>
    <w:rsid w:val="009A3D92"/>
    <w:rsid w:val="009A5FB2"/>
    <w:rsid w:val="009A74FC"/>
    <w:rsid w:val="009B2B5F"/>
    <w:rsid w:val="009B31C6"/>
    <w:rsid w:val="009B51CC"/>
    <w:rsid w:val="009B5445"/>
    <w:rsid w:val="009B602D"/>
    <w:rsid w:val="009B6054"/>
    <w:rsid w:val="009C065A"/>
    <w:rsid w:val="009C20D0"/>
    <w:rsid w:val="009C3128"/>
    <w:rsid w:val="009C3461"/>
    <w:rsid w:val="009C3C97"/>
    <w:rsid w:val="009C5FC6"/>
    <w:rsid w:val="009C793C"/>
    <w:rsid w:val="009D1868"/>
    <w:rsid w:val="009D1FA4"/>
    <w:rsid w:val="009D2F8B"/>
    <w:rsid w:val="009D4A1E"/>
    <w:rsid w:val="009D4F8B"/>
    <w:rsid w:val="009D5A82"/>
    <w:rsid w:val="009D610E"/>
    <w:rsid w:val="009D7AFB"/>
    <w:rsid w:val="009E0400"/>
    <w:rsid w:val="009E3A94"/>
    <w:rsid w:val="009E3F1C"/>
    <w:rsid w:val="009E48B7"/>
    <w:rsid w:val="009E5422"/>
    <w:rsid w:val="009E67C3"/>
    <w:rsid w:val="009F0F53"/>
    <w:rsid w:val="009F1A15"/>
    <w:rsid w:val="009F1D60"/>
    <w:rsid w:val="009F357B"/>
    <w:rsid w:val="009F5232"/>
    <w:rsid w:val="009F6454"/>
    <w:rsid w:val="00A00560"/>
    <w:rsid w:val="00A005B9"/>
    <w:rsid w:val="00A005FD"/>
    <w:rsid w:val="00A01AD5"/>
    <w:rsid w:val="00A01C75"/>
    <w:rsid w:val="00A02CD5"/>
    <w:rsid w:val="00A031AA"/>
    <w:rsid w:val="00A041F1"/>
    <w:rsid w:val="00A052B0"/>
    <w:rsid w:val="00A0578A"/>
    <w:rsid w:val="00A05B74"/>
    <w:rsid w:val="00A07CE2"/>
    <w:rsid w:val="00A110F2"/>
    <w:rsid w:val="00A119A3"/>
    <w:rsid w:val="00A13EEE"/>
    <w:rsid w:val="00A1607C"/>
    <w:rsid w:val="00A201B6"/>
    <w:rsid w:val="00A203C3"/>
    <w:rsid w:val="00A204AF"/>
    <w:rsid w:val="00A2060F"/>
    <w:rsid w:val="00A20B15"/>
    <w:rsid w:val="00A23664"/>
    <w:rsid w:val="00A24489"/>
    <w:rsid w:val="00A255C7"/>
    <w:rsid w:val="00A25C61"/>
    <w:rsid w:val="00A31A25"/>
    <w:rsid w:val="00A31C34"/>
    <w:rsid w:val="00A32A02"/>
    <w:rsid w:val="00A32E56"/>
    <w:rsid w:val="00A33FF3"/>
    <w:rsid w:val="00A34185"/>
    <w:rsid w:val="00A3584A"/>
    <w:rsid w:val="00A36540"/>
    <w:rsid w:val="00A3772E"/>
    <w:rsid w:val="00A4002E"/>
    <w:rsid w:val="00A406F2"/>
    <w:rsid w:val="00A41009"/>
    <w:rsid w:val="00A42044"/>
    <w:rsid w:val="00A423B4"/>
    <w:rsid w:val="00A43D04"/>
    <w:rsid w:val="00A44BA0"/>
    <w:rsid w:val="00A457D7"/>
    <w:rsid w:val="00A4774A"/>
    <w:rsid w:val="00A47A33"/>
    <w:rsid w:val="00A51180"/>
    <w:rsid w:val="00A560F0"/>
    <w:rsid w:val="00A57833"/>
    <w:rsid w:val="00A60156"/>
    <w:rsid w:val="00A62C82"/>
    <w:rsid w:val="00A63A20"/>
    <w:rsid w:val="00A63DCC"/>
    <w:rsid w:val="00A64A44"/>
    <w:rsid w:val="00A66520"/>
    <w:rsid w:val="00A707D5"/>
    <w:rsid w:val="00A70849"/>
    <w:rsid w:val="00A71DD0"/>
    <w:rsid w:val="00A7297A"/>
    <w:rsid w:val="00A72AB6"/>
    <w:rsid w:val="00A736C9"/>
    <w:rsid w:val="00A7581F"/>
    <w:rsid w:val="00A832AF"/>
    <w:rsid w:val="00A84619"/>
    <w:rsid w:val="00A8493C"/>
    <w:rsid w:val="00A87A1D"/>
    <w:rsid w:val="00A87D78"/>
    <w:rsid w:val="00A87F13"/>
    <w:rsid w:val="00A91AEB"/>
    <w:rsid w:val="00A91DB7"/>
    <w:rsid w:val="00A94948"/>
    <w:rsid w:val="00A9637E"/>
    <w:rsid w:val="00A96405"/>
    <w:rsid w:val="00A9690E"/>
    <w:rsid w:val="00AA2D2F"/>
    <w:rsid w:val="00AA307A"/>
    <w:rsid w:val="00AA3BE1"/>
    <w:rsid w:val="00AA505E"/>
    <w:rsid w:val="00AA527C"/>
    <w:rsid w:val="00AB1085"/>
    <w:rsid w:val="00AB2CD8"/>
    <w:rsid w:val="00AB317B"/>
    <w:rsid w:val="00AB3F93"/>
    <w:rsid w:val="00AB5D1A"/>
    <w:rsid w:val="00AB637E"/>
    <w:rsid w:val="00AC0D7E"/>
    <w:rsid w:val="00AC2073"/>
    <w:rsid w:val="00AC3120"/>
    <w:rsid w:val="00AC3F49"/>
    <w:rsid w:val="00AC4F23"/>
    <w:rsid w:val="00AC5BB2"/>
    <w:rsid w:val="00AC5E93"/>
    <w:rsid w:val="00AC71C1"/>
    <w:rsid w:val="00AD086B"/>
    <w:rsid w:val="00AD14A6"/>
    <w:rsid w:val="00AD573D"/>
    <w:rsid w:val="00AD6654"/>
    <w:rsid w:val="00AD70AA"/>
    <w:rsid w:val="00AE2BF3"/>
    <w:rsid w:val="00AE4B82"/>
    <w:rsid w:val="00AF0149"/>
    <w:rsid w:val="00AF0A68"/>
    <w:rsid w:val="00AF1210"/>
    <w:rsid w:val="00AF20D9"/>
    <w:rsid w:val="00AF2291"/>
    <w:rsid w:val="00AF2889"/>
    <w:rsid w:val="00AF2A70"/>
    <w:rsid w:val="00AF2DB7"/>
    <w:rsid w:val="00AF50EC"/>
    <w:rsid w:val="00AF5C6B"/>
    <w:rsid w:val="00AF6655"/>
    <w:rsid w:val="00AF710A"/>
    <w:rsid w:val="00AF7F45"/>
    <w:rsid w:val="00B0000E"/>
    <w:rsid w:val="00B00DC4"/>
    <w:rsid w:val="00B03087"/>
    <w:rsid w:val="00B037D0"/>
    <w:rsid w:val="00B042FB"/>
    <w:rsid w:val="00B04FA1"/>
    <w:rsid w:val="00B062DD"/>
    <w:rsid w:val="00B063AD"/>
    <w:rsid w:val="00B078F2"/>
    <w:rsid w:val="00B11399"/>
    <w:rsid w:val="00B1208B"/>
    <w:rsid w:val="00B136B1"/>
    <w:rsid w:val="00B13CC8"/>
    <w:rsid w:val="00B153C8"/>
    <w:rsid w:val="00B164CC"/>
    <w:rsid w:val="00B20F2C"/>
    <w:rsid w:val="00B219F3"/>
    <w:rsid w:val="00B22D9E"/>
    <w:rsid w:val="00B249FC"/>
    <w:rsid w:val="00B24BBE"/>
    <w:rsid w:val="00B252B0"/>
    <w:rsid w:val="00B25B8C"/>
    <w:rsid w:val="00B2649F"/>
    <w:rsid w:val="00B3284F"/>
    <w:rsid w:val="00B33D64"/>
    <w:rsid w:val="00B34184"/>
    <w:rsid w:val="00B34826"/>
    <w:rsid w:val="00B35236"/>
    <w:rsid w:val="00B35F3C"/>
    <w:rsid w:val="00B374EF"/>
    <w:rsid w:val="00B379CE"/>
    <w:rsid w:val="00B45B3C"/>
    <w:rsid w:val="00B47452"/>
    <w:rsid w:val="00B47F12"/>
    <w:rsid w:val="00B506FD"/>
    <w:rsid w:val="00B5146F"/>
    <w:rsid w:val="00B51648"/>
    <w:rsid w:val="00B51EC7"/>
    <w:rsid w:val="00B535D7"/>
    <w:rsid w:val="00B53918"/>
    <w:rsid w:val="00B55653"/>
    <w:rsid w:val="00B55B4B"/>
    <w:rsid w:val="00B5798A"/>
    <w:rsid w:val="00B61559"/>
    <w:rsid w:val="00B62C52"/>
    <w:rsid w:val="00B63595"/>
    <w:rsid w:val="00B666F7"/>
    <w:rsid w:val="00B66C6C"/>
    <w:rsid w:val="00B7182A"/>
    <w:rsid w:val="00B71873"/>
    <w:rsid w:val="00B723B7"/>
    <w:rsid w:val="00B732A3"/>
    <w:rsid w:val="00B737B8"/>
    <w:rsid w:val="00B75060"/>
    <w:rsid w:val="00B76479"/>
    <w:rsid w:val="00B76935"/>
    <w:rsid w:val="00B76A98"/>
    <w:rsid w:val="00B77BC0"/>
    <w:rsid w:val="00B80BDD"/>
    <w:rsid w:val="00B90A8A"/>
    <w:rsid w:val="00B92ECA"/>
    <w:rsid w:val="00B93868"/>
    <w:rsid w:val="00B93A79"/>
    <w:rsid w:val="00B93C83"/>
    <w:rsid w:val="00B95709"/>
    <w:rsid w:val="00B96514"/>
    <w:rsid w:val="00BA123F"/>
    <w:rsid w:val="00BA17AB"/>
    <w:rsid w:val="00BA17CA"/>
    <w:rsid w:val="00BA1984"/>
    <w:rsid w:val="00BA3E8D"/>
    <w:rsid w:val="00BA42D5"/>
    <w:rsid w:val="00BA51EE"/>
    <w:rsid w:val="00BA53E3"/>
    <w:rsid w:val="00BA5424"/>
    <w:rsid w:val="00BA6B08"/>
    <w:rsid w:val="00BA7C33"/>
    <w:rsid w:val="00BB0BBE"/>
    <w:rsid w:val="00BB1464"/>
    <w:rsid w:val="00BB2070"/>
    <w:rsid w:val="00BB4C33"/>
    <w:rsid w:val="00BB53D1"/>
    <w:rsid w:val="00BC10E2"/>
    <w:rsid w:val="00BC1327"/>
    <w:rsid w:val="00BC1D57"/>
    <w:rsid w:val="00BC34DE"/>
    <w:rsid w:val="00BC3A34"/>
    <w:rsid w:val="00BC3A95"/>
    <w:rsid w:val="00BC4ECC"/>
    <w:rsid w:val="00BC56B8"/>
    <w:rsid w:val="00BC7E70"/>
    <w:rsid w:val="00BD0B03"/>
    <w:rsid w:val="00BD101E"/>
    <w:rsid w:val="00BD2480"/>
    <w:rsid w:val="00BD3545"/>
    <w:rsid w:val="00BD3C97"/>
    <w:rsid w:val="00BD3D26"/>
    <w:rsid w:val="00BD4B1C"/>
    <w:rsid w:val="00BD73FD"/>
    <w:rsid w:val="00BD7FF4"/>
    <w:rsid w:val="00BE07D1"/>
    <w:rsid w:val="00BE1581"/>
    <w:rsid w:val="00BE39E4"/>
    <w:rsid w:val="00BE5F09"/>
    <w:rsid w:val="00BF0306"/>
    <w:rsid w:val="00BF33B3"/>
    <w:rsid w:val="00BF33D7"/>
    <w:rsid w:val="00BF35BA"/>
    <w:rsid w:val="00BF390A"/>
    <w:rsid w:val="00BF4549"/>
    <w:rsid w:val="00BF4741"/>
    <w:rsid w:val="00BF5AA9"/>
    <w:rsid w:val="00BF5DC1"/>
    <w:rsid w:val="00BF7B80"/>
    <w:rsid w:val="00C01A68"/>
    <w:rsid w:val="00C0263E"/>
    <w:rsid w:val="00C0407B"/>
    <w:rsid w:val="00C0454E"/>
    <w:rsid w:val="00C0507A"/>
    <w:rsid w:val="00C05BD5"/>
    <w:rsid w:val="00C05E75"/>
    <w:rsid w:val="00C05F09"/>
    <w:rsid w:val="00C0610C"/>
    <w:rsid w:val="00C100D1"/>
    <w:rsid w:val="00C1056A"/>
    <w:rsid w:val="00C1118E"/>
    <w:rsid w:val="00C123C1"/>
    <w:rsid w:val="00C14B75"/>
    <w:rsid w:val="00C169F0"/>
    <w:rsid w:val="00C17CAB"/>
    <w:rsid w:val="00C211F8"/>
    <w:rsid w:val="00C21D83"/>
    <w:rsid w:val="00C23304"/>
    <w:rsid w:val="00C26512"/>
    <w:rsid w:val="00C26B7C"/>
    <w:rsid w:val="00C30128"/>
    <w:rsid w:val="00C310B7"/>
    <w:rsid w:val="00C31ABB"/>
    <w:rsid w:val="00C32D1E"/>
    <w:rsid w:val="00C368C2"/>
    <w:rsid w:val="00C36AD5"/>
    <w:rsid w:val="00C36E45"/>
    <w:rsid w:val="00C406F3"/>
    <w:rsid w:val="00C40CE4"/>
    <w:rsid w:val="00C41C22"/>
    <w:rsid w:val="00C42482"/>
    <w:rsid w:val="00C43B83"/>
    <w:rsid w:val="00C4473B"/>
    <w:rsid w:val="00C44E26"/>
    <w:rsid w:val="00C466A9"/>
    <w:rsid w:val="00C47146"/>
    <w:rsid w:val="00C47C24"/>
    <w:rsid w:val="00C50FC1"/>
    <w:rsid w:val="00C51933"/>
    <w:rsid w:val="00C522F6"/>
    <w:rsid w:val="00C52EB6"/>
    <w:rsid w:val="00C545DB"/>
    <w:rsid w:val="00C54ADB"/>
    <w:rsid w:val="00C55D54"/>
    <w:rsid w:val="00C60FCC"/>
    <w:rsid w:val="00C627CE"/>
    <w:rsid w:val="00C62B65"/>
    <w:rsid w:val="00C648C4"/>
    <w:rsid w:val="00C64F2F"/>
    <w:rsid w:val="00C65340"/>
    <w:rsid w:val="00C67BF3"/>
    <w:rsid w:val="00C71716"/>
    <w:rsid w:val="00C732E6"/>
    <w:rsid w:val="00C73912"/>
    <w:rsid w:val="00C74FAB"/>
    <w:rsid w:val="00C75B1E"/>
    <w:rsid w:val="00C75E9C"/>
    <w:rsid w:val="00C7622F"/>
    <w:rsid w:val="00C76845"/>
    <w:rsid w:val="00C773B5"/>
    <w:rsid w:val="00C7761D"/>
    <w:rsid w:val="00C8242E"/>
    <w:rsid w:val="00C82932"/>
    <w:rsid w:val="00C8366E"/>
    <w:rsid w:val="00C83AED"/>
    <w:rsid w:val="00C85B05"/>
    <w:rsid w:val="00C85C1C"/>
    <w:rsid w:val="00C8645E"/>
    <w:rsid w:val="00C86CE1"/>
    <w:rsid w:val="00C873DF"/>
    <w:rsid w:val="00C901B1"/>
    <w:rsid w:val="00C9186B"/>
    <w:rsid w:val="00C9287D"/>
    <w:rsid w:val="00C95632"/>
    <w:rsid w:val="00C977EE"/>
    <w:rsid w:val="00CA0A09"/>
    <w:rsid w:val="00CA19DF"/>
    <w:rsid w:val="00CA281A"/>
    <w:rsid w:val="00CA334E"/>
    <w:rsid w:val="00CA3776"/>
    <w:rsid w:val="00CA491C"/>
    <w:rsid w:val="00CA4E33"/>
    <w:rsid w:val="00CA6964"/>
    <w:rsid w:val="00CA6D2D"/>
    <w:rsid w:val="00CA6FC2"/>
    <w:rsid w:val="00CB0652"/>
    <w:rsid w:val="00CB16E1"/>
    <w:rsid w:val="00CB2215"/>
    <w:rsid w:val="00CB400C"/>
    <w:rsid w:val="00CB403B"/>
    <w:rsid w:val="00CB48AA"/>
    <w:rsid w:val="00CB6D13"/>
    <w:rsid w:val="00CB7466"/>
    <w:rsid w:val="00CB7FCE"/>
    <w:rsid w:val="00CC0E90"/>
    <w:rsid w:val="00CC4323"/>
    <w:rsid w:val="00CC5C89"/>
    <w:rsid w:val="00CC73D6"/>
    <w:rsid w:val="00CC75B6"/>
    <w:rsid w:val="00CC7ABE"/>
    <w:rsid w:val="00CD1290"/>
    <w:rsid w:val="00CD5363"/>
    <w:rsid w:val="00CE18BB"/>
    <w:rsid w:val="00CE1BDC"/>
    <w:rsid w:val="00CE346F"/>
    <w:rsid w:val="00CE36EE"/>
    <w:rsid w:val="00CE3D90"/>
    <w:rsid w:val="00CE65DE"/>
    <w:rsid w:val="00CE73DA"/>
    <w:rsid w:val="00CE7707"/>
    <w:rsid w:val="00CF179C"/>
    <w:rsid w:val="00CF2C62"/>
    <w:rsid w:val="00CF404A"/>
    <w:rsid w:val="00CF76B9"/>
    <w:rsid w:val="00CF7BB4"/>
    <w:rsid w:val="00D001DA"/>
    <w:rsid w:val="00D03906"/>
    <w:rsid w:val="00D03B8A"/>
    <w:rsid w:val="00D046C0"/>
    <w:rsid w:val="00D04F3D"/>
    <w:rsid w:val="00D052DA"/>
    <w:rsid w:val="00D056DB"/>
    <w:rsid w:val="00D05F8D"/>
    <w:rsid w:val="00D06798"/>
    <w:rsid w:val="00D06987"/>
    <w:rsid w:val="00D115CC"/>
    <w:rsid w:val="00D1190D"/>
    <w:rsid w:val="00D13355"/>
    <w:rsid w:val="00D179EC"/>
    <w:rsid w:val="00D20EA2"/>
    <w:rsid w:val="00D21EC5"/>
    <w:rsid w:val="00D22DDB"/>
    <w:rsid w:val="00D234AD"/>
    <w:rsid w:val="00D2458E"/>
    <w:rsid w:val="00D2625D"/>
    <w:rsid w:val="00D26729"/>
    <w:rsid w:val="00D26CDE"/>
    <w:rsid w:val="00D276EC"/>
    <w:rsid w:val="00D31CD1"/>
    <w:rsid w:val="00D32E69"/>
    <w:rsid w:val="00D337D4"/>
    <w:rsid w:val="00D34602"/>
    <w:rsid w:val="00D34B84"/>
    <w:rsid w:val="00D34E9A"/>
    <w:rsid w:val="00D353B8"/>
    <w:rsid w:val="00D35A7D"/>
    <w:rsid w:val="00D3733A"/>
    <w:rsid w:val="00D406E7"/>
    <w:rsid w:val="00D4204F"/>
    <w:rsid w:val="00D434B8"/>
    <w:rsid w:val="00D44E99"/>
    <w:rsid w:val="00D47349"/>
    <w:rsid w:val="00D4767D"/>
    <w:rsid w:val="00D47AFB"/>
    <w:rsid w:val="00D500D6"/>
    <w:rsid w:val="00D5015B"/>
    <w:rsid w:val="00D51466"/>
    <w:rsid w:val="00D527C6"/>
    <w:rsid w:val="00D5309F"/>
    <w:rsid w:val="00D54CFA"/>
    <w:rsid w:val="00D550B5"/>
    <w:rsid w:val="00D5766A"/>
    <w:rsid w:val="00D613E8"/>
    <w:rsid w:val="00D633B2"/>
    <w:rsid w:val="00D63561"/>
    <w:rsid w:val="00D64CBB"/>
    <w:rsid w:val="00D679F4"/>
    <w:rsid w:val="00D67EF2"/>
    <w:rsid w:val="00D70093"/>
    <w:rsid w:val="00D71D82"/>
    <w:rsid w:val="00D72A87"/>
    <w:rsid w:val="00D738A1"/>
    <w:rsid w:val="00D75334"/>
    <w:rsid w:val="00D75970"/>
    <w:rsid w:val="00D76501"/>
    <w:rsid w:val="00D7714C"/>
    <w:rsid w:val="00D7796F"/>
    <w:rsid w:val="00D8026E"/>
    <w:rsid w:val="00D819C9"/>
    <w:rsid w:val="00D82C73"/>
    <w:rsid w:val="00D83D68"/>
    <w:rsid w:val="00D83EF4"/>
    <w:rsid w:val="00D859D3"/>
    <w:rsid w:val="00D85F09"/>
    <w:rsid w:val="00D8681E"/>
    <w:rsid w:val="00D870C4"/>
    <w:rsid w:val="00D87231"/>
    <w:rsid w:val="00D91560"/>
    <w:rsid w:val="00D92541"/>
    <w:rsid w:val="00D92D3C"/>
    <w:rsid w:val="00D94173"/>
    <w:rsid w:val="00DA03B5"/>
    <w:rsid w:val="00DA06F5"/>
    <w:rsid w:val="00DA088E"/>
    <w:rsid w:val="00DA3839"/>
    <w:rsid w:val="00DA531C"/>
    <w:rsid w:val="00DA5F1D"/>
    <w:rsid w:val="00DA666F"/>
    <w:rsid w:val="00DA6C35"/>
    <w:rsid w:val="00DA6C6B"/>
    <w:rsid w:val="00DB0B22"/>
    <w:rsid w:val="00DB1734"/>
    <w:rsid w:val="00DB3140"/>
    <w:rsid w:val="00DB46E4"/>
    <w:rsid w:val="00DB6E7E"/>
    <w:rsid w:val="00DB7015"/>
    <w:rsid w:val="00DC1ABA"/>
    <w:rsid w:val="00DC2F54"/>
    <w:rsid w:val="00DC3CE3"/>
    <w:rsid w:val="00DC40C6"/>
    <w:rsid w:val="00DC45BA"/>
    <w:rsid w:val="00DC4B10"/>
    <w:rsid w:val="00DC5675"/>
    <w:rsid w:val="00DC65F7"/>
    <w:rsid w:val="00DC6C18"/>
    <w:rsid w:val="00DC734C"/>
    <w:rsid w:val="00DC7EF5"/>
    <w:rsid w:val="00DD1443"/>
    <w:rsid w:val="00DD1663"/>
    <w:rsid w:val="00DD2452"/>
    <w:rsid w:val="00DD2D78"/>
    <w:rsid w:val="00DD3C61"/>
    <w:rsid w:val="00DD436E"/>
    <w:rsid w:val="00DD46F7"/>
    <w:rsid w:val="00DD5585"/>
    <w:rsid w:val="00DD620D"/>
    <w:rsid w:val="00DD6266"/>
    <w:rsid w:val="00DD78DA"/>
    <w:rsid w:val="00DE1F2F"/>
    <w:rsid w:val="00DE2341"/>
    <w:rsid w:val="00DE2360"/>
    <w:rsid w:val="00DE27B6"/>
    <w:rsid w:val="00DE34CB"/>
    <w:rsid w:val="00DE4293"/>
    <w:rsid w:val="00DE4431"/>
    <w:rsid w:val="00DE6475"/>
    <w:rsid w:val="00DE697D"/>
    <w:rsid w:val="00DF0A2C"/>
    <w:rsid w:val="00DF283B"/>
    <w:rsid w:val="00DF7C45"/>
    <w:rsid w:val="00E0240A"/>
    <w:rsid w:val="00E0250D"/>
    <w:rsid w:val="00E02786"/>
    <w:rsid w:val="00E027B8"/>
    <w:rsid w:val="00E03126"/>
    <w:rsid w:val="00E040CB"/>
    <w:rsid w:val="00E0557C"/>
    <w:rsid w:val="00E069C0"/>
    <w:rsid w:val="00E10C7F"/>
    <w:rsid w:val="00E1468B"/>
    <w:rsid w:val="00E155CF"/>
    <w:rsid w:val="00E17866"/>
    <w:rsid w:val="00E17CCA"/>
    <w:rsid w:val="00E211FC"/>
    <w:rsid w:val="00E21891"/>
    <w:rsid w:val="00E22D73"/>
    <w:rsid w:val="00E23E3C"/>
    <w:rsid w:val="00E247E8"/>
    <w:rsid w:val="00E24B57"/>
    <w:rsid w:val="00E24E1B"/>
    <w:rsid w:val="00E252AF"/>
    <w:rsid w:val="00E30083"/>
    <w:rsid w:val="00E32AD4"/>
    <w:rsid w:val="00E32DDC"/>
    <w:rsid w:val="00E33BE1"/>
    <w:rsid w:val="00E3480C"/>
    <w:rsid w:val="00E35376"/>
    <w:rsid w:val="00E37C1D"/>
    <w:rsid w:val="00E37E53"/>
    <w:rsid w:val="00E4003F"/>
    <w:rsid w:val="00E40D0B"/>
    <w:rsid w:val="00E41AFA"/>
    <w:rsid w:val="00E4224F"/>
    <w:rsid w:val="00E43FBA"/>
    <w:rsid w:val="00E43FF5"/>
    <w:rsid w:val="00E443E1"/>
    <w:rsid w:val="00E4501B"/>
    <w:rsid w:val="00E47468"/>
    <w:rsid w:val="00E51870"/>
    <w:rsid w:val="00E54A72"/>
    <w:rsid w:val="00E567FE"/>
    <w:rsid w:val="00E56E15"/>
    <w:rsid w:val="00E57D72"/>
    <w:rsid w:val="00E608DA"/>
    <w:rsid w:val="00E612C5"/>
    <w:rsid w:val="00E6168F"/>
    <w:rsid w:val="00E61EEC"/>
    <w:rsid w:val="00E6212C"/>
    <w:rsid w:val="00E63D71"/>
    <w:rsid w:val="00E6476A"/>
    <w:rsid w:val="00E64932"/>
    <w:rsid w:val="00E669E9"/>
    <w:rsid w:val="00E676C5"/>
    <w:rsid w:val="00E705B5"/>
    <w:rsid w:val="00E72BFA"/>
    <w:rsid w:val="00E77202"/>
    <w:rsid w:val="00E85554"/>
    <w:rsid w:val="00E855A3"/>
    <w:rsid w:val="00E8668D"/>
    <w:rsid w:val="00E86B35"/>
    <w:rsid w:val="00E9087F"/>
    <w:rsid w:val="00E91BEA"/>
    <w:rsid w:val="00E92521"/>
    <w:rsid w:val="00E9295C"/>
    <w:rsid w:val="00E92C92"/>
    <w:rsid w:val="00E93558"/>
    <w:rsid w:val="00E9399A"/>
    <w:rsid w:val="00E95893"/>
    <w:rsid w:val="00E95B0E"/>
    <w:rsid w:val="00E9693F"/>
    <w:rsid w:val="00EA0328"/>
    <w:rsid w:val="00EA0360"/>
    <w:rsid w:val="00EA06FA"/>
    <w:rsid w:val="00EA080A"/>
    <w:rsid w:val="00EA1141"/>
    <w:rsid w:val="00EA2A6E"/>
    <w:rsid w:val="00EA4181"/>
    <w:rsid w:val="00EA6FC2"/>
    <w:rsid w:val="00EA78B7"/>
    <w:rsid w:val="00EB0AA8"/>
    <w:rsid w:val="00EB0C46"/>
    <w:rsid w:val="00EB119D"/>
    <w:rsid w:val="00EB2074"/>
    <w:rsid w:val="00EB3553"/>
    <w:rsid w:val="00EB72B1"/>
    <w:rsid w:val="00EC1493"/>
    <w:rsid w:val="00EC1C7C"/>
    <w:rsid w:val="00EC1E31"/>
    <w:rsid w:val="00EC3C8F"/>
    <w:rsid w:val="00EC57D9"/>
    <w:rsid w:val="00EC59F1"/>
    <w:rsid w:val="00EC63ED"/>
    <w:rsid w:val="00EC676F"/>
    <w:rsid w:val="00ED160F"/>
    <w:rsid w:val="00ED3328"/>
    <w:rsid w:val="00ED334A"/>
    <w:rsid w:val="00ED33DA"/>
    <w:rsid w:val="00ED37D4"/>
    <w:rsid w:val="00ED479A"/>
    <w:rsid w:val="00ED4A60"/>
    <w:rsid w:val="00ED7D6F"/>
    <w:rsid w:val="00EE11F6"/>
    <w:rsid w:val="00EE1C54"/>
    <w:rsid w:val="00EE2A8A"/>
    <w:rsid w:val="00EE4C54"/>
    <w:rsid w:val="00EE50E1"/>
    <w:rsid w:val="00EE5E62"/>
    <w:rsid w:val="00EE64A8"/>
    <w:rsid w:val="00EE6807"/>
    <w:rsid w:val="00EE7DE3"/>
    <w:rsid w:val="00EF0717"/>
    <w:rsid w:val="00EF07B3"/>
    <w:rsid w:val="00EF2873"/>
    <w:rsid w:val="00EF2920"/>
    <w:rsid w:val="00EF36ED"/>
    <w:rsid w:val="00EF5AAC"/>
    <w:rsid w:val="00EF63C8"/>
    <w:rsid w:val="00EF68D2"/>
    <w:rsid w:val="00EF7310"/>
    <w:rsid w:val="00F002EC"/>
    <w:rsid w:val="00F00B86"/>
    <w:rsid w:val="00F03A38"/>
    <w:rsid w:val="00F0400C"/>
    <w:rsid w:val="00F06E51"/>
    <w:rsid w:val="00F1047B"/>
    <w:rsid w:val="00F13791"/>
    <w:rsid w:val="00F15C1A"/>
    <w:rsid w:val="00F21A53"/>
    <w:rsid w:val="00F23AD2"/>
    <w:rsid w:val="00F24865"/>
    <w:rsid w:val="00F25157"/>
    <w:rsid w:val="00F26A56"/>
    <w:rsid w:val="00F27693"/>
    <w:rsid w:val="00F27A90"/>
    <w:rsid w:val="00F27E7D"/>
    <w:rsid w:val="00F3022F"/>
    <w:rsid w:val="00F31AC3"/>
    <w:rsid w:val="00F33049"/>
    <w:rsid w:val="00F350A5"/>
    <w:rsid w:val="00F35665"/>
    <w:rsid w:val="00F40198"/>
    <w:rsid w:val="00F4046D"/>
    <w:rsid w:val="00F40F61"/>
    <w:rsid w:val="00F412B0"/>
    <w:rsid w:val="00F412F3"/>
    <w:rsid w:val="00F425EE"/>
    <w:rsid w:val="00F44631"/>
    <w:rsid w:val="00F44752"/>
    <w:rsid w:val="00F45EA2"/>
    <w:rsid w:val="00F506C5"/>
    <w:rsid w:val="00F5333F"/>
    <w:rsid w:val="00F567E5"/>
    <w:rsid w:val="00F56C19"/>
    <w:rsid w:val="00F57525"/>
    <w:rsid w:val="00F60621"/>
    <w:rsid w:val="00F623AA"/>
    <w:rsid w:val="00F63139"/>
    <w:rsid w:val="00F635CE"/>
    <w:rsid w:val="00F63858"/>
    <w:rsid w:val="00F64912"/>
    <w:rsid w:val="00F64A64"/>
    <w:rsid w:val="00F66A72"/>
    <w:rsid w:val="00F66EDB"/>
    <w:rsid w:val="00F67C36"/>
    <w:rsid w:val="00F7040F"/>
    <w:rsid w:val="00F716B4"/>
    <w:rsid w:val="00F72424"/>
    <w:rsid w:val="00F747D5"/>
    <w:rsid w:val="00F75B8A"/>
    <w:rsid w:val="00F768BE"/>
    <w:rsid w:val="00F76EC9"/>
    <w:rsid w:val="00F77C01"/>
    <w:rsid w:val="00F77C87"/>
    <w:rsid w:val="00F82088"/>
    <w:rsid w:val="00F82123"/>
    <w:rsid w:val="00F8262B"/>
    <w:rsid w:val="00F84A68"/>
    <w:rsid w:val="00F84EB7"/>
    <w:rsid w:val="00F854C2"/>
    <w:rsid w:val="00F85504"/>
    <w:rsid w:val="00F859F5"/>
    <w:rsid w:val="00F85DF7"/>
    <w:rsid w:val="00F8658A"/>
    <w:rsid w:val="00F8731A"/>
    <w:rsid w:val="00F90641"/>
    <w:rsid w:val="00F91F80"/>
    <w:rsid w:val="00F93B8A"/>
    <w:rsid w:val="00F9454F"/>
    <w:rsid w:val="00F95C97"/>
    <w:rsid w:val="00F96216"/>
    <w:rsid w:val="00F96ACE"/>
    <w:rsid w:val="00F9799D"/>
    <w:rsid w:val="00FA09B5"/>
    <w:rsid w:val="00FA1028"/>
    <w:rsid w:val="00FA442C"/>
    <w:rsid w:val="00FA67B6"/>
    <w:rsid w:val="00FB0661"/>
    <w:rsid w:val="00FB10F3"/>
    <w:rsid w:val="00FB1136"/>
    <w:rsid w:val="00FB11AC"/>
    <w:rsid w:val="00FB48E2"/>
    <w:rsid w:val="00FB7A93"/>
    <w:rsid w:val="00FB7CBF"/>
    <w:rsid w:val="00FC1952"/>
    <w:rsid w:val="00FC6894"/>
    <w:rsid w:val="00FD459A"/>
    <w:rsid w:val="00FD57D0"/>
    <w:rsid w:val="00FE05D5"/>
    <w:rsid w:val="00FE0E75"/>
    <w:rsid w:val="00FE2E45"/>
    <w:rsid w:val="00FE372E"/>
    <w:rsid w:val="00FE4212"/>
    <w:rsid w:val="00FE54FE"/>
    <w:rsid w:val="00FE6725"/>
    <w:rsid w:val="00FE7907"/>
    <w:rsid w:val="00FE79B3"/>
    <w:rsid w:val="00FF0B39"/>
    <w:rsid w:val="00FF17B0"/>
    <w:rsid w:val="00FF19EB"/>
    <w:rsid w:val="00FF21C6"/>
    <w:rsid w:val="00FF223B"/>
    <w:rsid w:val="00FF6412"/>
    <w:rsid w:val="00FF7D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F7E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A7D"/>
    <w:rPr>
      <w:rFonts w:eastAsiaTheme="minorEastAsia"/>
    </w:rPr>
  </w:style>
  <w:style w:type="paragraph" w:styleId="Heading1">
    <w:name w:val="heading 1"/>
    <w:basedOn w:val="Normal"/>
    <w:next w:val="Normal"/>
    <w:link w:val="Heading1Char"/>
    <w:uiPriority w:val="9"/>
    <w:qFormat/>
    <w:rsid w:val="00D35A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35A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B666F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B666F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666F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B666F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B666F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666F7"/>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B666F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A7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35A7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666F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666F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666F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B666F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B666F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B666F7"/>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B666F7"/>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link w:val="ListParagraphChar"/>
    <w:uiPriority w:val="34"/>
    <w:qFormat/>
    <w:rsid w:val="00D35A7D"/>
    <w:pPr>
      <w:ind w:left="720"/>
      <w:contextualSpacing/>
    </w:pPr>
  </w:style>
  <w:style w:type="table" w:styleId="TableGrid">
    <w:name w:val="Table Grid"/>
    <w:basedOn w:val="TableNormal"/>
    <w:uiPriority w:val="59"/>
    <w:rsid w:val="00D35A7D"/>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sid w:val="00D35A7D"/>
    <w:pPr>
      <w:spacing w:line="240" w:lineRule="auto"/>
    </w:pPr>
    <w:rPr>
      <w:sz w:val="20"/>
      <w:szCs w:val="20"/>
    </w:rPr>
  </w:style>
  <w:style w:type="character" w:customStyle="1" w:styleId="CommentTextChar">
    <w:name w:val="Comment Text Char"/>
    <w:basedOn w:val="DefaultParagraphFont"/>
    <w:link w:val="CommentText"/>
    <w:uiPriority w:val="99"/>
    <w:rsid w:val="00D35A7D"/>
    <w:rPr>
      <w:rFonts w:eastAsiaTheme="minorEastAsia"/>
      <w:sz w:val="20"/>
      <w:szCs w:val="20"/>
    </w:rPr>
  </w:style>
  <w:style w:type="paragraph" w:styleId="Footer">
    <w:name w:val="footer"/>
    <w:basedOn w:val="Normal"/>
    <w:link w:val="FooterChar"/>
    <w:uiPriority w:val="99"/>
    <w:unhideWhenUsed/>
    <w:rsid w:val="00D35A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7D"/>
    <w:rPr>
      <w:rFonts w:eastAsiaTheme="minorEastAsia"/>
    </w:rPr>
  </w:style>
  <w:style w:type="paragraph" w:styleId="FootnoteText">
    <w:name w:val="footnote text"/>
    <w:basedOn w:val="Normal"/>
    <w:link w:val="FootnoteTextChar"/>
    <w:uiPriority w:val="99"/>
    <w:semiHidden/>
    <w:unhideWhenUsed/>
    <w:rsid w:val="00D35A7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5A7D"/>
    <w:rPr>
      <w:rFonts w:eastAsiaTheme="minorEastAsia"/>
      <w:sz w:val="20"/>
      <w:szCs w:val="20"/>
    </w:rPr>
  </w:style>
  <w:style w:type="character" w:styleId="FootnoteReference">
    <w:name w:val="footnote reference"/>
    <w:basedOn w:val="DefaultParagraphFont"/>
    <w:uiPriority w:val="99"/>
    <w:semiHidden/>
    <w:unhideWhenUsed/>
    <w:rsid w:val="00D35A7D"/>
    <w:rPr>
      <w:vertAlign w:val="superscript"/>
    </w:rPr>
  </w:style>
  <w:style w:type="paragraph" w:styleId="NormalWeb">
    <w:name w:val="Normal (Web)"/>
    <w:basedOn w:val="Normal"/>
    <w:uiPriority w:val="99"/>
    <w:unhideWhenUsed/>
    <w:rsid w:val="00D35A7D"/>
    <w:pPr>
      <w:spacing w:before="100" w:beforeAutospacing="1" w:after="100" w:afterAutospacing="1" w:line="240" w:lineRule="auto"/>
    </w:pPr>
    <w:rPr>
      <w:rFonts w:ascii="Times New Roman" w:hAnsi="Times New Roman" w:cs="Times New Roman"/>
      <w:sz w:val="24"/>
      <w:szCs w:val="24"/>
    </w:rPr>
  </w:style>
  <w:style w:type="paragraph" w:styleId="Caption">
    <w:name w:val="caption"/>
    <w:basedOn w:val="Normal"/>
    <w:next w:val="Normal"/>
    <w:uiPriority w:val="35"/>
    <w:unhideWhenUsed/>
    <w:qFormat/>
    <w:rsid w:val="00D35A7D"/>
    <w:pPr>
      <w:spacing w:line="240" w:lineRule="auto"/>
    </w:pPr>
    <w:rPr>
      <w:b/>
      <w:bCs/>
      <w:color w:val="4F81BD" w:themeColor="accent1"/>
      <w:sz w:val="18"/>
      <w:szCs w:val="18"/>
    </w:rPr>
  </w:style>
  <w:style w:type="paragraph" w:customStyle="1" w:styleId="Default">
    <w:name w:val="Default"/>
    <w:rsid w:val="00D35A7D"/>
    <w:pPr>
      <w:autoSpaceDE w:val="0"/>
      <w:autoSpaceDN w:val="0"/>
      <w:adjustRightInd w:val="0"/>
      <w:spacing w:after="0" w:line="240" w:lineRule="auto"/>
    </w:pPr>
    <w:rPr>
      <w:rFonts w:ascii="Calibri" w:eastAsiaTheme="minorEastAsia" w:hAnsi="Calibri" w:cs="Calibri"/>
      <w:color w:val="000000"/>
      <w:sz w:val="24"/>
      <w:szCs w:val="24"/>
      <w:lang w:val="en-US"/>
    </w:rPr>
  </w:style>
  <w:style w:type="paragraph" w:styleId="BalloonText">
    <w:name w:val="Balloon Text"/>
    <w:basedOn w:val="Normal"/>
    <w:link w:val="BalloonTextChar"/>
    <w:uiPriority w:val="99"/>
    <w:semiHidden/>
    <w:unhideWhenUsed/>
    <w:rsid w:val="006126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687"/>
    <w:rPr>
      <w:rFonts w:ascii="Tahoma" w:eastAsiaTheme="minorEastAsia" w:hAnsi="Tahoma" w:cs="Tahoma"/>
      <w:sz w:val="16"/>
      <w:szCs w:val="16"/>
    </w:rPr>
  </w:style>
  <w:style w:type="paragraph" w:styleId="Header">
    <w:name w:val="header"/>
    <w:basedOn w:val="Normal"/>
    <w:link w:val="HeaderChar"/>
    <w:uiPriority w:val="99"/>
    <w:unhideWhenUsed/>
    <w:rsid w:val="00B666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66F7"/>
    <w:rPr>
      <w:rFonts w:eastAsiaTheme="minorEastAsia"/>
    </w:rPr>
  </w:style>
  <w:style w:type="character" w:styleId="Hyperlink">
    <w:name w:val="Hyperlink"/>
    <w:basedOn w:val="DefaultParagraphFont"/>
    <w:uiPriority w:val="99"/>
    <w:unhideWhenUsed/>
    <w:rsid w:val="00B666F7"/>
    <w:rPr>
      <w:color w:val="0000CC"/>
      <w:u w:val="single"/>
    </w:rPr>
  </w:style>
  <w:style w:type="paragraph" w:styleId="CommentSubject">
    <w:name w:val="annotation subject"/>
    <w:basedOn w:val="CommentText"/>
    <w:next w:val="CommentText"/>
    <w:link w:val="CommentSubjectChar"/>
    <w:uiPriority w:val="99"/>
    <w:semiHidden/>
    <w:unhideWhenUsed/>
    <w:rsid w:val="00B666F7"/>
    <w:rPr>
      <w:b/>
      <w:bCs/>
    </w:rPr>
  </w:style>
  <w:style w:type="character" w:customStyle="1" w:styleId="CommentSubjectChar">
    <w:name w:val="Comment Subject Char"/>
    <w:basedOn w:val="CommentTextChar"/>
    <w:link w:val="CommentSubject"/>
    <w:uiPriority w:val="99"/>
    <w:semiHidden/>
    <w:rsid w:val="00B666F7"/>
    <w:rPr>
      <w:rFonts w:eastAsiaTheme="minorEastAsia"/>
      <w:b/>
      <w:bCs/>
      <w:sz w:val="20"/>
      <w:szCs w:val="20"/>
    </w:rPr>
  </w:style>
  <w:style w:type="paragraph" w:styleId="Revision">
    <w:name w:val="Revision"/>
    <w:hidden/>
    <w:uiPriority w:val="99"/>
    <w:semiHidden/>
    <w:rsid w:val="00B666F7"/>
    <w:pPr>
      <w:spacing w:after="0" w:line="240" w:lineRule="auto"/>
    </w:pPr>
    <w:rPr>
      <w:rFonts w:eastAsiaTheme="minorEastAsia"/>
      <w:lang w:val="en-US"/>
    </w:rPr>
  </w:style>
  <w:style w:type="paragraph" w:styleId="TOCHeading">
    <w:name w:val="TOC Heading"/>
    <w:basedOn w:val="Heading1"/>
    <w:next w:val="Normal"/>
    <w:uiPriority w:val="39"/>
    <w:semiHidden/>
    <w:unhideWhenUsed/>
    <w:qFormat/>
    <w:rsid w:val="00B666F7"/>
    <w:pPr>
      <w:outlineLvl w:val="9"/>
    </w:pPr>
  </w:style>
  <w:style w:type="paragraph" w:styleId="TOC1">
    <w:name w:val="toc 1"/>
    <w:basedOn w:val="Normal"/>
    <w:next w:val="Normal"/>
    <w:autoRedefine/>
    <w:uiPriority w:val="39"/>
    <w:unhideWhenUsed/>
    <w:qFormat/>
    <w:rsid w:val="00B666F7"/>
    <w:pPr>
      <w:spacing w:after="100"/>
    </w:pPr>
  </w:style>
  <w:style w:type="paragraph" w:styleId="TOC2">
    <w:name w:val="toc 2"/>
    <w:basedOn w:val="Normal"/>
    <w:next w:val="Normal"/>
    <w:autoRedefine/>
    <w:uiPriority w:val="39"/>
    <w:unhideWhenUsed/>
    <w:qFormat/>
    <w:rsid w:val="00B666F7"/>
    <w:pPr>
      <w:spacing w:after="100"/>
      <w:ind w:left="220"/>
    </w:pPr>
  </w:style>
  <w:style w:type="paragraph" w:styleId="TOC3">
    <w:name w:val="toc 3"/>
    <w:basedOn w:val="Normal"/>
    <w:next w:val="Normal"/>
    <w:autoRedefine/>
    <w:uiPriority w:val="39"/>
    <w:unhideWhenUsed/>
    <w:qFormat/>
    <w:rsid w:val="00B666F7"/>
    <w:pPr>
      <w:spacing w:after="100"/>
      <w:ind w:left="440"/>
    </w:pPr>
  </w:style>
  <w:style w:type="paragraph" w:styleId="TableofFigures">
    <w:name w:val="table of figures"/>
    <w:basedOn w:val="Normal"/>
    <w:next w:val="Normal"/>
    <w:uiPriority w:val="99"/>
    <w:unhideWhenUsed/>
    <w:rsid w:val="00B666F7"/>
    <w:pPr>
      <w:spacing w:after="0"/>
    </w:pPr>
  </w:style>
  <w:style w:type="paragraph" w:styleId="EndnoteText">
    <w:name w:val="endnote text"/>
    <w:basedOn w:val="Normal"/>
    <w:link w:val="EndnoteTextChar"/>
    <w:uiPriority w:val="99"/>
    <w:semiHidden/>
    <w:unhideWhenUsed/>
    <w:rsid w:val="00B666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666F7"/>
    <w:rPr>
      <w:rFonts w:eastAsiaTheme="minorEastAsia"/>
      <w:sz w:val="20"/>
      <w:szCs w:val="20"/>
    </w:rPr>
  </w:style>
  <w:style w:type="character" w:styleId="EndnoteReference">
    <w:name w:val="endnote reference"/>
    <w:basedOn w:val="DefaultParagraphFont"/>
    <w:uiPriority w:val="99"/>
    <w:semiHidden/>
    <w:unhideWhenUsed/>
    <w:rsid w:val="00B666F7"/>
    <w:rPr>
      <w:vertAlign w:val="superscript"/>
    </w:rPr>
  </w:style>
  <w:style w:type="character" w:styleId="HTMLCite">
    <w:name w:val="HTML Cite"/>
    <w:basedOn w:val="DefaultParagraphFont"/>
    <w:uiPriority w:val="99"/>
    <w:semiHidden/>
    <w:unhideWhenUsed/>
    <w:rsid w:val="00B666F7"/>
    <w:rPr>
      <w:i/>
      <w:iCs/>
    </w:rPr>
  </w:style>
  <w:style w:type="character" w:customStyle="1" w:styleId="slug-vol">
    <w:name w:val="slug-vol"/>
    <w:basedOn w:val="DefaultParagraphFont"/>
    <w:rsid w:val="00B666F7"/>
  </w:style>
  <w:style w:type="character" w:customStyle="1" w:styleId="slug-issue">
    <w:name w:val="slug-issue"/>
    <w:basedOn w:val="DefaultParagraphFont"/>
    <w:rsid w:val="00B666F7"/>
  </w:style>
  <w:style w:type="character" w:customStyle="1" w:styleId="slug-pages">
    <w:name w:val="slug-pages"/>
    <w:basedOn w:val="DefaultParagraphFont"/>
    <w:rsid w:val="00B666F7"/>
  </w:style>
  <w:style w:type="paragraph" w:styleId="NoSpacing">
    <w:name w:val="No Spacing"/>
    <w:aliases w:val="EE Para 1"/>
    <w:uiPriority w:val="1"/>
    <w:qFormat/>
    <w:rsid w:val="00B666F7"/>
    <w:pPr>
      <w:spacing w:after="0" w:line="240" w:lineRule="auto"/>
    </w:pPr>
  </w:style>
  <w:style w:type="character" w:customStyle="1" w:styleId="cit-vol">
    <w:name w:val="cit-vol"/>
    <w:basedOn w:val="DefaultParagraphFont"/>
    <w:rsid w:val="00B666F7"/>
  </w:style>
  <w:style w:type="character" w:customStyle="1" w:styleId="cit-sep">
    <w:name w:val="cit-sep"/>
    <w:basedOn w:val="DefaultParagraphFont"/>
    <w:rsid w:val="00B666F7"/>
  </w:style>
  <w:style w:type="character" w:customStyle="1" w:styleId="cit-first-page">
    <w:name w:val="cit-first-page"/>
    <w:basedOn w:val="DefaultParagraphFont"/>
    <w:rsid w:val="00B666F7"/>
  </w:style>
  <w:style w:type="character" w:customStyle="1" w:styleId="cit-last-page">
    <w:name w:val="cit-last-page"/>
    <w:basedOn w:val="DefaultParagraphFont"/>
    <w:rsid w:val="00B666F7"/>
  </w:style>
  <w:style w:type="character" w:styleId="Strong">
    <w:name w:val="Strong"/>
    <w:basedOn w:val="DefaultParagraphFont"/>
    <w:uiPriority w:val="22"/>
    <w:qFormat/>
    <w:rsid w:val="00B666F7"/>
    <w:rPr>
      <w:b/>
      <w:bCs/>
    </w:rPr>
  </w:style>
  <w:style w:type="character" w:styleId="Emphasis">
    <w:name w:val="Emphasis"/>
    <w:basedOn w:val="DefaultParagraphFont"/>
    <w:uiPriority w:val="20"/>
    <w:qFormat/>
    <w:rsid w:val="00B666F7"/>
    <w:rPr>
      <w:i/>
      <w:iCs/>
    </w:rPr>
  </w:style>
  <w:style w:type="paragraph" w:styleId="BodyText">
    <w:name w:val="Body Text"/>
    <w:basedOn w:val="Normal"/>
    <w:link w:val="BodyTextChar"/>
    <w:rsid w:val="00B666F7"/>
    <w:pPr>
      <w:spacing w:line="288" w:lineRule="auto"/>
      <w:ind w:firstLine="335"/>
      <w:jc w:val="both"/>
    </w:pPr>
  </w:style>
  <w:style w:type="character" w:customStyle="1" w:styleId="BodyTextChar">
    <w:name w:val="Body Text Char"/>
    <w:basedOn w:val="DefaultParagraphFont"/>
    <w:link w:val="BodyText"/>
    <w:rsid w:val="00B666F7"/>
    <w:rPr>
      <w:rFonts w:eastAsiaTheme="minorEastAsia"/>
    </w:rPr>
  </w:style>
  <w:style w:type="paragraph" w:styleId="List">
    <w:name w:val="List"/>
    <w:basedOn w:val="Normal"/>
    <w:rsid w:val="00B666F7"/>
    <w:pPr>
      <w:numPr>
        <w:numId w:val="15"/>
      </w:numPr>
      <w:tabs>
        <w:tab w:val="left" w:pos="993"/>
      </w:tabs>
      <w:spacing w:before="60" w:line="288" w:lineRule="auto"/>
    </w:pPr>
    <w:rPr>
      <w:rFonts w:eastAsia="Times New Roman"/>
    </w:rPr>
  </w:style>
  <w:style w:type="paragraph" w:styleId="ListBullet">
    <w:name w:val="List Bullet"/>
    <w:basedOn w:val="Normal"/>
    <w:rsid w:val="00B666F7"/>
    <w:pPr>
      <w:numPr>
        <w:numId w:val="16"/>
      </w:numPr>
      <w:spacing w:after="120" w:line="360" w:lineRule="auto"/>
    </w:pPr>
    <w:rPr>
      <w:rFonts w:eastAsia="Times New Roman"/>
      <w:szCs w:val="24"/>
    </w:rPr>
  </w:style>
  <w:style w:type="paragraph" w:customStyle="1" w:styleId="Tabelltext">
    <w:name w:val="Tabelltext"/>
    <w:basedOn w:val="BodyText"/>
    <w:rsid w:val="00B666F7"/>
    <w:pPr>
      <w:spacing w:before="60" w:after="60" w:line="240" w:lineRule="auto"/>
      <w:ind w:firstLine="0"/>
      <w:jc w:val="left"/>
    </w:pPr>
    <w:rPr>
      <w:rFonts w:eastAsia="Times New Roman"/>
      <w:sz w:val="20"/>
    </w:rPr>
  </w:style>
  <w:style w:type="paragraph" w:customStyle="1" w:styleId="Frfattarnamn">
    <w:name w:val="Författarnamn"/>
    <w:basedOn w:val="BodyText"/>
    <w:rsid w:val="00B666F7"/>
    <w:pPr>
      <w:ind w:firstLine="0"/>
      <w:jc w:val="center"/>
    </w:pPr>
    <w:rPr>
      <w:rFonts w:eastAsia="Times New Roman"/>
      <w:sz w:val="28"/>
      <w:szCs w:val="28"/>
      <w:lang w:val="sv-SE"/>
    </w:rPr>
  </w:style>
  <w:style w:type="paragraph" w:customStyle="1" w:styleId="Ingress">
    <w:name w:val="Ingress"/>
    <w:basedOn w:val="BodyText"/>
    <w:rsid w:val="00B666F7"/>
    <w:pPr>
      <w:spacing w:before="840" w:after="720" w:line="240" w:lineRule="auto"/>
      <w:ind w:firstLine="0"/>
      <w:jc w:val="left"/>
    </w:pPr>
    <w:rPr>
      <w:rFonts w:eastAsia="Times New Roman"/>
      <w:i/>
      <w:sz w:val="28"/>
      <w:szCs w:val="28"/>
    </w:rPr>
  </w:style>
  <w:style w:type="paragraph" w:styleId="Subtitle">
    <w:name w:val="Subtitle"/>
    <w:basedOn w:val="Normal"/>
    <w:next w:val="Normal"/>
    <w:link w:val="SubtitleChar"/>
    <w:uiPriority w:val="11"/>
    <w:qFormat/>
    <w:rsid w:val="00B666F7"/>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B666F7"/>
    <w:rPr>
      <w:rFonts w:asciiTheme="majorHAnsi" w:eastAsiaTheme="majorEastAsia" w:hAnsiTheme="majorHAnsi" w:cstheme="majorBidi"/>
      <w:i/>
      <w:iCs/>
      <w:color w:val="4F81BD" w:themeColor="accent1"/>
      <w:spacing w:val="15"/>
      <w:szCs w:val="24"/>
    </w:rPr>
  </w:style>
  <w:style w:type="paragraph" w:styleId="Title">
    <w:name w:val="Title"/>
    <w:basedOn w:val="Normal"/>
    <w:next w:val="Normal"/>
    <w:link w:val="TitleChar"/>
    <w:uiPriority w:val="10"/>
    <w:qFormat/>
    <w:rsid w:val="00B666F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666F7"/>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qFormat/>
    <w:rsid w:val="00B666F7"/>
    <w:rPr>
      <w:i/>
      <w:iCs/>
      <w:color w:val="000000" w:themeColor="text1"/>
    </w:rPr>
  </w:style>
  <w:style w:type="character" w:customStyle="1" w:styleId="QuoteChar">
    <w:name w:val="Quote Char"/>
    <w:basedOn w:val="DefaultParagraphFont"/>
    <w:link w:val="Quote"/>
    <w:uiPriority w:val="29"/>
    <w:rsid w:val="00B666F7"/>
    <w:rPr>
      <w:rFonts w:eastAsiaTheme="minorEastAsia"/>
      <w:i/>
      <w:iCs/>
      <w:color w:val="000000" w:themeColor="text1"/>
    </w:rPr>
  </w:style>
  <w:style w:type="paragraph" w:styleId="IntenseQuote">
    <w:name w:val="Intense Quote"/>
    <w:basedOn w:val="Normal"/>
    <w:next w:val="Normal"/>
    <w:link w:val="IntenseQuoteChar"/>
    <w:uiPriority w:val="30"/>
    <w:qFormat/>
    <w:rsid w:val="00B666F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666F7"/>
    <w:rPr>
      <w:rFonts w:eastAsiaTheme="minorEastAsia"/>
      <w:b/>
      <w:bCs/>
      <w:i/>
      <w:iCs/>
      <w:color w:val="4F81BD" w:themeColor="accent1"/>
    </w:rPr>
  </w:style>
  <w:style w:type="character" w:styleId="SubtleEmphasis">
    <w:name w:val="Subtle Emphasis"/>
    <w:basedOn w:val="DefaultParagraphFont"/>
    <w:uiPriority w:val="19"/>
    <w:qFormat/>
    <w:rsid w:val="00B666F7"/>
    <w:rPr>
      <w:i/>
      <w:iCs/>
      <w:color w:val="808080" w:themeColor="text1" w:themeTint="7F"/>
    </w:rPr>
  </w:style>
  <w:style w:type="character" w:styleId="IntenseEmphasis">
    <w:name w:val="Intense Emphasis"/>
    <w:basedOn w:val="DefaultParagraphFont"/>
    <w:uiPriority w:val="21"/>
    <w:qFormat/>
    <w:rsid w:val="00B666F7"/>
    <w:rPr>
      <w:b/>
      <w:bCs/>
      <w:i/>
      <w:iCs/>
      <w:color w:val="4F81BD" w:themeColor="accent1"/>
    </w:rPr>
  </w:style>
  <w:style w:type="character" w:styleId="SubtleReference">
    <w:name w:val="Subtle Reference"/>
    <w:basedOn w:val="DefaultParagraphFont"/>
    <w:uiPriority w:val="31"/>
    <w:qFormat/>
    <w:rsid w:val="00B666F7"/>
    <w:rPr>
      <w:smallCaps/>
      <w:color w:val="C0504D" w:themeColor="accent2"/>
      <w:u w:val="single"/>
    </w:rPr>
  </w:style>
  <w:style w:type="character" w:styleId="IntenseReference">
    <w:name w:val="Intense Reference"/>
    <w:basedOn w:val="DefaultParagraphFont"/>
    <w:uiPriority w:val="32"/>
    <w:qFormat/>
    <w:rsid w:val="00B666F7"/>
    <w:rPr>
      <w:b/>
      <w:bCs/>
      <w:smallCaps/>
      <w:color w:val="C0504D" w:themeColor="accent2"/>
      <w:spacing w:val="5"/>
      <w:u w:val="single"/>
    </w:rPr>
  </w:style>
  <w:style w:type="character" w:styleId="BookTitle">
    <w:name w:val="Book Title"/>
    <w:basedOn w:val="DefaultParagraphFont"/>
    <w:uiPriority w:val="33"/>
    <w:qFormat/>
    <w:rsid w:val="00B666F7"/>
    <w:rPr>
      <w:b/>
      <w:bCs/>
      <w:smallCaps/>
      <w:spacing w:val="5"/>
    </w:rPr>
  </w:style>
  <w:style w:type="character" w:customStyle="1" w:styleId="st">
    <w:name w:val="st"/>
    <w:basedOn w:val="DefaultParagraphFont"/>
    <w:rsid w:val="00B666F7"/>
  </w:style>
  <w:style w:type="table" w:customStyle="1" w:styleId="MediumList1-Accent11">
    <w:name w:val="Medium List 1 - Accent 11"/>
    <w:basedOn w:val="TableNormal"/>
    <w:uiPriority w:val="65"/>
    <w:rsid w:val="00B666F7"/>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customStyle="1" w:styleId="st1">
    <w:name w:val="st1"/>
    <w:basedOn w:val="DefaultParagraphFont"/>
    <w:rsid w:val="00B666F7"/>
  </w:style>
  <w:style w:type="character" w:customStyle="1" w:styleId="med">
    <w:name w:val="med"/>
    <w:basedOn w:val="DefaultParagraphFont"/>
    <w:rsid w:val="00B666F7"/>
  </w:style>
  <w:style w:type="table" w:customStyle="1" w:styleId="LightShading1">
    <w:name w:val="Light Shading1"/>
    <w:basedOn w:val="TableNormal"/>
    <w:uiPriority w:val="60"/>
    <w:rsid w:val="00B666F7"/>
    <w:pPr>
      <w:spacing w:after="0" w:line="240" w:lineRule="auto"/>
    </w:pPr>
    <w:rPr>
      <w:rFonts w:eastAsiaTheme="minorEastAsia"/>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
    <w:name w:val="Medium Shading 1"/>
    <w:basedOn w:val="TableNormal"/>
    <w:uiPriority w:val="63"/>
    <w:rsid w:val="00B666F7"/>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Shading">
    <w:name w:val="Light Shading"/>
    <w:basedOn w:val="TableNormal"/>
    <w:uiPriority w:val="60"/>
    <w:rsid w:val="00B666F7"/>
    <w:pPr>
      <w:spacing w:after="0" w:line="240" w:lineRule="auto"/>
    </w:pPr>
    <w:rPr>
      <w:rFonts w:eastAsiaTheme="minorEastAsia"/>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FB11AC"/>
    <w:rPr>
      <w:sz w:val="16"/>
      <w:szCs w:val="16"/>
    </w:rPr>
  </w:style>
  <w:style w:type="paragraph" w:customStyle="1" w:styleId="EndNoteBibliographyTitle">
    <w:name w:val="EndNote Bibliography Title"/>
    <w:basedOn w:val="Normal"/>
    <w:link w:val="EndNoteBibliographyTitleChar"/>
    <w:rsid w:val="002C5D63"/>
    <w:pPr>
      <w:spacing w:after="0"/>
      <w:jc w:val="center"/>
    </w:pPr>
    <w:rPr>
      <w:rFonts w:ascii="Times New Roman" w:hAnsi="Times New Roman" w:cs="Times New Roman"/>
      <w:noProof/>
      <w:lang w:val="en-US"/>
    </w:rPr>
  </w:style>
  <w:style w:type="character" w:customStyle="1" w:styleId="EndNoteBibliographyTitleChar">
    <w:name w:val="EndNote Bibliography Title Char"/>
    <w:basedOn w:val="DefaultParagraphFont"/>
    <w:link w:val="EndNoteBibliographyTitle"/>
    <w:rsid w:val="002C5D63"/>
    <w:rPr>
      <w:rFonts w:ascii="Times New Roman" w:eastAsiaTheme="minorEastAsia" w:hAnsi="Times New Roman" w:cs="Times New Roman"/>
      <w:noProof/>
      <w:lang w:val="en-US"/>
    </w:rPr>
  </w:style>
  <w:style w:type="paragraph" w:customStyle="1" w:styleId="EndNoteBibliography">
    <w:name w:val="EndNote Bibliography"/>
    <w:basedOn w:val="Normal"/>
    <w:link w:val="EndNoteBibliographyChar"/>
    <w:rsid w:val="002C5D63"/>
    <w:pPr>
      <w:spacing w:line="240" w:lineRule="auto"/>
    </w:pPr>
    <w:rPr>
      <w:rFonts w:ascii="Times New Roman" w:hAnsi="Times New Roman" w:cs="Times New Roman"/>
      <w:noProof/>
      <w:lang w:val="en-US"/>
    </w:rPr>
  </w:style>
  <w:style w:type="character" w:customStyle="1" w:styleId="EndNoteBibliographyChar">
    <w:name w:val="EndNote Bibliography Char"/>
    <w:basedOn w:val="DefaultParagraphFont"/>
    <w:link w:val="EndNoteBibliography"/>
    <w:rsid w:val="002C5D63"/>
    <w:rPr>
      <w:rFonts w:ascii="Times New Roman" w:eastAsiaTheme="minorEastAsia" w:hAnsi="Times New Roman" w:cs="Times New Roman"/>
      <w:noProof/>
      <w:lang w:val="en-US"/>
    </w:rPr>
  </w:style>
  <w:style w:type="character" w:customStyle="1" w:styleId="ListParagraphChar">
    <w:name w:val="List Paragraph Char"/>
    <w:basedOn w:val="DefaultParagraphFont"/>
    <w:link w:val="ListParagraph"/>
    <w:uiPriority w:val="34"/>
    <w:rsid w:val="006F3C71"/>
    <w:rPr>
      <w:rFonts w:eastAsiaTheme="minorEastAsia"/>
    </w:rPr>
  </w:style>
  <w:style w:type="character" w:customStyle="1" w:styleId="UnresolvedMention1">
    <w:name w:val="Unresolved Mention1"/>
    <w:basedOn w:val="DefaultParagraphFont"/>
    <w:uiPriority w:val="99"/>
    <w:semiHidden/>
    <w:unhideWhenUsed/>
    <w:rsid w:val="00524332"/>
    <w:rPr>
      <w:color w:val="808080"/>
      <w:shd w:val="clear" w:color="auto" w:fill="E6E6E6"/>
    </w:rPr>
  </w:style>
  <w:style w:type="character" w:customStyle="1" w:styleId="UnresolvedMention">
    <w:name w:val="Unresolved Mention"/>
    <w:basedOn w:val="DefaultParagraphFont"/>
    <w:uiPriority w:val="99"/>
    <w:semiHidden/>
    <w:unhideWhenUsed/>
    <w:rsid w:val="00266C7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694858">
      <w:bodyDiv w:val="1"/>
      <w:marLeft w:val="0"/>
      <w:marRight w:val="0"/>
      <w:marTop w:val="0"/>
      <w:marBottom w:val="0"/>
      <w:divBdr>
        <w:top w:val="none" w:sz="0" w:space="0" w:color="auto"/>
        <w:left w:val="none" w:sz="0" w:space="0" w:color="auto"/>
        <w:bottom w:val="none" w:sz="0" w:space="0" w:color="auto"/>
        <w:right w:val="none" w:sz="0" w:space="0" w:color="auto"/>
      </w:divBdr>
    </w:div>
    <w:div w:id="251351835">
      <w:bodyDiv w:val="1"/>
      <w:marLeft w:val="0"/>
      <w:marRight w:val="0"/>
      <w:marTop w:val="0"/>
      <w:marBottom w:val="0"/>
      <w:divBdr>
        <w:top w:val="none" w:sz="0" w:space="0" w:color="auto"/>
        <w:left w:val="none" w:sz="0" w:space="0" w:color="auto"/>
        <w:bottom w:val="none" w:sz="0" w:space="0" w:color="auto"/>
        <w:right w:val="none" w:sz="0" w:space="0" w:color="auto"/>
      </w:divBdr>
      <w:divsChild>
        <w:div w:id="1648706758">
          <w:marLeft w:val="0"/>
          <w:marRight w:val="0"/>
          <w:marTop w:val="0"/>
          <w:marBottom w:val="0"/>
          <w:divBdr>
            <w:top w:val="none" w:sz="0" w:space="0" w:color="auto"/>
            <w:left w:val="none" w:sz="0" w:space="0" w:color="auto"/>
            <w:bottom w:val="none" w:sz="0" w:space="0" w:color="auto"/>
            <w:right w:val="none" w:sz="0" w:space="0" w:color="auto"/>
          </w:divBdr>
          <w:divsChild>
            <w:div w:id="353314441">
              <w:marLeft w:val="0"/>
              <w:marRight w:val="0"/>
              <w:marTop w:val="0"/>
              <w:marBottom w:val="0"/>
              <w:divBdr>
                <w:top w:val="none" w:sz="0" w:space="0" w:color="auto"/>
                <w:left w:val="none" w:sz="0" w:space="0" w:color="auto"/>
                <w:bottom w:val="none" w:sz="0" w:space="0" w:color="auto"/>
                <w:right w:val="none" w:sz="0" w:space="0" w:color="auto"/>
              </w:divBdr>
              <w:divsChild>
                <w:div w:id="813134773">
                  <w:marLeft w:val="0"/>
                  <w:marRight w:val="0"/>
                  <w:marTop w:val="0"/>
                  <w:marBottom w:val="0"/>
                  <w:divBdr>
                    <w:top w:val="none" w:sz="0" w:space="0" w:color="auto"/>
                    <w:left w:val="none" w:sz="0" w:space="0" w:color="auto"/>
                    <w:bottom w:val="none" w:sz="0" w:space="0" w:color="auto"/>
                    <w:right w:val="none" w:sz="0" w:space="0" w:color="auto"/>
                  </w:divBdr>
                  <w:divsChild>
                    <w:div w:id="1436363073">
                      <w:marLeft w:val="0"/>
                      <w:marRight w:val="0"/>
                      <w:marTop w:val="0"/>
                      <w:marBottom w:val="0"/>
                      <w:divBdr>
                        <w:top w:val="none" w:sz="0" w:space="0" w:color="auto"/>
                        <w:left w:val="none" w:sz="0" w:space="0" w:color="auto"/>
                        <w:bottom w:val="none" w:sz="0" w:space="0" w:color="auto"/>
                        <w:right w:val="none" w:sz="0" w:space="0" w:color="auto"/>
                      </w:divBdr>
                      <w:divsChild>
                        <w:div w:id="788082717">
                          <w:marLeft w:val="0"/>
                          <w:marRight w:val="0"/>
                          <w:marTop w:val="0"/>
                          <w:marBottom w:val="0"/>
                          <w:divBdr>
                            <w:top w:val="none" w:sz="0" w:space="0" w:color="auto"/>
                            <w:left w:val="none" w:sz="0" w:space="0" w:color="auto"/>
                            <w:bottom w:val="none" w:sz="0" w:space="0" w:color="auto"/>
                            <w:right w:val="none" w:sz="0" w:space="0" w:color="auto"/>
                          </w:divBdr>
                          <w:divsChild>
                            <w:div w:id="142148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541949">
      <w:bodyDiv w:val="1"/>
      <w:marLeft w:val="0"/>
      <w:marRight w:val="0"/>
      <w:marTop w:val="0"/>
      <w:marBottom w:val="0"/>
      <w:divBdr>
        <w:top w:val="none" w:sz="0" w:space="0" w:color="auto"/>
        <w:left w:val="none" w:sz="0" w:space="0" w:color="auto"/>
        <w:bottom w:val="none" w:sz="0" w:space="0" w:color="auto"/>
        <w:right w:val="none" w:sz="0" w:space="0" w:color="auto"/>
      </w:divBdr>
      <w:divsChild>
        <w:div w:id="1397583426">
          <w:marLeft w:val="0"/>
          <w:marRight w:val="0"/>
          <w:marTop w:val="0"/>
          <w:marBottom w:val="0"/>
          <w:divBdr>
            <w:top w:val="none" w:sz="0" w:space="0" w:color="auto"/>
            <w:left w:val="none" w:sz="0" w:space="0" w:color="auto"/>
            <w:bottom w:val="none" w:sz="0" w:space="0" w:color="auto"/>
            <w:right w:val="none" w:sz="0" w:space="0" w:color="auto"/>
          </w:divBdr>
          <w:divsChild>
            <w:div w:id="282077996">
              <w:marLeft w:val="0"/>
              <w:marRight w:val="0"/>
              <w:marTop w:val="0"/>
              <w:marBottom w:val="0"/>
              <w:divBdr>
                <w:top w:val="none" w:sz="0" w:space="0" w:color="auto"/>
                <w:left w:val="none" w:sz="0" w:space="0" w:color="auto"/>
                <w:bottom w:val="none" w:sz="0" w:space="0" w:color="auto"/>
                <w:right w:val="none" w:sz="0" w:space="0" w:color="auto"/>
              </w:divBdr>
              <w:divsChild>
                <w:div w:id="492795249">
                  <w:marLeft w:val="0"/>
                  <w:marRight w:val="0"/>
                  <w:marTop w:val="0"/>
                  <w:marBottom w:val="0"/>
                  <w:divBdr>
                    <w:top w:val="none" w:sz="0" w:space="0" w:color="auto"/>
                    <w:left w:val="none" w:sz="0" w:space="0" w:color="auto"/>
                    <w:bottom w:val="none" w:sz="0" w:space="0" w:color="auto"/>
                    <w:right w:val="none" w:sz="0" w:space="0" w:color="auto"/>
                  </w:divBdr>
                  <w:divsChild>
                    <w:div w:id="1603797977">
                      <w:marLeft w:val="0"/>
                      <w:marRight w:val="0"/>
                      <w:marTop w:val="0"/>
                      <w:marBottom w:val="0"/>
                      <w:divBdr>
                        <w:top w:val="none" w:sz="0" w:space="0" w:color="auto"/>
                        <w:left w:val="none" w:sz="0" w:space="0" w:color="auto"/>
                        <w:bottom w:val="none" w:sz="0" w:space="0" w:color="auto"/>
                        <w:right w:val="none" w:sz="0" w:space="0" w:color="auto"/>
                      </w:divBdr>
                      <w:divsChild>
                        <w:div w:id="1826435174">
                          <w:marLeft w:val="0"/>
                          <w:marRight w:val="0"/>
                          <w:marTop w:val="0"/>
                          <w:marBottom w:val="0"/>
                          <w:divBdr>
                            <w:top w:val="none" w:sz="0" w:space="0" w:color="auto"/>
                            <w:left w:val="none" w:sz="0" w:space="0" w:color="auto"/>
                            <w:bottom w:val="none" w:sz="0" w:space="0" w:color="auto"/>
                            <w:right w:val="none" w:sz="0" w:space="0" w:color="auto"/>
                          </w:divBdr>
                          <w:divsChild>
                            <w:div w:id="1436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883414">
      <w:bodyDiv w:val="1"/>
      <w:marLeft w:val="0"/>
      <w:marRight w:val="0"/>
      <w:marTop w:val="0"/>
      <w:marBottom w:val="0"/>
      <w:divBdr>
        <w:top w:val="none" w:sz="0" w:space="0" w:color="auto"/>
        <w:left w:val="none" w:sz="0" w:space="0" w:color="auto"/>
        <w:bottom w:val="none" w:sz="0" w:space="0" w:color="auto"/>
        <w:right w:val="none" w:sz="0" w:space="0" w:color="auto"/>
      </w:divBdr>
      <w:divsChild>
        <w:div w:id="1771046859">
          <w:marLeft w:val="0"/>
          <w:marRight w:val="0"/>
          <w:marTop w:val="0"/>
          <w:marBottom w:val="0"/>
          <w:divBdr>
            <w:top w:val="none" w:sz="0" w:space="0" w:color="auto"/>
            <w:left w:val="none" w:sz="0" w:space="0" w:color="auto"/>
            <w:bottom w:val="none" w:sz="0" w:space="0" w:color="auto"/>
            <w:right w:val="none" w:sz="0" w:space="0" w:color="auto"/>
          </w:divBdr>
          <w:divsChild>
            <w:div w:id="527762869">
              <w:marLeft w:val="0"/>
              <w:marRight w:val="0"/>
              <w:marTop w:val="0"/>
              <w:marBottom w:val="0"/>
              <w:divBdr>
                <w:top w:val="none" w:sz="0" w:space="0" w:color="auto"/>
                <w:left w:val="none" w:sz="0" w:space="0" w:color="auto"/>
                <w:bottom w:val="none" w:sz="0" w:space="0" w:color="auto"/>
                <w:right w:val="none" w:sz="0" w:space="0" w:color="auto"/>
              </w:divBdr>
              <w:divsChild>
                <w:div w:id="1661888740">
                  <w:marLeft w:val="0"/>
                  <w:marRight w:val="0"/>
                  <w:marTop w:val="0"/>
                  <w:marBottom w:val="0"/>
                  <w:divBdr>
                    <w:top w:val="none" w:sz="0" w:space="0" w:color="auto"/>
                    <w:left w:val="none" w:sz="0" w:space="0" w:color="auto"/>
                    <w:bottom w:val="none" w:sz="0" w:space="0" w:color="auto"/>
                    <w:right w:val="none" w:sz="0" w:space="0" w:color="auto"/>
                  </w:divBdr>
                  <w:divsChild>
                    <w:div w:id="1154908128">
                      <w:marLeft w:val="0"/>
                      <w:marRight w:val="0"/>
                      <w:marTop w:val="0"/>
                      <w:marBottom w:val="0"/>
                      <w:divBdr>
                        <w:top w:val="none" w:sz="0" w:space="0" w:color="auto"/>
                        <w:left w:val="none" w:sz="0" w:space="0" w:color="auto"/>
                        <w:bottom w:val="none" w:sz="0" w:space="0" w:color="auto"/>
                        <w:right w:val="none" w:sz="0" w:space="0" w:color="auto"/>
                      </w:divBdr>
                      <w:divsChild>
                        <w:div w:id="539822913">
                          <w:marLeft w:val="0"/>
                          <w:marRight w:val="0"/>
                          <w:marTop w:val="0"/>
                          <w:marBottom w:val="0"/>
                          <w:divBdr>
                            <w:top w:val="none" w:sz="0" w:space="0" w:color="auto"/>
                            <w:left w:val="none" w:sz="0" w:space="0" w:color="auto"/>
                            <w:bottom w:val="none" w:sz="0" w:space="0" w:color="auto"/>
                            <w:right w:val="none" w:sz="0" w:space="0" w:color="auto"/>
                          </w:divBdr>
                          <w:divsChild>
                            <w:div w:id="91929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801059">
      <w:bodyDiv w:val="1"/>
      <w:marLeft w:val="0"/>
      <w:marRight w:val="0"/>
      <w:marTop w:val="0"/>
      <w:marBottom w:val="0"/>
      <w:divBdr>
        <w:top w:val="none" w:sz="0" w:space="0" w:color="auto"/>
        <w:left w:val="none" w:sz="0" w:space="0" w:color="auto"/>
        <w:bottom w:val="none" w:sz="0" w:space="0" w:color="auto"/>
        <w:right w:val="none" w:sz="0" w:space="0" w:color="auto"/>
      </w:divBdr>
      <w:divsChild>
        <w:div w:id="955453142">
          <w:marLeft w:val="0"/>
          <w:marRight w:val="0"/>
          <w:marTop w:val="0"/>
          <w:marBottom w:val="0"/>
          <w:divBdr>
            <w:top w:val="none" w:sz="0" w:space="0" w:color="auto"/>
            <w:left w:val="none" w:sz="0" w:space="0" w:color="auto"/>
            <w:bottom w:val="none" w:sz="0" w:space="0" w:color="auto"/>
            <w:right w:val="none" w:sz="0" w:space="0" w:color="auto"/>
          </w:divBdr>
          <w:divsChild>
            <w:div w:id="512769997">
              <w:marLeft w:val="0"/>
              <w:marRight w:val="0"/>
              <w:marTop w:val="0"/>
              <w:marBottom w:val="0"/>
              <w:divBdr>
                <w:top w:val="none" w:sz="0" w:space="0" w:color="auto"/>
                <w:left w:val="none" w:sz="0" w:space="0" w:color="auto"/>
                <w:bottom w:val="none" w:sz="0" w:space="0" w:color="auto"/>
                <w:right w:val="none" w:sz="0" w:space="0" w:color="auto"/>
              </w:divBdr>
              <w:divsChild>
                <w:div w:id="884290311">
                  <w:marLeft w:val="0"/>
                  <w:marRight w:val="0"/>
                  <w:marTop w:val="0"/>
                  <w:marBottom w:val="0"/>
                  <w:divBdr>
                    <w:top w:val="none" w:sz="0" w:space="0" w:color="auto"/>
                    <w:left w:val="none" w:sz="0" w:space="0" w:color="auto"/>
                    <w:bottom w:val="none" w:sz="0" w:space="0" w:color="auto"/>
                    <w:right w:val="none" w:sz="0" w:space="0" w:color="auto"/>
                  </w:divBdr>
                  <w:divsChild>
                    <w:div w:id="1528251611">
                      <w:marLeft w:val="0"/>
                      <w:marRight w:val="0"/>
                      <w:marTop w:val="0"/>
                      <w:marBottom w:val="0"/>
                      <w:divBdr>
                        <w:top w:val="none" w:sz="0" w:space="0" w:color="auto"/>
                        <w:left w:val="none" w:sz="0" w:space="0" w:color="auto"/>
                        <w:bottom w:val="none" w:sz="0" w:space="0" w:color="auto"/>
                        <w:right w:val="none" w:sz="0" w:space="0" w:color="auto"/>
                      </w:divBdr>
                      <w:divsChild>
                        <w:div w:id="328216578">
                          <w:marLeft w:val="0"/>
                          <w:marRight w:val="0"/>
                          <w:marTop w:val="0"/>
                          <w:marBottom w:val="0"/>
                          <w:divBdr>
                            <w:top w:val="none" w:sz="0" w:space="0" w:color="auto"/>
                            <w:left w:val="none" w:sz="0" w:space="0" w:color="auto"/>
                            <w:bottom w:val="none" w:sz="0" w:space="0" w:color="auto"/>
                            <w:right w:val="none" w:sz="0" w:space="0" w:color="auto"/>
                          </w:divBdr>
                          <w:divsChild>
                            <w:div w:id="184235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896479">
      <w:bodyDiv w:val="1"/>
      <w:marLeft w:val="0"/>
      <w:marRight w:val="0"/>
      <w:marTop w:val="0"/>
      <w:marBottom w:val="0"/>
      <w:divBdr>
        <w:top w:val="none" w:sz="0" w:space="0" w:color="auto"/>
        <w:left w:val="none" w:sz="0" w:space="0" w:color="auto"/>
        <w:bottom w:val="none" w:sz="0" w:space="0" w:color="auto"/>
        <w:right w:val="none" w:sz="0" w:space="0" w:color="auto"/>
      </w:divBdr>
      <w:divsChild>
        <w:div w:id="792333277">
          <w:marLeft w:val="0"/>
          <w:marRight w:val="0"/>
          <w:marTop w:val="0"/>
          <w:marBottom w:val="0"/>
          <w:divBdr>
            <w:top w:val="none" w:sz="0" w:space="0" w:color="auto"/>
            <w:left w:val="none" w:sz="0" w:space="0" w:color="auto"/>
            <w:bottom w:val="none" w:sz="0" w:space="0" w:color="auto"/>
            <w:right w:val="none" w:sz="0" w:space="0" w:color="auto"/>
          </w:divBdr>
          <w:divsChild>
            <w:div w:id="1947498862">
              <w:marLeft w:val="0"/>
              <w:marRight w:val="0"/>
              <w:marTop w:val="0"/>
              <w:marBottom w:val="0"/>
              <w:divBdr>
                <w:top w:val="none" w:sz="0" w:space="0" w:color="auto"/>
                <w:left w:val="none" w:sz="0" w:space="0" w:color="auto"/>
                <w:bottom w:val="none" w:sz="0" w:space="0" w:color="auto"/>
                <w:right w:val="none" w:sz="0" w:space="0" w:color="auto"/>
              </w:divBdr>
              <w:divsChild>
                <w:div w:id="477310151">
                  <w:marLeft w:val="0"/>
                  <w:marRight w:val="0"/>
                  <w:marTop w:val="0"/>
                  <w:marBottom w:val="0"/>
                  <w:divBdr>
                    <w:top w:val="none" w:sz="0" w:space="0" w:color="auto"/>
                    <w:left w:val="none" w:sz="0" w:space="0" w:color="auto"/>
                    <w:bottom w:val="none" w:sz="0" w:space="0" w:color="auto"/>
                    <w:right w:val="none" w:sz="0" w:space="0" w:color="auto"/>
                  </w:divBdr>
                  <w:divsChild>
                    <w:div w:id="1895845811">
                      <w:marLeft w:val="0"/>
                      <w:marRight w:val="0"/>
                      <w:marTop w:val="0"/>
                      <w:marBottom w:val="0"/>
                      <w:divBdr>
                        <w:top w:val="none" w:sz="0" w:space="0" w:color="auto"/>
                        <w:left w:val="none" w:sz="0" w:space="0" w:color="auto"/>
                        <w:bottom w:val="none" w:sz="0" w:space="0" w:color="auto"/>
                        <w:right w:val="none" w:sz="0" w:space="0" w:color="auto"/>
                      </w:divBdr>
                      <w:divsChild>
                        <w:div w:id="932208740">
                          <w:marLeft w:val="0"/>
                          <w:marRight w:val="0"/>
                          <w:marTop w:val="0"/>
                          <w:marBottom w:val="0"/>
                          <w:divBdr>
                            <w:top w:val="none" w:sz="0" w:space="0" w:color="auto"/>
                            <w:left w:val="none" w:sz="0" w:space="0" w:color="auto"/>
                            <w:bottom w:val="none" w:sz="0" w:space="0" w:color="auto"/>
                            <w:right w:val="none" w:sz="0" w:space="0" w:color="auto"/>
                          </w:divBdr>
                          <w:divsChild>
                            <w:div w:id="11757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034055">
      <w:bodyDiv w:val="1"/>
      <w:marLeft w:val="0"/>
      <w:marRight w:val="0"/>
      <w:marTop w:val="0"/>
      <w:marBottom w:val="0"/>
      <w:divBdr>
        <w:top w:val="none" w:sz="0" w:space="0" w:color="auto"/>
        <w:left w:val="none" w:sz="0" w:space="0" w:color="auto"/>
        <w:bottom w:val="none" w:sz="0" w:space="0" w:color="auto"/>
        <w:right w:val="none" w:sz="0" w:space="0" w:color="auto"/>
      </w:divBdr>
    </w:div>
    <w:div w:id="840000212">
      <w:bodyDiv w:val="1"/>
      <w:marLeft w:val="0"/>
      <w:marRight w:val="0"/>
      <w:marTop w:val="0"/>
      <w:marBottom w:val="0"/>
      <w:divBdr>
        <w:top w:val="none" w:sz="0" w:space="0" w:color="auto"/>
        <w:left w:val="none" w:sz="0" w:space="0" w:color="auto"/>
        <w:bottom w:val="none" w:sz="0" w:space="0" w:color="auto"/>
        <w:right w:val="none" w:sz="0" w:space="0" w:color="auto"/>
      </w:divBdr>
    </w:div>
    <w:div w:id="893589521">
      <w:bodyDiv w:val="1"/>
      <w:marLeft w:val="0"/>
      <w:marRight w:val="0"/>
      <w:marTop w:val="0"/>
      <w:marBottom w:val="0"/>
      <w:divBdr>
        <w:top w:val="none" w:sz="0" w:space="0" w:color="auto"/>
        <w:left w:val="none" w:sz="0" w:space="0" w:color="auto"/>
        <w:bottom w:val="none" w:sz="0" w:space="0" w:color="auto"/>
        <w:right w:val="none" w:sz="0" w:space="0" w:color="auto"/>
      </w:divBdr>
      <w:divsChild>
        <w:div w:id="988484494">
          <w:marLeft w:val="0"/>
          <w:marRight w:val="0"/>
          <w:marTop w:val="0"/>
          <w:marBottom w:val="0"/>
          <w:divBdr>
            <w:top w:val="none" w:sz="0" w:space="0" w:color="auto"/>
            <w:left w:val="none" w:sz="0" w:space="0" w:color="auto"/>
            <w:bottom w:val="none" w:sz="0" w:space="0" w:color="auto"/>
            <w:right w:val="none" w:sz="0" w:space="0" w:color="auto"/>
          </w:divBdr>
          <w:divsChild>
            <w:div w:id="289629586">
              <w:marLeft w:val="0"/>
              <w:marRight w:val="0"/>
              <w:marTop w:val="0"/>
              <w:marBottom w:val="0"/>
              <w:divBdr>
                <w:top w:val="none" w:sz="0" w:space="0" w:color="auto"/>
                <w:left w:val="none" w:sz="0" w:space="0" w:color="auto"/>
                <w:bottom w:val="none" w:sz="0" w:space="0" w:color="auto"/>
                <w:right w:val="none" w:sz="0" w:space="0" w:color="auto"/>
              </w:divBdr>
              <w:divsChild>
                <w:div w:id="1508713995">
                  <w:marLeft w:val="0"/>
                  <w:marRight w:val="0"/>
                  <w:marTop w:val="0"/>
                  <w:marBottom w:val="0"/>
                  <w:divBdr>
                    <w:top w:val="none" w:sz="0" w:space="0" w:color="auto"/>
                    <w:left w:val="none" w:sz="0" w:space="0" w:color="auto"/>
                    <w:bottom w:val="none" w:sz="0" w:space="0" w:color="auto"/>
                    <w:right w:val="none" w:sz="0" w:space="0" w:color="auto"/>
                  </w:divBdr>
                  <w:divsChild>
                    <w:div w:id="313989548">
                      <w:marLeft w:val="0"/>
                      <w:marRight w:val="0"/>
                      <w:marTop w:val="0"/>
                      <w:marBottom w:val="0"/>
                      <w:divBdr>
                        <w:top w:val="none" w:sz="0" w:space="0" w:color="auto"/>
                        <w:left w:val="none" w:sz="0" w:space="0" w:color="auto"/>
                        <w:bottom w:val="none" w:sz="0" w:space="0" w:color="auto"/>
                        <w:right w:val="none" w:sz="0" w:space="0" w:color="auto"/>
                      </w:divBdr>
                      <w:divsChild>
                        <w:div w:id="1883514846">
                          <w:marLeft w:val="0"/>
                          <w:marRight w:val="0"/>
                          <w:marTop w:val="0"/>
                          <w:marBottom w:val="0"/>
                          <w:divBdr>
                            <w:top w:val="none" w:sz="0" w:space="0" w:color="auto"/>
                            <w:left w:val="none" w:sz="0" w:space="0" w:color="auto"/>
                            <w:bottom w:val="none" w:sz="0" w:space="0" w:color="auto"/>
                            <w:right w:val="none" w:sz="0" w:space="0" w:color="auto"/>
                          </w:divBdr>
                          <w:divsChild>
                            <w:div w:id="235749316">
                              <w:marLeft w:val="0"/>
                              <w:marRight w:val="0"/>
                              <w:marTop w:val="0"/>
                              <w:marBottom w:val="0"/>
                              <w:divBdr>
                                <w:top w:val="none" w:sz="0" w:space="0" w:color="auto"/>
                                <w:left w:val="none" w:sz="0" w:space="0" w:color="auto"/>
                                <w:bottom w:val="none" w:sz="0" w:space="0" w:color="auto"/>
                                <w:right w:val="none" w:sz="0" w:space="0" w:color="auto"/>
                              </w:divBdr>
                              <w:divsChild>
                                <w:div w:id="2108773936">
                                  <w:marLeft w:val="0"/>
                                  <w:marRight w:val="0"/>
                                  <w:marTop w:val="0"/>
                                  <w:marBottom w:val="0"/>
                                  <w:divBdr>
                                    <w:top w:val="none" w:sz="0" w:space="0" w:color="auto"/>
                                    <w:left w:val="none" w:sz="0" w:space="0" w:color="auto"/>
                                    <w:bottom w:val="none" w:sz="0" w:space="0" w:color="auto"/>
                                    <w:right w:val="none" w:sz="0" w:space="0" w:color="auto"/>
                                  </w:divBdr>
                                  <w:divsChild>
                                    <w:div w:id="16076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182559">
      <w:bodyDiv w:val="1"/>
      <w:marLeft w:val="0"/>
      <w:marRight w:val="0"/>
      <w:marTop w:val="0"/>
      <w:marBottom w:val="0"/>
      <w:divBdr>
        <w:top w:val="none" w:sz="0" w:space="0" w:color="auto"/>
        <w:left w:val="none" w:sz="0" w:space="0" w:color="auto"/>
        <w:bottom w:val="none" w:sz="0" w:space="0" w:color="auto"/>
        <w:right w:val="none" w:sz="0" w:space="0" w:color="auto"/>
      </w:divBdr>
    </w:div>
    <w:div w:id="955868384">
      <w:bodyDiv w:val="1"/>
      <w:marLeft w:val="0"/>
      <w:marRight w:val="0"/>
      <w:marTop w:val="0"/>
      <w:marBottom w:val="0"/>
      <w:divBdr>
        <w:top w:val="none" w:sz="0" w:space="0" w:color="auto"/>
        <w:left w:val="none" w:sz="0" w:space="0" w:color="auto"/>
        <w:bottom w:val="none" w:sz="0" w:space="0" w:color="auto"/>
        <w:right w:val="none" w:sz="0" w:space="0" w:color="auto"/>
      </w:divBdr>
    </w:div>
    <w:div w:id="1079014150">
      <w:bodyDiv w:val="1"/>
      <w:marLeft w:val="0"/>
      <w:marRight w:val="0"/>
      <w:marTop w:val="0"/>
      <w:marBottom w:val="0"/>
      <w:divBdr>
        <w:top w:val="none" w:sz="0" w:space="0" w:color="auto"/>
        <w:left w:val="none" w:sz="0" w:space="0" w:color="auto"/>
        <w:bottom w:val="none" w:sz="0" w:space="0" w:color="auto"/>
        <w:right w:val="none" w:sz="0" w:space="0" w:color="auto"/>
      </w:divBdr>
      <w:divsChild>
        <w:div w:id="806700382">
          <w:marLeft w:val="0"/>
          <w:marRight w:val="0"/>
          <w:marTop w:val="0"/>
          <w:marBottom w:val="0"/>
          <w:divBdr>
            <w:top w:val="none" w:sz="0" w:space="0" w:color="auto"/>
            <w:left w:val="none" w:sz="0" w:space="0" w:color="auto"/>
            <w:bottom w:val="none" w:sz="0" w:space="0" w:color="auto"/>
            <w:right w:val="none" w:sz="0" w:space="0" w:color="auto"/>
          </w:divBdr>
          <w:divsChild>
            <w:div w:id="960260455">
              <w:marLeft w:val="0"/>
              <w:marRight w:val="0"/>
              <w:marTop w:val="0"/>
              <w:marBottom w:val="0"/>
              <w:divBdr>
                <w:top w:val="none" w:sz="0" w:space="0" w:color="auto"/>
                <w:left w:val="none" w:sz="0" w:space="0" w:color="auto"/>
                <w:bottom w:val="none" w:sz="0" w:space="0" w:color="auto"/>
                <w:right w:val="none" w:sz="0" w:space="0" w:color="auto"/>
              </w:divBdr>
              <w:divsChild>
                <w:div w:id="693112481">
                  <w:marLeft w:val="0"/>
                  <w:marRight w:val="0"/>
                  <w:marTop w:val="0"/>
                  <w:marBottom w:val="0"/>
                  <w:divBdr>
                    <w:top w:val="none" w:sz="0" w:space="0" w:color="auto"/>
                    <w:left w:val="none" w:sz="0" w:space="0" w:color="auto"/>
                    <w:bottom w:val="none" w:sz="0" w:space="0" w:color="auto"/>
                    <w:right w:val="none" w:sz="0" w:space="0" w:color="auto"/>
                  </w:divBdr>
                  <w:divsChild>
                    <w:div w:id="997270872">
                      <w:marLeft w:val="0"/>
                      <w:marRight w:val="0"/>
                      <w:marTop w:val="0"/>
                      <w:marBottom w:val="0"/>
                      <w:divBdr>
                        <w:top w:val="none" w:sz="0" w:space="0" w:color="auto"/>
                        <w:left w:val="none" w:sz="0" w:space="0" w:color="auto"/>
                        <w:bottom w:val="none" w:sz="0" w:space="0" w:color="auto"/>
                        <w:right w:val="none" w:sz="0" w:space="0" w:color="auto"/>
                      </w:divBdr>
                      <w:divsChild>
                        <w:div w:id="971902134">
                          <w:marLeft w:val="0"/>
                          <w:marRight w:val="0"/>
                          <w:marTop w:val="0"/>
                          <w:marBottom w:val="0"/>
                          <w:divBdr>
                            <w:top w:val="none" w:sz="0" w:space="0" w:color="auto"/>
                            <w:left w:val="none" w:sz="0" w:space="0" w:color="auto"/>
                            <w:bottom w:val="none" w:sz="0" w:space="0" w:color="auto"/>
                            <w:right w:val="none" w:sz="0" w:space="0" w:color="auto"/>
                          </w:divBdr>
                          <w:divsChild>
                            <w:div w:id="7353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897952">
      <w:bodyDiv w:val="1"/>
      <w:marLeft w:val="0"/>
      <w:marRight w:val="0"/>
      <w:marTop w:val="0"/>
      <w:marBottom w:val="0"/>
      <w:divBdr>
        <w:top w:val="none" w:sz="0" w:space="0" w:color="auto"/>
        <w:left w:val="none" w:sz="0" w:space="0" w:color="auto"/>
        <w:bottom w:val="none" w:sz="0" w:space="0" w:color="auto"/>
        <w:right w:val="none" w:sz="0" w:space="0" w:color="auto"/>
      </w:divBdr>
    </w:div>
    <w:div w:id="1425153833">
      <w:bodyDiv w:val="1"/>
      <w:marLeft w:val="0"/>
      <w:marRight w:val="0"/>
      <w:marTop w:val="0"/>
      <w:marBottom w:val="0"/>
      <w:divBdr>
        <w:top w:val="none" w:sz="0" w:space="0" w:color="auto"/>
        <w:left w:val="none" w:sz="0" w:space="0" w:color="auto"/>
        <w:bottom w:val="none" w:sz="0" w:space="0" w:color="auto"/>
        <w:right w:val="none" w:sz="0" w:space="0" w:color="auto"/>
      </w:divBdr>
      <w:divsChild>
        <w:div w:id="852111342">
          <w:marLeft w:val="0"/>
          <w:marRight w:val="0"/>
          <w:marTop w:val="0"/>
          <w:marBottom w:val="0"/>
          <w:divBdr>
            <w:top w:val="none" w:sz="0" w:space="0" w:color="auto"/>
            <w:left w:val="none" w:sz="0" w:space="0" w:color="auto"/>
            <w:bottom w:val="none" w:sz="0" w:space="0" w:color="auto"/>
            <w:right w:val="none" w:sz="0" w:space="0" w:color="auto"/>
          </w:divBdr>
          <w:divsChild>
            <w:div w:id="490145203">
              <w:marLeft w:val="0"/>
              <w:marRight w:val="0"/>
              <w:marTop w:val="0"/>
              <w:marBottom w:val="0"/>
              <w:divBdr>
                <w:top w:val="none" w:sz="0" w:space="0" w:color="auto"/>
                <w:left w:val="none" w:sz="0" w:space="0" w:color="auto"/>
                <w:bottom w:val="none" w:sz="0" w:space="0" w:color="auto"/>
                <w:right w:val="none" w:sz="0" w:space="0" w:color="auto"/>
              </w:divBdr>
              <w:divsChild>
                <w:div w:id="500852854">
                  <w:marLeft w:val="0"/>
                  <w:marRight w:val="0"/>
                  <w:marTop w:val="0"/>
                  <w:marBottom w:val="0"/>
                  <w:divBdr>
                    <w:top w:val="none" w:sz="0" w:space="0" w:color="auto"/>
                    <w:left w:val="none" w:sz="0" w:space="0" w:color="auto"/>
                    <w:bottom w:val="none" w:sz="0" w:space="0" w:color="auto"/>
                    <w:right w:val="none" w:sz="0" w:space="0" w:color="auto"/>
                  </w:divBdr>
                  <w:divsChild>
                    <w:div w:id="1136220460">
                      <w:marLeft w:val="0"/>
                      <w:marRight w:val="0"/>
                      <w:marTop w:val="0"/>
                      <w:marBottom w:val="0"/>
                      <w:divBdr>
                        <w:top w:val="none" w:sz="0" w:space="0" w:color="auto"/>
                        <w:left w:val="none" w:sz="0" w:space="0" w:color="auto"/>
                        <w:bottom w:val="none" w:sz="0" w:space="0" w:color="auto"/>
                        <w:right w:val="none" w:sz="0" w:space="0" w:color="auto"/>
                      </w:divBdr>
                      <w:divsChild>
                        <w:div w:id="1084109856">
                          <w:marLeft w:val="0"/>
                          <w:marRight w:val="0"/>
                          <w:marTop w:val="0"/>
                          <w:marBottom w:val="0"/>
                          <w:divBdr>
                            <w:top w:val="none" w:sz="0" w:space="0" w:color="auto"/>
                            <w:left w:val="none" w:sz="0" w:space="0" w:color="auto"/>
                            <w:bottom w:val="none" w:sz="0" w:space="0" w:color="auto"/>
                            <w:right w:val="none" w:sz="0" w:space="0" w:color="auto"/>
                          </w:divBdr>
                          <w:divsChild>
                            <w:div w:id="102370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352574">
      <w:bodyDiv w:val="1"/>
      <w:marLeft w:val="0"/>
      <w:marRight w:val="0"/>
      <w:marTop w:val="0"/>
      <w:marBottom w:val="0"/>
      <w:divBdr>
        <w:top w:val="none" w:sz="0" w:space="0" w:color="auto"/>
        <w:left w:val="none" w:sz="0" w:space="0" w:color="auto"/>
        <w:bottom w:val="none" w:sz="0" w:space="0" w:color="auto"/>
        <w:right w:val="none" w:sz="0" w:space="0" w:color="auto"/>
      </w:divBdr>
    </w:div>
    <w:div w:id="1522816514">
      <w:bodyDiv w:val="1"/>
      <w:marLeft w:val="0"/>
      <w:marRight w:val="0"/>
      <w:marTop w:val="0"/>
      <w:marBottom w:val="0"/>
      <w:divBdr>
        <w:top w:val="none" w:sz="0" w:space="0" w:color="auto"/>
        <w:left w:val="none" w:sz="0" w:space="0" w:color="auto"/>
        <w:bottom w:val="none" w:sz="0" w:space="0" w:color="auto"/>
        <w:right w:val="none" w:sz="0" w:space="0" w:color="auto"/>
      </w:divBdr>
    </w:div>
    <w:div w:id="1687176627">
      <w:bodyDiv w:val="1"/>
      <w:marLeft w:val="0"/>
      <w:marRight w:val="0"/>
      <w:marTop w:val="0"/>
      <w:marBottom w:val="0"/>
      <w:divBdr>
        <w:top w:val="none" w:sz="0" w:space="0" w:color="auto"/>
        <w:left w:val="none" w:sz="0" w:space="0" w:color="auto"/>
        <w:bottom w:val="none" w:sz="0" w:space="0" w:color="auto"/>
        <w:right w:val="none" w:sz="0" w:space="0" w:color="auto"/>
      </w:divBdr>
    </w:div>
    <w:div w:id="1746607608">
      <w:bodyDiv w:val="1"/>
      <w:marLeft w:val="0"/>
      <w:marRight w:val="0"/>
      <w:marTop w:val="0"/>
      <w:marBottom w:val="0"/>
      <w:divBdr>
        <w:top w:val="none" w:sz="0" w:space="0" w:color="auto"/>
        <w:left w:val="none" w:sz="0" w:space="0" w:color="auto"/>
        <w:bottom w:val="none" w:sz="0" w:space="0" w:color="auto"/>
        <w:right w:val="none" w:sz="0" w:space="0" w:color="auto"/>
      </w:divBdr>
    </w:div>
    <w:div w:id="1771582858">
      <w:bodyDiv w:val="1"/>
      <w:marLeft w:val="0"/>
      <w:marRight w:val="0"/>
      <w:marTop w:val="0"/>
      <w:marBottom w:val="0"/>
      <w:divBdr>
        <w:top w:val="none" w:sz="0" w:space="0" w:color="auto"/>
        <w:left w:val="none" w:sz="0" w:space="0" w:color="auto"/>
        <w:bottom w:val="none" w:sz="0" w:space="0" w:color="auto"/>
        <w:right w:val="none" w:sz="0" w:space="0" w:color="auto"/>
      </w:divBdr>
      <w:divsChild>
        <w:div w:id="2037541661">
          <w:marLeft w:val="0"/>
          <w:marRight w:val="0"/>
          <w:marTop w:val="0"/>
          <w:marBottom w:val="0"/>
          <w:divBdr>
            <w:top w:val="none" w:sz="0" w:space="0" w:color="auto"/>
            <w:left w:val="none" w:sz="0" w:space="0" w:color="auto"/>
            <w:bottom w:val="none" w:sz="0" w:space="0" w:color="auto"/>
            <w:right w:val="none" w:sz="0" w:space="0" w:color="auto"/>
          </w:divBdr>
          <w:divsChild>
            <w:div w:id="814372560">
              <w:marLeft w:val="0"/>
              <w:marRight w:val="0"/>
              <w:marTop w:val="0"/>
              <w:marBottom w:val="0"/>
              <w:divBdr>
                <w:top w:val="none" w:sz="0" w:space="0" w:color="auto"/>
                <w:left w:val="none" w:sz="0" w:space="0" w:color="auto"/>
                <w:bottom w:val="none" w:sz="0" w:space="0" w:color="auto"/>
                <w:right w:val="none" w:sz="0" w:space="0" w:color="auto"/>
              </w:divBdr>
              <w:divsChild>
                <w:div w:id="1830173691">
                  <w:marLeft w:val="0"/>
                  <w:marRight w:val="0"/>
                  <w:marTop w:val="0"/>
                  <w:marBottom w:val="0"/>
                  <w:divBdr>
                    <w:top w:val="none" w:sz="0" w:space="0" w:color="auto"/>
                    <w:left w:val="none" w:sz="0" w:space="0" w:color="auto"/>
                    <w:bottom w:val="none" w:sz="0" w:space="0" w:color="auto"/>
                    <w:right w:val="none" w:sz="0" w:space="0" w:color="auto"/>
                  </w:divBdr>
                  <w:divsChild>
                    <w:div w:id="1482653691">
                      <w:marLeft w:val="0"/>
                      <w:marRight w:val="0"/>
                      <w:marTop w:val="0"/>
                      <w:marBottom w:val="0"/>
                      <w:divBdr>
                        <w:top w:val="none" w:sz="0" w:space="0" w:color="auto"/>
                        <w:left w:val="none" w:sz="0" w:space="0" w:color="auto"/>
                        <w:bottom w:val="none" w:sz="0" w:space="0" w:color="auto"/>
                        <w:right w:val="none" w:sz="0" w:space="0" w:color="auto"/>
                      </w:divBdr>
                      <w:divsChild>
                        <w:div w:id="1605763912">
                          <w:marLeft w:val="0"/>
                          <w:marRight w:val="0"/>
                          <w:marTop w:val="0"/>
                          <w:marBottom w:val="0"/>
                          <w:divBdr>
                            <w:top w:val="none" w:sz="0" w:space="0" w:color="auto"/>
                            <w:left w:val="none" w:sz="0" w:space="0" w:color="auto"/>
                            <w:bottom w:val="none" w:sz="0" w:space="0" w:color="auto"/>
                            <w:right w:val="none" w:sz="0" w:space="0" w:color="auto"/>
                          </w:divBdr>
                          <w:divsChild>
                            <w:div w:id="104275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3447679">
      <w:bodyDiv w:val="1"/>
      <w:marLeft w:val="0"/>
      <w:marRight w:val="0"/>
      <w:marTop w:val="0"/>
      <w:marBottom w:val="0"/>
      <w:divBdr>
        <w:top w:val="none" w:sz="0" w:space="0" w:color="auto"/>
        <w:left w:val="none" w:sz="0" w:space="0" w:color="auto"/>
        <w:bottom w:val="none" w:sz="0" w:space="0" w:color="auto"/>
        <w:right w:val="none" w:sz="0" w:space="0" w:color="auto"/>
      </w:divBdr>
      <w:divsChild>
        <w:div w:id="1958292256">
          <w:marLeft w:val="0"/>
          <w:marRight w:val="0"/>
          <w:marTop w:val="0"/>
          <w:marBottom w:val="0"/>
          <w:divBdr>
            <w:top w:val="none" w:sz="0" w:space="0" w:color="auto"/>
            <w:left w:val="none" w:sz="0" w:space="0" w:color="auto"/>
            <w:bottom w:val="none" w:sz="0" w:space="0" w:color="auto"/>
            <w:right w:val="none" w:sz="0" w:space="0" w:color="auto"/>
          </w:divBdr>
          <w:divsChild>
            <w:div w:id="1004018676">
              <w:marLeft w:val="0"/>
              <w:marRight w:val="0"/>
              <w:marTop w:val="0"/>
              <w:marBottom w:val="0"/>
              <w:divBdr>
                <w:top w:val="none" w:sz="0" w:space="0" w:color="auto"/>
                <w:left w:val="none" w:sz="0" w:space="0" w:color="auto"/>
                <w:bottom w:val="none" w:sz="0" w:space="0" w:color="auto"/>
                <w:right w:val="none" w:sz="0" w:space="0" w:color="auto"/>
              </w:divBdr>
              <w:divsChild>
                <w:div w:id="2076852460">
                  <w:marLeft w:val="0"/>
                  <w:marRight w:val="0"/>
                  <w:marTop w:val="0"/>
                  <w:marBottom w:val="0"/>
                  <w:divBdr>
                    <w:top w:val="none" w:sz="0" w:space="0" w:color="auto"/>
                    <w:left w:val="none" w:sz="0" w:space="0" w:color="auto"/>
                    <w:bottom w:val="none" w:sz="0" w:space="0" w:color="auto"/>
                    <w:right w:val="none" w:sz="0" w:space="0" w:color="auto"/>
                  </w:divBdr>
                  <w:divsChild>
                    <w:div w:id="1663006842">
                      <w:marLeft w:val="0"/>
                      <w:marRight w:val="0"/>
                      <w:marTop w:val="0"/>
                      <w:marBottom w:val="0"/>
                      <w:divBdr>
                        <w:top w:val="none" w:sz="0" w:space="0" w:color="auto"/>
                        <w:left w:val="none" w:sz="0" w:space="0" w:color="auto"/>
                        <w:bottom w:val="none" w:sz="0" w:space="0" w:color="auto"/>
                        <w:right w:val="none" w:sz="0" w:space="0" w:color="auto"/>
                      </w:divBdr>
                      <w:divsChild>
                        <w:div w:id="1010450476">
                          <w:marLeft w:val="0"/>
                          <w:marRight w:val="0"/>
                          <w:marTop w:val="0"/>
                          <w:marBottom w:val="0"/>
                          <w:divBdr>
                            <w:top w:val="none" w:sz="0" w:space="0" w:color="auto"/>
                            <w:left w:val="none" w:sz="0" w:space="0" w:color="auto"/>
                            <w:bottom w:val="none" w:sz="0" w:space="0" w:color="auto"/>
                            <w:right w:val="none" w:sz="0" w:space="0" w:color="auto"/>
                          </w:divBdr>
                          <w:divsChild>
                            <w:div w:id="35029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879909">
      <w:bodyDiv w:val="1"/>
      <w:marLeft w:val="0"/>
      <w:marRight w:val="0"/>
      <w:marTop w:val="0"/>
      <w:marBottom w:val="0"/>
      <w:divBdr>
        <w:top w:val="none" w:sz="0" w:space="0" w:color="auto"/>
        <w:left w:val="none" w:sz="0" w:space="0" w:color="auto"/>
        <w:bottom w:val="none" w:sz="0" w:space="0" w:color="auto"/>
        <w:right w:val="none" w:sz="0" w:space="0" w:color="auto"/>
      </w:divBdr>
    </w:div>
    <w:div w:id="2084449118">
      <w:bodyDiv w:val="1"/>
      <w:marLeft w:val="0"/>
      <w:marRight w:val="0"/>
      <w:marTop w:val="0"/>
      <w:marBottom w:val="0"/>
      <w:divBdr>
        <w:top w:val="none" w:sz="0" w:space="0" w:color="auto"/>
        <w:left w:val="none" w:sz="0" w:space="0" w:color="auto"/>
        <w:bottom w:val="none" w:sz="0" w:space="0" w:color="auto"/>
        <w:right w:val="none" w:sz="0" w:space="0" w:color="auto"/>
      </w:divBdr>
      <w:divsChild>
        <w:div w:id="1536192199">
          <w:marLeft w:val="0"/>
          <w:marRight w:val="0"/>
          <w:marTop w:val="0"/>
          <w:marBottom w:val="0"/>
          <w:divBdr>
            <w:top w:val="none" w:sz="0" w:space="0" w:color="auto"/>
            <w:left w:val="none" w:sz="0" w:space="0" w:color="auto"/>
            <w:bottom w:val="none" w:sz="0" w:space="0" w:color="auto"/>
            <w:right w:val="none" w:sz="0" w:space="0" w:color="auto"/>
          </w:divBdr>
          <w:divsChild>
            <w:div w:id="77022782">
              <w:marLeft w:val="0"/>
              <w:marRight w:val="0"/>
              <w:marTop w:val="0"/>
              <w:marBottom w:val="0"/>
              <w:divBdr>
                <w:top w:val="none" w:sz="0" w:space="0" w:color="auto"/>
                <w:left w:val="none" w:sz="0" w:space="0" w:color="auto"/>
                <w:bottom w:val="none" w:sz="0" w:space="0" w:color="auto"/>
                <w:right w:val="none" w:sz="0" w:space="0" w:color="auto"/>
              </w:divBdr>
              <w:divsChild>
                <w:div w:id="1041981864">
                  <w:marLeft w:val="0"/>
                  <w:marRight w:val="0"/>
                  <w:marTop w:val="0"/>
                  <w:marBottom w:val="0"/>
                  <w:divBdr>
                    <w:top w:val="none" w:sz="0" w:space="0" w:color="auto"/>
                    <w:left w:val="none" w:sz="0" w:space="0" w:color="auto"/>
                    <w:bottom w:val="none" w:sz="0" w:space="0" w:color="auto"/>
                    <w:right w:val="none" w:sz="0" w:space="0" w:color="auto"/>
                  </w:divBdr>
                  <w:divsChild>
                    <w:div w:id="418602456">
                      <w:marLeft w:val="0"/>
                      <w:marRight w:val="0"/>
                      <w:marTop w:val="0"/>
                      <w:marBottom w:val="0"/>
                      <w:divBdr>
                        <w:top w:val="none" w:sz="0" w:space="0" w:color="auto"/>
                        <w:left w:val="none" w:sz="0" w:space="0" w:color="auto"/>
                        <w:bottom w:val="none" w:sz="0" w:space="0" w:color="auto"/>
                        <w:right w:val="none" w:sz="0" w:space="0" w:color="auto"/>
                      </w:divBdr>
                      <w:divsChild>
                        <w:div w:id="1063943841">
                          <w:marLeft w:val="0"/>
                          <w:marRight w:val="0"/>
                          <w:marTop w:val="0"/>
                          <w:marBottom w:val="0"/>
                          <w:divBdr>
                            <w:top w:val="none" w:sz="0" w:space="0" w:color="auto"/>
                            <w:left w:val="none" w:sz="0" w:space="0" w:color="auto"/>
                            <w:bottom w:val="none" w:sz="0" w:space="0" w:color="auto"/>
                            <w:right w:val="none" w:sz="0" w:space="0" w:color="auto"/>
                          </w:divBdr>
                          <w:divsChild>
                            <w:div w:id="47900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BFAF7-91B7-469A-9230-0E7ED0AC9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32167</Words>
  <Characters>183355</Characters>
  <Application>Microsoft Office Word</Application>
  <DocSecurity>0</DocSecurity>
  <Lines>1527</Lines>
  <Paragraphs>430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215092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2018-06-15T06:53:00Z</dcterms:created>
  <dcterms:modified xsi:type="dcterms:W3CDTF">2018-09-07T14:48:00Z</dcterms:modified>
</cp:coreProperties>
</file>