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62C" w:rsidRDefault="00F3062C" w:rsidP="00F3062C">
      <w:pPr>
        <w:autoSpaceDE w:val="0"/>
        <w:autoSpaceDN w:val="0"/>
        <w:adjustRightInd w:val="0"/>
        <w:rPr>
          <w:rFonts w:ascii="Times New Roman" w:hAnsi="Times New Roman" w:cs="Times New Roman"/>
          <w:lang w:val="en-US"/>
        </w:rPr>
      </w:pPr>
      <w:r>
        <w:rPr>
          <w:rFonts w:ascii="Times New Roman" w:hAnsi="Times New Roman" w:cs="Times New Roman"/>
          <w:lang w:val="en-US"/>
        </w:rPr>
        <w:t>Using a Variety of Research Methods and</w:t>
      </w:r>
    </w:p>
    <w:p w:rsidR="00F3062C" w:rsidRDefault="00F3062C" w:rsidP="00F3062C">
      <w:pPr>
        <w:autoSpaceDE w:val="0"/>
        <w:autoSpaceDN w:val="0"/>
        <w:adjustRightInd w:val="0"/>
        <w:rPr>
          <w:rFonts w:ascii="Times New Roman" w:hAnsi="Times New Roman" w:cs="Times New Roman"/>
          <w:lang w:val="en-US"/>
        </w:rPr>
      </w:pPr>
      <w:r>
        <w:rPr>
          <w:rFonts w:ascii="Times New Roman" w:hAnsi="Times New Roman" w:cs="Times New Roman"/>
          <w:lang w:val="en-US"/>
        </w:rPr>
        <w:t>Angles to Understand a New Approach That</w:t>
      </w:r>
    </w:p>
    <w:p w:rsidR="00F3062C" w:rsidRDefault="00F3062C" w:rsidP="00F3062C">
      <w:pPr>
        <w:autoSpaceDE w:val="0"/>
        <w:autoSpaceDN w:val="0"/>
        <w:adjustRightInd w:val="0"/>
        <w:rPr>
          <w:rFonts w:ascii="Times New Roman" w:hAnsi="Times New Roman" w:cs="Times New Roman"/>
          <w:lang w:val="en-US"/>
        </w:rPr>
      </w:pPr>
      <w:r>
        <w:rPr>
          <w:rFonts w:ascii="Times New Roman" w:hAnsi="Times New Roman" w:cs="Times New Roman"/>
          <w:lang w:val="en-US"/>
        </w:rPr>
        <w:t>Explores Health-Care Services</w:t>
      </w:r>
    </w:p>
    <w:p w:rsidR="00F3062C" w:rsidRDefault="00F3062C" w:rsidP="00F3062C">
      <w:pPr>
        <w:autoSpaceDE w:val="0"/>
        <w:autoSpaceDN w:val="0"/>
        <w:adjustRightInd w:val="0"/>
        <w:rPr>
          <w:rFonts w:ascii="Times New Roman" w:hAnsi="Times New Roman" w:cs="Times New Roman"/>
          <w:lang w:val="en-US"/>
        </w:rPr>
      </w:pPr>
    </w:p>
    <w:p w:rsidR="00F3062C" w:rsidRDefault="00F3062C" w:rsidP="00F3062C">
      <w:pPr>
        <w:autoSpaceDE w:val="0"/>
        <w:autoSpaceDN w:val="0"/>
        <w:adjustRightInd w:val="0"/>
        <w:rPr>
          <w:rFonts w:ascii="Times New Roman" w:hAnsi="Times New Roman" w:cs="Times New Roman"/>
          <w:sz w:val="20"/>
          <w:szCs w:val="20"/>
          <w:lang w:val="en-US"/>
        </w:rPr>
      </w:pPr>
      <w:r>
        <w:rPr>
          <w:rFonts w:ascii="Times New Roman" w:hAnsi="Times New Roman" w:cs="Times New Roman"/>
          <w:sz w:val="20"/>
          <w:szCs w:val="20"/>
          <w:lang w:val="en-US"/>
        </w:rPr>
        <w:t>Sharon Marie Weldon, University of Greenwich</w:t>
      </w:r>
    </w:p>
    <w:p w:rsidR="00F3062C" w:rsidRDefault="00F3062C" w:rsidP="00F3062C">
      <w:pPr>
        <w:autoSpaceDE w:val="0"/>
        <w:autoSpaceDN w:val="0"/>
        <w:adjustRightInd w:val="0"/>
        <w:rPr>
          <w:rFonts w:ascii="Times New Roman" w:hAnsi="Times New Roman" w:cs="Times New Roman"/>
          <w:sz w:val="20"/>
          <w:szCs w:val="20"/>
          <w:lang w:val="en-US"/>
        </w:rPr>
      </w:pPr>
      <w:r>
        <w:rPr>
          <w:rFonts w:ascii="Times New Roman" w:hAnsi="Times New Roman" w:cs="Times New Roman"/>
          <w:sz w:val="20"/>
          <w:szCs w:val="20"/>
          <w:lang w:val="en-US"/>
        </w:rPr>
        <w:t xml:space="preserve">Miranda </w:t>
      </w:r>
      <w:proofErr w:type="spellStart"/>
      <w:r>
        <w:rPr>
          <w:rFonts w:ascii="Times New Roman" w:hAnsi="Times New Roman" w:cs="Times New Roman"/>
          <w:sz w:val="20"/>
          <w:szCs w:val="20"/>
          <w:lang w:val="en-US"/>
        </w:rPr>
        <w:t>Kronfli</w:t>
      </w:r>
      <w:proofErr w:type="spellEnd"/>
      <w:r>
        <w:rPr>
          <w:rFonts w:ascii="Times New Roman" w:hAnsi="Times New Roman" w:cs="Times New Roman"/>
          <w:sz w:val="20"/>
          <w:szCs w:val="20"/>
          <w:lang w:val="en-US"/>
        </w:rPr>
        <w:t>, Imperial College London</w:t>
      </w:r>
    </w:p>
    <w:p w:rsidR="00F3062C" w:rsidRPr="00F3062C" w:rsidRDefault="00F3062C" w:rsidP="00F3062C">
      <w:pPr>
        <w:autoSpaceDE w:val="0"/>
        <w:autoSpaceDN w:val="0"/>
        <w:adjustRightInd w:val="0"/>
        <w:rPr>
          <w:rFonts w:ascii="Times New Roman" w:hAnsi="Times New Roman" w:cs="Times New Roman"/>
          <w:sz w:val="20"/>
          <w:szCs w:val="20"/>
          <w:lang w:val="en-US"/>
        </w:rPr>
      </w:pPr>
      <w:r>
        <w:rPr>
          <w:rFonts w:ascii="Times New Roman" w:hAnsi="Times New Roman" w:cs="Times New Roman"/>
          <w:sz w:val="20"/>
          <w:szCs w:val="20"/>
          <w:lang w:val="en-US"/>
        </w:rPr>
        <w:t>Fernando Bello, Imperial College London</w:t>
      </w:r>
      <w:r>
        <w:rPr>
          <w:rFonts w:ascii="Times New Roman" w:hAnsi="Times New Roman" w:cs="Times New Roman"/>
          <w:sz w:val="20"/>
          <w:szCs w:val="20"/>
          <w:lang w:val="en-US"/>
        </w:rPr>
        <w:br/>
      </w:r>
      <w:bookmarkStart w:id="0" w:name="_GoBack"/>
      <w:bookmarkEnd w:id="0"/>
      <w:r>
        <w:rPr>
          <w:rFonts w:ascii="Times New Roman" w:hAnsi="Times New Roman" w:cs="Times New Roman"/>
          <w:sz w:val="20"/>
          <w:szCs w:val="20"/>
          <w:lang w:val="en-US"/>
        </w:rPr>
        <w:t>Roger Kneebone, Imperial College London</w:t>
      </w:r>
    </w:p>
    <w:p w:rsidR="00F3062C" w:rsidRDefault="00F3062C" w:rsidP="00F3062C">
      <w:pPr>
        <w:pStyle w:val="NormalWeb"/>
        <w:shd w:val="clear" w:color="auto" w:fill="FFFFFF"/>
        <w:spacing w:line="390" w:lineRule="atLeast"/>
        <w:rPr>
          <w:rFonts w:ascii="Helvetica" w:hAnsi="Helvetica"/>
          <w:color w:val="333333"/>
          <w:lang w:val="en"/>
        </w:rPr>
      </w:pPr>
    </w:p>
    <w:p w:rsidR="00F3062C" w:rsidRDefault="00F3062C" w:rsidP="00F3062C">
      <w:pPr>
        <w:pStyle w:val="NormalWeb"/>
        <w:shd w:val="clear" w:color="auto" w:fill="FFFFFF"/>
        <w:spacing w:line="390" w:lineRule="atLeast"/>
        <w:rPr>
          <w:color w:val="333333"/>
        </w:rPr>
      </w:pPr>
      <w:r>
        <w:rPr>
          <w:rFonts w:ascii="Helvetica" w:hAnsi="Helvetica"/>
          <w:color w:val="333333"/>
          <w:lang w:val="en"/>
        </w:rPr>
        <w:t>Simulation is traditionally used for health-care professional training and assessment; however, its remit is much wider and new studies are emerging that highlight the breadth of opportunities it affords. We used simulation to engage professionals and patients in National Health Service (NHS) maternity services across a London borough. Six services were identified due to recognized disparities in care.</w:t>
      </w:r>
    </w:p>
    <w:p w:rsidR="00F3062C" w:rsidRDefault="00F3062C" w:rsidP="00F3062C">
      <w:pPr>
        <w:pStyle w:val="NormalWeb"/>
        <w:shd w:val="clear" w:color="auto" w:fill="FFFFFF"/>
        <w:spacing w:line="390" w:lineRule="atLeast"/>
        <w:rPr>
          <w:color w:val="333333"/>
        </w:rPr>
      </w:pPr>
      <w:r>
        <w:rPr>
          <w:rFonts w:ascii="Helvetica" w:hAnsi="Helvetica"/>
          <w:color w:val="333333"/>
          <w:lang w:val="en"/>
        </w:rPr>
        <w:t>A form of simulation termed Sequential Simulation was used to recreate an expectant mother’s 9-month care pathway, in order to engage staff and patients across sites in discussing strengths and challenges of their services. Due to this innovative approach to sharing learning in maternity care, several areas of research interest were identified. These included the engagement of health-care professionals and patients, the design of the simulation pathway, the perceived benefit of the simulation approach, the discussions generated in relation to the objectives of the project, the project process, sociocultural insights, and the educational opportunities that emerged. A range of methods and theories were used to investigate each angle including the mixing of methods where appropriate. This article discusses the array of research approaches used to understand this innovative form of engagement and quality improvement and generates a holistic understanding of sequential simulation’s use in this setting. It argues the importance of a broad conceptualization when researching a complex intervention and illustrates how this can illuminate a complex area to best ensure benefit to others working in the field.</w:t>
      </w:r>
    </w:p>
    <w:p w:rsidR="00E52B88" w:rsidRPr="00F3062C" w:rsidRDefault="00F3062C" w:rsidP="00F3062C"/>
    <w:sectPr w:rsidR="00E52B88" w:rsidRPr="00F3062C" w:rsidSect="00CA60C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62C"/>
    <w:rsid w:val="000C4843"/>
    <w:rsid w:val="003C3E8B"/>
    <w:rsid w:val="009D73A8"/>
    <w:rsid w:val="00CA60C9"/>
    <w:rsid w:val="00F30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BB0157"/>
  <w14:defaultImageDpi w14:val="32767"/>
  <w15:chartTrackingRefBased/>
  <w15:docId w15:val="{854FEC24-B604-6041-8293-680EE4E5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062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3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Kneebone, Roger L</dc:creator>
  <cp:keywords/>
  <dc:description/>
  <cp:lastModifiedBy>Kneebone, Roger L</cp:lastModifiedBy>
  <cp:revision>1</cp:revision>
  <dcterms:created xsi:type="dcterms:W3CDTF">2018-05-15T14:45:00Z</dcterms:created>
  <dcterms:modified xsi:type="dcterms:W3CDTF">2018-05-15T14:46:00Z</dcterms:modified>
</cp:coreProperties>
</file>