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4CADA" w14:textId="6B0EE6B6" w:rsidR="001452AF" w:rsidRPr="004C03CE" w:rsidRDefault="006C0E52" w:rsidP="004C03CE">
      <w:pPr>
        <w:spacing w:line="480" w:lineRule="auto"/>
        <w:jc w:val="center"/>
      </w:pPr>
      <w:r w:rsidRPr="00C20BAD">
        <w:rPr>
          <w:b/>
          <w:bCs/>
        </w:rPr>
        <w:t>Abstract</w:t>
      </w:r>
    </w:p>
    <w:p w14:paraId="6F227D59" w14:textId="15E0FF12" w:rsidR="009A5CF4" w:rsidRPr="00A416D6" w:rsidRDefault="00BD4120" w:rsidP="001452AF">
      <w:pPr>
        <w:spacing w:line="480" w:lineRule="auto"/>
        <w:rPr>
          <w:lang w:val="en-US"/>
        </w:rPr>
      </w:pPr>
      <w:r w:rsidRPr="00B62F34">
        <w:t xml:space="preserve">What are the things that we think matter morally, and </w:t>
      </w:r>
      <w:r w:rsidR="004F2792">
        <w:t xml:space="preserve">how </w:t>
      </w:r>
      <w:r w:rsidR="0088300C">
        <w:t>do</w:t>
      </w:r>
      <w:r w:rsidR="004F2792">
        <w:t xml:space="preserve"> societal factors influence this</w:t>
      </w:r>
      <w:r w:rsidRPr="00B62F34">
        <w:t>?</w:t>
      </w:r>
      <w:r w:rsidR="001452AF" w:rsidRPr="00B62F34">
        <w:t xml:space="preserve"> </w:t>
      </w:r>
      <w:r w:rsidR="00F24260" w:rsidRPr="00B62F34">
        <w:t xml:space="preserve">To date, research has </w:t>
      </w:r>
      <w:r w:rsidR="00E26296" w:rsidRPr="00B62F34">
        <w:t xml:space="preserve">explored </w:t>
      </w:r>
      <w:r w:rsidR="00F24260" w:rsidRPr="00B62F34">
        <w:t>several individual</w:t>
      </w:r>
      <w:r w:rsidR="00F16BCC" w:rsidRPr="00B62F34">
        <w:t>-</w:t>
      </w:r>
      <w:r w:rsidR="00F24260" w:rsidRPr="00B62F34">
        <w:t xml:space="preserve">level and historical factors that influence </w:t>
      </w:r>
      <w:r w:rsidR="0037213C" w:rsidRPr="00B62F34">
        <w:t>the size of our ‘moral circles’</w:t>
      </w:r>
      <w:r w:rsidRPr="00B62F34">
        <w:t xml:space="preserve">. </w:t>
      </w:r>
      <w:r w:rsidR="0037213C" w:rsidRPr="00B62F34">
        <w:t>T</w:t>
      </w:r>
      <w:r w:rsidRPr="00B62F34">
        <w:t>here has</w:t>
      </w:r>
      <w:r w:rsidR="0037213C" w:rsidRPr="00B62F34">
        <w:t>, however,</w:t>
      </w:r>
      <w:r w:rsidRPr="00B62F34">
        <w:t xml:space="preserve"> been less attention focused on which</w:t>
      </w:r>
      <w:r w:rsidR="00FA4B8B" w:rsidRPr="00B62F34">
        <w:t xml:space="preserve"> </w:t>
      </w:r>
      <w:r w:rsidR="001452AF" w:rsidRPr="00B62F34">
        <w:t xml:space="preserve">societal factors </w:t>
      </w:r>
      <w:r w:rsidR="0037213C" w:rsidRPr="00B62F34">
        <w:t>play a role</w:t>
      </w:r>
      <w:r w:rsidR="001452AF" w:rsidRPr="00B62F34">
        <w:t xml:space="preserve">. </w:t>
      </w:r>
      <w:r w:rsidR="0037213C" w:rsidRPr="00B62F34">
        <w:t>W</w:t>
      </w:r>
      <w:r w:rsidR="001452AF" w:rsidRPr="00B62F34">
        <w:t>e present the first multi-national exploration of moral expansiveness</w:t>
      </w:r>
      <w:r w:rsidR="0037213C" w:rsidRPr="00B62F34">
        <w:t xml:space="preserve"> – that is the size of people’s moral circles </w:t>
      </w:r>
      <w:r w:rsidR="00B32E45" w:rsidRPr="00B62F34">
        <w:t>across countries</w:t>
      </w:r>
      <w:r w:rsidR="001452AF" w:rsidRPr="00B62F34">
        <w:t xml:space="preserve">. </w:t>
      </w:r>
      <w:r w:rsidR="009A5CF4" w:rsidRPr="00264C42">
        <w:t>We</w:t>
      </w:r>
      <w:r w:rsidR="001452AF" w:rsidRPr="00264C42">
        <w:t xml:space="preserve"> </w:t>
      </w:r>
      <w:r w:rsidR="00B62F34" w:rsidRPr="00264C42">
        <w:t>found</w:t>
      </w:r>
      <w:r w:rsidR="0037213C" w:rsidRPr="00264C42">
        <w:t xml:space="preserve"> l</w:t>
      </w:r>
      <w:r w:rsidR="001452AF" w:rsidRPr="00264C42">
        <w:t xml:space="preserve">ow </w:t>
      </w:r>
      <w:r w:rsidR="00930097" w:rsidRPr="00264C42">
        <w:t xml:space="preserve">generalized </w:t>
      </w:r>
      <w:r w:rsidR="001452AF" w:rsidRPr="00264C42">
        <w:t>trust</w:t>
      </w:r>
      <w:r w:rsidRPr="00264C42">
        <w:t xml:space="preserve">, </w:t>
      </w:r>
      <w:r w:rsidR="00E26296" w:rsidRPr="00264C42">
        <w:t xml:space="preserve">greater perceptions of </w:t>
      </w:r>
      <w:r w:rsidR="00B35F3E" w:rsidRPr="00264C42">
        <w:t>a breakdown in the social fabric of society</w:t>
      </w:r>
      <w:r w:rsidRPr="00264C42">
        <w:t xml:space="preserve">, and greater perceived </w:t>
      </w:r>
      <w:r w:rsidR="00081A5A" w:rsidRPr="00264C42">
        <w:t>economic</w:t>
      </w:r>
      <w:r w:rsidRPr="00264C42">
        <w:t xml:space="preserve"> inequality </w:t>
      </w:r>
      <w:r w:rsidR="00EF74B8" w:rsidRPr="00264C42">
        <w:t>were</w:t>
      </w:r>
      <w:r w:rsidRPr="00264C42">
        <w:t xml:space="preserve"> associated with </w:t>
      </w:r>
      <w:r w:rsidR="0037213C" w:rsidRPr="00264C42">
        <w:t>smaller moral circles</w:t>
      </w:r>
      <w:r w:rsidR="001452AF" w:rsidRPr="00264C42">
        <w:t xml:space="preserve">. </w:t>
      </w:r>
      <w:r w:rsidR="00930097" w:rsidRPr="00264C42">
        <w:t xml:space="preserve">Generalized </w:t>
      </w:r>
      <w:r w:rsidR="001452AF" w:rsidRPr="00264C42">
        <w:t xml:space="preserve">trust </w:t>
      </w:r>
      <w:r w:rsidR="00FA4B8B" w:rsidRPr="00264C42">
        <w:t xml:space="preserve">also </w:t>
      </w:r>
      <w:r w:rsidR="0037213C" w:rsidRPr="00264C42">
        <w:t>helped explain the effects of perceived inequality on lower levels of moral inclusiveness. O</w:t>
      </w:r>
      <w:r w:rsidR="001452AF" w:rsidRPr="00264C42">
        <w:t>ther inequality indicators</w:t>
      </w:r>
      <w:r w:rsidR="00FA4B8B" w:rsidRPr="00264C42">
        <w:t xml:space="preserve"> (</w:t>
      </w:r>
      <w:r w:rsidR="00356935">
        <w:t xml:space="preserve">i.e., </w:t>
      </w:r>
      <w:r w:rsidR="001452AF" w:rsidRPr="00264C42">
        <w:t>Gini coefficient</w:t>
      </w:r>
      <w:r w:rsidR="00FA4B8B" w:rsidRPr="00264C42">
        <w:t>s)</w:t>
      </w:r>
      <w:r w:rsidR="001452AF" w:rsidRPr="00264C42">
        <w:t xml:space="preserve"> were</w:t>
      </w:r>
      <w:r w:rsidR="0037213C" w:rsidRPr="00264C42">
        <w:t>, however,</w:t>
      </w:r>
      <w:r w:rsidR="001452AF" w:rsidRPr="00264C42">
        <w:t xml:space="preserve"> unrelated to moral expansiveness. These findings suggest</w:t>
      </w:r>
      <w:r w:rsidR="00AF350D" w:rsidRPr="00264C42">
        <w:t xml:space="preserve"> </w:t>
      </w:r>
      <w:r w:rsidR="009A5CF4" w:rsidRPr="00264C42">
        <w:t>societal</w:t>
      </w:r>
      <w:r w:rsidR="001452AF" w:rsidRPr="00264C42">
        <w:t xml:space="preserve"> factors</w:t>
      </w:r>
      <w:r w:rsidR="0037213C" w:rsidRPr="00264C42">
        <w:t>, especially those associated with generalized trust,</w:t>
      </w:r>
      <w:r w:rsidR="001452AF" w:rsidRPr="00264C42">
        <w:t xml:space="preserve"> may influence the size of our moral </w:t>
      </w:r>
      <w:r w:rsidR="0088300C" w:rsidRPr="00264C42">
        <w:t>circles</w:t>
      </w:r>
      <w:r w:rsidR="00AF350D" w:rsidRPr="00264C42">
        <w:t>.</w:t>
      </w:r>
      <w:r w:rsidR="00AF350D" w:rsidRPr="00F24260">
        <w:t xml:space="preserve"> </w:t>
      </w:r>
    </w:p>
    <w:p w14:paraId="54375473" w14:textId="77777777" w:rsidR="00442657" w:rsidRDefault="00442657" w:rsidP="001452AF">
      <w:pPr>
        <w:spacing w:line="480" w:lineRule="auto"/>
      </w:pPr>
    </w:p>
    <w:p w14:paraId="7FA72720" w14:textId="496C20E9" w:rsidR="006C0E52" w:rsidRPr="00AF350D" w:rsidRDefault="009A5CF4" w:rsidP="001452AF">
      <w:pPr>
        <w:spacing w:line="480" w:lineRule="auto"/>
        <w:rPr>
          <w:highlight w:val="yellow"/>
        </w:rPr>
      </w:pPr>
      <w:r>
        <w:t>Keywords: Moral circles, moral expansiveness, economic inequality, trust, anomie</w:t>
      </w:r>
      <w:r w:rsidR="006C0E52" w:rsidRPr="00AF350D">
        <w:rPr>
          <w:highlight w:val="yellow"/>
        </w:rPr>
        <w:br w:type="page"/>
      </w:r>
    </w:p>
    <w:p w14:paraId="21CE876C" w14:textId="7950DE5B" w:rsidR="008A1A9F" w:rsidRPr="004C03CE" w:rsidRDefault="00A65F57" w:rsidP="008A1A9F">
      <w:pPr>
        <w:spacing w:line="480" w:lineRule="auto"/>
        <w:jc w:val="center"/>
        <w:rPr>
          <w:b/>
          <w:bCs/>
        </w:rPr>
      </w:pPr>
      <w:r w:rsidRPr="004C03CE">
        <w:rPr>
          <w:b/>
          <w:bCs/>
        </w:rPr>
        <w:lastRenderedPageBreak/>
        <w:t xml:space="preserve">Moral </w:t>
      </w:r>
      <w:r w:rsidR="00A539F7" w:rsidRPr="004C03CE">
        <w:rPr>
          <w:b/>
          <w:bCs/>
        </w:rPr>
        <w:t>expansiveness</w:t>
      </w:r>
      <w:r w:rsidRPr="004C03CE">
        <w:rPr>
          <w:b/>
          <w:bCs/>
        </w:rPr>
        <w:t xml:space="preserve"> </w:t>
      </w:r>
      <w:r w:rsidR="00662EBE">
        <w:rPr>
          <w:b/>
          <w:bCs/>
        </w:rPr>
        <w:t>around the world</w:t>
      </w:r>
      <w:r w:rsidRPr="004C03CE">
        <w:rPr>
          <w:b/>
          <w:bCs/>
        </w:rPr>
        <w:t xml:space="preserve">: The role of </w:t>
      </w:r>
      <w:r w:rsidR="007C36F8" w:rsidRPr="004C03CE">
        <w:rPr>
          <w:b/>
          <w:bCs/>
        </w:rPr>
        <w:t xml:space="preserve">societal factors across </w:t>
      </w:r>
      <w:r w:rsidR="003D1352" w:rsidRPr="004C03CE">
        <w:rPr>
          <w:b/>
          <w:bCs/>
        </w:rPr>
        <w:t>3</w:t>
      </w:r>
      <w:r w:rsidR="004714BC">
        <w:rPr>
          <w:b/>
          <w:bCs/>
        </w:rPr>
        <w:t>6</w:t>
      </w:r>
      <w:r w:rsidR="007C36F8" w:rsidRPr="004C03CE">
        <w:rPr>
          <w:b/>
          <w:bCs/>
        </w:rPr>
        <w:t xml:space="preserve"> </w:t>
      </w:r>
      <w:r w:rsidR="004714BC">
        <w:rPr>
          <w:b/>
          <w:bCs/>
        </w:rPr>
        <w:t>countries</w:t>
      </w:r>
    </w:p>
    <w:p w14:paraId="7DBA1D21" w14:textId="2E6DE3EE" w:rsidR="008A1A9F" w:rsidRDefault="00072860" w:rsidP="00D72608">
      <w:pPr>
        <w:spacing w:line="480" w:lineRule="auto"/>
        <w:ind w:firstLine="720"/>
      </w:pPr>
      <w:r w:rsidRPr="00072860">
        <w:t xml:space="preserve">Turn on any news channel and the message </w:t>
      </w:r>
      <w:proofErr w:type="gramStart"/>
      <w:r w:rsidRPr="00072860">
        <w:t>is</w:t>
      </w:r>
      <w:proofErr w:type="gramEnd"/>
      <w:r w:rsidRPr="00072860">
        <w:t xml:space="preserve"> clear—it seems we live in a world characterized by crime, war, and disaster. Yet evidence suggests we are living in the most peaceable times in human history; we are far less violent and care more about those around us compared with any other period in time </w:t>
      </w:r>
      <w:r w:rsidR="00D72608" w:rsidRPr="00FB1B2C">
        <w:fldChar w:fldCharType="begin" w:fldLock="1"/>
      </w:r>
      <w:r>
        <w:instrText>ADDIN CSL_CITATION {"citationItems":[{"id":"ITEM-1","itemData":{"DOI":"10.1038/464490a","ISSN":"00280836","PMID":"20336117","author":[{"dropping-particle":"","family":"Bloom","given":"Paul","non-dropping-particle":"","parse-names":false,"suffix":""}],"container-title":"Nature","id":"ITEM-1","issue":"7288","issued":{"date-parts":[["2010"]]},"page":"490","title":"How do morals change?","type":"article-journal","volume":"464"},"uris":["http://www.mendeley.com/documents/?uuid=3b9bb108-a20e-4f7b-b68b-3902ec68a25f"]},{"id":"ITEM-2","itemData":{"author":[{"dropping-particle":"","family":"Pinker","given":"Stephen","non-dropping-particle":"","parse-names":false,"suffix":""}],"id":"ITEM-2","issued":{"date-parts":[["2011"]]},"publisher":"Viking","publisher-place":"New York, NY","title":"The better angels of our nature: Why violence has declined","type":"book"},"uris":["http://www.mendeley.com/documents/?uuid=3f54b441-11b7-4697-bb32-2476f11b762d"]},{"id":"ITEM-3","itemData":{"author":[{"dropping-particle":"","family":"Singer","given":"Peter","non-dropping-particle":"","parse-names":false,"suffix":""}],"id":"ITEM-3","issued":{"date-parts":[["1981"]]},"publisher":"Farrar, Straus &amp; Giroux","publisher-place":"New York; NY","title":"The expanding circle: Ethics and sociobiology","type":"book"},"uris":["http://www.mendeley.com/documents/?uuid=f469a166-4887-4be9-bbfa-b225aba04d6a"]}],"mendeley":{"formattedCitation":"(Bloom, 2010; Pinker, 2011; Singer, 1981)"},"properties":{"noteIndex":0},"schema":"https://github.com/citation-style-language/schema/raw/master/csl-citation.json"}</w:instrText>
      </w:r>
      <w:r w:rsidR="00D72608" w:rsidRPr="00FB1B2C">
        <w:fldChar w:fldCharType="separate"/>
      </w:r>
      <w:r w:rsidRPr="00072860">
        <w:rPr>
          <w:noProof/>
        </w:rPr>
        <w:t>(Bloom, 2010; Pinker, 2011; Singer, 1981)</w:t>
      </w:r>
      <w:r w:rsidR="00D72608" w:rsidRPr="00FB1B2C">
        <w:fldChar w:fldCharType="end"/>
      </w:r>
      <w:r w:rsidR="00D72608" w:rsidRPr="00FB1B2C">
        <w:t xml:space="preserve">. </w:t>
      </w:r>
      <w:r w:rsidRPr="00072860">
        <w:t xml:space="preserve">This increase in concern for distant others represents an expansion of our moral circle—the metaphorical boundary drawn around the entities we believe do and do not deserve our moral concern </w:t>
      </w:r>
      <w:r w:rsidR="006977F8" w:rsidRPr="00FB1B2C">
        <w:fldChar w:fldCharType="begin" w:fldLock="1"/>
      </w:r>
      <w:r w:rsidR="006977F8" w:rsidRPr="00FB1B2C">
        <w:instrText>ADDIN CSL_CITATION {"citationItems":[{"id":"ITEM-1","itemData":{"author":[{"dropping-particle":"","family":"Singer","given":"Peter","non-dropping-particle":"","parse-names":false,"suffix":""}],"id":"ITEM-1","issued":{"date-parts":[["1981"]]},"publisher":"Farrar, Straus &amp; Giroux","publisher-place":"New York; NY","title":"The expanding circle: Ethics and sociobiology","type":"book"},"uris":["http://www.mendeley.com/documents/?uuid=f469a166-4887-4be9-bbfa-b225aba04d6a"]}],"mendeley":{"formattedCitation":"(Singer, 1981)","plainTextFormattedCitation":"(Singer, 1981)","previouslyFormattedCitation":"(Singer, 1981)"},"properties":{"noteIndex":0},"schema":"https://github.com/citation-style-language/schema/raw/master/csl-citation.json"}</w:instrText>
      </w:r>
      <w:r w:rsidR="006977F8" w:rsidRPr="00FB1B2C">
        <w:fldChar w:fldCharType="separate"/>
      </w:r>
      <w:r w:rsidR="00B456E8" w:rsidRPr="00B456E8">
        <w:rPr>
          <w:noProof/>
        </w:rPr>
        <w:t>(Singer, 1981)</w:t>
      </w:r>
      <w:r w:rsidR="006977F8" w:rsidRPr="00FB1B2C">
        <w:fldChar w:fldCharType="end"/>
      </w:r>
      <w:r w:rsidR="006977F8" w:rsidRPr="00FB1B2C">
        <w:t>.</w:t>
      </w:r>
      <w:r w:rsidR="006977F8">
        <w:t xml:space="preserve"> </w:t>
      </w:r>
      <w:r w:rsidRPr="00072860">
        <w:t xml:space="preserve">To date, several studies have shown how a variety of individual differences relate to more restricted or expanded moral circles </w:t>
      </w:r>
      <w:r w:rsidR="006977F8">
        <w:fldChar w:fldCharType="begin" w:fldLock="1"/>
      </w:r>
      <w:r w:rsidR="005A3F3C">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world","type":"article-journal","volume":"111"},"uris":["http://www.mendeley.com/documents/?uuid=28916110-d677-4bc1-ba17-de2fe5b04886"]},{"id":"ITEM-2","itemData":{"DOI":"10.1038/s41467-019-12227-0","ISSN":"20411723","PMID":"31558713","abstract":"Do clashes between ideologies reflect policy differences or something more fundamental? The present research suggests they reflect core psychological differences such that liberals express compassion toward less structured and more encompassing entities (i.e., universalism), whereas conservatives express compassion toward more well-defined and less encompassing entities (i.e., parochialism). Here we report seven studies illustrating universalist versus parochial differences in compassion. Studies 1a-1c show that liberals, relative to conservatives, express greater moral concern toward friends relative to family, and the world relative to the nation. Studies 2a-2b demonstrate these universalist versus parochial preferences extend toward simple shapes depicted as proxies for loose versus tight social circles. Using stimuli devoid of political relevance demonstrates that the universalist-parochialist distinction does not simply reflect differing policy preferences. Studies 3a-3b indicate these universalist versus parochial tendencies extend to humans versus nonhumans more generally, demonstrating the breadth of these psychological differences.","author":[{"dropping-particle":"","family":"Waytz","given":"Adam","non-dropping-particle":"","parse-names":false,"suffix":""},{"dropping-particle":"","family":"Iyer","given":"Ravi","non-dropping-particle":"","parse-names":false,"suffix":""},{"dropping-particle":"","family":"Young","given":"Liane","non-dropping-particle":"","parse-names":false,"suffix":""},{"dropping-particle":"","family":"Haidt","given":"Jonathan","non-dropping-particle":"","parse-names":false,"suffix":""},{"dropping-particle":"","family":"Graham","given":"Jesse","non-dropping-particle":"","parse-names":false,"suffix":""}],"container-title":"Nature Communications","id":"ITEM-2","issue":"1","issued":{"date-parts":[["2019"]]},"publisher":"Springer US","title":"Ideological differences in the expanse of the moral circle","type":"article-journal","volume":"10"},"uris":["http://www.mendeley.com/documents/?uuid=ca6f8253-0ebe-4af5-9fe4-b831b7e90683"]}],"mendeley":{"formattedCitation":"(Crimston et al., 2016; Waytz et al., 2019)","plainTextFormattedCitation":"(Crimston et al., 2016; Waytz et al., 2019)","previouslyFormattedCitation":"(Crimston et al., 2016; Waytz et al., 2019)"},"properties":{"noteIndex":0},"schema":"https://github.com/citation-style-language/schema/raw/master/csl-citation.json"}</w:instrText>
      </w:r>
      <w:r w:rsidR="006977F8">
        <w:fldChar w:fldCharType="separate"/>
      </w:r>
      <w:r w:rsidR="006977F8" w:rsidRPr="006977F8">
        <w:rPr>
          <w:noProof/>
        </w:rPr>
        <w:t>(Crimston et al., 2016; Waytz et al., 2019)</w:t>
      </w:r>
      <w:r w:rsidR="006977F8">
        <w:fldChar w:fldCharType="end"/>
      </w:r>
      <w:r w:rsidR="006977F8">
        <w:t xml:space="preserve">. </w:t>
      </w:r>
      <w:r w:rsidRPr="00072860">
        <w:t>However, little is known about the societal factors that shape our moral worlds. The current study thus aims to explore the role of generalized trust, economic inequality, and perceptions of anomie on the expansion of our moral circles.</w:t>
      </w:r>
    </w:p>
    <w:p w14:paraId="5A1AAF0D" w14:textId="46653BF7" w:rsidR="008A1A9F" w:rsidRPr="008A1A9F" w:rsidRDefault="009F4ABE" w:rsidP="008A1A9F">
      <w:pPr>
        <w:spacing w:line="480" w:lineRule="auto"/>
        <w:rPr>
          <w:b/>
          <w:bCs/>
        </w:rPr>
      </w:pPr>
      <w:r>
        <w:rPr>
          <w:b/>
          <w:bCs/>
        </w:rPr>
        <w:t xml:space="preserve">The </w:t>
      </w:r>
      <w:r w:rsidR="008A1A9F" w:rsidRPr="008A1A9F">
        <w:rPr>
          <w:b/>
          <w:bCs/>
        </w:rPr>
        <w:t xml:space="preserve">Moral </w:t>
      </w:r>
      <w:r w:rsidR="008A1A9F">
        <w:rPr>
          <w:b/>
          <w:bCs/>
        </w:rPr>
        <w:t>Circle</w:t>
      </w:r>
      <w:r w:rsidR="008A1A9F" w:rsidRPr="008A1A9F">
        <w:rPr>
          <w:b/>
          <w:bCs/>
        </w:rPr>
        <w:t xml:space="preserve"> </w:t>
      </w:r>
    </w:p>
    <w:p w14:paraId="3C0E9CE9" w14:textId="335BA433" w:rsidR="00304D67" w:rsidRDefault="00072860" w:rsidP="00D72608">
      <w:pPr>
        <w:spacing w:line="480" w:lineRule="auto"/>
        <w:ind w:firstLine="720"/>
        <w:rPr>
          <w:highlight w:val="yellow"/>
        </w:rPr>
      </w:pPr>
      <w:r w:rsidRPr="00072860">
        <w:t xml:space="preserve">Compared with pre-modern humans, our moral circle has expanded across history in unprecedented ways. Our hunter-gatherer ancestors are thought to have only cared for their kin and their tribe, and engaged in brutal warfare against those deemed to be outsiders </w:t>
      </w:r>
      <w:r w:rsidR="00D72608">
        <w:fldChar w:fldCharType="begin" w:fldLock="1"/>
      </w:r>
      <w:r w:rsidR="00E3534A">
        <w:instrText>ADDIN CSL_CITATION {"citationItems":[{"id":"ITEM-1","itemData":{"DOI":"10.1007/s10816-016-9306-y","ISSN":"15737764","abstract":"Archaeological studies of human cannibalism and its causes have never lacked controversy. The reasons for this are both the difficulties in identifying cannibalism and the inherent complexity, by the many nuances that can have the behaviour of eating other humans. After Turner’s detailed studies in the Southwestern USA, reports were published in the 1990s of cannibalism during European prehistory. Archaeological sites identified with cannibalism have been found that date from the early Pleistocene to the Iron Age. In this study, we review data from Western Europe’s prehistoric sites, which allow us to discuss the various labels that accompany interpretations of cannibalism. The most common interpretation is not ritual but is rather gastronomic, nutritional or dietary. However, there is no agreement on this interpretation. Following the data review, we propose dividing cannibalism into the following broad, objective and useful categories: exocannibalism, endocannibalism and survival cannibalism, although it is not always easy to choose one option. We also review the taphonomic characteristics of these assemblages, which enable us to establish the most common taphonomic markers of prehistoric cannibalism. These features include abundant anthropogenic modifications (on more than of 20 % of human remains), the intensive processing of bodies, greater abundance of cut marks related to defleshing and filleting that dismembering and the presence of human tooth marks or chewing marks.","author":[{"dropping-particle":"","family":"Saladié","given":"Palmira","non-dropping-particle":"","parse-names":false,"suffix":""},{"dropping-particle":"","family":"Rodríguez-Hidalgo","given":"Antonio","non-dropping-particle":"","parse-names":false,"suffix":""}],"container-title":"Journal of Archaeological Method and Theory","id":"ITEM-1","issue":"4","issued":{"date-parts":[["2017"]]},"page":"1034-1071","publisher":"Journal of Archaeological Method and Theory","title":"Archaeological evidence for cannibalism in prehistoric Western Europe: from Homo antecessor to the Bronze Age","type":"article-journal","volume":"24"},"uris":["http://www.mendeley.com/documents/?uuid=914c3086-bb6f-4e51-9b78-44f2d65f9692"]},{"id":"ITEM-2","itemData":{"DOI":"10.1073/pnas.1504365112","ISSN":"10916490","PMID":"26283359","abstract":"Conflict and warfare are central but also disputed themes in discussions about the European Neolithic. Although a few recent population studies provide broad overviews, only a very limited number of currently known key sites provide precise insights into moments of extreme and mass violence and their impact on Neolithic societies. The massacre sites of Talheim, Germany, and Asparn/Schletz, Austria, have long been the focal points around which hypotheses concerning a final lethal crisis of the first Central European farmers of the Early Neolithic Linearbandkeramik Culture (LBK) have concentrated. With the recently examined LBK mass grave site of Schöneck-Kilianstädten, Germany, we present new conclusive and indisputable evidence for another massacre, adding new data to the discussion of LBK violence patterns. At least 26 individuals were violently killed by blunt force and arrow injuries before being deposited in a commingled mass grave. Although the absence and possible abduction of younger females has been suggested for other sites previously, a new violence-related pattern was identified here: the intentional and systematic breaking of lower limbs. The abundance of the identified perimortem fractures clearly indicates torture and/or mutilation of the victims. The new evidence presented here for unequivocal lethal violence on a large scale is put into perspective for the Early Neolithic of Central Europe and, in conjunction with previous results, indicates that massacres of entire communities were not isolated occurrences but rather were frequent features of the last phases of the LBK.","author":[{"dropping-particle":"","family":"Meyer","given":"Christian","non-dropping-particle":"","parse-names":false,"suffix":""},{"dropping-particle":"","family":"Lohr","given":"Christian","non-dropping-particle":"","parse-names":false,"suffix":""},{"dropping-particle":"","family":"Gronenborn","given":"Detlef","non-dropping-particle":"","parse-names":false,"suffix":""},{"dropping-particle":"","family":"Alt","given":"Kurt W.","non-dropping-particle":"","parse-names":false,"suffix":""}],"container-title":"Proceedings of the National Academy of Sciences of the United States of America","id":"ITEM-2","issue":"36","issued":{"date-parts":[["2015"]]},"page":"11217-11222","title":"The massacre mass grave of Schöneck-Kilianstädten reveals new insights into collective violence in Early Neolithic Central Europe","type":"article-journal","volume":"112"},"uris":["http://www.mendeley.com/documents/?uuid=b64a2656-6737-4dc0-a779-d290ddb56609"]},{"id":"ITEM-3","itemData":{"author":[{"dropping-particle":"","family":"Pinker","given":"Stephen","non-dropping-particle":"","parse-names":false,"suffix":""}],"id":"ITEM-3","issued":{"date-parts":[["2011"]]},"publisher":"Viking","publisher-place":"New York, NY","title":"The better angels of our nature: Why violence has declined","type":"book"},"uris":["http://www.mendeley.com/documents/?uuid=3f54b441-11b7-4697-bb32-2476f11b762d"]}],"mendeley":{"formattedCitation":"(Meyer et al., 2015; Pinker, 2011; Saladié &amp; Rodríguez-Hidalgo, 2017)","plainTextFormattedCitation":"(Meyer et al., 2015; Pinker, 2011; Saladié &amp; Rodríguez-Hidalgo, 2017)","previouslyFormattedCitation":"(Meyer et al., 2015; Pinker, 2011; Saladié &amp; Rodríguez-Hidalgo, 2017)"},"properties":{"noteIndex":0},"schema":"https://github.com/citation-style-language/schema/raw/master/csl-citation.json"}</w:instrText>
      </w:r>
      <w:r w:rsidR="00D72608">
        <w:fldChar w:fldCharType="separate"/>
      </w:r>
      <w:r w:rsidR="004F137E" w:rsidRPr="004F137E">
        <w:rPr>
          <w:noProof/>
        </w:rPr>
        <w:t>(Meyer et al., 2015; Pinker, 2011; Saladié &amp; Rodríguez-Hidalgo, 2017)</w:t>
      </w:r>
      <w:r w:rsidR="00D72608">
        <w:fldChar w:fldCharType="end"/>
      </w:r>
      <w:r w:rsidR="00D72608" w:rsidRPr="00FB1B2C">
        <w:t xml:space="preserve">. </w:t>
      </w:r>
      <w:r w:rsidRPr="00072860">
        <w:t xml:space="preserve">The change from a hunter-gatherer lifestyle to agriculture was coupled with a fivefold reduction of violent death, and our allegiances expanded beyond small tribes to members of entire cities </w:t>
      </w:r>
      <w:r w:rsidR="00D72608">
        <w:fldChar w:fldCharType="begin" w:fldLock="1"/>
      </w:r>
      <w:r w:rsidR="00D72608">
        <w:instrText>ADDIN CSL_CITATION {"citationItems":[{"id":"ITEM-1","itemData":{"author":[{"dropping-particle":"","family":"Pinker","given":"Stephen","non-dropping-particle":"","parse-names":false,"suffix":""}],"id":"ITEM-1","issued":{"date-parts":[["2011"]]},"publisher":"Viking","publisher-place":"New York, NY","title":"The better angels of our nature: Why violence has declined","type":"book"},"uris":["http://www.mendeley.com/documents/?uuid=3f54b441-11b7-4697-bb32-2476f11b762d"]}],"mendeley":{"formattedCitation":"(Pinker, 2011)","plainTextFormattedCitation":"(Pinker, 2011)","previouslyFormattedCitation":"(Pinker, 2011)"},"properties":{"noteIndex":0},"schema":"https://github.com/citation-style-language/schema/raw/master/csl-citation.json"}</w:instrText>
      </w:r>
      <w:r w:rsidR="00D72608">
        <w:fldChar w:fldCharType="separate"/>
      </w:r>
      <w:r w:rsidR="00D72608" w:rsidRPr="002B275A">
        <w:rPr>
          <w:noProof/>
        </w:rPr>
        <w:t>(Pinker, 2011)</w:t>
      </w:r>
      <w:r w:rsidR="00D72608">
        <w:fldChar w:fldCharType="end"/>
      </w:r>
      <w:r w:rsidR="00D72608" w:rsidRPr="00FB1B2C">
        <w:t xml:space="preserve">. </w:t>
      </w:r>
      <w:r w:rsidRPr="00072860">
        <w:t xml:space="preserve">This trend accelerated between the Middle Ages and the 20th century, with a 10- to 50-fold drop in the number of people dying by violence in Europe. In modern times, human violence has reached an all-time low, and this has coincided with a considerable expansion in our moral concern for others </w:t>
      </w:r>
      <w:r w:rsidR="00304D67" w:rsidRPr="00304D67">
        <w:fldChar w:fldCharType="begin" w:fldLock="1"/>
      </w:r>
      <w:r w:rsidR="004054CD">
        <w:instrText>ADDIN CSL_CITATION {"citationItems":[{"id":"ITEM-1","itemData":{"author":[{"dropping-particle":"","family":"Pinker","given":"Stephen","non-dropping-particle":"","parse-names":false,"suffix":""}],"id":"ITEM-1","issued":{"date-parts":[["2011"]]},"publisher":"Viking","publisher-place":"New York, NY","title":"The better angels of our nature: Why violence has declined","type":"book"},"uris":["http://www.mendeley.com/documents/?uuid=3f54b441-11b7-4697-bb32-2476f11b762d"]},{"id":"ITEM-2","itemData":{"author":[{"dropping-particle":"","family":"Singer","given":"Peter","non-dropping-particle":"","parse-names":false,"suffix":""}],"id":"ITEM-2","issued":{"date-parts":[["1981"]]},"publisher":"Farrar, Straus &amp; Giroux","publisher-place":"New York; NY","title":"The expanding circle: Ethics and sociobiology","type":"book"},"uris":["http://www.mendeley.com/documents/?uuid=f469a166-4887-4be9-bbfa-b225aba04d6a"]},{"id":"ITEM-3","itemData":{"DOI":"10.1038/464490a","ISSN":"00280836","PMID":"20336117","author":[{"dropping-particle":"","family":"Bloom","given":"Paul","non-dropping-particle":"","parse-names":false,"suffix":""}],"container-title":"Nature","id":"ITEM-3","issue":"7288","issued":{"date-parts":[["2010"]]},"page":"490","title":"How do morals change?","type":"article-journal","volume":"464"},"uris":["http://www.mendeley.com/documents/?uuid=3b9bb108-a20e-4f7b-b68b-3902ec68a25f"]},{"id":"ITEM-4","itemData":{"DOI":"10.1177/0963721417730888","ISSN":"14678721","abstract":"Theorists have long noted that people’s moral circles have expanded over the course of history, with modern people extending moral concern to entities—both human and nonhuman—that our ancestors would never have considered including within their moral boundaries. In recent decades, researchers have sought a comprehensive understanding of the psychology of moral expansiveness. We first review the history of conceptual and methodological approaches in understanding our moral boundaries, with a particular focus on the recently developed Moral Expansiveness Scale. We then explore individual differences in moral expansiveness, attributes of entities that predict their inclusion in moral circles, and cognitive and motivational factors that help explain what we include within our moral boundaries and why they may shrink or expand. Throughout, we highlight the consequences of these psychological effects for real-world ethical decision making.","author":[{"dropping-particle":"","family":"Crimston","given":"Charlie R.","non-dropping-particle":"","parse-names":false,"suffix":""},{"dropping-particle":"","family":"Hornsey","given":"Matthew J.","non-dropping-particle":"","parse-names":false,"suffix":""},{"dropping-particle":"","family":"Bain","given":"Paul G.","non-dropping-particle":"","parse-names":false,"suffix":""},{"dropping-particle":"","family":"Bastian","given":"Brock","non-dropping-particle":"","parse-names":false,"suffix":""}],"container-title":"Current Directions in Psychological Science","id":"ITEM-4","issue":"1","issued":{"date-parts":[["2018"]]},"page":"14-19","title":"Toward a psychology of moral expansiveness","type":"article-journal","volume":"27"},"uris":["http://www.mendeley.com/documents/?uuid=7e2aa009-482e-4273-b000-c853250a280c"]},{"id":"ITEM-5","itemData":{"DOI":"10.1037/pspp0000086","ISSN":"00223514","abstract":"The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Psychology","id":"ITEM-5","issue":"4","issued":{"date-parts":[["2016"]]},"page":"636-653","title":"Moral expansiveness: Examining variability in the extension of the moral world","type":"article-journal","volume":"111"},"uris":["http://www.mendeley.com/documents/?uuid=28916110-d677-4bc1-ba17-de2fe5b04886"]}],"mendeley":{"formattedCitation":"(Bloom, 2010; Crimston et al., 2016, 2018b; Pinker, 2011; Singer, 1981)","plainTextFormattedCitation":"(Bloom, 2010; Crimston et al., 2016, 2018b; Pinker, 2011; Singer, 1981)","previouslyFormattedCitation":"(Bloom, 2010; Crimston et al., 2016, 2018b; Pinker, 2011; Singer, 1981)"},"properties":{"noteIndex":0},"schema":"https://github.com/citation-style-language/schema/raw/master/csl-citation.json"}</w:instrText>
      </w:r>
      <w:r w:rsidR="00304D67" w:rsidRPr="00304D67">
        <w:fldChar w:fldCharType="separate"/>
      </w:r>
      <w:r w:rsidR="00D03861" w:rsidRPr="00D03861">
        <w:rPr>
          <w:noProof/>
        </w:rPr>
        <w:t>(Bloom, 2010; Crimston et al., 2016, 2018b; Pinker, 2011; Singer, 1981)</w:t>
      </w:r>
      <w:r w:rsidR="00304D67" w:rsidRPr="00304D67">
        <w:fldChar w:fldCharType="end"/>
      </w:r>
      <w:r w:rsidR="00304D67" w:rsidRPr="00304D67">
        <w:t>.</w:t>
      </w:r>
      <w:r w:rsidR="00304D67">
        <w:t xml:space="preserve"> </w:t>
      </w:r>
      <w:r w:rsidRPr="00072860">
        <w:t>For many, our moral concern extends beyond those in our immediate environment—</w:t>
      </w:r>
      <w:r w:rsidRPr="00072860">
        <w:lastRenderedPageBreak/>
        <w:t>we feel an obligation to protect people in faraway countries, animals, and the physical environment from harm.</w:t>
      </w:r>
    </w:p>
    <w:p w14:paraId="2CC7E967" w14:textId="059AD556" w:rsidR="00D72608" w:rsidRDefault="00072860" w:rsidP="00D72608">
      <w:pPr>
        <w:spacing w:line="480" w:lineRule="auto"/>
        <w:ind w:firstLine="720"/>
      </w:pPr>
      <w:r w:rsidRPr="00072860">
        <w:t xml:space="preserve">For decades, the expansion of our moral circles over time has been of great philosophical interest </w:t>
      </w:r>
      <w:r w:rsidR="00E403CD">
        <w:fldChar w:fldCharType="begin" w:fldLock="1"/>
      </w:r>
      <w:r w:rsidR="009358DF">
        <w:instrText>ADDIN CSL_CITATION {"citationItems":[{"id":"ITEM-1","itemData":{"author":[{"dropping-particle":"","family":"Singer","given":"Peter","non-dropping-particle":"","parse-names":false,"suffix":""}],"id":"ITEM-1","issued":{"date-parts":[["1981"]]},"publisher":"Farrar, Straus &amp; Giroux","publisher-place":"New York; NY","title":"The expanding circle: Ethics and sociobiology","type":"book"},"uris":["http://www.mendeley.com/documents/?uuid=f469a166-4887-4be9-bbfa-b225aba04d6a"]}],"mendeley":{"formattedCitation":"(Singer, 1981)","plainTextFormattedCitation":"(Singer, 1981)","previouslyFormattedCitation":"(Singer, 1981)"},"properties":{"noteIndex":0},"schema":"https://github.com/citation-style-language/schema/raw/master/csl-citation.json"}</w:instrText>
      </w:r>
      <w:r w:rsidR="00E403CD">
        <w:fldChar w:fldCharType="separate"/>
      </w:r>
      <w:r w:rsidR="00E403CD" w:rsidRPr="00E403CD">
        <w:rPr>
          <w:noProof/>
        </w:rPr>
        <w:t>(Singer, 1981)</w:t>
      </w:r>
      <w:r w:rsidR="00E403CD">
        <w:fldChar w:fldCharType="end"/>
      </w:r>
      <w:r w:rsidR="00E403CD">
        <w:t>.</w:t>
      </w:r>
      <w:r w:rsidR="00D72608" w:rsidRPr="00FB1B2C">
        <w:t xml:space="preserve"> </w:t>
      </w:r>
      <w:r w:rsidRPr="00072860">
        <w:t xml:space="preserve">However, the capacity to scientifically measure this aspect of moral cognition was developed only recently. </w:t>
      </w:r>
      <w:r w:rsidR="00D72608" w:rsidRPr="00FB1B2C">
        <w:fldChar w:fldCharType="begin" w:fldLock="1"/>
      </w:r>
      <w:r w:rsidR="005A3F3C">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world","type":"article-journal","volume":"111"},"uris":["http://www.mendeley.com/documents/?uuid=28916110-d677-4bc1-ba17-de2fe5b04886"]}],"mendeley":{"formattedCitation":"(Crimston et al., 2016)","manualFormatting":"Crimston and colleagues (2016)","plainTextFormattedCitation":"(Crimston et al., 2016)","previouslyFormattedCitation":"(Crimston et al., 2016)"},"properties":{"noteIndex":0},"schema":"https://github.com/citation-style-language/schema/raw/master/csl-citation.json"}</w:instrText>
      </w:r>
      <w:r w:rsidR="00D72608" w:rsidRPr="00FB1B2C">
        <w:fldChar w:fldCharType="separate"/>
      </w:r>
      <w:r w:rsidR="00D72608" w:rsidRPr="00FB1B2C">
        <w:rPr>
          <w:noProof/>
        </w:rPr>
        <w:t xml:space="preserve">Crimston </w:t>
      </w:r>
      <w:r w:rsidR="00C66A55">
        <w:rPr>
          <w:noProof/>
        </w:rPr>
        <w:t>and colleagues</w:t>
      </w:r>
      <w:r w:rsidR="00D72608" w:rsidRPr="00FB1B2C">
        <w:rPr>
          <w:noProof/>
        </w:rPr>
        <w:t xml:space="preserve"> (2016)</w:t>
      </w:r>
      <w:r w:rsidR="00D72608" w:rsidRPr="00FB1B2C">
        <w:fldChar w:fldCharType="end"/>
      </w:r>
      <w:r w:rsidR="00D72608" w:rsidRPr="00FB1B2C">
        <w:t xml:space="preserve"> </w:t>
      </w:r>
      <w:r w:rsidRPr="00072860">
        <w:t xml:space="preserve">developed the Moral Expansiveness Scale (MES) where individuals indicate the entities they include in or exclude from their moral circle, ranging from family and ingroup members, to villains and animals. The greater the number of entities placed within one’s moral circles, the greater a person’s moral expansion. Scores on the MES predict many prosocial outcomes, such as a greater desire to sacrifice the self for others and volunteering </w:t>
      </w:r>
      <w:proofErr w:type="spellStart"/>
      <w:r w:rsidRPr="00072860">
        <w:t>behavior</w:t>
      </w:r>
      <w:proofErr w:type="spellEnd"/>
      <w:r w:rsidR="00D72608" w:rsidRPr="00FB1B2C">
        <w:t xml:space="preserve"> </w:t>
      </w:r>
      <w:r w:rsidR="00D72608" w:rsidRPr="008E25B1">
        <w:fldChar w:fldCharType="begin" w:fldLock="1"/>
      </w:r>
      <w:r w:rsidR="004054CD">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world","type":"article-journal","volume":"111"},"uris":["http://www.mendeley.com/documents/?uuid=28916110-d677-4bc1-ba17-de2fe5b04886"]},{"id":"ITEM-2","itemData":{"DOI":"10.1177/0963721417730888","ISSN":"14678721","abstract":"Theorists have long noted that people’s moral circles have expanded over the course of history, with modern people extending moral concern to entities—both human and nonhuman—that our ancestors would never have considered including within their moral boundaries. In recent decades, researchers have sought a comprehensive understanding of the psychology of moral expansiveness. We first review the history of conceptual and methodological approaches in understanding our moral boundaries, with a particular focus on the recently developed Moral Expansiveness Scale. We then explore individual differences in moral expansiveness, attributes of entities that predict their inclusion in moral circles, and cognitive and motivational factors that help explain what we include within our moral boundaries and why they may shrink or expand. Throughout, we highlight the consequences of these psychological effects for real-world ethical decision making.","author":[{"dropping-particle":"","family":"Crimston","given":"Charlie R.","non-dropping-particle":"","parse-names":false,"suffix":""},{"dropping-particle":"","family":"Hornsey","given":"Matthew J.","non-dropping-particle":"","parse-names":false,"suffix":""},{"dropping-particle":"","family":"Bain","given":"Paul G.","non-dropping-particle":"","parse-names":false,"suffix":""},{"dropping-particle":"","family":"Bastian","given":"Brock","non-dropping-particle":"","parse-names":false,"suffix":""}],"container-title":"Current Directions in Psychological Science","id":"ITEM-2","issue":"1","issued":{"date-parts":[["2018"]]},"page":"14-19","title":"Toward a psychology of moral expansiveness","type":"article-journal","volume":"27"},"uris":["http://www.mendeley.com/documents/?uuid=7e2aa009-482e-4273-b000-c853250a280c"]},{"id":"ITEM-3","itemData":{"DOI":"10.1371/journal.pone.0205373","ISBN":"1111111111","ISSN":"19326203","abstract":"Moral expansiveness refers to the range of entities (human and non-human) deemed worthy of moral concern and treatment. Previous research has established that the Moral Expansiveness Scale (MES) is a powerful predictor of altruistic moral decision-making and captures a unique dimension of moral cognition. However, the length of the full MES may be restrictive for some researchers. Here we establish the reliability and validity of a reduced moral expansiveness scale, the MESx. Consistent with the full version, the MESx is strongly associated with (but not reducible to) theoretically related constructs, such as endorsement of universalism values, identification with all humanity, and connectedness to nature. The MESx also predicted measures of altruistic moral decision-making to the same degree as the full MES. Further, the MESx passed tests of discriminant validity, was unrelated to political conservatism (unlike the full MES), only mildly associated with the tendency to provide socially desirable responses, and produced moderate reliability over time. We conclude that the MESx is a psychometrically valid alternative for researchers requiring a short measure of moral expansiveness.","author":[{"dropping-particle":"","family":"Crimston","given":"Charlie R.","non-dropping-particle":"","parse-names":false,"suffix":""},{"dropping-particle":"","family":"Hornsey","given":"Matthew J.","non-dropping-particle":"","parse-names":false,"suffix":""},{"dropping-particle":"","family":"Bain","given":"Paul G.","non-dropping-particle":"","parse-names":false,"suffix":""},{"dropping-particle":"","family":"Bastian","given":"Brock","non-dropping-particle":"","parse-names":false,"suffix":""}],"container-title":"PLoS ONE","id":"ITEM-3","issue":"10","issued":{"date-parts":[["2018"]]},"page":"1-10","title":"Moral expansiveness short form: Validity and reliability of the MESx","type":"article-journal","volume":"13"},"uris":["http://www.mendeley.com/documents/?uuid=e0a84d1c-9c04-4af8-86a5-419a1c248ae3"]}],"mendeley":{"formattedCitation":"(Crimston et al., 2016, 2018b, 2018a)","plainTextFormattedCitation":"(Crimston et al., 2016, 2018b, 2018a)","previouslyFormattedCitation":"(Crimston et al., 2016, 2018b, 2018a)"},"properties":{"noteIndex":0},"schema":"https://github.com/citation-style-language/schema/raw/master/csl-citation.json"}</w:instrText>
      </w:r>
      <w:r w:rsidR="00D72608" w:rsidRPr="008E25B1">
        <w:fldChar w:fldCharType="separate"/>
      </w:r>
      <w:r w:rsidR="00C6065C" w:rsidRPr="00C6065C">
        <w:rPr>
          <w:noProof/>
        </w:rPr>
        <w:t>(Crimston et al., 2016, 2018b, 2018a)</w:t>
      </w:r>
      <w:r w:rsidR="00D72608" w:rsidRPr="008E25B1">
        <w:fldChar w:fldCharType="end"/>
      </w:r>
      <w:r w:rsidR="00D72608" w:rsidRPr="00A13926">
        <w:rPr>
          <w:bCs/>
        </w:rPr>
        <w:t>.</w:t>
      </w:r>
    </w:p>
    <w:p w14:paraId="0C51E44C" w14:textId="799C74E6" w:rsidR="00D72608" w:rsidRDefault="00072860" w:rsidP="006B2F58">
      <w:pPr>
        <w:spacing w:line="480" w:lineRule="auto"/>
        <w:ind w:firstLine="720"/>
      </w:pPr>
      <w:r w:rsidRPr="00072860">
        <w:t xml:space="preserve">The growth of our moral concern throughout history is thought to be due, at least in part, to an increasing capacity for reason and rationality </w:t>
      </w:r>
      <w:r w:rsidR="00D72608" w:rsidRPr="00FB1B2C">
        <w:fldChar w:fldCharType="begin" w:fldLock="1"/>
      </w:r>
      <w:r w:rsidR="00D72608" w:rsidRPr="00FB1B2C">
        <w:instrText>ADDIN CSL_CITATION {"citationItems":[{"id":"ITEM-1","itemData":{"author":[{"dropping-particle":"","family":"Singer","given":"Peter","non-dropping-particle":"","parse-names":false,"suffix":""}],"id":"ITEM-1","issued":{"date-parts":[["1981"]]},"publisher":"Farrar, Straus &amp; Giroux","publisher-place":"New York; NY","title":"The expanding circle: Ethics and sociobiology","type":"book"},"uris":["http://www.mendeley.com/documents/?uuid=f469a166-4887-4be9-bbfa-b225aba04d6a"]},{"id":"ITEM-2","itemData":{"author":[{"dropping-particle":"","family":"Pinker","given":"Stephen","non-dropping-particle":"","parse-names":false,"suffix":""}],"id":"ITEM-2","issued":{"date-parts":[["2011"]]},"publisher":"Viking","publisher-place":"New York, NY","title":"The better angels of our nature: Why violence has declined","type":"book"},"uris":["http://www.mendeley.com/documents/?uuid=3f54b441-11b7-4697-bb32-2476f11b762d"]},{"id":"ITEM-3","itemData":{"DOI":"10.1038/464490a","ISSN":"00280836","PMID":"20336117","author":[{"dropping-particle":"","family":"Bloom","given":"Paul","non-dropping-particle":"","parse-names":false,"suffix":""}],"container-title":"Nature","id":"ITEM-3","issue":"7288","issued":{"date-parts":[["2010"]]},"page":"490","title":"How do morals change?","type":"article-journal","volume":"464"},"uris":["http://www.mendeley.com/documents/?uuid=3b9bb108-a20e-4f7b-b68b-3902ec68a25f"]}],"mendeley":{"formattedCitation":"(Bloom, 2010; Pinker, 2011; Singer, 1981)","plainTextFormattedCitation":"(Bloom, 2010; Pinker, 2011; Singer, 1981)","previouslyFormattedCitation":"(Bloom, 2010; Pinker, 2011; Singer, 1981)"},"properties":{"noteIndex":0},"schema":"https://github.com/citation-style-language/schema/raw/master/csl-citation.json"}</w:instrText>
      </w:r>
      <w:r w:rsidR="00D72608" w:rsidRPr="00FB1B2C">
        <w:fldChar w:fldCharType="separate"/>
      </w:r>
      <w:r w:rsidR="00D72608" w:rsidRPr="00FB1B2C">
        <w:rPr>
          <w:noProof/>
        </w:rPr>
        <w:t>(Bloom, 2010; Pinker, 2011; Singer, 1981)</w:t>
      </w:r>
      <w:r w:rsidR="00D72608" w:rsidRPr="00FB1B2C">
        <w:fldChar w:fldCharType="end"/>
      </w:r>
      <w:r w:rsidR="00D72608">
        <w:t xml:space="preserve">. </w:t>
      </w:r>
      <w:r w:rsidRPr="00072860">
        <w:t xml:space="preserve">Although this trend is evident over time, there are still remarkable disagreements between people in the 21st century over who and what is deemed worthy of moral concern. For example, there are significant differences between individuals in the placement of nature and animals within their moral circles </w:t>
      </w:r>
      <w:r w:rsidR="00D72608">
        <w:fldChar w:fldCharType="begin" w:fldLock="1"/>
      </w:r>
      <w:r w:rsidR="005A3F3C">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world","type":"article-journal","volume":"111"},"uris":["http://www.mendeley.com/documents/?uuid=28916110-d677-4bc1-ba17-de2fe5b04886"]}],"mendeley":{"formattedCitation":"(Crimston et al., 2016)","plainTextFormattedCitation":"(Crimston et al., 2016)","previouslyFormattedCitation":"(Crimston et al., 2016)"},"properties":{"noteIndex":0},"schema":"https://github.com/citation-style-language/schema/raw/master/csl-citation.json"}</w:instrText>
      </w:r>
      <w:r w:rsidR="00D72608">
        <w:fldChar w:fldCharType="separate"/>
      </w:r>
      <w:r w:rsidR="00D72608" w:rsidRPr="00A1091C">
        <w:rPr>
          <w:noProof/>
        </w:rPr>
        <w:t>(Crimston et al., 2016)</w:t>
      </w:r>
      <w:r w:rsidR="00D72608">
        <w:fldChar w:fldCharType="end"/>
      </w:r>
      <w:r w:rsidR="00D72608">
        <w:t>.</w:t>
      </w:r>
      <w:r w:rsidR="006B2F58">
        <w:t xml:space="preserve"> </w:t>
      </w:r>
      <w:r w:rsidRPr="00072860">
        <w:t xml:space="preserve">Moreover, we see variation in the extent to which individuals value nature versus outgroups, with some ascribing greater moral worth to human outgroups, whereas others ascribe greater moral worth to animals and ecosystems </w:t>
      </w:r>
      <w:r w:rsidR="00B456E8">
        <w:t>(</w:t>
      </w:r>
      <w:r w:rsidR="00D03861">
        <w:fldChar w:fldCharType="begin" w:fldLock="1"/>
      </w:r>
      <w:r w:rsidR="004054CD">
        <w:instrText>ADDIN CSL_CITATION {"citationItems":[{"id":"ITEM-1","itemData":{"DOI":"10.1111/cogs.12967","ISSN":"0364-0213","author":[{"dropping-particle":"","family":"Rottman","given":"Joshua","non-dropping-particle":"","parse-names":false,"suffix":""},{"dropping-particle":"","family":"Crimston","given":"Charlie R.","non-dropping-particle":"","parse-names":false,"suffix":""},{"dropping-particle":"","family":"Syropoulos","given":"Stylianos","non-dropping-particle":"","parse-names":false,"suffix":""}],"container-title":"Cognitive Science","id":"ITEM-1","issue":"4","issued":{"date-parts":[["2021"]]},"page":"1-37","title":"Tree‐huggers versus human‐lovers: Anthropomorphism and dehumanization predict valuing mature over outgroups","type":"article-journal","volume":"45"},"uris":["http://www.mendeley.com/documents/?uuid=cf26da74-f81c-4c68-aaf1-180b285b281c"]}],"mendeley":{"formattedCitation":"(Rottman et al., 2021)","manualFormatting":"Rottman et al., 2021)","plainTextFormattedCitation":"(Rottman et al., 2021)","previouslyFormattedCitation":"(Rottman et al., 2021)"},"properties":{"noteIndex":0},"schema":"https://github.com/citation-style-language/schema/raw/master/csl-citation.json"}</w:instrText>
      </w:r>
      <w:r w:rsidR="00D03861">
        <w:fldChar w:fldCharType="separate"/>
      </w:r>
      <w:r w:rsidR="00D03861" w:rsidRPr="00D03861">
        <w:rPr>
          <w:noProof/>
        </w:rPr>
        <w:t>Rottman et al., 2021)</w:t>
      </w:r>
      <w:r w:rsidR="00D03861">
        <w:fldChar w:fldCharType="end"/>
      </w:r>
      <w:r w:rsidR="006B2F58">
        <w:t xml:space="preserve">. </w:t>
      </w:r>
      <w:r w:rsidRPr="00072860">
        <w:t xml:space="preserve">There are also differences in moral expansion between those with left- and right-wing ideologies, with more restricted moral circles associated with conservative values as well as moral foundations of loyalty and purity </w:t>
      </w:r>
      <w:r w:rsidR="00D72608" w:rsidRPr="00FB1B2C">
        <w:fldChar w:fldCharType="begin" w:fldLock="1"/>
      </w:r>
      <w:r w:rsidR="004054CD">
        <w:instrText>ADDIN CSL_CITATION {"citationItems":[{"id":"ITEM-1","itemData":{"DOI":"10.1037/a0021847","ISSN":"00223514","PMID":"21244182","abstract":"The moral domain is broader than the empathy and justice concerns assessed by existing measures of moral competence, and it is not just a subset of the values assessed by value inventories. To fill the need for reliable and theoretically grounded measurement of the full range of moral concerns, we developed the Moral Foundations Questionnaire on the basis of a theoretical model of 5 universally available (but variably developed) sets of moral intuitions: Harm/Care, Fairness/Reciprocity, Ingroup/Loyalty, Authority/Respect, and Purity/Sanctity. We present evidence for the internal and external validity of the scale and the model, and in doing so we present new findings about morality: (a) Comparative model fitting of confirmatory factor analyses provides empirical justification for a 5-factor structure of moral concerns; (b) convergent/discriminant validity evidence suggests that moral concerns predict personality features and social group attitudes not previously considered morally relevant; and (c) we establish pragmatic validity of the measure in providing new knowledge and research opportunities concerning demographic and cultural differences in moral intuitions. These analyses provide evidence for the usefulness of Moral Foundations Theory in simultaneously increasing the scope and sharpening the resolution of psychological views of morality. © 2011 American Psychological Association.","author":[{"dropping-particle":"","family":"Graham","given":"Jesse","non-dropping-particle":"","parse-names":false,"suffix":""},{"dropping-particle":"","family":"Nosek","given":"Brian A.","non-dropping-particle":"","parse-names":false,"suffix":""},{"dropping-particle":"","family":"Haidt","given":"Jonathan","non-dropping-particle":"","parse-names":false,"suffix":""},{"dropping-particle":"","family":"Iyer","given":"Ravi","non-dropping-particle":"","parse-names":false,"suffix":""},{"dropping-particle":"","family":"Koleva","given":"Spassena","non-dropping-particle":"","parse-names":false,"suffix":""},{"dropping-particle":"","family":"Ditto","given":"Peter H.","non-dropping-particle":"","parse-names":false,"suffix":""}],"container-title":"Journal of Personality and Social Psychology","id":"ITEM-1","issue":"2","issued":{"date-parts":[["2011"]]},"page":"366-385","title":"Mapping the moral domain","type":"article-journal","volume":"101"},"uris":["http://www.mendeley.com/documents/?uuid=038a1ce7-a1ac-4715-b692-dd084edd1a76"]},{"id":"ITEM-2","itemData":{"DOI":"10.1371/journal.pone.0205373","ISBN":"1111111111","ISSN":"19326203","abstract":"Moral expansiveness refers to the range of entities (human and non-human) deemed worthy of moral concern and treatment. Previous research has established that the Moral Expansiveness Scale (MES) is a powerful predictor of altruistic moral decision-making and captures a unique dimension of moral cognition. However, the length of the full MES may be restrictive for some researchers. Here we establish the reliability and validity of a reduced moral expansiveness scale, the MESx. Consistent with the full version, the MESx is strongly associated with (but not reducible to) theoretically related constructs, such as endorsement of universalism values, identification with all humanity, and connectedness to nature. The MESx also predicted measures of altruistic moral decision-making to the same degree as the full MES. Further, the MESx passed tests of discriminant validity, was unrelated to political conservatism (unlike the full MES), only mildly associated with the tendency to provide socially desirable responses, and produced moderate reliability over time. We conclude that the MESx is a psychometrically valid alternative for researchers requiring a short measure of moral expansiveness.","author":[{"dropping-particle":"","family":"Crimston","given":"Charlie R.","non-dropping-particle":"","parse-names":false,"suffix":""},{"dropping-particle":"","family":"Hornsey","given":"Matthew J.","non-dropping-particle":"","parse-names":false,"suffix":""},{"dropping-particle":"","family":"Bain","given":"Paul G.","non-dropping-particle":"","parse-names":false,"suffix":""},{"dropping-particle":"","family":"Bastian","given":"Brock","non-dropping-particle":"","parse-names":false,"suffix":""}],"container-title":"PLoS ONE","id":"ITEM-2","issue":"10","issued":{"date-parts":[["2018"]]},"page":"1-10","title":"Moral expansiveness short form: Validity and reliability of the MESx","type":"article-journal","volume":"13"},"uris":["http://www.mendeley.com/documents/?uuid=e0a84d1c-9c04-4af8-86a5-419a1c248ae3"]}],"mendeley":{"formattedCitation":"(Crimston et al., 2018a; Graham et al., 2011)","plainTextFormattedCitation":"(Crimston et al., 2018a; Graham et al., 2011)","previouslyFormattedCitation":"(Crimston et al., 2018a; Graham et al., 2011)"},"properties":{"noteIndex":0},"schema":"https://github.com/citation-style-language/schema/raw/master/csl-citation.json"}</w:instrText>
      </w:r>
      <w:r w:rsidR="00D72608" w:rsidRPr="00FB1B2C">
        <w:fldChar w:fldCharType="separate"/>
      </w:r>
      <w:r w:rsidR="00D03861" w:rsidRPr="00D03861">
        <w:rPr>
          <w:noProof/>
        </w:rPr>
        <w:t>(Crimston et al., 2018a; Graham et al., 2011)</w:t>
      </w:r>
      <w:r w:rsidR="00D72608" w:rsidRPr="00FB1B2C">
        <w:fldChar w:fldCharType="end"/>
      </w:r>
      <w:r w:rsidR="00D72608" w:rsidRPr="00FB1B2C">
        <w:t>.</w:t>
      </w:r>
      <w:r w:rsidR="00D72608">
        <w:t xml:space="preserve"> </w:t>
      </w:r>
    </w:p>
    <w:p w14:paraId="2F5E3BB4" w14:textId="22B232B0" w:rsidR="008A1A9F" w:rsidRPr="008A1A9F" w:rsidRDefault="008A1A9F" w:rsidP="008A1A9F">
      <w:pPr>
        <w:spacing w:line="480" w:lineRule="auto"/>
        <w:rPr>
          <w:b/>
          <w:bCs/>
        </w:rPr>
      </w:pPr>
      <w:r>
        <w:rPr>
          <w:b/>
          <w:bCs/>
        </w:rPr>
        <w:t xml:space="preserve">Societal </w:t>
      </w:r>
      <w:r w:rsidRPr="008A1A9F">
        <w:rPr>
          <w:b/>
          <w:bCs/>
        </w:rPr>
        <w:t>Factors</w:t>
      </w:r>
      <w:r>
        <w:rPr>
          <w:b/>
          <w:bCs/>
        </w:rPr>
        <w:t xml:space="preserve"> and Moral Expansiveness </w:t>
      </w:r>
    </w:p>
    <w:p w14:paraId="3CAFDCD9" w14:textId="1CC7C038" w:rsidR="00D72608" w:rsidRDefault="00072860" w:rsidP="00303E2E">
      <w:pPr>
        <w:spacing w:line="480" w:lineRule="auto"/>
        <w:ind w:firstLine="720"/>
      </w:pPr>
      <w:r w:rsidRPr="00072860">
        <w:lastRenderedPageBreak/>
        <w:t>Research to date has provided important insights that advance our understanding of moral circles. However, this work has focused on individual-level factors</w:t>
      </w:r>
      <w:r w:rsidR="0098650F">
        <w:t xml:space="preserve"> </w:t>
      </w:r>
      <w:r w:rsidR="001138AB">
        <w:fldChar w:fldCharType="begin" w:fldLock="1"/>
      </w:r>
      <w:r w:rsidR="004054CD">
        <w:instrText>ADDIN CSL_CITATION {"citationItems":[{"id":"ITEM-1","itemData":{"DOI":"10.1177/0963721417730888","ISSN":"14678721","abstract":"Theorists have long noted that people’s moral circles have expanded over the course of history, with modern people extending moral concern to entities—both human and nonhuman—that our ancestors would never have considered including within their moral boundaries. In recent decades, researchers have sought a comprehensive understanding of the psychology of moral expansiveness. We first review the history of conceptual and methodological approaches in understanding our moral boundaries, with a particular focus on the recently developed Moral Expansiveness Scale. We then explore individual differences in moral expansiveness, attributes of entities that predict their inclusion in moral circles, and cognitive and motivational factors that help explain what we include within our moral boundaries and why they may shrink or expand. Throughout, we highlight the consequences of these psychological effects for real-world ethical decision making.","author":[{"dropping-particle":"","family":"Crimston","given":"Charlie R.","non-dropping-particle":"","parse-names":false,"suffix":""},{"dropping-particle":"","family":"Hornsey","given":"Matthew J.","non-dropping-particle":"","parse-names":false,"suffix":""},{"dropping-particle":"","family":"Bain","given":"Paul G.","non-dropping-particle":"","parse-names":false,"suffix":""},{"dropping-particle":"","family":"Bastian","given":"Brock","non-dropping-particle":"","parse-names":false,"suffix":""}],"container-title":"Current Directions in Psychological Science","id":"ITEM-1","issue":"1","issued":{"date-parts":[["2018"]]},"page":"14-19","title":"Toward a psychology of moral expansiveness","type":"article-journal","volume":"27"},"uris":["http://www.mendeley.com/documents/?uuid=7e2aa009-482e-4273-b000-c853250a280c"]},{"id":"ITEM-2","itemData":{"DOI":"10.1037/pspp0000086","ISSN":"00223514","abstract":"The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Psychology","id":"ITEM-2","issue":"4","issued":{"date-parts":[["2016"]]},"page":"636-653","title":"Moral expansiveness: Examining variability in the extension of the moral world","type":"article-journal","volume":"111"},"uris":["http://www.mendeley.com/documents/?uuid=28916110-d677-4bc1-ba17-de2fe5b04886"]},{"id":"ITEM-3","itemData":{"DOI":"10.1038/s41467-019-12227-0","ISSN":"20411723","PMID":"31558713","abstract":"Do clashes between ideologies reflect policy differences or something more fundamental? The present research suggests they reflect core psychological differences such that liberals express compassion toward less structured and more encompassing entities (i.e., universalism), whereas conservatives express compassion toward more well-defined and less encompassing entities (i.e., parochialism). Here we report seven studies illustrating universalist versus parochial differences in compassion. Studies 1a-1c show that liberals, relative to conservatives, express greater moral concern toward friends relative to family, and the world relative to the nation. Studies 2a-2b demonstrate these universalist versus parochial preferences extend toward simple shapes depicted as proxies for loose versus tight social circles. Using stimuli devoid of political relevance demonstrates that the universalist-parochialist distinction does not simply reflect differing policy preferences. Studies 3a-3b indicate these universalist versus parochial tendencies extend to humans versus nonhumans more generally, demonstrating the breadth of these psychological differences.","author":[{"dropping-particle":"","family":"Waytz","given":"Adam","non-dropping-particle":"","parse-names":false,"suffix":""},{"dropping-particle":"","family":"Iyer","given":"Ravi","non-dropping-particle":"","parse-names":false,"suffix":""},{"dropping-particle":"","family":"Young","given":"Liane","non-dropping-particle":"","parse-names":false,"suffix":""},{"dropping-particle":"","family":"Haidt","given":"Jonathan","non-dropping-particle":"","parse-names":false,"suffix":""},{"dropping-particle":"","family":"Graham","given":"Jesse","non-dropping-particle":"","parse-names":false,"suffix":""}],"container-title":"Nature Communications","id":"ITEM-3","issue":"1","issued":{"date-parts":[["2019"]]},"publisher":"Springer US","title":"Ideological differences in the expanse of the moral circle","type":"article-journal","volume":"10"},"uris":["http://www.mendeley.com/documents/?uuid=ca6f8253-0ebe-4af5-9fe4-b831b7e90683"]}],"mendeley":{"formattedCitation":"(Crimston et al., 2016, 2018b; Waytz et al., 2019)","plainTextFormattedCitation":"(Crimston et al., 2016, 2018b; Waytz et al., 2019)","previouslyFormattedCitation":"(Crimston et al., 2016, 2018b; Waytz et al., 2019)"},"properties":{"noteIndex":0},"schema":"https://github.com/citation-style-language/schema/raw/master/csl-citation.json"}</w:instrText>
      </w:r>
      <w:r w:rsidR="001138AB">
        <w:fldChar w:fldCharType="separate"/>
      </w:r>
      <w:r w:rsidR="001138AB" w:rsidRPr="001138AB">
        <w:rPr>
          <w:noProof/>
        </w:rPr>
        <w:t>(Crimston et al., 2016, 2018b; Waytz et al., 2019)</w:t>
      </w:r>
      <w:r w:rsidR="001138AB">
        <w:fldChar w:fldCharType="end"/>
      </w:r>
      <w:r w:rsidR="0098650F">
        <w:t>,</w:t>
      </w:r>
      <w:r w:rsidR="00303E2E">
        <w:t xml:space="preserve"> </w:t>
      </w:r>
      <w:r w:rsidRPr="00072860">
        <w:t xml:space="preserve">or factors that have changed across human history such as a growing capacity for reason and other enlightenment values </w:t>
      </w:r>
      <w:r w:rsidR="001138AB">
        <w:fldChar w:fldCharType="begin" w:fldLock="1"/>
      </w:r>
      <w:r w:rsidR="008F4CB2">
        <w:instrText>ADDIN CSL_CITATION {"citationItems":[{"id":"ITEM-1","itemData":{"author":[{"dropping-particle":"","family":"Pinker","given":"Stephen","non-dropping-particle":"","parse-names":false,"suffix":""}],"id":"ITEM-1","issued":{"date-parts":[["2011"]]},"publisher":"Viking","publisher-place":"New York, NY","title":"The better angels of our nature: Why violence has declined","type":"book"},"uris":["http://www.mendeley.com/documents/?uuid=3f54b441-11b7-4697-bb32-2476f11b762d"]}],"mendeley":{"formattedCitation":"(Pinker, 2011)","plainTextFormattedCitation":"(Pinker, 2011)","previouslyFormattedCitation":"(Pinker, 2011)"},"properties":{"noteIndex":0},"schema":"https://github.com/citation-style-language/schema/raw/master/csl-citation.json"}</w:instrText>
      </w:r>
      <w:r w:rsidR="001138AB">
        <w:fldChar w:fldCharType="separate"/>
      </w:r>
      <w:r w:rsidR="001138AB" w:rsidRPr="001138AB">
        <w:rPr>
          <w:noProof/>
        </w:rPr>
        <w:t>(Pinker, 2011)</w:t>
      </w:r>
      <w:r w:rsidR="001138AB">
        <w:fldChar w:fldCharType="end"/>
      </w:r>
      <w:r w:rsidR="0098650F">
        <w:t xml:space="preserve">. </w:t>
      </w:r>
      <w:r w:rsidRPr="00072860">
        <w:t xml:space="preserve">To our knowledge, little to no research has </w:t>
      </w:r>
      <w:proofErr w:type="spellStart"/>
      <w:r w:rsidRPr="00072860">
        <w:t>analyzed</w:t>
      </w:r>
      <w:proofErr w:type="spellEnd"/>
      <w:r w:rsidRPr="00072860">
        <w:t xml:space="preserve"> the current societal factors that may relate to differences in the expansion of our moral world. The size of moral circles may depend on the strength of the social ties between people, which can be captured by two concepts in particular: generalized trust and anomie. Trust is often defined as the intention to accept vulnerability based on positive expectations or beliefs regarding the intentions or </w:t>
      </w:r>
      <w:proofErr w:type="spellStart"/>
      <w:r w:rsidRPr="00072860">
        <w:t>behavior</w:t>
      </w:r>
      <w:proofErr w:type="spellEnd"/>
      <w:r w:rsidRPr="00072860">
        <w:t xml:space="preserve"> of another person or other people in general </w:t>
      </w:r>
      <w:r w:rsidR="005306E8">
        <w:fldChar w:fldCharType="begin" w:fldLock="1"/>
      </w:r>
      <w:r w:rsidR="005306E8">
        <w:instrText>ADDIN CSL_CITATION {"citationItems":[{"id":"ITEM-1","itemData":{"DOI":"10.1111/j.1467-6494.1967.tb01454.x","ISSN":"14676494","PMID":"4865583","author":[{"dropping-particle":"","family":"Rotter","given":"Julian B.","non-dropping-particle":"","parse-names":false,"suffix":""}],"container-title":"Journal of Personality","id":"ITEM-1","issue":"4","issued":{"date-parts":[["1967"]]},"page":"651-665","title":"A new scale for the measurement of interpersonal trust","type":"article-journal","volume":"35"},"uris":["http://www.mendeley.com/documents/?uuid=568c86de-cfbf-4f33-9e41-631a03a26fc4"]},{"id":"ITEM-2","itemData":{"DOI":"10.5465/AMR.1998.926617","ISSN":"03637425","author":[{"dropping-particle":"","family":"Rousseau","given":"Denise M.","non-dropping-particle":"","parse-names":false,"suffix":""},{"dropping-particle":"","family":"Sitkin","given":"Sim B.","non-dropping-particle":"","parse-names":false,"suffix":""},{"dropping-particle":"","family":"Burt","given":"Ronald S.","non-dropping-particle":"","parse-names":false,"suffix":""},{"dropping-particle":"","family":"Camerer","given":"Colin","non-dropping-particle":"","parse-names":false,"suffix":""}],"container-title":"Academy of Management Review","id":"ITEM-2","issue":"3","issued":{"date-parts":[["1998"]]},"page":"393-404","title":"Not so different after all: A cross-discipline view of trust","type":"article-journal","volume":"23"},"uris":["http://www.mendeley.com/documents/?uuid=1a47d25e-4b57-4740-aaab-f38348a144b3"]}],"mendeley":{"formattedCitation":"(Rotter, 1967; Rousseau et al., 1998)","plainTextFormattedCitation":"(Rotter, 1967; Rousseau et al., 1998)","previouslyFormattedCitation":"(Rotter, 1967; Rousseau et al., 1998)"},"properties":{"noteIndex":0},"schema":"https://github.com/citation-style-language/schema/raw/master/csl-citation.json"}</w:instrText>
      </w:r>
      <w:r w:rsidR="005306E8">
        <w:fldChar w:fldCharType="separate"/>
      </w:r>
      <w:r w:rsidR="005306E8" w:rsidRPr="00322A1B">
        <w:rPr>
          <w:noProof/>
        </w:rPr>
        <w:t>(Rotter, 1967; Rousseau et al., 1998)</w:t>
      </w:r>
      <w:r w:rsidR="005306E8">
        <w:fldChar w:fldCharType="end"/>
      </w:r>
      <w:r w:rsidR="005306E8">
        <w:t xml:space="preserve">, whereby the latter refers to generalized trust </w:t>
      </w:r>
      <w:r w:rsidR="005306E8">
        <w:fldChar w:fldCharType="begin" w:fldLock="1"/>
      </w:r>
      <w:r w:rsidR="00930A6E">
        <w:instrText>ADDIN CSL_CITATION {"citationItems":[{"id":"ITEM-1","itemData":{"DOI":"10.1146/annurev.polisci.11.060606.135412","ISBN":"9780824333119","ISSN":"10942939","abstract":"After discussing issues related to the conceptualization, measurement, and statistical analysis of data on generalized trust, I survey recent empirical work (mainly from about 2000-2007) on this topic. First, results concerning cross-country differences in the level of generalized trust and the dynamics of these levels are presented. Then comes an investigation of empirical work on the determinants of generalized trust, covering contributions focusing on the impact of civic society, quality of institutions, culture and values, and ethnic heterogeneity. In these studies, generalized trust is treated as the dependent variable. After that, I survey recent empirical work on societal impacts of generalized trust, covering research on the impact of generalized trust on economic outcomes, on politics and \"good government,\" and on the welfare state. Here, generalized trust is treated as an independent variable. I conclude with a short assessment of where we stand and how research on generalized trust may proceed from here. Copyright © 2008 by Annual Reviews. All rights reserved.","author":[{"dropping-particle":"","family":"Nannestad","given":"Peter","non-dropping-particle":"","parse-names":false,"suffix":""}],"container-title":"Annual Review of Political Science","id":"ITEM-1","issued":{"date-parts":[["2008"]]},"page":"413-436","title":"What have we learned about generalized trust, if anything?","type":"article-journal","volume":"11"},"uris":["http://www.mendeley.com/documents/?uuid=69d5f180-7b67-4924-9db1-8b744fffe7fe"]},{"id":"ITEM-2","itemData":{"DOI":"10.1177/0963721414552473","ISSN":"14678721","abstract":"This article addresses generalized trust, a construct that is examined in various scientific disciplines and assumed to be of central importance to understanding the functioning of individuals, groups, and society at large. We share four basic lessons on trust: (a) Generalized trust is more a matter of culture than genetics; (b) trust is deeply rooted in social interaction experiences (that go beyond childhood), networks, and media; (c) people have too little trust in other people in general; and (d) it is adaptive to regulate a “healthy dose” of generalized trust. Each of these lessons is inspired and illustrated by recent research from different scientific disciplines.","author":[{"dropping-particle":"","family":"Lange","given":"P. A. M.","non-dropping-particle":"Van","parse-names":false,"suffix":""}],"container-title":"Current Directions in Psychological Science","id":"ITEM-2","issue":"1","issued":{"date-parts":[["2015"]]},"page":"71-76","title":"Generalized trust: Four lessons from genetics and culture","type":"article-journal","volume":"24"},"uris":["http://www.mendeley.com/documents/?uuid=42316075-3d85-456b-acfe-b362fb9f308e"]}],"mendeley":{"formattedCitation":"(Nannestad, 2008; Van Lange, 2015)","plainTextFormattedCitation":"(Nannestad, 2008; Van Lange, 2015)","previouslyFormattedCitation":"(Nannestad, 2008; Van Lange, 2015)"},"properties":{"noteIndex":0},"schema":"https://github.com/citation-style-language/schema/raw/master/csl-citation.json"}</w:instrText>
      </w:r>
      <w:r w:rsidR="005306E8">
        <w:fldChar w:fldCharType="separate"/>
      </w:r>
      <w:r w:rsidR="005306E8" w:rsidRPr="00322A1B">
        <w:rPr>
          <w:noProof/>
        </w:rPr>
        <w:t>(Nannestad, 2008; Van Lange, 2015)</w:t>
      </w:r>
      <w:r w:rsidR="005306E8">
        <w:fldChar w:fldCharType="end"/>
      </w:r>
      <w:r w:rsidR="005306E8">
        <w:t>.</w:t>
      </w:r>
      <w:r w:rsidR="005306E8" w:rsidRPr="002A69A0">
        <w:t xml:space="preserve"> </w:t>
      </w:r>
      <w:r w:rsidRPr="00072860">
        <w:t xml:space="preserve">The second concept, anomie, extends beyond the basic notion of trust. Anomie refers to the collective perception that the social fabric and leadership of a society is breaking down </w:t>
      </w:r>
      <w:r w:rsidR="00D72608" w:rsidRPr="002A69A0">
        <w:fldChar w:fldCharType="begin" w:fldLock="1"/>
      </w:r>
      <w:r w:rsidR="0016535D">
        <w:instrText>ADDIN CSL_CITATION {"citationItems":[{"id":"ITEM-1","itemData":{"DOI":"10.1111/pops.12377","ISSN":"14679221","abstract":"Anomie, as defined by sociologists, refers to a state of society characterized by deregulation and erosion of moral values. In the present conceptual analysis, we bring the concept of anomie under a social psychological spotlight. We explore the conditions under which anomie arises and develop a model outlining various responses to anomie. We define anomie as a shared perception of the state of society and propose that two conditions must be met for anomie to emerge. First, a society's social fabric must be perceived to be breaking down (i.e., lack of trust and erosion of moral standards). Second, a society's leadership must be perceived to be breaking down (i.e., lack of legitimacy and effectiveness of leadership). We highlight two key responses of individuals to an anomic situation: a contraction of the personal self and a contraction of the social self. We discuss how a psychology of anomie can inform and advance broader theorizing on group processes.","author":[{"dropping-particle":"","family":"Teymoori","given":"Ali","non-dropping-particle":"","parse-names":false,"suffix":""},{"dropping-particle":"","family":"Bastian","given":"Brock","non-dropping-particle":"","parse-names":false,"suffix":""},{"dropping-particle":"","family":"Jetten","given":"Jolanda","non-dropping-particle":"","parse-names":false,"suffix":""}],"container-title":"Political Psychology","id":"ITEM-1","issue":"6","issued":{"date-parts":[["2017"]]},"page":"1009-1023","title":"Towards a psychological analysis of anomie","type":"article-journal","volume":"38"},"uris":["http://www.mendeley.com/documents/?uuid=ea7cf4cd-1213-4cdd-99c4-bbaa8b787eaa"]},{"id":"ITEM-2","itemData":{"DOI":"10.1177/0956797619875472","ISSN":"14679280","PMID":"31566081","abstract":"Societal inequality has been found to harm the mental and physical health of its members and undermine overall social cohesion. Here, we tested the hypothesis that economic inequality is associated with a wish for a strong leader in a study involving 28 countries from five continents (Study 1, N = 6,112), a study involving an Australian community sample (Study 2, N = 515), and two experiments (Study 3a, N = 96; Study 3b, N = 296). We found correlational (Studies 1 and 2) and experimental (Studies 3a and 3b) evidence for our prediction that higher inequality enhances the wish for a strong leader. We also found that this relationship is mediated by perceptions of anomie, except in the case of objective inequality in Study 1. This suggests that societal inequality enhances the perception that society is breaking down (anomie) and that a strong leader is needed to restore order (even when that leader is willing to challenge democratic values).","author":[{"dropping-particle":"","family":"Sprong","given":"Stefanie","non-dropping-particle":"","parse-names":false,"suffix":""},{"dropping-particle":"","family":"Jetten","given":"Jolanda","non-dropping-particle":"","parse-names":false,"suffix":""},{"dropping-particle":"","family":"Wang","given":"Zhechen","non-dropping-particle":"","parse-names":false,"suffix":""},{"dropping-particle":"","family":"Peters","given":"Kim","non-dropping-particle":"","parse-names":false,"suffix":""},{"dropping-particle":"","family":"Mols","given":"Frank","non-dropping-particle":"","parse-names":false,"suffix":""},{"dropping-particle":"","family":"Verkuyten","given":"Maykel","non-dropping-particle":"","parse-names":false,"suffix":""},{"dropping-particle":"","family":"Bastian","given":"Brock","non-dropping-particle":"","parse-names":false,"suffix":""},{"dropping-particle":"","family":"Ariyanto","given":"Amarina","non-dropping-particle":"","parse-names":false,"suffix":""},{"dropping-particle":"","family":"Autin","given":"Frédérique","non-dropping-particle":"","parse-names":false,"suffix":""},{"dropping-particle":"","family":"Ayub","given":"Nadia","non-dropping-particle":"","parse-names":false,"suffix":""},{"dropping-particle":"","family":"Badea","given":"Constantina","non-dropping-particle":"","parse-names":false,"suffix":""},{"dropping-particle":"","family":"Besta","given":"Tomasz","non-dropping-particle":"","parse-names":false,"suffix":""},{"dropping-particle":"","family":"Butera","given":"Fabrizio","non-dropping-particle":"","parse-names":false,"suffix":""},{"dropping-particle":"","family":"Costa-Lopes","given":"Rui","non-dropping-particle":"","parse-names":false,"suffix":""},{"dropping-particle":"","family":"Cui","given":"Lijuan","non-dropping-particle":"","parse-names":false,"suffix":""},{"dropping-particle":"","family":"Fantini","given":"Carole","non-dropping-particle":"","parse-names":false,"suffix":""},{"dropping-particle":"","family":"Finchilescu","given":"Gillian","non-dropping-particle":"","parse-names":false,"suffix":""},{"dropping-particle":"","family":"Gaertner","given":"Lowell","non-dropping-particle":"","parse-names":false,"suffix":""},{"dropping-particle":"","family":"Gollwitzer","given":"Mario","non-dropping-particle":"","parse-names":false,"suffix":""},{"dropping-particle":"","family":"Gómez","given":"Ángel","non-dropping-particle":"","parse-names":false,"suffix":""},{"dropping-particle":"","family":"González","given":"Roberto","non-dropping-particle":"","parse-names":false,"suffix":""},{"dropping-particle":"","family":"Hong","given":"Ying Yi","non-dropping-particle":"","parse-names":false,"suffix":""},{"dropping-particle":"","family":"Jensen","given":"Dorthe Høj","non-dropping-particle":"","parse-names":false,"suffix":""},{"dropping-particle":"","family":"Jasinskaja-Lahti","given":"Inga","non-dropping-particle":"","parse-names":false,"suffix":""},{"dropping-particle":"","family":"Karasawa","given":"Minoru","non-dropping-particle":"","parse-names":false,"suffix":""},{"dropping-particle":"","family":"Kessler","given":"Thomas","non-dropping-particle":"","parse-names":false,"suffix":""},{"dropping-particle":"","family":"Klein","given":"Olivier","non-dropping-particle":"","parse-names":false,"suffix":""},{"dropping-particle":"","family":"Lima","given":"Marcus","non-dropping-particle":"","parse-names":false,"suffix":""},{"dropping-particle":"","family":"Mégevand","given":"Laura","non-dropping-particle":"","parse-names":false,"suffix":""},{"dropping-particle":"","family":"Morton","given":"Thomas","non-dropping-particle":"","parse-names":false,"suffix":""},{"dropping-particle":"","family":"Paladino","given":"Paola","non-dropping-particle":"","parse-names":false,"suffix":""},{"dropping-particle":"","family":"Polya","given":"Tibor","non-dropping-particle":"","parse-names":false,"suffix":""},{"dropping-particle":"","family":"Renvik","given":"Tuuli Anna","non-dropping-particle":"","parse-names":false,"suffix":""},{"dropping-particle":"","family":"Ruza","given":"Aleksejs","non-dropping-particle":"","parse-names":false,"suffix":""},{"dropping-particle":"","family":"Shahrazad","given":"Wan","non-dropping-particle":"","parse-names":false,"suffix":""},{"dropping-particle":"","family":"Shama","given":"Sushama","non-dropping-particle":"","parse-names":false,"suffix":""},{"dropping-particle":"","family":"Smith","given":"Heather J.","non-dropping-particle":"","parse-names":false,"suffix":""},{"dropping-particle":"","family":"Torres","given":"Ana Raquel","non-dropping-particle":"","parse-names":false,"suffix":""},{"dropping-particle":"","family":"Bles","given":"Anne Marthe","non-dropping-particle":"van der","parse-names":false,"suffix":""},{"dropping-particle":"","family":"Wohl","given":"Michael J.A.","non-dropping-particle":"","parse-names":false,"suffix":""}],"container-title":"Psychological Science","id":"ITEM-2","issue":"11","issued":{"date-parts":[["2019"]]},"page":"1625-1637","title":"“Our country needs a strong leader right now”: Economic inequality enhances the wish for a strong leader","type":"article-journal","volume":"30"},"uris":["http://www.mendeley.com/documents/?uuid=d73985a6-ca55-43a4-8777-41d32ec26804"]}],"mendeley":{"formattedCitation":"(Sprong et al., 2019; Teymoori et al., 2017)","plainTextFormattedCitation":"(Sprong et al., 2019; Teymoori et al., 2017)","previouslyFormattedCitation":"(Sprong et al., 2019; Teymoori et al., 2017)"},"properties":{"noteIndex":0},"schema":"https://github.com/citation-style-language/schema/raw/master/csl-citation.json"}</w:instrText>
      </w:r>
      <w:r w:rsidR="00D72608" w:rsidRPr="002A69A0">
        <w:fldChar w:fldCharType="separate"/>
      </w:r>
      <w:r w:rsidR="00D72608" w:rsidRPr="002A69A0">
        <w:rPr>
          <w:noProof/>
        </w:rPr>
        <w:t>(Sprong et al., 2019; Teymoori et al., 2017)</w:t>
      </w:r>
      <w:r w:rsidR="00D72608" w:rsidRPr="002A69A0">
        <w:fldChar w:fldCharType="end"/>
      </w:r>
      <w:r w:rsidR="00D72608" w:rsidRPr="002A69A0">
        <w:rPr>
          <w:lang w:val="en-GB"/>
        </w:rPr>
        <w:t xml:space="preserve">. </w:t>
      </w:r>
      <w:r w:rsidRPr="00072860">
        <w:rPr>
          <w:lang w:val="en-GB"/>
        </w:rPr>
        <w:t xml:space="preserve">A breakdown in social fabric is characterized by low trust and a perception that there are few shared moral standards among people. Moreover, a breakdown in leadership occurs when leaders are perceived to be illegitimate and ineffective. A breakdown in social fabric </w:t>
      </w:r>
      <w:r w:rsidRPr="00072860">
        <w:rPr>
          <w:i/>
          <w:iCs/>
          <w:lang w:val="en-GB"/>
        </w:rPr>
        <w:t>and</w:t>
      </w:r>
      <w:r w:rsidRPr="00072860">
        <w:rPr>
          <w:lang w:val="en-GB"/>
        </w:rPr>
        <w:t xml:space="preserve"> leadership are critical to achieve a state of anomie, and each fuels the other</w:t>
      </w:r>
      <w:r w:rsidR="00E26296">
        <w:t xml:space="preserve"> </w:t>
      </w:r>
      <w:r w:rsidR="00E26296">
        <w:fldChar w:fldCharType="begin" w:fldLock="1"/>
      </w:r>
      <w:r w:rsidR="0016535D">
        <w:instrText>ADDIN CSL_CITATION {"citationItems":[{"id":"ITEM-1","itemData":{"DOI":"10.1111/pops.12377","ISSN":"14679221","abstract":"Anomie, as defined by sociologists, refers to a state of society characterized by deregulation and erosion of moral values. In the present conceptual analysis, we bring the concept of anomie under a social psychological spotlight. We explore the conditions under which anomie arises and develop a model outlining various responses to anomie. We define anomie as a shared perception of the state of society and propose that two conditions must be met for anomie to emerge. First, a society's social fabric must be perceived to be breaking down (i.e., lack of trust and erosion of moral standards). Second, a society's leadership must be perceived to be breaking down (i.e., lack of legitimacy and effectiveness of leadership). We highlight two key responses of individuals to an anomic situation: a contraction of the personal self and a contraction of the social self. We discuss how a psychology of anomie can inform and advance broader theorizing on group processes.","author":[{"dropping-particle":"","family":"Teymoori","given":"Ali","non-dropping-particle":"","parse-names":false,"suffix":""},{"dropping-particle":"","family":"Bastian","given":"Brock","non-dropping-particle":"","parse-names":false,"suffix":""},{"dropping-particle":"","family":"Jetten","given":"Jolanda","non-dropping-particle":"","parse-names":false,"suffix":""}],"container-title":"Political Psychology","id":"ITEM-1","issue":"6","issued":{"date-parts":[["2017"]]},"page":"1009-1023","title":"Towards a psychological analysis of anomie","type":"article-journal","volume":"38"},"uris":["http://www.mendeley.com/documents/?uuid=ea7cf4cd-1213-4cdd-99c4-bbaa8b787eaa"]}],"mendeley":{"formattedCitation":"(Teymoori et al., 2017)","plainTextFormattedCitation":"(Teymoori et al., 2017)","previouslyFormattedCitation":"(Teymoori et al., 2017)"},"properties":{"noteIndex":0},"schema":"https://github.com/citation-style-language/schema/raw/master/csl-citation.json"}</w:instrText>
      </w:r>
      <w:r w:rsidR="00E26296">
        <w:fldChar w:fldCharType="separate"/>
      </w:r>
      <w:r w:rsidR="00E26296" w:rsidRPr="00E26296">
        <w:rPr>
          <w:noProof/>
        </w:rPr>
        <w:t>(Teymoori et al., 2017)</w:t>
      </w:r>
      <w:r w:rsidR="00E26296">
        <w:fldChar w:fldCharType="end"/>
      </w:r>
      <w:r w:rsidR="00E26296">
        <w:t xml:space="preserve">. </w:t>
      </w:r>
      <w:r w:rsidRPr="00072860">
        <w:t>Anomie, thus, reflects societies with low generalized trust, but it goes beyond this by capturing other perceptions of society (e.g., ineffective leadership and a lack of shared moral standards).</w:t>
      </w:r>
    </w:p>
    <w:p w14:paraId="06A64B0E" w14:textId="77777777" w:rsidR="00072860" w:rsidRDefault="00072860" w:rsidP="00304D67">
      <w:pPr>
        <w:spacing w:line="480" w:lineRule="auto"/>
        <w:ind w:firstLine="720"/>
      </w:pPr>
      <w:r w:rsidRPr="00072860">
        <w:t xml:space="preserve">Both anomie and low generalized trust reflect environments with fractured social ties, and this, in turn, may influence the size of moral circles. Research has found that both high anomie and low generalized trust are linked to reduced concern for entities such as outgroup members. For example, higher generalized trust is related to positive treatment, attitudes, and emotions directed toward minorities </w:t>
      </w:r>
      <w:r w:rsidR="00D72608" w:rsidRPr="00FC1274">
        <w:fldChar w:fldCharType="begin" w:fldLock="1"/>
      </w:r>
      <w:r w:rsidR="00D72608" w:rsidRPr="00FC1274">
        <w:instrText>ADDIN CSL_CITATION {"citationItems":[{"id":"ITEM-1","itemData":{"ISSN":"18046436","abstract":"Objectives. Although numerous studies have examined similarities between political trust and generalized social trust, their differences are unclear. The purpose of this study is to understand unique characteristics of these two forms of trust. Participants and setting. The sample consists of ethnically diverse youth in the Czech Republic, Czechs (n=834), Slovaks (n=82), Ukrainians (n=170), and Roma (n=206), aged from 15 to 28 years (M=21.11; SD=3.50). Participants responded to questionnaires. Hypotheses. Generalized social trust will be more uniquely related to attitudes toward out-group benefits, whereas political trust will be more uniquely related to attitudes toward ingroup benefits. Statistical analysis and results. To examine these hypotheses, a series of regression analyses were employed. Specifically, this study revealed that regardless of ethnic groups and sociodemo-graphic characteristics, generalized social trust (not political trust) was positively related to volunteer participation, which benefits outgroups. Political trust (not generalized social trust) was associated with political behaviors (elec-tion turnouts and following the politics in the media) which are evaluated based on ingroup benefits. This study further demonstrated that excluded ethnic minority’s (i.e., Roma in this study) political trust and majority people’s (i.e., Czechs in this study) generalized social trust were uniquely related to their attitudes towards minority groups (higher support for affirmative action and higher negative emotions towards ethnic discrimination). Study limitations. Limitations of this study are its focus on young people (not older people), the use of a sample which is not representative to the population, and dependence on self-report methods.","author":[{"dropping-particle":"","family":"Umemura","given":"Tomo","non-dropping-particle":"","parse-names":false,"suffix":""}],"container-title":"Ceskoslovenska Psychologie","id":"ITEM-1","issue":"5","issued":{"date-parts":[["2017"]]},"page":"433-448","title":"Attitudes toward ingroups versus outgroups as unique distinctions between political trust and generalized social trust: A study of ethnically diverse youth in the Czech Republic","type":"article-journal","volume":"61"},"uris":["http://www.mendeley.com/documents/?uuid=53c19dad-4eb1-4d64-8197-93eeb53e3efd"]}],"mendeley":{"formattedCitation":"(Umemura, 2017)","plainTextFormattedCitation":"(Umemura, 2017)","previouslyFormattedCitation":"(Umemura, 2017)"},"properties":{"noteIndex":0},"schema":"https://github.com/citation-style-language/schema/raw/master/csl-citation.json"}</w:instrText>
      </w:r>
      <w:r w:rsidR="00D72608" w:rsidRPr="00FC1274">
        <w:fldChar w:fldCharType="separate"/>
      </w:r>
      <w:r w:rsidR="00D72608" w:rsidRPr="00FC1274">
        <w:rPr>
          <w:noProof/>
        </w:rPr>
        <w:t>(Umemura, 2017)</w:t>
      </w:r>
      <w:r w:rsidR="00D72608" w:rsidRPr="00FC1274">
        <w:fldChar w:fldCharType="end"/>
      </w:r>
      <w:r w:rsidR="00D72608" w:rsidRPr="00FC1274">
        <w:t xml:space="preserve">. </w:t>
      </w:r>
      <w:r w:rsidRPr="00072860">
        <w:t xml:space="preserve">Similarly, anomie is thought to result </w:t>
      </w:r>
      <w:r w:rsidRPr="00072860">
        <w:lastRenderedPageBreak/>
        <w:t xml:space="preserve">in a contraction of the social self in response to weaker social ties in the environment, drawing individuals toward smaller, safer groups </w:t>
      </w:r>
      <w:r w:rsidR="00D72608" w:rsidRPr="00FC1274">
        <w:fldChar w:fldCharType="begin" w:fldLock="1"/>
      </w:r>
      <w:r w:rsidR="0016535D">
        <w:instrText>ADDIN CSL_CITATION {"citationItems":[{"id":"ITEM-1","itemData":{"DOI":"10.1111/pops.12377","ISSN":"14679221","abstract":"Anomie, as defined by sociologists, refers to a state of society characterized by deregulation and erosion of moral values. In the present conceptual analysis, we bring the concept of anomie under a social psychological spotlight. We explore the conditions under which anomie arises and develop a model outlining various responses to anomie. We define anomie as a shared perception of the state of society and propose that two conditions must be met for anomie to emerge. First, a society's social fabric must be perceived to be breaking down (i.e., lack of trust and erosion of moral standards). Second, a society's leadership must be perceived to be breaking down (i.e., lack of legitimacy and effectiveness of leadership). We highlight two key responses of individuals to an anomic situation: a contraction of the personal self and a contraction of the social self. We discuss how a psychology of anomie can inform and advance broader theorizing on group processes.","author":[{"dropping-particle":"","family":"Teymoori","given":"Ali","non-dropping-particle":"","parse-names":false,"suffix":""},{"dropping-particle":"","family":"Bastian","given":"Brock","non-dropping-particle":"","parse-names":false,"suffix":""},{"dropping-particle":"","family":"Jetten","given":"Jolanda","non-dropping-particle":"","parse-names":false,"suffix":""}],"container-title":"Political Psychology","id":"ITEM-1","issue":"6","issued":{"date-parts":[["2017"]]},"page":"1009-1023","title":"Towards a psychological analysis of anomie","type":"article-journal","volume":"38"},"uris":["http://www.mendeley.com/documents/?uuid=ea7cf4cd-1213-4cdd-99c4-bbaa8b787eaa"]}],"mendeley":{"formattedCitation":"(Teymoori et al., 2017)","plainTextFormattedCitation":"(Teymoori et al., 2017)","previouslyFormattedCitation":"(Teymoori et al., 2017)"},"properties":{"noteIndex":0},"schema":"https://github.com/citation-style-language/schema/raw/master/csl-citation.json"}</w:instrText>
      </w:r>
      <w:r w:rsidR="00D72608" w:rsidRPr="00FC1274">
        <w:fldChar w:fldCharType="separate"/>
      </w:r>
      <w:r w:rsidR="00D72608" w:rsidRPr="00FC1274">
        <w:rPr>
          <w:noProof/>
        </w:rPr>
        <w:t>(Teymoori et al., 2017)</w:t>
      </w:r>
      <w:r w:rsidR="00D72608" w:rsidRPr="00FC1274">
        <w:fldChar w:fldCharType="end"/>
      </w:r>
      <w:r w:rsidR="00D72608" w:rsidRPr="00FC1274">
        <w:t xml:space="preserve">. </w:t>
      </w:r>
      <w:r w:rsidRPr="00072860">
        <w:t>This can result in tribalism, where a substantial concern for one’s ingroup is coupled with less concern for the outgroup</w:t>
      </w:r>
      <w:r w:rsidR="00D72608" w:rsidRPr="00FC1274">
        <w:t xml:space="preserve"> </w:t>
      </w:r>
      <w:r w:rsidR="00D72608" w:rsidRPr="00FC1274">
        <w:fldChar w:fldCharType="begin" w:fldLock="1"/>
      </w:r>
      <w:r w:rsidR="00B64158">
        <w:instrText>ADDIN CSL_CITATION {"citationItems":[{"id":"ITEM-1","itemData":{"DOI":"10.1177/0539018413517521","ISSN":"14617412","abstract":"This study examines the relation of dimensions of ethnocentrism with socio-structural factors such as socioeconomic status (SES), feelings of anomie, and authoritarianism. Using clustered sampling, 500 students were selected from ten high schools in Ahvaz, Iran. Results of structural equation modeling showed that SES has a direct positive effect on ethnocentrism and an indirect effect through anomie and authoritarianism. Similarly, anomie mediates the effect of SES on authoritarianism. Anomie was found to have an indirect effect on dimensions of ethnocentrism via authoritarianism. Findings confirmed the proposed conceptual path model, which is consistent with findings from other countries. The influence of feelings of anomie in the model is highlighted since it has a very important effect on dimensions of ethnocentrism. © The Author(s) 2014.","author":[{"dropping-particle":"","family":"Heydari","given":"Arash","non-dropping-particle":"","parse-names":false,"suffix":""},{"dropping-particle":"","family":"Teymoori","given":"Ali","non-dropping-particle":"","parse-names":false,"suffix":""},{"dropping-particle":"","family":"Haghish","given":"E. F.","non-dropping-particle":"","parse-names":false,"suffix":""},{"dropping-particle":"","family":"Mohamadi","given":"Behrang","non-dropping-particle":"","parse-names":false,"suffix":""}],"container-title":"Social Science Information","id":"ITEM-1","issue":"2","issued":{"date-parts":[["2014"]]},"page":"240-254","title":"Influential factors on ethnocentrism: The effect of socioeconomic status, anomie, and authoritarianism","type":"article-journal","volume":"53"},"uris":["http://www.mendeley.com/documents/?uuid=93c9462c-e9ff-4a22-8d21-0f74771a34d9"]}],"mendeley":{"formattedCitation":"(Heydari et al., 2014)","plainTextFormattedCitation":"(Heydari et al., 2014)","previouslyFormattedCitation":"(Heydari et al., 2014)"},"properties":{"noteIndex":0},"schema":"https://github.com/citation-style-language/schema/raw/master/csl-citation.json"}</w:instrText>
      </w:r>
      <w:r w:rsidR="00D72608" w:rsidRPr="00FC1274">
        <w:fldChar w:fldCharType="separate"/>
      </w:r>
      <w:r w:rsidR="00D72608" w:rsidRPr="00FC1274">
        <w:rPr>
          <w:noProof/>
        </w:rPr>
        <w:t>(Heydari et al., 2014)</w:t>
      </w:r>
      <w:r w:rsidR="00D72608" w:rsidRPr="00FC1274">
        <w:fldChar w:fldCharType="end"/>
      </w:r>
      <w:r w:rsidR="00D72608" w:rsidRPr="00FC1274">
        <w:t>.</w:t>
      </w:r>
      <w:r w:rsidR="00D72608">
        <w:t xml:space="preserve"> </w:t>
      </w:r>
      <w:r w:rsidRPr="00072860">
        <w:t xml:space="preserve">These findings suggest high anomie and low generalized trust may result in a contraction of our moral world and those deemed worthy of our moral concern. However, weaker social ties do not occur in isolation; they are affected in important ways by societal factors such as economic inequality. </w:t>
      </w:r>
    </w:p>
    <w:p w14:paraId="57AAC7EC" w14:textId="38525B95" w:rsidR="00D72608" w:rsidRDefault="00072860" w:rsidP="00304D67">
      <w:pPr>
        <w:spacing w:line="480" w:lineRule="auto"/>
        <w:ind w:firstLine="720"/>
      </w:pPr>
      <w:r w:rsidRPr="00072860">
        <w:t xml:space="preserve">Economic inequality, where a majority of wealth is concentrated in the hands of a minority of the population, has been linked to the erosion of social ties between individuals </w:t>
      </w:r>
      <w:r w:rsidR="00292128">
        <w:fldChar w:fldCharType="begin" w:fldLock="1"/>
      </w:r>
      <w:r w:rsidR="00292128">
        <w:instrText>ADDIN CSL_CITATION {"citationItems":[{"id":"ITEM-1","itemData":{"author":[{"dropping-particle":"","family":"Wilkinson","given":"Richard G.","non-dropping-particle":"","parse-names":false,"suffix":""},{"dropping-particle":"","family":"Pickett","given":"Kate E.","non-dropping-particle":"","parse-names":false,"suffix":""}],"id":"ITEM-1","issued":{"date-parts":[["2009"]]},"publisher":"Allen Lane","publisher-place":"London","title":"The spirit level: Why more equal societies almost always do better","type":"book"},"uris":["http://www.mendeley.com/documents/?uuid=64240485-094a-4242-a361-b8f9fecbe254"]}],"mendeley":{"formattedCitation":"(Wilkinson &amp; Pickett, 2009)","plainTextFormattedCitation":"(Wilkinson &amp; Pickett, 2009)","previouslyFormattedCitation":"(Wilkinson &amp; Pickett, 2009)"},"properties":{"noteIndex":0},"schema":"https://github.com/citation-style-language/schema/raw/master/csl-citation.json"}</w:instrText>
      </w:r>
      <w:r w:rsidR="00292128">
        <w:fldChar w:fldCharType="separate"/>
      </w:r>
      <w:r w:rsidR="00292128" w:rsidRPr="008623FF">
        <w:rPr>
          <w:noProof/>
        </w:rPr>
        <w:t>(Wilkinson &amp; Pickett, 2009)</w:t>
      </w:r>
      <w:r w:rsidR="00292128">
        <w:fldChar w:fldCharType="end"/>
      </w:r>
      <w:r w:rsidR="00292128">
        <w:t xml:space="preserve">, due in part to greater competition and social comparison </w:t>
      </w:r>
      <w:r w:rsidR="00292128">
        <w:fldChar w:fldCharType="begin" w:fldLock="1"/>
      </w:r>
      <w:r w:rsidR="00292128">
        <w:instrText>ADDIN CSL_CITATION {"citationItems":[{"id":"ITEM-1","itemData":{"DOI":"10.1002/ejsp.2557","ISBN":"1437-7772 (Electronic) 1341-9625 (Linking)","ISSN":"00462772","PMID":"22127347","abstract":"BACKGROUND: We have previously reported that the combination of low-dose (5.9 mg/kg/dose) irinotecan (CPT-11) and simultaneous low-dose (5 mg/kg/dose) celecoxib, a cyclooxygenase-2 inhibitor, administered for 20 consecutive days, had synergistic antitumor activity against human neuroblastoma xenografts in mice. Possible further antitumor efficacy of lower-dose and longer-term CPT-11 combined with simultaneous low-dose celecoxib was investigated for chemosensitive TNB9 and multi-drug resistant TS-N-2nu neuroblastoma xenografts. METHODS: The time from initiation of drug treatment to tumor regrowth, tumor doubling time, and body weight change of mice were evaluated between treatments with lower-dose (3 mg/kg/dose) CPT-11 alone and the combination of the two drugs for 60 consecutive days. Induction of apoptosis and autophagy during treatments were analyzed by immunoblotting, real-time quantitative RT-PCR, TUNEL assay, and immunohistochemistry. RESULTS: The combination of the two drugs administered for 60 consecutive days resulted in a significantly longer time to tumor regrowth (p &lt; 0.011) and longer tumor doubling time (p &lt; 0.013) in both xenografts than for the lower-dose CPT-11 therapy alone, without substantial side effects in mice. In particular, five of six TNB9 tumors treated with the combination of the two drugs showed no regrowth even 120 or 150 days after the initiation of therapy. The combined treatment suppressed the induction of autophagy leading to apoptosis in TNB9 tumors, and induced autophagy to enhance the antitumor effect in TS-N-2nu tumors. CONCLUSION: Our findings demonstrate that lower-dose and longer-term CPT-11 treatment in combination with simultaneous low-dose celecoxib enhances antitumor activity and can successfully eradicate most of the neuroblastoma xenografts.","author":[{"dropping-particle":"","family":"Sánchez-Rodríguez","given":"Ángel","non-dropping-particle":"","parse-names":false,"suffix":""},{"dropping-particle":"","family":"Willis","given":"Guillermo B.","non-dropping-particle":"","parse-names":false,"suffix":""},{"dropping-particle":"","family":"Jetten","given":"Jolanda","non-dropping-particle":"","parse-names":false,"suffix":""},{"dropping-particle":"","family":"Rodríguez-Bailón","given":"Rosa","non-dropping-particle":"","parse-names":false,"suffix":""}],"container-title":"European Journal of Social Psychology","id":"ITEM-1","issue":"6","issued":{"date-parts":[["2018"]]},"page":"1114-1127","title":"Economic inequality enhances inferences that the normative climate is individualistic and competitive","type":"article-journal","volume":"49"},"uris":["http://www.mendeley.com/documents/?uuid=301a53a1-0ca6-4500-ae74-66f0d8cc3eb8"]},{"id":"ITEM-2","itemData":{"DOI":"10.1016/j.copsyc.2017.05.011","ISSN":"2352250X","abstract":"Even though there is growing awareness that economic inequality is harmful for people's health, the way that such inequality affects social behavior and political attitudes remains poorly understood. Moving beyond a focus on the health and well-being costs of income inequality, we review research that examines how economic inequality shapes dynamics between groups within societies, addressing the questions why, when, and for whom inequality affects social behavior and political attitudes. On the basis of classic social identity theorizing, we develop five hypotheses that focus on the way inequality shapes the fit of wealth categorizations (H1), intergroup relations (H2), and stereotypes about wealth groups (H3). We also theorize how the effects of inequality are moderated by socio-structural conditions (H4) and socio-economic status (H5). Together, these hypotheses provide a theoretically informed account of the way in which inequality undermines the social fabric of society and negatively affects citizen's social and political behavior.","author":[{"dropping-particle":"","family":"Jetten","given":"Jolanda","non-dropping-particle":"","parse-names":false,"suffix":""},{"dropping-particle":"","family":"Wang","given":"Zhechen","non-dropping-particle":"","parse-names":false,"suffix":""},{"dropping-particle":"","family":"Steffens","given":"Niklas K.","non-dropping-particle":"","parse-names":false,"suffix":""},{"dropping-particle":"","family":"Mols","given":"Frank","non-dropping-particle":"","parse-names":false,"suffix":""},{"dropping-particle":"","family":"Peters","given":"Kim","non-dropping-particle":"","parse-names":false,"suffix":""},{"dropping-particle":"","family":"Verkuyten","given":"Maykel","non-dropping-particle":"","parse-names":false,"suffix":""}],"container-title":"Current Opinion in Psychology","id":"ITEM-2","issued":{"date-parts":[["2017"]]},"page":"1-5","publisher":"Elsevier Ltd","title":"A social identity analysis of responses to economic inequality","type":"article-journal","volume":"18"},"uris":["http://www.mendeley.com/documents/?uuid=b647755f-4aa9-4583-9f3e-bf8542962978"]}],"mendeley":{"formattedCitation":"(Jetten et al., 2017; Sánchez-Rodríguez et al., 2018)","plainTextFormattedCitation":"(Jetten et al., 2017; Sánchez-Rodríguez et al., 2018)","previouslyFormattedCitation":"(Jetten et al., 2017; Sánchez-Rodríguez et al., 2018)"},"properties":{"noteIndex":0},"schema":"https://github.com/citation-style-language/schema/raw/master/csl-citation.json"}</w:instrText>
      </w:r>
      <w:r w:rsidR="00292128">
        <w:fldChar w:fldCharType="separate"/>
      </w:r>
      <w:r w:rsidR="00292128" w:rsidRPr="0016535D">
        <w:rPr>
          <w:noProof/>
        </w:rPr>
        <w:t>(Jetten et al., 2017; Sánchez-Rodríguez et al., 2018)</w:t>
      </w:r>
      <w:r w:rsidR="00292128">
        <w:fldChar w:fldCharType="end"/>
      </w:r>
      <w:r w:rsidR="00292128">
        <w:t xml:space="preserve">. </w:t>
      </w:r>
      <w:r w:rsidRPr="00072860">
        <w:t xml:space="preserve">To date, numerous studies have charted a robust link between high economic inequality and reduced generalized trust </w:t>
      </w:r>
      <w:r w:rsidR="00292128">
        <w:fldChar w:fldCharType="begin" w:fldLock="1"/>
      </w:r>
      <w:r w:rsidR="00292128">
        <w:instrText>ADDIN CSL_CITATION {"citationItems":[{"id":"ITEM-1","itemData":{"DOI":"10.1177/1532673X04271903","ISSN":"1532673X","abstract":"This article examines why people violate rationality and take part in their communities, differentiating by types of participation, particularly political versus other, more communal types of participation. The authors argue that trust plays an important role in participation levels, but contrary to more traditional models, the causal relationship runs from trust to participation. In addition, the authors posit that trust is strongly affected by economic inequality. Using aggregated American state-level data for the 1970s, 1980s, and 1990s, the authors present a series of two-stage least squares models on the effects of inequality and trust on participation, controlling for other related factors. Findings indicate that inequality is the strongest determinant of trust and that trust has a greater effect on communal participation than on political participation. © 2005 Sage Publications.","author":[{"dropping-particle":"","family":"Uslaner","given":"Eric M.","non-dropping-particle":"","parse-names":false,"suffix":""},{"dropping-particle":"","family":"Brown","given":"Mitchell","non-dropping-particle":"","parse-names":false,"suffix":""}],"container-title":"American Politics Research","id":"ITEM-1","issue":"6","issued":{"date-parts":[["2005"]]},"page":"868-894","title":"Inequality, trust, and civic engagement","type":"article-journal","volume":"33"},"uris":["http://www.mendeley.com/documents/?uuid=d155ecbc-a43d-4483-a122-3fe760ef47ab"]},{"id":"ITEM-2","itemData":{"DOI":"10.2105/AJPH.2009.189134","ISBN":"0090-0036","ISSN":"00900036","PMID":"20864707","abstract":"OBJECTIVES: I examined the association between income inequality and population health and tested whether this association was mediated by interpersonal trust or public expenditures on health. METHODS: Individual data on trust were collected from 48 641 adults in 33 countries. These data were linked to country data on income inequality, public health expenditures, healthy life expectancy, and adult mortality. Regression analyses tested for statistical mediation of the association between income inequality and population health outcomes by country differences in trust and health expenditures. RESULTS: Income inequality correlated with country differences in trust (r = -0.51), health expenditures (r = -0.45), life expectancy (r = -0.74), and mortality (r = 0.55). Trust correlated with life expectancy (r = 0.48) and mortality (r = -0.47) and partly mediated their relations to income inequality. Health expenditures did not correlate with life expectancy and mortality, and health expenditures did not mediate links between inequality and health. CONCLUSIONS: Income inequality might contribute to short life expectancy and adult mortality in part because of societal differences in trust. Societies with low levels of trust may lack the capacity to create the kind of social supports and connections that promote health and successful aging.","author":[{"dropping-particle":"","family":"Elgar","given":"Frank J.","non-dropping-particle":"","parse-names":false,"suffix":""}],"container-title":"American Journal of Public Health","id":"ITEM-2","issue":"11","issued":{"date-parts":[["2010"]]},"page":"2311-2315","title":"Income inequality, trust, and population health in 33 countries","type":"article-journal","volume":"100"},"uris":["http://www.mendeley.com/documents/?uuid=53989119-cef3-4153-9bad-43648cdf6a1b"]},{"id":"ITEM-3","itemData":{"DOI":"10.1177/0956797611417262","ISSN":"14679280","abstract":"Using General Social Survey data from 1972 to 2008, we found that Americans were on average happier in the years with less national income inequality than in the years with more national income inequality. We further demonstrated that this inverse relation between income inequality and happiness was explained by perceived fairness and general trust. That is, Americans trusted other people less and perceived other people to be less fair in the years with more national income inequality than in the years with less national income inequality. The negative association between income inequality and happiness held for lower-income respondents, but not for higher-income respondents. Most important, we found that the negative link between income inequality and the happiness of lower-income respondents was explained not by lower household income, but by perceived unfairness and lack of trust. © The Author(s) 2011.","author":[{"dropping-particle":"","family":"Oishi","given":"Shigehiro","non-dropping-particle":"","parse-names":false,"suffix":""},{"dropping-particle":"","family":"Kesebir","given":"Selin","non-dropping-particle":"","parse-names":false,"suffix":""},{"dropping-particle":"","family":"Diener","given":"Ed","non-dropping-particle":"","parse-names":false,"suffix":""}],"container-title":"Psychological Science","id":"ITEM-3","issue":"9","issued":{"date-parts":[["2011"]]},"page":"1095-1100","title":"Income inequality and happiness","type":"article-journal","volume":"22"},"uris":["http://www.mendeley.com/documents/?uuid=07031fb6-e25f-4ee8-96e6-6c5fe2a0a4b1"]}],"mendeley":{"formattedCitation":"(Elgar, 2010; Oishi et al., 2011; Uslaner &amp; Brown, 2005)","manualFormatting":"(e.g., Elgar, 2010; Oishi et al., 2011; Uslaner &amp; Brown, 2005)","plainTextFormattedCitation":"(Elgar, 2010; Oishi et al., 2011; Uslaner &amp; Brown, 2005)","previouslyFormattedCitation":"(Elgar, 2010; Oishi et al., 2011; Uslaner &amp; Brown, 2005)"},"properties":{"noteIndex":0},"schema":"https://github.com/citation-style-language/schema/raw/master/csl-citation.json"}</w:instrText>
      </w:r>
      <w:r w:rsidR="00292128">
        <w:fldChar w:fldCharType="separate"/>
      </w:r>
      <w:r w:rsidR="00292128" w:rsidRPr="008623FF">
        <w:rPr>
          <w:noProof/>
        </w:rPr>
        <w:t>(</w:t>
      </w:r>
      <w:r w:rsidR="00292128">
        <w:rPr>
          <w:noProof/>
        </w:rPr>
        <w:t xml:space="preserve">e.g., </w:t>
      </w:r>
      <w:r w:rsidR="00292128" w:rsidRPr="008623FF">
        <w:rPr>
          <w:noProof/>
        </w:rPr>
        <w:t>Elgar, 2010; Oishi et al., 2011; Uslaner &amp; Brown, 2005)</w:t>
      </w:r>
      <w:r w:rsidR="00292128">
        <w:fldChar w:fldCharType="end"/>
      </w:r>
      <w:r w:rsidR="00292128">
        <w:t xml:space="preserve">. </w:t>
      </w:r>
      <w:r w:rsidRPr="00072860">
        <w:t xml:space="preserve">Recent work has also found that high inequality enhances perceptions of anomie </w:t>
      </w:r>
      <w:r w:rsidR="00292128">
        <w:fldChar w:fldCharType="begin" w:fldLock="1"/>
      </w:r>
      <w:r w:rsidR="00292128">
        <w:instrText>ADDIN CSL_CITATION {"citationItems":[{"id":"ITEM-1","itemData":{"DOI":"10.1177/0956797619875472","ISSN":"14679280","PMID":"31566081","abstract":"Societal inequality has been found to harm the mental and physical health of its members and undermine overall social cohesion. Here, we tested the hypothesis that economic inequality is associated with a wish for a strong leader in a study involving 28 countries from five continents (Study 1, N = 6,112), a study involving an Australian community sample (Study 2, N = 515), and two experiments (Study 3a, N = 96; Study 3b, N = 296). We found correlational (Studies 1 and 2) and experimental (Studies 3a and 3b) evidence for our prediction that higher inequality enhances the wish for a strong leader. We also found that this relationship is mediated by perceptions of anomie, except in the case of objective inequality in Study 1. This suggests that societal inequality enhances the perception that society is breaking down (anomie) and that a strong leader is needed to restore order (even when that leader is willing to challenge democratic values).","author":[{"dropping-particle":"","family":"Sprong","given":"Stefanie","non-dropping-particle":"","parse-names":false,"suffix":""},{"dropping-particle":"","family":"Jetten","given":"Jolanda","non-dropping-particle":"","parse-names":false,"suffix":""},{"dropping-particle":"","family":"Wang","given":"Zhechen","non-dropping-particle":"","parse-names":false,"suffix":""},{"dropping-particle":"","family":"Peters","given":"Kim","non-dropping-particle":"","parse-names":false,"suffix":""},{"dropping-particle":"","family":"Mols","given":"Frank","non-dropping-particle":"","parse-names":false,"suffix":""},{"dropping-particle":"","family":"Verkuyten","given":"Maykel","non-dropping-particle":"","parse-names":false,"suffix":""},{"dropping-particle":"","family":"Bastian","given":"Brock","non-dropping-particle":"","parse-names":false,"suffix":""},{"dropping-particle":"","family":"Ariyanto","given":"Amarina","non-dropping-particle":"","parse-names":false,"suffix":""},{"dropping-particle":"","family":"Autin","given":"Frédérique","non-dropping-particle":"","parse-names":false,"suffix":""},{"dropping-particle":"","family":"Ayub","given":"Nadia","non-dropping-particle":"","parse-names":false,"suffix":""},{"dropping-particle":"","family":"Badea","given":"Constantina","non-dropping-particle":"","parse-names":false,"suffix":""},{"dropping-particle":"","family":"Besta","given":"Tomasz","non-dropping-particle":"","parse-names":false,"suffix":""},{"dropping-particle":"","family":"Butera","given":"Fabrizio","non-dropping-particle":"","parse-names":false,"suffix":""},{"dropping-particle":"","family":"Costa-Lopes","given":"Rui","non-dropping-particle":"","parse-names":false,"suffix":""},{"dropping-particle":"","family":"Cui","given":"Lijuan","non-dropping-particle":"","parse-names":false,"suffix":""},{"dropping-particle":"","family":"Fantini","given":"Carole","non-dropping-particle":"","parse-names":false,"suffix":""},{"dropping-particle":"","family":"Finchilescu","given":"Gillian","non-dropping-particle":"","parse-names":false,"suffix":""},{"dropping-particle":"","family":"Gaertner","given":"Lowell","non-dropping-particle":"","parse-names":false,"suffix":""},{"dropping-particle":"","family":"Gollwitzer","given":"Mario","non-dropping-particle":"","parse-names":false,"suffix":""},{"dropping-particle":"","family":"Gómez","given":"Ángel","non-dropping-particle":"","parse-names":false,"suffix":""},{"dropping-particle":"","family":"González","given":"Roberto","non-dropping-particle":"","parse-names":false,"suffix":""},{"dropping-particle":"","family":"Hong","given":"Ying Yi","non-dropping-particle":"","parse-names":false,"suffix":""},{"dropping-particle":"","family":"Jensen","given":"Dorthe Høj","non-dropping-particle":"","parse-names":false,"suffix":""},{"dropping-particle":"","family":"Jasinskaja-Lahti","given":"Inga","non-dropping-particle":"","parse-names":false,"suffix":""},{"dropping-particle":"","family":"Karasawa","given":"Minoru","non-dropping-particle":"","parse-names":false,"suffix":""},{"dropping-particle":"","family":"Kessler","given":"Thomas","non-dropping-particle":"","parse-names":false,"suffix":""},{"dropping-particle":"","family":"Klein","given":"Olivier","non-dropping-particle":"","parse-names":false,"suffix":""},{"dropping-particle":"","family":"Lima","given":"Marcus","non-dropping-particle":"","parse-names":false,"suffix":""},{"dropping-particle":"","family":"Mégevand","given":"Laura","non-dropping-particle":"","parse-names":false,"suffix":""},{"dropping-particle":"","family":"Morton","given":"Thomas","non-dropping-particle":"","parse-names":false,"suffix":""},{"dropping-particle":"","family":"Paladino","given":"Paola","non-dropping-particle":"","parse-names":false,"suffix":""},{"dropping-particle":"","family":"Polya","given":"Tibor","non-dropping-particle":"","parse-names":false,"suffix":""},{"dropping-particle":"","family":"Renvik","given":"Tuuli Anna","non-dropping-particle":"","parse-names":false,"suffix":""},{"dropping-particle":"","family":"Ruza","given":"Aleksejs","non-dropping-particle":"","parse-names":false,"suffix":""},{"dropping-particle":"","family":"Shahrazad","given":"Wan","non-dropping-particle":"","parse-names":false,"suffix":""},{"dropping-particle":"","family":"Shama","given":"Sushama","non-dropping-particle":"","parse-names":false,"suffix":""},{"dropping-particle":"","family":"Smith","given":"Heather J.","non-dropping-particle":"","parse-names":false,"suffix":""},{"dropping-particle":"","family":"Torres","given":"Ana Raquel","non-dropping-particle":"","parse-names":false,"suffix":""},{"dropping-particle":"","family":"Bles","given":"Anne Marthe","non-dropping-particle":"van der","parse-names":false,"suffix":""},{"dropping-particle":"","family":"Wohl","given":"Michael J.A.","non-dropping-particle":"","parse-names":false,"suffix":""}],"container-title":"Psychological Science","id":"ITEM-1","issue":"11","issued":{"date-parts":[["2019"]]},"page":"1625-1637","title":"“Our country needs a strong leader right now”: Economic inequality enhances the wish for a strong leader","type":"article-journal","volume":"30"},"uris":["http://www.mendeley.com/documents/?uuid=d73985a6-ca55-43a4-8777-41d32ec26804"]}],"mendeley":{"formattedCitation":"(Sprong et al., 2019)","plainTextFormattedCitation":"(Sprong et al., 2019)","previouslyFormattedCitation":"(Sprong et al., 2019)"},"properties":{"noteIndex":0},"schema":"https://github.com/citation-style-language/schema/raw/master/csl-citation.json"}</w:instrText>
      </w:r>
      <w:r w:rsidR="00292128">
        <w:fldChar w:fldCharType="separate"/>
      </w:r>
      <w:r w:rsidR="00292128" w:rsidRPr="008623FF">
        <w:rPr>
          <w:noProof/>
        </w:rPr>
        <w:t>(Sprong et al., 2019)</w:t>
      </w:r>
      <w:r w:rsidR="00292128">
        <w:fldChar w:fldCharType="end"/>
      </w:r>
      <w:r w:rsidR="00292128">
        <w:t xml:space="preserve">. </w:t>
      </w:r>
      <w:r w:rsidRPr="00072860">
        <w:t>Thus, economic inequality may be linked to more contracted moral circles, and this relationship may be explained by a reduction in generalized trust and an increase in perceptions of anomie.</w:t>
      </w:r>
    </w:p>
    <w:p w14:paraId="60F97169" w14:textId="77E59E3E" w:rsidR="008A1A9F" w:rsidRPr="008A1A9F" w:rsidRDefault="008A1A9F" w:rsidP="008A1A9F">
      <w:pPr>
        <w:spacing w:line="480" w:lineRule="auto"/>
        <w:rPr>
          <w:b/>
          <w:bCs/>
        </w:rPr>
      </w:pPr>
      <w:r w:rsidRPr="008A1A9F">
        <w:rPr>
          <w:b/>
          <w:bCs/>
        </w:rPr>
        <w:t xml:space="preserve">The Current Study </w:t>
      </w:r>
    </w:p>
    <w:p w14:paraId="4D3953CC" w14:textId="77777777" w:rsidR="00072860" w:rsidRDefault="00072860" w:rsidP="00072860">
      <w:pPr>
        <w:spacing w:line="480" w:lineRule="auto"/>
        <w:ind w:firstLine="720"/>
      </w:pPr>
      <w:r w:rsidRPr="00072860">
        <w:t xml:space="preserve">The current study aims to examine the relationship between the strength of social ties (i.e., generalized trust and perceptions of anomie) and the expansion of moral concern in a large, cross-national dataset. We also aim to examine whether the broader societal factor of economic inequality is linked to reduced moral expansiveness. Specifically, we hypothesized that high inequality will be related to smaller moral circles, and this relationship will be mediated by both low generalized trust and greater perceptions of anomie. </w:t>
      </w:r>
    </w:p>
    <w:p w14:paraId="4190F8A9" w14:textId="537BBE1D" w:rsidR="0040625A" w:rsidRPr="0040625A" w:rsidRDefault="0040625A" w:rsidP="0040625A">
      <w:pPr>
        <w:spacing w:line="480" w:lineRule="auto"/>
        <w:jc w:val="center"/>
        <w:rPr>
          <w:b/>
          <w:bCs/>
        </w:rPr>
      </w:pPr>
      <w:r w:rsidRPr="0040625A">
        <w:rPr>
          <w:b/>
          <w:bCs/>
        </w:rPr>
        <w:t>Method</w:t>
      </w:r>
    </w:p>
    <w:p w14:paraId="00273038" w14:textId="35336530" w:rsidR="00072860" w:rsidRDefault="00072860" w:rsidP="0040625A">
      <w:pPr>
        <w:spacing w:line="480" w:lineRule="auto"/>
      </w:pPr>
      <w:r w:rsidRPr="00072860">
        <w:lastRenderedPageBreak/>
        <w:t xml:space="preserve">The current study drew on data from an existing multinational dataset. Hypotheses were preregistered prior to </w:t>
      </w:r>
      <w:proofErr w:type="spellStart"/>
      <w:r w:rsidRPr="00072860">
        <w:t>analyzing</w:t>
      </w:r>
      <w:proofErr w:type="spellEnd"/>
      <w:r w:rsidRPr="00072860">
        <w:t xml:space="preserve"> the data and the analysis code has been placed on the Open Science Framework (</w:t>
      </w:r>
      <w:hyperlink r:id="rId8" w:history="1">
        <w:r w:rsidRPr="00C22B45">
          <w:rPr>
            <w:rStyle w:val="Hyperlink"/>
          </w:rPr>
          <w:t>https://osf.io/jzpba/?view_only=7c096b2f1c674a90b07944e1839ec61e</w:t>
        </w:r>
      </w:hyperlink>
      <w:r w:rsidRPr="00072860">
        <w:t>).</w:t>
      </w:r>
      <w:r>
        <w:t xml:space="preserve"> </w:t>
      </w:r>
      <w:r w:rsidRPr="00072860">
        <w:t xml:space="preserve">Data will be available upon request by contacting the corresponding author via email. See Supplementary Materials 1 for departures from preregistration. </w:t>
      </w:r>
    </w:p>
    <w:p w14:paraId="33BB0BA1" w14:textId="72A35CAC" w:rsidR="0040625A" w:rsidRDefault="0040625A" w:rsidP="0040625A">
      <w:pPr>
        <w:spacing w:line="480" w:lineRule="auto"/>
        <w:rPr>
          <w:b/>
          <w:bCs/>
        </w:rPr>
      </w:pPr>
      <w:r w:rsidRPr="0040625A">
        <w:rPr>
          <w:b/>
          <w:bCs/>
        </w:rPr>
        <w:t>Participants</w:t>
      </w:r>
    </w:p>
    <w:p w14:paraId="6CB811B9" w14:textId="77777777" w:rsidR="00072860" w:rsidRDefault="00072860" w:rsidP="00072860">
      <w:pPr>
        <w:spacing w:line="480" w:lineRule="auto"/>
        <w:ind w:firstLine="720"/>
      </w:pPr>
      <w:r w:rsidRPr="00072860">
        <w:t xml:space="preserve">Data were collected between 2018 and 2019. Participants were recruited from 41 universities spanning 36 countries: Australia, Belgium, Brazil, Canada (English-speaking), Canada (French-speaking), Chile, China, Colombia, Costa Rica, England, Estonia, France, Germany, Hong Kong, Italy, Japan, Latvia, Macedonia, Malaysia, Netherlands, New Zealand, Nigeria, Northern Ireland, Pakistan, Peru, Philippines, Poland, Portugal, Scotland, Singapore, Slovakia, South Africa, South Korea, Spain, Thailand, Turkey, Uganda, Ukraine, United States (North), United States (South) and Wales. In total, 6,665 participants (M = 21.59 years, SD = 5.72 years) completed the questionnaire and approximately 63% of participants identified as female. See Supplementary Materials 2 for information regarding sample size, data exclusion, and data collection. </w:t>
      </w:r>
    </w:p>
    <w:p w14:paraId="52348550" w14:textId="0282BDCD" w:rsidR="0040625A" w:rsidRDefault="0040625A" w:rsidP="0040625A">
      <w:pPr>
        <w:spacing w:line="480" w:lineRule="auto"/>
        <w:rPr>
          <w:b/>
          <w:bCs/>
        </w:rPr>
      </w:pPr>
      <w:r>
        <w:rPr>
          <w:b/>
          <w:bCs/>
        </w:rPr>
        <w:t>Measures</w:t>
      </w:r>
    </w:p>
    <w:p w14:paraId="1463B0D1" w14:textId="4A626EB8" w:rsidR="00303E2E" w:rsidRDefault="00303E2E" w:rsidP="0040625A">
      <w:pPr>
        <w:spacing w:line="480" w:lineRule="auto"/>
      </w:pPr>
      <w:r>
        <w:tab/>
      </w:r>
      <w:r w:rsidR="00072860" w:rsidRPr="00072860">
        <w:t>The individual measures included in the current study were taken from a larger multinational survey (Supplementary Materials 3), and country-level measures were taken from existing online databases (Supplementary Materials 4).</w:t>
      </w:r>
    </w:p>
    <w:p w14:paraId="51E1B29F" w14:textId="270C57C1" w:rsidR="0088300C" w:rsidRDefault="0088300C" w:rsidP="00072860">
      <w:pPr>
        <w:spacing w:line="480" w:lineRule="auto"/>
        <w:ind w:firstLine="720"/>
      </w:pPr>
      <w:r w:rsidRPr="008B0B04">
        <w:rPr>
          <w:b/>
          <w:bCs/>
        </w:rPr>
        <w:t>Moral Expansiveness Scale.</w:t>
      </w:r>
      <w:r>
        <w:rPr>
          <w:b/>
          <w:bCs/>
        </w:rPr>
        <w:t xml:space="preserve"> </w:t>
      </w:r>
      <w:r w:rsidR="00072860" w:rsidRPr="00072860">
        <w:t xml:space="preserve">Participants were shown an image of concentric circles and they were informed that each circle represents the amount of moral concern they have for a particular entity </w:t>
      </w:r>
      <w:r>
        <w:t xml:space="preserve">(see Figure 1; </w:t>
      </w:r>
      <w:r>
        <w:fldChar w:fldCharType="begin" w:fldLock="1"/>
      </w:r>
      <w:r>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world","type":"article-journal","volume":"111"},"uris":["http://www.mendeley.com/documents/?uuid=28916110-d677-4bc1-ba17-de2fe5b04886"]}],"mendeley":{"formattedCitation":"(Crimston et al., 2016)","manualFormatting":"Crimston et al., 2016)","plainTextFormattedCitation":"(Crimston et al., 2016)","previouslyFormattedCitation":"(Crimston et al., 2016)"},"properties":{"noteIndex":0},"schema":"https://github.com/citation-style-language/schema/raw/master/csl-citation.json"}</w:instrText>
      </w:r>
      <w:r>
        <w:fldChar w:fldCharType="separate"/>
      </w:r>
      <w:r w:rsidRPr="0017545D">
        <w:rPr>
          <w:noProof/>
        </w:rPr>
        <w:t>Crimston et al., 2016)</w:t>
      </w:r>
      <w:r>
        <w:fldChar w:fldCharType="end"/>
      </w:r>
      <w:r>
        <w:t xml:space="preserve">. </w:t>
      </w:r>
      <w:r w:rsidR="00072860" w:rsidRPr="00072860">
        <w:t xml:space="preserve">Using this circle, participants were asked to indicate how much moral concern they have for 30 entities, grouped into 10 categories: family/friends, in-group members, revered members of society, stigmatized </w:t>
      </w:r>
      <w:r w:rsidR="00072860" w:rsidRPr="00072860">
        <w:lastRenderedPageBreak/>
        <w:t>individuals, out-group members, villains, high sentient animals, low sentient animals, the environment, and plants. Responses to each entity were coded as: (3) the inner circle of moral concern, (2) the outer circle of moral concern, (1) the fringes of moral concern and (0) outside the moral boundary. The score of each of the 30 entities was summed to achieve an MES score between (0) least morally expansive and (90) most morally expansive (α = .92). Additional information about the psychometric information for our scales as well as the nomological network for the MES can be seen in Supplementary Materials 6 and 7, respectively. Likewise, details of measurement invariance for our scales can be found in</w:t>
      </w:r>
      <w:r w:rsidR="00072860">
        <w:t xml:space="preserve"> </w:t>
      </w:r>
      <w:r w:rsidR="00072860" w:rsidRPr="00072860">
        <w:t>Supplementary Materials 8.</w:t>
      </w:r>
      <w:r w:rsidR="00072860" w:rsidRPr="00072860">
        <w:rPr>
          <w:noProof/>
          <w:lang w:eastAsia="en-AU"/>
        </w:rPr>
        <w:t xml:space="preserve"> </w:t>
      </w:r>
    </w:p>
    <w:p w14:paraId="04476839" w14:textId="1F8F4468" w:rsidR="00072860" w:rsidRDefault="00072860" w:rsidP="0040625A">
      <w:pPr>
        <w:spacing w:line="480" w:lineRule="auto"/>
        <w:rPr>
          <w:i/>
          <w:iCs/>
        </w:rPr>
      </w:pPr>
      <w:r w:rsidRPr="00D95DEF">
        <w:rPr>
          <w:noProof/>
          <w:lang w:eastAsia="en-AU"/>
        </w:rPr>
        <w:drawing>
          <wp:inline distT="0" distB="0" distL="0" distR="0" wp14:anchorId="56401396" wp14:editId="733C381B">
            <wp:extent cx="2976245" cy="3152775"/>
            <wp:effectExtent l="0" t="0" r="0" b="0"/>
            <wp:docPr id="1" name="Picture 1" descr="C:\Users\Daniel\Documents\UQ\PhD 25.02.14\Individual Difference Study\Random\New folder\MC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Documents\UQ\PhD 25.02.14\Individual Difference Study\Random\New folder\MC Diagr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6245" cy="3152775"/>
                    </a:xfrm>
                    <a:prstGeom prst="rect">
                      <a:avLst/>
                    </a:prstGeom>
                    <a:noFill/>
                    <a:ln>
                      <a:noFill/>
                    </a:ln>
                  </pic:spPr>
                </pic:pic>
              </a:graphicData>
            </a:graphic>
          </wp:inline>
        </w:drawing>
      </w:r>
    </w:p>
    <w:p w14:paraId="29214E55" w14:textId="309CA3DF" w:rsidR="0088300C" w:rsidRPr="00303E2E" w:rsidRDefault="0088300C" w:rsidP="0040625A">
      <w:pPr>
        <w:spacing w:line="480" w:lineRule="auto"/>
      </w:pPr>
      <w:r w:rsidRPr="00781424">
        <w:rPr>
          <w:i/>
          <w:iCs/>
        </w:rPr>
        <w:t>Figure 1.</w:t>
      </w:r>
      <w:r>
        <w:t xml:space="preserve"> Image shown to participants for the MES.  </w:t>
      </w:r>
    </w:p>
    <w:p w14:paraId="730CBDB5" w14:textId="1DA023E5" w:rsidR="00F20058" w:rsidRPr="00F20058" w:rsidRDefault="000E13E0" w:rsidP="00624434">
      <w:pPr>
        <w:spacing w:line="480" w:lineRule="auto"/>
        <w:ind w:firstLine="720"/>
      </w:pPr>
      <w:r w:rsidRPr="006A5339">
        <w:rPr>
          <w:b/>
          <w:bCs/>
        </w:rPr>
        <w:t xml:space="preserve">Economic inequality. </w:t>
      </w:r>
      <w:r w:rsidR="00072860" w:rsidRPr="00072860">
        <w:t>We measured inequality in three different ways: Gini coefficient (country-level), perceived Gini coefficient (individual-level), and perceived wealth gap between the rich and poor (individual-level). We first examined the effect of country-level inequality with the Gini coefficient from the World Bank</w:t>
      </w:r>
      <w:r w:rsidR="00072860">
        <w:t xml:space="preserve"> </w:t>
      </w:r>
      <w:r w:rsidR="005F0CB8">
        <w:rPr>
          <w:rFonts w:eastAsia="Calibri"/>
          <w:lang w:val="en-GB"/>
        </w:rPr>
        <w:fldChar w:fldCharType="begin" w:fldLock="1"/>
      </w:r>
      <w:r w:rsidR="005F0CB8">
        <w:rPr>
          <w:rFonts w:eastAsia="Calibri"/>
          <w:lang w:val="en-GB"/>
        </w:rPr>
        <w:instrText>ADDIN CSL_CITATION {"citationItems":[{"id":"ITEM-1","itemData":{"URL":"https://data.worldbank.org/indicator/SI.POV.GINI","accessed":{"date-parts":[["2020","8","25"]]},"author":[{"dropping-particle":"","family":"The World Bank","given":"","non-dropping-particle":"","parse-names":false,"suffix":""}],"id":"ITEM-1","issued":{"date-parts":[["2019"]]},"title":"Gini index (World Bank estimate)","type":"webpage"},"uris":["http://www.mendeley.com/documents/?uuid=68204ab8-20fb-4393-a6f0-fbd3cba20772"]}],"mendeley":{"formattedCitation":"(The World Bank, 2019b)","plainTextFormattedCitation":"(The World Bank, 2019b)","previouslyFormattedCitation":"(The World Bank, 2019b)"},"properties":{"noteIndex":0},"schema":"https://github.com/citation-style-language/schema/raw/master/csl-citation.json"}</w:instrText>
      </w:r>
      <w:r w:rsidR="005F0CB8">
        <w:rPr>
          <w:rFonts w:eastAsia="Calibri"/>
          <w:lang w:val="en-GB"/>
        </w:rPr>
        <w:fldChar w:fldCharType="separate"/>
      </w:r>
      <w:r w:rsidR="005F0CB8" w:rsidRPr="00883911">
        <w:rPr>
          <w:rFonts w:eastAsia="Calibri"/>
          <w:noProof/>
          <w:lang w:val="en-GB"/>
        </w:rPr>
        <w:t>(The World Bank, 2019b)</w:t>
      </w:r>
      <w:r w:rsidR="005F0CB8">
        <w:rPr>
          <w:rFonts w:eastAsia="Calibri"/>
          <w:lang w:val="en-GB"/>
        </w:rPr>
        <w:fldChar w:fldCharType="end"/>
      </w:r>
      <w:r w:rsidR="00F20058">
        <w:rPr>
          <w:rFonts w:eastAsia="Calibri"/>
          <w:lang w:val="en-GB"/>
        </w:rPr>
        <w:t xml:space="preserve">. </w:t>
      </w:r>
      <w:r w:rsidR="00072860" w:rsidRPr="00072860">
        <w:rPr>
          <w:rFonts w:eastAsia="Calibri"/>
          <w:lang w:val="en-GB"/>
        </w:rPr>
        <w:t xml:space="preserve">The Gini coefficient measures the degree to which wealth is evenly or unevenly </w:t>
      </w:r>
      <w:r w:rsidR="00072860" w:rsidRPr="00072860">
        <w:rPr>
          <w:rFonts w:eastAsia="Calibri"/>
          <w:lang w:val="en-GB"/>
        </w:rPr>
        <w:lastRenderedPageBreak/>
        <w:t xml:space="preserve">spread across a particular population. Scores for the Gini coefficient can vary between 0 (perfectly equal) and 1 </w:t>
      </w:r>
      <w:r w:rsidR="00624434">
        <w:rPr>
          <w:rFonts w:eastAsia="Calibri"/>
          <w:lang w:val="en-GB"/>
        </w:rPr>
        <w:t>(perfectly unequal</w:t>
      </w:r>
      <w:r w:rsidR="005A628B">
        <w:rPr>
          <w:rFonts w:eastAsia="Calibri"/>
          <w:lang w:val="en-GB"/>
        </w:rPr>
        <w:t>;</w:t>
      </w:r>
      <w:r w:rsidR="00624434">
        <w:rPr>
          <w:rFonts w:eastAsia="Calibri"/>
          <w:lang w:val="en-GB"/>
        </w:rPr>
        <w:t xml:space="preserve"> </w:t>
      </w:r>
      <w:r w:rsidR="007D1493">
        <w:rPr>
          <w:rFonts w:eastAsia="Calibri"/>
          <w:lang w:val="en-GB"/>
        </w:rPr>
        <w:fldChar w:fldCharType="begin" w:fldLock="1"/>
      </w:r>
      <w:r w:rsidR="00E3534A">
        <w:rPr>
          <w:rFonts w:eastAsia="Calibri"/>
          <w:lang w:val="en-GB"/>
        </w:rPr>
        <w:instrText>ADDIN CSL_CITATION {"citationItems":[{"id":"ITEM-1","itemData":{"URL":"https://www.investopedia.com/terms/g/gini-index.asp","accessed":{"date-parts":[["2020","11","9"]]},"author":[{"dropping-particle":"","family":"Westfall","given":"P","non-dropping-particle":"","parse-names":false,"suffix":""}],"container-title":"Investopedia","id":"ITEM-1","issued":{"date-parts":[["2020"]]},"title":"Gini Index","type":"webpage"},"uris":["http://www.mendeley.com/documents/?uuid=08f7682d-6238-49ff-afdc-d82381be81ea"]}],"mendeley":{"formattedCitation":"(Westfall, 2020)","manualFormatting":"Westfall, 2020)","plainTextFormattedCitation":"(Westfall, 2020)","previouslyFormattedCitation":"(Westfall, 2020)"},"properties":{"noteIndex":0},"schema":"https://github.com/citation-style-language/schema/raw/master/csl-citation.json"}</w:instrText>
      </w:r>
      <w:r w:rsidR="007D1493">
        <w:rPr>
          <w:rFonts w:eastAsia="Calibri"/>
          <w:lang w:val="en-GB"/>
        </w:rPr>
        <w:fldChar w:fldCharType="separate"/>
      </w:r>
      <w:r w:rsidR="007D1493" w:rsidRPr="007D1493">
        <w:rPr>
          <w:rFonts w:eastAsia="Calibri"/>
          <w:noProof/>
          <w:lang w:val="en-GB"/>
        </w:rPr>
        <w:t>Westfall, 2020)</w:t>
      </w:r>
      <w:r w:rsidR="007D1493">
        <w:rPr>
          <w:rFonts w:eastAsia="Calibri"/>
          <w:lang w:val="en-GB"/>
        </w:rPr>
        <w:fldChar w:fldCharType="end"/>
      </w:r>
      <w:r w:rsidR="005F0CB8">
        <w:rPr>
          <w:rFonts w:eastAsia="Calibri"/>
          <w:lang w:val="en-GB"/>
        </w:rPr>
        <w:t xml:space="preserve">. </w:t>
      </w:r>
    </w:p>
    <w:p w14:paraId="00B0399C" w14:textId="77777777" w:rsidR="00072860" w:rsidRDefault="00072860" w:rsidP="00A03C2F">
      <w:pPr>
        <w:spacing w:line="480" w:lineRule="auto"/>
        <w:ind w:firstLine="720"/>
      </w:pPr>
      <w:r w:rsidRPr="00072860">
        <w:t xml:space="preserve">In addition, we examined subjective perceptions of inequality. A person’s experience of economic inequality is likely somewhat reflective of actual inequality. Nonetheless, individuals may not have the precise knowledge of how unequal their country actually is </w:t>
      </w:r>
      <w:r w:rsidR="0071392F">
        <w:fldChar w:fldCharType="begin" w:fldLock="1"/>
      </w:r>
      <w:r w:rsidR="004054CD">
        <w:instrText>ADDIN CSL_CITATION {"citationItems":[{"id":"ITEM-1","itemData":{"DOI":"10.1007/s11205-013-0323-x","ISSN":"03038300","abstract":"Previous studies have shown that income inequality in society is negatively associated with individuals subjective well-being (SWB), such as their perceived happiness and self-rated health (SRH). However, it is not realistic to assume that individuals have precise information about actual income distribution measured by the Gini coefficient or other statistical measures. In the current study, we examined how perceived income inequality, rather than actual inequality, was associated with SWB, using cross-sectional data collected from a nationwide, Internet survey conducted in Japan (N = 10,432). We also examined how this association was confounded by individuals' objective and subjective income status, considering the possibility that individuals with lower income status are more inclined to both perceive income inequality and feel unhappy/unhealthy. In our analysis, we focused on the perception of widening income inequality (as perceived income inequality), perceived happiness and SRH (as SWB), and household income and living standards compared with 1 year ago and compared with others (as income status). We also controlled for personality traits. We obtained three key findings: (1) perceived income inequality was negatively associated with SWB; (2) both perceived income inequality and SWB were associated with income status; and (3) the association between perceived income inequality and SWB was attenuated after controlling for income status, but not fully for perceived happiness. These findings suggest that perceived income inequality, which links actual income inequality to SWB, should be further studied. © 2013 Springer Science+Business Media Dordrecht.","author":[{"dropping-particle":"","family":"Oshio","given":"Takashi","non-dropping-particle":"","parse-names":false,"suffix":""},{"dropping-particle":"","family":"Urakawa","given":"Kunio","non-dropping-particle":"","parse-names":false,"suffix":""}],"container-title":"Social Indicators Research","id":"ITEM-1","issue":"3","issued":{"date-parts":[["2014"]]},"page":"755-770","title":"The association between perceived income inequality and subjective well-being: Evidence from a social survey in Japan","type":"article-journal","volume":"116"},"uris":["http://www.mendeley.com/documents/?uuid=0af8768a-82a4-4299-bb66-95851a74fa28"]}],"mendeley":{"formattedCitation":"(Oshio &amp; Urakawa, 2014)","plainTextFormattedCitation":"(Oshio &amp; Urakawa, 2014)","previouslyFormattedCitation":"(Oshio &amp; Urakawa, 2014)"},"properties":{"noteIndex":0},"schema":"https://github.com/citation-style-language/schema/raw/master/csl-citation.json"}</w:instrText>
      </w:r>
      <w:r w:rsidR="0071392F">
        <w:fldChar w:fldCharType="separate"/>
      </w:r>
      <w:r w:rsidR="0071392F" w:rsidRPr="0071392F">
        <w:rPr>
          <w:noProof/>
        </w:rPr>
        <w:t>(Oshio &amp; Urakawa, 2014)</w:t>
      </w:r>
      <w:r w:rsidR="0071392F">
        <w:fldChar w:fldCharType="end"/>
      </w:r>
      <w:r w:rsidR="00624434">
        <w:t>.</w:t>
      </w:r>
      <w:r w:rsidR="0071392F">
        <w:t xml:space="preserve"> </w:t>
      </w:r>
      <w:r w:rsidRPr="00072860">
        <w:t>For example, while in reality, the top quintile in the United States owns 84% of the wealth, individuals estimate they own approximately 58%</w:t>
      </w:r>
      <w:r>
        <w:t xml:space="preserve"> </w:t>
      </w:r>
      <w:r w:rsidR="0071392F" w:rsidRPr="008A00C1">
        <w:fldChar w:fldCharType="begin" w:fldLock="1"/>
      </w:r>
      <w:r w:rsidR="00C65C24" w:rsidRPr="008A00C1">
        <w:instrText>ADDIN CSL_CITATION {"citationItems":[{"id":"ITEM-1","itemData":{"DOI":"10.1038/s41562-017-0082","ISBN":"2397-3374","ISSN":"23973374","abstract":"Inequality and unfairness are not the same thing. Starmans, Sheskin and Bloom summarize evidence showing that people are bothered not by economic inequality, but rather by economic unfairness.","author":[{"dropping-particle":"","family":"Starmans","given":"Christina","non-dropping-particle":"","parse-names":false,"suffix":""},{"dropping-particle":"","family":"Sheskin","given":"Mark","non-dropping-particle":"","parse-names":false,"suffix":""},{"dropping-particle":"","family":"Bloom","given":"Paul","non-dropping-particle":"","parse-names":false,"suffix":""}],"container-title":"Nature Human Behaviour","id":"ITEM-1","issue":"4","issued":{"date-parts":[["2017"]]},"page":"1-7","publisher":"Macmillan Publishers Limited","title":"Why people prefer unequal societies","type":"article-journal","volume":"1"},"uris":["http://www.mendeley.com/documents/?uuid=ca6bd8ea-5176-4ad5-ac11-9f8edf355b93"]},{"id":"ITEM-2","itemData":{"DOI":"10.1177/1745691610393524","ISSN":"17456916","abstract":"Disagreements about the optimal level of wealth inequality underlie policy debates ranging from taxation to welfare. We attempt to insert the desires of \"regular\" Americans into these debates, by asking a nationally representative online panel to estimate the current distribution of wealth in the United States and to \"build a better America\" by constructing distributions with their ideal level of inequality. First, respondents dramatically underestimated the current level of wealth inequality. Second, respondents constructed ideal wealth distributions that were far more equitable than even their erroneously low estimates of the actual distribution. Most important from a policy perspective, we observed a surprising level of consensus: All demographic groups-even those not usually associated with wealth redistribution such as Republicans and the wealthy-desired a more equal distribution of wealth than the status quo. © The Author(s) 2011.","author":[{"dropping-particle":"","family":"Norton","given":"Michael I.","non-dropping-particle":"","parse-names":false,"suffix":""},{"dropping-particle":"","family":"Ariely","given":"Dan","non-dropping-particle":"","parse-names":false,"suffix":""}],"container-title":"Perspectives on Psychological Science","id":"ITEM-2","issue":"1","issued":{"date-parts":[["2011"]]},"page":"9-12","title":"Building a better America-one wealth quintile at a time","type":"article-journal","volume":"6"},"uris":["http://www.mendeley.com/documents/?uuid=ab24b1b9-54f5-4947-87a8-1f5ad3a6f325"]}],"mendeley":{"formattedCitation":"(Norton &amp; Ariely, 2011; Starmans et al., 2017)","plainTextFormattedCitation":"(Norton &amp; Ariely, 2011; Starmans et al., 2017)","previouslyFormattedCitation":"(Norton &amp; Ariely, 2011; Starmans et al., 2017)"},"properties":{"noteIndex":0},"schema":"https://github.com/citation-style-language/schema/raw/master/csl-citation.json"}</w:instrText>
      </w:r>
      <w:r w:rsidR="0071392F" w:rsidRPr="008A00C1">
        <w:fldChar w:fldCharType="separate"/>
      </w:r>
      <w:r w:rsidR="005036A9" w:rsidRPr="008A00C1">
        <w:rPr>
          <w:noProof/>
        </w:rPr>
        <w:t>(Norton &amp; Ariely, 2011; Starmans et al., 2017)</w:t>
      </w:r>
      <w:r w:rsidR="0071392F" w:rsidRPr="008A00C1">
        <w:fldChar w:fldCharType="end"/>
      </w:r>
      <w:r w:rsidR="0071392F" w:rsidRPr="008A00C1">
        <w:t xml:space="preserve">. </w:t>
      </w:r>
      <w:r w:rsidRPr="00072860">
        <w:t xml:space="preserve">Moreover, individuals within a country may have very different experiences of inequality; living in a low inequality U.S. state, such as West Virginia (Gini = .37) is very different from living in a high inequality U.S. state such as the District of Colombia </w:t>
      </w:r>
      <w:r w:rsidR="007B351D" w:rsidRPr="00953CCC">
        <w:t xml:space="preserve">(Gini = </w:t>
      </w:r>
      <w:r w:rsidR="00953CCC" w:rsidRPr="00953CCC">
        <w:t>.5</w:t>
      </w:r>
      <w:r>
        <w:t>1</w:t>
      </w:r>
      <w:r w:rsidR="005A628B">
        <w:t>;</w:t>
      </w:r>
      <w:r w:rsidR="007B351D" w:rsidRPr="00953CCC">
        <w:t xml:space="preserve"> </w:t>
      </w:r>
      <w:r w:rsidR="007B351D" w:rsidRPr="00953CCC">
        <w:fldChar w:fldCharType="begin" w:fldLock="1"/>
      </w:r>
      <w:r w:rsidR="00E3534A">
        <w:instrText>ADDIN CSL_CITATION {"citationItems":[{"id":"ITEM-1","itemData":{"abstract":"This paper introduces a new panel of annual state-level income inequality measures over the ninety year period 1916-2005. Among many of the states inequality followed a Ushaped pattern over the past century, peaking both before the Great Depression and again at the time of the new millennium. The new panel reveals significant state-level variations, both before the year 1945, and regionally. While Northeastern states are strongly correlated with aggregate U.S. trends, we find many of the Western states have little overall correlation over the past century. The availability of this new panel may prove useful to empirical researchers interested in all aspects of income inequality, particularly given the panel's unusually large number of both time-series and crosssectional observations.","author":[{"dropping-particle":"","family":"Frank","given":"M. W.","non-dropping-particle":"","parse-names":false,"suffix":""}],"container-title":"Journal of Business Strategies","id":"ITEM-1","issue":"1","issued":{"date-parts":[["2014"]]},"page":"241-263","title":"A new state-level panel of annual inequality measures over the period 1916-2005","type":"article-journal","volume":"31"},"uris":["http://www.mendeley.com/documents/?uuid=0e997962-d20d-4445-98ef-34435ea7702d"]}],"mendeley":{"formattedCitation":"(Frank, 2014)","manualFormatting":"Frank, 2014)","plainTextFormattedCitation":"(Frank, 2014)","previouslyFormattedCitation":"(Frank, 2014)"},"properties":{"noteIndex":0},"schema":"https://github.com/citation-style-language/schema/raw/master/csl-citation.json"}</w:instrText>
      </w:r>
      <w:r w:rsidR="007B351D" w:rsidRPr="00953CCC">
        <w:fldChar w:fldCharType="separate"/>
      </w:r>
      <w:r w:rsidR="00953CCC" w:rsidRPr="00953CCC">
        <w:rPr>
          <w:noProof/>
        </w:rPr>
        <w:t>Frank, 2014)</w:t>
      </w:r>
      <w:r w:rsidR="007B351D" w:rsidRPr="00953CCC">
        <w:fldChar w:fldCharType="end"/>
      </w:r>
      <w:r w:rsidR="00276B1B">
        <w:t>.</w:t>
      </w:r>
      <w:r w:rsidR="007B351D">
        <w:t xml:space="preserve"> </w:t>
      </w:r>
      <w:r w:rsidRPr="00072860">
        <w:t xml:space="preserve">More granular measures may better reflect an individual’s actual experience of </w:t>
      </w:r>
      <w:proofErr w:type="gramStart"/>
      <w:r w:rsidRPr="00072860">
        <w:t>inequality</w:t>
      </w:r>
      <w:proofErr w:type="gramEnd"/>
      <w:r w:rsidRPr="00072860">
        <w:t xml:space="preserve"> but these are often unavailable. Instead, measures of an individual’s perception of inequality may best capture experiences of the socio-economic environment. </w:t>
      </w:r>
      <w:r w:rsidR="00567D29">
        <w:fldChar w:fldCharType="begin" w:fldLock="1"/>
      </w:r>
      <w:r w:rsidR="0016535D">
        <w:instrText>ADDIN CSL_CITATION {"citationItems":[{"id":"ITEM-1","itemData":{"DOI":"10.1177/0956797619875472","ISSN":"14679280","PMID":"31566081","abstract":"Societal inequality has been found to harm the mental and physical health of its members and undermine overall social cohesion. Here, we tested the hypothesis that economic inequality is associated with a wish for a strong leader in a study involving 28 countries from five continents (Study 1, N = 6,112), a study involving an Australian community sample (Study 2, N = 515), and two experiments (Study 3a, N = 96; Study 3b, N = 296). We found correlational (Studies 1 and 2) and experimental (Studies 3a and 3b) evidence for our prediction that higher inequality enhances the wish for a strong leader. We also found that this relationship is mediated by perceptions of anomie, except in the case of objective inequality in Study 1. This suggests that societal inequality enhances the perception that society is breaking down (anomie) and that a strong leader is needed to restore order (even when that leader is willing to challenge democratic values).","author":[{"dropping-particle":"","family":"Sprong","given":"Stefanie","non-dropping-particle":"","parse-names":false,"suffix":""},{"dropping-particle":"","family":"Jetten","given":"Jolanda","non-dropping-particle":"","parse-names":false,"suffix":""},{"dropping-particle":"","family":"Wang","given":"Zhechen","non-dropping-particle":"","parse-names":false,"suffix":""},{"dropping-particle":"","family":"Peters","given":"Kim","non-dropping-particle":"","parse-names":false,"suffix":""},{"dropping-particle":"","family":"Mols","given":"Frank","non-dropping-particle":"","parse-names":false,"suffix":""},{"dropping-particle":"","family":"Verkuyten","given":"Maykel","non-dropping-particle":"","parse-names":false,"suffix":""},{"dropping-particle":"","family":"Bastian","given":"Brock","non-dropping-particle":"","parse-names":false,"suffix":""},{"dropping-particle":"","family":"Ariyanto","given":"Amarina","non-dropping-particle":"","parse-names":false,"suffix":""},{"dropping-particle":"","family":"Autin","given":"Frédérique","non-dropping-particle":"","parse-names":false,"suffix":""},{"dropping-particle":"","family":"Ayub","given":"Nadia","non-dropping-particle":"","parse-names":false,"suffix":""},{"dropping-particle":"","family":"Badea","given":"Constantina","non-dropping-particle":"","parse-names":false,"suffix":""},{"dropping-particle":"","family":"Besta","given":"Tomasz","non-dropping-particle":"","parse-names":false,"suffix":""},{"dropping-particle":"","family":"Butera","given":"Fabrizio","non-dropping-particle":"","parse-names":false,"suffix":""},{"dropping-particle":"","family":"Costa-Lopes","given":"Rui","non-dropping-particle":"","parse-names":false,"suffix":""},{"dropping-particle":"","family":"Cui","given":"Lijuan","non-dropping-particle":"","parse-names":false,"suffix":""},{"dropping-particle":"","family":"Fantini","given":"Carole","non-dropping-particle":"","parse-names":false,"suffix":""},{"dropping-particle":"","family":"Finchilescu","given":"Gillian","non-dropping-particle":"","parse-names":false,"suffix":""},{"dropping-particle":"","family":"Gaertner","given":"Lowell","non-dropping-particle":"","parse-names":false,"suffix":""},{"dropping-particle":"","family":"Gollwitzer","given":"Mario","non-dropping-particle":"","parse-names":false,"suffix":""},{"dropping-particle":"","family":"Gómez","given":"Ángel","non-dropping-particle":"","parse-names":false,"suffix":""},{"dropping-particle":"","family":"González","given":"Roberto","non-dropping-particle":"","parse-names":false,"suffix":""},{"dropping-particle":"","family":"Hong","given":"Ying Yi","non-dropping-particle":"","parse-names":false,"suffix":""},{"dropping-particle":"","family":"Jensen","given":"Dorthe Høj","non-dropping-particle":"","parse-names":false,"suffix":""},{"dropping-particle":"","family":"Jasinskaja-Lahti","given":"Inga","non-dropping-particle":"","parse-names":false,"suffix":""},{"dropping-particle":"","family":"Karasawa","given":"Minoru","non-dropping-particle":"","parse-names":false,"suffix":""},{"dropping-particle":"","family":"Kessler","given":"Thomas","non-dropping-particle":"","parse-names":false,"suffix":""},{"dropping-particle":"","family":"Klein","given":"Olivier","non-dropping-particle":"","parse-names":false,"suffix":""},{"dropping-particle":"","family":"Lima","given":"Marcus","non-dropping-particle":"","parse-names":false,"suffix":""},{"dropping-particle":"","family":"Mégevand","given":"Laura","non-dropping-particle":"","parse-names":false,"suffix":""},{"dropping-particle":"","family":"Morton","given":"Thomas","non-dropping-particle":"","parse-names":false,"suffix":""},{"dropping-particle":"","family":"Paladino","given":"Paola","non-dropping-particle":"","parse-names":false,"suffix":""},{"dropping-particle":"","family":"Polya","given":"Tibor","non-dropping-particle":"","parse-names":false,"suffix":""},{"dropping-particle":"","family":"Renvik","given":"Tuuli Anna","non-dropping-particle":"","parse-names":false,"suffix":""},{"dropping-particle":"","family":"Ruza","given":"Aleksejs","non-dropping-particle":"","parse-names":false,"suffix":""},{"dropping-particle":"","family":"Shahrazad","given":"Wan","non-dropping-particle":"","parse-names":false,"suffix":""},{"dropping-particle":"","family":"Shama","given":"Sushama","non-dropping-particle":"","parse-names":false,"suffix":""},{"dropping-particle":"","family":"Smith","given":"Heather J.","non-dropping-particle":"","parse-names":false,"suffix":""},{"dropping-particle":"","family":"Torres","given":"Ana Raquel","non-dropping-particle":"","parse-names":false,"suffix":""},{"dropping-particle":"","family":"Bles","given":"Anne Marthe","non-dropping-particle":"van der","parse-names":false,"suffix":""},{"dropping-particle":"","family":"Wohl","given":"Michael J.A.","non-dropping-particle":"","parse-names":false,"suffix":""}],"container-title":"Psychological Science","id":"ITEM-1","issue":"11","issued":{"date-parts":[["2019"]]},"page":"1625-1637","title":"“Our country needs a strong leader right now”: Economic inequality enhances the wish for a strong leader","type":"article-journal","volume":"30"},"uris":["http://www.mendeley.com/documents/?uuid=d73985a6-ca55-43a4-8777-41d32ec26804"]}],"mendeley":{"formattedCitation":"(Sprong et al., 2019)","manualFormatting":"Sprong et al. (2019)","plainTextFormattedCitation":"(Sprong et al., 2019)","previouslyFormattedCitation":"(Sprong et al., 2019)"},"properties":{"noteIndex":0},"schema":"https://github.com/citation-style-language/schema/raw/master/csl-citation.json"}</w:instrText>
      </w:r>
      <w:r w:rsidR="00567D29">
        <w:fldChar w:fldCharType="separate"/>
      </w:r>
      <w:r w:rsidR="00567D29" w:rsidRPr="00567D29">
        <w:rPr>
          <w:noProof/>
        </w:rPr>
        <w:t xml:space="preserve">Sprong et al. </w:t>
      </w:r>
      <w:r w:rsidR="00567D29">
        <w:rPr>
          <w:noProof/>
        </w:rPr>
        <w:t>(</w:t>
      </w:r>
      <w:r w:rsidR="00567D29" w:rsidRPr="00567D29">
        <w:rPr>
          <w:noProof/>
        </w:rPr>
        <w:t>2019)</w:t>
      </w:r>
      <w:r w:rsidR="00567D29">
        <w:fldChar w:fldCharType="end"/>
      </w:r>
      <w:r w:rsidR="00EE22C3">
        <w:t xml:space="preserve"> </w:t>
      </w:r>
      <w:r w:rsidRPr="00072860">
        <w:t>provided evidence for the value of individual-level perceptions; perceived high inequality was related to increased views that the participant’s country needed a strong leader.</w:t>
      </w:r>
    </w:p>
    <w:p w14:paraId="2B08BF55" w14:textId="756B6E92" w:rsidR="00A03C2F" w:rsidRDefault="00072860" w:rsidP="00A03C2F">
      <w:pPr>
        <w:spacing w:line="480" w:lineRule="auto"/>
        <w:ind w:firstLine="720"/>
      </w:pPr>
      <w:r w:rsidRPr="00072860">
        <w:t xml:space="preserve">We measured perceived inequality in two ways. First, the perceived wealth gap between the rich and the poor was assessed with the following question: “We would like you to think of the poorest and the wealthiest people in </w:t>
      </w:r>
      <w:r>
        <w:t>&lt;country&gt;</w:t>
      </w:r>
      <w:r w:rsidRPr="00072860">
        <w:t>. Overall, how large is the wealth gap between the poorest and the wealthiest people?” Responses were coded from (1) very small to (7) very large. Second, we measured inequality based on the entire distribution of wealth using a quasi-Gini coefficient</w:t>
      </w:r>
      <w:r>
        <w:t xml:space="preserve"> </w:t>
      </w:r>
      <w:r w:rsidR="00A03C2F">
        <w:fldChar w:fldCharType="begin" w:fldLock="1"/>
      </w:r>
      <w:r w:rsidR="0016535D">
        <w:instrText>ADDIN CSL_CITATION {"citationItems":[{"id":"ITEM-1","itemData":{"DOI":"10.1177/0956797619875472","ISSN":"14679280","PMID":"31566081","abstract":"Societal inequality has been found to harm the mental and physical health of its members and undermine overall social cohesion. Here, we tested the hypothesis that economic inequality is associated with a wish for a strong leader in a study involving 28 countries from five continents (Study 1, N = 6,112), a study involving an Australian community sample (Study 2, N = 515), and two experiments (Study 3a, N = 96; Study 3b, N = 296). We found correlational (Studies 1 and 2) and experimental (Studies 3a and 3b) evidence for our prediction that higher inequality enhances the wish for a strong leader. We also found that this relationship is mediated by perceptions of anomie, except in the case of objective inequality in Study 1. This suggests that societal inequality enhances the perception that society is breaking down (anomie) and that a strong leader is needed to restore order (even when that leader is willing to challenge democratic values).","author":[{"dropping-particle":"","family":"Sprong","given":"Stefanie","non-dropping-particle":"","parse-names":false,"suffix":""},{"dropping-particle":"","family":"Jetten","given":"Jolanda","non-dropping-particle":"","parse-names":false,"suffix":""},{"dropping-particle":"","family":"Wang","given":"Zhechen","non-dropping-particle":"","parse-names":false,"suffix":""},{"dropping-particle":"","family":"Peters","given":"Kim","non-dropping-particle":"","parse-names":false,"suffix":""},{"dropping-particle":"","family":"Mols","given":"Frank","non-dropping-particle":"","parse-names":false,"suffix":""},{"dropping-particle":"","family":"Verkuyten","given":"Maykel","non-dropping-particle":"","parse-names":false,"suffix":""},{"dropping-particle":"","family":"Bastian","given":"Brock","non-dropping-particle":"","parse-names":false,"suffix":""},{"dropping-particle":"","family":"Ariyanto","given":"Amarina","non-dropping-particle":"","parse-names":false,"suffix":""},{"dropping-particle":"","family":"Autin","given":"Frédérique","non-dropping-particle":"","parse-names":false,"suffix":""},{"dropping-particle":"","family":"Ayub","given":"Nadia","non-dropping-particle":"","parse-names":false,"suffix":""},{"dropping-particle":"","family":"Badea","given":"Constantina","non-dropping-particle":"","parse-names":false,"suffix":""},{"dropping-particle":"","family":"Besta","given":"Tomasz","non-dropping-particle":"","parse-names":false,"suffix":""},{"dropping-particle":"","family":"Butera","given":"Fabrizio","non-dropping-particle":"","parse-names":false,"suffix":""},{"dropping-particle":"","family":"Costa-Lopes","given":"Rui","non-dropping-particle":"","parse-names":false,"suffix":""},{"dropping-particle":"","family":"Cui","given":"Lijuan","non-dropping-particle":"","parse-names":false,"suffix":""},{"dropping-particle":"","family":"Fantini","given":"Carole","non-dropping-particle":"","parse-names":false,"suffix":""},{"dropping-particle":"","family":"Finchilescu","given":"Gillian","non-dropping-particle":"","parse-names":false,"suffix":""},{"dropping-particle":"","family":"Gaertner","given":"Lowell","non-dropping-particle":"","parse-names":false,"suffix":""},{"dropping-particle":"","family":"Gollwitzer","given":"Mario","non-dropping-particle":"","parse-names":false,"suffix":""},{"dropping-particle":"","family":"Gómez","given":"Ángel","non-dropping-particle":"","parse-names":false,"suffix":""},{"dropping-particle":"","family":"González","given":"Roberto","non-dropping-particle":"","parse-names":false,"suffix":""},{"dropping-particle":"","family":"Hong","given":"Ying Yi","non-dropping-particle":"","parse-names":false,"suffix":""},{"dropping-particle":"","family":"Jensen","given":"Dorthe Høj","non-dropping-particle":"","parse-names":false,"suffix":""},{"dropping-particle":"","family":"Jasinskaja-Lahti","given":"Inga","non-dropping-particle":"","parse-names":false,"suffix":""},{"dropping-particle":"","family":"Karasawa","given":"Minoru","non-dropping-particle":"","parse-names":false,"suffix":""},{"dropping-particle":"","family":"Kessler","given":"Thomas","non-dropping-particle":"","parse-names":false,"suffix":""},{"dropping-particle":"","family":"Klein","given":"Olivier","non-dropping-particle":"","parse-names":false,"suffix":""},{"dropping-particle":"","family":"Lima","given":"Marcus","non-dropping-particle":"","parse-names":false,"suffix":""},{"dropping-particle":"","family":"Mégevand","given":"Laura","non-dropping-particle":"","parse-names":false,"suffix":""},{"dropping-particle":"","family":"Morton","given":"Thomas","non-dropping-particle":"","parse-names":false,"suffix":""},{"dropping-particle":"","family":"Paladino","given":"Paola","non-dropping-particle":"","parse-names":false,"suffix":""},{"dropping-particle":"","family":"Polya","given":"Tibor","non-dropping-particle":"","parse-names":false,"suffix":""},{"dropping-particle":"","family":"Renvik","given":"Tuuli Anna","non-dropping-particle":"","parse-names":false,"suffix":""},{"dropping-particle":"","family":"Ruza","given":"Aleksejs","non-dropping-particle":"","parse-names":false,"suffix":""},{"dropping-particle":"","family":"Shahrazad","given":"Wan","non-dropping-particle":"","parse-names":false,"suffix":""},{"dropping-particle":"","family":"Shama","given":"Sushama","non-dropping-particle":"","parse-names":false,"suffix":""},{"dropping-particle":"","family":"Smith","given":"Heather J.","non-dropping-particle":"","parse-names":false,"suffix":""},{"dropping-particle":"","family":"Torres","given":"Ana Raquel","non-dropping-particle":"","parse-names":false,"suffix":""},{"dropping-particle":"","family":"Bles","given":"Anne Marthe","non-dropping-particle":"van der","parse-names":false,"suffix":""},{"dropping-particle":"","family":"Wohl","given":"Michael J.A.","non-dropping-particle":"","parse-names":false,"suffix":""}],"container-title":"Psychological Science","id":"ITEM-1","issue":"11","issued":{"date-parts":[["2019"]]},"page":"1625-1637","title":"“Our country needs a strong leader right now”: Economic inequality enhances the wish for a strong leader","type":"article-journal","volume":"30"},"uris":["http://www.mendeley.com/documents/?uuid=d73985a6-ca55-43a4-8777-41d32ec26804"]}],"mendeley":{"formattedCitation":"(Sprong et al., 2019)","plainTextFormattedCitation":"(Sprong et al., 2019)","previouslyFormattedCitation":"(Sprong et al., 2019)"},"properties":{"noteIndex":0},"schema":"https://github.com/citation-style-language/schema/raw/master/csl-citation.json"}</w:instrText>
      </w:r>
      <w:r w:rsidR="00A03C2F">
        <w:fldChar w:fldCharType="separate"/>
      </w:r>
      <w:r w:rsidR="00A03C2F" w:rsidRPr="00A03C2F">
        <w:rPr>
          <w:noProof/>
        </w:rPr>
        <w:t>(Sprong et al., 2019)</w:t>
      </w:r>
      <w:r w:rsidR="00A03C2F">
        <w:fldChar w:fldCharType="end"/>
      </w:r>
      <w:r w:rsidR="00A03C2F">
        <w:t>.</w:t>
      </w:r>
      <w:r w:rsidR="006A15D4">
        <w:t xml:space="preserve"> </w:t>
      </w:r>
      <w:r w:rsidRPr="00072860">
        <w:t xml:space="preserve">Participants were asked to imagine 100 citizens in their country, and how many of these 100 they believe are ‘very poor’, ‘poor’, ‘average in wealth’, ‘wealthy’ and ‘very wealthy’. The perceived Gini measure was calculated in a similar way to the country-level Gini coefficient (see Supplementary </w:t>
      </w:r>
      <w:r w:rsidRPr="00072860">
        <w:lastRenderedPageBreak/>
        <w:t>Materials 5 for Gini calculations). Scores could range from (0) most equal to (1) most unequal.</w:t>
      </w:r>
    </w:p>
    <w:p w14:paraId="27E12B4A" w14:textId="1C4156D2" w:rsidR="000E13E0" w:rsidRPr="00150985" w:rsidRDefault="00930097" w:rsidP="006A5339">
      <w:pPr>
        <w:spacing w:line="480" w:lineRule="auto"/>
        <w:ind w:firstLine="720"/>
      </w:pPr>
      <w:r w:rsidRPr="00454CF6">
        <w:rPr>
          <w:b/>
          <w:bCs/>
        </w:rPr>
        <w:t>Generalized</w:t>
      </w:r>
      <w:r w:rsidRPr="00454CF6">
        <w:t xml:space="preserve"> </w:t>
      </w:r>
      <w:r w:rsidR="00150985" w:rsidRPr="00454CF6">
        <w:rPr>
          <w:b/>
          <w:bCs/>
        </w:rPr>
        <w:t>t</w:t>
      </w:r>
      <w:r w:rsidR="000E13E0" w:rsidRPr="00454CF6">
        <w:rPr>
          <w:b/>
          <w:bCs/>
        </w:rPr>
        <w:t>rust.</w:t>
      </w:r>
      <w:r w:rsidR="00DA2CD9" w:rsidRPr="00454CF6">
        <w:rPr>
          <w:b/>
          <w:bCs/>
        </w:rPr>
        <w:t xml:space="preserve"> </w:t>
      </w:r>
      <w:r w:rsidR="00072860" w:rsidRPr="00072860">
        <w:rPr>
          <w:bCs/>
        </w:rPr>
        <w:t>We assessed generalized trust with one item, “I completely trust most other people.” Responses were coded from (1) completely disagree to (7) completely agree, with higher scores representing higher levels of generalized trust.</w:t>
      </w:r>
    </w:p>
    <w:p w14:paraId="2C9C4422" w14:textId="3B8EBBB0" w:rsidR="0053548A" w:rsidRPr="008B0B04" w:rsidRDefault="000E13E0" w:rsidP="008B0B04">
      <w:pPr>
        <w:spacing w:line="480" w:lineRule="auto"/>
        <w:ind w:firstLine="720"/>
      </w:pPr>
      <w:r w:rsidRPr="008B0B04">
        <w:rPr>
          <w:b/>
          <w:bCs/>
        </w:rPr>
        <w:t>Anomie.</w:t>
      </w:r>
      <w:r w:rsidR="00205A5F" w:rsidRPr="008B0B04">
        <w:rPr>
          <w:b/>
          <w:bCs/>
        </w:rPr>
        <w:t xml:space="preserve"> </w:t>
      </w:r>
      <w:r w:rsidR="00072860" w:rsidRPr="00072860">
        <w:t>Perceptions of anomie were assessed using 12 items developed by</w:t>
      </w:r>
      <w:r w:rsidR="00072860">
        <w:t xml:space="preserve"> </w:t>
      </w:r>
      <w:r w:rsidR="0053548A" w:rsidRPr="008B0B04">
        <w:fldChar w:fldCharType="begin" w:fldLock="1"/>
      </w:r>
      <w:r w:rsidR="0016535D">
        <w:instrText>ADDIN CSL_CITATION {"citationItems":[{"id":"ITEM-1","itemData":{"DOI":"10.1111/pops.12377","ISSN":"14679221","abstract":"Anomie, as defined by sociologists, refers to a state of society characterized by deregulation and erosion of moral values. In the present conceptual analysis, we bring the concept of anomie under a social psychological spotlight. We explore the conditions under which anomie arises and develop a model outlining various responses to anomie. We define anomie as a shared perception of the state of society and propose that two conditions must be met for anomie to emerge. First, a society's social fabric must be perceived to be breaking down (i.e., lack of trust and erosion of moral standards). Second, a society's leadership must be perceived to be breaking down (i.e., lack of legitimacy and effectiveness of leadership). We highlight two key responses of individuals to an anomic situation: a contraction of the personal self and a contraction of the social self. We discuss how a psychology of anomie can inform and advance broader theorizing on group processes.","author":[{"dropping-particle":"","family":"Teymoori","given":"Ali","non-dropping-particle":"","parse-names":false,"suffix":""},{"dropping-particle":"","family":"Bastian","given":"Brock","non-dropping-particle":"","parse-names":false,"suffix":""},{"dropping-particle":"","family":"Jetten","given":"Jolanda","non-dropping-particle":"","parse-names":false,"suffix":""}],"container-title":"Political Psychology","id":"ITEM-1","issue":"6","issued":{"date-parts":[["2017"]]},"page":"1009-1023","title":"Towards a psychological analysis of anomie","type":"article-journal","volume":"38"},"uris":["http://www.mendeley.com/documents/?uuid=ea7cf4cd-1213-4cdd-99c4-bbaa8b787eaa"]}],"mendeley":{"formattedCitation":"(Teymoori et al., 2017)","manualFormatting":"Teymoori et al. (2017)","plainTextFormattedCitation":"(Teymoori et al., 2017)","previouslyFormattedCitation":"(Teymoori et al., 2017)"},"properties":{"noteIndex":0},"schema":"https://github.com/citation-style-language/schema/raw/master/csl-citation.json"}</w:instrText>
      </w:r>
      <w:r w:rsidR="0053548A" w:rsidRPr="008B0B04">
        <w:fldChar w:fldCharType="separate"/>
      </w:r>
      <w:r w:rsidR="0053548A" w:rsidRPr="008B0B04">
        <w:rPr>
          <w:noProof/>
        </w:rPr>
        <w:t>Teymoori et al. (2017)</w:t>
      </w:r>
      <w:r w:rsidR="0053548A" w:rsidRPr="008B0B04">
        <w:fldChar w:fldCharType="end"/>
      </w:r>
      <w:r w:rsidR="0053548A" w:rsidRPr="008B0B04">
        <w:t xml:space="preserve">, </w:t>
      </w:r>
      <w:r w:rsidR="00072860" w:rsidRPr="00072860">
        <w:t>with six items measuring breakdown in the social fabric of society, for example, “People think that there are no clear moral standards to follow” and six items measuring breakdown in leadership, for example, “Some laws are not fair.” Responses were assessed on a scale from (1) strongly disagree to (7) strongly agree, with higher scores indicating greater perceptions of anomie. A total anomie score was obtained (α = .83), as well as a score for a breakdown in the social fabric of society (α = .77) and breakdown in leadership (α = .81).</w:t>
      </w:r>
    </w:p>
    <w:p w14:paraId="76C0BB77" w14:textId="5083BE58" w:rsidR="0017545D" w:rsidRDefault="006A5339" w:rsidP="009368A4">
      <w:pPr>
        <w:spacing w:line="480" w:lineRule="auto"/>
        <w:ind w:firstLine="720"/>
      </w:pPr>
      <w:r w:rsidRPr="009368A4">
        <w:rPr>
          <w:b/>
          <w:bCs/>
        </w:rPr>
        <w:t xml:space="preserve">Control variables. </w:t>
      </w:r>
      <w:r w:rsidR="00072860" w:rsidRPr="00072860">
        <w:t>We controlled for several variables that may be related to the MES and perceptions of inequality. First, we included several individual-level measures. Liberals and conservatives tend to differ in their expansion of moral concern</w:t>
      </w:r>
      <w:r w:rsidR="00072860">
        <w:t xml:space="preserve"> </w:t>
      </w:r>
      <w:r w:rsidR="006E46DB" w:rsidRPr="009368A4">
        <w:fldChar w:fldCharType="begin" w:fldLock="1"/>
      </w:r>
      <w:r w:rsidR="009368A4">
        <w:instrText>ADDIN CSL_CITATION {"citationItems":[{"id":"ITEM-1","itemData":{"DOI":"10.1038/s41467-019-12227-0","ISSN":"20411723","PMID":"31558713","abstract":"Do clashes between ideologies reflect policy differences or something more fundamental? The present research suggests they reflect core psychological differences such that liberals express compassion toward less structured and more encompassing entities (i.e., universalism), whereas conservatives express compassion toward more well-defined and less encompassing entities (i.e., parochialism). Here we report seven studies illustrating universalist versus parochial differences in compassion. Studies 1a-1c show that liberals, relative to conservatives, express greater moral concern toward friends relative to family, and the world relative to the nation. Studies 2a-2b demonstrate these universalist versus parochial preferences extend toward simple shapes depicted as proxies for loose versus tight social circles. Using stimuli devoid of political relevance demonstrates that the universalist-parochialist distinction does not simply reflect differing policy preferences. Studies 3a-3b indicate these universalist versus parochial tendencies extend to humans versus nonhumans more generally, demonstrating the breadth of these psychological differences.","author":[{"dropping-particle":"","family":"Waytz","given":"Adam","non-dropping-particle":"","parse-names":false,"suffix":""},{"dropping-particle":"","family":"Iyer","given":"Ravi","non-dropping-particle":"","parse-names":false,"suffix":""},{"dropping-particle":"","family":"Young","given":"Liane","non-dropping-particle":"","parse-names":false,"suffix":""},{"dropping-particle":"","family":"Haidt","given":"Jonathan","non-dropping-particle":"","parse-names":false,"suffix":""},{"dropping-particle":"","family":"Graham","given":"Jesse","non-dropping-particle":"","parse-names":false,"suffix":""}],"container-title":"Nature Communications","id":"ITEM-1","issue":"1","issued":{"date-parts":[["2019"]]},"publisher":"Springer US","title":"Ideological differences in the expanse of the moral circle","type":"article-journal","volume":"10"},"uris":["http://www.mendeley.com/documents/?uuid=ca6f8253-0ebe-4af5-9fe4-b831b7e90683"]}],"mendeley":{"formattedCitation":"(Waytz et al., 2019)","plainTextFormattedCitation":"(Waytz et al., 2019)","previouslyFormattedCitation":"(Waytz et al., 2019)"},"properties":{"noteIndex":0},"schema":"https://github.com/citation-style-language/schema/raw/master/csl-citation.json"}</w:instrText>
      </w:r>
      <w:r w:rsidR="006E46DB" w:rsidRPr="009368A4">
        <w:fldChar w:fldCharType="separate"/>
      </w:r>
      <w:r w:rsidR="006E46DB" w:rsidRPr="009368A4">
        <w:rPr>
          <w:noProof/>
        </w:rPr>
        <w:t>(Waytz et al., 2019)</w:t>
      </w:r>
      <w:r w:rsidR="006E46DB" w:rsidRPr="009368A4">
        <w:fldChar w:fldCharType="end"/>
      </w:r>
      <w:r w:rsidR="005036A9">
        <w:t xml:space="preserve">, and liberals </w:t>
      </w:r>
      <w:r w:rsidR="00C65C24">
        <w:t>perceive greater levels of inequality compared to</w:t>
      </w:r>
      <w:r w:rsidR="005036A9">
        <w:t xml:space="preserve"> conservatives</w:t>
      </w:r>
      <w:r w:rsidR="00C65C24">
        <w:t xml:space="preserve"> </w:t>
      </w:r>
      <w:r w:rsidR="00C65C24">
        <w:fldChar w:fldCharType="begin" w:fldLock="1"/>
      </w:r>
      <w:r w:rsidR="00C65C24">
        <w:instrText>ADDIN CSL_CITATION {"citationItems":[{"id":"ITEM-1","itemData":{"DOI":"10.1177/1745691610393524","ISSN":"17456916","abstract":"Disagreements about the optimal level of wealth inequality underlie policy debates ranging from taxation to welfare. We attempt to insert the desires of \"regular\" Americans into these debates, by asking a nationally representative online panel to estimate the current distribution of wealth in the United States and to \"build a better America\" by constructing distributions with their ideal level of inequality. First, respondents dramatically underestimated the current level of wealth inequality. Second, respondents constructed ideal wealth distributions that were far more equitable than even their erroneously low estimates of the actual distribution. Most important from a policy perspective, we observed a surprising level of consensus: All demographic groups-even those not usually associated with wealth redistribution such as Republicans and the wealthy-desired a more equal distribution of wealth than the status quo. © The Author(s) 2011.","author":[{"dropping-particle":"","family":"Norton","given":"Michael I.","non-dropping-particle":"","parse-names":false,"suffix":""},{"dropping-particle":"","family":"Ariely","given":"Dan","non-dropping-particle":"","parse-names":false,"suffix":""}],"container-title":"Perspectives on Psychological Science","id":"ITEM-1","issue":"1","issued":{"date-parts":[["2011"]]},"page":"9-12","title":"Building a better America-one wealth quintile at a time","type":"article-journal","volume":"6"},"uris":["http://www.mendeley.com/documents/?uuid=ab24b1b9-54f5-4947-87a8-1f5ad3a6f325"]}],"mendeley":{"formattedCitation":"(Norton &amp; Ariely, 2011)","plainTextFormattedCitation":"(Norton &amp; Ariely, 2011)","previouslyFormattedCitation":"(Norton &amp; Ariely, 2011)"},"properties":{"noteIndex":0},"schema":"https://github.com/citation-style-language/schema/raw/master/csl-citation.json"}</w:instrText>
      </w:r>
      <w:r w:rsidR="00C65C24">
        <w:fldChar w:fldCharType="separate"/>
      </w:r>
      <w:r w:rsidR="00C65C24" w:rsidRPr="00C65C24">
        <w:rPr>
          <w:noProof/>
        </w:rPr>
        <w:t>(Norton &amp; Ariely, 2011)</w:t>
      </w:r>
      <w:r w:rsidR="00C65C24">
        <w:fldChar w:fldCharType="end"/>
      </w:r>
      <w:r w:rsidR="00C65C24">
        <w:t xml:space="preserve">. </w:t>
      </w:r>
      <w:r w:rsidR="00072860" w:rsidRPr="00072860">
        <w:t xml:space="preserve">To control for this, we included </w:t>
      </w:r>
      <w:r w:rsidR="00072860" w:rsidRPr="00072860">
        <w:rPr>
          <w:i/>
          <w:iCs/>
        </w:rPr>
        <w:t>economic</w:t>
      </w:r>
      <w:r w:rsidR="00072860" w:rsidRPr="00072860">
        <w:t xml:space="preserve"> and </w:t>
      </w:r>
      <w:r w:rsidR="00072860" w:rsidRPr="00072860">
        <w:rPr>
          <w:i/>
          <w:iCs/>
        </w:rPr>
        <w:t>social conservatism</w:t>
      </w:r>
      <w:r w:rsidR="00072860" w:rsidRPr="00072860">
        <w:t xml:space="preserve"> as control variables. Responses to both questions were coded from (1) left/liberal to (7) right/conservative.</w:t>
      </w:r>
    </w:p>
    <w:p w14:paraId="20E9E5A3" w14:textId="55560C71" w:rsidR="006A5339" w:rsidRDefault="0017545D" w:rsidP="00072860">
      <w:pPr>
        <w:spacing w:line="480" w:lineRule="auto"/>
        <w:ind w:firstLine="720"/>
      </w:pPr>
      <w:r>
        <w:t>R</w:t>
      </w:r>
      <w:r w:rsidR="009368A4">
        <w:t>elative to males, females typically exhibit greater moral concern for diverse entities</w:t>
      </w:r>
      <w:r w:rsidR="00C65C24">
        <w:t xml:space="preserve"> </w:t>
      </w:r>
      <w:r w:rsidR="009368A4">
        <w:fldChar w:fldCharType="begin" w:fldLock="1"/>
      </w:r>
      <w:r w:rsidR="00DB7BEB">
        <w:instrText>ADDIN CSL_CITATION {"citationItems":[{"id":"ITEM-1","itemData":{"DOI":"10.1038/s41467-019-12227-0","ISSN":"20411723","PMID":"31558713","abstract":"Do clashes between ideologies reflect policy differences or something more fundamental? The present research suggests they reflect core psychological differences such that liberals express compassion toward less structured and more encompassing entities (i.e., universalism), whereas conservatives express compassion toward more well-defined and less encompassing entities (i.e., parochialism). Here we report seven studies illustrating universalist versus parochial differences in compassion. Studies 1a-1c show that liberals, relative to conservatives, express greater moral concern toward friends relative to family, and the world relative to the nation. Studies 2a-2b demonstrate these universalist versus parochial preferences extend toward simple shapes depicted as proxies for loose versus tight social circles. Using stimuli devoid of political relevance demonstrates that the universalist-parochialist distinction does not simply reflect differing policy preferences. Studies 3a-3b indicate these universalist versus parochial tendencies extend to humans versus nonhumans more generally, demonstrating the breadth of these psychological differences.","author":[{"dropping-particle":"","family":"Waytz","given":"Adam","non-dropping-particle":"","parse-names":false,"suffix":""},{"dropping-particle":"","family":"Iyer","given":"Ravi","non-dropping-particle":"","parse-names":false,"suffix":""},{"dropping-particle":"","family":"Young","given":"Liane","non-dropping-particle":"","parse-names":false,"suffix":""},{"dropping-particle":"","family":"Haidt","given":"Jonathan","non-dropping-particle":"","parse-names":false,"suffix":""},{"dropping-particle":"","family":"Graham","given":"Jesse","non-dropping-particle":"","parse-names":false,"suffix":""}],"container-title":"Nature Communications","id":"ITEM-1","issue":"1","issued":{"date-parts":[["2019"]]},"publisher":"Springer US","title":"Ideological differences in the expanse of the moral circle","type":"article-journal","volume":"10"},"uris":["http://www.mendeley.com/documents/?uuid=ca6f8253-0ebe-4af5-9fe4-b831b7e90683"]}],"mendeley":{"formattedCitation":"(Waytz et al., 2019)","plainTextFormattedCitation":"(Waytz et al., 2019)","previouslyFormattedCitation":"(Waytz et al., 2019)"},"properties":{"noteIndex":0},"schema":"https://github.com/citation-style-language/schema/raw/master/csl-citation.json"}</w:instrText>
      </w:r>
      <w:r w:rsidR="009368A4">
        <w:fldChar w:fldCharType="separate"/>
      </w:r>
      <w:r w:rsidR="009368A4" w:rsidRPr="009368A4">
        <w:rPr>
          <w:noProof/>
        </w:rPr>
        <w:t>(Waytz et al., 2019)</w:t>
      </w:r>
      <w:r w:rsidR="009368A4">
        <w:fldChar w:fldCharType="end"/>
      </w:r>
      <w:r w:rsidR="00C65C24">
        <w:t xml:space="preserve"> and males</w:t>
      </w:r>
      <w:r>
        <w:t xml:space="preserve"> also</w:t>
      </w:r>
      <w:r w:rsidR="00C65C24">
        <w:t xml:space="preserve"> tend to perceive</w:t>
      </w:r>
      <w:r w:rsidR="009368A4">
        <w:t xml:space="preserve"> </w:t>
      </w:r>
      <w:r w:rsidR="00C65C24">
        <w:t xml:space="preserve">greater levels of inequality compared </w:t>
      </w:r>
      <w:r w:rsidR="00072860">
        <w:t>with</w:t>
      </w:r>
      <w:r w:rsidR="00C65C24">
        <w:t xml:space="preserve"> females </w:t>
      </w:r>
      <w:r w:rsidR="00C65C24">
        <w:fldChar w:fldCharType="begin" w:fldLock="1"/>
      </w:r>
      <w:r w:rsidR="00EC711F">
        <w:instrText>ADDIN CSL_CITATION {"citationItems":[{"id":"ITEM-1","itemData":{"DOI":"10.1177/1745691610393524","ISSN":"17456916","abstract":"Disagreements about the optimal level of wealth inequality underlie policy debates ranging from taxation to welfare. We attempt to insert the desires of \"regular\" Americans into these debates, by asking a nationally representative online panel to estimate the current distribution of wealth in the United States and to \"build a better America\" by constructing distributions with their ideal level of inequality. First, respondents dramatically underestimated the current level of wealth inequality. Second, respondents constructed ideal wealth distributions that were far more equitable than even their erroneously low estimates of the actual distribution. Most important from a policy perspective, we observed a surprising level of consensus: All demographic groups-even those not usually associated with wealth redistribution such as Republicans and the wealthy-desired a more equal distribution of wealth than the status quo. © The Author(s) 2011.","author":[{"dropping-particle":"","family":"Norton","given":"Michael I.","non-dropping-particle":"","parse-names":false,"suffix":""},{"dropping-particle":"","family":"Ariely","given":"Dan","non-dropping-particle":"","parse-names":false,"suffix":""}],"container-title":"Perspectives on Psychological Science","id":"ITEM-1","issue":"1","issued":{"date-parts":[["2011"]]},"page":"9-12","title":"Building a better America-one wealth quintile at a time","type":"article-journal","volume":"6"},"uris":["http://www.mendeley.com/documents/?uuid=ab24b1b9-54f5-4947-87a8-1f5ad3a6f325"]}],"mendeley":{"formattedCitation":"(Norton &amp; Ariely, 2011)","plainTextFormattedCitation":"(Norton &amp; Ariely, 2011)","previouslyFormattedCitation":"(Norton &amp; Ariely, 2011)"},"properties":{"noteIndex":0},"schema":"https://github.com/citation-style-language/schema/raw/master/csl-citation.json"}</w:instrText>
      </w:r>
      <w:r w:rsidR="00C65C24">
        <w:fldChar w:fldCharType="separate"/>
      </w:r>
      <w:r w:rsidR="00C65C24" w:rsidRPr="00C65C24">
        <w:rPr>
          <w:noProof/>
        </w:rPr>
        <w:t>(Norton &amp; Ariely, 2011)</w:t>
      </w:r>
      <w:r w:rsidR="00C65C24">
        <w:fldChar w:fldCharType="end"/>
      </w:r>
      <w:r w:rsidR="00C65C24">
        <w:t xml:space="preserve">. </w:t>
      </w:r>
      <w:r w:rsidR="00072860" w:rsidRPr="00072860">
        <w:t xml:space="preserve">To account for this, </w:t>
      </w:r>
      <w:r w:rsidR="00072860" w:rsidRPr="00072860">
        <w:rPr>
          <w:i/>
          <w:iCs/>
        </w:rPr>
        <w:t>gender</w:t>
      </w:r>
      <w:r w:rsidR="00072860" w:rsidRPr="00072860">
        <w:t xml:space="preserve"> was measured as (1) male or (2) female. Age was measured on a continuous scale in years. Finally, socioeconomic status has been found to shape perceptions of the distribution of wealth</w:t>
      </w:r>
      <w:r w:rsidR="00072860">
        <w:t xml:space="preserve"> </w:t>
      </w:r>
      <w:r w:rsidR="00562707">
        <w:fldChar w:fldCharType="begin" w:fldLock="1"/>
      </w:r>
      <w:r w:rsidR="00EA0A89">
        <w:instrText>ADDIN CSL_CITATION {"citationItems":[{"id":"ITEM-1","itemData":{"DOI":"10.1016/j.ejpoleco.2020.101927","ISSN":"01762680","abstract":"Individual perceptions of (income or wealth) inequality have strong effects on their decisions as economic agents or voters. It is therefore important to know more about the relation between perceived and measured inequality. We present a novel formal framework that is based on the assumption that people typically do not observe the entire income (wealth) distribution and that their guesses about the extent of inequality are based on “self-centered” reference groups. This framework predicts that perceptions of inequality will change along positions in the income distribution and that for a specific position various dimensions of inequality perception are related to each other. First, low (high) income individuals overestimate (underestimate) their own position. Second, subjective estimates of average earnings increase with the own income position. Third, high or low income people have different perceptions about the skewness and the “shape” of the income distribution (e.g. pyramid or diamond). Fourth, the subjective perception of inequality is lower for high-income individuals. Survey data from 40 countries provide strong support for the framework.","author":[{"dropping-particle":"","family":"Knell","given":"Markus","non-dropping-particle":"","parse-names":false,"suffix":""},{"dropping-particle":"","family":"Stix","given":"Helmut","non-dropping-particle":"","parse-names":false,"suffix":""}],"container-title":"European Journal of Political Economy","id":"ITEM-1","issued":{"date-parts":[["2020"]]},"page":"101927","publisher":"Elsevier B.V.","title":"Perceptions of inequality","type":"article-journal","volume":"65"},"uris":["http://www.mendeley.com/documents/?uuid=810c35b7-cc8e-4a40-98e4-c548e18c3924"]},{"id":"ITEM-2","itemData":{"DOI":"10.1177/1745691610393524","ISSN":"17456916","abstract":"Disagreements about the optimal level of wealth inequality underlie policy debates ranging from taxation to welfare. We attempt to insert the desires of \"regular\" Americans into these debates, by asking a nationally representative online panel to estimate the current distribution of wealth in the United States and to \"build a better America\" by constructing distributions with their ideal level of inequality. First, respondents dramatically underestimated the current level of wealth inequality. Second, respondents constructed ideal wealth distributions that were far more equitable than even their erroneously low estimates of the actual distribution. Most important from a policy perspective, we observed a surprising level of consensus: All demographic groups-even those not usually associated with wealth redistribution such as Republicans and the wealthy-desired a more equal distribution of wealth than the status quo. © The Author(s) 2011.","author":[{"dropping-particle":"","family":"Norton","given":"Michael I.","non-dropping-particle":"","parse-names":false,"suffix":""},{"dropping-particle":"","family":"Ariely","given":"Dan","non-dropping-particle":"","parse-names":false,"suffix":""}],"container-title":"Perspectives on Psychological Science","id":"ITEM-2","issue":"1","issued":{"date-parts":[["2011"]]},"page":"9-12","title":"Building a better America-one wealth quintile at a time","type":"article-journal","volume":"6"},"uris":["http://www.mendeley.com/documents/?uuid=ab24b1b9-54f5-4947-87a8-1f5ad3a6f325"]}],"mendeley":{"formattedCitation":"(Knell &amp; Stix, 2020; Norton &amp; Ariely, 2011)","plainTextFormattedCitation":"(Knell &amp; Stix, 2020; Norton &amp; Ariely, 2011)","previouslyFormattedCitation":"(Knell &amp; Stix, 2020; Norton &amp; Ariely, 2011)"},"properties":{"noteIndex":0},"schema":"https://github.com/citation-style-language/schema/raw/master/csl-citation.json"}</w:instrText>
      </w:r>
      <w:r w:rsidR="00562707">
        <w:fldChar w:fldCharType="separate"/>
      </w:r>
      <w:r w:rsidR="00562707" w:rsidRPr="00562707">
        <w:rPr>
          <w:noProof/>
        </w:rPr>
        <w:t>(Knell &amp; Stix, 2020; Norton &amp; Ariely, 2011)</w:t>
      </w:r>
      <w:r w:rsidR="00562707">
        <w:fldChar w:fldCharType="end"/>
      </w:r>
      <w:r w:rsidR="00562707">
        <w:t>.</w:t>
      </w:r>
      <w:r w:rsidR="009368A4">
        <w:t xml:space="preserve"> </w:t>
      </w:r>
      <w:r w:rsidR="00DB7BEB">
        <w:t>We</w:t>
      </w:r>
      <w:r w:rsidR="006D4910">
        <w:t xml:space="preserve"> therefore</w:t>
      </w:r>
      <w:r w:rsidR="00DB7BEB">
        <w:t xml:space="preserve"> </w:t>
      </w:r>
      <w:r w:rsidR="00897789">
        <w:t xml:space="preserve">controlled for social </w:t>
      </w:r>
      <w:r w:rsidR="00562707">
        <w:t xml:space="preserve">status </w:t>
      </w:r>
      <w:r w:rsidR="00DB7BEB">
        <w:t>us</w:t>
      </w:r>
      <w:r w:rsidR="00897789">
        <w:t>ing the</w:t>
      </w:r>
      <w:r w:rsidR="00DB7BEB">
        <w:t xml:space="preserve"> </w:t>
      </w:r>
      <w:r w:rsidR="00862243" w:rsidRPr="000D315C">
        <w:rPr>
          <w:i/>
          <w:iCs/>
        </w:rPr>
        <w:t>MacArthur</w:t>
      </w:r>
      <w:r w:rsidR="00DB7BEB" w:rsidRPr="000D315C">
        <w:rPr>
          <w:i/>
          <w:iCs/>
        </w:rPr>
        <w:t xml:space="preserve"> Scale </w:t>
      </w:r>
      <w:r w:rsidR="00DB7BEB" w:rsidRPr="000D315C">
        <w:rPr>
          <w:i/>
          <w:iCs/>
        </w:rPr>
        <w:lastRenderedPageBreak/>
        <w:t>of Subjective Social Status</w:t>
      </w:r>
      <w:r w:rsidR="00DB7BEB">
        <w:t xml:space="preserve"> </w:t>
      </w:r>
      <w:r w:rsidR="00DB7BEB">
        <w:fldChar w:fldCharType="begin" w:fldLock="1"/>
      </w:r>
      <w:r w:rsidR="004054CD">
        <w:instrText xml:space="preserve">ADDIN CSL_CITATION {"citationItems":[{"id":"ITEM-1","itemData":{"DOI":"10.1016/S0277-9536(02)00131-4","ISSN":"02779536","PMID":"12600368","abstract":"The purpose of this study was twofold - (1) investigate the role of subjective social status as a predictor of ill-health, with a further exploration of the extent to which this relationship could be accounted for by conventional measures of socioeconomic position; (2) examine the determinants of a relatively new measure of subjective social status used in this study. A 10 rung self-anchoring scale was used to measure subjective social status in the Whitehall II study, a prospective cohort study of London-based civil service employees. Results indicate that subjective status is a strong predictor of ill-health, and that education, occupation and income do not explain this relationship fully for all the health measures examined. The results provide further support for the multidimensional nature of both social inequality and health. Multiple regression shows subjective status to be determined by occupational position, education, household income, satisfaction with standard of living, and feeling of financial security regarding the future. The results suggest that subjective social status reflects the cognitive averaging of standard markers of socioeconomic situation and is free of psychological biases. © 2002 Elsevier Science Ltd. All rights reserved.","author":[{"dropping-particle":"","family":"Singh-Manoux","given":"Archana","non-dropping-particle":"","parse-names":false,"suffix":""},{"dropping-particle":"","family":"Adler","given":"Nancy E.","non-dropping-particle":"","parse-names":false,"suffix":""},{"dropping-particle":"","family":"Marmot","given":"Michael G.","non-dropping-particle":"","parse-names":false,"suffix":""}],"container-title":"Social Science and Medicine","id":"ITEM-1","issue":"6","issued":{"date-parts":[["2003"]]},"page":"1321-1333","title":"Subjective social status: Its determinants and its association with measures of ill-health in the Whitehall II study","type":"article-journal","volume":"56"},"uris":["http://www.mendeley.com/documents/?uuid=d6654c8f-a2a7-4ad1-afb1-eea1971ff9b4"]},{"id":"ITEM-2","itemData":{"DOI":"10.1111/padr.12183","ISSN":"17284457","author":[{"dropping-particle":"","family":"Glei","given":"Dana A.","non-dropping-particle":"","parse-names":false,"suffix":""},{"dropping-particle":"","family":"Goldman","given":"Noreen","non-dropping-particle":"","parse-names":false,"suffix":""},{"dropping-particle":"","family":"Weinstein","given":"Maxine","non-dropping-particle":"","parse-names":false,"suffix":""}],"container-title":"Population and Development Review","id":"ITEM-2","issue":"4","issued":{"date-parts":[["2018"]]},"page":"695-722","title":"Perception has its own reality: Subjective versus objective measures of economic distress","type":"article-journal","volume":"44"},"uris":["http://www.mendeley.com/documents/?uuid=a63e1f22-9f6a-4ef7-bda5-9e64dbcb459b"]},{"id":"ITEM-3","itemData":{"DOI":"10.1542/peds.108.2.e31","abstract":"Objective. Eliminating health dispari-ties, including those that are a result of socioeconomic status (SES), is one of the overarching goals of Healthy People 2010. This article reports on the development of a new, adolescent-specific measure of subjective social sta-tus (SSS) and on initial exploratory analyses of the rela-tionship of SSS to adolescents' physical and psycholog-ical health. Methods. A cross-sectional study of 10 843 adoles-cents and a subsample of 166 paired adolescent/mother dyads who participated in the Growing Up Today Study was conducted. The newly developed MacArthur Scale of Subjective Social Status (10-point scale) was used to measure SSS. Paternal education was the measure of SES. Indicators of psychological and physical health in-cluded depressive symptoms and obesity, respectively. Linear regression analyses determined the association of SSS to depressive symptoms, and logistic regression de-termined the association of SSS to overweight and obe-sity, controlling for sociodemographic factors and SES. Results. Mean society ladder ranking, a subjective measure of SES, was 7.2 ؎ 1.3. Mean community ladder ranking, a measure of perceived placement in the school community, was 7.6 ؎ 1.7. Reliability of the instrument was excellent: the intraclass correlation coefficient was 0.73 for the society ladder and 0.79 for the community ladder. Adolescents had higher society ladder rankings than their mothers (␮ teen </w:instrText>
      </w:r>
      <w:dir w:val="rtl">
        <w:r w:rsidR="004054CD">
          <w:instrText>؍</w:instrText>
        </w:r>
        <w:r w:rsidR="004054CD">
          <w:instrText xml:space="preserve">‬ 7.2 ؎ 1.3 vs ␮ mom </w:instrText>
        </w:r>
        <w:dir w:val="rtl">
          <w:r w:rsidR="004054CD">
            <w:instrText>؍</w:instrText>
          </w:r>
          <w:r w:rsidR="004054CD">
            <w:instrText xml:space="preserve">‬ 6.8 ؎ 1.2; P </w:instrText>
          </w:r>
          <w:dir w:val="rtl">
            <w:r w:rsidR="004054CD">
              <w:instrText>؍</w:instrText>
            </w:r>
            <w:r w:rsidR="004054CD">
              <w:instrText xml:space="preserve">‬ .002). Older adolescents' perceptions of familial placement in society were more closely correlated with maternal subjective perceptions of placement than those of younger adolescents (Spearman's rho teens &lt;15 years </w:instrText>
            </w:r>
            <w:dir w:val="rtl">
              <w:r w:rsidR="004054CD">
                <w:instrText>؍</w:instrText>
              </w:r>
              <w:r w:rsidR="004054CD">
                <w:instrText xml:space="preserve">‬ 0.31 vs Spearman's rho teens &gt;15 years </w:instrText>
              </w:r>
              <w:dir w:val="rtl">
                <w:r w:rsidR="004054CD">
                  <w:instrText>؍</w:instrText>
                </w:r>
                <w:r w:rsidR="004054CD">
                  <w:instrText xml:space="preserve">‬ 0.45; P &lt; .001 for both). SSS explained 9.9% of the variance in depressive symptoms and was independently associated with obe-sity (odds ratio society </w:instrText>
                </w:r>
                <w:dir w:val="rtl">
                  <w:r w:rsidR="004054CD">
                    <w:instrText>؍</w:instrText>
                  </w:r>
                  <w:r w:rsidR="004054CD">
                    <w:instrText xml:space="preserve">‬ 0.89, 95% confidence interval </w:instrText>
                  </w:r>
                  <w:dir w:val="rtl">
                    <w:r w:rsidR="004054CD">
                      <w:instrText>؍</w:instrText>
                    </w:r>
                    <w:r w:rsidR="004054CD">
                      <w:instrText xml:space="preserve">‬ 0.83, 0.95; odds ratio community </w:instrText>
                    </w:r>
                    <w:dir w:val="rtl">
                      <w:r w:rsidR="004054CD">
                        <w:instrText>؍</w:instrText>
                      </w:r>
                      <w:r w:rsidR="004054CD">
                        <w:instrText xml:space="preserve">‬ 0.91, 95% confidence interval </w:instrText>
                      </w:r>
                      <w:dir w:val="rtl">
                        <w:r w:rsidR="004054CD">
                          <w:instrText>؍</w:instrText>
                        </w:r>
                        <w:r w:rsidR="004054CD">
                          <w:instrText>‬ 0.87, 0.97). For both depressive symptoms and obesity, community ladder rankings were more strongly associated with health than were society ladder rankings in models that controlled for both domains of SSS. Conclusions. This new instrument can reliably mea-sure SSS among adolescents. Social stratification as re-flected by SSS is associated with adolescents' health. The findings suggest that as adolescents mature, SSS may undergo a developmental shift. Determining how thes…","author":[{"dropping-particle":"","family":"Goodman","given":"Elizabeth","non-dropping-particle":"","parse-names":false,"suffix":""},{"dropping-particle":"","family":"Adler","given":"Nancy E","non-dropping-particle":"","parse-names":false,"suffix":""},{"dropping-particle":"","family":"Kawachi","given":"Ichiro","non-dropping-particle":"","parse-names":false,"suffix":""},{"dropping-particle":"","family":"Frazier","given":"A Lindsay","non-dropping-particle":"","parse-names":false,"suffix":""},{"dropping-particle":"","family":"Huang","given":"Bin","non-dropping-particle":"","parse-names":false,"suffix":""},{"dropping-particle":"","family":"Colditz","given":"Graham A","non-dropping-particle":"","parse-names":false,"suffix":""}],"container-title":"Pediatrics","id":"ITEM-3","issue":"2","issued":{"date-parts":[["2001"]]},"page":"1-8","title":"Adolescents’ perceptions of social status: Development and evaluation of a new indicator","type":"article-journal","volume":"108"},"uris":["http://www.mendeley.com/documents/?uuid=e400b7bc-7e23-4b24-99c0-0f3a5e5acf76"]}],"mendeley":{"formattedCitation":"(Glei et al., 2018; Goodman et al., 2001; Singh-Manoux et al., 2003)","plainTextFormattedCitation":"(Glei et al., 2018; Goodman et al., 2001; Singh-Manoux et al., 2003)","previouslyFormattedCitation":"(Glei et al., 2018; Goodman et al., 2001; Singh-Manoux et al., 2003)"},"properties":{"noteIndex":0},"schema":"https://github.com/citation-style-language/schema/raw/master/csl-citation.json"}</w:instrText>
                        </w:r>
                        <w:r w:rsidR="00DB7BEB">
                          <w:fldChar w:fldCharType="separate"/>
                        </w:r>
                        <w:r w:rsidR="00DB7BEB" w:rsidRPr="00DB7BEB">
                          <w:rPr>
                            <w:noProof/>
                          </w:rPr>
                          <w:t>(Glei et al., 2018; Goodman et al., 2001; Singh-Manoux et al., 2003)</w:t>
                        </w:r>
                        <w:r w:rsidR="00DB7BEB">
                          <w:fldChar w:fldCharType="end"/>
                        </w:r>
                        <w:r w:rsidR="00862243">
                          <w:t xml:space="preserve">. </w:t>
                        </w:r>
                        <w:r w:rsidR="00072860" w:rsidRPr="00072860">
                          <w:t>Participants were shown a 10-rung ladder and asked to indicate where they felt they fit on the ladder relative to others, and this was coded from (1) bottom rung/worst off in society, to (10) top rung/best off in society.</w:t>
                        </w:r>
                        <w:r w:rsidR="00F50EBA">
                          <w:t>‬</w:t>
                        </w:r>
                        <w:r w:rsidR="00F50EBA">
                          <w:t>‬</w:t>
                        </w:r>
                        <w:r w:rsidR="00F50EBA">
                          <w:t>‬</w:t>
                        </w:r>
                        <w:r w:rsidR="00F50EBA">
                          <w:t>‬</w:t>
                        </w:r>
                        <w:r w:rsidR="00F50EBA">
                          <w:t>‬</w:t>
                        </w:r>
                        <w:r w:rsidR="00F50EBA">
                          <w:t>‬</w:t>
                        </w:r>
                        <w:r w:rsidR="00F50EBA">
                          <w:t>‬</w:t>
                        </w:r>
                        <w:r w:rsidR="00F50EBA">
                          <w:t>‬</w:t>
                        </w:r>
                        <w:r w:rsidR="00F50EBA">
                          <w:t>‬</w:t>
                        </w:r>
                      </w:dir>
                    </w:dir>
                  </w:dir>
                </w:dir>
              </w:dir>
            </w:dir>
          </w:dir>
        </w:dir>
      </w:dir>
    </w:p>
    <w:p w14:paraId="40E009BD" w14:textId="3E2B3435" w:rsidR="0017545D" w:rsidRDefault="00072860">
      <w:pPr>
        <w:spacing w:line="480" w:lineRule="auto"/>
        <w:ind w:firstLine="720"/>
        <w:rPr>
          <w:rFonts w:eastAsia="Calibri"/>
          <w:lang w:val="en-GB"/>
        </w:rPr>
      </w:pPr>
      <w:r w:rsidRPr="00072860">
        <w:rPr>
          <w:rFonts w:eastAsia="Calibri"/>
          <w:lang w:val="en-GB"/>
        </w:rPr>
        <w:t>In addition, several country-level measures were controlled for. First, we accounted for the overall prosperity of each country using the</w:t>
      </w:r>
      <w:r>
        <w:rPr>
          <w:rFonts w:eastAsia="Calibri"/>
          <w:lang w:val="en-GB"/>
        </w:rPr>
        <w:t xml:space="preserve"> </w:t>
      </w:r>
      <w:r w:rsidR="009A5B91" w:rsidRPr="000D315C">
        <w:rPr>
          <w:rFonts w:eastAsia="Calibri"/>
          <w:i/>
          <w:iCs/>
          <w:lang w:val="en-GB"/>
        </w:rPr>
        <w:t>Legatum Prosperity Index</w:t>
      </w:r>
      <w:r w:rsidR="009A5B91">
        <w:rPr>
          <w:rFonts w:eastAsia="Calibri"/>
          <w:lang w:val="en-GB"/>
        </w:rPr>
        <w:t xml:space="preserve"> </w:t>
      </w:r>
      <w:r w:rsidR="00D0709A">
        <w:rPr>
          <w:rFonts w:eastAsia="Calibri"/>
          <w:lang w:val="en-GB"/>
        </w:rPr>
        <w:fldChar w:fldCharType="begin" w:fldLock="1"/>
      </w:r>
      <w:r w:rsidR="00D0709A">
        <w:rPr>
          <w:rFonts w:eastAsia="Calibri"/>
          <w:lang w:val="en-GB"/>
        </w:rPr>
        <w:instrText>ADDIN CSL_CITATION {"citationItems":[{"id":"ITEM-1","itemData":{"URL":"https://www.prosperity.com/rankings","accessed":{"date-parts":[["2020","8","25"]]},"author":[{"dropping-particle":"","family":"Legatum Institute","given":"","non-dropping-particle":"","parse-names":false,"suffix":""}],"id":"ITEM-1","issued":{"date-parts":[["2019"]]},"title":"Legatum Prosperity Index","type":"webpage"},"uris":["http://www.mendeley.com/documents/?uuid=dafd274f-76c2-4867-8fc3-a88a80a0bc31"]}],"mendeley":{"formattedCitation":"(Legatum Institute, 2019)","plainTextFormattedCitation":"(Legatum Institute, 2019)","previouslyFormattedCitation":"(Legatum Institute, 2019)"},"properties":{"noteIndex":0},"schema":"https://github.com/citation-style-language/schema/raw/master/csl-citation.json"}</w:instrText>
      </w:r>
      <w:r w:rsidR="00D0709A">
        <w:rPr>
          <w:rFonts w:eastAsia="Calibri"/>
          <w:lang w:val="en-GB"/>
        </w:rPr>
        <w:fldChar w:fldCharType="separate"/>
      </w:r>
      <w:r w:rsidR="00D0709A" w:rsidRPr="00D0709A">
        <w:rPr>
          <w:rFonts w:eastAsia="Calibri"/>
          <w:noProof/>
          <w:lang w:val="en-GB"/>
        </w:rPr>
        <w:t>(Legatum Institute, 2019)</w:t>
      </w:r>
      <w:r w:rsidR="00D0709A">
        <w:rPr>
          <w:rFonts w:eastAsia="Calibri"/>
          <w:lang w:val="en-GB"/>
        </w:rPr>
        <w:fldChar w:fldCharType="end"/>
      </w:r>
      <w:r w:rsidR="009A5B91">
        <w:rPr>
          <w:rFonts w:eastAsia="Calibri"/>
          <w:lang w:val="en-GB"/>
        </w:rPr>
        <w:t xml:space="preserve">. </w:t>
      </w:r>
      <w:r w:rsidRPr="00072860">
        <w:rPr>
          <w:rFonts w:eastAsia="Calibri"/>
          <w:lang w:val="en-GB"/>
        </w:rPr>
        <w:t xml:space="preserve">This measure collates variables </w:t>
      </w:r>
      <w:proofErr w:type="spellStart"/>
      <w:r w:rsidRPr="00072860">
        <w:rPr>
          <w:rFonts w:eastAsia="Calibri"/>
          <w:lang w:val="en-GB"/>
        </w:rPr>
        <w:t>signaling</w:t>
      </w:r>
      <w:proofErr w:type="spellEnd"/>
      <w:r w:rsidRPr="00072860">
        <w:rPr>
          <w:rFonts w:eastAsia="Calibri"/>
          <w:lang w:val="en-GB"/>
        </w:rPr>
        <w:t xml:space="preserve"> quality of life and was measured from (0) least prosperous to (100) most prosperous. We controlled for this as a decent quality of life may be necessary before individuals can expand their moral worlds. We also accounted for the wealth of each country by including a measure of </w:t>
      </w:r>
      <w:r w:rsidRPr="00072860">
        <w:rPr>
          <w:rFonts w:eastAsia="Calibri"/>
          <w:i/>
          <w:iCs/>
          <w:lang w:val="en-GB"/>
        </w:rPr>
        <w:t>Gross Domestic Product at Purchasing Power Parity (GDP PPP) per capita</w:t>
      </w:r>
      <w:r w:rsidRPr="00072860">
        <w:rPr>
          <w:rFonts w:eastAsia="Calibri"/>
          <w:lang w:val="en-GB"/>
        </w:rPr>
        <w:t xml:space="preserve"> from the World Bank in international dollars</w:t>
      </w:r>
      <w:r>
        <w:rPr>
          <w:rFonts w:eastAsia="Calibri"/>
          <w:lang w:val="en-GB"/>
        </w:rPr>
        <w:t xml:space="preserve"> </w:t>
      </w:r>
      <w:r w:rsidR="00232D07">
        <w:rPr>
          <w:rFonts w:eastAsia="Calibri"/>
          <w:lang w:val="en-GB"/>
        </w:rPr>
        <w:fldChar w:fldCharType="begin" w:fldLock="1"/>
      </w:r>
      <w:r w:rsidR="00232D07">
        <w:rPr>
          <w:rFonts w:eastAsia="Calibri"/>
          <w:lang w:val="en-GB"/>
        </w:rPr>
        <w:instrText>ADDIN CSL_CITATION {"citationItems":[{"id":"ITEM-1","itemData":{"URL":"https://data.worldbank.org/indicator/NY.GDP.PCAP.PP.CD?end=2019&amp;name_desc=false&amp;start=1990&amp;view=chart","accessed":{"date-parts":[["2020","8","25"]]},"author":[{"dropping-particle":"","family":"The World Bank","given":"","non-dropping-particle":"","parse-names":false,"suffix":""}],"id":"ITEM-1","issued":{"date-parts":[["2019"]]},"title":"GDP per capita, PPP (current international $)","type":"webpage"},"uris":["http://www.mendeley.com/documents/?uuid=c0d169ba-a678-492c-bc25-a2a0962cc8b7"]}],"mendeley":{"formattedCitation":"(The World Bank, 2019a)","plainTextFormattedCitation":"(The World Bank, 2019a)","previouslyFormattedCitation":"(The World Bank, 2019a)"},"properties":{"noteIndex":0},"schema":"https://github.com/citation-style-language/schema/raw/master/csl-citation.json"}</w:instrText>
      </w:r>
      <w:r w:rsidR="00232D07">
        <w:rPr>
          <w:rFonts w:eastAsia="Calibri"/>
          <w:lang w:val="en-GB"/>
        </w:rPr>
        <w:fldChar w:fldCharType="separate"/>
      </w:r>
      <w:r w:rsidR="00232D07" w:rsidRPr="00883911">
        <w:rPr>
          <w:rFonts w:eastAsia="Calibri"/>
          <w:noProof/>
          <w:lang w:val="en-GB"/>
        </w:rPr>
        <w:t>(The World Bank, 2019a)</w:t>
      </w:r>
      <w:r w:rsidR="00232D07">
        <w:rPr>
          <w:rFonts w:eastAsia="Calibri"/>
          <w:lang w:val="en-GB"/>
        </w:rPr>
        <w:fldChar w:fldCharType="end"/>
      </w:r>
      <w:r w:rsidR="00232D07">
        <w:rPr>
          <w:rFonts w:eastAsia="Calibri"/>
          <w:lang w:val="en-GB"/>
        </w:rPr>
        <w:t xml:space="preserve">. </w:t>
      </w:r>
    </w:p>
    <w:p w14:paraId="51A2C09D" w14:textId="207CAE67" w:rsidR="003C679E" w:rsidRPr="009368A4" w:rsidRDefault="00072860">
      <w:pPr>
        <w:spacing w:line="480" w:lineRule="auto"/>
        <w:ind w:firstLine="720"/>
        <w:rPr>
          <w:rFonts w:eastAsia="Calibri"/>
          <w:lang w:val="en-GB"/>
        </w:rPr>
      </w:pPr>
      <w:r w:rsidRPr="00072860">
        <w:rPr>
          <w:rFonts w:eastAsia="Calibri"/>
          <w:lang w:val="en-GB"/>
        </w:rPr>
        <w:t xml:space="preserve">Democracy in a country gives individuals more freedom compared with those run by authoritarian rule. In democracies, differences in opinions serve as a foundation for the political system, and this may give citizens the freedom to care for greater numbers of entities. To account for this, we included the </w:t>
      </w:r>
      <w:r w:rsidRPr="00072860">
        <w:rPr>
          <w:rFonts w:eastAsia="Calibri"/>
          <w:i/>
          <w:iCs/>
          <w:lang w:val="en-GB"/>
        </w:rPr>
        <w:t>Democracy Index</w:t>
      </w:r>
      <w:r w:rsidRPr="00072860">
        <w:rPr>
          <w:rFonts w:eastAsia="Calibri"/>
          <w:lang w:val="en-GB"/>
        </w:rPr>
        <w:t xml:space="preserve"> collated by the Economist Intelligence Unit that ranks countries between (0) most authoritarian to (10) most democratic</w:t>
      </w:r>
      <w:r>
        <w:rPr>
          <w:rFonts w:eastAsia="Calibri"/>
          <w:lang w:val="en-GB"/>
        </w:rPr>
        <w:t xml:space="preserve"> </w:t>
      </w:r>
      <w:r w:rsidR="00D0709A">
        <w:rPr>
          <w:rFonts w:eastAsia="Calibri"/>
          <w:lang w:val="en-GB"/>
        </w:rPr>
        <w:fldChar w:fldCharType="begin" w:fldLock="1"/>
      </w:r>
      <w:r w:rsidR="00D0709A">
        <w:rPr>
          <w:rFonts w:eastAsia="Calibri"/>
          <w:lang w:val="en-GB"/>
        </w:rPr>
        <w:instrText>ADDIN CSL_CITATION {"citationItems":[{"id":"ITEM-1","itemData":{"URL":"https://www.eiu.com/topic/democracy-index","accessed":{"date-parts":[["2020","8","25"]]},"author":[{"dropping-particle":"","family":"Economist Intelligence Unit","given":"","non-dropping-particle":"","parse-names":false,"suffix":""}],"id":"ITEM-1","issued":{"date-parts":[["2019"]]},"title":"Democracy Index 2019","type":"webpage"},"uris":["http://www.mendeley.com/documents/?uuid=47d1a8a3-3760-48a7-982a-231ac30e0c33"]}],"mendeley":{"formattedCitation":"(Economist Intelligence Unit, 2019)","plainTextFormattedCitation":"(Economist Intelligence Unit, 2019)","previouslyFormattedCitation":"(Economist Intelligence Unit, 2019)"},"properties":{"noteIndex":0},"schema":"https://github.com/citation-style-language/schema/raw/master/csl-citation.json"}</w:instrText>
      </w:r>
      <w:r w:rsidR="00D0709A">
        <w:rPr>
          <w:rFonts w:eastAsia="Calibri"/>
          <w:lang w:val="en-GB"/>
        </w:rPr>
        <w:fldChar w:fldCharType="separate"/>
      </w:r>
      <w:r w:rsidR="00D0709A" w:rsidRPr="00D0709A">
        <w:rPr>
          <w:rFonts w:eastAsia="Calibri"/>
          <w:noProof/>
          <w:lang w:val="en-GB"/>
        </w:rPr>
        <w:t>(Economist Intelligence Unit, 2019)</w:t>
      </w:r>
      <w:r w:rsidR="00D0709A">
        <w:rPr>
          <w:rFonts w:eastAsia="Calibri"/>
          <w:lang w:val="en-GB"/>
        </w:rPr>
        <w:fldChar w:fldCharType="end"/>
      </w:r>
      <w:r w:rsidR="00022EA3">
        <w:rPr>
          <w:rFonts w:eastAsia="Calibri"/>
          <w:lang w:val="en-GB"/>
        </w:rPr>
        <w:t xml:space="preserve">. </w:t>
      </w:r>
      <w:r w:rsidRPr="00072860">
        <w:rPr>
          <w:rFonts w:eastAsia="Calibri"/>
          <w:lang w:val="en-GB"/>
        </w:rPr>
        <w:t>In addition, high levels of threat and crime within an environment may lead individuals to have restricted moral circles, and threat and crime have been associated with higher inequality</w:t>
      </w:r>
      <w:r>
        <w:rPr>
          <w:rFonts w:eastAsia="Calibri"/>
          <w:lang w:val="en-GB"/>
        </w:rPr>
        <w:t xml:space="preserve"> </w:t>
      </w:r>
      <w:r w:rsidR="00935F2D">
        <w:rPr>
          <w:rFonts w:eastAsia="Calibri"/>
          <w:lang w:val="en-GB"/>
        </w:rPr>
        <w:fldChar w:fldCharType="begin" w:fldLock="1"/>
      </w:r>
      <w:r w:rsidR="007B351D">
        <w:rPr>
          <w:rFonts w:eastAsia="Calibri"/>
          <w:lang w:val="en-GB"/>
        </w:rPr>
        <w:instrText>ADDIN CSL_CITATION {"citationItems":[{"id":"ITEM-1","itemData":{"author":[{"dropping-particle":"","family":"Wilkinson","given":"Richard G.","non-dropping-particle":"","parse-names":false,"suffix":""},{"dropping-particle":"","family":"Pickett","given":"Kate E.","non-dropping-particle":"","parse-names":false,"suffix":""}],"id":"ITEM-1","issued":{"date-parts":[["2009"]]},"publisher":"Allen Lane","publisher-place":"London","title":"The spirit level: Why more equal societies almost always do better","type":"book"},"uris":["http://www.mendeley.com/documents/?uuid=64240485-094a-4242-a361-b8f9fecbe254"]}],"mendeley":{"formattedCitation":"(Wilkinson &amp; Pickett, 2009)","plainTextFormattedCitation":"(Wilkinson &amp; Pickett, 2009)","previouslyFormattedCitation":"(Wilkinson &amp; Pickett, 2009)"},"properties":{"noteIndex":0},"schema":"https://github.com/citation-style-language/schema/raw/master/csl-citation.json"}</w:instrText>
      </w:r>
      <w:r w:rsidR="00935F2D">
        <w:rPr>
          <w:rFonts w:eastAsia="Calibri"/>
          <w:lang w:val="en-GB"/>
        </w:rPr>
        <w:fldChar w:fldCharType="separate"/>
      </w:r>
      <w:r w:rsidR="00935F2D" w:rsidRPr="00935F2D">
        <w:rPr>
          <w:rFonts w:eastAsia="Calibri"/>
          <w:noProof/>
          <w:lang w:val="en-GB"/>
        </w:rPr>
        <w:t>(Wilkinson &amp; Pickett, 2009)</w:t>
      </w:r>
      <w:r w:rsidR="00935F2D">
        <w:rPr>
          <w:rFonts w:eastAsia="Calibri"/>
          <w:lang w:val="en-GB"/>
        </w:rPr>
        <w:fldChar w:fldCharType="end"/>
      </w:r>
      <w:r w:rsidR="003C679E">
        <w:rPr>
          <w:rFonts w:eastAsia="Calibri"/>
          <w:lang w:val="en-GB"/>
        </w:rPr>
        <w:t xml:space="preserve">. </w:t>
      </w:r>
      <w:r w:rsidRPr="00072860">
        <w:rPr>
          <w:rFonts w:eastAsia="Calibri"/>
          <w:lang w:val="en-GB"/>
        </w:rPr>
        <w:t xml:space="preserve">We included the </w:t>
      </w:r>
      <w:r w:rsidRPr="00072860">
        <w:rPr>
          <w:rFonts w:eastAsia="Calibri"/>
          <w:i/>
          <w:iCs/>
          <w:lang w:val="en-GB"/>
        </w:rPr>
        <w:t>homicide rate</w:t>
      </w:r>
      <w:r w:rsidRPr="00072860">
        <w:rPr>
          <w:rFonts w:eastAsia="Calibri"/>
          <w:lang w:val="en-GB"/>
        </w:rPr>
        <w:t xml:space="preserve"> per 100,000 inhabitants from the United Nations Office on Drugs and Homicide</w:t>
      </w:r>
      <w:r w:rsidR="00D0709A">
        <w:rPr>
          <w:rFonts w:eastAsia="Calibri"/>
          <w:lang w:val="en-GB"/>
        </w:rPr>
        <w:t xml:space="preserve"> </w:t>
      </w:r>
      <w:r w:rsidR="00D0709A">
        <w:rPr>
          <w:rFonts w:eastAsia="Calibri"/>
          <w:lang w:val="en-GB"/>
        </w:rPr>
        <w:fldChar w:fldCharType="begin" w:fldLock="1"/>
      </w:r>
      <w:r w:rsidR="00883911">
        <w:rPr>
          <w:rFonts w:eastAsia="Calibri"/>
          <w:lang w:val="en-GB"/>
        </w:rPr>
        <w:instrText>ADDIN CSL_CITATION {"citationItems":[{"id":"ITEM-1","itemData":{"URL":"https://dataunodc.un.org/content/data/homicide/homicide-rate","accessed":{"date-parts":[["2020","8","25"]]},"author":[{"dropping-particle":"","family":"United Nations Office on Drugs and Crime","given":"","non-dropping-particle":"","parse-names":false,"suffix":""}],"id":"ITEM-1","issued":{"date-parts":[["2019"]]},"title":"Victims of intentional homicide, 1990-2018","type":"webpage"},"uris":["http://www.mendeley.com/documents/?uuid=ec93b54d-eb98-406d-961f-d9befd9396b1"]}],"mendeley":{"formattedCitation":"(United Nations Office on Drugs and Crime, 2019)","plainTextFormattedCitation":"(United Nations Office on Drugs and Crime, 2019)","previouslyFormattedCitation":"(United Nations Office on Drugs and Crime, 2019)"},"properties":{"noteIndex":0},"schema":"https://github.com/citation-style-language/schema/raw/master/csl-citation.json"}</w:instrText>
      </w:r>
      <w:r w:rsidR="00D0709A">
        <w:rPr>
          <w:rFonts w:eastAsia="Calibri"/>
          <w:lang w:val="en-GB"/>
        </w:rPr>
        <w:fldChar w:fldCharType="separate"/>
      </w:r>
      <w:r w:rsidR="00D0709A" w:rsidRPr="00D0709A">
        <w:rPr>
          <w:rFonts w:eastAsia="Calibri"/>
          <w:noProof/>
          <w:lang w:val="en-GB"/>
        </w:rPr>
        <w:t>(United Nations Office on Drugs and Crime, 2019)</w:t>
      </w:r>
      <w:r w:rsidR="00D0709A">
        <w:rPr>
          <w:rFonts w:eastAsia="Calibri"/>
          <w:lang w:val="en-GB"/>
        </w:rPr>
        <w:fldChar w:fldCharType="end"/>
      </w:r>
      <w:r w:rsidR="00854E39">
        <w:rPr>
          <w:rFonts w:eastAsia="Calibri"/>
          <w:lang w:val="en-GB"/>
        </w:rPr>
        <w:t xml:space="preserve">. </w:t>
      </w:r>
    </w:p>
    <w:p w14:paraId="72B5F1F9" w14:textId="4505DE9B" w:rsidR="0040625A" w:rsidRPr="009368A4" w:rsidRDefault="0040625A" w:rsidP="009368A4">
      <w:pPr>
        <w:spacing w:line="480" w:lineRule="auto"/>
        <w:rPr>
          <w:b/>
          <w:bCs/>
        </w:rPr>
      </w:pPr>
      <w:r w:rsidRPr="009368A4">
        <w:rPr>
          <w:b/>
          <w:bCs/>
        </w:rPr>
        <w:t>Method of Analysis</w:t>
      </w:r>
    </w:p>
    <w:p w14:paraId="70AA864A" w14:textId="70D09958" w:rsidR="00396593" w:rsidRPr="009179AB" w:rsidRDefault="00072860" w:rsidP="00072860">
      <w:pPr>
        <w:spacing w:line="480" w:lineRule="auto"/>
        <w:ind w:firstLine="720"/>
      </w:pPr>
      <w:r w:rsidRPr="00072860">
        <w:t xml:space="preserve">In the current study, data were collected from 41 samples and the nested nature of this data was accounted for by using a series of linear mixed models (LMM), with a random </w:t>
      </w:r>
      <w:r w:rsidRPr="00072860">
        <w:lastRenderedPageBreak/>
        <w:t>intercept of country. In each model, the within-country (country mean-</w:t>
      </w:r>
      <w:proofErr w:type="spellStart"/>
      <w:r w:rsidRPr="00072860">
        <w:t>centered</w:t>
      </w:r>
      <w:proofErr w:type="spellEnd"/>
      <w:r w:rsidRPr="00072860">
        <w:t>) and between-country (grand mean-</w:t>
      </w:r>
      <w:proofErr w:type="spellStart"/>
      <w:r w:rsidRPr="00072860">
        <w:t>centered</w:t>
      </w:r>
      <w:proofErr w:type="spellEnd"/>
      <w:r w:rsidRPr="00072860">
        <w:t xml:space="preserve"> for country averages) estimate for each predictor variable was included, and all control variables were added as fixed effects. The analyses were conducted in R studio</w:t>
      </w:r>
      <w:r>
        <w:t xml:space="preserve"> </w:t>
      </w:r>
      <w:r w:rsidR="00A72D16">
        <w:fldChar w:fldCharType="begin" w:fldLock="1"/>
      </w:r>
      <w:r w:rsidR="00D56AA3">
        <w:instrText>ADDIN CSL_CITATION {"citationItems":[{"id":"ITEM-1","itemData":{"DOI":"http://dx.doi.org/10.1007/978- 3-540-74686-7","author":[{"dropping-particle":"","family":"R Core Team","given":"","non-dropping-particle":"","parse-names":false,"suffix":""}],"container-title":"R Foundation for Statistical Computing","id":"ITEM-1","issued":{"date-parts":[["2008"]]},"publisher-place":"Vienna, Austria","title":"R: A Language and Environment for Statistical Computing. Vol. 739","type":"chapter"},"uris":["http://www.mendeley.com/documents/?uuid=689bc3dd-3ad0-4523-a7ea-71a6f5dccd22"]}],"mendeley":{"formattedCitation":"(R Core Team, 2008)","plainTextFormattedCitation":"(R Core Team, 2008)","previouslyFormattedCitation":"(R Core Team, 2008)"},"properties":{"noteIndex":0},"schema":"https://github.com/citation-style-language/schema/raw/master/csl-citation.json"}</w:instrText>
      </w:r>
      <w:r w:rsidR="00A72D16">
        <w:fldChar w:fldCharType="separate"/>
      </w:r>
      <w:r w:rsidR="00A72D16" w:rsidRPr="00A72D16">
        <w:rPr>
          <w:noProof/>
        </w:rPr>
        <w:t>(R Core Team, 2008)</w:t>
      </w:r>
      <w:r w:rsidR="00A72D16">
        <w:fldChar w:fldCharType="end"/>
      </w:r>
      <w:r w:rsidR="00396593">
        <w:t xml:space="preserve"> </w:t>
      </w:r>
      <w:r w:rsidR="00AD6C42">
        <w:t>with the</w:t>
      </w:r>
      <w:r w:rsidR="00396593">
        <w:t xml:space="preserve"> lme4 package</w:t>
      </w:r>
      <w:r w:rsidR="00A72D16">
        <w:t xml:space="preserve"> to </w:t>
      </w:r>
      <w:r w:rsidR="00935F2D">
        <w:t>estimate</w:t>
      </w:r>
      <w:r w:rsidR="00A72D16">
        <w:t xml:space="preserve"> Linear Mixed Models</w:t>
      </w:r>
      <w:r w:rsidR="00AD6C42">
        <w:t xml:space="preserve"> </w:t>
      </w:r>
      <w:r w:rsidR="00AD6C42">
        <w:fldChar w:fldCharType="begin" w:fldLock="1"/>
      </w:r>
      <w:r w:rsidR="00EA0A89">
        <w:instrText>ADDIN CSL_CITATION {"citationItems":[{"id":"ITEM-1","itemData":{"DOI":"10.18637/jss.v067.i01","ISSN":"15487660","abstract":"Maximum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author":[{"dropping-particle":"","family":"Bates","given":"Douglas","non-dropping-particle":"","parse-names":false,"suffix":""},{"dropping-particle":"","family":"Mächler","given":"Martin","non-dropping-particle":"","parse-names":false,"suffix":""},{"dropping-particle":"","family":"Bolker","given":"Benjamin M.","non-dropping-particle":"","parse-names":false,"suffix":""},{"dropping-particle":"","family":"Walker","given":"Steven C.","non-dropping-particle":"","parse-names":false,"suffix":""}],"container-title":"Journal of Statistical Software","id":"ITEM-1","issue":"1","issued":{"date-parts":[["2015"]]},"page":"1-48","title":"Fitting linear mixed-effects models using lme4","type":"article-journal","volume":"67"},"uris":["http://www.mendeley.com/documents/?uuid=f252509a-091e-42ed-b32d-6db7d6254a9a"]}],"mendeley":{"formattedCitation":"(Bates et al., 2015)","plainTextFormattedCitation":"(Bates et al., 2015)","previouslyFormattedCitation":"(Bates et al., 2015)"},"properties":{"noteIndex":0},"schema":"https://github.com/citation-style-language/schema/raw/master/csl-citation.json"}</w:instrText>
      </w:r>
      <w:r w:rsidR="00AD6C42">
        <w:fldChar w:fldCharType="separate"/>
      </w:r>
      <w:r w:rsidR="00AD6C42" w:rsidRPr="00AD6C42">
        <w:rPr>
          <w:noProof/>
        </w:rPr>
        <w:t>(Bates et al., 2015)</w:t>
      </w:r>
      <w:r w:rsidR="00AD6C42">
        <w:fldChar w:fldCharType="end"/>
      </w:r>
      <w:r w:rsidR="00396593">
        <w:t>.</w:t>
      </w:r>
      <w:r w:rsidR="00A72D16">
        <w:t xml:space="preserve"> </w:t>
      </w:r>
      <w:r w:rsidRPr="00072860">
        <w:t xml:space="preserve">The United States (North and South), Canada (French speaking and English speaking) and United Kingdom (England, Northern Ireland, </w:t>
      </w:r>
      <w:proofErr w:type="gramStart"/>
      <w:r w:rsidRPr="00072860">
        <w:t>Scotland</w:t>
      </w:r>
      <w:proofErr w:type="gramEnd"/>
      <w:r w:rsidRPr="00072860">
        <w:t xml:space="preserve"> and Wales) samples were collected from different locations and were treated as separate countries for the sake of analyses.</w:t>
      </w:r>
    </w:p>
    <w:p w14:paraId="1D3AB3EA" w14:textId="5A5BDEC5" w:rsidR="0040625A" w:rsidRDefault="0040625A" w:rsidP="006C2E7B">
      <w:pPr>
        <w:spacing w:line="480" w:lineRule="auto"/>
        <w:jc w:val="center"/>
        <w:rPr>
          <w:b/>
          <w:bCs/>
        </w:rPr>
      </w:pPr>
      <w:bookmarkStart w:id="0" w:name="OLE_LINK1"/>
      <w:bookmarkStart w:id="1" w:name="OLE_LINK2"/>
      <w:r w:rsidRPr="00396593">
        <w:rPr>
          <w:b/>
          <w:bCs/>
        </w:rPr>
        <w:t>Results</w:t>
      </w:r>
    </w:p>
    <w:p w14:paraId="7FF36EBE" w14:textId="27FC2211" w:rsidR="001C1720" w:rsidRPr="00D56FDA" w:rsidRDefault="00072860" w:rsidP="00072860">
      <w:pPr>
        <w:spacing w:line="480" w:lineRule="auto"/>
      </w:pPr>
      <w:r w:rsidRPr="00072860">
        <w:t xml:space="preserve">See Supplementary Materials 9 for full results for all models reported below. Based on the intraclass correlation, approximately 4.0% of the variance in moral expansiveness can be explained at the country level (see Figure 2). A likelihood ratio test established the variance between countries was greater than zero, </w:t>
      </w:r>
      <w:r w:rsidRPr="00072860">
        <w:rPr>
          <w:i/>
          <w:iCs/>
        </w:rPr>
        <w:t>χ</w:t>
      </w:r>
      <w:r w:rsidRPr="00072860">
        <w:rPr>
          <w:i/>
          <w:iCs/>
          <w:vertAlign w:val="superscript"/>
        </w:rPr>
        <w:t>2</w:t>
      </w:r>
      <w:r w:rsidRPr="00072860">
        <w:t xml:space="preserve">(40) = 295.53, </w:t>
      </w:r>
      <w:r w:rsidRPr="00072860">
        <w:rPr>
          <w:i/>
          <w:iCs/>
        </w:rPr>
        <w:t>p</w:t>
      </w:r>
      <w:r w:rsidRPr="00072860">
        <w:t xml:space="preserve"> &lt; .001. An ordinary least squares ANOVA provided converging evidence for this with a significant main effect of country on MES scores, </w:t>
      </w:r>
      <w:proofErr w:type="gramStart"/>
      <w:r w:rsidRPr="00072860">
        <w:rPr>
          <w:i/>
          <w:iCs/>
        </w:rPr>
        <w:t>F</w:t>
      </w:r>
      <w:r w:rsidRPr="00072860">
        <w:t>(</w:t>
      </w:r>
      <w:proofErr w:type="gramEnd"/>
      <w:r w:rsidRPr="00072860">
        <w:t xml:space="preserve">40, 6520) = 7.51, </w:t>
      </w:r>
      <w:r w:rsidRPr="00072860">
        <w:rPr>
          <w:i/>
          <w:iCs/>
        </w:rPr>
        <w:t>p</w:t>
      </w:r>
      <w:r w:rsidRPr="00072860">
        <w:t xml:space="preserve"> &lt; .001,</w:t>
      </w:r>
      <w:r>
        <w:t xml:space="preserve"> </w:t>
      </w:r>
      <w:r w:rsidR="00D56FDA" w:rsidRPr="00C011BB">
        <w:rPr>
          <w:color w:val="202124"/>
          <w:shd w:val="clear" w:color="auto" w:fill="FFFFFF"/>
        </w:rPr>
        <w:t>η</w:t>
      </w:r>
      <w:r w:rsidR="00C011BB">
        <w:rPr>
          <w:color w:val="202124"/>
          <w:shd w:val="clear" w:color="auto" w:fill="FFFFFF"/>
          <w:vertAlign w:val="subscript"/>
        </w:rPr>
        <w:t>p</w:t>
      </w:r>
      <w:r w:rsidR="00D56FDA" w:rsidRPr="00C011BB">
        <w:rPr>
          <w:color w:val="202124"/>
          <w:vertAlign w:val="superscript"/>
        </w:rPr>
        <w:t>2</w:t>
      </w:r>
      <w:r w:rsidR="00D56FDA">
        <w:rPr>
          <w:color w:val="202124"/>
          <w:vertAlign w:val="superscript"/>
        </w:rPr>
        <w:t xml:space="preserve"> </w:t>
      </w:r>
      <w:r w:rsidR="00D56FDA">
        <w:rPr>
          <w:color w:val="202124"/>
        </w:rPr>
        <w:t>= .04</w:t>
      </w:r>
      <w:r w:rsidR="00C011BB">
        <w:rPr>
          <w:color w:val="202124"/>
        </w:rPr>
        <w:t>4</w:t>
      </w:r>
      <w:r w:rsidR="00921B32" w:rsidRPr="00D56FDA">
        <w:t xml:space="preserve">. </w:t>
      </w:r>
      <w:r w:rsidR="001C1720" w:rsidRPr="00D56FDA">
        <w:t xml:space="preserve">Collapsing across all countries, </w:t>
      </w:r>
      <w:r w:rsidR="003D1352" w:rsidRPr="00D56FDA">
        <w:t xml:space="preserve">the average </w:t>
      </w:r>
      <w:r w:rsidR="00AF2A7F">
        <w:t>MES</w:t>
      </w:r>
      <w:r w:rsidR="003D1352" w:rsidRPr="00D56FDA">
        <w:t xml:space="preserve"> score was on the midpoint of the scale </w:t>
      </w:r>
      <w:r w:rsidR="001C1720" w:rsidRPr="00D56FDA">
        <w:t>(</w:t>
      </w:r>
      <w:r w:rsidR="001C1720" w:rsidRPr="00D56FDA">
        <w:rPr>
          <w:i/>
          <w:iCs/>
        </w:rPr>
        <w:t>M</w:t>
      </w:r>
      <w:r w:rsidR="001C1720" w:rsidRPr="00D56FDA">
        <w:t xml:space="preserve"> = 4</w:t>
      </w:r>
      <w:r w:rsidR="00944E18" w:rsidRPr="00D56FDA">
        <w:t>5</w:t>
      </w:r>
      <w:r w:rsidR="001C1720" w:rsidRPr="00D56FDA">
        <w:t>.</w:t>
      </w:r>
      <w:r w:rsidR="00944E18" w:rsidRPr="00D56FDA">
        <w:t>93</w:t>
      </w:r>
      <w:r w:rsidR="001C1720" w:rsidRPr="00D56FDA">
        <w:t xml:space="preserve">, </w:t>
      </w:r>
      <w:r w:rsidR="001C1720" w:rsidRPr="00D56FDA">
        <w:rPr>
          <w:i/>
          <w:iCs/>
        </w:rPr>
        <w:t>SD</w:t>
      </w:r>
      <w:r w:rsidR="001C1720" w:rsidRPr="00D56FDA">
        <w:t xml:space="preserve"> = </w:t>
      </w:r>
      <w:r w:rsidR="00944E18" w:rsidRPr="00D56FDA">
        <w:t>13.20</w:t>
      </w:r>
      <w:r w:rsidR="001C1720" w:rsidRPr="00D56FDA">
        <w:t>)</w:t>
      </w:r>
      <w:r w:rsidR="00921B32" w:rsidRPr="00D56FDA">
        <w:t xml:space="preserve">. </w:t>
      </w:r>
      <w:r w:rsidR="007306E5" w:rsidRPr="00D56FDA">
        <w:t xml:space="preserve">To establish the relationship between the control variables and </w:t>
      </w:r>
      <w:r w:rsidR="001F06E1">
        <w:t>MES</w:t>
      </w:r>
      <w:r w:rsidR="007306E5" w:rsidRPr="00D56FDA">
        <w:t>, an LMM was conducted. As shown in Table 1, females (</w:t>
      </w:r>
      <w:r w:rsidR="007306E5" w:rsidRPr="00D56FDA">
        <w:rPr>
          <w:i/>
          <w:iCs/>
        </w:rPr>
        <w:t>M</w:t>
      </w:r>
      <w:r w:rsidR="007306E5" w:rsidRPr="00D56FDA">
        <w:t xml:space="preserve"> = 46.20, </w:t>
      </w:r>
      <w:r w:rsidR="007306E5" w:rsidRPr="00D56FDA">
        <w:rPr>
          <w:i/>
          <w:iCs/>
        </w:rPr>
        <w:t>SD</w:t>
      </w:r>
      <w:r w:rsidR="007306E5" w:rsidRPr="00D56FDA">
        <w:t xml:space="preserve"> = 12.86) reported greater moral expansiveness compared to males (</w:t>
      </w:r>
      <w:r w:rsidR="007306E5" w:rsidRPr="00D56FDA">
        <w:rPr>
          <w:i/>
          <w:iCs/>
        </w:rPr>
        <w:t>M</w:t>
      </w:r>
      <w:r w:rsidR="007306E5" w:rsidRPr="00D56FDA">
        <w:t xml:space="preserve"> = 44.83, </w:t>
      </w:r>
      <w:r w:rsidR="007306E5" w:rsidRPr="00D56FDA">
        <w:rPr>
          <w:i/>
          <w:iCs/>
        </w:rPr>
        <w:t>SD</w:t>
      </w:r>
      <w:r w:rsidR="007306E5" w:rsidRPr="00D56FDA">
        <w:t xml:space="preserve"> = 13.58). In addition, greater moral expansiveness was witnessed with increased age and in those who reported lower levels of economic conservatism. </w:t>
      </w:r>
    </w:p>
    <w:p w14:paraId="09D995DE" w14:textId="7C97A65A" w:rsidR="00B7660B" w:rsidRDefault="00072860" w:rsidP="00072860">
      <w:pPr>
        <w:spacing w:line="480" w:lineRule="auto"/>
        <w:rPr>
          <w:noProof/>
        </w:rPr>
      </w:pPr>
      <w:r>
        <w:rPr>
          <w:noProof/>
        </w:rPr>
        <w:lastRenderedPageBreak/>
        <w:drawing>
          <wp:inline distT="0" distB="0" distL="0" distR="0" wp14:anchorId="60D5C726" wp14:editId="1C0461EF">
            <wp:extent cx="5291191" cy="8141963"/>
            <wp:effectExtent l="0" t="0" r="5080" b="0"/>
            <wp:docPr id="2" name="Picture 2"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funnel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13492" cy="8176280"/>
                    </a:xfrm>
                    <a:prstGeom prst="rect">
                      <a:avLst/>
                    </a:prstGeom>
                  </pic:spPr>
                </pic:pic>
              </a:graphicData>
            </a:graphic>
          </wp:inline>
        </w:drawing>
      </w:r>
    </w:p>
    <w:p w14:paraId="062452F1" w14:textId="71D21E20" w:rsidR="00E126BF" w:rsidRPr="00E126BF" w:rsidRDefault="00E126BF" w:rsidP="00072860">
      <w:pPr>
        <w:spacing w:line="480" w:lineRule="auto"/>
      </w:pPr>
      <w:r w:rsidRPr="00944E18">
        <w:rPr>
          <w:i/>
          <w:iCs/>
        </w:rPr>
        <w:t xml:space="preserve">Figure </w:t>
      </w:r>
      <w:r w:rsidR="00CB3A62">
        <w:rPr>
          <w:i/>
          <w:iCs/>
        </w:rPr>
        <w:t>2</w:t>
      </w:r>
      <w:r w:rsidRPr="00944E18">
        <w:rPr>
          <w:i/>
          <w:iCs/>
        </w:rPr>
        <w:t xml:space="preserve">. </w:t>
      </w:r>
      <w:r w:rsidR="009E34B0" w:rsidRPr="00944E18">
        <w:t>Average</w:t>
      </w:r>
      <w:r w:rsidR="009E34B0">
        <w:t xml:space="preserve"> </w:t>
      </w:r>
      <w:r w:rsidR="00923109">
        <w:t>MES scores</w:t>
      </w:r>
      <w:r>
        <w:t xml:space="preserve"> per country. </w:t>
      </w:r>
      <w:r w:rsidR="00B7660B">
        <w:t xml:space="preserve">Higher numbers indicate greater moral expansiveness. </w:t>
      </w:r>
    </w:p>
    <w:p w14:paraId="5CCC2810" w14:textId="5EA10BAB" w:rsidR="00C21C52" w:rsidRDefault="00C21C52" w:rsidP="00C21C52">
      <w:pPr>
        <w:spacing w:line="480" w:lineRule="auto"/>
      </w:pPr>
      <w:r w:rsidRPr="008878F5">
        <w:lastRenderedPageBreak/>
        <w:t xml:space="preserve">Table </w:t>
      </w:r>
      <w:r w:rsidR="00CB3A62">
        <w:t>1</w:t>
      </w:r>
    </w:p>
    <w:p w14:paraId="437E486F" w14:textId="016620CA" w:rsidR="00895C96" w:rsidRPr="00895C96" w:rsidRDefault="00895C96" w:rsidP="00895C96">
      <w:pPr>
        <w:spacing w:line="480" w:lineRule="auto"/>
        <w:rPr>
          <w:i/>
          <w:iCs/>
        </w:rPr>
      </w:pPr>
      <w:r w:rsidRPr="00C21C52">
        <w:rPr>
          <w:i/>
          <w:iCs/>
        </w:rPr>
        <w:t xml:space="preserve">Linear Mixed Model Examining the Effect of Control Variables on Moral Expansiveness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132"/>
        <w:gridCol w:w="1009"/>
        <w:gridCol w:w="2096"/>
        <w:gridCol w:w="1276"/>
      </w:tblGrid>
      <w:tr w:rsidR="00895C96" w:rsidRPr="00895C96" w14:paraId="3C53B0CB" w14:textId="77777777" w:rsidTr="00895C96">
        <w:tc>
          <w:tcPr>
            <w:tcW w:w="3132" w:type="dxa"/>
            <w:tcBorders>
              <w:top w:val="double" w:sz="6" w:space="0" w:color="auto"/>
            </w:tcBorders>
            <w:tcMar>
              <w:top w:w="113" w:type="dxa"/>
              <w:left w:w="113" w:type="dxa"/>
              <w:bottom w:w="113" w:type="dxa"/>
              <w:right w:w="113" w:type="dxa"/>
            </w:tcMar>
            <w:vAlign w:val="center"/>
            <w:hideMark/>
          </w:tcPr>
          <w:p w14:paraId="717615B0" w14:textId="548E00FC" w:rsidR="00895C96" w:rsidRPr="00895C96" w:rsidRDefault="00895C96" w:rsidP="00895C96">
            <w:pPr>
              <w:rPr>
                <w:b/>
                <w:bCs/>
              </w:rPr>
            </w:pPr>
          </w:p>
        </w:tc>
        <w:tc>
          <w:tcPr>
            <w:tcW w:w="4381" w:type="dxa"/>
            <w:gridSpan w:val="3"/>
            <w:tcBorders>
              <w:top w:val="double" w:sz="6" w:space="0" w:color="auto"/>
            </w:tcBorders>
            <w:tcMar>
              <w:top w:w="113" w:type="dxa"/>
              <w:left w:w="113" w:type="dxa"/>
              <w:bottom w:w="113" w:type="dxa"/>
              <w:right w:w="113" w:type="dxa"/>
            </w:tcMar>
            <w:vAlign w:val="center"/>
            <w:hideMark/>
          </w:tcPr>
          <w:p w14:paraId="5A2AF05B" w14:textId="155047D1" w:rsidR="00895C96" w:rsidRPr="00895C96" w:rsidRDefault="00895C96" w:rsidP="00895C96">
            <w:pPr>
              <w:jc w:val="center"/>
              <w:rPr>
                <w:b/>
                <w:bCs/>
              </w:rPr>
            </w:pPr>
            <w:r w:rsidRPr="00895C96">
              <w:rPr>
                <w:b/>
                <w:bCs/>
              </w:rPr>
              <w:t>Moral Expansiveness</w:t>
            </w:r>
          </w:p>
        </w:tc>
      </w:tr>
      <w:tr w:rsidR="00895C96" w:rsidRPr="00895C96" w14:paraId="372BEEF6" w14:textId="77777777" w:rsidTr="00895C96">
        <w:tc>
          <w:tcPr>
            <w:tcW w:w="3132" w:type="dxa"/>
            <w:tcBorders>
              <w:bottom w:val="single" w:sz="6" w:space="0" w:color="auto"/>
            </w:tcBorders>
            <w:vAlign w:val="center"/>
            <w:hideMark/>
          </w:tcPr>
          <w:p w14:paraId="71B23E80" w14:textId="77777777" w:rsidR="00895C96" w:rsidRPr="00895C96" w:rsidRDefault="00895C96" w:rsidP="00895C96">
            <w:pPr>
              <w:rPr>
                <w:i/>
                <w:iCs/>
              </w:rPr>
            </w:pPr>
            <w:r w:rsidRPr="00895C96">
              <w:rPr>
                <w:i/>
                <w:iCs/>
              </w:rPr>
              <w:t>Predictors</w:t>
            </w:r>
          </w:p>
        </w:tc>
        <w:tc>
          <w:tcPr>
            <w:tcW w:w="1009" w:type="dxa"/>
            <w:tcBorders>
              <w:bottom w:val="single" w:sz="6" w:space="0" w:color="auto"/>
            </w:tcBorders>
            <w:vAlign w:val="center"/>
            <w:hideMark/>
          </w:tcPr>
          <w:p w14:paraId="5E149DC6" w14:textId="77777777" w:rsidR="00895C96" w:rsidRPr="00895C96" w:rsidRDefault="00895C96" w:rsidP="00895C96">
            <w:pPr>
              <w:jc w:val="center"/>
              <w:rPr>
                <w:i/>
                <w:iCs/>
              </w:rPr>
            </w:pPr>
            <w:r w:rsidRPr="00895C96">
              <w:rPr>
                <w:i/>
                <w:iCs/>
              </w:rPr>
              <w:t>Estimates</w:t>
            </w:r>
          </w:p>
        </w:tc>
        <w:tc>
          <w:tcPr>
            <w:tcW w:w="2096" w:type="dxa"/>
            <w:tcBorders>
              <w:bottom w:val="single" w:sz="6" w:space="0" w:color="auto"/>
            </w:tcBorders>
            <w:vAlign w:val="center"/>
            <w:hideMark/>
          </w:tcPr>
          <w:p w14:paraId="57F596B6" w14:textId="69020526" w:rsidR="00895C96" w:rsidRPr="00895C96" w:rsidRDefault="000C093D" w:rsidP="00895C96">
            <w:pPr>
              <w:jc w:val="center"/>
              <w:rPr>
                <w:i/>
                <w:iCs/>
              </w:rPr>
            </w:pPr>
            <w:r>
              <w:rPr>
                <w:i/>
                <w:iCs/>
              </w:rPr>
              <w:t xml:space="preserve">95% </w:t>
            </w:r>
            <w:r w:rsidR="00895C96" w:rsidRPr="00895C96">
              <w:rPr>
                <w:i/>
                <w:iCs/>
              </w:rPr>
              <w:t>CI</w:t>
            </w:r>
          </w:p>
        </w:tc>
        <w:tc>
          <w:tcPr>
            <w:tcW w:w="1276" w:type="dxa"/>
            <w:tcBorders>
              <w:bottom w:val="single" w:sz="6" w:space="0" w:color="auto"/>
            </w:tcBorders>
            <w:vAlign w:val="center"/>
            <w:hideMark/>
          </w:tcPr>
          <w:p w14:paraId="03A39F89" w14:textId="77777777" w:rsidR="00895C96" w:rsidRPr="00895C96" w:rsidRDefault="00895C96" w:rsidP="00895C96">
            <w:pPr>
              <w:jc w:val="center"/>
              <w:rPr>
                <w:i/>
                <w:iCs/>
              </w:rPr>
            </w:pPr>
            <w:r w:rsidRPr="00895C96">
              <w:rPr>
                <w:i/>
                <w:iCs/>
              </w:rPr>
              <w:t>p</w:t>
            </w:r>
          </w:p>
        </w:tc>
      </w:tr>
      <w:tr w:rsidR="00895C96" w:rsidRPr="00895C96" w14:paraId="5C21486A" w14:textId="77777777" w:rsidTr="00895C96">
        <w:tc>
          <w:tcPr>
            <w:tcW w:w="3132" w:type="dxa"/>
            <w:tcMar>
              <w:top w:w="113" w:type="dxa"/>
              <w:left w:w="113" w:type="dxa"/>
              <w:bottom w:w="113" w:type="dxa"/>
              <w:right w:w="113" w:type="dxa"/>
            </w:tcMar>
            <w:hideMark/>
          </w:tcPr>
          <w:p w14:paraId="2B7B22F1" w14:textId="77777777" w:rsidR="00895C96" w:rsidRPr="00895C96" w:rsidRDefault="00895C96" w:rsidP="00895C96">
            <w:r w:rsidRPr="00895C96">
              <w:t>(Intercept)</w:t>
            </w:r>
          </w:p>
        </w:tc>
        <w:tc>
          <w:tcPr>
            <w:tcW w:w="1009" w:type="dxa"/>
            <w:tcMar>
              <w:top w:w="113" w:type="dxa"/>
              <w:left w:w="113" w:type="dxa"/>
              <w:bottom w:w="113" w:type="dxa"/>
              <w:right w:w="113" w:type="dxa"/>
            </w:tcMar>
            <w:hideMark/>
          </w:tcPr>
          <w:p w14:paraId="2DF84DA5" w14:textId="77777777" w:rsidR="00895C96" w:rsidRPr="00895C96" w:rsidRDefault="00895C96" w:rsidP="00895C96">
            <w:pPr>
              <w:jc w:val="center"/>
            </w:pPr>
            <w:r w:rsidRPr="00895C96">
              <w:t>44.76</w:t>
            </w:r>
          </w:p>
        </w:tc>
        <w:tc>
          <w:tcPr>
            <w:tcW w:w="2096" w:type="dxa"/>
            <w:tcMar>
              <w:top w:w="113" w:type="dxa"/>
              <w:left w:w="113" w:type="dxa"/>
              <w:bottom w:w="113" w:type="dxa"/>
              <w:right w:w="113" w:type="dxa"/>
            </w:tcMar>
            <w:hideMark/>
          </w:tcPr>
          <w:p w14:paraId="29C78178" w14:textId="0ACFCB3A" w:rsidR="00895C96" w:rsidRPr="00895C96" w:rsidRDefault="00895C96" w:rsidP="00895C96">
            <w:pPr>
              <w:jc w:val="center"/>
            </w:pPr>
            <w:r w:rsidRPr="00895C96">
              <w:t>43.81</w:t>
            </w:r>
            <w:r w:rsidR="00694A60">
              <w:t>,</w:t>
            </w:r>
            <w:r w:rsidRPr="00895C96">
              <w:t> 45.71</w:t>
            </w:r>
          </w:p>
        </w:tc>
        <w:tc>
          <w:tcPr>
            <w:tcW w:w="1276" w:type="dxa"/>
            <w:tcMar>
              <w:top w:w="113" w:type="dxa"/>
              <w:left w:w="113" w:type="dxa"/>
              <w:bottom w:w="113" w:type="dxa"/>
              <w:right w:w="113" w:type="dxa"/>
            </w:tcMar>
            <w:hideMark/>
          </w:tcPr>
          <w:p w14:paraId="65BE99DB" w14:textId="0D03255B" w:rsidR="00895C96" w:rsidRPr="00895C96" w:rsidRDefault="00895C96" w:rsidP="00895C96">
            <w:pPr>
              <w:jc w:val="center"/>
            </w:pPr>
            <w:r w:rsidRPr="00895C96">
              <w:t>&lt;.001***</w:t>
            </w:r>
          </w:p>
        </w:tc>
      </w:tr>
      <w:tr w:rsidR="00680255" w:rsidRPr="003D7916" w14:paraId="4A90E981" w14:textId="77777777" w:rsidTr="00895C96">
        <w:tc>
          <w:tcPr>
            <w:tcW w:w="3132" w:type="dxa"/>
            <w:tcMar>
              <w:top w:w="113" w:type="dxa"/>
              <w:left w:w="113" w:type="dxa"/>
              <w:bottom w:w="113" w:type="dxa"/>
              <w:right w:w="113" w:type="dxa"/>
            </w:tcMar>
          </w:tcPr>
          <w:p w14:paraId="39171F0B" w14:textId="72D9DCFE" w:rsidR="00680255" w:rsidRPr="003D7916" w:rsidRDefault="00257D8D" w:rsidP="00895C96">
            <w:pPr>
              <w:rPr>
                <w:i/>
                <w:iCs/>
              </w:rPr>
            </w:pPr>
            <w:r>
              <w:rPr>
                <w:i/>
                <w:iCs/>
              </w:rPr>
              <w:t>Country-Level Controls</w:t>
            </w:r>
          </w:p>
        </w:tc>
        <w:tc>
          <w:tcPr>
            <w:tcW w:w="1009" w:type="dxa"/>
            <w:tcMar>
              <w:top w:w="113" w:type="dxa"/>
              <w:left w:w="113" w:type="dxa"/>
              <w:bottom w:w="113" w:type="dxa"/>
              <w:right w:w="113" w:type="dxa"/>
            </w:tcMar>
          </w:tcPr>
          <w:p w14:paraId="470EAB15" w14:textId="77777777" w:rsidR="00680255" w:rsidRPr="003D7916" w:rsidRDefault="00680255" w:rsidP="00895C96">
            <w:pPr>
              <w:jc w:val="center"/>
              <w:rPr>
                <w:i/>
                <w:iCs/>
              </w:rPr>
            </w:pPr>
          </w:p>
        </w:tc>
        <w:tc>
          <w:tcPr>
            <w:tcW w:w="2096" w:type="dxa"/>
            <w:tcMar>
              <w:top w:w="113" w:type="dxa"/>
              <w:left w:w="113" w:type="dxa"/>
              <w:bottom w:w="113" w:type="dxa"/>
              <w:right w:w="113" w:type="dxa"/>
            </w:tcMar>
          </w:tcPr>
          <w:p w14:paraId="18C6266A" w14:textId="77777777" w:rsidR="00680255" w:rsidRPr="003D7916" w:rsidRDefault="00680255" w:rsidP="00895C96">
            <w:pPr>
              <w:jc w:val="center"/>
              <w:rPr>
                <w:i/>
                <w:iCs/>
              </w:rPr>
            </w:pPr>
          </w:p>
        </w:tc>
        <w:tc>
          <w:tcPr>
            <w:tcW w:w="1276" w:type="dxa"/>
            <w:tcMar>
              <w:top w:w="113" w:type="dxa"/>
              <w:left w:w="113" w:type="dxa"/>
              <w:bottom w:w="113" w:type="dxa"/>
              <w:right w:w="113" w:type="dxa"/>
            </w:tcMar>
          </w:tcPr>
          <w:p w14:paraId="04BC6590" w14:textId="77777777" w:rsidR="00680255" w:rsidRPr="003D7916" w:rsidRDefault="00680255" w:rsidP="00895C96">
            <w:pPr>
              <w:jc w:val="center"/>
              <w:rPr>
                <w:i/>
                <w:iCs/>
              </w:rPr>
            </w:pPr>
          </w:p>
        </w:tc>
      </w:tr>
      <w:tr w:rsidR="00895C96" w:rsidRPr="00895C96" w14:paraId="0181726D" w14:textId="77777777" w:rsidTr="00895C96">
        <w:tc>
          <w:tcPr>
            <w:tcW w:w="3132" w:type="dxa"/>
            <w:tcMar>
              <w:top w:w="113" w:type="dxa"/>
              <w:left w:w="113" w:type="dxa"/>
              <w:bottom w:w="113" w:type="dxa"/>
              <w:right w:w="113" w:type="dxa"/>
            </w:tcMar>
            <w:hideMark/>
          </w:tcPr>
          <w:p w14:paraId="03E3ECE5" w14:textId="16733C7F" w:rsidR="00895C96" w:rsidRPr="00895C96" w:rsidRDefault="00895C96" w:rsidP="00895C96">
            <w:r w:rsidRPr="00895C96">
              <w:t>GDP PPP per capita</w:t>
            </w:r>
          </w:p>
        </w:tc>
        <w:tc>
          <w:tcPr>
            <w:tcW w:w="1009" w:type="dxa"/>
            <w:tcMar>
              <w:top w:w="113" w:type="dxa"/>
              <w:left w:w="113" w:type="dxa"/>
              <w:bottom w:w="113" w:type="dxa"/>
              <w:right w:w="113" w:type="dxa"/>
            </w:tcMar>
            <w:hideMark/>
          </w:tcPr>
          <w:p w14:paraId="5A03AD42" w14:textId="77777777" w:rsidR="00895C96" w:rsidRPr="00895C96" w:rsidRDefault="00895C96" w:rsidP="00895C96">
            <w:pPr>
              <w:jc w:val="center"/>
            </w:pPr>
            <w:r w:rsidRPr="00895C96">
              <w:t>-0.56</w:t>
            </w:r>
          </w:p>
        </w:tc>
        <w:tc>
          <w:tcPr>
            <w:tcW w:w="2096" w:type="dxa"/>
            <w:tcMar>
              <w:top w:w="113" w:type="dxa"/>
              <w:left w:w="113" w:type="dxa"/>
              <w:bottom w:w="113" w:type="dxa"/>
              <w:right w:w="113" w:type="dxa"/>
            </w:tcMar>
            <w:hideMark/>
          </w:tcPr>
          <w:p w14:paraId="5A1AB349" w14:textId="7782BD86" w:rsidR="00895C96" w:rsidRPr="00895C96" w:rsidRDefault="00895C96" w:rsidP="00895C96">
            <w:pPr>
              <w:jc w:val="center"/>
            </w:pPr>
            <w:r w:rsidRPr="00895C96">
              <w:t>-2.26</w:t>
            </w:r>
            <w:r w:rsidR="00694A60">
              <w:t>,</w:t>
            </w:r>
            <w:r w:rsidRPr="00895C96">
              <w:t> 1.14</w:t>
            </w:r>
          </w:p>
        </w:tc>
        <w:tc>
          <w:tcPr>
            <w:tcW w:w="1276" w:type="dxa"/>
            <w:tcMar>
              <w:top w:w="113" w:type="dxa"/>
              <w:left w:w="113" w:type="dxa"/>
              <w:bottom w:w="113" w:type="dxa"/>
              <w:right w:w="113" w:type="dxa"/>
            </w:tcMar>
            <w:hideMark/>
          </w:tcPr>
          <w:p w14:paraId="4D5CF074" w14:textId="488BCF17" w:rsidR="00895C96" w:rsidRPr="00895C96" w:rsidRDefault="00895C96" w:rsidP="00895C96">
            <w:pPr>
              <w:jc w:val="center"/>
            </w:pPr>
            <w:r w:rsidRPr="00895C96">
              <w:t>.5</w:t>
            </w:r>
            <w:r w:rsidR="00E22C71">
              <w:t>21</w:t>
            </w:r>
          </w:p>
        </w:tc>
      </w:tr>
      <w:tr w:rsidR="00895C96" w:rsidRPr="00895C96" w14:paraId="2783039A" w14:textId="77777777" w:rsidTr="00895C96">
        <w:tc>
          <w:tcPr>
            <w:tcW w:w="3132" w:type="dxa"/>
            <w:tcMar>
              <w:top w:w="113" w:type="dxa"/>
              <w:left w:w="113" w:type="dxa"/>
              <w:bottom w:w="113" w:type="dxa"/>
              <w:right w:w="113" w:type="dxa"/>
            </w:tcMar>
            <w:hideMark/>
          </w:tcPr>
          <w:p w14:paraId="5E0F82BB" w14:textId="1AD347E5" w:rsidR="00895C96" w:rsidRPr="00895C96" w:rsidRDefault="00895C96" w:rsidP="00895C96">
            <w:r w:rsidRPr="00895C96">
              <w:t>Prosperity</w:t>
            </w:r>
          </w:p>
        </w:tc>
        <w:tc>
          <w:tcPr>
            <w:tcW w:w="1009" w:type="dxa"/>
            <w:tcMar>
              <w:top w:w="113" w:type="dxa"/>
              <w:left w:w="113" w:type="dxa"/>
              <w:bottom w:w="113" w:type="dxa"/>
              <w:right w:w="113" w:type="dxa"/>
            </w:tcMar>
            <w:hideMark/>
          </w:tcPr>
          <w:p w14:paraId="1417368D" w14:textId="77777777" w:rsidR="00895C96" w:rsidRPr="00895C96" w:rsidRDefault="00895C96" w:rsidP="00895C96">
            <w:pPr>
              <w:jc w:val="center"/>
            </w:pPr>
            <w:r w:rsidRPr="00895C96">
              <w:t>-0.32</w:t>
            </w:r>
          </w:p>
        </w:tc>
        <w:tc>
          <w:tcPr>
            <w:tcW w:w="2096" w:type="dxa"/>
            <w:tcMar>
              <w:top w:w="113" w:type="dxa"/>
              <w:left w:w="113" w:type="dxa"/>
              <w:bottom w:w="113" w:type="dxa"/>
              <w:right w:w="113" w:type="dxa"/>
            </w:tcMar>
            <w:hideMark/>
          </w:tcPr>
          <w:p w14:paraId="59946C67" w14:textId="3AF05494" w:rsidR="00895C96" w:rsidRPr="00895C96" w:rsidRDefault="00895C96" w:rsidP="00895C96">
            <w:pPr>
              <w:jc w:val="center"/>
            </w:pPr>
            <w:r w:rsidRPr="00895C96">
              <w:t>-2.90</w:t>
            </w:r>
            <w:r w:rsidR="00694A60">
              <w:t>,</w:t>
            </w:r>
            <w:r w:rsidRPr="00895C96">
              <w:t> 2.25</w:t>
            </w:r>
          </w:p>
        </w:tc>
        <w:tc>
          <w:tcPr>
            <w:tcW w:w="1276" w:type="dxa"/>
            <w:tcMar>
              <w:top w:w="113" w:type="dxa"/>
              <w:left w:w="113" w:type="dxa"/>
              <w:bottom w:w="113" w:type="dxa"/>
              <w:right w:w="113" w:type="dxa"/>
            </w:tcMar>
            <w:hideMark/>
          </w:tcPr>
          <w:p w14:paraId="2E0F9990" w14:textId="79D4F35A" w:rsidR="00895C96" w:rsidRPr="00895C96" w:rsidRDefault="00895C96" w:rsidP="00895C96">
            <w:pPr>
              <w:jc w:val="center"/>
            </w:pPr>
            <w:r w:rsidRPr="00895C96">
              <w:t>.80</w:t>
            </w:r>
            <w:r w:rsidR="00E22C71">
              <w:t>7</w:t>
            </w:r>
          </w:p>
        </w:tc>
      </w:tr>
      <w:tr w:rsidR="00895C96" w:rsidRPr="00895C96" w14:paraId="65DE159F" w14:textId="77777777" w:rsidTr="00895C96">
        <w:tc>
          <w:tcPr>
            <w:tcW w:w="3132" w:type="dxa"/>
            <w:tcMar>
              <w:top w:w="113" w:type="dxa"/>
              <w:left w:w="113" w:type="dxa"/>
              <w:bottom w:w="113" w:type="dxa"/>
              <w:right w:w="113" w:type="dxa"/>
            </w:tcMar>
            <w:hideMark/>
          </w:tcPr>
          <w:p w14:paraId="682E0010" w14:textId="3679CEFE" w:rsidR="00895C96" w:rsidRPr="00895C96" w:rsidRDefault="00895C96" w:rsidP="00895C96">
            <w:r w:rsidRPr="00895C96">
              <w:t>Democracy</w:t>
            </w:r>
          </w:p>
        </w:tc>
        <w:tc>
          <w:tcPr>
            <w:tcW w:w="1009" w:type="dxa"/>
            <w:tcMar>
              <w:top w:w="113" w:type="dxa"/>
              <w:left w:w="113" w:type="dxa"/>
              <w:bottom w:w="113" w:type="dxa"/>
              <w:right w:w="113" w:type="dxa"/>
            </w:tcMar>
            <w:hideMark/>
          </w:tcPr>
          <w:p w14:paraId="47C54CD7" w14:textId="77777777" w:rsidR="00895C96" w:rsidRPr="00895C96" w:rsidRDefault="00895C96" w:rsidP="00895C96">
            <w:pPr>
              <w:jc w:val="center"/>
            </w:pPr>
            <w:r w:rsidRPr="00895C96">
              <w:t>0.22</w:t>
            </w:r>
          </w:p>
        </w:tc>
        <w:tc>
          <w:tcPr>
            <w:tcW w:w="2096" w:type="dxa"/>
            <w:tcMar>
              <w:top w:w="113" w:type="dxa"/>
              <w:left w:w="113" w:type="dxa"/>
              <w:bottom w:w="113" w:type="dxa"/>
              <w:right w:w="113" w:type="dxa"/>
            </w:tcMar>
            <w:hideMark/>
          </w:tcPr>
          <w:p w14:paraId="7721A493" w14:textId="0B1C054B" w:rsidR="00895C96" w:rsidRPr="00895C96" w:rsidRDefault="00895C96" w:rsidP="00895C96">
            <w:pPr>
              <w:jc w:val="center"/>
            </w:pPr>
            <w:r w:rsidRPr="00895C96">
              <w:t>-1.38</w:t>
            </w:r>
            <w:r w:rsidR="00694A60">
              <w:t>,</w:t>
            </w:r>
            <w:r w:rsidRPr="00895C96">
              <w:t> 1.82</w:t>
            </w:r>
          </w:p>
        </w:tc>
        <w:tc>
          <w:tcPr>
            <w:tcW w:w="1276" w:type="dxa"/>
            <w:tcMar>
              <w:top w:w="113" w:type="dxa"/>
              <w:left w:w="113" w:type="dxa"/>
              <w:bottom w:w="113" w:type="dxa"/>
              <w:right w:w="113" w:type="dxa"/>
            </w:tcMar>
            <w:hideMark/>
          </w:tcPr>
          <w:p w14:paraId="60B39EC0" w14:textId="64EAAC6D" w:rsidR="00895C96" w:rsidRPr="00895C96" w:rsidRDefault="00895C96" w:rsidP="00895C96">
            <w:pPr>
              <w:jc w:val="center"/>
            </w:pPr>
            <w:r w:rsidRPr="00895C96">
              <w:t>.7</w:t>
            </w:r>
            <w:r w:rsidR="00E22C71">
              <w:t>91</w:t>
            </w:r>
          </w:p>
        </w:tc>
      </w:tr>
      <w:tr w:rsidR="00895C96" w:rsidRPr="00895C96" w14:paraId="611FF3C6" w14:textId="77777777" w:rsidTr="00895C96">
        <w:tc>
          <w:tcPr>
            <w:tcW w:w="3132" w:type="dxa"/>
            <w:tcMar>
              <w:top w:w="113" w:type="dxa"/>
              <w:left w:w="113" w:type="dxa"/>
              <w:bottom w:w="113" w:type="dxa"/>
              <w:right w:w="113" w:type="dxa"/>
            </w:tcMar>
            <w:hideMark/>
          </w:tcPr>
          <w:p w14:paraId="13F067DB" w14:textId="7A06C5F4" w:rsidR="00895C96" w:rsidRPr="00895C96" w:rsidRDefault="00895C96" w:rsidP="00895C96">
            <w:r w:rsidRPr="00895C96">
              <w:t>Homicide</w:t>
            </w:r>
          </w:p>
        </w:tc>
        <w:tc>
          <w:tcPr>
            <w:tcW w:w="1009" w:type="dxa"/>
            <w:tcMar>
              <w:top w:w="113" w:type="dxa"/>
              <w:left w:w="113" w:type="dxa"/>
              <w:bottom w:w="113" w:type="dxa"/>
              <w:right w:w="113" w:type="dxa"/>
            </w:tcMar>
            <w:hideMark/>
          </w:tcPr>
          <w:p w14:paraId="08CCF00A" w14:textId="77777777" w:rsidR="00895C96" w:rsidRPr="00895C96" w:rsidRDefault="00895C96" w:rsidP="00895C96">
            <w:pPr>
              <w:jc w:val="center"/>
            </w:pPr>
            <w:r w:rsidRPr="00895C96">
              <w:t>0.37</w:t>
            </w:r>
          </w:p>
        </w:tc>
        <w:tc>
          <w:tcPr>
            <w:tcW w:w="2096" w:type="dxa"/>
            <w:tcMar>
              <w:top w:w="113" w:type="dxa"/>
              <w:left w:w="113" w:type="dxa"/>
              <w:bottom w:w="113" w:type="dxa"/>
              <w:right w:w="113" w:type="dxa"/>
            </w:tcMar>
            <w:hideMark/>
          </w:tcPr>
          <w:p w14:paraId="39215AF1" w14:textId="25ACD68D" w:rsidR="00895C96" w:rsidRPr="00895C96" w:rsidRDefault="00895C96" w:rsidP="00895C96">
            <w:pPr>
              <w:jc w:val="center"/>
            </w:pPr>
            <w:r w:rsidRPr="00895C96">
              <w:t>-0.86</w:t>
            </w:r>
            <w:r w:rsidR="00694A60">
              <w:t>,</w:t>
            </w:r>
            <w:r w:rsidRPr="00895C96">
              <w:t> 1.60</w:t>
            </w:r>
          </w:p>
        </w:tc>
        <w:tc>
          <w:tcPr>
            <w:tcW w:w="1276" w:type="dxa"/>
            <w:tcMar>
              <w:top w:w="113" w:type="dxa"/>
              <w:left w:w="113" w:type="dxa"/>
              <w:bottom w:w="113" w:type="dxa"/>
              <w:right w:w="113" w:type="dxa"/>
            </w:tcMar>
            <w:hideMark/>
          </w:tcPr>
          <w:p w14:paraId="4FAAA8F1" w14:textId="200D7E64" w:rsidR="00895C96" w:rsidRPr="00895C96" w:rsidRDefault="00895C96" w:rsidP="00895C96">
            <w:pPr>
              <w:jc w:val="center"/>
            </w:pPr>
            <w:r w:rsidRPr="00895C96">
              <w:t>.55</w:t>
            </w:r>
            <w:r w:rsidR="00E22C71">
              <w:t>7</w:t>
            </w:r>
          </w:p>
        </w:tc>
      </w:tr>
      <w:tr w:rsidR="00680255" w:rsidRPr="00680255" w14:paraId="77D14D66" w14:textId="77777777" w:rsidTr="00895C96">
        <w:tc>
          <w:tcPr>
            <w:tcW w:w="3132" w:type="dxa"/>
            <w:tcMar>
              <w:top w:w="113" w:type="dxa"/>
              <w:left w:w="113" w:type="dxa"/>
              <w:bottom w:w="113" w:type="dxa"/>
              <w:right w:w="113" w:type="dxa"/>
            </w:tcMar>
          </w:tcPr>
          <w:p w14:paraId="1A963A02" w14:textId="45F01AE1" w:rsidR="00680255" w:rsidRPr="003D7916" w:rsidRDefault="00257D8D" w:rsidP="00895C96">
            <w:pPr>
              <w:rPr>
                <w:i/>
                <w:iCs/>
              </w:rPr>
            </w:pPr>
            <w:r>
              <w:rPr>
                <w:i/>
                <w:iCs/>
              </w:rPr>
              <w:t>Individual-Level Controls</w:t>
            </w:r>
          </w:p>
        </w:tc>
        <w:tc>
          <w:tcPr>
            <w:tcW w:w="1009" w:type="dxa"/>
            <w:tcMar>
              <w:top w:w="113" w:type="dxa"/>
              <w:left w:w="113" w:type="dxa"/>
              <w:bottom w:w="113" w:type="dxa"/>
              <w:right w:w="113" w:type="dxa"/>
            </w:tcMar>
          </w:tcPr>
          <w:p w14:paraId="103C1A99" w14:textId="77777777" w:rsidR="00680255" w:rsidRPr="00680255" w:rsidRDefault="00680255" w:rsidP="00895C96">
            <w:pPr>
              <w:jc w:val="center"/>
              <w:rPr>
                <w:i/>
                <w:iCs/>
              </w:rPr>
            </w:pPr>
          </w:p>
        </w:tc>
        <w:tc>
          <w:tcPr>
            <w:tcW w:w="2096" w:type="dxa"/>
            <w:tcMar>
              <w:top w:w="113" w:type="dxa"/>
              <w:left w:w="113" w:type="dxa"/>
              <w:bottom w:w="113" w:type="dxa"/>
              <w:right w:w="113" w:type="dxa"/>
            </w:tcMar>
          </w:tcPr>
          <w:p w14:paraId="6CD51813" w14:textId="77777777" w:rsidR="00680255" w:rsidRPr="00680255" w:rsidRDefault="00680255" w:rsidP="00895C96">
            <w:pPr>
              <w:jc w:val="center"/>
              <w:rPr>
                <w:i/>
                <w:iCs/>
              </w:rPr>
            </w:pPr>
          </w:p>
        </w:tc>
        <w:tc>
          <w:tcPr>
            <w:tcW w:w="1276" w:type="dxa"/>
            <w:tcMar>
              <w:top w:w="113" w:type="dxa"/>
              <w:left w:w="113" w:type="dxa"/>
              <w:bottom w:w="113" w:type="dxa"/>
              <w:right w:w="113" w:type="dxa"/>
            </w:tcMar>
          </w:tcPr>
          <w:p w14:paraId="46098F75" w14:textId="77777777" w:rsidR="00680255" w:rsidRPr="00680255" w:rsidRDefault="00680255" w:rsidP="00895C96">
            <w:pPr>
              <w:jc w:val="center"/>
              <w:rPr>
                <w:i/>
                <w:iCs/>
              </w:rPr>
            </w:pPr>
          </w:p>
        </w:tc>
      </w:tr>
      <w:tr w:rsidR="00895C96" w:rsidRPr="00895C96" w14:paraId="6B993207" w14:textId="77777777" w:rsidTr="00895C96">
        <w:tc>
          <w:tcPr>
            <w:tcW w:w="3132" w:type="dxa"/>
            <w:tcMar>
              <w:top w:w="113" w:type="dxa"/>
              <w:left w:w="113" w:type="dxa"/>
              <w:bottom w:w="113" w:type="dxa"/>
              <w:right w:w="113" w:type="dxa"/>
            </w:tcMar>
            <w:hideMark/>
          </w:tcPr>
          <w:p w14:paraId="21D7E50C" w14:textId="2F4726EA" w:rsidR="00895C96" w:rsidRPr="00895C96" w:rsidRDefault="00895C96" w:rsidP="00895C96">
            <w:r w:rsidRPr="00895C96">
              <w:t xml:space="preserve">Gender </w:t>
            </w:r>
            <w:r w:rsidR="00E22C71">
              <w:t>(female)</w:t>
            </w:r>
          </w:p>
        </w:tc>
        <w:tc>
          <w:tcPr>
            <w:tcW w:w="1009" w:type="dxa"/>
            <w:tcMar>
              <w:top w:w="113" w:type="dxa"/>
              <w:left w:w="113" w:type="dxa"/>
              <w:bottom w:w="113" w:type="dxa"/>
              <w:right w:w="113" w:type="dxa"/>
            </w:tcMar>
            <w:hideMark/>
          </w:tcPr>
          <w:p w14:paraId="727AC955" w14:textId="77777777" w:rsidR="00895C96" w:rsidRPr="00895C96" w:rsidRDefault="00895C96" w:rsidP="00895C96">
            <w:pPr>
              <w:jc w:val="center"/>
            </w:pPr>
            <w:r w:rsidRPr="00895C96">
              <w:t>1.34</w:t>
            </w:r>
          </w:p>
        </w:tc>
        <w:tc>
          <w:tcPr>
            <w:tcW w:w="2096" w:type="dxa"/>
            <w:tcMar>
              <w:top w:w="113" w:type="dxa"/>
              <w:left w:w="113" w:type="dxa"/>
              <w:bottom w:w="113" w:type="dxa"/>
              <w:right w:w="113" w:type="dxa"/>
            </w:tcMar>
            <w:hideMark/>
          </w:tcPr>
          <w:p w14:paraId="6B8AC91F" w14:textId="58058762" w:rsidR="00895C96" w:rsidRPr="00895C96" w:rsidRDefault="00895C96" w:rsidP="00895C96">
            <w:pPr>
              <w:jc w:val="center"/>
            </w:pPr>
            <w:r w:rsidRPr="00895C96">
              <w:t>0.59</w:t>
            </w:r>
            <w:r w:rsidR="00694A60">
              <w:t>,</w:t>
            </w:r>
            <w:r w:rsidRPr="00895C96">
              <w:t> 2.09</w:t>
            </w:r>
          </w:p>
        </w:tc>
        <w:tc>
          <w:tcPr>
            <w:tcW w:w="1276" w:type="dxa"/>
            <w:tcMar>
              <w:top w:w="113" w:type="dxa"/>
              <w:left w:w="113" w:type="dxa"/>
              <w:bottom w:w="113" w:type="dxa"/>
              <w:right w:w="113" w:type="dxa"/>
            </w:tcMar>
            <w:hideMark/>
          </w:tcPr>
          <w:p w14:paraId="4652A538" w14:textId="60110C3F" w:rsidR="00895C96" w:rsidRPr="00895C96" w:rsidRDefault="00895C96" w:rsidP="00895C96">
            <w:pPr>
              <w:jc w:val="center"/>
            </w:pPr>
            <w:r w:rsidRPr="00895C96">
              <w:t>&lt;.001***</w:t>
            </w:r>
          </w:p>
        </w:tc>
      </w:tr>
      <w:tr w:rsidR="00895C96" w:rsidRPr="00895C96" w14:paraId="27397FDB" w14:textId="77777777" w:rsidTr="00895C96">
        <w:tc>
          <w:tcPr>
            <w:tcW w:w="3132" w:type="dxa"/>
            <w:tcMar>
              <w:top w:w="113" w:type="dxa"/>
              <w:left w:w="113" w:type="dxa"/>
              <w:bottom w:w="113" w:type="dxa"/>
              <w:right w:w="113" w:type="dxa"/>
            </w:tcMar>
            <w:hideMark/>
          </w:tcPr>
          <w:p w14:paraId="6F212AD4" w14:textId="01433755" w:rsidR="00895C96" w:rsidRPr="00895C96" w:rsidRDefault="00895C96" w:rsidP="00895C96">
            <w:r w:rsidRPr="00895C96">
              <w:t>Age</w:t>
            </w:r>
          </w:p>
        </w:tc>
        <w:tc>
          <w:tcPr>
            <w:tcW w:w="1009" w:type="dxa"/>
            <w:tcMar>
              <w:top w:w="113" w:type="dxa"/>
              <w:left w:w="113" w:type="dxa"/>
              <w:bottom w:w="113" w:type="dxa"/>
              <w:right w:w="113" w:type="dxa"/>
            </w:tcMar>
            <w:hideMark/>
          </w:tcPr>
          <w:p w14:paraId="6675039F" w14:textId="77777777" w:rsidR="00895C96" w:rsidRPr="00895C96" w:rsidRDefault="00895C96" w:rsidP="00895C96">
            <w:pPr>
              <w:jc w:val="center"/>
            </w:pPr>
            <w:r w:rsidRPr="00895C96">
              <w:t>0.60</w:t>
            </w:r>
          </w:p>
        </w:tc>
        <w:tc>
          <w:tcPr>
            <w:tcW w:w="2096" w:type="dxa"/>
            <w:tcMar>
              <w:top w:w="113" w:type="dxa"/>
              <w:left w:w="113" w:type="dxa"/>
              <w:bottom w:w="113" w:type="dxa"/>
              <w:right w:w="113" w:type="dxa"/>
            </w:tcMar>
            <w:hideMark/>
          </w:tcPr>
          <w:p w14:paraId="3218C74D" w14:textId="7664EE7A" w:rsidR="00895C96" w:rsidRPr="00895C96" w:rsidRDefault="00895C96" w:rsidP="00895C96">
            <w:pPr>
              <w:jc w:val="center"/>
            </w:pPr>
            <w:r w:rsidRPr="00895C96">
              <w:t>0.22</w:t>
            </w:r>
            <w:r w:rsidR="00694A60">
              <w:t>,</w:t>
            </w:r>
            <w:r w:rsidRPr="00895C96">
              <w:t> 0.97</w:t>
            </w:r>
          </w:p>
        </w:tc>
        <w:tc>
          <w:tcPr>
            <w:tcW w:w="1276" w:type="dxa"/>
            <w:tcMar>
              <w:top w:w="113" w:type="dxa"/>
              <w:left w:w="113" w:type="dxa"/>
              <w:bottom w:w="113" w:type="dxa"/>
              <w:right w:w="113" w:type="dxa"/>
            </w:tcMar>
            <w:hideMark/>
          </w:tcPr>
          <w:p w14:paraId="7BA294F5" w14:textId="090FBEB5" w:rsidR="00895C96" w:rsidRPr="00895C96" w:rsidRDefault="00895C96" w:rsidP="00895C96">
            <w:pPr>
              <w:jc w:val="center"/>
            </w:pPr>
            <w:r w:rsidRPr="00895C96">
              <w:t>.002**</w:t>
            </w:r>
          </w:p>
        </w:tc>
      </w:tr>
      <w:tr w:rsidR="00895C96" w:rsidRPr="00895C96" w14:paraId="2678FCA4" w14:textId="77777777" w:rsidTr="00895C96">
        <w:tc>
          <w:tcPr>
            <w:tcW w:w="3132" w:type="dxa"/>
            <w:tcMar>
              <w:top w:w="113" w:type="dxa"/>
              <w:left w:w="113" w:type="dxa"/>
              <w:bottom w:w="113" w:type="dxa"/>
              <w:right w:w="113" w:type="dxa"/>
            </w:tcMar>
            <w:hideMark/>
          </w:tcPr>
          <w:p w14:paraId="63EAA9FB" w14:textId="63CA691B" w:rsidR="00895C96" w:rsidRPr="00895C96" w:rsidRDefault="00895C96" w:rsidP="00895C96">
            <w:r w:rsidRPr="00895C96">
              <w:t xml:space="preserve">Subjective </w:t>
            </w:r>
            <w:r w:rsidR="00E22C71">
              <w:t>social status</w:t>
            </w:r>
          </w:p>
        </w:tc>
        <w:tc>
          <w:tcPr>
            <w:tcW w:w="1009" w:type="dxa"/>
            <w:tcMar>
              <w:top w:w="113" w:type="dxa"/>
              <w:left w:w="113" w:type="dxa"/>
              <w:bottom w:w="113" w:type="dxa"/>
              <w:right w:w="113" w:type="dxa"/>
            </w:tcMar>
            <w:hideMark/>
          </w:tcPr>
          <w:p w14:paraId="3C87EF94" w14:textId="77777777" w:rsidR="00895C96" w:rsidRPr="00895C96" w:rsidRDefault="00895C96" w:rsidP="00895C96">
            <w:pPr>
              <w:jc w:val="center"/>
            </w:pPr>
            <w:r w:rsidRPr="00895C96">
              <w:t>0.22</w:t>
            </w:r>
          </w:p>
        </w:tc>
        <w:tc>
          <w:tcPr>
            <w:tcW w:w="2096" w:type="dxa"/>
            <w:tcMar>
              <w:top w:w="113" w:type="dxa"/>
              <w:left w:w="113" w:type="dxa"/>
              <w:bottom w:w="113" w:type="dxa"/>
              <w:right w:w="113" w:type="dxa"/>
            </w:tcMar>
            <w:hideMark/>
          </w:tcPr>
          <w:p w14:paraId="45FEE219" w14:textId="22544CC3" w:rsidR="00895C96" w:rsidRPr="00895C96" w:rsidRDefault="00895C96" w:rsidP="00895C96">
            <w:pPr>
              <w:jc w:val="center"/>
            </w:pPr>
            <w:r w:rsidRPr="00895C96">
              <w:t>-0.12</w:t>
            </w:r>
            <w:r w:rsidR="00694A60">
              <w:t>,</w:t>
            </w:r>
            <w:r w:rsidRPr="00895C96">
              <w:t> 0.55</w:t>
            </w:r>
          </w:p>
        </w:tc>
        <w:tc>
          <w:tcPr>
            <w:tcW w:w="1276" w:type="dxa"/>
            <w:tcMar>
              <w:top w:w="113" w:type="dxa"/>
              <w:left w:w="113" w:type="dxa"/>
              <w:bottom w:w="113" w:type="dxa"/>
              <w:right w:w="113" w:type="dxa"/>
            </w:tcMar>
            <w:hideMark/>
          </w:tcPr>
          <w:p w14:paraId="5E34B10C" w14:textId="3C13D5DC" w:rsidR="00895C96" w:rsidRPr="00895C96" w:rsidRDefault="00895C96" w:rsidP="00895C96">
            <w:pPr>
              <w:jc w:val="center"/>
            </w:pPr>
            <w:r w:rsidRPr="00895C96">
              <w:t>.209</w:t>
            </w:r>
          </w:p>
        </w:tc>
      </w:tr>
      <w:tr w:rsidR="00895C96" w:rsidRPr="00895C96" w14:paraId="2FED7D6F" w14:textId="77777777" w:rsidTr="00895C96">
        <w:tc>
          <w:tcPr>
            <w:tcW w:w="3132" w:type="dxa"/>
            <w:tcMar>
              <w:top w:w="113" w:type="dxa"/>
              <w:left w:w="113" w:type="dxa"/>
              <w:bottom w:w="113" w:type="dxa"/>
              <w:right w:w="113" w:type="dxa"/>
            </w:tcMar>
            <w:hideMark/>
          </w:tcPr>
          <w:p w14:paraId="0A80ECE8" w14:textId="23A37EAA" w:rsidR="00895C96" w:rsidRPr="00895C96" w:rsidRDefault="00895C96" w:rsidP="00895C96">
            <w:r w:rsidRPr="00895C96">
              <w:t>Social conservativism</w:t>
            </w:r>
          </w:p>
        </w:tc>
        <w:tc>
          <w:tcPr>
            <w:tcW w:w="1009" w:type="dxa"/>
            <w:tcMar>
              <w:top w:w="113" w:type="dxa"/>
              <w:left w:w="113" w:type="dxa"/>
              <w:bottom w:w="113" w:type="dxa"/>
              <w:right w:w="113" w:type="dxa"/>
            </w:tcMar>
            <w:hideMark/>
          </w:tcPr>
          <w:p w14:paraId="0F0D4525" w14:textId="77777777" w:rsidR="00895C96" w:rsidRPr="00895C96" w:rsidRDefault="00895C96" w:rsidP="00895C96">
            <w:pPr>
              <w:jc w:val="center"/>
            </w:pPr>
            <w:r w:rsidRPr="00895C96">
              <w:t>-0.34</w:t>
            </w:r>
          </w:p>
        </w:tc>
        <w:tc>
          <w:tcPr>
            <w:tcW w:w="2096" w:type="dxa"/>
            <w:tcMar>
              <w:top w:w="113" w:type="dxa"/>
              <w:left w:w="113" w:type="dxa"/>
              <w:bottom w:w="113" w:type="dxa"/>
              <w:right w:w="113" w:type="dxa"/>
            </w:tcMar>
            <w:hideMark/>
          </w:tcPr>
          <w:p w14:paraId="0B224D26" w14:textId="16CCBB6B" w:rsidR="00895C96" w:rsidRPr="00895C96" w:rsidRDefault="00895C96" w:rsidP="00895C96">
            <w:pPr>
              <w:jc w:val="center"/>
            </w:pPr>
            <w:r w:rsidRPr="00895C96">
              <w:t>-0.74</w:t>
            </w:r>
            <w:r w:rsidR="00694A60">
              <w:t>,</w:t>
            </w:r>
            <w:r w:rsidRPr="00895C96">
              <w:t> 0.07</w:t>
            </w:r>
          </w:p>
        </w:tc>
        <w:tc>
          <w:tcPr>
            <w:tcW w:w="1276" w:type="dxa"/>
            <w:tcMar>
              <w:top w:w="113" w:type="dxa"/>
              <w:left w:w="113" w:type="dxa"/>
              <w:bottom w:w="113" w:type="dxa"/>
              <w:right w:w="113" w:type="dxa"/>
            </w:tcMar>
            <w:hideMark/>
          </w:tcPr>
          <w:p w14:paraId="3DF660D4" w14:textId="600023EC" w:rsidR="00895C96" w:rsidRPr="00895C96" w:rsidRDefault="00895C96" w:rsidP="00895C96">
            <w:pPr>
              <w:jc w:val="center"/>
            </w:pPr>
            <w:r w:rsidRPr="00895C96">
              <w:t>.102</w:t>
            </w:r>
          </w:p>
        </w:tc>
      </w:tr>
      <w:tr w:rsidR="00895C96" w:rsidRPr="00895C96" w14:paraId="19A64288" w14:textId="77777777" w:rsidTr="00895C96">
        <w:tc>
          <w:tcPr>
            <w:tcW w:w="3132" w:type="dxa"/>
            <w:tcMar>
              <w:top w:w="113" w:type="dxa"/>
              <w:left w:w="113" w:type="dxa"/>
              <w:bottom w:w="113" w:type="dxa"/>
              <w:right w:w="113" w:type="dxa"/>
            </w:tcMar>
            <w:hideMark/>
          </w:tcPr>
          <w:p w14:paraId="44F1CBB0" w14:textId="589DC193" w:rsidR="00895C96" w:rsidRPr="00895C96" w:rsidRDefault="00895C96" w:rsidP="00895C96">
            <w:r w:rsidRPr="00895C96">
              <w:t>Economic conservativism</w:t>
            </w:r>
          </w:p>
        </w:tc>
        <w:tc>
          <w:tcPr>
            <w:tcW w:w="1009" w:type="dxa"/>
            <w:tcMar>
              <w:top w:w="113" w:type="dxa"/>
              <w:left w:w="113" w:type="dxa"/>
              <w:bottom w:w="113" w:type="dxa"/>
              <w:right w:w="113" w:type="dxa"/>
            </w:tcMar>
            <w:hideMark/>
          </w:tcPr>
          <w:p w14:paraId="0B1FF9E7" w14:textId="77777777" w:rsidR="00895C96" w:rsidRPr="00895C96" w:rsidRDefault="00895C96" w:rsidP="00895C96">
            <w:pPr>
              <w:jc w:val="center"/>
            </w:pPr>
            <w:r w:rsidRPr="00895C96">
              <w:t>-0.99</w:t>
            </w:r>
          </w:p>
        </w:tc>
        <w:tc>
          <w:tcPr>
            <w:tcW w:w="2096" w:type="dxa"/>
            <w:tcMar>
              <w:top w:w="113" w:type="dxa"/>
              <w:left w:w="113" w:type="dxa"/>
              <w:bottom w:w="113" w:type="dxa"/>
              <w:right w:w="113" w:type="dxa"/>
            </w:tcMar>
            <w:hideMark/>
          </w:tcPr>
          <w:p w14:paraId="64C2DA06" w14:textId="24481FA0" w:rsidR="00895C96" w:rsidRPr="00895C96" w:rsidRDefault="00895C96" w:rsidP="00895C96">
            <w:pPr>
              <w:jc w:val="center"/>
            </w:pPr>
            <w:r w:rsidRPr="00895C96">
              <w:t>-1.39</w:t>
            </w:r>
            <w:r w:rsidR="00694A60">
              <w:t xml:space="preserve">, </w:t>
            </w:r>
            <w:r w:rsidRPr="00895C96">
              <w:t>-0.60</w:t>
            </w:r>
          </w:p>
        </w:tc>
        <w:tc>
          <w:tcPr>
            <w:tcW w:w="1276" w:type="dxa"/>
            <w:tcMar>
              <w:top w:w="113" w:type="dxa"/>
              <w:left w:w="113" w:type="dxa"/>
              <w:bottom w:w="113" w:type="dxa"/>
              <w:right w:w="113" w:type="dxa"/>
            </w:tcMar>
            <w:hideMark/>
          </w:tcPr>
          <w:p w14:paraId="2233007B" w14:textId="006F0E1F" w:rsidR="00895C96" w:rsidRPr="00895C96" w:rsidRDefault="00895C96" w:rsidP="00895C96">
            <w:pPr>
              <w:jc w:val="center"/>
            </w:pPr>
            <w:r w:rsidRPr="00895C96">
              <w:t>&lt;.001***</w:t>
            </w:r>
          </w:p>
        </w:tc>
      </w:tr>
      <w:tr w:rsidR="00895C96" w:rsidRPr="00895C96" w14:paraId="00E754D6" w14:textId="77777777" w:rsidTr="00895C96">
        <w:tc>
          <w:tcPr>
            <w:tcW w:w="7513" w:type="dxa"/>
            <w:gridSpan w:val="4"/>
            <w:tcMar>
              <w:top w:w="192" w:type="dxa"/>
              <w:left w:w="15" w:type="dxa"/>
              <w:bottom w:w="15" w:type="dxa"/>
              <w:right w:w="15" w:type="dxa"/>
            </w:tcMar>
            <w:vAlign w:val="center"/>
            <w:hideMark/>
          </w:tcPr>
          <w:p w14:paraId="1A5318B3" w14:textId="77777777" w:rsidR="00895C96" w:rsidRPr="00895C96" w:rsidRDefault="00895C96" w:rsidP="00895C96">
            <w:pPr>
              <w:rPr>
                <w:b/>
                <w:bCs/>
              </w:rPr>
            </w:pPr>
            <w:r w:rsidRPr="00895C96">
              <w:rPr>
                <w:b/>
                <w:bCs/>
              </w:rPr>
              <w:t>Random Effects</w:t>
            </w:r>
          </w:p>
        </w:tc>
      </w:tr>
      <w:tr w:rsidR="00895C96" w:rsidRPr="00895C96" w14:paraId="6AAEA401" w14:textId="77777777" w:rsidTr="00895C96">
        <w:tc>
          <w:tcPr>
            <w:tcW w:w="3132" w:type="dxa"/>
            <w:tcMar>
              <w:top w:w="57" w:type="dxa"/>
              <w:left w:w="113" w:type="dxa"/>
              <w:bottom w:w="57" w:type="dxa"/>
              <w:right w:w="113" w:type="dxa"/>
            </w:tcMar>
            <w:hideMark/>
          </w:tcPr>
          <w:p w14:paraId="45AE45FF" w14:textId="35FC3AFC" w:rsidR="00895C96" w:rsidRPr="00895C96" w:rsidRDefault="00895C96" w:rsidP="00895C96">
            <w:r w:rsidRPr="00895C96">
              <w:t xml:space="preserve">Residual </w:t>
            </w:r>
          </w:p>
        </w:tc>
        <w:tc>
          <w:tcPr>
            <w:tcW w:w="4381" w:type="dxa"/>
            <w:gridSpan w:val="3"/>
            <w:tcMar>
              <w:top w:w="57" w:type="dxa"/>
              <w:left w:w="113" w:type="dxa"/>
              <w:bottom w:w="57" w:type="dxa"/>
              <w:right w:w="113" w:type="dxa"/>
            </w:tcMar>
            <w:hideMark/>
          </w:tcPr>
          <w:p w14:paraId="49C02094" w14:textId="77777777" w:rsidR="00895C96" w:rsidRPr="00895C96" w:rsidRDefault="00895C96" w:rsidP="00895C96">
            <w:r w:rsidRPr="00895C96">
              <w:t>161.86</w:t>
            </w:r>
          </w:p>
        </w:tc>
      </w:tr>
      <w:tr w:rsidR="00895C96" w:rsidRPr="00895C96" w14:paraId="28F98FE5" w14:textId="77777777" w:rsidTr="00895C96">
        <w:tc>
          <w:tcPr>
            <w:tcW w:w="3132" w:type="dxa"/>
            <w:tcMar>
              <w:top w:w="57" w:type="dxa"/>
              <w:left w:w="113" w:type="dxa"/>
              <w:bottom w:w="57" w:type="dxa"/>
              <w:right w:w="113" w:type="dxa"/>
            </w:tcMar>
            <w:hideMark/>
          </w:tcPr>
          <w:p w14:paraId="48D6BD30" w14:textId="5EAB7D8F" w:rsidR="00895C96" w:rsidRPr="00895C96" w:rsidRDefault="00895C96" w:rsidP="00895C96">
            <w:r w:rsidRPr="00895C96">
              <w:t>Country (intercept)</w:t>
            </w:r>
          </w:p>
        </w:tc>
        <w:tc>
          <w:tcPr>
            <w:tcW w:w="4381" w:type="dxa"/>
            <w:gridSpan w:val="3"/>
            <w:tcMar>
              <w:top w:w="57" w:type="dxa"/>
              <w:left w:w="113" w:type="dxa"/>
              <w:bottom w:w="57" w:type="dxa"/>
              <w:right w:w="113" w:type="dxa"/>
            </w:tcMar>
            <w:hideMark/>
          </w:tcPr>
          <w:p w14:paraId="7124B9D2" w14:textId="77777777" w:rsidR="00895C96" w:rsidRPr="00895C96" w:rsidRDefault="00895C96" w:rsidP="00895C96">
            <w:r w:rsidRPr="00895C96">
              <w:t>5.24</w:t>
            </w:r>
          </w:p>
        </w:tc>
      </w:tr>
      <w:tr w:rsidR="00895C96" w:rsidRPr="00895C96" w14:paraId="02B24EF9" w14:textId="77777777" w:rsidTr="00895C96">
        <w:tc>
          <w:tcPr>
            <w:tcW w:w="3132" w:type="dxa"/>
            <w:tcMar>
              <w:top w:w="57" w:type="dxa"/>
              <w:left w:w="113" w:type="dxa"/>
              <w:bottom w:w="57" w:type="dxa"/>
              <w:right w:w="113" w:type="dxa"/>
            </w:tcMar>
            <w:hideMark/>
          </w:tcPr>
          <w:p w14:paraId="09121F88" w14:textId="77777777" w:rsidR="00895C96" w:rsidRPr="00895C96" w:rsidRDefault="00895C96" w:rsidP="00895C96">
            <w:r w:rsidRPr="00895C96">
              <w:t>ICC</w:t>
            </w:r>
          </w:p>
        </w:tc>
        <w:tc>
          <w:tcPr>
            <w:tcW w:w="4381" w:type="dxa"/>
            <w:gridSpan w:val="3"/>
            <w:tcMar>
              <w:top w:w="57" w:type="dxa"/>
              <w:left w:w="113" w:type="dxa"/>
              <w:bottom w:w="57" w:type="dxa"/>
              <w:right w:w="113" w:type="dxa"/>
            </w:tcMar>
            <w:hideMark/>
          </w:tcPr>
          <w:p w14:paraId="175067FF" w14:textId="0FFB802D" w:rsidR="00895C96" w:rsidRPr="00895C96" w:rsidRDefault="00895C96" w:rsidP="00895C96">
            <w:r w:rsidRPr="00895C96">
              <w:t>.03</w:t>
            </w:r>
          </w:p>
        </w:tc>
      </w:tr>
      <w:tr w:rsidR="00895C96" w:rsidRPr="00895C96" w14:paraId="2A9CF38B" w14:textId="77777777" w:rsidTr="00895C96">
        <w:tc>
          <w:tcPr>
            <w:tcW w:w="3132" w:type="dxa"/>
            <w:tcMar>
              <w:top w:w="57" w:type="dxa"/>
              <w:left w:w="113" w:type="dxa"/>
              <w:bottom w:w="57" w:type="dxa"/>
              <w:right w:w="113" w:type="dxa"/>
            </w:tcMar>
            <w:hideMark/>
          </w:tcPr>
          <w:p w14:paraId="0D8C55D1" w14:textId="73FCC252" w:rsidR="00895C96" w:rsidRPr="00895C96" w:rsidRDefault="00895C96" w:rsidP="00895C96">
            <w:r w:rsidRPr="00895C96">
              <w:t>N </w:t>
            </w:r>
            <w:r w:rsidRPr="00895C96">
              <w:rPr>
                <w:vertAlign w:val="subscript"/>
              </w:rPr>
              <w:t>Country</w:t>
            </w:r>
          </w:p>
        </w:tc>
        <w:tc>
          <w:tcPr>
            <w:tcW w:w="4381" w:type="dxa"/>
            <w:gridSpan w:val="3"/>
            <w:tcMar>
              <w:top w:w="57" w:type="dxa"/>
              <w:left w:w="113" w:type="dxa"/>
              <w:bottom w:w="57" w:type="dxa"/>
              <w:right w:w="113" w:type="dxa"/>
            </w:tcMar>
            <w:hideMark/>
          </w:tcPr>
          <w:p w14:paraId="5BC4DE9C" w14:textId="77777777" w:rsidR="00895C96" w:rsidRPr="00895C96" w:rsidRDefault="00895C96" w:rsidP="00895C96">
            <w:r w:rsidRPr="00895C96">
              <w:t>41</w:t>
            </w:r>
          </w:p>
        </w:tc>
      </w:tr>
      <w:tr w:rsidR="00895C96" w:rsidRPr="00895C96" w14:paraId="305489AA" w14:textId="77777777" w:rsidTr="00895C96">
        <w:tc>
          <w:tcPr>
            <w:tcW w:w="3132" w:type="dxa"/>
            <w:tcBorders>
              <w:top w:val="single" w:sz="6" w:space="0" w:color="auto"/>
            </w:tcBorders>
            <w:tcMar>
              <w:top w:w="57" w:type="dxa"/>
              <w:left w:w="113" w:type="dxa"/>
              <w:bottom w:w="57" w:type="dxa"/>
              <w:right w:w="113" w:type="dxa"/>
            </w:tcMar>
            <w:hideMark/>
          </w:tcPr>
          <w:p w14:paraId="6237F269" w14:textId="77777777" w:rsidR="00895C96" w:rsidRPr="00895C96" w:rsidRDefault="00895C96" w:rsidP="00895C96">
            <w:r w:rsidRPr="00895C96">
              <w:t>Observations</w:t>
            </w:r>
          </w:p>
        </w:tc>
        <w:tc>
          <w:tcPr>
            <w:tcW w:w="4381" w:type="dxa"/>
            <w:gridSpan w:val="3"/>
            <w:tcBorders>
              <w:top w:val="single" w:sz="6" w:space="0" w:color="auto"/>
            </w:tcBorders>
            <w:tcMar>
              <w:top w:w="57" w:type="dxa"/>
              <w:left w:w="113" w:type="dxa"/>
              <w:bottom w:w="57" w:type="dxa"/>
              <w:right w:w="113" w:type="dxa"/>
            </w:tcMar>
            <w:hideMark/>
          </w:tcPr>
          <w:p w14:paraId="175B9AF6" w14:textId="77777777" w:rsidR="00895C96" w:rsidRPr="00895C96" w:rsidRDefault="00895C96" w:rsidP="00895C96">
            <w:r w:rsidRPr="00895C96">
              <w:t>5992</w:t>
            </w:r>
          </w:p>
        </w:tc>
      </w:tr>
      <w:tr w:rsidR="00895C96" w:rsidRPr="00895C96" w14:paraId="72350C45" w14:textId="77777777" w:rsidTr="00895C96">
        <w:tc>
          <w:tcPr>
            <w:tcW w:w="3132" w:type="dxa"/>
            <w:tcBorders>
              <w:bottom w:val="single" w:sz="4" w:space="0" w:color="000000" w:themeColor="text1"/>
            </w:tcBorders>
            <w:tcMar>
              <w:top w:w="57" w:type="dxa"/>
              <w:left w:w="113" w:type="dxa"/>
              <w:bottom w:w="57" w:type="dxa"/>
              <w:right w:w="113" w:type="dxa"/>
            </w:tcMar>
            <w:hideMark/>
          </w:tcPr>
          <w:p w14:paraId="3631FE5F" w14:textId="77777777" w:rsidR="00895C96" w:rsidRPr="00895C96" w:rsidRDefault="00895C96" w:rsidP="00895C96">
            <w:r w:rsidRPr="00895C96">
              <w:t>Marginal R</w:t>
            </w:r>
            <w:r w:rsidRPr="00895C96">
              <w:rPr>
                <w:vertAlign w:val="superscript"/>
              </w:rPr>
              <w:t>2</w:t>
            </w:r>
            <w:r w:rsidRPr="00895C96">
              <w:t> / Conditional R</w:t>
            </w:r>
            <w:r w:rsidRPr="00895C96">
              <w:rPr>
                <w:vertAlign w:val="superscript"/>
              </w:rPr>
              <w:t>2</w:t>
            </w:r>
          </w:p>
        </w:tc>
        <w:tc>
          <w:tcPr>
            <w:tcW w:w="4381" w:type="dxa"/>
            <w:gridSpan w:val="3"/>
            <w:tcBorders>
              <w:bottom w:val="single" w:sz="4" w:space="0" w:color="000000" w:themeColor="text1"/>
            </w:tcBorders>
            <w:tcMar>
              <w:top w:w="57" w:type="dxa"/>
              <w:left w:w="113" w:type="dxa"/>
              <w:bottom w:w="57" w:type="dxa"/>
              <w:right w:w="113" w:type="dxa"/>
            </w:tcMar>
            <w:hideMark/>
          </w:tcPr>
          <w:p w14:paraId="36F86485" w14:textId="0E6A2F49" w:rsidR="00895C96" w:rsidRPr="00895C96" w:rsidRDefault="00895C96" w:rsidP="00895C96">
            <w:r w:rsidRPr="00895C96">
              <w:t>.018 / .049</w:t>
            </w:r>
          </w:p>
        </w:tc>
      </w:tr>
    </w:tbl>
    <w:p w14:paraId="69015D36" w14:textId="204D9526" w:rsidR="00895C96" w:rsidRPr="006E44E1" w:rsidRDefault="00895C96" w:rsidP="00895C96">
      <w:pPr>
        <w:spacing w:before="120" w:line="276" w:lineRule="auto"/>
      </w:pPr>
      <w:r w:rsidRPr="00895C96">
        <w:rPr>
          <w:i/>
          <w:iCs/>
        </w:rPr>
        <w:t>Note:</w:t>
      </w:r>
      <w:r w:rsidRPr="00895C96">
        <w:t xml:space="preserve"> Gender was coded as male (1) and female (2). </w:t>
      </w:r>
      <w:r w:rsidR="006E44E1">
        <w:t>Marginal R</w:t>
      </w:r>
      <w:r w:rsidR="006E44E1" w:rsidRPr="00895C96">
        <w:rPr>
          <w:vertAlign w:val="superscript"/>
        </w:rPr>
        <w:t>2</w:t>
      </w:r>
      <w:r w:rsidR="006E44E1">
        <w:t xml:space="preserve"> refers to fixed effects only and Conditional R</w:t>
      </w:r>
      <w:r w:rsidR="006E44E1" w:rsidRPr="00895C96">
        <w:rPr>
          <w:vertAlign w:val="superscript"/>
        </w:rPr>
        <w:t>2</w:t>
      </w:r>
      <w:r w:rsidR="006E44E1">
        <w:t xml:space="preserve"> refers to the entire model. </w:t>
      </w:r>
    </w:p>
    <w:p w14:paraId="01C3E49E" w14:textId="24DA9728" w:rsidR="00DE388A" w:rsidRDefault="00895C96" w:rsidP="00FA45F2">
      <w:pPr>
        <w:spacing w:line="276" w:lineRule="auto"/>
      </w:pPr>
      <w:r w:rsidRPr="00895C96">
        <w:t xml:space="preserve">* </w:t>
      </w:r>
      <w:r w:rsidRPr="00895C96">
        <w:rPr>
          <w:i/>
          <w:iCs/>
        </w:rPr>
        <w:t>p</w:t>
      </w:r>
      <w:r w:rsidRPr="00895C96">
        <w:t xml:space="preserve"> &lt; .05</w:t>
      </w:r>
      <w:r w:rsidRPr="00895C96">
        <w:tab/>
        <w:t xml:space="preserve">** </w:t>
      </w:r>
      <w:r w:rsidRPr="00895C96">
        <w:rPr>
          <w:i/>
          <w:iCs/>
        </w:rPr>
        <w:t>p</w:t>
      </w:r>
      <w:r w:rsidRPr="00895C96">
        <w:t xml:space="preserve"> &lt; .01</w:t>
      </w:r>
      <w:r w:rsidRPr="00895C96">
        <w:tab/>
        <w:t xml:space="preserve">*** </w:t>
      </w:r>
      <w:r w:rsidRPr="00895C96">
        <w:rPr>
          <w:i/>
          <w:iCs/>
        </w:rPr>
        <w:t>p</w:t>
      </w:r>
      <w:r w:rsidRPr="00895C96">
        <w:t xml:space="preserve"> &lt; .001 </w:t>
      </w:r>
    </w:p>
    <w:p w14:paraId="2577736F" w14:textId="77777777" w:rsidR="00072860" w:rsidRDefault="00072860" w:rsidP="00072860">
      <w:pPr>
        <w:spacing w:line="480" w:lineRule="auto"/>
        <w:ind w:firstLine="720"/>
      </w:pPr>
      <w:r w:rsidRPr="00072860">
        <w:t xml:space="preserve">We then conducted four additional LMMs to examine the effect of generalized trust and anomie (total and for each subscale) on moral expansiveness, with control variables included in the models. As seen in Table 2, higher generalized trust, and reduced perceptions of a breakdown in the social fabric within-countries were associated with higher MES scores. </w:t>
      </w:r>
      <w:r w:rsidRPr="00072860">
        <w:lastRenderedPageBreak/>
        <w:t>Since the relationship between anomie (total score) as well as breakdown within leadership and moral expansiveness were not significant, we will not consider these variables in further analyses.</w:t>
      </w:r>
    </w:p>
    <w:p w14:paraId="09EF7E22" w14:textId="3E3F8253" w:rsidR="006B6561" w:rsidRDefault="006B6561" w:rsidP="00072860">
      <w:pPr>
        <w:spacing w:line="480" w:lineRule="auto"/>
      </w:pPr>
      <w:r w:rsidRPr="008878F5">
        <w:t xml:space="preserve">Table </w:t>
      </w:r>
      <w:r w:rsidR="000F6551">
        <w:t>2</w:t>
      </w:r>
    </w:p>
    <w:p w14:paraId="3112E260" w14:textId="07A69ACE" w:rsidR="00DA5298" w:rsidRPr="00C21C52" w:rsidRDefault="006B6561" w:rsidP="006B6561">
      <w:pPr>
        <w:spacing w:line="480" w:lineRule="auto"/>
        <w:rPr>
          <w:i/>
          <w:iCs/>
        </w:rPr>
      </w:pPr>
      <w:r w:rsidRPr="00C21C52">
        <w:rPr>
          <w:i/>
          <w:iCs/>
        </w:rPr>
        <w:t>Linear Mixed Model</w:t>
      </w:r>
      <w:r>
        <w:rPr>
          <w:i/>
          <w:iCs/>
        </w:rPr>
        <w:t>s</w:t>
      </w:r>
      <w:r w:rsidRPr="00C21C52">
        <w:rPr>
          <w:i/>
          <w:iCs/>
        </w:rPr>
        <w:t xml:space="preserve"> Examining the Effect of </w:t>
      </w:r>
      <w:r w:rsidR="000F6551">
        <w:rPr>
          <w:i/>
          <w:iCs/>
        </w:rPr>
        <w:t>Generalized Trust and Anomie on Moral Expansiveness Scores</w:t>
      </w:r>
      <w:r w:rsidRPr="00502B81">
        <w:rPr>
          <w:i/>
          <w:iCs/>
        </w:rPr>
        <w:t>.</w:t>
      </w:r>
      <w:r>
        <w:rPr>
          <w:i/>
          <w:iCs/>
        </w:rPr>
        <w:t xml:space="preserve"> </w:t>
      </w:r>
    </w:p>
    <w:tbl>
      <w:tblPr>
        <w:tblStyle w:val="TableGrid"/>
        <w:tblW w:w="9639" w:type="dxa"/>
        <w:tblLayout w:type="fixed"/>
        <w:tblLook w:val="04A0" w:firstRow="1" w:lastRow="0" w:firstColumn="1" w:lastColumn="0" w:noHBand="0" w:noVBand="1"/>
      </w:tblPr>
      <w:tblGrid>
        <w:gridCol w:w="3119"/>
        <w:gridCol w:w="709"/>
        <w:gridCol w:w="1417"/>
        <w:gridCol w:w="992"/>
        <w:gridCol w:w="142"/>
        <w:gridCol w:w="709"/>
        <w:gridCol w:w="1464"/>
        <w:gridCol w:w="1087"/>
      </w:tblGrid>
      <w:tr w:rsidR="006B6561" w:rsidRPr="008C42C5" w14:paraId="39EB7267" w14:textId="35044BB2" w:rsidTr="006B6561">
        <w:tc>
          <w:tcPr>
            <w:tcW w:w="3119" w:type="dxa"/>
            <w:tcBorders>
              <w:left w:val="nil"/>
              <w:bottom w:val="single" w:sz="4" w:space="0" w:color="FFFFFF" w:themeColor="background1"/>
              <w:right w:val="nil"/>
            </w:tcBorders>
          </w:tcPr>
          <w:p w14:paraId="26AD2B4D" w14:textId="77777777" w:rsidR="006B6561" w:rsidRDefault="006B6561" w:rsidP="001C438F">
            <w:pPr>
              <w:spacing w:line="360" w:lineRule="auto"/>
            </w:pPr>
          </w:p>
        </w:tc>
        <w:tc>
          <w:tcPr>
            <w:tcW w:w="6520" w:type="dxa"/>
            <w:gridSpan w:val="7"/>
            <w:tcBorders>
              <w:left w:val="nil"/>
              <w:bottom w:val="single" w:sz="4" w:space="0" w:color="auto"/>
              <w:right w:val="nil"/>
            </w:tcBorders>
          </w:tcPr>
          <w:p w14:paraId="00D8C1C3" w14:textId="37CA0126" w:rsidR="006B6561" w:rsidRPr="006B6561" w:rsidRDefault="006B6561" w:rsidP="001C438F">
            <w:pPr>
              <w:spacing w:line="360" w:lineRule="auto"/>
              <w:jc w:val="center"/>
            </w:pPr>
            <w:r w:rsidRPr="006B6561">
              <w:t xml:space="preserve">Moral Expansiveness </w:t>
            </w:r>
          </w:p>
        </w:tc>
      </w:tr>
      <w:tr w:rsidR="006B6561" w:rsidRPr="008C42C5" w14:paraId="14FDDA96" w14:textId="168DFE01" w:rsidTr="006B6561">
        <w:tc>
          <w:tcPr>
            <w:tcW w:w="3119" w:type="dxa"/>
            <w:tcBorders>
              <w:top w:val="single" w:sz="4" w:space="0" w:color="FFFFFF" w:themeColor="background1"/>
              <w:left w:val="nil"/>
              <w:bottom w:val="single" w:sz="4" w:space="0" w:color="FFFFFF" w:themeColor="background1"/>
              <w:right w:val="nil"/>
            </w:tcBorders>
          </w:tcPr>
          <w:p w14:paraId="6843074A" w14:textId="77777777" w:rsidR="006B6561" w:rsidRDefault="006B6561" w:rsidP="001C438F">
            <w:pPr>
              <w:spacing w:line="360" w:lineRule="auto"/>
            </w:pPr>
          </w:p>
        </w:tc>
        <w:tc>
          <w:tcPr>
            <w:tcW w:w="3118" w:type="dxa"/>
            <w:gridSpan w:val="3"/>
            <w:tcBorders>
              <w:left w:val="nil"/>
              <w:bottom w:val="single" w:sz="4" w:space="0" w:color="auto"/>
              <w:right w:val="nil"/>
            </w:tcBorders>
          </w:tcPr>
          <w:p w14:paraId="7790E1F8" w14:textId="7153E773" w:rsidR="006B6561" w:rsidRPr="006B6561" w:rsidRDefault="006B6561" w:rsidP="001C438F">
            <w:pPr>
              <w:spacing w:line="360" w:lineRule="auto"/>
              <w:jc w:val="center"/>
            </w:pPr>
            <w:r>
              <w:t>Within-country effects</w:t>
            </w:r>
          </w:p>
        </w:tc>
        <w:tc>
          <w:tcPr>
            <w:tcW w:w="3402" w:type="dxa"/>
            <w:gridSpan w:val="4"/>
            <w:tcBorders>
              <w:left w:val="nil"/>
              <w:bottom w:val="single" w:sz="4" w:space="0" w:color="auto"/>
              <w:right w:val="nil"/>
            </w:tcBorders>
          </w:tcPr>
          <w:p w14:paraId="60562DA0" w14:textId="53C8B172" w:rsidR="006B6561" w:rsidRDefault="006B6561" w:rsidP="001C438F">
            <w:pPr>
              <w:spacing w:line="360" w:lineRule="auto"/>
              <w:jc w:val="center"/>
            </w:pPr>
            <w:r>
              <w:t>Between-country effects</w:t>
            </w:r>
          </w:p>
        </w:tc>
      </w:tr>
      <w:tr w:rsidR="006B6561" w:rsidRPr="008C42C5" w14:paraId="194177BD" w14:textId="6521407B" w:rsidTr="00860AC8">
        <w:tc>
          <w:tcPr>
            <w:tcW w:w="3119" w:type="dxa"/>
            <w:tcBorders>
              <w:top w:val="single" w:sz="4" w:space="0" w:color="FFFFFF" w:themeColor="background1"/>
              <w:left w:val="nil"/>
              <w:bottom w:val="single" w:sz="4" w:space="0" w:color="auto"/>
              <w:right w:val="nil"/>
            </w:tcBorders>
          </w:tcPr>
          <w:p w14:paraId="3522B4B0" w14:textId="064BECD5" w:rsidR="006B6561" w:rsidRPr="00C21C52" w:rsidRDefault="00072860" w:rsidP="006B6561">
            <w:pPr>
              <w:spacing w:line="360" w:lineRule="auto"/>
            </w:pPr>
            <w:r>
              <w:t>Model</w:t>
            </w:r>
          </w:p>
        </w:tc>
        <w:tc>
          <w:tcPr>
            <w:tcW w:w="709" w:type="dxa"/>
            <w:tcBorders>
              <w:left w:val="nil"/>
              <w:bottom w:val="single" w:sz="4" w:space="0" w:color="auto"/>
              <w:right w:val="nil"/>
            </w:tcBorders>
          </w:tcPr>
          <w:p w14:paraId="6B4C0C42" w14:textId="51CD2E88" w:rsidR="006B6561" w:rsidRPr="00C21C52" w:rsidRDefault="00895C96" w:rsidP="006B6561">
            <w:pPr>
              <w:spacing w:line="360" w:lineRule="auto"/>
              <w:jc w:val="center"/>
              <w:rPr>
                <w:i/>
                <w:iCs/>
              </w:rPr>
            </w:pPr>
            <w:r>
              <w:rPr>
                <w:i/>
                <w:iCs/>
              </w:rPr>
              <w:t>b</w:t>
            </w:r>
          </w:p>
        </w:tc>
        <w:tc>
          <w:tcPr>
            <w:tcW w:w="1417" w:type="dxa"/>
            <w:tcBorders>
              <w:left w:val="nil"/>
              <w:bottom w:val="single" w:sz="4" w:space="0" w:color="auto"/>
              <w:right w:val="nil"/>
            </w:tcBorders>
          </w:tcPr>
          <w:p w14:paraId="5F7F3F94" w14:textId="77777777" w:rsidR="006B6561" w:rsidRPr="00CE05D2" w:rsidRDefault="006B6561" w:rsidP="006B6561">
            <w:pPr>
              <w:spacing w:line="360" w:lineRule="auto"/>
              <w:jc w:val="center"/>
              <w:rPr>
                <w:i/>
                <w:iCs/>
              </w:rPr>
            </w:pPr>
            <w:r w:rsidRPr="00CE05D2">
              <w:rPr>
                <w:i/>
                <w:iCs/>
              </w:rPr>
              <w:t>95% CI</w:t>
            </w:r>
          </w:p>
        </w:tc>
        <w:tc>
          <w:tcPr>
            <w:tcW w:w="1134" w:type="dxa"/>
            <w:gridSpan w:val="2"/>
            <w:tcBorders>
              <w:left w:val="nil"/>
              <w:bottom w:val="single" w:sz="4" w:space="0" w:color="auto"/>
              <w:right w:val="nil"/>
            </w:tcBorders>
          </w:tcPr>
          <w:p w14:paraId="2FB6F77E" w14:textId="77777777" w:rsidR="006B6561" w:rsidRPr="00C21C52" w:rsidRDefault="006B6561" w:rsidP="006B6561">
            <w:pPr>
              <w:spacing w:line="360" w:lineRule="auto"/>
              <w:jc w:val="center"/>
              <w:rPr>
                <w:i/>
                <w:iCs/>
              </w:rPr>
            </w:pPr>
            <w:r w:rsidRPr="00C21C52">
              <w:rPr>
                <w:i/>
                <w:iCs/>
              </w:rPr>
              <w:t>p</w:t>
            </w:r>
          </w:p>
        </w:tc>
        <w:tc>
          <w:tcPr>
            <w:tcW w:w="709" w:type="dxa"/>
            <w:tcBorders>
              <w:left w:val="nil"/>
              <w:right w:val="nil"/>
            </w:tcBorders>
          </w:tcPr>
          <w:p w14:paraId="6137BE2C" w14:textId="6AAC5E8F" w:rsidR="006B6561" w:rsidRPr="00C21C52" w:rsidRDefault="00895C96" w:rsidP="006B6561">
            <w:pPr>
              <w:spacing w:line="360" w:lineRule="auto"/>
              <w:jc w:val="center"/>
              <w:rPr>
                <w:i/>
                <w:iCs/>
              </w:rPr>
            </w:pPr>
            <w:r>
              <w:rPr>
                <w:i/>
                <w:iCs/>
              </w:rPr>
              <w:t>b</w:t>
            </w:r>
          </w:p>
        </w:tc>
        <w:tc>
          <w:tcPr>
            <w:tcW w:w="1464" w:type="dxa"/>
            <w:tcBorders>
              <w:left w:val="nil"/>
              <w:right w:val="nil"/>
            </w:tcBorders>
          </w:tcPr>
          <w:p w14:paraId="3287822A" w14:textId="5A02B75E" w:rsidR="006B6561" w:rsidRPr="00C21C52" w:rsidRDefault="006B6561" w:rsidP="006B6561">
            <w:pPr>
              <w:spacing w:line="360" w:lineRule="auto"/>
              <w:jc w:val="center"/>
              <w:rPr>
                <w:i/>
                <w:iCs/>
              </w:rPr>
            </w:pPr>
            <w:r w:rsidRPr="00CE05D2">
              <w:rPr>
                <w:i/>
                <w:iCs/>
              </w:rPr>
              <w:t>95% CI</w:t>
            </w:r>
          </w:p>
        </w:tc>
        <w:tc>
          <w:tcPr>
            <w:tcW w:w="1087" w:type="dxa"/>
            <w:tcBorders>
              <w:left w:val="nil"/>
              <w:right w:val="nil"/>
            </w:tcBorders>
          </w:tcPr>
          <w:p w14:paraId="47B39FAD" w14:textId="354165F8" w:rsidR="006B6561" w:rsidRPr="00C21C52" w:rsidRDefault="006B6561" w:rsidP="006B6561">
            <w:pPr>
              <w:spacing w:line="360" w:lineRule="auto"/>
              <w:jc w:val="center"/>
              <w:rPr>
                <w:i/>
                <w:iCs/>
              </w:rPr>
            </w:pPr>
            <w:r w:rsidRPr="00C21C52">
              <w:rPr>
                <w:i/>
                <w:iCs/>
              </w:rPr>
              <w:t>p</w:t>
            </w:r>
          </w:p>
        </w:tc>
      </w:tr>
      <w:tr w:rsidR="00860AC8" w14:paraId="1386D8F6" w14:textId="51018664" w:rsidTr="00860AC8">
        <w:tc>
          <w:tcPr>
            <w:tcW w:w="3119" w:type="dxa"/>
            <w:tcBorders>
              <w:top w:val="nil"/>
              <w:left w:val="nil"/>
              <w:bottom w:val="nil"/>
              <w:right w:val="nil"/>
            </w:tcBorders>
          </w:tcPr>
          <w:p w14:paraId="79547D21" w14:textId="58C51410" w:rsidR="00860AC8" w:rsidRDefault="00860AC8" w:rsidP="00B51F22">
            <w:pPr>
              <w:spacing w:line="360" w:lineRule="auto"/>
            </w:pPr>
            <w:r>
              <w:t xml:space="preserve">Generalized trust </w:t>
            </w:r>
          </w:p>
        </w:tc>
        <w:tc>
          <w:tcPr>
            <w:tcW w:w="709" w:type="dxa"/>
            <w:tcBorders>
              <w:top w:val="nil"/>
              <w:left w:val="nil"/>
              <w:bottom w:val="nil"/>
              <w:right w:val="nil"/>
            </w:tcBorders>
          </w:tcPr>
          <w:p w14:paraId="38AA4937" w14:textId="148EA15D" w:rsidR="00860AC8" w:rsidRPr="00860AC8" w:rsidRDefault="00860AC8" w:rsidP="00B51F22">
            <w:pPr>
              <w:spacing w:line="360" w:lineRule="auto"/>
              <w:jc w:val="center"/>
              <w:rPr>
                <w:sz w:val="22"/>
                <w:szCs w:val="22"/>
              </w:rPr>
            </w:pPr>
            <w:r w:rsidRPr="00860AC8">
              <w:rPr>
                <w:sz w:val="22"/>
                <w:szCs w:val="22"/>
              </w:rPr>
              <w:t>0.88</w:t>
            </w:r>
          </w:p>
        </w:tc>
        <w:tc>
          <w:tcPr>
            <w:tcW w:w="1417" w:type="dxa"/>
            <w:tcBorders>
              <w:top w:val="nil"/>
              <w:left w:val="nil"/>
              <w:bottom w:val="nil"/>
              <w:right w:val="nil"/>
            </w:tcBorders>
          </w:tcPr>
          <w:p w14:paraId="385EBB11" w14:textId="44066572" w:rsidR="00860AC8" w:rsidRPr="00860AC8" w:rsidRDefault="00860AC8" w:rsidP="00B51F22">
            <w:pPr>
              <w:spacing w:line="360" w:lineRule="auto"/>
              <w:jc w:val="center"/>
              <w:rPr>
                <w:sz w:val="22"/>
                <w:szCs w:val="22"/>
              </w:rPr>
            </w:pPr>
            <w:r w:rsidRPr="00860AC8">
              <w:rPr>
                <w:sz w:val="22"/>
                <w:szCs w:val="22"/>
              </w:rPr>
              <w:t>0.56</w:t>
            </w:r>
            <w:r w:rsidR="00740868">
              <w:rPr>
                <w:sz w:val="22"/>
                <w:szCs w:val="22"/>
              </w:rPr>
              <w:t>,</w:t>
            </w:r>
            <w:r w:rsidRPr="00860AC8">
              <w:rPr>
                <w:sz w:val="22"/>
                <w:szCs w:val="22"/>
              </w:rPr>
              <w:t> 1.21</w:t>
            </w:r>
          </w:p>
        </w:tc>
        <w:tc>
          <w:tcPr>
            <w:tcW w:w="1134" w:type="dxa"/>
            <w:gridSpan w:val="2"/>
            <w:tcBorders>
              <w:top w:val="nil"/>
              <w:left w:val="nil"/>
              <w:bottom w:val="nil"/>
              <w:right w:val="nil"/>
            </w:tcBorders>
          </w:tcPr>
          <w:p w14:paraId="5D4AA41D" w14:textId="6361B4B0" w:rsidR="00860AC8" w:rsidRPr="00860AC8" w:rsidRDefault="00860AC8" w:rsidP="00B51F22">
            <w:pPr>
              <w:spacing w:line="360" w:lineRule="auto"/>
              <w:jc w:val="center"/>
              <w:rPr>
                <w:b/>
                <w:bCs/>
                <w:sz w:val="22"/>
                <w:szCs w:val="22"/>
              </w:rPr>
            </w:pPr>
            <w:r w:rsidRPr="00860AC8">
              <w:rPr>
                <w:rStyle w:val="Strong"/>
                <w:b w:val="0"/>
                <w:bCs w:val="0"/>
                <w:sz w:val="22"/>
                <w:szCs w:val="22"/>
              </w:rPr>
              <w:t>&lt;.001***</w:t>
            </w:r>
          </w:p>
        </w:tc>
        <w:tc>
          <w:tcPr>
            <w:tcW w:w="709" w:type="dxa"/>
            <w:tcBorders>
              <w:left w:val="nil"/>
              <w:bottom w:val="single" w:sz="4" w:space="0" w:color="FFFFFF" w:themeColor="background1"/>
              <w:right w:val="nil"/>
            </w:tcBorders>
          </w:tcPr>
          <w:p w14:paraId="5FB23738" w14:textId="48975BFD" w:rsidR="00860AC8" w:rsidRPr="00860AC8" w:rsidRDefault="00860AC8" w:rsidP="00B51F22">
            <w:pPr>
              <w:spacing w:line="360" w:lineRule="auto"/>
              <w:jc w:val="center"/>
              <w:rPr>
                <w:sz w:val="22"/>
                <w:szCs w:val="22"/>
              </w:rPr>
            </w:pPr>
            <w:r w:rsidRPr="00860AC8">
              <w:rPr>
                <w:sz w:val="22"/>
                <w:szCs w:val="22"/>
              </w:rPr>
              <w:t>0.25</w:t>
            </w:r>
          </w:p>
        </w:tc>
        <w:tc>
          <w:tcPr>
            <w:tcW w:w="1464" w:type="dxa"/>
            <w:tcBorders>
              <w:left w:val="nil"/>
              <w:bottom w:val="single" w:sz="4" w:space="0" w:color="FFFFFF" w:themeColor="background1"/>
              <w:right w:val="nil"/>
            </w:tcBorders>
          </w:tcPr>
          <w:p w14:paraId="52FD453F" w14:textId="597FB68D" w:rsidR="00860AC8" w:rsidRPr="00860AC8" w:rsidRDefault="00860AC8" w:rsidP="00B51F22">
            <w:pPr>
              <w:spacing w:line="360" w:lineRule="auto"/>
              <w:jc w:val="center"/>
              <w:rPr>
                <w:sz w:val="22"/>
                <w:szCs w:val="22"/>
              </w:rPr>
            </w:pPr>
            <w:r w:rsidRPr="00860AC8">
              <w:rPr>
                <w:sz w:val="22"/>
                <w:szCs w:val="22"/>
              </w:rPr>
              <w:t>-0.70</w:t>
            </w:r>
            <w:r w:rsidR="00740868">
              <w:rPr>
                <w:sz w:val="22"/>
                <w:szCs w:val="22"/>
              </w:rPr>
              <w:t>,</w:t>
            </w:r>
            <w:r w:rsidRPr="00860AC8">
              <w:rPr>
                <w:sz w:val="22"/>
                <w:szCs w:val="22"/>
              </w:rPr>
              <w:t> 1.20</w:t>
            </w:r>
          </w:p>
        </w:tc>
        <w:tc>
          <w:tcPr>
            <w:tcW w:w="1087" w:type="dxa"/>
            <w:tcBorders>
              <w:left w:val="nil"/>
              <w:bottom w:val="single" w:sz="4" w:space="0" w:color="FFFFFF" w:themeColor="background1"/>
              <w:right w:val="nil"/>
            </w:tcBorders>
          </w:tcPr>
          <w:p w14:paraId="428D7C4D" w14:textId="6D291907" w:rsidR="00860AC8" w:rsidRPr="00860AC8" w:rsidRDefault="00860AC8" w:rsidP="00B51F22">
            <w:pPr>
              <w:spacing w:line="360" w:lineRule="auto"/>
              <w:jc w:val="center"/>
              <w:rPr>
                <w:sz w:val="22"/>
                <w:szCs w:val="22"/>
              </w:rPr>
            </w:pPr>
            <w:r w:rsidRPr="00860AC8">
              <w:rPr>
                <w:sz w:val="22"/>
                <w:szCs w:val="22"/>
              </w:rPr>
              <w:t>.6</w:t>
            </w:r>
            <w:r w:rsidR="00E22C71">
              <w:rPr>
                <w:sz w:val="22"/>
                <w:szCs w:val="22"/>
              </w:rPr>
              <w:t>11</w:t>
            </w:r>
          </w:p>
        </w:tc>
      </w:tr>
      <w:tr w:rsidR="00860AC8" w14:paraId="44FCAEA2" w14:textId="77777777" w:rsidTr="00860AC8">
        <w:tc>
          <w:tcPr>
            <w:tcW w:w="3119" w:type="dxa"/>
            <w:tcBorders>
              <w:top w:val="nil"/>
              <w:left w:val="nil"/>
              <w:bottom w:val="nil"/>
              <w:right w:val="nil"/>
            </w:tcBorders>
          </w:tcPr>
          <w:p w14:paraId="298A5CA8" w14:textId="7E1A54EB" w:rsidR="00860AC8" w:rsidRDefault="00860AC8" w:rsidP="00B51F22">
            <w:pPr>
              <w:spacing w:line="360" w:lineRule="auto"/>
            </w:pPr>
            <w:r>
              <w:t>Anomie</w:t>
            </w:r>
          </w:p>
        </w:tc>
        <w:tc>
          <w:tcPr>
            <w:tcW w:w="709" w:type="dxa"/>
            <w:tcBorders>
              <w:top w:val="nil"/>
              <w:left w:val="nil"/>
              <w:bottom w:val="nil"/>
              <w:right w:val="nil"/>
            </w:tcBorders>
          </w:tcPr>
          <w:p w14:paraId="3C117232" w14:textId="3962FF33" w:rsidR="00860AC8" w:rsidRPr="00860AC8" w:rsidRDefault="00860AC8" w:rsidP="00B51F22">
            <w:pPr>
              <w:spacing w:line="360" w:lineRule="auto"/>
              <w:jc w:val="center"/>
              <w:rPr>
                <w:sz w:val="22"/>
                <w:szCs w:val="22"/>
              </w:rPr>
            </w:pPr>
            <w:r w:rsidRPr="00860AC8">
              <w:rPr>
                <w:sz w:val="22"/>
                <w:szCs w:val="22"/>
              </w:rPr>
              <w:t>-0.31</w:t>
            </w:r>
          </w:p>
        </w:tc>
        <w:tc>
          <w:tcPr>
            <w:tcW w:w="1417" w:type="dxa"/>
            <w:tcBorders>
              <w:top w:val="nil"/>
              <w:left w:val="nil"/>
              <w:bottom w:val="nil"/>
              <w:right w:val="nil"/>
            </w:tcBorders>
          </w:tcPr>
          <w:p w14:paraId="0456C7DA" w14:textId="59178063" w:rsidR="00860AC8" w:rsidRPr="00860AC8" w:rsidRDefault="00860AC8" w:rsidP="00B51F22">
            <w:pPr>
              <w:spacing w:line="360" w:lineRule="auto"/>
              <w:jc w:val="center"/>
              <w:rPr>
                <w:sz w:val="22"/>
                <w:szCs w:val="22"/>
              </w:rPr>
            </w:pPr>
            <w:r w:rsidRPr="00860AC8">
              <w:rPr>
                <w:sz w:val="22"/>
                <w:szCs w:val="22"/>
              </w:rPr>
              <w:t>-0.63</w:t>
            </w:r>
            <w:r w:rsidR="00740868">
              <w:rPr>
                <w:sz w:val="22"/>
                <w:szCs w:val="22"/>
              </w:rPr>
              <w:t>,</w:t>
            </w:r>
            <w:r w:rsidRPr="00860AC8">
              <w:rPr>
                <w:sz w:val="22"/>
                <w:szCs w:val="22"/>
              </w:rPr>
              <w:t> 0.02</w:t>
            </w:r>
          </w:p>
        </w:tc>
        <w:tc>
          <w:tcPr>
            <w:tcW w:w="1134" w:type="dxa"/>
            <w:gridSpan w:val="2"/>
            <w:tcBorders>
              <w:top w:val="nil"/>
              <w:left w:val="nil"/>
              <w:bottom w:val="nil"/>
              <w:right w:val="nil"/>
            </w:tcBorders>
          </w:tcPr>
          <w:p w14:paraId="103DA7F3" w14:textId="365DB06F" w:rsidR="00860AC8" w:rsidRPr="00860AC8" w:rsidRDefault="00860AC8" w:rsidP="00B51F22">
            <w:pPr>
              <w:spacing w:line="360" w:lineRule="auto"/>
              <w:jc w:val="center"/>
              <w:rPr>
                <w:sz w:val="22"/>
                <w:szCs w:val="22"/>
              </w:rPr>
            </w:pPr>
            <w:r w:rsidRPr="00860AC8">
              <w:rPr>
                <w:sz w:val="22"/>
                <w:szCs w:val="22"/>
              </w:rPr>
              <w:t>.065</w:t>
            </w:r>
          </w:p>
        </w:tc>
        <w:tc>
          <w:tcPr>
            <w:tcW w:w="709" w:type="dxa"/>
            <w:tcBorders>
              <w:top w:val="single" w:sz="4" w:space="0" w:color="FFFFFF" w:themeColor="background1"/>
              <w:left w:val="nil"/>
              <w:bottom w:val="single" w:sz="4" w:space="0" w:color="FFFFFF" w:themeColor="background1"/>
              <w:right w:val="nil"/>
            </w:tcBorders>
          </w:tcPr>
          <w:p w14:paraId="2860E022" w14:textId="0BE36DDF" w:rsidR="00860AC8" w:rsidRPr="00860AC8" w:rsidRDefault="00860AC8" w:rsidP="00B51F22">
            <w:pPr>
              <w:spacing w:line="360" w:lineRule="auto"/>
              <w:jc w:val="center"/>
              <w:rPr>
                <w:sz w:val="22"/>
                <w:szCs w:val="22"/>
              </w:rPr>
            </w:pPr>
            <w:r w:rsidRPr="00860AC8">
              <w:rPr>
                <w:sz w:val="22"/>
                <w:szCs w:val="22"/>
              </w:rPr>
              <w:t>-0.06</w:t>
            </w:r>
          </w:p>
        </w:tc>
        <w:tc>
          <w:tcPr>
            <w:tcW w:w="1464" w:type="dxa"/>
            <w:tcBorders>
              <w:top w:val="single" w:sz="4" w:space="0" w:color="FFFFFF" w:themeColor="background1"/>
              <w:left w:val="nil"/>
              <w:bottom w:val="single" w:sz="4" w:space="0" w:color="FFFFFF" w:themeColor="background1"/>
              <w:right w:val="nil"/>
            </w:tcBorders>
          </w:tcPr>
          <w:p w14:paraId="27833D70" w14:textId="69F87D95" w:rsidR="00860AC8" w:rsidRPr="00860AC8" w:rsidRDefault="00860AC8" w:rsidP="00B51F22">
            <w:pPr>
              <w:spacing w:line="360" w:lineRule="auto"/>
              <w:jc w:val="center"/>
              <w:rPr>
                <w:sz w:val="22"/>
                <w:szCs w:val="22"/>
              </w:rPr>
            </w:pPr>
            <w:r w:rsidRPr="00860AC8">
              <w:rPr>
                <w:sz w:val="22"/>
                <w:szCs w:val="22"/>
              </w:rPr>
              <w:t>-1.07</w:t>
            </w:r>
            <w:r w:rsidR="00740868">
              <w:rPr>
                <w:sz w:val="22"/>
                <w:szCs w:val="22"/>
              </w:rPr>
              <w:t>,</w:t>
            </w:r>
            <w:r w:rsidRPr="00860AC8">
              <w:rPr>
                <w:sz w:val="22"/>
                <w:szCs w:val="22"/>
              </w:rPr>
              <w:t> 0.96</w:t>
            </w:r>
          </w:p>
        </w:tc>
        <w:tc>
          <w:tcPr>
            <w:tcW w:w="1087" w:type="dxa"/>
            <w:tcBorders>
              <w:top w:val="single" w:sz="4" w:space="0" w:color="FFFFFF" w:themeColor="background1"/>
              <w:left w:val="nil"/>
              <w:bottom w:val="single" w:sz="4" w:space="0" w:color="FFFFFF" w:themeColor="background1"/>
              <w:right w:val="nil"/>
            </w:tcBorders>
          </w:tcPr>
          <w:p w14:paraId="70D8B74B" w14:textId="133CA509" w:rsidR="00860AC8" w:rsidRPr="00860AC8" w:rsidRDefault="00860AC8" w:rsidP="00B51F22">
            <w:pPr>
              <w:spacing w:line="360" w:lineRule="auto"/>
              <w:jc w:val="center"/>
              <w:rPr>
                <w:sz w:val="22"/>
                <w:szCs w:val="22"/>
              </w:rPr>
            </w:pPr>
            <w:r w:rsidRPr="00860AC8">
              <w:rPr>
                <w:sz w:val="22"/>
                <w:szCs w:val="22"/>
              </w:rPr>
              <w:t>.91</w:t>
            </w:r>
            <w:r w:rsidR="00E22C71">
              <w:rPr>
                <w:sz w:val="22"/>
                <w:szCs w:val="22"/>
              </w:rPr>
              <w:t>4</w:t>
            </w:r>
          </w:p>
        </w:tc>
      </w:tr>
      <w:tr w:rsidR="00860AC8" w14:paraId="7826B876" w14:textId="77777777" w:rsidTr="00860AC8">
        <w:tc>
          <w:tcPr>
            <w:tcW w:w="3119" w:type="dxa"/>
            <w:tcBorders>
              <w:top w:val="nil"/>
              <w:left w:val="nil"/>
              <w:bottom w:val="nil"/>
              <w:right w:val="nil"/>
            </w:tcBorders>
          </w:tcPr>
          <w:p w14:paraId="1691637C" w14:textId="1C4F0316" w:rsidR="00860AC8" w:rsidRDefault="00860AC8" w:rsidP="00B51F22">
            <w:pPr>
              <w:spacing w:line="360" w:lineRule="auto"/>
            </w:pPr>
            <w:r>
              <w:t xml:space="preserve">    Breakdown in social fabric</w:t>
            </w:r>
          </w:p>
        </w:tc>
        <w:tc>
          <w:tcPr>
            <w:tcW w:w="709" w:type="dxa"/>
            <w:tcBorders>
              <w:top w:val="nil"/>
              <w:left w:val="nil"/>
              <w:bottom w:val="nil"/>
              <w:right w:val="nil"/>
            </w:tcBorders>
          </w:tcPr>
          <w:p w14:paraId="62A250E7" w14:textId="4DCC675E" w:rsidR="00860AC8" w:rsidRPr="00860AC8" w:rsidRDefault="00860AC8" w:rsidP="00B51F22">
            <w:pPr>
              <w:spacing w:line="360" w:lineRule="auto"/>
              <w:jc w:val="center"/>
              <w:rPr>
                <w:sz w:val="22"/>
                <w:szCs w:val="22"/>
              </w:rPr>
            </w:pPr>
            <w:r w:rsidRPr="00860AC8">
              <w:rPr>
                <w:sz w:val="22"/>
                <w:szCs w:val="22"/>
              </w:rPr>
              <w:t>-0.36</w:t>
            </w:r>
          </w:p>
        </w:tc>
        <w:tc>
          <w:tcPr>
            <w:tcW w:w="1417" w:type="dxa"/>
            <w:tcBorders>
              <w:top w:val="nil"/>
              <w:left w:val="nil"/>
              <w:bottom w:val="nil"/>
              <w:right w:val="nil"/>
            </w:tcBorders>
          </w:tcPr>
          <w:p w14:paraId="0806AB5A" w14:textId="6AC14D5F" w:rsidR="00860AC8" w:rsidRPr="00860AC8" w:rsidRDefault="00860AC8" w:rsidP="00B51F22">
            <w:pPr>
              <w:spacing w:line="360" w:lineRule="auto"/>
              <w:jc w:val="center"/>
              <w:rPr>
                <w:sz w:val="22"/>
                <w:szCs w:val="22"/>
              </w:rPr>
            </w:pPr>
            <w:r w:rsidRPr="00860AC8">
              <w:rPr>
                <w:sz w:val="22"/>
                <w:szCs w:val="22"/>
              </w:rPr>
              <w:t>-0.68</w:t>
            </w:r>
            <w:r w:rsidR="00740868">
              <w:rPr>
                <w:sz w:val="22"/>
                <w:szCs w:val="22"/>
              </w:rPr>
              <w:t>,</w:t>
            </w:r>
            <w:r w:rsidRPr="00860AC8">
              <w:rPr>
                <w:sz w:val="22"/>
                <w:szCs w:val="22"/>
              </w:rPr>
              <w:t> -0.03</w:t>
            </w:r>
          </w:p>
        </w:tc>
        <w:tc>
          <w:tcPr>
            <w:tcW w:w="1134" w:type="dxa"/>
            <w:gridSpan w:val="2"/>
            <w:tcBorders>
              <w:top w:val="nil"/>
              <w:left w:val="nil"/>
              <w:bottom w:val="nil"/>
              <w:right w:val="nil"/>
            </w:tcBorders>
          </w:tcPr>
          <w:p w14:paraId="02E851B9" w14:textId="7FC757E4" w:rsidR="00860AC8" w:rsidRPr="00860AC8" w:rsidRDefault="00860AC8" w:rsidP="00B51F22">
            <w:pPr>
              <w:spacing w:line="360" w:lineRule="auto"/>
              <w:jc w:val="center"/>
              <w:rPr>
                <w:b/>
                <w:bCs/>
                <w:sz w:val="22"/>
                <w:szCs w:val="22"/>
              </w:rPr>
            </w:pPr>
            <w:r w:rsidRPr="00860AC8">
              <w:rPr>
                <w:rStyle w:val="Strong"/>
                <w:b w:val="0"/>
                <w:bCs w:val="0"/>
                <w:sz w:val="22"/>
                <w:szCs w:val="22"/>
              </w:rPr>
              <w:t>.032*</w:t>
            </w:r>
          </w:p>
        </w:tc>
        <w:tc>
          <w:tcPr>
            <w:tcW w:w="709" w:type="dxa"/>
            <w:tcBorders>
              <w:top w:val="single" w:sz="4" w:space="0" w:color="FFFFFF" w:themeColor="background1"/>
              <w:left w:val="nil"/>
              <w:bottom w:val="single" w:sz="4" w:space="0" w:color="FFFFFF" w:themeColor="background1"/>
              <w:right w:val="nil"/>
            </w:tcBorders>
          </w:tcPr>
          <w:p w14:paraId="2593D843" w14:textId="093FB76B" w:rsidR="00860AC8" w:rsidRPr="00860AC8" w:rsidRDefault="00860AC8" w:rsidP="00B51F22">
            <w:pPr>
              <w:spacing w:line="360" w:lineRule="auto"/>
              <w:jc w:val="center"/>
              <w:rPr>
                <w:sz w:val="22"/>
                <w:szCs w:val="22"/>
              </w:rPr>
            </w:pPr>
            <w:r w:rsidRPr="00860AC8">
              <w:rPr>
                <w:sz w:val="22"/>
                <w:szCs w:val="22"/>
              </w:rPr>
              <w:t>0.10</w:t>
            </w:r>
          </w:p>
        </w:tc>
        <w:tc>
          <w:tcPr>
            <w:tcW w:w="1464" w:type="dxa"/>
            <w:tcBorders>
              <w:top w:val="single" w:sz="4" w:space="0" w:color="FFFFFF" w:themeColor="background1"/>
              <w:left w:val="nil"/>
              <w:bottom w:val="single" w:sz="4" w:space="0" w:color="FFFFFF" w:themeColor="background1"/>
              <w:right w:val="nil"/>
            </w:tcBorders>
          </w:tcPr>
          <w:p w14:paraId="33DC42B5" w14:textId="4FE68843" w:rsidR="00860AC8" w:rsidRPr="00860AC8" w:rsidRDefault="00860AC8" w:rsidP="00B51F22">
            <w:pPr>
              <w:spacing w:line="360" w:lineRule="auto"/>
              <w:jc w:val="center"/>
              <w:rPr>
                <w:sz w:val="22"/>
                <w:szCs w:val="22"/>
              </w:rPr>
            </w:pPr>
            <w:r w:rsidRPr="00860AC8">
              <w:rPr>
                <w:sz w:val="22"/>
                <w:szCs w:val="22"/>
              </w:rPr>
              <w:t>-1.00</w:t>
            </w:r>
            <w:r w:rsidR="00740868">
              <w:rPr>
                <w:sz w:val="22"/>
                <w:szCs w:val="22"/>
              </w:rPr>
              <w:t>,</w:t>
            </w:r>
            <w:r w:rsidRPr="00860AC8">
              <w:rPr>
                <w:sz w:val="22"/>
                <w:szCs w:val="22"/>
              </w:rPr>
              <w:t> 1.20</w:t>
            </w:r>
          </w:p>
        </w:tc>
        <w:tc>
          <w:tcPr>
            <w:tcW w:w="1087" w:type="dxa"/>
            <w:tcBorders>
              <w:top w:val="single" w:sz="4" w:space="0" w:color="FFFFFF" w:themeColor="background1"/>
              <w:left w:val="nil"/>
              <w:bottom w:val="single" w:sz="4" w:space="0" w:color="FFFFFF" w:themeColor="background1"/>
              <w:right w:val="nil"/>
            </w:tcBorders>
          </w:tcPr>
          <w:p w14:paraId="23F7E55C" w14:textId="7F63869A" w:rsidR="00860AC8" w:rsidRPr="00860AC8" w:rsidRDefault="00860AC8" w:rsidP="00B51F22">
            <w:pPr>
              <w:spacing w:line="360" w:lineRule="auto"/>
              <w:jc w:val="center"/>
              <w:rPr>
                <w:sz w:val="22"/>
                <w:szCs w:val="22"/>
              </w:rPr>
            </w:pPr>
            <w:r w:rsidRPr="00860AC8">
              <w:rPr>
                <w:sz w:val="22"/>
                <w:szCs w:val="22"/>
              </w:rPr>
              <w:t>.85</w:t>
            </w:r>
            <w:r w:rsidR="00E22C71">
              <w:rPr>
                <w:sz w:val="22"/>
                <w:szCs w:val="22"/>
              </w:rPr>
              <w:t>4</w:t>
            </w:r>
          </w:p>
        </w:tc>
      </w:tr>
      <w:tr w:rsidR="00860AC8" w14:paraId="71D53704" w14:textId="77777777" w:rsidTr="00860AC8">
        <w:tc>
          <w:tcPr>
            <w:tcW w:w="3119" w:type="dxa"/>
            <w:tcBorders>
              <w:top w:val="nil"/>
              <w:left w:val="nil"/>
              <w:bottom w:val="single" w:sz="4" w:space="0" w:color="000000"/>
              <w:right w:val="nil"/>
            </w:tcBorders>
          </w:tcPr>
          <w:p w14:paraId="1167AED6" w14:textId="78C56500" w:rsidR="00860AC8" w:rsidRDefault="00860AC8" w:rsidP="00B51F22">
            <w:pPr>
              <w:spacing w:line="360" w:lineRule="auto"/>
            </w:pPr>
            <w:r>
              <w:t xml:space="preserve">    Breakdown in leadership</w:t>
            </w:r>
          </w:p>
        </w:tc>
        <w:tc>
          <w:tcPr>
            <w:tcW w:w="709" w:type="dxa"/>
            <w:tcBorders>
              <w:top w:val="nil"/>
              <w:left w:val="nil"/>
              <w:bottom w:val="single" w:sz="4" w:space="0" w:color="000000"/>
              <w:right w:val="nil"/>
            </w:tcBorders>
          </w:tcPr>
          <w:p w14:paraId="51AB0DCD" w14:textId="16D3130E" w:rsidR="00860AC8" w:rsidRPr="00860AC8" w:rsidRDefault="00860AC8" w:rsidP="00B51F22">
            <w:pPr>
              <w:spacing w:line="360" w:lineRule="auto"/>
              <w:jc w:val="center"/>
              <w:rPr>
                <w:sz w:val="22"/>
                <w:szCs w:val="22"/>
              </w:rPr>
            </w:pPr>
            <w:r w:rsidRPr="00860AC8">
              <w:rPr>
                <w:sz w:val="22"/>
                <w:szCs w:val="22"/>
              </w:rPr>
              <w:t>-0.15</w:t>
            </w:r>
          </w:p>
        </w:tc>
        <w:tc>
          <w:tcPr>
            <w:tcW w:w="1417" w:type="dxa"/>
            <w:tcBorders>
              <w:top w:val="nil"/>
              <w:left w:val="nil"/>
              <w:bottom w:val="single" w:sz="4" w:space="0" w:color="000000"/>
              <w:right w:val="nil"/>
            </w:tcBorders>
          </w:tcPr>
          <w:p w14:paraId="2A3D44F2" w14:textId="252A7FB0" w:rsidR="00860AC8" w:rsidRPr="00860AC8" w:rsidRDefault="00860AC8" w:rsidP="00B51F22">
            <w:pPr>
              <w:spacing w:line="360" w:lineRule="auto"/>
              <w:jc w:val="center"/>
              <w:rPr>
                <w:sz w:val="22"/>
                <w:szCs w:val="22"/>
              </w:rPr>
            </w:pPr>
            <w:r w:rsidRPr="00860AC8">
              <w:rPr>
                <w:sz w:val="22"/>
                <w:szCs w:val="22"/>
              </w:rPr>
              <w:t>-0.47</w:t>
            </w:r>
            <w:r w:rsidR="00740868">
              <w:rPr>
                <w:sz w:val="22"/>
                <w:szCs w:val="22"/>
              </w:rPr>
              <w:t>,</w:t>
            </w:r>
            <w:r w:rsidRPr="00860AC8">
              <w:rPr>
                <w:sz w:val="22"/>
                <w:szCs w:val="22"/>
              </w:rPr>
              <w:t> 0.18</w:t>
            </w:r>
          </w:p>
        </w:tc>
        <w:tc>
          <w:tcPr>
            <w:tcW w:w="1134" w:type="dxa"/>
            <w:gridSpan w:val="2"/>
            <w:tcBorders>
              <w:top w:val="nil"/>
              <w:left w:val="nil"/>
              <w:bottom w:val="single" w:sz="4" w:space="0" w:color="000000"/>
              <w:right w:val="nil"/>
            </w:tcBorders>
          </w:tcPr>
          <w:p w14:paraId="0B8AB8BB" w14:textId="1D83CAFA" w:rsidR="00860AC8" w:rsidRPr="00860AC8" w:rsidRDefault="00860AC8" w:rsidP="00B51F22">
            <w:pPr>
              <w:spacing w:line="360" w:lineRule="auto"/>
              <w:jc w:val="center"/>
              <w:rPr>
                <w:sz w:val="22"/>
                <w:szCs w:val="22"/>
              </w:rPr>
            </w:pPr>
            <w:r w:rsidRPr="00860AC8">
              <w:rPr>
                <w:sz w:val="22"/>
                <w:szCs w:val="22"/>
              </w:rPr>
              <w:t>.372</w:t>
            </w:r>
          </w:p>
        </w:tc>
        <w:tc>
          <w:tcPr>
            <w:tcW w:w="709" w:type="dxa"/>
            <w:tcBorders>
              <w:top w:val="single" w:sz="4" w:space="0" w:color="FFFFFF" w:themeColor="background1"/>
              <w:left w:val="nil"/>
              <w:bottom w:val="single" w:sz="4" w:space="0" w:color="000000"/>
              <w:right w:val="nil"/>
            </w:tcBorders>
          </w:tcPr>
          <w:p w14:paraId="63DD95FA" w14:textId="774E3298" w:rsidR="00860AC8" w:rsidRPr="00860AC8" w:rsidRDefault="00860AC8" w:rsidP="00B51F22">
            <w:pPr>
              <w:spacing w:line="360" w:lineRule="auto"/>
              <w:jc w:val="center"/>
              <w:rPr>
                <w:sz w:val="22"/>
                <w:szCs w:val="22"/>
              </w:rPr>
            </w:pPr>
            <w:r w:rsidRPr="00860AC8">
              <w:rPr>
                <w:sz w:val="22"/>
                <w:szCs w:val="22"/>
              </w:rPr>
              <w:t>-0.11</w:t>
            </w:r>
          </w:p>
        </w:tc>
        <w:tc>
          <w:tcPr>
            <w:tcW w:w="1464" w:type="dxa"/>
            <w:tcBorders>
              <w:top w:val="single" w:sz="4" w:space="0" w:color="FFFFFF" w:themeColor="background1"/>
              <w:left w:val="nil"/>
              <w:bottom w:val="single" w:sz="4" w:space="0" w:color="000000"/>
              <w:right w:val="nil"/>
            </w:tcBorders>
          </w:tcPr>
          <w:p w14:paraId="46CF92ED" w14:textId="2012A33C" w:rsidR="00860AC8" w:rsidRPr="00860AC8" w:rsidRDefault="00860AC8" w:rsidP="00B51F22">
            <w:pPr>
              <w:spacing w:line="360" w:lineRule="auto"/>
              <w:jc w:val="center"/>
              <w:rPr>
                <w:sz w:val="22"/>
                <w:szCs w:val="22"/>
              </w:rPr>
            </w:pPr>
            <w:r w:rsidRPr="00860AC8">
              <w:rPr>
                <w:sz w:val="22"/>
                <w:szCs w:val="22"/>
              </w:rPr>
              <w:t>-1.04</w:t>
            </w:r>
            <w:r w:rsidR="00740868">
              <w:rPr>
                <w:sz w:val="22"/>
                <w:szCs w:val="22"/>
              </w:rPr>
              <w:t>,</w:t>
            </w:r>
            <w:r w:rsidRPr="00860AC8">
              <w:rPr>
                <w:sz w:val="22"/>
                <w:szCs w:val="22"/>
              </w:rPr>
              <w:t> 0.82</w:t>
            </w:r>
          </w:p>
        </w:tc>
        <w:tc>
          <w:tcPr>
            <w:tcW w:w="1087" w:type="dxa"/>
            <w:tcBorders>
              <w:top w:val="single" w:sz="4" w:space="0" w:color="FFFFFF" w:themeColor="background1"/>
              <w:left w:val="nil"/>
              <w:bottom w:val="single" w:sz="4" w:space="0" w:color="000000"/>
              <w:right w:val="nil"/>
            </w:tcBorders>
          </w:tcPr>
          <w:p w14:paraId="244478A6" w14:textId="47D104AA" w:rsidR="00860AC8" w:rsidRPr="00860AC8" w:rsidRDefault="00860AC8" w:rsidP="00B51F22">
            <w:pPr>
              <w:spacing w:line="360" w:lineRule="auto"/>
              <w:jc w:val="center"/>
              <w:rPr>
                <w:sz w:val="22"/>
                <w:szCs w:val="22"/>
              </w:rPr>
            </w:pPr>
            <w:r w:rsidRPr="00860AC8">
              <w:rPr>
                <w:sz w:val="22"/>
                <w:szCs w:val="22"/>
              </w:rPr>
              <w:t>.81</w:t>
            </w:r>
            <w:r w:rsidR="00E22C71">
              <w:rPr>
                <w:sz w:val="22"/>
                <w:szCs w:val="22"/>
              </w:rPr>
              <w:t>6</w:t>
            </w:r>
          </w:p>
        </w:tc>
      </w:tr>
    </w:tbl>
    <w:p w14:paraId="792C650D" w14:textId="7E64A738" w:rsidR="00DE388A" w:rsidRDefault="006B6561" w:rsidP="00FA45F2">
      <w:pPr>
        <w:rPr>
          <w:color w:val="201F1E"/>
        </w:rPr>
      </w:pPr>
      <w:r>
        <w:t xml:space="preserve">* </w:t>
      </w:r>
      <w:r w:rsidRPr="00F4392E">
        <w:rPr>
          <w:i/>
          <w:iCs/>
        </w:rPr>
        <w:t>p</w:t>
      </w:r>
      <w:r w:rsidRPr="00F4392E">
        <w:t xml:space="preserve"> &lt;</w:t>
      </w:r>
      <w:r>
        <w:t xml:space="preserve"> .05</w:t>
      </w:r>
      <w:r>
        <w:tab/>
        <w:t xml:space="preserve">** </w:t>
      </w:r>
      <w:r w:rsidRPr="00F4392E">
        <w:rPr>
          <w:i/>
          <w:iCs/>
        </w:rPr>
        <w:t>p</w:t>
      </w:r>
      <w:r>
        <w:t xml:space="preserve"> &lt; .01</w:t>
      </w:r>
      <w:r>
        <w:tab/>
        <w:t xml:space="preserve">*** </w:t>
      </w:r>
      <w:r w:rsidRPr="00F4392E">
        <w:rPr>
          <w:i/>
          <w:iCs/>
        </w:rPr>
        <w:t>p</w:t>
      </w:r>
      <w:r>
        <w:t xml:space="preserve"> &lt; .001 </w:t>
      </w:r>
    </w:p>
    <w:p w14:paraId="142C2EDA" w14:textId="524ED6BC" w:rsidR="006B6561" w:rsidRDefault="00072860" w:rsidP="00072860">
      <w:pPr>
        <w:spacing w:before="120" w:line="480" w:lineRule="auto"/>
        <w:ind w:firstLine="720"/>
        <w:sectPr w:rsidR="006B6561">
          <w:headerReference w:type="default" r:id="rId11"/>
          <w:footerReference w:type="even" r:id="rId12"/>
          <w:footerReference w:type="default" r:id="rId13"/>
          <w:pgSz w:w="11906" w:h="16838"/>
          <w:pgMar w:top="1440" w:right="1440" w:bottom="1440" w:left="1440" w:header="708" w:footer="708" w:gutter="0"/>
          <w:cols w:space="708"/>
          <w:docGrid w:linePitch="360"/>
        </w:sectPr>
      </w:pPr>
      <w:r w:rsidRPr="00072860">
        <w:rPr>
          <w:color w:val="201F1E"/>
        </w:rPr>
        <w:t>We ran Spearman’s rank correlations to assess the relationship between our three inequality indicators (see Supplementary Materials 10 for other correlations). There was a small correlation between our wealth gap measure and both the perceived Gini coefficient (</w:t>
      </w:r>
      <w:r w:rsidRPr="00072860">
        <w:rPr>
          <w:i/>
          <w:iCs/>
          <w:color w:val="201F1E"/>
        </w:rPr>
        <w:t>r</w:t>
      </w:r>
      <w:r w:rsidRPr="00072860">
        <w:rPr>
          <w:color w:val="201F1E"/>
        </w:rPr>
        <w:t xml:space="preserve"> = .09, </w:t>
      </w:r>
      <w:r w:rsidRPr="00072860">
        <w:rPr>
          <w:i/>
          <w:iCs/>
          <w:color w:val="201F1E"/>
        </w:rPr>
        <w:t>p</w:t>
      </w:r>
      <w:r w:rsidRPr="00072860">
        <w:rPr>
          <w:color w:val="201F1E"/>
        </w:rPr>
        <w:t xml:space="preserve"> &lt; .001), and the country-level Gini coefficient (</w:t>
      </w:r>
      <w:r w:rsidRPr="00072860">
        <w:rPr>
          <w:i/>
          <w:iCs/>
          <w:color w:val="201F1E"/>
        </w:rPr>
        <w:t>r</w:t>
      </w:r>
      <w:r w:rsidRPr="00072860">
        <w:rPr>
          <w:color w:val="201F1E"/>
        </w:rPr>
        <w:t xml:space="preserve"> = .14, </w:t>
      </w:r>
      <w:r w:rsidRPr="00072860">
        <w:rPr>
          <w:i/>
          <w:iCs/>
          <w:color w:val="201F1E"/>
        </w:rPr>
        <w:t>p</w:t>
      </w:r>
      <w:r w:rsidRPr="00072860">
        <w:rPr>
          <w:color w:val="201F1E"/>
        </w:rPr>
        <w:t xml:space="preserve"> &lt; .001). The perceived Gini coefficient was moderately correlated with the country-level Gini coefficient (</w:t>
      </w:r>
      <w:r w:rsidRPr="00072860">
        <w:rPr>
          <w:i/>
          <w:iCs/>
          <w:color w:val="201F1E"/>
        </w:rPr>
        <w:t>r</w:t>
      </w:r>
      <w:r w:rsidRPr="00072860">
        <w:rPr>
          <w:color w:val="201F1E"/>
        </w:rPr>
        <w:t xml:space="preserve"> = .35, </w:t>
      </w:r>
      <w:r w:rsidRPr="00072860">
        <w:rPr>
          <w:i/>
          <w:iCs/>
          <w:color w:val="201F1E"/>
        </w:rPr>
        <w:t>p</w:t>
      </w:r>
      <w:r w:rsidRPr="00072860">
        <w:rPr>
          <w:color w:val="201F1E"/>
        </w:rPr>
        <w:t xml:space="preserve"> &lt; .001). We then conducted nine separate LMMs to examine the effect of each inequality predictor (perceived wealth gap, perceived Gini, and country-level Gini) on (a) moral expansiveness, (b) generalized trust, and (c) breakdown in social fabric. As demonstrated in Table 3, a higher perceived wealth gap between the rich and the poor was associated with reduced moral expansiveness (within-countries), lower generalized trust (within- and between-countries), and greater perceptions of breakdown in the social fabric (within- and between-countries). In addition, a higher perceived Gini coefficient was related to greater perceptions of a breakdown in the social fabric (within-countries). Based on these findings, </w:t>
      </w:r>
      <w:r w:rsidRPr="00072860">
        <w:rPr>
          <w:color w:val="201F1E"/>
        </w:rPr>
        <w:lastRenderedPageBreak/>
        <w:t>we examined the hypothesized mediation effect for perceived wealth gap only, with generalized trust and breakdown in the social fabric as potential mediators.</w:t>
      </w:r>
    </w:p>
    <w:p w14:paraId="57CB0E8E" w14:textId="77777777" w:rsidR="006B6561" w:rsidRDefault="006B6561"/>
    <w:p w14:paraId="5962A749" w14:textId="2369DC27" w:rsidR="006B6561" w:rsidRDefault="006B6561" w:rsidP="006B6561">
      <w:pPr>
        <w:spacing w:line="480" w:lineRule="auto"/>
      </w:pPr>
      <w:r w:rsidRPr="008878F5">
        <w:t xml:space="preserve">Table </w:t>
      </w:r>
      <w:r w:rsidR="000F6551">
        <w:t>3</w:t>
      </w:r>
    </w:p>
    <w:p w14:paraId="38B87CB4" w14:textId="77777777" w:rsidR="006B6561" w:rsidRPr="00C21C52" w:rsidRDefault="006B6561" w:rsidP="006B6561">
      <w:pPr>
        <w:spacing w:line="480" w:lineRule="auto"/>
        <w:rPr>
          <w:i/>
          <w:iCs/>
        </w:rPr>
      </w:pPr>
      <w:r w:rsidRPr="00C21C52">
        <w:rPr>
          <w:i/>
          <w:iCs/>
        </w:rPr>
        <w:t>Linear Mixed Model</w:t>
      </w:r>
      <w:r>
        <w:rPr>
          <w:i/>
          <w:iCs/>
        </w:rPr>
        <w:t>s</w:t>
      </w:r>
      <w:r w:rsidRPr="00C21C52">
        <w:rPr>
          <w:i/>
          <w:iCs/>
        </w:rPr>
        <w:t xml:space="preserve"> Examining the Effect of </w:t>
      </w:r>
      <w:r>
        <w:rPr>
          <w:i/>
          <w:iCs/>
        </w:rPr>
        <w:t>the Inequality Predictors</w:t>
      </w:r>
      <w:r w:rsidRPr="00C21C52">
        <w:rPr>
          <w:i/>
          <w:iCs/>
        </w:rPr>
        <w:t xml:space="preserve"> on Moral Expansiveness</w:t>
      </w:r>
      <w:r>
        <w:rPr>
          <w:i/>
          <w:iCs/>
        </w:rPr>
        <w:t xml:space="preserve">, Generalized </w:t>
      </w:r>
      <w:r w:rsidRPr="00502B81">
        <w:rPr>
          <w:i/>
          <w:iCs/>
        </w:rPr>
        <w:t>Trust and Breakdown in the Social Fabric of Society.</w:t>
      </w:r>
      <w:r>
        <w:rPr>
          <w:i/>
          <w:iCs/>
        </w:rPr>
        <w:t xml:space="preserve"> </w:t>
      </w:r>
    </w:p>
    <w:tbl>
      <w:tblPr>
        <w:tblStyle w:val="TableGrid"/>
        <w:tblW w:w="13469" w:type="dxa"/>
        <w:tblLook w:val="04A0" w:firstRow="1" w:lastRow="0" w:firstColumn="1" w:lastColumn="0" w:noHBand="0" w:noVBand="1"/>
      </w:tblPr>
      <w:tblGrid>
        <w:gridCol w:w="2410"/>
        <w:gridCol w:w="2835"/>
        <w:gridCol w:w="1134"/>
        <w:gridCol w:w="1606"/>
        <w:gridCol w:w="1371"/>
        <w:gridCol w:w="1134"/>
        <w:gridCol w:w="1608"/>
        <w:gridCol w:w="1371"/>
      </w:tblGrid>
      <w:tr w:rsidR="000F6551" w:rsidRPr="008C42C5" w14:paraId="64C91C29" w14:textId="77777777" w:rsidTr="000F6551">
        <w:tc>
          <w:tcPr>
            <w:tcW w:w="2410" w:type="dxa"/>
            <w:tcBorders>
              <w:left w:val="nil"/>
              <w:bottom w:val="single" w:sz="4" w:space="0" w:color="FFFFFF" w:themeColor="background1"/>
              <w:right w:val="nil"/>
            </w:tcBorders>
          </w:tcPr>
          <w:p w14:paraId="588287BE" w14:textId="77777777" w:rsidR="000F6551" w:rsidRDefault="000F6551" w:rsidP="000F6551">
            <w:pPr>
              <w:spacing w:line="360" w:lineRule="auto"/>
            </w:pPr>
          </w:p>
        </w:tc>
        <w:tc>
          <w:tcPr>
            <w:tcW w:w="2835" w:type="dxa"/>
            <w:tcBorders>
              <w:left w:val="nil"/>
              <w:bottom w:val="single" w:sz="4" w:space="0" w:color="FFFFFF" w:themeColor="background1"/>
              <w:right w:val="nil"/>
            </w:tcBorders>
          </w:tcPr>
          <w:p w14:paraId="229E7A7D" w14:textId="77777777" w:rsidR="000F6551" w:rsidRDefault="000F6551" w:rsidP="000F6551">
            <w:pPr>
              <w:spacing w:line="360" w:lineRule="auto"/>
            </w:pPr>
          </w:p>
        </w:tc>
        <w:tc>
          <w:tcPr>
            <w:tcW w:w="4111" w:type="dxa"/>
            <w:gridSpan w:val="3"/>
            <w:tcBorders>
              <w:left w:val="nil"/>
              <w:bottom w:val="single" w:sz="4" w:space="0" w:color="auto"/>
              <w:right w:val="nil"/>
            </w:tcBorders>
          </w:tcPr>
          <w:p w14:paraId="61A0665F" w14:textId="7271EDCE" w:rsidR="000F6551" w:rsidRPr="000F6551" w:rsidRDefault="000F6551" w:rsidP="000F6551">
            <w:pPr>
              <w:spacing w:line="360" w:lineRule="auto"/>
              <w:jc w:val="center"/>
              <w:rPr>
                <w:b/>
                <w:bCs/>
                <w:i/>
                <w:iCs/>
              </w:rPr>
            </w:pPr>
            <w:r>
              <w:t>Within-country effects</w:t>
            </w:r>
          </w:p>
        </w:tc>
        <w:tc>
          <w:tcPr>
            <w:tcW w:w="4113" w:type="dxa"/>
            <w:gridSpan w:val="3"/>
            <w:tcBorders>
              <w:left w:val="nil"/>
              <w:bottom w:val="single" w:sz="4" w:space="0" w:color="auto"/>
              <w:right w:val="nil"/>
            </w:tcBorders>
          </w:tcPr>
          <w:p w14:paraId="42557DD5" w14:textId="17BCF5DE" w:rsidR="000F6551" w:rsidRPr="00C21C52" w:rsidRDefault="000F6551" w:rsidP="000F6551">
            <w:pPr>
              <w:spacing w:line="360" w:lineRule="auto"/>
              <w:jc w:val="center"/>
              <w:rPr>
                <w:i/>
                <w:iCs/>
              </w:rPr>
            </w:pPr>
            <w:r>
              <w:t>Between-country effects</w:t>
            </w:r>
          </w:p>
        </w:tc>
      </w:tr>
      <w:tr w:rsidR="000F6551" w:rsidRPr="008C42C5" w14:paraId="7BEECD5D" w14:textId="4EA7C80A" w:rsidTr="00B51F22">
        <w:tc>
          <w:tcPr>
            <w:tcW w:w="2410" w:type="dxa"/>
            <w:tcBorders>
              <w:top w:val="single" w:sz="4" w:space="0" w:color="FFFFFF" w:themeColor="background1"/>
              <w:left w:val="nil"/>
              <w:bottom w:val="single" w:sz="4" w:space="0" w:color="auto"/>
              <w:right w:val="nil"/>
            </w:tcBorders>
          </w:tcPr>
          <w:p w14:paraId="1894CF6C" w14:textId="77777777" w:rsidR="000F6551" w:rsidRPr="00C21C52" w:rsidRDefault="000F6551" w:rsidP="000F6551">
            <w:pPr>
              <w:spacing w:line="360" w:lineRule="auto"/>
            </w:pPr>
            <w:r>
              <w:t>Independent variables</w:t>
            </w:r>
          </w:p>
        </w:tc>
        <w:tc>
          <w:tcPr>
            <w:tcW w:w="2835" w:type="dxa"/>
            <w:tcBorders>
              <w:top w:val="single" w:sz="4" w:space="0" w:color="FFFFFF" w:themeColor="background1"/>
              <w:left w:val="nil"/>
              <w:bottom w:val="single" w:sz="4" w:space="0" w:color="auto"/>
              <w:right w:val="nil"/>
            </w:tcBorders>
          </w:tcPr>
          <w:p w14:paraId="1FE62765" w14:textId="77777777" w:rsidR="000F6551" w:rsidRPr="00C21C52" w:rsidRDefault="000F6551" w:rsidP="000F6551">
            <w:pPr>
              <w:spacing w:line="360" w:lineRule="auto"/>
            </w:pPr>
            <w:r>
              <w:t>Dependent variables</w:t>
            </w:r>
          </w:p>
        </w:tc>
        <w:tc>
          <w:tcPr>
            <w:tcW w:w="1134" w:type="dxa"/>
            <w:tcBorders>
              <w:left w:val="nil"/>
              <w:bottom w:val="single" w:sz="4" w:space="0" w:color="auto"/>
              <w:right w:val="nil"/>
            </w:tcBorders>
          </w:tcPr>
          <w:p w14:paraId="5B821A44" w14:textId="3479D250" w:rsidR="000F6551" w:rsidRPr="00C21C52" w:rsidRDefault="00895C96" w:rsidP="000F6551">
            <w:pPr>
              <w:spacing w:line="360" w:lineRule="auto"/>
              <w:jc w:val="center"/>
              <w:rPr>
                <w:i/>
                <w:iCs/>
              </w:rPr>
            </w:pPr>
            <w:r>
              <w:rPr>
                <w:i/>
                <w:iCs/>
              </w:rPr>
              <w:t>b</w:t>
            </w:r>
          </w:p>
        </w:tc>
        <w:tc>
          <w:tcPr>
            <w:tcW w:w="1606" w:type="dxa"/>
            <w:tcBorders>
              <w:left w:val="nil"/>
              <w:bottom w:val="single" w:sz="4" w:space="0" w:color="auto"/>
              <w:right w:val="nil"/>
            </w:tcBorders>
          </w:tcPr>
          <w:p w14:paraId="293694F8" w14:textId="77777777" w:rsidR="000F6551" w:rsidRPr="00CE05D2" w:rsidRDefault="000F6551" w:rsidP="000F6551">
            <w:pPr>
              <w:spacing w:line="360" w:lineRule="auto"/>
              <w:jc w:val="center"/>
              <w:rPr>
                <w:i/>
                <w:iCs/>
              </w:rPr>
            </w:pPr>
            <w:r w:rsidRPr="00CE05D2">
              <w:rPr>
                <w:i/>
                <w:iCs/>
              </w:rPr>
              <w:t>95% CI</w:t>
            </w:r>
          </w:p>
        </w:tc>
        <w:tc>
          <w:tcPr>
            <w:tcW w:w="1371" w:type="dxa"/>
            <w:tcBorders>
              <w:left w:val="nil"/>
              <w:bottom w:val="single" w:sz="4" w:space="0" w:color="auto"/>
              <w:right w:val="nil"/>
            </w:tcBorders>
          </w:tcPr>
          <w:p w14:paraId="2DFDC802" w14:textId="77777777" w:rsidR="000F6551" w:rsidRPr="00C21C52" w:rsidRDefault="000F6551" w:rsidP="000F6551">
            <w:pPr>
              <w:spacing w:line="360" w:lineRule="auto"/>
              <w:jc w:val="center"/>
              <w:rPr>
                <w:i/>
                <w:iCs/>
              </w:rPr>
            </w:pPr>
            <w:r w:rsidRPr="00C21C52">
              <w:rPr>
                <w:i/>
                <w:iCs/>
              </w:rPr>
              <w:t>p</w:t>
            </w:r>
          </w:p>
        </w:tc>
        <w:tc>
          <w:tcPr>
            <w:tcW w:w="1134" w:type="dxa"/>
            <w:tcBorders>
              <w:left w:val="nil"/>
              <w:bottom w:val="single" w:sz="4" w:space="0" w:color="auto"/>
              <w:right w:val="nil"/>
            </w:tcBorders>
          </w:tcPr>
          <w:p w14:paraId="2BE56B3D" w14:textId="70873F2E" w:rsidR="000F6551" w:rsidRPr="000F6551" w:rsidRDefault="00895C96" w:rsidP="000F6551">
            <w:pPr>
              <w:spacing w:line="360" w:lineRule="auto"/>
              <w:jc w:val="center"/>
              <w:rPr>
                <w:b/>
                <w:bCs/>
                <w:i/>
                <w:iCs/>
              </w:rPr>
            </w:pPr>
            <w:r>
              <w:rPr>
                <w:i/>
                <w:iCs/>
              </w:rPr>
              <w:t>b</w:t>
            </w:r>
          </w:p>
        </w:tc>
        <w:tc>
          <w:tcPr>
            <w:tcW w:w="1608" w:type="dxa"/>
            <w:tcBorders>
              <w:left w:val="nil"/>
              <w:bottom w:val="single" w:sz="4" w:space="0" w:color="auto"/>
              <w:right w:val="nil"/>
            </w:tcBorders>
          </w:tcPr>
          <w:p w14:paraId="7F7750DD" w14:textId="644056CF" w:rsidR="000F6551" w:rsidRPr="00C21C52" w:rsidRDefault="000F6551" w:rsidP="000F6551">
            <w:pPr>
              <w:spacing w:line="360" w:lineRule="auto"/>
              <w:jc w:val="center"/>
              <w:rPr>
                <w:i/>
                <w:iCs/>
              </w:rPr>
            </w:pPr>
            <w:r w:rsidRPr="00CE05D2">
              <w:rPr>
                <w:i/>
                <w:iCs/>
              </w:rPr>
              <w:t>95% CI</w:t>
            </w:r>
          </w:p>
        </w:tc>
        <w:tc>
          <w:tcPr>
            <w:tcW w:w="1371" w:type="dxa"/>
            <w:tcBorders>
              <w:left w:val="nil"/>
              <w:bottom w:val="single" w:sz="4" w:space="0" w:color="auto"/>
              <w:right w:val="nil"/>
            </w:tcBorders>
          </w:tcPr>
          <w:p w14:paraId="15B20EF6" w14:textId="134F2D60" w:rsidR="000F6551" w:rsidRPr="00C21C52" w:rsidRDefault="000F6551" w:rsidP="000F6551">
            <w:pPr>
              <w:spacing w:line="360" w:lineRule="auto"/>
              <w:jc w:val="center"/>
              <w:rPr>
                <w:i/>
                <w:iCs/>
              </w:rPr>
            </w:pPr>
            <w:r w:rsidRPr="00C21C52">
              <w:rPr>
                <w:i/>
                <w:iCs/>
              </w:rPr>
              <w:t>p</w:t>
            </w:r>
          </w:p>
        </w:tc>
      </w:tr>
      <w:tr w:rsidR="00B51F22" w14:paraId="4A4D210A" w14:textId="6AF4B959" w:rsidTr="00B51F22">
        <w:tc>
          <w:tcPr>
            <w:tcW w:w="2410" w:type="dxa"/>
            <w:tcBorders>
              <w:top w:val="single" w:sz="4" w:space="0" w:color="FFFFFF" w:themeColor="background1"/>
              <w:left w:val="nil"/>
              <w:bottom w:val="single" w:sz="4" w:space="0" w:color="FFFFFF" w:themeColor="background1"/>
              <w:right w:val="nil"/>
            </w:tcBorders>
          </w:tcPr>
          <w:p w14:paraId="36D01390" w14:textId="572C3A8F" w:rsidR="00B51F22" w:rsidRDefault="00B51F22" w:rsidP="00B51F22">
            <w:pPr>
              <w:spacing w:line="360" w:lineRule="auto"/>
            </w:pPr>
            <w:r>
              <w:t>Perceived wealth gap</w:t>
            </w:r>
          </w:p>
        </w:tc>
        <w:tc>
          <w:tcPr>
            <w:tcW w:w="2835" w:type="dxa"/>
            <w:tcBorders>
              <w:top w:val="single" w:sz="4" w:space="0" w:color="FFFFFF" w:themeColor="background1"/>
              <w:left w:val="nil"/>
              <w:bottom w:val="single" w:sz="4" w:space="0" w:color="FFFFFF" w:themeColor="background1"/>
              <w:right w:val="nil"/>
            </w:tcBorders>
          </w:tcPr>
          <w:p w14:paraId="7633914A" w14:textId="56CF60C1" w:rsidR="00B51F22" w:rsidRPr="00B51F22" w:rsidRDefault="00B51F22" w:rsidP="00B51F22">
            <w:pPr>
              <w:spacing w:line="360" w:lineRule="auto"/>
            </w:pPr>
            <w:r>
              <w:t>Moral expansiveness</w:t>
            </w:r>
          </w:p>
        </w:tc>
        <w:tc>
          <w:tcPr>
            <w:tcW w:w="1134" w:type="dxa"/>
            <w:tcBorders>
              <w:top w:val="single" w:sz="4" w:space="0" w:color="FFFFFF" w:themeColor="background1"/>
              <w:left w:val="nil"/>
              <w:bottom w:val="single" w:sz="4" w:space="0" w:color="FFFFFF" w:themeColor="background1"/>
              <w:right w:val="nil"/>
            </w:tcBorders>
          </w:tcPr>
          <w:p w14:paraId="3191959E" w14:textId="14EF7F6D" w:rsidR="00B51F22" w:rsidRPr="00B51F22" w:rsidRDefault="00B51F22" w:rsidP="00B51F22">
            <w:pPr>
              <w:spacing w:line="360" w:lineRule="auto"/>
              <w:jc w:val="center"/>
            </w:pPr>
            <w:r w:rsidRPr="00B51F22">
              <w:t>-0.53</w:t>
            </w:r>
          </w:p>
        </w:tc>
        <w:tc>
          <w:tcPr>
            <w:tcW w:w="1606" w:type="dxa"/>
            <w:tcBorders>
              <w:top w:val="single" w:sz="4" w:space="0" w:color="FFFFFF" w:themeColor="background1"/>
              <w:left w:val="nil"/>
              <w:bottom w:val="single" w:sz="4" w:space="0" w:color="FFFFFF" w:themeColor="background1"/>
              <w:right w:val="nil"/>
            </w:tcBorders>
          </w:tcPr>
          <w:p w14:paraId="1F5B1242" w14:textId="1067967A" w:rsidR="00B51F22" w:rsidRPr="00B51F22" w:rsidRDefault="00B51F22" w:rsidP="00B51F22">
            <w:pPr>
              <w:spacing w:line="360" w:lineRule="auto"/>
              <w:jc w:val="center"/>
            </w:pPr>
            <w:r w:rsidRPr="00B51F22">
              <w:t>-0.86</w:t>
            </w:r>
            <w:r w:rsidR="00740868">
              <w:t>,</w:t>
            </w:r>
            <w:r w:rsidRPr="00B51F22">
              <w:t> -0.20</w:t>
            </w:r>
          </w:p>
        </w:tc>
        <w:tc>
          <w:tcPr>
            <w:tcW w:w="1371" w:type="dxa"/>
            <w:tcBorders>
              <w:top w:val="single" w:sz="4" w:space="0" w:color="FFFFFF" w:themeColor="background1"/>
              <w:left w:val="nil"/>
              <w:bottom w:val="single" w:sz="4" w:space="0" w:color="FFFFFF" w:themeColor="background1"/>
              <w:right w:val="nil"/>
            </w:tcBorders>
          </w:tcPr>
          <w:p w14:paraId="080BDDEA" w14:textId="1877662A" w:rsidR="00B51F22" w:rsidRPr="00B51F22" w:rsidRDefault="00B51F22" w:rsidP="00B51F22">
            <w:pPr>
              <w:spacing w:line="360" w:lineRule="auto"/>
              <w:jc w:val="center"/>
            </w:pPr>
            <w:r w:rsidRPr="00B51F22">
              <w:rPr>
                <w:rStyle w:val="Strong"/>
                <w:b w:val="0"/>
                <w:bCs w:val="0"/>
              </w:rPr>
              <w:t>.002**</w:t>
            </w:r>
          </w:p>
        </w:tc>
        <w:tc>
          <w:tcPr>
            <w:tcW w:w="1134" w:type="dxa"/>
            <w:tcBorders>
              <w:top w:val="single" w:sz="4" w:space="0" w:color="FFFFFF" w:themeColor="background1"/>
              <w:left w:val="nil"/>
              <w:bottom w:val="single" w:sz="4" w:space="0" w:color="FFFFFF" w:themeColor="background1"/>
              <w:right w:val="nil"/>
            </w:tcBorders>
          </w:tcPr>
          <w:p w14:paraId="61F7F982" w14:textId="7871A847" w:rsidR="00B51F22" w:rsidRPr="00B51F22" w:rsidRDefault="00B51F22" w:rsidP="00B51F22">
            <w:pPr>
              <w:spacing w:line="360" w:lineRule="auto"/>
              <w:jc w:val="center"/>
            </w:pPr>
            <w:r w:rsidRPr="00B51F22">
              <w:t>0.78</w:t>
            </w:r>
          </w:p>
        </w:tc>
        <w:tc>
          <w:tcPr>
            <w:tcW w:w="1608" w:type="dxa"/>
            <w:tcBorders>
              <w:top w:val="single" w:sz="4" w:space="0" w:color="FFFFFF" w:themeColor="background1"/>
              <w:left w:val="nil"/>
              <w:bottom w:val="single" w:sz="4" w:space="0" w:color="FFFFFF" w:themeColor="background1"/>
              <w:right w:val="nil"/>
            </w:tcBorders>
          </w:tcPr>
          <w:p w14:paraId="2C26B933" w14:textId="2FFF4324" w:rsidR="00B51F22" w:rsidRPr="00B51F22" w:rsidRDefault="00B51F22" w:rsidP="00B51F22">
            <w:pPr>
              <w:spacing w:line="360" w:lineRule="auto"/>
              <w:jc w:val="center"/>
            </w:pPr>
            <w:r w:rsidRPr="00B51F22">
              <w:t>-0.09</w:t>
            </w:r>
            <w:r w:rsidR="00740868">
              <w:t>,</w:t>
            </w:r>
            <w:r w:rsidRPr="00B51F22">
              <w:t> 1.64</w:t>
            </w:r>
          </w:p>
        </w:tc>
        <w:tc>
          <w:tcPr>
            <w:tcW w:w="1371" w:type="dxa"/>
            <w:tcBorders>
              <w:top w:val="single" w:sz="4" w:space="0" w:color="FFFFFF" w:themeColor="background1"/>
              <w:left w:val="nil"/>
              <w:bottom w:val="single" w:sz="4" w:space="0" w:color="FFFFFF" w:themeColor="background1"/>
              <w:right w:val="nil"/>
            </w:tcBorders>
          </w:tcPr>
          <w:p w14:paraId="49777E32" w14:textId="54C8C8E7" w:rsidR="00B51F22" w:rsidRPr="00B51F22" w:rsidRDefault="00B51F22" w:rsidP="00B51F22">
            <w:pPr>
              <w:spacing w:line="360" w:lineRule="auto"/>
              <w:jc w:val="center"/>
            </w:pPr>
            <w:r w:rsidRPr="00B51F22">
              <w:t>.08</w:t>
            </w:r>
            <w:r w:rsidR="00E22C71">
              <w:t>8</w:t>
            </w:r>
          </w:p>
        </w:tc>
      </w:tr>
      <w:tr w:rsidR="00B51F22" w14:paraId="27F8BCF6" w14:textId="77777777" w:rsidTr="00B51F22">
        <w:tc>
          <w:tcPr>
            <w:tcW w:w="2410" w:type="dxa"/>
            <w:tcBorders>
              <w:top w:val="single" w:sz="4" w:space="0" w:color="FFFFFF" w:themeColor="background1"/>
              <w:left w:val="nil"/>
              <w:bottom w:val="single" w:sz="4" w:space="0" w:color="FFFFFF" w:themeColor="background1"/>
              <w:right w:val="nil"/>
            </w:tcBorders>
          </w:tcPr>
          <w:p w14:paraId="530CD9EE" w14:textId="77777777" w:rsidR="00B51F22" w:rsidRDefault="00B51F22" w:rsidP="00B51F22">
            <w:pPr>
              <w:spacing w:line="360" w:lineRule="auto"/>
            </w:pPr>
          </w:p>
        </w:tc>
        <w:tc>
          <w:tcPr>
            <w:tcW w:w="2835" w:type="dxa"/>
            <w:tcBorders>
              <w:top w:val="single" w:sz="4" w:space="0" w:color="FFFFFF" w:themeColor="background1"/>
              <w:left w:val="nil"/>
              <w:bottom w:val="single" w:sz="4" w:space="0" w:color="FFFFFF" w:themeColor="background1"/>
              <w:right w:val="nil"/>
            </w:tcBorders>
          </w:tcPr>
          <w:p w14:paraId="2F1168A9" w14:textId="3C2D8265" w:rsidR="00B51F22" w:rsidRDefault="00B51F22" w:rsidP="00B51F22">
            <w:pPr>
              <w:spacing w:line="360" w:lineRule="auto"/>
            </w:pPr>
            <w:r>
              <w:t>Generalized trust</w:t>
            </w:r>
          </w:p>
        </w:tc>
        <w:tc>
          <w:tcPr>
            <w:tcW w:w="1134" w:type="dxa"/>
            <w:tcBorders>
              <w:top w:val="single" w:sz="4" w:space="0" w:color="FFFFFF" w:themeColor="background1"/>
              <w:left w:val="nil"/>
              <w:bottom w:val="single" w:sz="4" w:space="0" w:color="FFFFFF" w:themeColor="background1"/>
              <w:right w:val="nil"/>
            </w:tcBorders>
          </w:tcPr>
          <w:p w14:paraId="49E8F622" w14:textId="2D15EA2E" w:rsidR="00B51F22" w:rsidRPr="00B51F22" w:rsidRDefault="00B51F22" w:rsidP="00B51F22">
            <w:pPr>
              <w:spacing w:line="360" w:lineRule="auto"/>
              <w:jc w:val="center"/>
            </w:pPr>
            <w:r w:rsidRPr="00B51F22">
              <w:t>-0.09</w:t>
            </w:r>
          </w:p>
        </w:tc>
        <w:tc>
          <w:tcPr>
            <w:tcW w:w="1606" w:type="dxa"/>
            <w:tcBorders>
              <w:top w:val="single" w:sz="4" w:space="0" w:color="FFFFFF" w:themeColor="background1"/>
              <w:left w:val="nil"/>
              <w:bottom w:val="single" w:sz="4" w:space="0" w:color="FFFFFF" w:themeColor="background1"/>
              <w:right w:val="nil"/>
            </w:tcBorders>
          </w:tcPr>
          <w:p w14:paraId="09374EEC" w14:textId="5303A151" w:rsidR="00B51F22" w:rsidRPr="00B51F22" w:rsidRDefault="00B51F22" w:rsidP="00B51F22">
            <w:pPr>
              <w:spacing w:line="360" w:lineRule="auto"/>
              <w:jc w:val="center"/>
            </w:pPr>
            <w:r w:rsidRPr="00B51F22">
              <w:t>-0.13</w:t>
            </w:r>
            <w:r w:rsidR="00740868">
              <w:t>,</w:t>
            </w:r>
            <w:r w:rsidRPr="00B51F22">
              <w:t> -0.05</w:t>
            </w:r>
          </w:p>
        </w:tc>
        <w:tc>
          <w:tcPr>
            <w:tcW w:w="1371" w:type="dxa"/>
            <w:tcBorders>
              <w:top w:val="single" w:sz="4" w:space="0" w:color="FFFFFF" w:themeColor="background1"/>
              <w:left w:val="nil"/>
              <w:bottom w:val="single" w:sz="4" w:space="0" w:color="FFFFFF" w:themeColor="background1"/>
              <w:right w:val="nil"/>
            </w:tcBorders>
          </w:tcPr>
          <w:p w14:paraId="29DB5BAC" w14:textId="3C990E63" w:rsidR="00B51F22" w:rsidRPr="00B51F22" w:rsidRDefault="00B51F22" w:rsidP="00B51F22">
            <w:pPr>
              <w:spacing w:line="360" w:lineRule="auto"/>
              <w:jc w:val="center"/>
            </w:pPr>
            <w:r w:rsidRPr="00B51F22">
              <w:rPr>
                <w:rStyle w:val="Strong"/>
                <w:b w:val="0"/>
                <w:bCs w:val="0"/>
              </w:rPr>
              <w:t>&lt;.001***</w:t>
            </w:r>
          </w:p>
        </w:tc>
        <w:tc>
          <w:tcPr>
            <w:tcW w:w="1134" w:type="dxa"/>
            <w:tcBorders>
              <w:top w:val="single" w:sz="4" w:space="0" w:color="FFFFFF" w:themeColor="background1"/>
              <w:left w:val="nil"/>
              <w:bottom w:val="single" w:sz="4" w:space="0" w:color="FFFFFF" w:themeColor="background1"/>
              <w:right w:val="nil"/>
            </w:tcBorders>
          </w:tcPr>
          <w:p w14:paraId="5F58A834" w14:textId="10E65A85" w:rsidR="00B51F22" w:rsidRPr="00B51F22" w:rsidRDefault="00B51F22" w:rsidP="00B51F22">
            <w:pPr>
              <w:spacing w:line="360" w:lineRule="auto"/>
              <w:jc w:val="center"/>
            </w:pPr>
            <w:r w:rsidRPr="00B51F22">
              <w:t>-0.15</w:t>
            </w:r>
          </w:p>
        </w:tc>
        <w:tc>
          <w:tcPr>
            <w:tcW w:w="1608" w:type="dxa"/>
            <w:tcBorders>
              <w:top w:val="single" w:sz="4" w:space="0" w:color="FFFFFF" w:themeColor="background1"/>
              <w:left w:val="nil"/>
              <w:bottom w:val="single" w:sz="4" w:space="0" w:color="FFFFFF" w:themeColor="background1"/>
              <w:right w:val="nil"/>
            </w:tcBorders>
          </w:tcPr>
          <w:p w14:paraId="6739C11C" w14:textId="477CA351" w:rsidR="00B51F22" w:rsidRPr="00B51F22" w:rsidRDefault="00B51F22" w:rsidP="00B51F22">
            <w:pPr>
              <w:spacing w:line="360" w:lineRule="auto"/>
              <w:jc w:val="center"/>
            </w:pPr>
            <w:r w:rsidRPr="00B51F22">
              <w:t>-0.26</w:t>
            </w:r>
            <w:r w:rsidR="00740868">
              <w:t>,</w:t>
            </w:r>
            <w:r w:rsidRPr="00B51F22">
              <w:t> -0.05</w:t>
            </w:r>
          </w:p>
        </w:tc>
        <w:tc>
          <w:tcPr>
            <w:tcW w:w="1371" w:type="dxa"/>
            <w:tcBorders>
              <w:top w:val="single" w:sz="4" w:space="0" w:color="FFFFFF" w:themeColor="background1"/>
              <w:left w:val="nil"/>
              <w:bottom w:val="single" w:sz="4" w:space="0" w:color="FFFFFF" w:themeColor="background1"/>
              <w:right w:val="nil"/>
            </w:tcBorders>
          </w:tcPr>
          <w:p w14:paraId="2DB2306E" w14:textId="0EF16989" w:rsidR="00B51F22" w:rsidRPr="00B51F22" w:rsidRDefault="00B51F22" w:rsidP="00B51F22">
            <w:pPr>
              <w:spacing w:line="360" w:lineRule="auto"/>
              <w:jc w:val="center"/>
            </w:pPr>
            <w:r w:rsidRPr="00B51F22">
              <w:rPr>
                <w:rStyle w:val="Strong"/>
                <w:b w:val="0"/>
                <w:bCs w:val="0"/>
              </w:rPr>
              <w:t>.00</w:t>
            </w:r>
            <w:r w:rsidR="00E22C71">
              <w:rPr>
                <w:rStyle w:val="Strong"/>
                <w:b w:val="0"/>
                <w:bCs w:val="0"/>
              </w:rPr>
              <w:t>7</w:t>
            </w:r>
            <w:r w:rsidRPr="00B51F22">
              <w:rPr>
                <w:rStyle w:val="Strong"/>
                <w:b w:val="0"/>
                <w:bCs w:val="0"/>
              </w:rPr>
              <w:t>**</w:t>
            </w:r>
          </w:p>
        </w:tc>
      </w:tr>
      <w:tr w:rsidR="00B51F22" w14:paraId="200B3E89" w14:textId="77777777" w:rsidTr="00B51F22">
        <w:tc>
          <w:tcPr>
            <w:tcW w:w="2410" w:type="dxa"/>
            <w:tcBorders>
              <w:top w:val="single" w:sz="4" w:space="0" w:color="FFFFFF" w:themeColor="background1"/>
              <w:left w:val="nil"/>
              <w:bottom w:val="single" w:sz="4" w:space="0" w:color="FFFFFF" w:themeColor="background1"/>
              <w:right w:val="nil"/>
            </w:tcBorders>
          </w:tcPr>
          <w:p w14:paraId="5F4761AC" w14:textId="77777777" w:rsidR="00B51F22" w:rsidRDefault="00B51F22" w:rsidP="00B51F22">
            <w:pPr>
              <w:spacing w:line="360" w:lineRule="auto"/>
            </w:pPr>
          </w:p>
        </w:tc>
        <w:tc>
          <w:tcPr>
            <w:tcW w:w="2835" w:type="dxa"/>
            <w:tcBorders>
              <w:top w:val="single" w:sz="4" w:space="0" w:color="FFFFFF" w:themeColor="background1"/>
              <w:left w:val="nil"/>
              <w:bottom w:val="single" w:sz="4" w:space="0" w:color="FFFFFF" w:themeColor="background1"/>
              <w:right w:val="nil"/>
            </w:tcBorders>
          </w:tcPr>
          <w:p w14:paraId="507AFC31" w14:textId="74237D29" w:rsidR="00B51F22" w:rsidRDefault="00B51F22" w:rsidP="00B51F22">
            <w:pPr>
              <w:spacing w:line="360" w:lineRule="auto"/>
            </w:pPr>
            <w:r>
              <w:t>Breakdown in social fabric</w:t>
            </w:r>
          </w:p>
        </w:tc>
        <w:tc>
          <w:tcPr>
            <w:tcW w:w="1134" w:type="dxa"/>
            <w:tcBorders>
              <w:top w:val="single" w:sz="4" w:space="0" w:color="FFFFFF" w:themeColor="background1"/>
              <w:left w:val="nil"/>
              <w:bottom w:val="single" w:sz="4" w:space="0" w:color="FFFFFF" w:themeColor="background1"/>
              <w:right w:val="nil"/>
            </w:tcBorders>
          </w:tcPr>
          <w:p w14:paraId="1929D58B" w14:textId="23DA678E" w:rsidR="00B51F22" w:rsidRPr="00B51F22" w:rsidRDefault="00B51F22" w:rsidP="00B51F22">
            <w:pPr>
              <w:spacing w:line="360" w:lineRule="auto"/>
              <w:jc w:val="center"/>
            </w:pPr>
            <w:r w:rsidRPr="00B51F22">
              <w:t>0.09</w:t>
            </w:r>
          </w:p>
        </w:tc>
        <w:tc>
          <w:tcPr>
            <w:tcW w:w="1606" w:type="dxa"/>
            <w:tcBorders>
              <w:top w:val="single" w:sz="4" w:space="0" w:color="FFFFFF" w:themeColor="background1"/>
              <w:left w:val="nil"/>
              <w:bottom w:val="single" w:sz="4" w:space="0" w:color="FFFFFF" w:themeColor="background1"/>
              <w:right w:val="nil"/>
            </w:tcBorders>
          </w:tcPr>
          <w:p w14:paraId="74F204FE" w14:textId="3C054BE4" w:rsidR="00B51F22" w:rsidRPr="00B51F22" w:rsidRDefault="00B51F22" w:rsidP="00B51F22">
            <w:pPr>
              <w:spacing w:line="360" w:lineRule="auto"/>
              <w:jc w:val="center"/>
            </w:pPr>
            <w:r w:rsidRPr="00B51F22">
              <w:t>0.07</w:t>
            </w:r>
            <w:r w:rsidR="00740868">
              <w:t>,</w:t>
            </w:r>
            <w:r w:rsidRPr="00B51F22">
              <w:t> 0.11</w:t>
            </w:r>
          </w:p>
        </w:tc>
        <w:tc>
          <w:tcPr>
            <w:tcW w:w="1371" w:type="dxa"/>
            <w:tcBorders>
              <w:top w:val="single" w:sz="4" w:space="0" w:color="FFFFFF" w:themeColor="background1"/>
              <w:left w:val="nil"/>
              <w:bottom w:val="single" w:sz="4" w:space="0" w:color="FFFFFF" w:themeColor="background1"/>
              <w:right w:val="nil"/>
            </w:tcBorders>
          </w:tcPr>
          <w:p w14:paraId="03B679C4" w14:textId="56C9BDA3" w:rsidR="00B51F22" w:rsidRPr="00B51F22" w:rsidRDefault="00B51F22" w:rsidP="00B51F22">
            <w:pPr>
              <w:spacing w:line="360" w:lineRule="auto"/>
              <w:jc w:val="center"/>
            </w:pPr>
            <w:r w:rsidRPr="00B51F22">
              <w:rPr>
                <w:rStyle w:val="Strong"/>
                <w:b w:val="0"/>
                <w:bCs w:val="0"/>
              </w:rPr>
              <w:t>&lt;.001***</w:t>
            </w:r>
          </w:p>
        </w:tc>
        <w:tc>
          <w:tcPr>
            <w:tcW w:w="1134" w:type="dxa"/>
            <w:tcBorders>
              <w:top w:val="single" w:sz="4" w:space="0" w:color="FFFFFF" w:themeColor="background1"/>
              <w:left w:val="nil"/>
              <w:bottom w:val="single" w:sz="4" w:space="0" w:color="FFFFFF" w:themeColor="background1"/>
              <w:right w:val="nil"/>
            </w:tcBorders>
          </w:tcPr>
          <w:p w14:paraId="0A6A007D" w14:textId="51353F4F" w:rsidR="00B51F22" w:rsidRPr="00B51F22" w:rsidRDefault="00B51F22" w:rsidP="00B51F22">
            <w:pPr>
              <w:spacing w:line="360" w:lineRule="auto"/>
              <w:jc w:val="center"/>
            </w:pPr>
            <w:r w:rsidRPr="00B51F22">
              <w:t>0.19</w:t>
            </w:r>
          </w:p>
        </w:tc>
        <w:tc>
          <w:tcPr>
            <w:tcW w:w="1608" w:type="dxa"/>
            <w:tcBorders>
              <w:top w:val="single" w:sz="4" w:space="0" w:color="FFFFFF" w:themeColor="background1"/>
              <w:left w:val="nil"/>
              <w:bottom w:val="single" w:sz="4" w:space="0" w:color="FFFFFF" w:themeColor="background1"/>
              <w:right w:val="nil"/>
            </w:tcBorders>
          </w:tcPr>
          <w:p w14:paraId="1FA17C4D" w14:textId="5AEA32D5" w:rsidR="00B51F22" w:rsidRPr="00B51F22" w:rsidRDefault="00B51F22" w:rsidP="00B51F22">
            <w:pPr>
              <w:spacing w:line="360" w:lineRule="auto"/>
              <w:jc w:val="center"/>
            </w:pPr>
            <w:r w:rsidRPr="00B51F22">
              <w:t>0.09</w:t>
            </w:r>
            <w:r w:rsidR="00740868">
              <w:t>,</w:t>
            </w:r>
            <w:r w:rsidRPr="00B51F22">
              <w:t> 0.30</w:t>
            </w:r>
          </w:p>
        </w:tc>
        <w:tc>
          <w:tcPr>
            <w:tcW w:w="1371" w:type="dxa"/>
            <w:tcBorders>
              <w:top w:val="single" w:sz="4" w:space="0" w:color="FFFFFF" w:themeColor="background1"/>
              <w:left w:val="nil"/>
              <w:bottom w:val="single" w:sz="4" w:space="0" w:color="FFFFFF" w:themeColor="background1"/>
              <w:right w:val="nil"/>
            </w:tcBorders>
          </w:tcPr>
          <w:p w14:paraId="112A54FE" w14:textId="4F05DEBD" w:rsidR="00B51F22" w:rsidRPr="00B51F22" w:rsidRDefault="00B51F22" w:rsidP="00B51F22">
            <w:pPr>
              <w:spacing w:line="360" w:lineRule="auto"/>
              <w:jc w:val="center"/>
            </w:pPr>
            <w:r w:rsidRPr="00B51F22">
              <w:rPr>
                <w:rStyle w:val="Strong"/>
                <w:b w:val="0"/>
                <w:bCs w:val="0"/>
              </w:rPr>
              <w:t>&lt;.001***</w:t>
            </w:r>
          </w:p>
        </w:tc>
      </w:tr>
      <w:tr w:rsidR="00B51F22" w14:paraId="1755CD58" w14:textId="77777777" w:rsidTr="00B51F22">
        <w:tc>
          <w:tcPr>
            <w:tcW w:w="2410" w:type="dxa"/>
            <w:tcBorders>
              <w:top w:val="single" w:sz="4" w:space="0" w:color="FFFFFF" w:themeColor="background1"/>
              <w:left w:val="nil"/>
              <w:bottom w:val="single" w:sz="4" w:space="0" w:color="FFFFFF" w:themeColor="background1"/>
              <w:right w:val="nil"/>
            </w:tcBorders>
          </w:tcPr>
          <w:p w14:paraId="742B6F26" w14:textId="1425FA6E" w:rsidR="00B51F22" w:rsidRDefault="00B51F22" w:rsidP="00B51F22">
            <w:pPr>
              <w:spacing w:line="360" w:lineRule="auto"/>
            </w:pPr>
            <w:r>
              <w:t>Perceived Gini</w:t>
            </w:r>
          </w:p>
        </w:tc>
        <w:tc>
          <w:tcPr>
            <w:tcW w:w="2835" w:type="dxa"/>
            <w:tcBorders>
              <w:top w:val="single" w:sz="4" w:space="0" w:color="FFFFFF" w:themeColor="background1"/>
              <w:left w:val="nil"/>
              <w:bottom w:val="single" w:sz="4" w:space="0" w:color="FFFFFF" w:themeColor="background1"/>
              <w:right w:val="nil"/>
            </w:tcBorders>
          </w:tcPr>
          <w:p w14:paraId="41540C33" w14:textId="35C59BE6" w:rsidR="00B51F22" w:rsidRDefault="00B51F22" w:rsidP="00B51F22">
            <w:pPr>
              <w:spacing w:line="360" w:lineRule="auto"/>
            </w:pPr>
            <w:r w:rsidRPr="003C031A">
              <w:t>Moral expansiveness</w:t>
            </w:r>
          </w:p>
        </w:tc>
        <w:tc>
          <w:tcPr>
            <w:tcW w:w="1134" w:type="dxa"/>
            <w:tcBorders>
              <w:top w:val="single" w:sz="4" w:space="0" w:color="FFFFFF" w:themeColor="background1"/>
              <w:left w:val="nil"/>
              <w:bottom w:val="single" w:sz="4" w:space="0" w:color="FFFFFF" w:themeColor="background1"/>
              <w:right w:val="nil"/>
            </w:tcBorders>
          </w:tcPr>
          <w:p w14:paraId="5064E30F" w14:textId="12AC5E3F" w:rsidR="00B51F22" w:rsidRPr="00B51F22" w:rsidRDefault="00B51F22" w:rsidP="00B51F22">
            <w:pPr>
              <w:spacing w:line="360" w:lineRule="auto"/>
              <w:jc w:val="center"/>
            </w:pPr>
            <w:r w:rsidRPr="00B51F22">
              <w:t>0.10</w:t>
            </w:r>
          </w:p>
        </w:tc>
        <w:tc>
          <w:tcPr>
            <w:tcW w:w="1606" w:type="dxa"/>
            <w:tcBorders>
              <w:top w:val="single" w:sz="4" w:space="0" w:color="FFFFFF" w:themeColor="background1"/>
              <w:left w:val="nil"/>
              <w:bottom w:val="single" w:sz="4" w:space="0" w:color="FFFFFF" w:themeColor="background1"/>
              <w:right w:val="nil"/>
            </w:tcBorders>
          </w:tcPr>
          <w:p w14:paraId="49678AD1" w14:textId="38D98A37" w:rsidR="00B51F22" w:rsidRPr="00B51F22" w:rsidRDefault="00B51F22" w:rsidP="00B51F22">
            <w:pPr>
              <w:spacing w:line="360" w:lineRule="auto"/>
              <w:jc w:val="center"/>
            </w:pPr>
            <w:r w:rsidRPr="00B51F22">
              <w:t>-0.24</w:t>
            </w:r>
            <w:r w:rsidR="00740868">
              <w:t>,</w:t>
            </w:r>
            <w:r w:rsidRPr="00B51F22">
              <w:t> 0.43</w:t>
            </w:r>
          </w:p>
        </w:tc>
        <w:tc>
          <w:tcPr>
            <w:tcW w:w="1371" w:type="dxa"/>
            <w:tcBorders>
              <w:top w:val="single" w:sz="4" w:space="0" w:color="FFFFFF" w:themeColor="background1"/>
              <w:left w:val="nil"/>
              <w:bottom w:val="single" w:sz="4" w:space="0" w:color="FFFFFF" w:themeColor="background1"/>
              <w:right w:val="nil"/>
            </w:tcBorders>
          </w:tcPr>
          <w:p w14:paraId="244561FF" w14:textId="2BB99932" w:rsidR="00B51F22" w:rsidRPr="00B51F22" w:rsidRDefault="00B51F22" w:rsidP="00B51F22">
            <w:pPr>
              <w:spacing w:line="360" w:lineRule="auto"/>
              <w:jc w:val="center"/>
            </w:pPr>
            <w:r w:rsidRPr="00B51F22">
              <w:t>.574</w:t>
            </w:r>
          </w:p>
        </w:tc>
        <w:tc>
          <w:tcPr>
            <w:tcW w:w="1134" w:type="dxa"/>
            <w:tcBorders>
              <w:top w:val="single" w:sz="4" w:space="0" w:color="FFFFFF" w:themeColor="background1"/>
              <w:left w:val="nil"/>
              <w:bottom w:val="single" w:sz="4" w:space="0" w:color="FFFFFF" w:themeColor="background1"/>
              <w:right w:val="nil"/>
            </w:tcBorders>
          </w:tcPr>
          <w:p w14:paraId="14CD46F6" w14:textId="62C20BD5" w:rsidR="00B51F22" w:rsidRPr="00B51F22" w:rsidRDefault="00B51F22" w:rsidP="00B51F22">
            <w:pPr>
              <w:spacing w:line="360" w:lineRule="auto"/>
              <w:jc w:val="center"/>
            </w:pPr>
            <w:r w:rsidRPr="00B51F22">
              <w:t>-0.35</w:t>
            </w:r>
          </w:p>
        </w:tc>
        <w:tc>
          <w:tcPr>
            <w:tcW w:w="1608" w:type="dxa"/>
            <w:tcBorders>
              <w:top w:val="single" w:sz="4" w:space="0" w:color="FFFFFF" w:themeColor="background1"/>
              <w:left w:val="nil"/>
              <w:bottom w:val="single" w:sz="4" w:space="0" w:color="FFFFFF" w:themeColor="background1"/>
              <w:right w:val="nil"/>
            </w:tcBorders>
          </w:tcPr>
          <w:p w14:paraId="2227FE3F" w14:textId="149BFC0C" w:rsidR="00B51F22" w:rsidRPr="00B51F22" w:rsidRDefault="00B51F22" w:rsidP="00B51F22">
            <w:pPr>
              <w:spacing w:line="360" w:lineRule="auto"/>
              <w:jc w:val="center"/>
            </w:pPr>
            <w:r w:rsidRPr="00B51F22">
              <w:t>-1.94</w:t>
            </w:r>
            <w:r w:rsidR="00740868">
              <w:t>,</w:t>
            </w:r>
            <w:r w:rsidRPr="00B51F22">
              <w:t> 1.24</w:t>
            </w:r>
          </w:p>
        </w:tc>
        <w:tc>
          <w:tcPr>
            <w:tcW w:w="1371" w:type="dxa"/>
            <w:tcBorders>
              <w:top w:val="single" w:sz="4" w:space="0" w:color="FFFFFF" w:themeColor="background1"/>
              <w:left w:val="nil"/>
              <w:bottom w:val="single" w:sz="4" w:space="0" w:color="FFFFFF" w:themeColor="background1"/>
              <w:right w:val="nil"/>
            </w:tcBorders>
          </w:tcPr>
          <w:p w14:paraId="7351772C" w14:textId="21B1AD2F" w:rsidR="00B51F22" w:rsidRPr="00B51F22" w:rsidRDefault="00B51F22" w:rsidP="00B51F22">
            <w:pPr>
              <w:spacing w:line="360" w:lineRule="auto"/>
              <w:jc w:val="center"/>
            </w:pPr>
            <w:r w:rsidRPr="00B51F22">
              <w:t>.6</w:t>
            </w:r>
            <w:r w:rsidR="00E22C71">
              <w:t>71</w:t>
            </w:r>
          </w:p>
        </w:tc>
      </w:tr>
      <w:tr w:rsidR="00B51F22" w14:paraId="4A77E6CE" w14:textId="77777777" w:rsidTr="00B51F22">
        <w:tc>
          <w:tcPr>
            <w:tcW w:w="2410" w:type="dxa"/>
            <w:tcBorders>
              <w:top w:val="single" w:sz="4" w:space="0" w:color="FFFFFF" w:themeColor="background1"/>
              <w:left w:val="nil"/>
              <w:bottom w:val="single" w:sz="4" w:space="0" w:color="FFFFFF" w:themeColor="background1"/>
              <w:right w:val="nil"/>
            </w:tcBorders>
          </w:tcPr>
          <w:p w14:paraId="2345CEBD" w14:textId="77777777" w:rsidR="00B51F22" w:rsidRDefault="00B51F22" w:rsidP="00B51F22">
            <w:pPr>
              <w:spacing w:line="360" w:lineRule="auto"/>
            </w:pPr>
          </w:p>
        </w:tc>
        <w:tc>
          <w:tcPr>
            <w:tcW w:w="2835" w:type="dxa"/>
            <w:tcBorders>
              <w:top w:val="single" w:sz="4" w:space="0" w:color="FFFFFF" w:themeColor="background1"/>
              <w:left w:val="nil"/>
              <w:bottom w:val="single" w:sz="4" w:space="0" w:color="FFFFFF" w:themeColor="background1"/>
              <w:right w:val="nil"/>
            </w:tcBorders>
          </w:tcPr>
          <w:p w14:paraId="4818E7AD" w14:textId="78FAA14A" w:rsidR="00B51F22" w:rsidRDefault="00B51F22" w:rsidP="00B51F22">
            <w:pPr>
              <w:spacing w:line="360" w:lineRule="auto"/>
            </w:pPr>
            <w:r w:rsidRPr="003C031A">
              <w:t>Generalized trust</w:t>
            </w:r>
          </w:p>
        </w:tc>
        <w:tc>
          <w:tcPr>
            <w:tcW w:w="1134" w:type="dxa"/>
            <w:tcBorders>
              <w:top w:val="single" w:sz="4" w:space="0" w:color="FFFFFF" w:themeColor="background1"/>
              <w:left w:val="nil"/>
              <w:bottom w:val="single" w:sz="4" w:space="0" w:color="FFFFFF" w:themeColor="background1"/>
              <w:right w:val="nil"/>
            </w:tcBorders>
          </w:tcPr>
          <w:p w14:paraId="7E7CA878" w14:textId="71D1AD93" w:rsidR="00B51F22" w:rsidRPr="00B51F22" w:rsidRDefault="00B51F22" w:rsidP="00B51F22">
            <w:pPr>
              <w:spacing w:line="360" w:lineRule="auto"/>
              <w:jc w:val="center"/>
            </w:pPr>
            <w:r w:rsidRPr="00B51F22">
              <w:t>-0.01</w:t>
            </w:r>
          </w:p>
        </w:tc>
        <w:tc>
          <w:tcPr>
            <w:tcW w:w="1606" w:type="dxa"/>
            <w:tcBorders>
              <w:top w:val="single" w:sz="4" w:space="0" w:color="FFFFFF" w:themeColor="background1"/>
              <w:left w:val="nil"/>
              <w:bottom w:val="single" w:sz="4" w:space="0" w:color="FFFFFF" w:themeColor="background1"/>
              <w:right w:val="nil"/>
            </w:tcBorders>
          </w:tcPr>
          <w:p w14:paraId="0F57EE85" w14:textId="5D85C4E2" w:rsidR="00B51F22" w:rsidRPr="00B51F22" w:rsidRDefault="00B51F22" w:rsidP="00B51F22">
            <w:pPr>
              <w:spacing w:line="360" w:lineRule="auto"/>
              <w:jc w:val="center"/>
            </w:pPr>
            <w:r w:rsidRPr="00B51F22">
              <w:t>-0.05</w:t>
            </w:r>
            <w:r w:rsidR="00740868">
              <w:t>,</w:t>
            </w:r>
            <w:r w:rsidRPr="00B51F22">
              <w:t> 0.03</w:t>
            </w:r>
          </w:p>
        </w:tc>
        <w:tc>
          <w:tcPr>
            <w:tcW w:w="1371" w:type="dxa"/>
            <w:tcBorders>
              <w:top w:val="single" w:sz="4" w:space="0" w:color="FFFFFF" w:themeColor="background1"/>
              <w:left w:val="nil"/>
              <w:bottom w:val="single" w:sz="4" w:space="0" w:color="FFFFFF" w:themeColor="background1"/>
              <w:right w:val="nil"/>
            </w:tcBorders>
          </w:tcPr>
          <w:p w14:paraId="3B661F96" w14:textId="0A36DAB9" w:rsidR="00B51F22" w:rsidRPr="00B51F22" w:rsidRDefault="00B51F22" w:rsidP="00B51F22">
            <w:pPr>
              <w:spacing w:line="360" w:lineRule="auto"/>
              <w:jc w:val="center"/>
            </w:pPr>
            <w:r w:rsidRPr="00B51F22">
              <w:t>.645</w:t>
            </w:r>
          </w:p>
        </w:tc>
        <w:tc>
          <w:tcPr>
            <w:tcW w:w="1134" w:type="dxa"/>
            <w:tcBorders>
              <w:top w:val="single" w:sz="4" w:space="0" w:color="FFFFFF" w:themeColor="background1"/>
              <w:left w:val="nil"/>
              <w:bottom w:val="single" w:sz="4" w:space="0" w:color="FFFFFF" w:themeColor="background1"/>
              <w:right w:val="nil"/>
            </w:tcBorders>
          </w:tcPr>
          <w:p w14:paraId="57D68AF8" w14:textId="69ECB653" w:rsidR="00B51F22" w:rsidRPr="00B51F22" w:rsidRDefault="00B51F22" w:rsidP="00B51F22">
            <w:pPr>
              <w:spacing w:line="360" w:lineRule="auto"/>
              <w:jc w:val="center"/>
            </w:pPr>
            <w:r w:rsidRPr="00B51F22">
              <w:t>0.09</w:t>
            </w:r>
          </w:p>
        </w:tc>
        <w:tc>
          <w:tcPr>
            <w:tcW w:w="1608" w:type="dxa"/>
            <w:tcBorders>
              <w:top w:val="single" w:sz="4" w:space="0" w:color="FFFFFF" w:themeColor="background1"/>
              <w:left w:val="nil"/>
              <w:bottom w:val="single" w:sz="4" w:space="0" w:color="FFFFFF" w:themeColor="background1"/>
              <w:right w:val="nil"/>
            </w:tcBorders>
          </w:tcPr>
          <w:p w14:paraId="5C9E1EE3" w14:textId="05E424F9" w:rsidR="00B51F22" w:rsidRPr="00B51F22" w:rsidRDefault="00B51F22" w:rsidP="00B51F22">
            <w:pPr>
              <w:spacing w:line="360" w:lineRule="auto"/>
              <w:jc w:val="center"/>
            </w:pPr>
            <w:r w:rsidRPr="00B51F22">
              <w:t>-0.11</w:t>
            </w:r>
            <w:r w:rsidR="00740868">
              <w:t>,</w:t>
            </w:r>
            <w:r w:rsidRPr="00B51F22">
              <w:t> 0.29</w:t>
            </w:r>
          </w:p>
        </w:tc>
        <w:tc>
          <w:tcPr>
            <w:tcW w:w="1371" w:type="dxa"/>
            <w:tcBorders>
              <w:top w:val="single" w:sz="4" w:space="0" w:color="FFFFFF" w:themeColor="background1"/>
              <w:left w:val="nil"/>
              <w:bottom w:val="single" w:sz="4" w:space="0" w:color="FFFFFF" w:themeColor="background1"/>
              <w:right w:val="nil"/>
            </w:tcBorders>
          </w:tcPr>
          <w:p w14:paraId="3913DFA7" w14:textId="15D555B7" w:rsidR="00B51F22" w:rsidRPr="00B51F22" w:rsidRDefault="00B51F22" w:rsidP="00B51F22">
            <w:pPr>
              <w:spacing w:line="360" w:lineRule="auto"/>
              <w:jc w:val="center"/>
            </w:pPr>
            <w:r w:rsidRPr="00B51F22">
              <w:t>.38</w:t>
            </w:r>
            <w:r w:rsidR="00E22C71">
              <w:t>6</w:t>
            </w:r>
          </w:p>
        </w:tc>
      </w:tr>
      <w:tr w:rsidR="00B51F22" w14:paraId="6BE9B183" w14:textId="77777777" w:rsidTr="00B51F22">
        <w:tc>
          <w:tcPr>
            <w:tcW w:w="2410" w:type="dxa"/>
            <w:tcBorders>
              <w:top w:val="single" w:sz="4" w:space="0" w:color="FFFFFF" w:themeColor="background1"/>
              <w:left w:val="nil"/>
              <w:bottom w:val="single" w:sz="4" w:space="0" w:color="FFFFFF" w:themeColor="background1"/>
              <w:right w:val="nil"/>
            </w:tcBorders>
          </w:tcPr>
          <w:p w14:paraId="38AF803A" w14:textId="77777777" w:rsidR="00B51F22" w:rsidRDefault="00B51F22" w:rsidP="00B51F22">
            <w:pPr>
              <w:spacing w:line="360" w:lineRule="auto"/>
            </w:pPr>
          </w:p>
        </w:tc>
        <w:tc>
          <w:tcPr>
            <w:tcW w:w="2835" w:type="dxa"/>
            <w:tcBorders>
              <w:top w:val="single" w:sz="4" w:space="0" w:color="FFFFFF" w:themeColor="background1"/>
              <w:left w:val="nil"/>
              <w:bottom w:val="single" w:sz="4" w:space="0" w:color="FFFFFF" w:themeColor="background1"/>
              <w:right w:val="nil"/>
            </w:tcBorders>
          </w:tcPr>
          <w:p w14:paraId="3FD6FA5A" w14:textId="420A92D0" w:rsidR="00B51F22" w:rsidRDefault="00B51F22" w:rsidP="00B51F22">
            <w:pPr>
              <w:spacing w:line="360" w:lineRule="auto"/>
            </w:pPr>
            <w:r w:rsidRPr="003C031A">
              <w:t>Breakdown in social fabric</w:t>
            </w:r>
          </w:p>
        </w:tc>
        <w:tc>
          <w:tcPr>
            <w:tcW w:w="1134" w:type="dxa"/>
            <w:tcBorders>
              <w:top w:val="single" w:sz="4" w:space="0" w:color="FFFFFF" w:themeColor="background1"/>
              <w:left w:val="nil"/>
              <w:bottom w:val="single" w:sz="4" w:space="0" w:color="FFFFFF" w:themeColor="background1"/>
              <w:right w:val="nil"/>
            </w:tcBorders>
          </w:tcPr>
          <w:p w14:paraId="354F1AE6" w14:textId="1E75EA0D" w:rsidR="00B51F22" w:rsidRPr="00B51F22" w:rsidRDefault="00B51F22" w:rsidP="00B51F22">
            <w:pPr>
              <w:spacing w:line="360" w:lineRule="auto"/>
              <w:jc w:val="center"/>
            </w:pPr>
            <w:r w:rsidRPr="00B51F22">
              <w:t>0.05</w:t>
            </w:r>
          </w:p>
        </w:tc>
        <w:tc>
          <w:tcPr>
            <w:tcW w:w="1606" w:type="dxa"/>
            <w:tcBorders>
              <w:top w:val="single" w:sz="4" w:space="0" w:color="FFFFFF" w:themeColor="background1"/>
              <w:left w:val="nil"/>
              <w:bottom w:val="single" w:sz="4" w:space="0" w:color="FFFFFF" w:themeColor="background1"/>
              <w:right w:val="nil"/>
            </w:tcBorders>
          </w:tcPr>
          <w:p w14:paraId="36C7B8FB" w14:textId="4C3E85C2" w:rsidR="00B51F22" w:rsidRPr="00B51F22" w:rsidRDefault="00B51F22" w:rsidP="00B51F22">
            <w:pPr>
              <w:spacing w:line="360" w:lineRule="auto"/>
              <w:jc w:val="center"/>
            </w:pPr>
            <w:r w:rsidRPr="00B51F22">
              <w:t>0.03</w:t>
            </w:r>
            <w:r w:rsidR="00740868">
              <w:t>,</w:t>
            </w:r>
            <w:r w:rsidRPr="00B51F22">
              <w:t> 0.08</w:t>
            </w:r>
          </w:p>
        </w:tc>
        <w:tc>
          <w:tcPr>
            <w:tcW w:w="1371" w:type="dxa"/>
            <w:tcBorders>
              <w:top w:val="single" w:sz="4" w:space="0" w:color="FFFFFF" w:themeColor="background1"/>
              <w:left w:val="nil"/>
              <w:bottom w:val="single" w:sz="4" w:space="0" w:color="FFFFFF" w:themeColor="background1"/>
              <w:right w:val="nil"/>
            </w:tcBorders>
          </w:tcPr>
          <w:p w14:paraId="27103D57" w14:textId="147CEF9B" w:rsidR="00B51F22" w:rsidRPr="00B51F22" w:rsidRDefault="00B51F22" w:rsidP="00B51F22">
            <w:pPr>
              <w:spacing w:line="360" w:lineRule="auto"/>
              <w:jc w:val="center"/>
            </w:pPr>
            <w:r w:rsidRPr="00B51F22">
              <w:rPr>
                <w:rStyle w:val="Strong"/>
                <w:b w:val="0"/>
                <w:bCs w:val="0"/>
              </w:rPr>
              <w:t>&lt;.001***</w:t>
            </w:r>
          </w:p>
        </w:tc>
        <w:tc>
          <w:tcPr>
            <w:tcW w:w="1134" w:type="dxa"/>
            <w:tcBorders>
              <w:top w:val="single" w:sz="4" w:space="0" w:color="FFFFFF" w:themeColor="background1"/>
              <w:left w:val="nil"/>
              <w:bottom w:val="single" w:sz="4" w:space="0" w:color="FFFFFF" w:themeColor="background1"/>
              <w:right w:val="nil"/>
            </w:tcBorders>
          </w:tcPr>
          <w:p w14:paraId="350E0960" w14:textId="60362016" w:rsidR="00B51F22" w:rsidRPr="00B51F22" w:rsidRDefault="00B51F22" w:rsidP="00B51F22">
            <w:pPr>
              <w:spacing w:line="360" w:lineRule="auto"/>
              <w:jc w:val="center"/>
            </w:pPr>
            <w:r w:rsidRPr="00B51F22">
              <w:t>0.07</w:t>
            </w:r>
          </w:p>
        </w:tc>
        <w:tc>
          <w:tcPr>
            <w:tcW w:w="1608" w:type="dxa"/>
            <w:tcBorders>
              <w:top w:val="single" w:sz="4" w:space="0" w:color="FFFFFF" w:themeColor="background1"/>
              <w:left w:val="nil"/>
              <w:bottom w:val="single" w:sz="4" w:space="0" w:color="FFFFFF" w:themeColor="background1"/>
              <w:right w:val="nil"/>
            </w:tcBorders>
          </w:tcPr>
          <w:p w14:paraId="768A6863" w14:textId="5E7312AE" w:rsidR="00B51F22" w:rsidRPr="00B51F22" w:rsidRDefault="00B51F22" w:rsidP="00B51F22">
            <w:pPr>
              <w:spacing w:line="360" w:lineRule="auto"/>
              <w:jc w:val="center"/>
            </w:pPr>
            <w:r w:rsidRPr="00B51F22">
              <w:t>-0.14</w:t>
            </w:r>
            <w:r w:rsidR="00740868">
              <w:t>,</w:t>
            </w:r>
            <w:r w:rsidRPr="00B51F22">
              <w:t> 0.28</w:t>
            </w:r>
          </w:p>
        </w:tc>
        <w:tc>
          <w:tcPr>
            <w:tcW w:w="1371" w:type="dxa"/>
            <w:tcBorders>
              <w:top w:val="single" w:sz="4" w:space="0" w:color="FFFFFF" w:themeColor="background1"/>
              <w:left w:val="nil"/>
              <w:bottom w:val="single" w:sz="4" w:space="0" w:color="FFFFFF" w:themeColor="background1"/>
              <w:right w:val="nil"/>
            </w:tcBorders>
          </w:tcPr>
          <w:p w14:paraId="36D386DE" w14:textId="7C0CEF45" w:rsidR="00B51F22" w:rsidRPr="00B51F22" w:rsidRDefault="00B51F22" w:rsidP="00B51F22">
            <w:pPr>
              <w:spacing w:line="360" w:lineRule="auto"/>
              <w:jc w:val="center"/>
            </w:pPr>
            <w:r w:rsidRPr="00B51F22">
              <w:t>.52</w:t>
            </w:r>
            <w:r w:rsidR="00E22C71">
              <w:t>6</w:t>
            </w:r>
          </w:p>
        </w:tc>
      </w:tr>
      <w:tr w:rsidR="00B51F22" w14:paraId="58A99C2D" w14:textId="77777777" w:rsidTr="00B51F22">
        <w:tc>
          <w:tcPr>
            <w:tcW w:w="2410" w:type="dxa"/>
            <w:tcBorders>
              <w:top w:val="single" w:sz="4" w:space="0" w:color="FFFFFF" w:themeColor="background1"/>
              <w:left w:val="nil"/>
              <w:bottom w:val="single" w:sz="4" w:space="0" w:color="FFFFFF" w:themeColor="background1"/>
              <w:right w:val="nil"/>
            </w:tcBorders>
          </w:tcPr>
          <w:p w14:paraId="50ED02F3" w14:textId="3D144FDF" w:rsidR="00B51F22" w:rsidRDefault="00B51F22" w:rsidP="00B51F22">
            <w:pPr>
              <w:spacing w:line="360" w:lineRule="auto"/>
            </w:pPr>
            <w:r>
              <w:t>Country-level Gini</w:t>
            </w:r>
          </w:p>
        </w:tc>
        <w:tc>
          <w:tcPr>
            <w:tcW w:w="2835" w:type="dxa"/>
            <w:tcBorders>
              <w:top w:val="single" w:sz="4" w:space="0" w:color="FFFFFF" w:themeColor="background1"/>
              <w:left w:val="nil"/>
              <w:bottom w:val="single" w:sz="4" w:space="0" w:color="FFFFFF" w:themeColor="background1"/>
              <w:right w:val="nil"/>
            </w:tcBorders>
          </w:tcPr>
          <w:p w14:paraId="2F970696" w14:textId="09FCD6B4" w:rsidR="00B51F22" w:rsidRDefault="00B51F22" w:rsidP="00B51F22">
            <w:pPr>
              <w:spacing w:line="360" w:lineRule="auto"/>
            </w:pPr>
            <w:r w:rsidRPr="000613A0">
              <w:t>Moral expansiveness</w:t>
            </w:r>
          </w:p>
        </w:tc>
        <w:tc>
          <w:tcPr>
            <w:tcW w:w="1134" w:type="dxa"/>
            <w:tcBorders>
              <w:top w:val="single" w:sz="4" w:space="0" w:color="FFFFFF" w:themeColor="background1"/>
              <w:left w:val="nil"/>
              <w:bottom w:val="single" w:sz="4" w:space="0" w:color="FFFFFF" w:themeColor="background1"/>
              <w:right w:val="nil"/>
            </w:tcBorders>
          </w:tcPr>
          <w:p w14:paraId="4FE467F5" w14:textId="6D131EE9" w:rsidR="00B51F22" w:rsidRPr="00B51F22" w:rsidRDefault="00B51F22" w:rsidP="00B51F22">
            <w:pPr>
              <w:spacing w:line="360" w:lineRule="auto"/>
              <w:jc w:val="center"/>
            </w:pPr>
            <w:r w:rsidRPr="00B51F22">
              <w:t>–</w:t>
            </w:r>
          </w:p>
        </w:tc>
        <w:tc>
          <w:tcPr>
            <w:tcW w:w="1606" w:type="dxa"/>
            <w:tcBorders>
              <w:top w:val="single" w:sz="4" w:space="0" w:color="FFFFFF" w:themeColor="background1"/>
              <w:left w:val="nil"/>
              <w:bottom w:val="single" w:sz="4" w:space="0" w:color="FFFFFF" w:themeColor="background1"/>
              <w:right w:val="nil"/>
            </w:tcBorders>
          </w:tcPr>
          <w:p w14:paraId="0874F614" w14:textId="675A3C72" w:rsidR="00B51F22" w:rsidRPr="00B51F22" w:rsidRDefault="00B51F22" w:rsidP="00B51F22">
            <w:pPr>
              <w:spacing w:line="360" w:lineRule="auto"/>
              <w:jc w:val="center"/>
            </w:pPr>
            <w:r w:rsidRPr="00B51F22">
              <w:t>–</w:t>
            </w:r>
          </w:p>
        </w:tc>
        <w:tc>
          <w:tcPr>
            <w:tcW w:w="1371" w:type="dxa"/>
            <w:tcBorders>
              <w:top w:val="single" w:sz="4" w:space="0" w:color="FFFFFF" w:themeColor="background1"/>
              <w:left w:val="nil"/>
              <w:bottom w:val="single" w:sz="4" w:space="0" w:color="FFFFFF" w:themeColor="background1"/>
              <w:right w:val="nil"/>
            </w:tcBorders>
          </w:tcPr>
          <w:p w14:paraId="0A11091A" w14:textId="3A3C776E" w:rsidR="00B51F22" w:rsidRPr="00B51F22" w:rsidRDefault="00B51F22" w:rsidP="00B51F22">
            <w:pPr>
              <w:spacing w:line="360" w:lineRule="auto"/>
              <w:jc w:val="center"/>
            </w:pPr>
            <w:r w:rsidRPr="00B51F22">
              <w:t>–</w:t>
            </w:r>
          </w:p>
        </w:tc>
        <w:tc>
          <w:tcPr>
            <w:tcW w:w="1134" w:type="dxa"/>
            <w:tcBorders>
              <w:top w:val="single" w:sz="4" w:space="0" w:color="FFFFFF" w:themeColor="background1"/>
              <w:left w:val="nil"/>
              <w:bottom w:val="single" w:sz="4" w:space="0" w:color="FFFFFF" w:themeColor="background1"/>
              <w:right w:val="nil"/>
            </w:tcBorders>
          </w:tcPr>
          <w:p w14:paraId="4A96E7E3" w14:textId="4C726D17" w:rsidR="00B51F22" w:rsidRPr="00B51F22" w:rsidRDefault="00B51F22" w:rsidP="00B51F22">
            <w:pPr>
              <w:spacing w:line="360" w:lineRule="auto"/>
              <w:jc w:val="center"/>
            </w:pPr>
            <w:r w:rsidRPr="00B51F22">
              <w:t>1.08</w:t>
            </w:r>
          </w:p>
        </w:tc>
        <w:tc>
          <w:tcPr>
            <w:tcW w:w="1608" w:type="dxa"/>
            <w:tcBorders>
              <w:top w:val="single" w:sz="4" w:space="0" w:color="FFFFFF" w:themeColor="background1"/>
              <w:left w:val="nil"/>
              <w:bottom w:val="single" w:sz="4" w:space="0" w:color="FFFFFF" w:themeColor="background1"/>
              <w:right w:val="nil"/>
            </w:tcBorders>
          </w:tcPr>
          <w:p w14:paraId="1A4AC735" w14:textId="0658B2E6" w:rsidR="00B51F22" w:rsidRPr="00B51F22" w:rsidRDefault="00B51F22" w:rsidP="00B51F22">
            <w:pPr>
              <w:spacing w:line="360" w:lineRule="auto"/>
              <w:jc w:val="center"/>
            </w:pPr>
            <w:r w:rsidRPr="00B51F22">
              <w:t>-0.70</w:t>
            </w:r>
            <w:r w:rsidR="00740868">
              <w:t>,</w:t>
            </w:r>
            <w:r w:rsidRPr="00B51F22">
              <w:t> 2.86</w:t>
            </w:r>
          </w:p>
        </w:tc>
        <w:tc>
          <w:tcPr>
            <w:tcW w:w="1371" w:type="dxa"/>
            <w:tcBorders>
              <w:top w:val="single" w:sz="4" w:space="0" w:color="FFFFFF" w:themeColor="background1"/>
              <w:left w:val="nil"/>
              <w:bottom w:val="single" w:sz="4" w:space="0" w:color="FFFFFF" w:themeColor="background1"/>
              <w:right w:val="nil"/>
            </w:tcBorders>
          </w:tcPr>
          <w:p w14:paraId="41C90AA1" w14:textId="7692435F" w:rsidR="00B51F22" w:rsidRPr="00B51F22" w:rsidRDefault="00B51F22" w:rsidP="00B51F22">
            <w:pPr>
              <w:spacing w:line="360" w:lineRule="auto"/>
              <w:jc w:val="center"/>
            </w:pPr>
            <w:r w:rsidRPr="00B51F22">
              <w:t>.2</w:t>
            </w:r>
            <w:r w:rsidR="00E22C71">
              <w:t>42</w:t>
            </w:r>
          </w:p>
        </w:tc>
      </w:tr>
      <w:tr w:rsidR="00B51F22" w14:paraId="3F3878C2" w14:textId="77777777" w:rsidTr="00B51F22">
        <w:tc>
          <w:tcPr>
            <w:tcW w:w="2410" w:type="dxa"/>
            <w:tcBorders>
              <w:top w:val="single" w:sz="4" w:space="0" w:color="FFFFFF" w:themeColor="background1"/>
              <w:left w:val="nil"/>
              <w:bottom w:val="single" w:sz="4" w:space="0" w:color="FFFFFF" w:themeColor="background1"/>
              <w:right w:val="nil"/>
            </w:tcBorders>
          </w:tcPr>
          <w:p w14:paraId="0BBAB0E6" w14:textId="77777777" w:rsidR="00B51F22" w:rsidRDefault="00B51F22" w:rsidP="00B51F22">
            <w:pPr>
              <w:spacing w:line="360" w:lineRule="auto"/>
            </w:pPr>
          </w:p>
        </w:tc>
        <w:tc>
          <w:tcPr>
            <w:tcW w:w="2835" w:type="dxa"/>
            <w:tcBorders>
              <w:top w:val="single" w:sz="4" w:space="0" w:color="FFFFFF" w:themeColor="background1"/>
              <w:left w:val="nil"/>
              <w:bottom w:val="single" w:sz="4" w:space="0" w:color="FFFFFF" w:themeColor="background1"/>
              <w:right w:val="nil"/>
            </w:tcBorders>
          </w:tcPr>
          <w:p w14:paraId="14212034" w14:textId="43C57641" w:rsidR="00B51F22" w:rsidRDefault="00B51F22" w:rsidP="00B51F22">
            <w:pPr>
              <w:spacing w:line="360" w:lineRule="auto"/>
            </w:pPr>
            <w:r w:rsidRPr="000613A0">
              <w:t>Generalized trust</w:t>
            </w:r>
          </w:p>
        </w:tc>
        <w:tc>
          <w:tcPr>
            <w:tcW w:w="1134" w:type="dxa"/>
            <w:tcBorders>
              <w:top w:val="single" w:sz="4" w:space="0" w:color="FFFFFF" w:themeColor="background1"/>
              <w:left w:val="nil"/>
              <w:bottom w:val="single" w:sz="4" w:space="0" w:color="FFFFFF" w:themeColor="background1"/>
              <w:right w:val="nil"/>
            </w:tcBorders>
          </w:tcPr>
          <w:p w14:paraId="55DD2AA7" w14:textId="37411735" w:rsidR="00B51F22" w:rsidRPr="00B51F22" w:rsidRDefault="00B51F22" w:rsidP="00B51F22">
            <w:pPr>
              <w:spacing w:line="360" w:lineRule="auto"/>
              <w:jc w:val="center"/>
            </w:pPr>
            <w:r w:rsidRPr="00B51F22">
              <w:t>–</w:t>
            </w:r>
          </w:p>
        </w:tc>
        <w:tc>
          <w:tcPr>
            <w:tcW w:w="1606" w:type="dxa"/>
            <w:tcBorders>
              <w:top w:val="single" w:sz="4" w:space="0" w:color="FFFFFF" w:themeColor="background1"/>
              <w:left w:val="nil"/>
              <w:bottom w:val="single" w:sz="4" w:space="0" w:color="FFFFFF" w:themeColor="background1"/>
              <w:right w:val="nil"/>
            </w:tcBorders>
          </w:tcPr>
          <w:p w14:paraId="20BA389D" w14:textId="703C0B46" w:rsidR="00B51F22" w:rsidRPr="00B51F22" w:rsidRDefault="00B51F22" w:rsidP="00B51F22">
            <w:pPr>
              <w:spacing w:line="360" w:lineRule="auto"/>
              <w:jc w:val="center"/>
            </w:pPr>
            <w:r w:rsidRPr="00B51F22">
              <w:t>–</w:t>
            </w:r>
          </w:p>
        </w:tc>
        <w:tc>
          <w:tcPr>
            <w:tcW w:w="1371" w:type="dxa"/>
            <w:tcBorders>
              <w:top w:val="single" w:sz="4" w:space="0" w:color="FFFFFF" w:themeColor="background1"/>
              <w:left w:val="nil"/>
              <w:bottom w:val="single" w:sz="4" w:space="0" w:color="FFFFFF" w:themeColor="background1"/>
              <w:right w:val="nil"/>
            </w:tcBorders>
          </w:tcPr>
          <w:p w14:paraId="231AA0C0" w14:textId="721CC44D" w:rsidR="00B51F22" w:rsidRPr="00B51F22" w:rsidRDefault="00B51F22" w:rsidP="00B51F22">
            <w:pPr>
              <w:spacing w:line="360" w:lineRule="auto"/>
              <w:jc w:val="center"/>
            </w:pPr>
            <w:r w:rsidRPr="00B51F22">
              <w:t>–</w:t>
            </w:r>
          </w:p>
        </w:tc>
        <w:tc>
          <w:tcPr>
            <w:tcW w:w="1134" w:type="dxa"/>
            <w:tcBorders>
              <w:top w:val="single" w:sz="4" w:space="0" w:color="FFFFFF" w:themeColor="background1"/>
              <w:left w:val="nil"/>
              <w:bottom w:val="single" w:sz="4" w:space="0" w:color="FFFFFF" w:themeColor="background1"/>
              <w:right w:val="nil"/>
            </w:tcBorders>
          </w:tcPr>
          <w:p w14:paraId="4F95A4B0" w14:textId="39F0984D" w:rsidR="00B51F22" w:rsidRPr="00B51F22" w:rsidRDefault="00B51F22" w:rsidP="00B51F22">
            <w:pPr>
              <w:spacing w:line="360" w:lineRule="auto"/>
              <w:jc w:val="center"/>
            </w:pPr>
            <w:r w:rsidRPr="00B51F22">
              <w:t>-0.02</w:t>
            </w:r>
          </w:p>
        </w:tc>
        <w:tc>
          <w:tcPr>
            <w:tcW w:w="1608" w:type="dxa"/>
            <w:tcBorders>
              <w:top w:val="single" w:sz="4" w:space="0" w:color="FFFFFF" w:themeColor="background1"/>
              <w:left w:val="nil"/>
              <w:bottom w:val="single" w:sz="4" w:space="0" w:color="FFFFFF" w:themeColor="background1"/>
              <w:right w:val="nil"/>
            </w:tcBorders>
          </w:tcPr>
          <w:p w14:paraId="3ADBE3F5" w14:textId="522FAD9E" w:rsidR="00B51F22" w:rsidRPr="00B51F22" w:rsidRDefault="00B51F22" w:rsidP="00B51F22">
            <w:pPr>
              <w:spacing w:line="360" w:lineRule="auto"/>
              <w:jc w:val="center"/>
            </w:pPr>
            <w:r w:rsidRPr="00B51F22">
              <w:t>-0.24</w:t>
            </w:r>
            <w:r w:rsidR="00740868">
              <w:t>,</w:t>
            </w:r>
            <w:r w:rsidRPr="00B51F22">
              <w:t> 0.20</w:t>
            </w:r>
          </w:p>
        </w:tc>
        <w:tc>
          <w:tcPr>
            <w:tcW w:w="1371" w:type="dxa"/>
            <w:tcBorders>
              <w:top w:val="single" w:sz="4" w:space="0" w:color="FFFFFF" w:themeColor="background1"/>
              <w:left w:val="nil"/>
              <w:bottom w:val="single" w:sz="4" w:space="0" w:color="FFFFFF" w:themeColor="background1"/>
              <w:right w:val="nil"/>
            </w:tcBorders>
          </w:tcPr>
          <w:p w14:paraId="20C4F6B0" w14:textId="0E9C182B" w:rsidR="00B51F22" w:rsidRPr="00B51F22" w:rsidRDefault="00B51F22" w:rsidP="00B51F22">
            <w:pPr>
              <w:spacing w:line="360" w:lineRule="auto"/>
              <w:jc w:val="center"/>
            </w:pPr>
            <w:r w:rsidRPr="00B51F22">
              <w:t>.84</w:t>
            </w:r>
            <w:r w:rsidR="00E22C71">
              <w:t>6</w:t>
            </w:r>
          </w:p>
        </w:tc>
      </w:tr>
      <w:tr w:rsidR="00B51F22" w14:paraId="405EE132" w14:textId="77777777" w:rsidTr="00B51F22">
        <w:tc>
          <w:tcPr>
            <w:tcW w:w="2410" w:type="dxa"/>
            <w:tcBorders>
              <w:top w:val="single" w:sz="4" w:space="0" w:color="FFFFFF" w:themeColor="background1"/>
              <w:left w:val="nil"/>
              <w:bottom w:val="single" w:sz="4" w:space="0" w:color="000000"/>
              <w:right w:val="nil"/>
            </w:tcBorders>
          </w:tcPr>
          <w:p w14:paraId="4E4BAC2E" w14:textId="77777777" w:rsidR="00B51F22" w:rsidRDefault="00B51F22" w:rsidP="00B51F22">
            <w:pPr>
              <w:spacing w:line="360" w:lineRule="auto"/>
            </w:pPr>
          </w:p>
        </w:tc>
        <w:tc>
          <w:tcPr>
            <w:tcW w:w="2835" w:type="dxa"/>
            <w:tcBorders>
              <w:top w:val="single" w:sz="4" w:space="0" w:color="FFFFFF" w:themeColor="background1"/>
              <w:left w:val="nil"/>
              <w:bottom w:val="single" w:sz="4" w:space="0" w:color="000000"/>
              <w:right w:val="nil"/>
            </w:tcBorders>
          </w:tcPr>
          <w:p w14:paraId="48192CD7" w14:textId="095684AB" w:rsidR="00B51F22" w:rsidRDefault="00B51F22" w:rsidP="00B51F22">
            <w:pPr>
              <w:spacing w:line="360" w:lineRule="auto"/>
            </w:pPr>
            <w:r w:rsidRPr="000613A0">
              <w:t>Breakdown in social fabric</w:t>
            </w:r>
          </w:p>
        </w:tc>
        <w:tc>
          <w:tcPr>
            <w:tcW w:w="1134" w:type="dxa"/>
            <w:tcBorders>
              <w:top w:val="single" w:sz="4" w:space="0" w:color="FFFFFF" w:themeColor="background1"/>
              <w:left w:val="nil"/>
              <w:bottom w:val="single" w:sz="4" w:space="0" w:color="000000"/>
              <w:right w:val="nil"/>
            </w:tcBorders>
          </w:tcPr>
          <w:p w14:paraId="08D9FC91" w14:textId="1E4F757E" w:rsidR="00B51F22" w:rsidRPr="00B51F22" w:rsidRDefault="00B51F22" w:rsidP="00B51F22">
            <w:pPr>
              <w:spacing w:line="360" w:lineRule="auto"/>
              <w:jc w:val="center"/>
            </w:pPr>
            <w:r w:rsidRPr="00B51F22">
              <w:t>–</w:t>
            </w:r>
          </w:p>
        </w:tc>
        <w:tc>
          <w:tcPr>
            <w:tcW w:w="1606" w:type="dxa"/>
            <w:tcBorders>
              <w:top w:val="single" w:sz="4" w:space="0" w:color="FFFFFF" w:themeColor="background1"/>
              <w:left w:val="nil"/>
              <w:bottom w:val="single" w:sz="4" w:space="0" w:color="000000"/>
              <w:right w:val="nil"/>
            </w:tcBorders>
          </w:tcPr>
          <w:p w14:paraId="2DBAEC97" w14:textId="12E1B9AE" w:rsidR="00B51F22" w:rsidRPr="00B51F22" w:rsidRDefault="00B51F22" w:rsidP="00B51F22">
            <w:pPr>
              <w:spacing w:line="360" w:lineRule="auto"/>
              <w:jc w:val="center"/>
            </w:pPr>
            <w:r w:rsidRPr="00B51F22">
              <w:t>–</w:t>
            </w:r>
          </w:p>
        </w:tc>
        <w:tc>
          <w:tcPr>
            <w:tcW w:w="1371" w:type="dxa"/>
            <w:tcBorders>
              <w:top w:val="single" w:sz="4" w:space="0" w:color="FFFFFF" w:themeColor="background1"/>
              <w:left w:val="nil"/>
              <w:bottom w:val="single" w:sz="4" w:space="0" w:color="000000"/>
              <w:right w:val="nil"/>
            </w:tcBorders>
          </w:tcPr>
          <w:p w14:paraId="7713333F" w14:textId="28CF1594" w:rsidR="00B51F22" w:rsidRPr="00B51F22" w:rsidRDefault="00B51F22" w:rsidP="00B51F22">
            <w:pPr>
              <w:spacing w:line="360" w:lineRule="auto"/>
              <w:jc w:val="center"/>
            </w:pPr>
            <w:r w:rsidRPr="00B51F22">
              <w:t>–</w:t>
            </w:r>
          </w:p>
        </w:tc>
        <w:tc>
          <w:tcPr>
            <w:tcW w:w="1134" w:type="dxa"/>
            <w:tcBorders>
              <w:top w:val="single" w:sz="4" w:space="0" w:color="FFFFFF" w:themeColor="background1"/>
              <w:left w:val="nil"/>
              <w:bottom w:val="single" w:sz="4" w:space="0" w:color="000000"/>
              <w:right w:val="nil"/>
            </w:tcBorders>
          </w:tcPr>
          <w:p w14:paraId="36A1E249" w14:textId="5378C0C7" w:rsidR="00B51F22" w:rsidRPr="00B51F22" w:rsidRDefault="00B51F22" w:rsidP="00B51F22">
            <w:pPr>
              <w:spacing w:line="360" w:lineRule="auto"/>
              <w:jc w:val="center"/>
            </w:pPr>
            <w:r w:rsidRPr="00B51F22">
              <w:t>0.22</w:t>
            </w:r>
          </w:p>
        </w:tc>
        <w:tc>
          <w:tcPr>
            <w:tcW w:w="1608" w:type="dxa"/>
            <w:tcBorders>
              <w:top w:val="single" w:sz="4" w:space="0" w:color="FFFFFF" w:themeColor="background1"/>
              <w:left w:val="nil"/>
              <w:bottom w:val="single" w:sz="4" w:space="0" w:color="000000"/>
              <w:right w:val="nil"/>
            </w:tcBorders>
          </w:tcPr>
          <w:p w14:paraId="7B72E1A8" w14:textId="41E93E57" w:rsidR="00B51F22" w:rsidRPr="00B51F22" w:rsidRDefault="00B51F22" w:rsidP="00B51F22">
            <w:pPr>
              <w:spacing w:line="360" w:lineRule="auto"/>
              <w:jc w:val="center"/>
            </w:pPr>
            <w:r w:rsidRPr="00B51F22">
              <w:t>0.00</w:t>
            </w:r>
            <w:r w:rsidR="00740868">
              <w:t>,</w:t>
            </w:r>
            <w:r w:rsidRPr="00B51F22">
              <w:t> 0.44</w:t>
            </w:r>
          </w:p>
        </w:tc>
        <w:tc>
          <w:tcPr>
            <w:tcW w:w="1371" w:type="dxa"/>
            <w:tcBorders>
              <w:top w:val="single" w:sz="4" w:space="0" w:color="FFFFFF" w:themeColor="background1"/>
              <w:left w:val="nil"/>
              <w:bottom w:val="single" w:sz="4" w:space="0" w:color="000000"/>
              <w:right w:val="nil"/>
            </w:tcBorders>
          </w:tcPr>
          <w:p w14:paraId="0147F3C1" w14:textId="588BAE2D" w:rsidR="00B51F22" w:rsidRPr="00B51F22" w:rsidRDefault="00B51F22" w:rsidP="00B51F22">
            <w:pPr>
              <w:spacing w:line="360" w:lineRule="auto"/>
              <w:jc w:val="center"/>
            </w:pPr>
            <w:r w:rsidRPr="00B51F22">
              <w:t>.0</w:t>
            </w:r>
            <w:r w:rsidR="00E22C71">
              <w:t>63</w:t>
            </w:r>
          </w:p>
        </w:tc>
      </w:tr>
    </w:tbl>
    <w:p w14:paraId="0BF95DF8" w14:textId="77777777" w:rsidR="006B6561" w:rsidRDefault="006B6561" w:rsidP="006B6561">
      <w:r>
        <w:t xml:space="preserve">* </w:t>
      </w:r>
      <w:r w:rsidRPr="00F4392E">
        <w:rPr>
          <w:i/>
          <w:iCs/>
        </w:rPr>
        <w:t>p</w:t>
      </w:r>
      <w:r w:rsidRPr="00F4392E">
        <w:t xml:space="preserve"> &lt;</w:t>
      </w:r>
      <w:r>
        <w:t xml:space="preserve"> .05</w:t>
      </w:r>
      <w:r>
        <w:tab/>
        <w:t xml:space="preserve">** </w:t>
      </w:r>
      <w:r w:rsidRPr="00F4392E">
        <w:rPr>
          <w:i/>
          <w:iCs/>
        </w:rPr>
        <w:t>p</w:t>
      </w:r>
      <w:r>
        <w:t xml:space="preserve"> &lt; .01</w:t>
      </w:r>
      <w:r>
        <w:tab/>
        <w:t xml:space="preserve">*** </w:t>
      </w:r>
      <w:r w:rsidRPr="00F4392E">
        <w:rPr>
          <w:i/>
          <w:iCs/>
        </w:rPr>
        <w:t>p</w:t>
      </w:r>
      <w:r>
        <w:t xml:space="preserve"> &lt; .001 </w:t>
      </w:r>
    </w:p>
    <w:p w14:paraId="1B1D44CB" w14:textId="77777777" w:rsidR="006B6561" w:rsidRDefault="006B6561">
      <w:pPr>
        <w:sectPr w:rsidR="006B6561" w:rsidSect="006B6561">
          <w:pgSz w:w="16838" w:h="11906" w:orient="landscape"/>
          <w:pgMar w:top="1440" w:right="1440" w:bottom="1440" w:left="1440" w:header="708" w:footer="708" w:gutter="0"/>
          <w:cols w:space="708"/>
          <w:docGrid w:linePitch="360"/>
        </w:sectPr>
      </w:pPr>
    </w:p>
    <w:p w14:paraId="392DAD99" w14:textId="7E813736" w:rsidR="00C756A6" w:rsidRDefault="00072860" w:rsidP="00072860">
      <w:pPr>
        <w:spacing w:before="120" w:line="480" w:lineRule="auto"/>
        <w:ind w:firstLine="720"/>
      </w:pPr>
      <w:r w:rsidRPr="00072860">
        <w:lastRenderedPageBreak/>
        <w:t xml:space="preserve">We </w:t>
      </w:r>
      <w:proofErr w:type="spellStart"/>
      <w:r w:rsidRPr="00072860">
        <w:t>analyzed</w:t>
      </w:r>
      <w:proofErr w:type="spellEnd"/>
      <w:r w:rsidRPr="00072860">
        <w:t xml:space="preserve"> whether generalized trust and a breakdown in the social fabric mediated the effect between perceived wealth gap (separately for within- and between-country effects) and moral expansiveness in a multi-level mediation model. In line with predictions, the indirect effect of perceived wealth gap (within-countries) via generalized trust on moral expansiveness was significant (see Figure 3). Likewise, the indirect effect of perceived wealth gap (between-countries) via generalized trust on moral expansiveness was also significant. However, the indirect effect of perceived wealth gap (within-countries) via a breakdown in the social fabric on moral expansiveness was non-significant, </w:t>
      </w:r>
      <w:r w:rsidRPr="00072860">
        <w:rPr>
          <w:i/>
          <w:iCs/>
        </w:rPr>
        <w:t>b</w:t>
      </w:r>
      <w:r w:rsidRPr="00072860">
        <w:t xml:space="preserve"> = −0.03, 95% CI = [−0.07, 0.00]. Likewise, the indirect effect of perceived wealth gap (between-countries) via a breakdown in the social fabric on moral expansiveness was also non-significant, </w:t>
      </w:r>
      <w:r w:rsidRPr="00072860">
        <w:rPr>
          <w:i/>
          <w:iCs/>
        </w:rPr>
        <w:t>b</w:t>
      </w:r>
      <w:r w:rsidRPr="00072860">
        <w:t xml:space="preserve"> = −0.07, 95% CI = [−0.16, 0.00]. See Supplementary Materials 11 for the full results of this mediation analysis and Supplementary Materials 12 for scatterplots. We ran several alternative models to assess the robustness of our findings and we largely replicated the general pattern of results (Supplementary Materials 13–18).</w:t>
      </w:r>
    </w:p>
    <w:p w14:paraId="558291B5" w14:textId="208BB73F" w:rsidR="00072860" w:rsidRDefault="00072860" w:rsidP="00860A7C">
      <w:pPr>
        <w:spacing w:before="120" w:line="480" w:lineRule="auto"/>
        <w:rPr>
          <w:i/>
          <w:iCs/>
        </w:rPr>
      </w:pPr>
      <w:r>
        <w:rPr>
          <w:i/>
          <w:iCs/>
          <w:noProof/>
        </w:rPr>
        <w:drawing>
          <wp:inline distT="0" distB="0" distL="0" distR="0" wp14:anchorId="2B019EFD" wp14:editId="2477EFFD">
            <wp:extent cx="5661025" cy="3184989"/>
            <wp:effectExtent l="0" t="0" r="3175" b="317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14" cstate="print">
                      <a:extLst>
                        <a:ext uri="{28A0092B-C50C-407E-A947-70E740481C1C}">
                          <a14:useLocalDpi xmlns:a14="http://schemas.microsoft.com/office/drawing/2010/main" val="0"/>
                        </a:ext>
                      </a:extLst>
                    </a:blip>
                    <a:srcRect t="-1" r="1229" b="1748"/>
                    <a:stretch/>
                  </pic:blipFill>
                  <pic:spPr bwMode="auto">
                    <a:xfrm>
                      <a:off x="0" y="0"/>
                      <a:ext cx="5661061" cy="3185009"/>
                    </a:xfrm>
                    <a:prstGeom prst="rect">
                      <a:avLst/>
                    </a:prstGeom>
                    <a:ln>
                      <a:noFill/>
                    </a:ln>
                    <a:extLst>
                      <a:ext uri="{53640926-AAD7-44D8-BBD7-CCE9431645EC}">
                        <a14:shadowObscured xmlns:a14="http://schemas.microsoft.com/office/drawing/2010/main"/>
                      </a:ext>
                    </a:extLst>
                  </pic:spPr>
                </pic:pic>
              </a:graphicData>
            </a:graphic>
          </wp:inline>
        </w:drawing>
      </w:r>
    </w:p>
    <w:p w14:paraId="387B4E5C" w14:textId="3E30142B" w:rsidR="00A74FCD" w:rsidRDefault="00C756A6" w:rsidP="00860A7C">
      <w:pPr>
        <w:spacing w:before="120" w:line="480" w:lineRule="auto"/>
      </w:pPr>
      <w:r w:rsidRPr="00944E18">
        <w:rPr>
          <w:i/>
          <w:iCs/>
        </w:rPr>
        <w:lastRenderedPageBreak/>
        <w:t xml:space="preserve">Figure </w:t>
      </w:r>
      <w:r w:rsidR="00CB3A62">
        <w:rPr>
          <w:i/>
          <w:iCs/>
        </w:rPr>
        <w:t>3</w:t>
      </w:r>
      <w:r w:rsidRPr="00944E18">
        <w:rPr>
          <w:i/>
          <w:iCs/>
        </w:rPr>
        <w:t>.</w:t>
      </w:r>
      <w:r>
        <w:t xml:space="preserve"> Mediation model of the relationship between perceived wealth gap</w:t>
      </w:r>
      <w:r w:rsidR="00EA7CFA">
        <w:t xml:space="preserve"> (panel A: within</w:t>
      </w:r>
      <w:r w:rsidR="00F54F04">
        <w:t>-</w:t>
      </w:r>
      <w:r w:rsidR="00EA7CFA">
        <w:t>countries, panel B: between</w:t>
      </w:r>
      <w:r w:rsidR="00F54F04">
        <w:t>-</w:t>
      </w:r>
      <w:r w:rsidR="00EA7CFA">
        <w:t>countries)</w:t>
      </w:r>
      <w:r>
        <w:t xml:space="preserve"> and moral expansiveness, via </w:t>
      </w:r>
      <w:r w:rsidR="00930097">
        <w:t>generalized</w:t>
      </w:r>
      <w:r w:rsidR="00930097" w:rsidRPr="00F24260">
        <w:t xml:space="preserve"> </w:t>
      </w:r>
      <w:r>
        <w:t xml:space="preserve">trust. </w:t>
      </w:r>
      <w:r w:rsidR="00860A7C" w:rsidRPr="000F7222">
        <w:t>Unstandardized coefficients</w:t>
      </w:r>
      <w:r w:rsidR="00860A7C">
        <w:t xml:space="preserve"> are given.</w:t>
      </w:r>
      <w:r w:rsidR="00860A7C" w:rsidRPr="00860A7C">
        <w:rPr>
          <w:rFonts w:ascii="Calibri" w:hAnsi="Calibri" w:cs="Calibri"/>
        </w:rPr>
        <w:t>﻿</w:t>
      </w:r>
      <w:r w:rsidR="00620AD5" w:rsidRPr="00620AD5">
        <w:t xml:space="preserve"> </w:t>
      </w:r>
      <w:r w:rsidR="00620AD5">
        <w:t>Indirect effects were calculated for each of 1000 bootstrapped samples, with the 95% confidence intervals calculated for the 2.5</w:t>
      </w:r>
      <w:r w:rsidR="00620AD5" w:rsidRPr="00980895">
        <w:rPr>
          <w:vertAlign w:val="superscript"/>
        </w:rPr>
        <w:t>th</w:t>
      </w:r>
      <w:r w:rsidR="00620AD5">
        <w:t xml:space="preserve"> and 97.5</w:t>
      </w:r>
      <w:r w:rsidR="00620AD5" w:rsidRPr="00980895">
        <w:rPr>
          <w:vertAlign w:val="superscript"/>
        </w:rPr>
        <w:t>th</w:t>
      </w:r>
      <w:r w:rsidR="00620AD5">
        <w:t xml:space="preserve"> percentiles. </w:t>
      </w:r>
      <w:r w:rsidR="00860A7C">
        <w:t>T</w:t>
      </w:r>
      <w:r w:rsidR="00860A7C" w:rsidRPr="00860A7C">
        <w:t>he value outside parentheses</w:t>
      </w:r>
      <w:r w:rsidR="00860A7C">
        <w:t xml:space="preserve"> on the lower path</w:t>
      </w:r>
      <w:r w:rsidR="00860A7C" w:rsidRPr="00860A7C">
        <w:t xml:space="preserve"> is the total effect, and the</w:t>
      </w:r>
      <w:r w:rsidR="004D5D24">
        <w:t xml:space="preserve"> </w:t>
      </w:r>
      <w:r w:rsidR="00860A7C" w:rsidRPr="00860A7C">
        <w:t>direct effect</w:t>
      </w:r>
      <w:r w:rsidR="00860A7C">
        <w:t xml:space="preserve"> is the </w:t>
      </w:r>
      <w:r w:rsidR="00860A7C" w:rsidRPr="00860A7C">
        <w:t xml:space="preserve">value inside </w:t>
      </w:r>
      <w:r w:rsidR="00860A7C">
        <w:t>par</w:t>
      </w:r>
      <w:r w:rsidR="00AF0301">
        <w:t>en</w:t>
      </w:r>
      <w:r w:rsidR="00860A7C">
        <w:t>theses</w:t>
      </w:r>
      <w:r w:rsidR="00860A7C" w:rsidRPr="00860A7C">
        <w:t>. *</w:t>
      </w:r>
      <w:r w:rsidR="00860A7C" w:rsidRPr="00860A7C">
        <w:rPr>
          <w:i/>
          <w:iCs/>
        </w:rPr>
        <w:t>p</w:t>
      </w:r>
      <w:r w:rsidR="00860A7C" w:rsidRPr="00860A7C">
        <w:t xml:space="preserve"> &lt; .05, </w:t>
      </w:r>
      <w:r w:rsidR="004D5D24">
        <w:t xml:space="preserve">** </w:t>
      </w:r>
      <w:r w:rsidR="004D5D24" w:rsidRPr="00F4392E">
        <w:rPr>
          <w:i/>
          <w:iCs/>
        </w:rPr>
        <w:t>p</w:t>
      </w:r>
      <w:r w:rsidR="004D5D24">
        <w:t xml:space="preserve"> &lt; .01, </w:t>
      </w:r>
      <w:r w:rsidR="00860A7C" w:rsidRPr="00860A7C">
        <w:t>***</w:t>
      </w:r>
      <w:r w:rsidR="00860A7C" w:rsidRPr="00860A7C">
        <w:rPr>
          <w:i/>
          <w:iCs/>
        </w:rPr>
        <w:t>p</w:t>
      </w:r>
      <w:r w:rsidR="00860A7C" w:rsidRPr="00860A7C">
        <w:t xml:space="preserve"> &lt; .001</w:t>
      </w:r>
      <w:r w:rsidR="00A74FCD">
        <w:t xml:space="preserve"> </w:t>
      </w:r>
    </w:p>
    <w:bookmarkEnd w:id="0"/>
    <w:bookmarkEnd w:id="1"/>
    <w:p w14:paraId="2CECF2ED" w14:textId="0340A771" w:rsidR="00207958" w:rsidRDefault="00207958" w:rsidP="00207958">
      <w:pPr>
        <w:spacing w:before="120" w:line="480" w:lineRule="auto"/>
        <w:jc w:val="center"/>
        <w:rPr>
          <w:b/>
          <w:bCs/>
        </w:rPr>
      </w:pPr>
      <w:r>
        <w:rPr>
          <w:b/>
          <w:bCs/>
        </w:rPr>
        <w:t>Discussion</w:t>
      </w:r>
    </w:p>
    <w:p w14:paraId="4F5759C8" w14:textId="77777777" w:rsidR="00072860" w:rsidRDefault="00072860" w:rsidP="005D5E57">
      <w:pPr>
        <w:spacing w:before="120" w:line="480" w:lineRule="auto"/>
        <w:ind w:firstLine="720"/>
      </w:pPr>
      <w:r w:rsidRPr="00072860">
        <w:t xml:space="preserve">In the 21st century, we include more entities in our moral circles on average compared with any other time in history, but there are still significant differences observed between people in how narrow or broad their moral circles are. Until now, it has been unclear how societal factors relate to these differences. Here, we aimed to establish the relationship between societal factors (i.e., economic inequality, generalized trust and perceptions of anomie) and the expansion of our moral world in a multinational dataset. Our work has revealed three novel insights. First, more generalized trust and lower perceptions of a breakdown in the social fabric, but not a breakdown in leadership, were related to greater moral expansiveness. Second, a greater perceived wealth gap between the rich and the poor was linked to more restricted moral circles, and this was mediated by lower generalized trust, but not perceptions of breakdown in the social fabric. Finally, moral expansiveness was only directly predicted by variables </w:t>
      </w:r>
      <w:r w:rsidRPr="00072860">
        <w:rPr>
          <w:i/>
          <w:iCs/>
        </w:rPr>
        <w:t>within</w:t>
      </w:r>
      <w:r w:rsidRPr="00072860">
        <w:t xml:space="preserve">-countries and not </w:t>
      </w:r>
      <w:r w:rsidRPr="00072860">
        <w:rPr>
          <w:i/>
          <w:iCs/>
        </w:rPr>
        <w:t>between</w:t>
      </w:r>
      <w:r w:rsidRPr="00072860">
        <w:t>-countries.</w:t>
      </w:r>
    </w:p>
    <w:p w14:paraId="0B2A9624" w14:textId="77777777" w:rsidR="00072860" w:rsidRPr="00072860" w:rsidRDefault="00072860" w:rsidP="00072860">
      <w:pPr>
        <w:spacing w:line="480" w:lineRule="auto"/>
        <w:ind w:firstLine="720"/>
      </w:pPr>
      <w:r w:rsidRPr="00072860">
        <w:t xml:space="preserve">We found a clear link between greater generalized trust and increased moral expansiveness within-countries. Although we cannot be certain of causality, it may be that since trust is the glue that binds relationships, </w:t>
      </w:r>
      <w:r w:rsidRPr="00072860">
        <w:rPr>
          <w:i/>
          <w:iCs/>
        </w:rPr>
        <w:t>generalized</w:t>
      </w:r>
      <w:r w:rsidRPr="00072860">
        <w:t xml:space="preserve"> trust may therefore be a necessary ingredient before one can care for strangers and more distant entities. Furthermore, while perceptions of breakdown within leadership (i.e., that government is ineffective and illegitimate) was not predictive of the scope of moral expansiveness, greater perceptions of </w:t>
      </w:r>
      <w:r w:rsidRPr="00072860">
        <w:lastRenderedPageBreak/>
        <w:t>breakdown in social fabric (e.g., low trust and no shared moral standards) was linked to reduced MES scores. Together this suggests that the relationships between individuals in a society relate to the size of moral circles as opposed to perceptions of those in power.</w:t>
      </w:r>
    </w:p>
    <w:p w14:paraId="11E22D16" w14:textId="6625BC9E" w:rsidR="00F05E31" w:rsidRDefault="00072860" w:rsidP="00F43AFA">
      <w:pPr>
        <w:spacing w:before="120" w:line="480" w:lineRule="auto"/>
        <w:ind w:firstLine="720"/>
      </w:pPr>
      <w:r w:rsidRPr="00072860">
        <w:t>Low generalized trust was found to mediate the relationship between a higher perceived wealth gap among the rich and the poor and reduced moral expansiveness both within- and between-countries. Prior research has established that high economic inequality is related to reduced generalized trust</w:t>
      </w:r>
      <w:r>
        <w:t xml:space="preserve"> </w:t>
      </w:r>
      <w:r w:rsidR="002B0AD0" w:rsidRPr="00CC5B78">
        <w:fldChar w:fldCharType="begin" w:fldLock="1"/>
      </w:r>
      <w:r w:rsidR="002B0AD0" w:rsidRPr="00CC5B78">
        <w:instrText>ADDIN CSL_CITATION {"citationItems":[{"id":"ITEM-1","itemData":{"DOI":"10.1016/j.socscimed.2007.05.041","ISBN":"1873-5347\\n0277-9536","ISSN":"02779536","PMID":"17618718","abstract":"In this paper, we present evidence which suggests that key processes of social status differentiation, affecting health and numerous other social outcomes, take place at the societal level. Understanding them seems likely to involve analyses and comparisons of whole societies. Using income inequality as an indicator and determinant of the scale of socioeconomic stratification in a society, we show that many problems associated with relative deprivation are more prevalent in more unequal societies. We summarise previously published evidence suggesting that this may be true of morbidity and mortality, obesity, teenage birth rates, mental illness, homicide, low trust, low social capital, hostility, and racism. To these we add new analyses which suggest that this is also true of poor educational performance among school children, the proportion of the population imprisoned, drug overdose mortality and low social mobility. That ill health and a wide range of other social problems associated with social status within societies are also more common in more unequal societies, may imply that income inequality is central to the creation of the apparently deep-seated social problems associated with poverty, relative deprivation or low social status. We suggest that the degree of material inequality in a society may not only be central to the social forces involved in national patterns of social stratification, but also that many of the problems related to low social status may be amenable to changes in income distribution. If the prevalence of these problems varies so much from society to society according to differences in income distribution, it suggests that the familiar social gradients in health and other outcomes are unlikely to result from social mobility sorting people merely by prior characteristics. Instead, the picture suggests that their frequency in a population is affected by the scale of social stratification that differs substantially from one society to another. © 2007 Elsevier Ltd. All rights reserved.","author":[{"dropping-particle":"","family":"Wilkinson","given":"Richard G.","non-dropping-particle":"","parse-names":false,"suffix":""},{"dropping-particle":"","family":"Pickett","given":"Kate E.","non-dropping-particle":"","parse-names":false,"suffix":""}],"container-title":"Social Science and Medicine","id":"ITEM-1","issue":"9","issued":{"date-parts":[["2007"]]},"page":"1965-1978","title":"The problems of relative deprivation: Why some societies do better than others","type":"article-journal","volume":"65"},"uris":["http://www.mendeley.com/documents/?uuid=034cb0fa-d639-4dd3-a36f-839b481a179b"]},{"id":"ITEM-2","itemData":{"DOI":"10.1177/1532673X04271903","ISSN":"1532673X","abstract":"This article examines why people violate rationality and take part in their communities, differentiating by types of participation, particularly political versus other, more communal types of participation. The authors argue that trust plays an important role in participation levels, but contrary to more traditional models, the causal relationship runs from trust to participation. In addition, the authors posit that trust is strongly affected by economic inequality. Using aggregated American state-level data for the 1970s, 1980s, and 1990s, the authors present a series of two-stage least squares models on the effects of inequality and trust on participation, controlling for other related factors. Findings indicate that inequality is the strongest determinant of trust and that trust has a greater effect on communal participation than on political participation. © 2005 Sage Publications.","author":[{"dropping-particle":"","family":"Uslaner","given":"Eric M.","non-dropping-particle":"","parse-names":false,"suffix":""},{"dropping-particle":"","family":"Brown","given":"Mitchell","non-dropping-particle":"","parse-names":false,"suffix":""}],"container-title":"American Politics Research","id":"ITEM-2","issue":"6","issued":{"date-parts":[["2005"]]},"page":"868-894","title":"Inequality, trust, and civic engagement","type":"article-journal","volume":"33"},"uris":["http://www.mendeley.com/documents/?uuid=dcbcc0d9-3232-41c3-abc0-0bdfe8df3d87"]},{"id":"ITEM-3","itemData":{"DOI":"10.1177/0956797611417262","ISSN":"14679280","abstract":"Using General Social Survey data from 1972 to 2008, we found that Americans were on average happier in the years with less national income inequality than in the years with more national income inequality. We further demonstrated that this inverse relation between income inequality and happiness was explained by perceived fairness and general trust. That is, Americans trusted other people less and perceived other people to be less fair in the years with more national income inequality than in the years with less national income inequality. The negative association between income inequality and happiness held for lower-income respondents, but not for higher-income respondents. Most important, we found that the negative link between income inequality and the happiness of lower-income respondents was explained not by lower household income, but by perceived unfairness and lack of trust. © The Author(s) 2011.","author":[{"dropping-particle":"","family":"Oishi","given":"Shigehiro","non-dropping-particle":"","parse-names":false,"suffix":""},{"dropping-particle":"","family":"Kesebir","given":"Selin","non-dropping-particle":"","parse-names":false,"suffix":""},{"dropping-particle":"","family":"Diener","given":"Ed","non-dropping-particle":"","parse-names":false,"suffix":""}],"container-title":"Psychological Science","id":"ITEM-3","issue":"9","issued":{"date-parts":[["2011"]]},"page":"1095-1100","title":"Income inequality and happiness","type":"article-journal","volume":"22"},"uris":["http://www.mendeley.com/documents/?uuid=07031fb6-e25f-4ee8-96e6-6c5fe2a0a4b1"]}],"mendeley":{"formattedCitation":"(Oishi et al., 2011; Uslaner &amp; Brown, 2005; Wilkinson &amp; Pickett, 2007)","plainTextFormattedCitation":"(Oishi et al., 2011; Uslaner &amp; Brown, 2005; Wilkinson &amp; Pickett, 2007)","previouslyFormattedCitation":"(Oishi et al., 2011; Uslaner &amp; Brown, 2005; Wilkinson &amp; Pickett, 2007)"},"properties":{"noteIndex":0},"schema":"https://github.com/citation-style-language/schema/raw/master/csl-citation.json"}</w:instrText>
      </w:r>
      <w:r w:rsidR="002B0AD0" w:rsidRPr="00CC5B78">
        <w:fldChar w:fldCharType="separate"/>
      </w:r>
      <w:r w:rsidR="002B0AD0" w:rsidRPr="00CC5B78">
        <w:rPr>
          <w:noProof/>
        </w:rPr>
        <w:t>(Oishi et al., 2011; Uslaner &amp; Brown, 2005; Wilkinson &amp; Pickett, 2007)</w:t>
      </w:r>
      <w:r w:rsidR="002B0AD0" w:rsidRPr="00CC5B78">
        <w:fldChar w:fldCharType="end"/>
      </w:r>
      <w:r w:rsidR="002B0AD0" w:rsidRPr="00CC5B78">
        <w:t xml:space="preserve">. </w:t>
      </w:r>
      <w:r w:rsidRPr="00072860">
        <w:t>This is the first work to show it may also be related to how we construct our moral world. However, experimental evidence or support from longitudinal data is needed before we can be certain about directionality. In contrast, perceptions of the breakdown in social fabric did not mediate the relationship between a higher perceived wealth gap among the rich and the poor and reduced moral expansiveness. Although a breakdown in social fabric is characterized by lower generalized trust between citizens, the social fabric concept also encompasses the perception that a shared moral standard among people is lacking</w:t>
      </w:r>
      <w:r>
        <w:t xml:space="preserve"> </w:t>
      </w:r>
      <w:r w:rsidR="002B0AD0" w:rsidRPr="00CC5B78">
        <w:fldChar w:fldCharType="begin" w:fldLock="1"/>
      </w:r>
      <w:r w:rsidR="002B0AD0" w:rsidRPr="00CC5B78">
        <w:instrText>ADDIN CSL_CITATION {"citationItems":[{"id":"ITEM-1","itemData":{"DOI":"10.1111/pops.12377","ISSN":"14679221","abstract":"Anomie, as defined by sociologists, refers to a state of society characterized by deregulation and erosion of moral values. In the present conceptual analysis, we bring the concept of anomie under a social psychological spotlight. We explore the conditions under which anomie arises and develop a model outlining various responses to anomie. We define anomie as a shared perception of the state of society and propose that two conditions must be met for anomie to emerge. First, a society's social fabric must be perceived to be breaking down (i.e., lack of trust and erosion of moral standards). Second, a society's leadership must be perceived to be breaking down (i.e., lack of legitimacy and effectiveness of leadership). We highlight two key responses of individuals to an anomic situation: a contraction of the personal self and a contraction of the social self. We discuss how a psychology of anomie can inform and advance broader theorizing on group processes.","author":[{"dropping-particle":"","family":"Teymoori","given":"Ali","non-dropping-particle":"","parse-names":false,"suffix":""},{"dropping-particle":"","family":"Bastian","given":"Brock","non-dropping-particle":"","parse-names":false,"suffix":""},{"dropping-particle":"","family":"Jetten","given":"Jolanda","non-dropping-particle":"","parse-names":false,"suffix":""}],"container-title":"Political Psychology","id":"ITEM-1","issue":"6","issued":{"date-parts":[["2017"]]},"page":"1009-1023","title":"Towards a psychological analysis of anomie","type":"article-journal","volume":"38"},"uris":["http://www.mendeley.com/documents/?uuid=ea7cf4cd-1213-4cdd-99c4-bbaa8b787eaa"]}],"mendeley":{"formattedCitation":"(Teymoori et al., 2017)","plainTextFormattedCitation":"(Teymoori et al., 2017)","previouslyFormattedCitation":"(Teymoori et al., 2017)"},"properties":{"noteIndex":0},"schema":"https://github.com/citation-style-language/schema/raw/master/csl-citation.json"}</w:instrText>
      </w:r>
      <w:r w:rsidR="002B0AD0" w:rsidRPr="00CC5B78">
        <w:fldChar w:fldCharType="separate"/>
      </w:r>
      <w:r w:rsidR="002B0AD0" w:rsidRPr="00CC5B78">
        <w:rPr>
          <w:noProof/>
        </w:rPr>
        <w:t>(Teymoori et al., 2017)</w:t>
      </w:r>
      <w:r w:rsidR="002B0AD0" w:rsidRPr="00CC5B78">
        <w:fldChar w:fldCharType="end"/>
      </w:r>
      <w:r w:rsidR="002B0AD0" w:rsidRPr="00CC5B78">
        <w:t xml:space="preserve">. </w:t>
      </w:r>
      <w:r w:rsidRPr="00072860">
        <w:t xml:space="preserve">It thus appears to be the specific element of trust, rather than a breakdown in the social fabric more broadly, that mediates the relationship between the perceived wealth gap and moral expansiveness. Although we found a similar mediation effect at both levels of analysis, there was a non-significant tendency for a higher estimate of the wealth gap between countries to be related to </w:t>
      </w:r>
      <w:r w:rsidRPr="00072860">
        <w:rPr>
          <w:i/>
          <w:iCs/>
        </w:rPr>
        <w:t>greater</w:t>
      </w:r>
      <w:r w:rsidRPr="00072860">
        <w:t xml:space="preserve"> moral expansiveness. It is also noteworthy that all direct relationships with moral expansiveness were only found within countries, suggesting that differences between countries in trust and perceptions of inequality may not be directly relevant for the size of peoples’ moral worlds</w:t>
      </w:r>
      <w:r w:rsidR="00264C42" w:rsidRPr="00020ACD">
        <w:rPr>
          <w:rStyle w:val="FootnoteReference"/>
        </w:rPr>
        <w:footnoteReference w:id="1"/>
      </w:r>
      <w:r w:rsidR="00264C42" w:rsidRPr="00020ACD">
        <w:t xml:space="preserve">. </w:t>
      </w:r>
      <w:r w:rsidRPr="00072860">
        <w:t xml:space="preserve">This also highlights the importance of partitioning out within- and between-country effects when </w:t>
      </w:r>
      <w:proofErr w:type="spellStart"/>
      <w:r w:rsidRPr="00072860">
        <w:t>analyzing</w:t>
      </w:r>
      <w:proofErr w:type="spellEnd"/>
      <w:r w:rsidRPr="00072860">
        <w:t xml:space="preserve"> </w:t>
      </w:r>
      <w:r w:rsidRPr="00072860">
        <w:lastRenderedPageBreak/>
        <w:t>multinational data as these effects may not always be consistent</w:t>
      </w:r>
      <w:r>
        <w:t xml:space="preserve"> </w:t>
      </w:r>
      <w:r w:rsidR="00930A6E" w:rsidRPr="00020ACD">
        <w:fldChar w:fldCharType="begin" w:fldLock="1"/>
      </w:r>
      <w:r w:rsidR="00B456E8" w:rsidRPr="00020ACD">
        <w:instrText>ADDIN CSL_CITATION {"citationItems":[{"id":"ITEM-1","itemData":{"DOI":"10.1073/pnas.1001911107","ISSN":"00278424","PMID":"20308553","abstract":"We show that differences in social orientation and in cognition that exist between cultures and social classes do not necessarily have counterparts in individual differences within those groups. Evidence comes from a large-scale study conducted with 10 measures of independent vs. interdependent social orientation and 10 measures of analytic vs. holistic cognitive style. The social measures successfully distinguish between interdependence (viewing oneself as embedded in relations with others) and independence (viewing oneself as disconnected from others) at the group level. However, the correlations among the measures were negligible. Similar results were obtained for the cognitive measures, for which there are no coherent individual differences despite the validity of the construct at the group level. We conclude that behavioral constructs that distinguish among groups need not be valid as measures of individual differences.","author":[{"dropping-particle":"","family":"Na","given":"Jinkyung","non-dropping-particle":"","parse-names":false,"suffix":""},{"dropping-particle":"","family":"Grossmann","given":"Igor","non-dropping-particle":"","parse-names":false,"suffix":""},{"dropping-particle":"","family":"Varnum","given":"Michael E.W.","non-dropping-particle":"","parse-names":false,"suffix":""},{"dropping-particle":"","family":"Kitayama","given":"Shinobu","non-dropping-particle":"","parse-names":false,"suffix":""},{"dropping-particle":"","family":"Gonzalez","given":"Richard","non-dropping-particle":"","parse-names":false,"suffix":""},{"dropping-particle":"","family":"Nisbett","given":"Richard E.","non-dropping-particle":"","parse-names":false,"suffix":""}],"container-title":"Proceedings of the National Academy of Sciences of the United States of America","id":"ITEM-1","issue":"14","issued":{"date-parts":[["2010"]]},"page":"6192-6197","title":"Cultural differences are not always reducible to individual differences","type":"article-journal","volume":"107"},"uris":["http://www.mendeley.com/documents/?uuid=6c3b0925-6ed3-46de-8e2b-2b1adb2069c6"]},{"id":"ITEM-2","itemData":{"DOI":"10.1093/esr/jcv059","ISSN":"14682672","abstract":"Country effects on outcomes for individuals are often analysed using multilevel (hierarchical) models applied to harmonized multi-country data sets such as ESS, EU-SILC, EVS, ISSP, and SHARE. We point out problems with the assessment of country effects that appear not to be widely appreciated, and develop our arguments using Monte Carlo simulation analysis of multilevel linear and logit models. With large sample sizes of individuals within each country but only a small number of countries, analysts can reliably estimate individual-level effects but estimates of parameters summarizing country effects are likely to be unreliable. Multilevel modelling methods are no panacea.","author":[{"dropping-particle":"","family":"Bryan","given":"Mark L.","non-dropping-particle":"","parse-names":false,"suffix":""},{"dropping-particle":"","family":"Jenkins","given":"Stephen P.","non-dropping-particle":"","parse-names":false,"suffix":""}],"container-title":"European Sociological Review","id":"ITEM-2","issue":"1","issued":{"date-parts":[["2016"]]},"page":"3-22","title":"Multilevel modelling of country effects: A cautionary tale","type":"article-journal","volume":"32"},"uris":["http://www.mendeley.com/documents/?uuid=f2b1f066-b1d5-4a57-a4a0-27c046284035"]}],"mendeley":{"formattedCitation":"(Bryan &amp; Jenkins, 2016; Na et al., 2010)","plainTextFormattedCitation":"(Bryan &amp; Jenkins, 2016; Na et al., 2010)","previouslyFormattedCitation":"(Bryan &amp; Jenkins, 2016; Na et al., 2010)"},"properties":{"noteIndex":0},"schema":"https://github.com/citation-style-language/schema/raw/master/csl-citation.json"}</w:instrText>
      </w:r>
      <w:r w:rsidR="00930A6E" w:rsidRPr="00020ACD">
        <w:fldChar w:fldCharType="separate"/>
      </w:r>
      <w:r w:rsidR="00930A6E" w:rsidRPr="00020ACD">
        <w:rPr>
          <w:noProof/>
        </w:rPr>
        <w:t>(Bryan &amp; Jenkins, 2016; Na et al., 2010)</w:t>
      </w:r>
      <w:r w:rsidR="00930A6E" w:rsidRPr="00020ACD">
        <w:fldChar w:fldCharType="end"/>
      </w:r>
      <w:r w:rsidR="00930A6E" w:rsidRPr="00020ACD">
        <w:t>.</w:t>
      </w:r>
      <w:r w:rsidR="00930A6E">
        <w:t xml:space="preserve">  </w:t>
      </w:r>
    </w:p>
    <w:p w14:paraId="2A6FE59B" w14:textId="39449E60" w:rsidR="00B86688" w:rsidRPr="008F4CB2" w:rsidRDefault="00072860" w:rsidP="008F4CB2">
      <w:pPr>
        <w:spacing w:before="120" w:line="480" w:lineRule="auto"/>
        <w:ind w:firstLine="720"/>
      </w:pPr>
      <w:r w:rsidRPr="00072860">
        <w:t xml:space="preserve">It is worth noting that the mediation effect (perceived wealth gap on MES scores, via generalized trust) emerged only when exploring one form of inequality—the perceived wealth gap between the rich and the poor. The perceived Gini and the country-level Gini coefficient did not relate to MES or generalized trust. This may be because the three inequality measures are not identical constructs; while country-level Gini and perceived Gini were moderately correlated, the relationship between those two variables and the perceived wealth gap was small. The perceived wealth gap variable defines inequality as the comparison of the wealth owned by the richest to the poorest but ignores the middle class. Instead, both Gini coefficients calculate inequality based on the </w:t>
      </w:r>
      <w:r w:rsidRPr="00072860">
        <w:rPr>
          <w:i/>
          <w:iCs/>
        </w:rPr>
        <w:t>entire</w:t>
      </w:r>
      <w:r w:rsidRPr="00072860">
        <w:t xml:space="preserve"> wealth distribution. It may be specifically the distance between the poorest and richest that matters most for trust in society and the size of people’s moral worlds. In addition, people may not accurately or easily estimate how wealth is distributed in society using numerals</w:t>
      </w:r>
      <w:r>
        <w:t xml:space="preserve"> </w:t>
      </w:r>
      <w:r w:rsidR="00274061">
        <w:fldChar w:fldCharType="begin" w:fldLock="1"/>
      </w:r>
      <w:r w:rsidR="00274061">
        <w:instrText>ADDIN CSL_CITATION {"citationItems":[{"id":"ITEM-1","itemData":{"DOI":"10.31234/osf.io/vawh9","author":[{"dropping-particle":"","family":"Phillips","given":"L. T.","non-dropping-particle":"","parse-names":false,"suffix":""},{"dropping-particle":"","family":"Tepper","given":"S. J.","non-dropping-particle":"","parse-names":false,"suffix":""},{"dropping-particle":"","family":"Goya-Tocchetto","given":"D.","non-dropping-particle":"","parse-names":false,"suffix":""},{"dropping-particle":"","family":"Davidai","given":"S.","non-dropping-particle":"","parse-names":false,"suffix":""},{"dropping-particle":"","family":"Ordabayeva","given":"N.","non-dropping-particle":"","parse-names":false,"suffix":""},{"dropping-particle":"","family":"Mirza","given":"M . U.","non-dropping-particle":"","parse-names":false,"suffix":""},{"dropping-particle":"","family":"Szaszi","given":"B.","non-dropping-particle":"","parse-names":false,"suffix":""},{"dropping-particle":"V.","family":"Day","given":"M.","non-dropping-particle":"","parse-names":false,"suffix":""},{"dropping-particle":"","family":"Hauser","given":"O. P.","non-dropping-particle":"","parse-names":false,"suffix":""},{"dropping-particle":"","family":"Jachimowicz","given":"J. M.","non-dropping-particle":"","parse-names":false,"suffix":""}],"container-title":"PsyArXiv","id":"ITEM-1","issued":{"date-parts":[["2020"]]},"title":"Inequality in People’s Minds","type":"article-journal"},"uris":["http://www.mendeley.com/documents/?uuid=e0f587bc-d0ca-45fc-9017-591c62f50cb2"]}],"mendeley":{"formattedCitation":"(Phillips et al., 2020)","plainTextFormattedCitation":"(Phillips et al., 2020)","previouslyFormattedCitation":"(Phillips et al., 2020)"},"properties":{"noteIndex":0},"schema":"https://github.com/citation-style-language/schema/raw/master/csl-citation.json"}</w:instrText>
      </w:r>
      <w:r w:rsidR="00274061">
        <w:fldChar w:fldCharType="separate"/>
      </w:r>
      <w:r w:rsidR="00274061" w:rsidRPr="003716F9">
        <w:rPr>
          <w:noProof/>
        </w:rPr>
        <w:t>(Phillips et al., 2020)</w:t>
      </w:r>
      <w:r w:rsidR="00274061">
        <w:fldChar w:fldCharType="end"/>
      </w:r>
      <w:r w:rsidR="00274061">
        <w:t xml:space="preserve">, </w:t>
      </w:r>
      <w:r w:rsidRPr="00072860">
        <w:t>and instead judging the gap between the rich and the poor may be more intuitive for participants compared with distribution estimates (i.e., the Gini coefficient).</w:t>
      </w:r>
    </w:p>
    <w:p w14:paraId="225BA1EC" w14:textId="45CF93E2" w:rsidR="00A90C3B" w:rsidRDefault="00072860" w:rsidP="00BB0FB9">
      <w:pPr>
        <w:spacing w:before="120" w:line="480" w:lineRule="auto"/>
        <w:ind w:firstLine="720"/>
      </w:pPr>
      <w:r w:rsidRPr="00072860">
        <w:t>The current work is a novel and important step in our understanding of how societal factors may affect human morality. Past work has discussed how moral circles may have expanded historically, and this may be due to a rise in our capacity for reason and enlightenment ideals</w:t>
      </w:r>
      <w:r>
        <w:t xml:space="preserve"> </w:t>
      </w:r>
      <w:r w:rsidR="007E22B7">
        <w:fldChar w:fldCharType="begin" w:fldLock="1"/>
      </w:r>
      <w:r w:rsidR="007473DC">
        <w:instrText>ADDIN CSL_CITATION {"citationItems":[{"id":"ITEM-1","itemData":{"author":[{"dropping-particle":"","family":"Pinker","given":"Stephen","non-dropping-particle":"","parse-names":false,"suffix":""}],"id":"ITEM-1","issued":{"date-parts":[["2011"]]},"publisher":"Viking","publisher-place":"New York, NY","title":"The better angels of our nature: Why violence has declined","type":"book"},"uris":["http://www.mendeley.com/documents/?uuid=3f54b441-11b7-4697-bb32-2476f11b762d"]},{"id":"ITEM-2","itemData":{"author":[{"dropping-particle":"","family":"Singer","given":"Peter","non-dropping-particle":"","parse-names":false,"suffix":""}],"id":"ITEM-2","issued":{"date-parts":[["1981"]]},"publisher":"Farrar, Straus &amp; Giroux","publisher-place":"New York; NY","title":"The expanding circle: Ethics and sociobiology","type":"book"},"uris":["http://www.mendeley.com/documents/?uuid=f469a166-4887-4be9-bbfa-b225aba04d6a"]}],"mendeley":{"formattedCitation":"(Pinker, 2011; Singer, 1981)","plainTextFormattedCitation":"(Pinker, 2011; Singer, 1981)","previouslyFormattedCitation":"(Pinker, 2011; Singer, 1981)"},"properties":{"noteIndex":0},"schema":"https://github.com/citation-style-language/schema/raw/master/csl-citation.json"}</w:instrText>
      </w:r>
      <w:r w:rsidR="007E22B7">
        <w:fldChar w:fldCharType="separate"/>
      </w:r>
      <w:r w:rsidR="007E22B7" w:rsidRPr="007E22B7">
        <w:rPr>
          <w:noProof/>
        </w:rPr>
        <w:t>(Pinker, 2011; Singer, 1981)</w:t>
      </w:r>
      <w:r w:rsidR="007E22B7">
        <w:fldChar w:fldCharType="end"/>
      </w:r>
      <w:r w:rsidR="007E22B7">
        <w:t xml:space="preserve">. </w:t>
      </w:r>
      <w:r w:rsidRPr="00072860">
        <w:t>Recent empirical work has also suggested more expansive moral circles are related to liberal political orientations</w:t>
      </w:r>
      <w:r>
        <w:t xml:space="preserve"> </w:t>
      </w:r>
      <w:r w:rsidR="007473DC">
        <w:fldChar w:fldCharType="begin" w:fldLock="1"/>
      </w:r>
      <w:r w:rsidR="007473DC">
        <w:instrText>ADDIN CSL_CITATION {"citationItems":[{"id":"ITEM-1","itemData":{"DOI":"10.1038/s41467-019-12227-0","ISSN":"20411723","PMID":"31558713","abstract":"Do clashes between ideologies reflect policy differences or something more fundamental? The present research suggests they reflect core psychological differences such that liberals express compassion toward less structured and more encompassing entities (i.e., universalism), whereas conservatives express compassion toward more well-defined and less encompassing entities (i.e., parochialism). Here we report seven studies illustrating universalist versus parochial differences in compassion. Studies 1a-1c show that liberals, relative to conservatives, express greater moral concern toward friends relative to family, and the world relative to the nation. Studies 2a-2b demonstrate these universalist versus parochial preferences extend toward simple shapes depicted as proxies for loose versus tight social circles. Using stimuli devoid of political relevance demonstrates that the universalist-parochialist distinction does not simply reflect differing policy preferences. Studies 3a-3b indicate these universalist versus parochial tendencies extend to humans versus nonhumans more generally, demonstrating the breadth of these psychological differences.","author":[{"dropping-particle":"","family":"Waytz","given":"Adam","non-dropping-particle":"","parse-names":false,"suffix":""},{"dropping-particle":"","family":"Iyer","given":"Ravi","non-dropping-particle":"","parse-names":false,"suffix":""},{"dropping-particle":"","family":"Young","given":"Liane","non-dropping-particle":"","parse-names":false,"suffix":""},{"dropping-particle":"","family":"Haidt","given":"Jonathan","non-dropping-particle":"","parse-names":false,"suffix":""},{"dropping-particle":"","family":"Graham","given":"Jesse","non-dropping-particle":"","parse-names":false,"suffix":""}],"container-title":"Nature Communications","id":"ITEM-1","issue":"1","issued":{"date-parts":[["2019"]]},"publisher":"Springer US","title":"Ideological differences in the expanse of the moral circle","type":"article-journal","volume":"10"},"uris":["http://www.mendeley.com/documents/?uuid=ca6f8253-0ebe-4af5-9fe4-b831b7e90683"]}],"mendeley":{"formattedCitation":"(Waytz et al., 2019)","plainTextFormattedCitation":"(Waytz et al., 2019)","previouslyFormattedCitation":"(Waytz et al., 2019)"},"properties":{"noteIndex":0},"schema":"https://github.com/citation-style-language/schema/raw/master/csl-citation.json"}</w:instrText>
      </w:r>
      <w:r w:rsidR="007473DC">
        <w:fldChar w:fldCharType="separate"/>
      </w:r>
      <w:r w:rsidR="007473DC" w:rsidRPr="007473DC">
        <w:rPr>
          <w:noProof/>
        </w:rPr>
        <w:t>(Waytz et al., 2019)</w:t>
      </w:r>
      <w:r w:rsidR="007473DC">
        <w:fldChar w:fldCharType="end"/>
      </w:r>
      <w:r w:rsidR="008F12EE">
        <w:t>,</w:t>
      </w:r>
      <w:r w:rsidR="007E22B7">
        <w:t xml:space="preserve"> </w:t>
      </w:r>
      <w:r w:rsidRPr="00072860">
        <w:t xml:space="preserve">as well as enhanced empathy and more prosocial </w:t>
      </w:r>
      <w:proofErr w:type="spellStart"/>
      <w:r w:rsidRPr="00072860">
        <w:t>behavior</w:t>
      </w:r>
      <w:proofErr w:type="spellEnd"/>
      <w:r>
        <w:t xml:space="preserve"> </w:t>
      </w:r>
      <w:r w:rsidR="007473DC">
        <w:fldChar w:fldCharType="begin" w:fldLock="1"/>
      </w:r>
      <w:r w:rsidR="005A3F3C">
        <w:instrText>ADDIN CSL_CITATION {"citationItems":[{"id":"ITEM-1","itemData":{"DOI":"10.1037/pspp0000086","ISSN":"00223514","abstract":"The nature of our moral judgments-and the extent to which we treat others with care-depend in part on the distinctions we make between entities deemed worthy or unworthy of moral consideration- our moral boundaries. Philosophers, historians, and social scientists have noted that people's moral boundaries have expanded over the last few centuries, but the notion of moral expansiveness has received limited empirical attention in psychology. This research explores variations in the size of individuals' moral boundaries using the psychological construct of moral expansiveness and introduces the Moral Expansiveness Scale (MES), designed to capture this variation. Across 6 studies, we established the reliability, convergent validity, and predictive validity of the MES. Moral expansiveness was related (but not reducible) to existing moral constructs (moral foundations, moral identity, \"moral\" universalism values), predictors of moral standing (moral patiency and warmth), and other constructs associated with concern for others (empathy, identification with humanity, connectedness to nature, and social responsibility). Importantly, the MES uniquely predicted willingness to engage in prosocial intentions and behaviors at personal cost independently of these established constructs. Specifically, the MES uniquely predicted willingness to prioritize humanitarian and environmental concerns over personal and national self-interest, willingness to sacrifice one's life to save others (ranging from human out-groups to animals and plants), and volunteering behavior. Results demonstrate that moral expansiveness is a distinct and important factor in understanding moral judgments and their consequences.","author":[{"dropping-particle":"","family":"Crimston","given":"Charlie R.","non-dropping-particle":"","parse-names":false,"suffix":""},{"dropping-particle":"","family":"Bain","given":"Paul G.","non-dropping-particle":"","parse-names":false,"suffix":""},{"dropping-particle":"","family":"Hornsey","given":"Matthew J.","non-dropping-particle":"","parse-names":false,"suffix":""},{"dropping-particle":"","family":"Bastian","given":"Brock","non-dropping-particle":"","parse-names":false,"suffix":""}],"container-title":"Journal of Personality and Social Psychology","id":"ITEM-1","issue":"4","issued":{"date-parts":[["2016"]]},"page":"636-653","title":"Moral expansiveness: Examining variability in the extension of the moral world","type":"article-journal","volume":"111"},"uris":["http://www.mendeley.com/documents/?uuid=28916110-d677-4bc1-ba17-de2fe5b04886"]}],"mendeley":{"formattedCitation":"(Crimston et al., 2016)","plainTextFormattedCitation":"(Crimston et al., 2016)","previouslyFormattedCitation":"(Crimston et al., 2016)"},"properties":{"noteIndex":0},"schema":"https://github.com/citation-style-language/schema/raw/master/csl-citation.json"}</w:instrText>
      </w:r>
      <w:r w:rsidR="007473DC">
        <w:fldChar w:fldCharType="separate"/>
      </w:r>
      <w:r w:rsidR="007473DC" w:rsidRPr="007473DC">
        <w:rPr>
          <w:noProof/>
        </w:rPr>
        <w:t>(Crimston et al., 2016)</w:t>
      </w:r>
      <w:r w:rsidR="007473DC">
        <w:fldChar w:fldCharType="end"/>
      </w:r>
      <w:r w:rsidR="007473DC">
        <w:t>.</w:t>
      </w:r>
      <w:r w:rsidR="007E22B7">
        <w:t xml:space="preserve"> </w:t>
      </w:r>
      <w:r w:rsidRPr="00072860">
        <w:t xml:space="preserve">However, until now, little work has established how perceptions of societal factors relate to differences between moral circles in current times. In addition, we have also presented the first cross-national analysis of the expansion of our moral world in a large and diverse multinational </w:t>
      </w:r>
      <w:r w:rsidRPr="00072860">
        <w:lastRenderedPageBreak/>
        <w:t>dataset, allowing us to have more confidence that our results are generalizable beyond WEIRD (Western, Educated, Industrialized, Rich, Democratic) samples</w:t>
      </w:r>
      <w:r w:rsidR="007473DC">
        <w:t xml:space="preserve"> </w:t>
      </w:r>
      <w:r w:rsidR="007473DC">
        <w:fldChar w:fldCharType="begin" w:fldLock="1"/>
      </w:r>
      <w:r>
        <w:instrText>ADDIN CSL_CITATION {"citationItems":[{"id":"ITEM-1","itemData":{"DOI":"10.1017/S0140525X0999152X","ISBN":"1469-1825","ISSN":"14691825","PMID":"20550733","abstract":"Behavioral scientists routinely publish broad claims about human psychology and behavior in the world's top journals based on samples drawn entirely from Western, Educated, Industrialized, Rich, and Democratic (WEIRD) societies. Researchers-often implicitly-assume that either there is little variation across human populations, or that these standard subjects are as representative of the species as any other population. Are these assumptions justified? Here, our review of the comparative database from across the behavioral sciences suggests both that there is substantial variability in experimental results across populations and that WEIRD subjects are particularly unusual compared with the rest of the species-frequent outliers. The domains reviewed include visual perception, fairness, cooperation, spatial reasoning, categorization and inferential induction, moral reasoning, reasoning styles, self-concepts and related motivations, and the heritability of IQ. The findings suggest that members of WEIRD societies, including young children, are among the least representative populations one could find for generalizing about humans. Many of these findings involve domains that are associated with fundamental aspects of psychology, motivation, and behavior-hence, there are no obvious a priori grounds for claiming that a particular behavioral phenomenon is universal based on sampling from a single subpopulation. Overall, these empirical patterns suggests that we need to be less cavalier in addressing questions of human nature on the basis of data drawn from this particularly thin, and rather unusual, slice of humanity. We close by proposing ways to structurally re-organize the behavioral sciences to best tackle these challenges. Copyright © Cambridge University Press 2010.","author":[{"dropping-particle":"","family":"Henrich","given":"Joseph","non-dropping-particle":"","parse-names":false,"suffix":""},{"dropping-particle":"","family":"Heine","given":"Steven J.","non-dropping-particle":"","parse-names":false,"suffix":""},{"dropping-particle":"","family":"Norenzayan","given":"Ara","non-dropping-particle":"","parse-names":false,"suffix":""}],"container-title":"Behavioral and Brain Sciences","id":"ITEM-1","issue":"2-3","issued":{"date-parts":[["2010"]]},"page":"61-83","publisher":"UQ Library","title":"The weirdest people in the world?","type":"article-journal","volume":"33"},"uris":["http://www.mendeley.com/documents/?uuid=f0b72419-29db-4024-8b53-dccc74191ddb"]}],"mendeley":{"formattedCitation":"(Henrich et al., 2010)","plainTextFormattedCitation":"(Henrich et al., 2010)","previouslyFormattedCitation":"(Henrich et al., 2010)"},"properties":{"noteIndex":0},"schema":"https://github.com/citation-style-language/schema/raw/master/csl-citation.json"}</w:instrText>
      </w:r>
      <w:r w:rsidR="007473DC">
        <w:fldChar w:fldCharType="separate"/>
      </w:r>
      <w:r w:rsidR="007473DC" w:rsidRPr="007473DC">
        <w:rPr>
          <w:noProof/>
        </w:rPr>
        <w:t>(Henrich et al., 2010)</w:t>
      </w:r>
      <w:r w:rsidR="007473DC">
        <w:fldChar w:fldCharType="end"/>
      </w:r>
      <w:r w:rsidR="007473DC">
        <w:t xml:space="preserve">.  </w:t>
      </w:r>
    </w:p>
    <w:p w14:paraId="35BD3A89" w14:textId="77777777" w:rsidR="00072860" w:rsidRDefault="00072860" w:rsidP="00FA45F2">
      <w:pPr>
        <w:spacing w:before="120" w:line="480" w:lineRule="auto"/>
        <w:ind w:firstLine="720"/>
        <w:contextualSpacing/>
      </w:pPr>
      <w:r w:rsidRPr="00072860">
        <w:t>Despite these strengths, the current study has several shortcomings. First, the findings are correlational, making it difficult to establish causality. In the absence of experimental work, it remains plausible that having a larger moral circle makes one more likely to trust others and be more aware of inequality in the environment. Prior research has successfully manipulated inequality</w:t>
      </w:r>
      <w:r>
        <w:t xml:space="preserve"> </w:t>
      </w:r>
      <w:r w:rsidR="00BC1429">
        <w:fldChar w:fldCharType="begin" w:fldLock="1"/>
      </w:r>
      <w:r w:rsidR="0016535D">
        <w:instrText>ADDIN CSL_CITATION {"citationItems":[{"id":"ITEM-1","itemData":{"DOI":"10.1002/ejsp.2557","ISBN":"1437-7772 (Electronic) 1341-9625 (Linking)","ISSN":"00462772","PMID":"22127347","abstract":"BACKGROUND: We have previously reported that the combination of low-dose (5.9 mg/kg/dose) irinotecan (CPT-11) and simultaneous low-dose (5 mg/kg/dose) celecoxib, a cyclooxygenase-2 inhibitor, administered for 20 consecutive days, had synergistic antitumor activity against human neuroblastoma xenografts in mice. Possible further antitumor efficacy of lower-dose and longer-term CPT-11 combined with simultaneous low-dose celecoxib was investigated for chemosensitive TNB9 and multi-drug resistant TS-N-2nu neuroblastoma xenografts. METHODS: The time from initiation of drug treatment to tumor regrowth, tumor doubling time, and body weight change of mice were evaluated between treatments with lower-dose (3 mg/kg/dose) CPT-11 alone and the combination of the two drugs for 60 consecutive days. Induction of apoptosis and autophagy during treatments were analyzed by immunoblotting, real-time quantitative RT-PCR, TUNEL assay, and immunohistochemistry. RESULTS: The combination of the two drugs administered for 60 consecutive days resulted in a significantly longer time to tumor regrowth (p &lt; 0.011) and longer tumor doubling time (p &lt; 0.013) in both xenografts than for the lower-dose CPT-11 therapy alone, without substantial side effects in mice. In particular, five of six TNB9 tumors treated with the combination of the two drugs showed no regrowth even 120 or 150 days after the initiation of therapy. The combined treatment suppressed the induction of autophagy leading to apoptosis in TNB9 tumors, and induced autophagy to enhance the antitumor effect in TS-N-2nu tumors. CONCLUSION: Our findings demonstrate that lower-dose and longer-term CPT-11 treatment in combination with simultaneous low-dose celecoxib enhances antitumor activity and can successfully eradicate most of the neuroblastoma xenografts.","author":[{"dropping-particle":"","family":"Sánchez-Rodríguez","given":"Ángel","non-dropping-particle":"","parse-names":false,"suffix":""},{"dropping-particle":"","family":"Willis","given":"Guillermo B.","non-dropping-particle":"","parse-names":false,"suffix":""},{"dropping-particle":"","family":"Jetten","given":"Jolanda","non-dropping-particle":"","parse-names":false,"suffix":""},{"dropping-particle":"","family":"Rodríguez-Bailón","given":"Rosa","non-dropping-particle":"","parse-names":false,"suffix":""}],"container-title":"European Journal of Social Psychology","id":"ITEM-1","issue":"6","issued":{"date-parts":[["2018"]]},"page":"1114-1127","title":"Economic inequality enhances inferences that the normative climate is individualistic and competitive","type":"article-journal","volume":"49"},"uris":["http://www.mendeley.com/documents/?uuid=301a53a1-0ca6-4500-ae74-66f0d8cc3eb8"]},{"id":"ITEM-2","itemData":{"DOI":"10.1073/pnas.1511536112","ISBN":"0146-7239","ISSN":"0027-8424","PMID":"26598668","abstract":"Research on social class and generosity suggests that higher-income individuals are less generous than poorer individuals. We propose that this pattern emerges only under conditions of high economic inequality, contexts that can foster a sense of entitlement among higher-income individuals that, in turn, reduces their generosity. Analyzing results of a unique nationally representative survey that included a real-stakes giving opportunity (n = 1,498), we found that in the most unequal US states, higher-income respondents were less generous than lower-income respondents. In the least unequal states, however, higher-income individuals were more generous. To better establish causality, we next conducted an experiment (n = 704) in which apparent levels of economic inequality in participants’ home states were portrayed as either relatively high or low. Participants were then presented with a giving opportunity. Higher-income participants were less generous than lower-income participants when inequality was portrayed as relatively high, but there was no association between income and generosity when inequality was portrayed as relatively low. This research finds that the tendency for higher-income individuals to be less generous pertains only when inequality is high, challenging the view that higher-income individuals are necessarily more selfish, and suggesting a previously undocumented way in which inequitable resource distributions undermine collective welfare.","author":[{"dropping-particle":"","family":"Côté","given":"Stéphane","non-dropping-particle":"","parse-names":false,"suffix":""},{"dropping-particle":"","family":"House","given":"Julian","non-dropping-particle":"","parse-names":false,"suffix":""},{"dropping-particle":"","family":"Willer","given":"Robb","non-dropping-particle":"","parse-names":false,"suffix":""}],"container-title":"Proceedings of the National Academy of Sciences","id":"ITEM-2","issue":"52","issued":{"date-parts":[["2015"]]},"page":"15838-15843","title":"High economic inequality leads higher-income individuals to be less generous","type":"article-journal","volume":"112"},"uris":["http://www.mendeley.com/documents/?uuid=e5df0403-bdcd-4b6c-bdd9-ea1a90bb7f9f"]},{"id":"ITEM-3","itemData":{"DOI":"10.1177/0956797619875472","ISSN":"14679280","PMID":"31566081","abstract":"Societal inequality has been found to harm the mental and physical health of its members and undermine overall social cohesion. Here, we tested the hypothesis that economic inequality is associated with a wish for a strong leader in a study involving 28 countries from five continents (Study 1, N = 6,112), a study involving an Australian community sample (Study 2, N = 515), and two experiments (Study 3a, N = 96; Study 3b, N = 296). We found correlational (Studies 1 and 2) and experimental (Studies 3a and 3b) evidence for our prediction that higher inequality enhances the wish for a strong leader. We also found that this relationship is mediated by perceptions of anomie, except in the case of objective inequality in Study 1. This suggests that societal inequality enhances the perception that society is breaking down (anomie) and that a strong leader is needed to restore order (even when that leader is willing to challenge democratic values).","author":[{"dropping-particle":"","family":"Sprong","given":"Stefanie","non-dropping-particle":"","parse-names":false,"suffix":""},{"dropping-particle":"","family":"Jetten","given":"Jolanda","non-dropping-particle":"","parse-names":false,"suffix":""},{"dropping-particle":"","family":"Wang","given":"Zhechen","non-dropping-particle":"","parse-names":false,"suffix":""},{"dropping-particle":"","family":"Peters","given":"Kim","non-dropping-particle":"","parse-names":false,"suffix":""},{"dropping-particle":"","family":"Mols","given":"Frank","non-dropping-particle":"","parse-names":false,"suffix":""},{"dropping-particle":"","family":"Verkuyten","given":"Maykel","non-dropping-particle":"","parse-names":false,"suffix":""},{"dropping-particle":"","family":"Bastian","given":"Brock","non-dropping-particle":"","parse-names":false,"suffix":""},{"dropping-particle":"","family":"Ariyanto","given":"Amarina","non-dropping-particle":"","parse-names":false,"suffix":""},{"dropping-particle":"","family":"Autin","given":"Frédérique","non-dropping-particle":"","parse-names":false,"suffix":""},{"dropping-particle":"","family":"Ayub","given":"Nadia","non-dropping-particle":"","parse-names":false,"suffix":""},{"dropping-particle":"","family":"Badea","given":"Constantina","non-dropping-particle":"","parse-names":false,"suffix":""},{"dropping-particle":"","family":"Besta","given":"Tomasz","non-dropping-particle":"","parse-names":false,"suffix":""},{"dropping-particle":"","family":"Butera","given":"Fabrizio","non-dropping-particle":"","parse-names":false,"suffix":""},{"dropping-particle":"","family":"Costa-Lopes","given":"Rui","non-dropping-particle":"","parse-names":false,"suffix":""},{"dropping-particle":"","family":"Cui","given":"Lijuan","non-dropping-particle":"","parse-names":false,"suffix":""},{"dropping-particle":"","family":"Fantini","given":"Carole","non-dropping-particle":"","parse-names":false,"suffix":""},{"dropping-particle":"","family":"Finchilescu","given":"Gillian","non-dropping-particle":"","parse-names":false,"suffix":""},{"dropping-particle":"","family":"Gaertner","given":"Lowell","non-dropping-particle":"","parse-names":false,"suffix":""},{"dropping-particle":"","family":"Gollwitzer","given":"Mario","non-dropping-particle":"","parse-names":false,"suffix":""},{"dropping-particle":"","family":"Gómez","given":"Ángel","non-dropping-particle":"","parse-names":false,"suffix":""},{"dropping-particle":"","family":"González","given":"Roberto","non-dropping-particle":"","parse-names":false,"suffix":""},{"dropping-particle":"","family":"Hong","given":"Ying Yi","non-dropping-particle":"","parse-names":false,"suffix":""},{"dropping-particle":"","family":"Jensen","given":"Dorthe Høj","non-dropping-particle":"","parse-names":false,"suffix":""},{"dropping-particle":"","family":"Jasinskaja-Lahti","given":"Inga","non-dropping-particle":"","parse-names":false,"suffix":""},{"dropping-particle":"","family":"Karasawa","given":"Minoru","non-dropping-particle":"","parse-names":false,"suffix":""},{"dropping-particle":"","family":"Kessler","given":"Thomas","non-dropping-particle":"","parse-names":false,"suffix":""},{"dropping-particle":"","family":"Klein","given":"Olivier","non-dropping-particle":"","parse-names":false,"suffix":""},{"dropping-particle":"","family":"Lima","given":"Marcus","non-dropping-particle":"","parse-names":false,"suffix":""},{"dropping-particle":"","family":"Mégevand","given":"Laura","non-dropping-particle":"","parse-names":false,"suffix":""},{"dropping-particle":"","family":"Morton","given":"Thomas","non-dropping-particle":"","parse-names":false,"suffix":""},{"dropping-particle":"","family":"Paladino","given":"Paola","non-dropping-particle":"","parse-names":false,"suffix":""},{"dropping-particle":"","family":"Polya","given":"Tibor","non-dropping-particle":"","parse-names":false,"suffix":""},{"dropping-particle":"","family":"Renvik","given":"Tuuli Anna","non-dropping-particle":"","parse-names":false,"suffix":""},{"dropping-particle":"","family":"Ruza","given":"Aleksejs","non-dropping-particle":"","parse-names":false,"suffix":""},{"dropping-particle":"","family":"Shahrazad","given":"Wan","non-dropping-particle":"","parse-names":false,"suffix":""},{"dropping-particle":"","family":"Shama","given":"Sushama","non-dropping-particle":"","parse-names":false,"suffix":""},{"dropping-particle":"","family":"Smith","given":"Heather J.","non-dropping-particle":"","parse-names":false,"suffix":""},{"dropping-particle":"","family":"Torres","given":"Ana Raquel","non-dropping-particle":"","parse-names":false,"suffix":""},{"dropping-particle":"","family":"Bles","given":"Anne Marthe","non-dropping-particle":"van der","parse-names":false,"suffix":""},{"dropping-particle":"","family":"Wohl","given":"Michael J.A.","non-dropping-particle":"","parse-names":false,"suffix":""}],"container-title":"Psychological Science","id":"ITEM-3","issue":"11","issued":{"date-parts":[["2019"]]},"page":"1625-1637","title":"“Our country needs a strong leader right now”: Economic inequality enhances the wish for a strong leader","type":"article-journal","volume":"30"},"uris":["http://www.mendeley.com/documents/?uuid=d73985a6-ca55-43a4-8777-41d32ec26804"]}],"mendeley":{"formattedCitation":"(Côté et al., 2015; Sánchez-Rodríguez et al., 2018; Sprong et al., 2019)","plainTextFormattedCitation":"(Côté et al., 2015; Sánchez-Rodríguez et al., 2018; Sprong et al., 2019)","previouslyFormattedCitation":"(Côté et al., 2015; Sánchez-Rodríguez et al., 2018; Sprong et al., 2019)"},"properties":{"noteIndex":0},"schema":"https://github.com/citation-style-language/schema/raw/master/csl-citation.json"}</w:instrText>
      </w:r>
      <w:r w:rsidR="00BC1429">
        <w:fldChar w:fldCharType="separate"/>
      </w:r>
      <w:r w:rsidR="0066205E" w:rsidRPr="0066205E">
        <w:rPr>
          <w:noProof/>
        </w:rPr>
        <w:t>(Côté et al., 2015; Sánchez-Rodríguez et al., 2018; Sprong et al., 2019)</w:t>
      </w:r>
      <w:r w:rsidR="00BC1429">
        <w:fldChar w:fldCharType="end"/>
      </w:r>
      <w:r w:rsidR="00A90C3B">
        <w:t xml:space="preserve">, </w:t>
      </w:r>
      <w:r w:rsidRPr="00072860">
        <w:t xml:space="preserve">and future work should explore whether these manipulations affect moral expansiveness. In addition, we examined overall levels of moral expansiveness, and this approach does not reveal variations in concern for specific types of entities. That is, our analysis does not speak to </w:t>
      </w:r>
      <w:r w:rsidRPr="00072860">
        <w:rPr>
          <w:i/>
          <w:iCs/>
        </w:rPr>
        <w:t>which</w:t>
      </w:r>
      <w:r w:rsidRPr="00072860">
        <w:t xml:space="preserve"> entities one cares for and how this may be affected by societal factors. Future work may wish to examine how these factors affect moral concern for specific entities, such as outgroup members, criminals, or the environment.</w:t>
      </w:r>
    </w:p>
    <w:p w14:paraId="249F13A9" w14:textId="77777777" w:rsidR="00072860" w:rsidRPr="00072860" w:rsidRDefault="00072860" w:rsidP="00072860">
      <w:pPr>
        <w:spacing w:line="480" w:lineRule="auto"/>
        <w:ind w:firstLine="720"/>
      </w:pPr>
      <w:r w:rsidRPr="00072860">
        <w:t xml:space="preserve">There are also several aspects of the MES scale that may affect how participants respond. For one, the image of the concentric circles may result in participants making judgments of moral concern about each entity </w:t>
      </w:r>
      <w:r w:rsidRPr="00072860">
        <w:rPr>
          <w:i/>
          <w:iCs/>
        </w:rPr>
        <w:t>relative</w:t>
      </w:r>
      <w:r w:rsidRPr="00072860">
        <w:t xml:space="preserve"> to their judgment of other entities. Likewise, there are only four types of moral concern participants can categorize the 30 entities under. It remains unclear how responding might change if participants made absolute judgments of their moral concern for each entity and had a wider range of categories of concern. In addition, our findings may be driven by another third variable that relates to perceptions of inequality. To diminish this possibility, we controlled for variables that may be influencing perceptions of inequality, but our findings may still be affected by some other variable not accounted for. Finally, while we collected data from diverse cultures, the samples were obtained from university pools and disproportionately represented higher </w:t>
      </w:r>
      <w:r w:rsidRPr="00072860">
        <w:lastRenderedPageBreak/>
        <w:t>income countries. The current findings should be replicated in future research with more culturally representative and heterogeneous samples.</w:t>
      </w:r>
    </w:p>
    <w:p w14:paraId="4627C36E" w14:textId="77777777" w:rsidR="00072860" w:rsidRPr="00072860" w:rsidRDefault="00072860" w:rsidP="00072860">
      <w:pPr>
        <w:spacing w:line="480" w:lineRule="auto"/>
        <w:ind w:firstLine="720"/>
      </w:pPr>
      <w:r w:rsidRPr="00072860">
        <w:t>Throughout history, our concern has extended to other entities in ways that are otherwise unprecedented in the animal kingdom. However, until now, little research has explored what kinds of societal factors may influence differences between moral circles in modern times. Here, our aim was to examine how some of these factors, including generalized trust, anomie, and inequality, affect the size of our moral worlds. We found a novel link between lower generalized trust and reduced moral expansiveness. Moreover, we have provided initial evidence that due to its relationship with lower generalized trust, economic inequality may reduce the size of our moral worlds, but more work is needed to determine causality. The current study represents an important step in our understanding of how our societies may shape human morality.</w:t>
      </w:r>
    </w:p>
    <w:p w14:paraId="524486E6" w14:textId="4FC15006" w:rsidR="007860CF" w:rsidRPr="00460640" w:rsidRDefault="007860CF" w:rsidP="00460640">
      <w:pPr>
        <w:spacing w:before="120" w:line="480" w:lineRule="auto"/>
        <w:ind w:firstLine="720"/>
        <w:contextualSpacing/>
      </w:pPr>
      <w:r>
        <w:rPr>
          <w:b/>
          <w:bCs/>
        </w:rPr>
        <w:br w:type="page"/>
      </w:r>
    </w:p>
    <w:p w14:paraId="4877A089" w14:textId="707EF9DD" w:rsidR="0040625A" w:rsidRPr="00022EA3" w:rsidRDefault="0040625A" w:rsidP="0040625A">
      <w:pPr>
        <w:spacing w:line="480" w:lineRule="auto"/>
        <w:jc w:val="center"/>
        <w:rPr>
          <w:b/>
          <w:bCs/>
        </w:rPr>
      </w:pPr>
      <w:r w:rsidRPr="00022EA3">
        <w:rPr>
          <w:b/>
          <w:bCs/>
        </w:rPr>
        <w:lastRenderedPageBreak/>
        <w:t xml:space="preserve">References </w:t>
      </w:r>
    </w:p>
    <w:p w14:paraId="74527767" w14:textId="5E6DEAC5" w:rsidR="00072860" w:rsidRPr="00072860" w:rsidRDefault="00EA274F" w:rsidP="00072860">
      <w:pPr>
        <w:widowControl w:val="0"/>
        <w:autoSpaceDE w:val="0"/>
        <w:autoSpaceDN w:val="0"/>
        <w:adjustRightInd w:val="0"/>
        <w:spacing w:line="480" w:lineRule="auto"/>
        <w:ind w:left="480" w:hanging="480"/>
        <w:rPr>
          <w:noProof/>
          <w:lang w:val="en-GB"/>
        </w:rPr>
      </w:pPr>
      <w:r>
        <w:fldChar w:fldCharType="begin" w:fldLock="1"/>
      </w:r>
      <w:r>
        <w:instrText xml:space="preserve">ADDIN Mendeley Bibliography CSL_BIBLIOGRAPHY </w:instrText>
      </w:r>
      <w:r>
        <w:fldChar w:fldCharType="separate"/>
      </w:r>
      <w:r w:rsidR="00072860" w:rsidRPr="00072860">
        <w:rPr>
          <w:noProof/>
          <w:lang w:val="en-GB"/>
        </w:rPr>
        <w:t xml:space="preserve">Bates, D., Mächler, M., Bolker, B. M., &amp; Walker, S. C. (2015). Fitting linear mixed-effects models using lme4. </w:t>
      </w:r>
      <w:r w:rsidR="00072860" w:rsidRPr="00072860">
        <w:rPr>
          <w:i/>
          <w:iCs/>
          <w:noProof/>
          <w:lang w:val="en-GB"/>
        </w:rPr>
        <w:t>Journal of Statistical Software</w:t>
      </w:r>
      <w:r w:rsidR="00072860" w:rsidRPr="00072860">
        <w:rPr>
          <w:noProof/>
          <w:lang w:val="en-GB"/>
        </w:rPr>
        <w:t xml:space="preserve">, </w:t>
      </w:r>
      <w:r w:rsidR="00072860" w:rsidRPr="00072860">
        <w:rPr>
          <w:i/>
          <w:iCs/>
          <w:noProof/>
          <w:lang w:val="en-GB"/>
        </w:rPr>
        <w:t>67</w:t>
      </w:r>
      <w:r w:rsidR="00072860" w:rsidRPr="00072860">
        <w:rPr>
          <w:noProof/>
          <w:lang w:val="en-GB"/>
        </w:rPr>
        <w:t>(1), 1–48. https://doi.org/10.18637/jss.v067.i01</w:t>
      </w:r>
    </w:p>
    <w:p w14:paraId="1ABB8E9A"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Bloom, P. (2010). How do morals change? </w:t>
      </w:r>
      <w:r w:rsidRPr="00072860">
        <w:rPr>
          <w:i/>
          <w:iCs/>
          <w:noProof/>
          <w:lang w:val="en-GB"/>
        </w:rPr>
        <w:t>Nature</w:t>
      </w:r>
      <w:r w:rsidRPr="00072860">
        <w:rPr>
          <w:noProof/>
          <w:lang w:val="en-GB"/>
        </w:rPr>
        <w:t xml:space="preserve">, </w:t>
      </w:r>
      <w:r w:rsidRPr="00072860">
        <w:rPr>
          <w:i/>
          <w:iCs/>
          <w:noProof/>
          <w:lang w:val="en-GB"/>
        </w:rPr>
        <w:t>464</w:t>
      </w:r>
      <w:r w:rsidRPr="00072860">
        <w:rPr>
          <w:noProof/>
          <w:lang w:val="en-GB"/>
        </w:rPr>
        <w:t>(7288), 490. https://doi.org/10.1038/464490a</w:t>
      </w:r>
    </w:p>
    <w:p w14:paraId="285A57E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Bryan, M. L., &amp; Jenkins, S. P. (2016). Multilevel modelling of country effects: A cautionary tale. </w:t>
      </w:r>
      <w:r w:rsidRPr="00072860">
        <w:rPr>
          <w:i/>
          <w:iCs/>
          <w:noProof/>
          <w:lang w:val="en-GB"/>
        </w:rPr>
        <w:t>European Sociological Review</w:t>
      </w:r>
      <w:r w:rsidRPr="00072860">
        <w:rPr>
          <w:noProof/>
          <w:lang w:val="en-GB"/>
        </w:rPr>
        <w:t xml:space="preserve">, </w:t>
      </w:r>
      <w:r w:rsidRPr="00072860">
        <w:rPr>
          <w:i/>
          <w:iCs/>
          <w:noProof/>
          <w:lang w:val="en-GB"/>
        </w:rPr>
        <w:t>32</w:t>
      </w:r>
      <w:r w:rsidRPr="00072860">
        <w:rPr>
          <w:noProof/>
          <w:lang w:val="en-GB"/>
        </w:rPr>
        <w:t>(1), 3–22. https://doi.org/10.1093/esr/jcv059</w:t>
      </w:r>
    </w:p>
    <w:p w14:paraId="2CEA137A"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Côté, S., House, J., &amp; Willer, R. (2015). High economic inequality leads higher-income individuals to be less generous. </w:t>
      </w:r>
      <w:r w:rsidRPr="00072860">
        <w:rPr>
          <w:i/>
          <w:iCs/>
          <w:noProof/>
          <w:lang w:val="en-GB"/>
        </w:rPr>
        <w:t>Proceedings of the National Academy of Sciences</w:t>
      </w:r>
      <w:r w:rsidRPr="00072860">
        <w:rPr>
          <w:noProof/>
          <w:lang w:val="en-GB"/>
        </w:rPr>
        <w:t xml:space="preserve">, </w:t>
      </w:r>
      <w:r w:rsidRPr="00072860">
        <w:rPr>
          <w:i/>
          <w:iCs/>
          <w:noProof/>
          <w:lang w:val="en-GB"/>
        </w:rPr>
        <w:t>112</w:t>
      </w:r>
      <w:r w:rsidRPr="00072860">
        <w:rPr>
          <w:noProof/>
          <w:lang w:val="en-GB"/>
        </w:rPr>
        <w:t>(52), 15838–15843. https://doi.org/10.1073/pnas.1511536112</w:t>
      </w:r>
    </w:p>
    <w:p w14:paraId="2AFA06C3"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Crimston, C. R., Bain, P. G., Hornsey, M. J., &amp; Bastian, B. (2016). Moral expansiveness: Examining variability in the extension of the moral world. </w:t>
      </w:r>
      <w:r w:rsidRPr="00072860">
        <w:rPr>
          <w:i/>
          <w:iCs/>
          <w:noProof/>
          <w:lang w:val="en-GB"/>
        </w:rPr>
        <w:t>Journal of Personality and Social Psychology</w:t>
      </w:r>
      <w:r w:rsidRPr="00072860">
        <w:rPr>
          <w:noProof/>
          <w:lang w:val="en-GB"/>
        </w:rPr>
        <w:t xml:space="preserve">, </w:t>
      </w:r>
      <w:r w:rsidRPr="00072860">
        <w:rPr>
          <w:i/>
          <w:iCs/>
          <w:noProof/>
          <w:lang w:val="en-GB"/>
        </w:rPr>
        <w:t>111</w:t>
      </w:r>
      <w:r w:rsidRPr="00072860">
        <w:rPr>
          <w:noProof/>
          <w:lang w:val="en-GB"/>
        </w:rPr>
        <w:t>(4), 636–653. https://doi.org/10.1037/pspp0000086</w:t>
      </w:r>
    </w:p>
    <w:p w14:paraId="54E23FB4"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Crimston, C. R., Hornsey, M. J., Bain, P. G., &amp; Bastian, B. (2018a). Moral expansiveness short form: Validity and reliability of the MESx. </w:t>
      </w:r>
      <w:r w:rsidRPr="00072860">
        <w:rPr>
          <w:i/>
          <w:iCs/>
          <w:noProof/>
          <w:lang w:val="en-GB"/>
        </w:rPr>
        <w:t>PLoS ONE</w:t>
      </w:r>
      <w:r w:rsidRPr="00072860">
        <w:rPr>
          <w:noProof/>
          <w:lang w:val="en-GB"/>
        </w:rPr>
        <w:t xml:space="preserve">, </w:t>
      </w:r>
      <w:r w:rsidRPr="00072860">
        <w:rPr>
          <w:i/>
          <w:iCs/>
          <w:noProof/>
          <w:lang w:val="en-GB"/>
        </w:rPr>
        <w:t>13</w:t>
      </w:r>
      <w:r w:rsidRPr="00072860">
        <w:rPr>
          <w:noProof/>
          <w:lang w:val="en-GB"/>
        </w:rPr>
        <w:t>(10), 1–10. https://doi.org/10.1371/journal.pone.0205373</w:t>
      </w:r>
    </w:p>
    <w:p w14:paraId="06B2C69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Crimston, C. R., Hornsey, M. J., Bain, P. G., &amp; Bastian, B. (2018b). Toward a psychology of moral expansiveness. </w:t>
      </w:r>
      <w:r w:rsidRPr="00072860">
        <w:rPr>
          <w:i/>
          <w:iCs/>
          <w:noProof/>
          <w:lang w:val="en-GB"/>
        </w:rPr>
        <w:t>Current Directions in Psychological Science</w:t>
      </w:r>
      <w:r w:rsidRPr="00072860">
        <w:rPr>
          <w:noProof/>
          <w:lang w:val="en-GB"/>
        </w:rPr>
        <w:t xml:space="preserve">, </w:t>
      </w:r>
      <w:r w:rsidRPr="00072860">
        <w:rPr>
          <w:i/>
          <w:iCs/>
          <w:noProof/>
          <w:lang w:val="en-GB"/>
        </w:rPr>
        <w:t>27</w:t>
      </w:r>
      <w:r w:rsidRPr="00072860">
        <w:rPr>
          <w:noProof/>
          <w:lang w:val="en-GB"/>
        </w:rPr>
        <w:t>(1), 14–19. https://doi.org/10.1177/0963721417730888</w:t>
      </w:r>
    </w:p>
    <w:p w14:paraId="13786AEA"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Economist Intelligence Unit. (2019). </w:t>
      </w:r>
      <w:r w:rsidRPr="00072860">
        <w:rPr>
          <w:i/>
          <w:iCs/>
          <w:noProof/>
          <w:lang w:val="en-GB"/>
        </w:rPr>
        <w:t>Democracy Index 2019</w:t>
      </w:r>
      <w:r w:rsidRPr="00072860">
        <w:rPr>
          <w:noProof/>
          <w:lang w:val="en-GB"/>
        </w:rPr>
        <w:t>. https://www.eiu.com/topic/democracy-index</w:t>
      </w:r>
    </w:p>
    <w:p w14:paraId="0DAA5C5E"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Elgar, F. J. (2010). Income inequality, trust, and population health in 33 countries. </w:t>
      </w:r>
      <w:r w:rsidRPr="00072860">
        <w:rPr>
          <w:i/>
          <w:iCs/>
          <w:noProof/>
          <w:lang w:val="en-GB"/>
        </w:rPr>
        <w:t>American Journal of Public Health</w:t>
      </w:r>
      <w:r w:rsidRPr="00072860">
        <w:rPr>
          <w:noProof/>
          <w:lang w:val="en-GB"/>
        </w:rPr>
        <w:t xml:space="preserve">, </w:t>
      </w:r>
      <w:r w:rsidRPr="00072860">
        <w:rPr>
          <w:i/>
          <w:iCs/>
          <w:noProof/>
          <w:lang w:val="en-GB"/>
        </w:rPr>
        <w:t>100</w:t>
      </w:r>
      <w:r w:rsidRPr="00072860">
        <w:rPr>
          <w:noProof/>
          <w:lang w:val="en-GB"/>
        </w:rPr>
        <w:t>(11), 2311–2315. https://doi.org/10.2105/AJPH.2009.189134</w:t>
      </w:r>
    </w:p>
    <w:p w14:paraId="5BA62EF4"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lastRenderedPageBreak/>
        <w:t xml:space="preserve">Frank, M. W. (2014). A new state-level panel of annual inequality measures over the period 1916-2005. </w:t>
      </w:r>
      <w:r w:rsidRPr="00072860">
        <w:rPr>
          <w:i/>
          <w:iCs/>
          <w:noProof/>
          <w:lang w:val="en-GB"/>
        </w:rPr>
        <w:t>Journal of Business Strategies</w:t>
      </w:r>
      <w:r w:rsidRPr="00072860">
        <w:rPr>
          <w:noProof/>
          <w:lang w:val="en-GB"/>
        </w:rPr>
        <w:t xml:space="preserve">, </w:t>
      </w:r>
      <w:r w:rsidRPr="00072860">
        <w:rPr>
          <w:i/>
          <w:iCs/>
          <w:noProof/>
          <w:lang w:val="en-GB"/>
        </w:rPr>
        <w:t>31</w:t>
      </w:r>
      <w:r w:rsidRPr="00072860">
        <w:rPr>
          <w:noProof/>
          <w:lang w:val="en-GB"/>
        </w:rPr>
        <w:t>(1), 241–263.</w:t>
      </w:r>
    </w:p>
    <w:p w14:paraId="1164384F"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Glei, D. A., Goldman, N., &amp; Weinstein, M. (2018). Perception has its own reality: Subjective versus objective measures of economic distress. </w:t>
      </w:r>
      <w:r w:rsidRPr="00072860">
        <w:rPr>
          <w:i/>
          <w:iCs/>
          <w:noProof/>
          <w:lang w:val="en-GB"/>
        </w:rPr>
        <w:t>Population and Development Review</w:t>
      </w:r>
      <w:r w:rsidRPr="00072860">
        <w:rPr>
          <w:noProof/>
          <w:lang w:val="en-GB"/>
        </w:rPr>
        <w:t xml:space="preserve">, </w:t>
      </w:r>
      <w:r w:rsidRPr="00072860">
        <w:rPr>
          <w:i/>
          <w:iCs/>
          <w:noProof/>
          <w:lang w:val="en-GB"/>
        </w:rPr>
        <w:t>44</w:t>
      </w:r>
      <w:r w:rsidRPr="00072860">
        <w:rPr>
          <w:noProof/>
          <w:lang w:val="en-GB"/>
        </w:rPr>
        <w:t>(4), 695–722. https://doi.org/10.1111/padr.12183</w:t>
      </w:r>
    </w:p>
    <w:p w14:paraId="4CD0F73B"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Goodman, E., Adler, N. E., Kawachi, I., Frazier, A. L., Huang, B., &amp; Colditz, G. A. (2001). Adolescents’ perceptions of social status: Development and evaluation of a new indicator. </w:t>
      </w:r>
      <w:r w:rsidRPr="00072860">
        <w:rPr>
          <w:i/>
          <w:iCs/>
          <w:noProof/>
          <w:lang w:val="en-GB"/>
        </w:rPr>
        <w:t>Pediatrics</w:t>
      </w:r>
      <w:r w:rsidRPr="00072860">
        <w:rPr>
          <w:noProof/>
          <w:lang w:val="en-GB"/>
        </w:rPr>
        <w:t xml:space="preserve">, </w:t>
      </w:r>
      <w:r w:rsidRPr="00072860">
        <w:rPr>
          <w:i/>
          <w:iCs/>
          <w:noProof/>
          <w:lang w:val="en-GB"/>
        </w:rPr>
        <w:t>108</w:t>
      </w:r>
      <w:r w:rsidRPr="00072860">
        <w:rPr>
          <w:noProof/>
          <w:lang w:val="en-GB"/>
        </w:rPr>
        <w:t>(2), 1–8. https://doi.org/10.1542/peds.108.2.e31</w:t>
      </w:r>
    </w:p>
    <w:p w14:paraId="07A965AF"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Graham, J., Nosek, B. A., Haidt, J., Iyer, R., Koleva, S., &amp; Ditto, P. H. (2011). Mapping the moral domain. </w:t>
      </w:r>
      <w:r w:rsidRPr="00072860">
        <w:rPr>
          <w:i/>
          <w:iCs/>
          <w:noProof/>
          <w:lang w:val="en-GB"/>
        </w:rPr>
        <w:t>Journal of Personality and Social Psychology</w:t>
      </w:r>
      <w:r w:rsidRPr="00072860">
        <w:rPr>
          <w:noProof/>
          <w:lang w:val="en-GB"/>
        </w:rPr>
        <w:t xml:space="preserve">, </w:t>
      </w:r>
      <w:r w:rsidRPr="00072860">
        <w:rPr>
          <w:i/>
          <w:iCs/>
          <w:noProof/>
          <w:lang w:val="en-GB"/>
        </w:rPr>
        <w:t>101</w:t>
      </w:r>
      <w:r w:rsidRPr="00072860">
        <w:rPr>
          <w:noProof/>
          <w:lang w:val="en-GB"/>
        </w:rPr>
        <w:t>(2), 366–385. https://doi.org/10.1037/a0021847</w:t>
      </w:r>
    </w:p>
    <w:p w14:paraId="08AE967C"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Henrich, J., Heine, S. J., &amp; Norenzayan, A. (2010). The weirdest people in the world? </w:t>
      </w:r>
      <w:r w:rsidRPr="00072860">
        <w:rPr>
          <w:i/>
          <w:iCs/>
          <w:noProof/>
          <w:lang w:val="en-GB"/>
        </w:rPr>
        <w:t>Behavioral and Brain Sciences</w:t>
      </w:r>
      <w:r w:rsidRPr="00072860">
        <w:rPr>
          <w:noProof/>
          <w:lang w:val="en-GB"/>
        </w:rPr>
        <w:t xml:space="preserve">, </w:t>
      </w:r>
      <w:r w:rsidRPr="00072860">
        <w:rPr>
          <w:i/>
          <w:iCs/>
          <w:noProof/>
          <w:lang w:val="en-GB"/>
        </w:rPr>
        <w:t>33</w:t>
      </w:r>
      <w:r w:rsidRPr="00072860">
        <w:rPr>
          <w:noProof/>
          <w:lang w:val="en-GB"/>
        </w:rPr>
        <w:t>(2–3), 61–83. https://doi.org/10.1017/S0140525X0999152X</w:t>
      </w:r>
    </w:p>
    <w:p w14:paraId="2CCFD775"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Heydari, A., Teymoori, A., Haghish, E. F., &amp; Mohamadi, B. (2014). Influential factors on ethnocentrism: The effect of socioeconomic status, anomie, and authoritarianism. </w:t>
      </w:r>
      <w:r w:rsidRPr="00072860">
        <w:rPr>
          <w:i/>
          <w:iCs/>
          <w:noProof/>
          <w:lang w:val="en-GB"/>
        </w:rPr>
        <w:t>Social Science Information</w:t>
      </w:r>
      <w:r w:rsidRPr="00072860">
        <w:rPr>
          <w:noProof/>
          <w:lang w:val="en-GB"/>
        </w:rPr>
        <w:t xml:space="preserve">, </w:t>
      </w:r>
      <w:r w:rsidRPr="00072860">
        <w:rPr>
          <w:i/>
          <w:iCs/>
          <w:noProof/>
          <w:lang w:val="en-GB"/>
        </w:rPr>
        <w:t>53</w:t>
      </w:r>
      <w:r w:rsidRPr="00072860">
        <w:rPr>
          <w:noProof/>
          <w:lang w:val="en-GB"/>
        </w:rPr>
        <w:t>(2), 240–254. https://doi.org/10.1177/0539018413517521</w:t>
      </w:r>
    </w:p>
    <w:p w14:paraId="3C897720"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Jetten, J., Wang, Z., Steffens, N. K., Mols, F., Peters, K., &amp; Verkuyten, M. (2017). A social identity analysis of responses to economic inequality. </w:t>
      </w:r>
      <w:r w:rsidRPr="00072860">
        <w:rPr>
          <w:i/>
          <w:iCs/>
          <w:noProof/>
          <w:lang w:val="en-GB"/>
        </w:rPr>
        <w:t>Current Opinion in Psychology</w:t>
      </w:r>
      <w:r w:rsidRPr="00072860">
        <w:rPr>
          <w:noProof/>
          <w:lang w:val="en-GB"/>
        </w:rPr>
        <w:t xml:space="preserve">, </w:t>
      </w:r>
      <w:r w:rsidRPr="00072860">
        <w:rPr>
          <w:i/>
          <w:iCs/>
          <w:noProof/>
          <w:lang w:val="en-GB"/>
        </w:rPr>
        <w:t>18</w:t>
      </w:r>
      <w:r w:rsidRPr="00072860">
        <w:rPr>
          <w:noProof/>
          <w:lang w:val="en-GB"/>
        </w:rPr>
        <w:t>, 1–5. https://doi.org/10.1016/j.copsyc.2017.05.011</w:t>
      </w:r>
    </w:p>
    <w:p w14:paraId="00ABD56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Knell, M., &amp; Stix, H. (2020). Perceptions of inequality. </w:t>
      </w:r>
      <w:r w:rsidRPr="00072860">
        <w:rPr>
          <w:i/>
          <w:iCs/>
          <w:noProof/>
          <w:lang w:val="en-GB"/>
        </w:rPr>
        <w:t>European Journal of Political Economy</w:t>
      </w:r>
      <w:r w:rsidRPr="00072860">
        <w:rPr>
          <w:noProof/>
          <w:lang w:val="en-GB"/>
        </w:rPr>
        <w:t xml:space="preserve">, </w:t>
      </w:r>
      <w:r w:rsidRPr="00072860">
        <w:rPr>
          <w:i/>
          <w:iCs/>
          <w:noProof/>
          <w:lang w:val="en-GB"/>
        </w:rPr>
        <w:t>65</w:t>
      </w:r>
      <w:r w:rsidRPr="00072860">
        <w:rPr>
          <w:noProof/>
          <w:lang w:val="en-GB"/>
        </w:rPr>
        <w:t>, 101927. https://doi.org/10.1016/j.ejpoleco.2020.101927</w:t>
      </w:r>
    </w:p>
    <w:p w14:paraId="5B259A0B"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Legatum Institute. (2019). </w:t>
      </w:r>
      <w:r w:rsidRPr="00072860">
        <w:rPr>
          <w:i/>
          <w:iCs/>
          <w:noProof/>
          <w:lang w:val="en-GB"/>
        </w:rPr>
        <w:t>Legatum Prosperity Index</w:t>
      </w:r>
      <w:r w:rsidRPr="00072860">
        <w:rPr>
          <w:noProof/>
          <w:lang w:val="en-GB"/>
        </w:rPr>
        <w:t>. https://www.prosperity.com/rankings</w:t>
      </w:r>
    </w:p>
    <w:p w14:paraId="4C936D7D"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Meyer, C., Lohr, C., Gronenborn, D., &amp; Alt, K. W. (2015). The massacre mass grave of Schöneck-Kilianstädten reveals new insights into collective violence in Early Neolithic </w:t>
      </w:r>
      <w:r w:rsidRPr="00072860">
        <w:rPr>
          <w:noProof/>
          <w:lang w:val="en-GB"/>
        </w:rPr>
        <w:lastRenderedPageBreak/>
        <w:t xml:space="preserve">Central Europe. </w:t>
      </w:r>
      <w:r w:rsidRPr="00072860">
        <w:rPr>
          <w:i/>
          <w:iCs/>
          <w:noProof/>
          <w:lang w:val="en-GB"/>
        </w:rPr>
        <w:t>Proceedings of the National Academy of Sciences of the United States of America</w:t>
      </w:r>
      <w:r w:rsidRPr="00072860">
        <w:rPr>
          <w:noProof/>
          <w:lang w:val="en-GB"/>
        </w:rPr>
        <w:t xml:space="preserve">, </w:t>
      </w:r>
      <w:r w:rsidRPr="00072860">
        <w:rPr>
          <w:i/>
          <w:iCs/>
          <w:noProof/>
          <w:lang w:val="en-GB"/>
        </w:rPr>
        <w:t>112</w:t>
      </w:r>
      <w:r w:rsidRPr="00072860">
        <w:rPr>
          <w:noProof/>
          <w:lang w:val="en-GB"/>
        </w:rPr>
        <w:t>(36), 11217–11222. https://doi.org/10.1073/pnas.1504365112</w:t>
      </w:r>
    </w:p>
    <w:p w14:paraId="4EDC436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Na, J., Grossmann, I., Varnum, M. E. W., Kitayama, S., Gonzalez, R., &amp; Nisbett, R. E. (2010). Cultural differences are not always reducible to individual differences. </w:t>
      </w:r>
      <w:r w:rsidRPr="00072860">
        <w:rPr>
          <w:i/>
          <w:iCs/>
          <w:noProof/>
          <w:lang w:val="en-GB"/>
        </w:rPr>
        <w:t>Proceedings of the National Academy of Sciences of the United States of America</w:t>
      </w:r>
      <w:r w:rsidRPr="00072860">
        <w:rPr>
          <w:noProof/>
          <w:lang w:val="en-GB"/>
        </w:rPr>
        <w:t xml:space="preserve">, </w:t>
      </w:r>
      <w:r w:rsidRPr="00072860">
        <w:rPr>
          <w:i/>
          <w:iCs/>
          <w:noProof/>
          <w:lang w:val="en-GB"/>
        </w:rPr>
        <w:t>107</w:t>
      </w:r>
      <w:r w:rsidRPr="00072860">
        <w:rPr>
          <w:noProof/>
          <w:lang w:val="en-GB"/>
        </w:rPr>
        <w:t>(14), 6192–6197. https://doi.org/10.1073/pnas.1001911107</w:t>
      </w:r>
    </w:p>
    <w:p w14:paraId="7311BA73"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Nannestad, P. (2008). What have we learned about generalized trust, if anything? </w:t>
      </w:r>
      <w:r w:rsidRPr="00072860">
        <w:rPr>
          <w:i/>
          <w:iCs/>
          <w:noProof/>
          <w:lang w:val="en-GB"/>
        </w:rPr>
        <w:t>Annual Review of Political Science</w:t>
      </w:r>
      <w:r w:rsidRPr="00072860">
        <w:rPr>
          <w:noProof/>
          <w:lang w:val="en-GB"/>
        </w:rPr>
        <w:t xml:space="preserve">, </w:t>
      </w:r>
      <w:r w:rsidRPr="00072860">
        <w:rPr>
          <w:i/>
          <w:iCs/>
          <w:noProof/>
          <w:lang w:val="en-GB"/>
        </w:rPr>
        <w:t>11</w:t>
      </w:r>
      <w:r w:rsidRPr="00072860">
        <w:rPr>
          <w:noProof/>
          <w:lang w:val="en-GB"/>
        </w:rPr>
        <w:t>, 413–436. https://doi.org/10.1146/annurev.polisci.11.060606.135412</w:t>
      </w:r>
    </w:p>
    <w:p w14:paraId="0A2AC24B"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Norton, M. I., &amp; Ariely, D. (2011). Building a better America-one wealth quintile at a time. </w:t>
      </w:r>
      <w:r w:rsidRPr="00072860">
        <w:rPr>
          <w:i/>
          <w:iCs/>
          <w:noProof/>
          <w:lang w:val="en-GB"/>
        </w:rPr>
        <w:t>Perspectives on Psychological Science</w:t>
      </w:r>
      <w:r w:rsidRPr="00072860">
        <w:rPr>
          <w:noProof/>
          <w:lang w:val="en-GB"/>
        </w:rPr>
        <w:t xml:space="preserve">, </w:t>
      </w:r>
      <w:r w:rsidRPr="00072860">
        <w:rPr>
          <w:i/>
          <w:iCs/>
          <w:noProof/>
          <w:lang w:val="en-GB"/>
        </w:rPr>
        <w:t>6</w:t>
      </w:r>
      <w:r w:rsidRPr="00072860">
        <w:rPr>
          <w:noProof/>
          <w:lang w:val="en-GB"/>
        </w:rPr>
        <w:t>(1), 9–12. https://doi.org/10.1177/1745691610393524</w:t>
      </w:r>
    </w:p>
    <w:p w14:paraId="256C7C1B"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Oishi, S., Kesebir, S., &amp; Diener, E. (2011). Income inequality and happiness. </w:t>
      </w:r>
      <w:r w:rsidRPr="00072860">
        <w:rPr>
          <w:i/>
          <w:iCs/>
          <w:noProof/>
          <w:lang w:val="en-GB"/>
        </w:rPr>
        <w:t>Psychological Science</w:t>
      </w:r>
      <w:r w:rsidRPr="00072860">
        <w:rPr>
          <w:noProof/>
          <w:lang w:val="en-GB"/>
        </w:rPr>
        <w:t xml:space="preserve">, </w:t>
      </w:r>
      <w:r w:rsidRPr="00072860">
        <w:rPr>
          <w:i/>
          <w:iCs/>
          <w:noProof/>
          <w:lang w:val="en-GB"/>
        </w:rPr>
        <w:t>22</w:t>
      </w:r>
      <w:r w:rsidRPr="00072860">
        <w:rPr>
          <w:noProof/>
          <w:lang w:val="en-GB"/>
        </w:rPr>
        <w:t>(9), 1095–1100. https://doi.org/10.1177/0956797611417262</w:t>
      </w:r>
    </w:p>
    <w:p w14:paraId="4DE1EEE0"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Oshio, T., &amp; Urakawa, K. (2014). The association between perceived income inequality and subjective well-being: Evidence from a social survey in Japan. </w:t>
      </w:r>
      <w:r w:rsidRPr="00072860">
        <w:rPr>
          <w:i/>
          <w:iCs/>
          <w:noProof/>
          <w:lang w:val="en-GB"/>
        </w:rPr>
        <w:t>Social Indicators Research</w:t>
      </w:r>
      <w:r w:rsidRPr="00072860">
        <w:rPr>
          <w:noProof/>
          <w:lang w:val="en-GB"/>
        </w:rPr>
        <w:t xml:space="preserve">, </w:t>
      </w:r>
      <w:r w:rsidRPr="00072860">
        <w:rPr>
          <w:i/>
          <w:iCs/>
          <w:noProof/>
          <w:lang w:val="en-GB"/>
        </w:rPr>
        <w:t>116</w:t>
      </w:r>
      <w:r w:rsidRPr="00072860">
        <w:rPr>
          <w:noProof/>
          <w:lang w:val="en-GB"/>
        </w:rPr>
        <w:t>(3), 755–770. https://doi.org/10.1007/s11205-013-0323-x</w:t>
      </w:r>
    </w:p>
    <w:p w14:paraId="6F95E3C2"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Phillips, L. T., Tepper, S. J., Goya-Tocchetto, D., Davidai, S., Ordabayeva, N., Mirza, M. . U., Szaszi, B., Day, M. V., Hauser, O. P., &amp; Jachimowicz, J. M. (2020). Inequality in People’s Minds. </w:t>
      </w:r>
      <w:r w:rsidRPr="00072860">
        <w:rPr>
          <w:i/>
          <w:iCs/>
          <w:noProof/>
          <w:lang w:val="en-GB"/>
        </w:rPr>
        <w:t>PsyArXiv</w:t>
      </w:r>
      <w:r w:rsidRPr="00072860">
        <w:rPr>
          <w:noProof/>
          <w:lang w:val="en-GB"/>
        </w:rPr>
        <w:t>. https://doi.org/10.31234/osf.io/vawh9</w:t>
      </w:r>
    </w:p>
    <w:p w14:paraId="644F884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Pinker, S. (2011). </w:t>
      </w:r>
      <w:r w:rsidRPr="00072860">
        <w:rPr>
          <w:i/>
          <w:iCs/>
          <w:noProof/>
          <w:lang w:val="en-GB"/>
        </w:rPr>
        <w:t>The better angels of our nature: Why violence has declined</w:t>
      </w:r>
      <w:r w:rsidRPr="00072860">
        <w:rPr>
          <w:noProof/>
          <w:lang w:val="en-GB"/>
        </w:rPr>
        <w:t>. Viking.</w:t>
      </w:r>
    </w:p>
    <w:p w14:paraId="5A2B0C57"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R Core Team. (2008). R: A Language and Environment for Statistical Computing. Vol. 739. In </w:t>
      </w:r>
      <w:r w:rsidRPr="00072860">
        <w:rPr>
          <w:i/>
          <w:iCs/>
          <w:noProof/>
          <w:lang w:val="en-GB"/>
        </w:rPr>
        <w:t>R Foundation for Statistical Computing</w:t>
      </w:r>
      <w:r w:rsidRPr="00072860">
        <w:rPr>
          <w:noProof/>
          <w:lang w:val="en-GB"/>
        </w:rPr>
        <w:t>. https://doi.org/http://dx.doi.org/10.1007/978- 3-540-74686-7</w:t>
      </w:r>
    </w:p>
    <w:p w14:paraId="40854092"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Rotter, J. B. (1967). A new scale for the measurement of interpersonal trust. </w:t>
      </w:r>
      <w:r w:rsidRPr="00072860">
        <w:rPr>
          <w:i/>
          <w:iCs/>
          <w:noProof/>
          <w:lang w:val="en-GB"/>
        </w:rPr>
        <w:t xml:space="preserve">Journal of </w:t>
      </w:r>
      <w:r w:rsidRPr="00072860">
        <w:rPr>
          <w:i/>
          <w:iCs/>
          <w:noProof/>
          <w:lang w:val="en-GB"/>
        </w:rPr>
        <w:lastRenderedPageBreak/>
        <w:t>Personality</w:t>
      </w:r>
      <w:r w:rsidRPr="00072860">
        <w:rPr>
          <w:noProof/>
          <w:lang w:val="en-GB"/>
        </w:rPr>
        <w:t xml:space="preserve">, </w:t>
      </w:r>
      <w:r w:rsidRPr="00072860">
        <w:rPr>
          <w:i/>
          <w:iCs/>
          <w:noProof/>
          <w:lang w:val="en-GB"/>
        </w:rPr>
        <w:t>35</w:t>
      </w:r>
      <w:r w:rsidRPr="00072860">
        <w:rPr>
          <w:noProof/>
          <w:lang w:val="en-GB"/>
        </w:rPr>
        <w:t>(4), 651–665. https://doi.org/10.1111/j.1467-6494.1967.tb01454.x</w:t>
      </w:r>
    </w:p>
    <w:p w14:paraId="530AE825"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Rottman, J., Crimston, C. R., &amp; Syropoulos, S. (2021). Tree‐huggers versus human‐lovers: Anthropomorphism and dehumanization predict valuing mature over outgroups. </w:t>
      </w:r>
      <w:r w:rsidRPr="00072860">
        <w:rPr>
          <w:i/>
          <w:iCs/>
          <w:noProof/>
          <w:lang w:val="en-GB"/>
        </w:rPr>
        <w:t>Cognitive Science</w:t>
      </w:r>
      <w:r w:rsidRPr="00072860">
        <w:rPr>
          <w:noProof/>
          <w:lang w:val="en-GB"/>
        </w:rPr>
        <w:t xml:space="preserve">, </w:t>
      </w:r>
      <w:r w:rsidRPr="00072860">
        <w:rPr>
          <w:i/>
          <w:iCs/>
          <w:noProof/>
          <w:lang w:val="en-GB"/>
        </w:rPr>
        <w:t>45</w:t>
      </w:r>
      <w:r w:rsidRPr="00072860">
        <w:rPr>
          <w:noProof/>
          <w:lang w:val="en-GB"/>
        </w:rPr>
        <w:t>(4), 1–37. https://doi.org/10.1111/cogs.12967</w:t>
      </w:r>
    </w:p>
    <w:p w14:paraId="6478BBBD"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Rousseau, D. M., Sitkin, S. B., Burt, R. S., &amp; Camerer, C. (1998). Not so different after all: A cross-discipline view of trust. </w:t>
      </w:r>
      <w:r w:rsidRPr="00072860">
        <w:rPr>
          <w:i/>
          <w:iCs/>
          <w:noProof/>
          <w:lang w:val="en-GB"/>
        </w:rPr>
        <w:t>Academy of Management Review</w:t>
      </w:r>
      <w:r w:rsidRPr="00072860">
        <w:rPr>
          <w:noProof/>
          <w:lang w:val="en-GB"/>
        </w:rPr>
        <w:t xml:space="preserve">, </w:t>
      </w:r>
      <w:r w:rsidRPr="00072860">
        <w:rPr>
          <w:i/>
          <w:iCs/>
          <w:noProof/>
          <w:lang w:val="en-GB"/>
        </w:rPr>
        <w:t>23</w:t>
      </w:r>
      <w:r w:rsidRPr="00072860">
        <w:rPr>
          <w:noProof/>
          <w:lang w:val="en-GB"/>
        </w:rPr>
        <w:t>(3), 393–404. https://doi.org/10.5465/AMR.1998.926617</w:t>
      </w:r>
    </w:p>
    <w:p w14:paraId="06C73BDF"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Saladié, P., &amp; Rodríguez-Hidalgo, A. (2017). Archaeological evidence for cannibalism in prehistoric Western Europe: from Homo antecessor to the Bronze Age. </w:t>
      </w:r>
      <w:r w:rsidRPr="00072860">
        <w:rPr>
          <w:i/>
          <w:iCs/>
          <w:noProof/>
          <w:lang w:val="en-GB"/>
        </w:rPr>
        <w:t>Journal of Archaeological Method and Theory</w:t>
      </w:r>
      <w:r w:rsidRPr="00072860">
        <w:rPr>
          <w:noProof/>
          <w:lang w:val="en-GB"/>
        </w:rPr>
        <w:t xml:space="preserve">, </w:t>
      </w:r>
      <w:r w:rsidRPr="00072860">
        <w:rPr>
          <w:i/>
          <w:iCs/>
          <w:noProof/>
          <w:lang w:val="en-GB"/>
        </w:rPr>
        <w:t>24</w:t>
      </w:r>
      <w:r w:rsidRPr="00072860">
        <w:rPr>
          <w:noProof/>
          <w:lang w:val="en-GB"/>
        </w:rPr>
        <w:t>(4), 1034–1071. https://doi.org/10.1007/s10816-016-9306-y</w:t>
      </w:r>
    </w:p>
    <w:p w14:paraId="2450974E"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Sánchez-Rodríguez, Á., Willis, G. B., Jetten, J., &amp; Rodríguez-Bailón, R. (2018). Economic inequality enhances inferences that the normative climate is individualistic and competitive. </w:t>
      </w:r>
      <w:r w:rsidRPr="00072860">
        <w:rPr>
          <w:i/>
          <w:iCs/>
          <w:noProof/>
          <w:lang w:val="en-GB"/>
        </w:rPr>
        <w:t>European Journal of Social Psychology</w:t>
      </w:r>
      <w:r w:rsidRPr="00072860">
        <w:rPr>
          <w:noProof/>
          <w:lang w:val="en-GB"/>
        </w:rPr>
        <w:t xml:space="preserve">, </w:t>
      </w:r>
      <w:r w:rsidRPr="00072860">
        <w:rPr>
          <w:i/>
          <w:iCs/>
          <w:noProof/>
          <w:lang w:val="en-GB"/>
        </w:rPr>
        <w:t>49</w:t>
      </w:r>
      <w:r w:rsidRPr="00072860">
        <w:rPr>
          <w:noProof/>
          <w:lang w:val="en-GB"/>
        </w:rPr>
        <w:t>(6), 1114–1127. https://doi.org/10.1002/ejsp.2557</w:t>
      </w:r>
    </w:p>
    <w:p w14:paraId="42C95524"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Singer, P. (1981). </w:t>
      </w:r>
      <w:r w:rsidRPr="00072860">
        <w:rPr>
          <w:i/>
          <w:iCs/>
          <w:noProof/>
          <w:lang w:val="en-GB"/>
        </w:rPr>
        <w:t>The expanding circle: Ethics and sociobiology</w:t>
      </w:r>
      <w:r w:rsidRPr="00072860">
        <w:rPr>
          <w:noProof/>
          <w:lang w:val="en-GB"/>
        </w:rPr>
        <w:t>. Farrar, Straus &amp; Giroux.</w:t>
      </w:r>
    </w:p>
    <w:p w14:paraId="40D41CB2"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Singh-Manoux, A., Adler, N. E., &amp; Marmot, M. G. (2003). Subjective social status: Its determinants and its association with measures of ill-health in the Whitehall II study. </w:t>
      </w:r>
      <w:r w:rsidRPr="00072860">
        <w:rPr>
          <w:i/>
          <w:iCs/>
          <w:noProof/>
          <w:lang w:val="en-GB"/>
        </w:rPr>
        <w:t>Social Science and Medicine</w:t>
      </w:r>
      <w:r w:rsidRPr="00072860">
        <w:rPr>
          <w:noProof/>
          <w:lang w:val="en-GB"/>
        </w:rPr>
        <w:t xml:space="preserve">, </w:t>
      </w:r>
      <w:r w:rsidRPr="00072860">
        <w:rPr>
          <w:i/>
          <w:iCs/>
          <w:noProof/>
          <w:lang w:val="en-GB"/>
        </w:rPr>
        <w:t>56</w:t>
      </w:r>
      <w:r w:rsidRPr="00072860">
        <w:rPr>
          <w:noProof/>
          <w:lang w:val="en-GB"/>
        </w:rPr>
        <w:t>(6), 1321–1333. https://doi.org/10.1016/S0277-9536(02)00131-4</w:t>
      </w:r>
    </w:p>
    <w:p w14:paraId="245DB19B"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Sprong, S., Jetten, J., Wang, Z., Peters, K., Mols, F., Verkuyten, M., Bastian, B., Ariyanto, A., Autin, F., Ayub, N., Badea, C., Besta, T., Butera, F., Costa-Lopes, R., Cui, L., Fantini, C., Finchilescu, G., Gaertner, L., Gollwitzer, M., … Wohl, M. J. A. (2019). “Our country needs a strong leader right now”: Economic inequality enhances the wish for a strong leader. </w:t>
      </w:r>
      <w:r w:rsidRPr="00072860">
        <w:rPr>
          <w:i/>
          <w:iCs/>
          <w:noProof/>
          <w:lang w:val="en-GB"/>
        </w:rPr>
        <w:t>Psychological Science</w:t>
      </w:r>
      <w:r w:rsidRPr="00072860">
        <w:rPr>
          <w:noProof/>
          <w:lang w:val="en-GB"/>
        </w:rPr>
        <w:t xml:space="preserve">, </w:t>
      </w:r>
      <w:r w:rsidRPr="00072860">
        <w:rPr>
          <w:i/>
          <w:iCs/>
          <w:noProof/>
          <w:lang w:val="en-GB"/>
        </w:rPr>
        <w:t>30</w:t>
      </w:r>
      <w:r w:rsidRPr="00072860">
        <w:rPr>
          <w:noProof/>
          <w:lang w:val="en-GB"/>
        </w:rPr>
        <w:t xml:space="preserve">(11), 1625–1637. </w:t>
      </w:r>
      <w:r w:rsidRPr="00072860">
        <w:rPr>
          <w:noProof/>
          <w:lang w:val="en-GB"/>
        </w:rPr>
        <w:lastRenderedPageBreak/>
        <w:t>https://doi.org/10.1177/0956797619875472</w:t>
      </w:r>
    </w:p>
    <w:p w14:paraId="39735216"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Starmans, C., Sheskin, M., &amp; Bloom, P. (2017). Why people prefer unequal societies. </w:t>
      </w:r>
      <w:r w:rsidRPr="00072860">
        <w:rPr>
          <w:i/>
          <w:iCs/>
          <w:noProof/>
          <w:lang w:val="en-GB"/>
        </w:rPr>
        <w:t>Nature Human Behaviour</w:t>
      </w:r>
      <w:r w:rsidRPr="00072860">
        <w:rPr>
          <w:noProof/>
          <w:lang w:val="en-GB"/>
        </w:rPr>
        <w:t xml:space="preserve">, </w:t>
      </w:r>
      <w:r w:rsidRPr="00072860">
        <w:rPr>
          <w:i/>
          <w:iCs/>
          <w:noProof/>
          <w:lang w:val="en-GB"/>
        </w:rPr>
        <w:t>1</w:t>
      </w:r>
      <w:r w:rsidRPr="00072860">
        <w:rPr>
          <w:noProof/>
          <w:lang w:val="en-GB"/>
        </w:rPr>
        <w:t>(4), 1–7. https://doi.org/10.1038/s41562-017-0082</w:t>
      </w:r>
    </w:p>
    <w:p w14:paraId="1820FA79"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Teymoori, A., Bastian, B., &amp; Jetten, J. (2017). Towards a psychological analysis of anomie. </w:t>
      </w:r>
      <w:r w:rsidRPr="00072860">
        <w:rPr>
          <w:i/>
          <w:iCs/>
          <w:noProof/>
          <w:lang w:val="en-GB"/>
        </w:rPr>
        <w:t>Political Psychology</w:t>
      </w:r>
      <w:r w:rsidRPr="00072860">
        <w:rPr>
          <w:noProof/>
          <w:lang w:val="en-GB"/>
        </w:rPr>
        <w:t xml:space="preserve">, </w:t>
      </w:r>
      <w:r w:rsidRPr="00072860">
        <w:rPr>
          <w:i/>
          <w:iCs/>
          <w:noProof/>
          <w:lang w:val="en-GB"/>
        </w:rPr>
        <w:t>38</w:t>
      </w:r>
      <w:r w:rsidRPr="00072860">
        <w:rPr>
          <w:noProof/>
          <w:lang w:val="en-GB"/>
        </w:rPr>
        <w:t>(6), 1009–1023. https://doi.org/10.1111/pops.12377</w:t>
      </w:r>
    </w:p>
    <w:p w14:paraId="4435BDB0"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The World Bank. (2019a). </w:t>
      </w:r>
      <w:r w:rsidRPr="00072860">
        <w:rPr>
          <w:i/>
          <w:iCs/>
          <w:noProof/>
          <w:lang w:val="en-GB"/>
        </w:rPr>
        <w:t>GDP per capita, PPP (current international $)</w:t>
      </w:r>
      <w:r w:rsidRPr="00072860">
        <w:rPr>
          <w:noProof/>
          <w:lang w:val="en-GB"/>
        </w:rPr>
        <w:t>. https://data.worldbank.org/indicator/NY.GDP.PCAP.PP.CD?end=2019&amp;name_desc=false&amp;start=1990&amp;view=chart</w:t>
      </w:r>
    </w:p>
    <w:p w14:paraId="5CBAD896"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The World Bank. (2019b). </w:t>
      </w:r>
      <w:r w:rsidRPr="00072860">
        <w:rPr>
          <w:i/>
          <w:iCs/>
          <w:noProof/>
          <w:lang w:val="en-GB"/>
        </w:rPr>
        <w:t>Gini index (World Bank estimate)</w:t>
      </w:r>
      <w:r w:rsidRPr="00072860">
        <w:rPr>
          <w:noProof/>
          <w:lang w:val="en-GB"/>
        </w:rPr>
        <w:t>. https://data.worldbank.org/indicator/SI.POV.GINI</w:t>
      </w:r>
    </w:p>
    <w:p w14:paraId="0713CF8F"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Umemura, T. (2017). Attitudes toward ingroups versus outgroups as unique distinctions between political trust and generalized social trust: A study of ethnically diverse youth in the Czech Republic. </w:t>
      </w:r>
      <w:r w:rsidRPr="00072860">
        <w:rPr>
          <w:i/>
          <w:iCs/>
          <w:noProof/>
          <w:lang w:val="en-GB"/>
        </w:rPr>
        <w:t>Ceskoslovenska Psychologie</w:t>
      </w:r>
      <w:r w:rsidRPr="00072860">
        <w:rPr>
          <w:noProof/>
          <w:lang w:val="en-GB"/>
        </w:rPr>
        <w:t xml:space="preserve">, </w:t>
      </w:r>
      <w:r w:rsidRPr="00072860">
        <w:rPr>
          <w:i/>
          <w:iCs/>
          <w:noProof/>
          <w:lang w:val="en-GB"/>
        </w:rPr>
        <w:t>61</w:t>
      </w:r>
      <w:r w:rsidRPr="00072860">
        <w:rPr>
          <w:noProof/>
          <w:lang w:val="en-GB"/>
        </w:rPr>
        <w:t>(5), 433–448.</w:t>
      </w:r>
    </w:p>
    <w:p w14:paraId="1E0E44FE"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United Nations Office on Drugs and Crime. (2019). </w:t>
      </w:r>
      <w:r w:rsidRPr="00072860">
        <w:rPr>
          <w:i/>
          <w:iCs/>
          <w:noProof/>
          <w:lang w:val="en-GB"/>
        </w:rPr>
        <w:t>Victims of intentional homicide, 1990-2018</w:t>
      </w:r>
      <w:r w:rsidRPr="00072860">
        <w:rPr>
          <w:noProof/>
          <w:lang w:val="en-GB"/>
        </w:rPr>
        <w:t>. https://dataunodc.un.org/content/data/homicide/homicide-rate</w:t>
      </w:r>
    </w:p>
    <w:p w14:paraId="247985EA"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Uslaner, E. M., &amp; Brown, M. (2005). Inequality, trust, and civic engagement. </w:t>
      </w:r>
      <w:r w:rsidRPr="00072860">
        <w:rPr>
          <w:i/>
          <w:iCs/>
          <w:noProof/>
          <w:lang w:val="en-GB"/>
        </w:rPr>
        <w:t>American Politics Research</w:t>
      </w:r>
      <w:r w:rsidRPr="00072860">
        <w:rPr>
          <w:noProof/>
          <w:lang w:val="en-GB"/>
        </w:rPr>
        <w:t xml:space="preserve">, </w:t>
      </w:r>
      <w:r w:rsidRPr="00072860">
        <w:rPr>
          <w:i/>
          <w:iCs/>
          <w:noProof/>
          <w:lang w:val="en-GB"/>
        </w:rPr>
        <w:t>33</w:t>
      </w:r>
      <w:r w:rsidRPr="00072860">
        <w:rPr>
          <w:noProof/>
          <w:lang w:val="en-GB"/>
        </w:rPr>
        <w:t>(6), 868–894. https://doi.org/10.1177/1532673X04271903</w:t>
      </w:r>
    </w:p>
    <w:p w14:paraId="651319FA"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Van Lange, P. A. M. (2015). Generalized trust: Four lessons from genetics and culture. </w:t>
      </w:r>
      <w:r w:rsidRPr="00072860">
        <w:rPr>
          <w:i/>
          <w:iCs/>
          <w:noProof/>
          <w:lang w:val="en-GB"/>
        </w:rPr>
        <w:t>Current Directions in Psychological Science</w:t>
      </w:r>
      <w:r w:rsidRPr="00072860">
        <w:rPr>
          <w:noProof/>
          <w:lang w:val="en-GB"/>
        </w:rPr>
        <w:t xml:space="preserve">, </w:t>
      </w:r>
      <w:r w:rsidRPr="00072860">
        <w:rPr>
          <w:i/>
          <w:iCs/>
          <w:noProof/>
          <w:lang w:val="en-GB"/>
        </w:rPr>
        <w:t>24</w:t>
      </w:r>
      <w:r w:rsidRPr="00072860">
        <w:rPr>
          <w:noProof/>
          <w:lang w:val="en-GB"/>
        </w:rPr>
        <w:t>(1), 71–76. https://doi.org/10.1177/0963721414552473</w:t>
      </w:r>
    </w:p>
    <w:p w14:paraId="28D87FF6"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Waytz, A., Iyer, R., Young, L., Haidt, J., &amp; Graham, J. (2019). Ideological differences in the expanse of the moral circle. </w:t>
      </w:r>
      <w:r w:rsidRPr="00072860">
        <w:rPr>
          <w:i/>
          <w:iCs/>
          <w:noProof/>
          <w:lang w:val="en-GB"/>
        </w:rPr>
        <w:t>Nature Communications</w:t>
      </w:r>
      <w:r w:rsidRPr="00072860">
        <w:rPr>
          <w:noProof/>
          <w:lang w:val="en-GB"/>
        </w:rPr>
        <w:t xml:space="preserve">, </w:t>
      </w:r>
      <w:r w:rsidRPr="00072860">
        <w:rPr>
          <w:i/>
          <w:iCs/>
          <w:noProof/>
          <w:lang w:val="en-GB"/>
        </w:rPr>
        <w:t>10</w:t>
      </w:r>
      <w:r w:rsidRPr="00072860">
        <w:rPr>
          <w:noProof/>
          <w:lang w:val="en-GB"/>
        </w:rPr>
        <w:t>(1). https://doi.org/10.1038/s41467-019-12227-0</w:t>
      </w:r>
    </w:p>
    <w:p w14:paraId="14B1C8AD"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t xml:space="preserve">Westfall, P. (2020). </w:t>
      </w:r>
      <w:r w:rsidRPr="00072860">
        <w:rPr>
          <w:i/>
          <w:iCs/>
          <w:noProof/>
          <w:lang w:val="en-GB"/>
        </w:rPr>
        <w:t>Gini Index</w:t>
      </w:r>
      <w:r w:rsidRPr="00072860">
        <w:rPr>
          <w:noProof/>
          <w:lang w:val="en-GB"/>
        </w:rPr>
        <w:t>. Investopedia. https://www.investopedia.com/terms/g/gini-index.asp</w:t>
      </w:r>
    </w:p>
    <w:p w14:paraId="036C5331" w14:textId="77777777" w:rsidR="00072860" w:rsidRPr="00072860" w:rsidRDefault="00072860" w:rsidP="00072860">
      <w:pPr>
        <w:widowControl w:val="0"/>
        <w:autoSpaceDE w:val="0"/>
        <w:autoSpaceDN w:val="0"/>
        <w:adjustRightInd w:val="0"/>
        <w:spacing w:line="480" w:lineRule="auto"/>
        <w:ind w:left="480" w:hanging="480"/>
        <w:rPr>
          <w:noProof/>
          <w:lang w:val="en-GB"/>
        </w:rPr>
      </w:pPr>
      <w:r w:rsidRPr="00072860">
        <w:rPr>
          <w:noProof/>
          <w:lang w:val="en-GB"/>
        </w:rPr>
        <w:lastRenderedPageBreak/>
        <w:t xml:space="preserve">Wilkinson, R. G., &amp; Pickett, K. E. (2007). The problems of relative deprivation: Why some societies do better than others. </w:t>
      </w:r>
      <w:r w:rsidRPr="00072860">
        <w:rPr>
          <w:i/>
          <w:iCs/>
          <w:noProof/>
          <w:lang w:val="en-GB"/>
        </w:rPr>
        <w:t>Social Science and Medicine</w:t>
      </w:r>
      <w:r w:rsidRPr="00072860">
        <w:rPr>
          <w:noProof/>
          <w:lang w:val="en-GB"/>
        </w:rPr>
        <w:t xml:space="preserve">, </w:t>
      </w:r>
      <w:r w:rsidRPr="00072860">
        <w:rPr>
          <w:i/>
          <w:iCs/>
          <w:noProof/>
          <w:lang w:val="en-GB"/>
        </w:rPr>
        <w:t>65</w:t>
      </w:r>
      <w:r w:rsidRPr="00072860">
        <w:rPr>
          <w:noProof/>
          <w:lang w:val="en-GB"/>
        </w:rPr>
        <w:t>(9), 1965–1978. https://doi.org/10.1016/j.socscimed.2007.05.041</w:t>
      </w:r>
    </w:p>
    <w:p w14:paraId="6DC03712" w14:textId="77777777" w:rsidR="00072860" w:rsidRPr="00072860" w:rsidRDefault="00072860" w:rsidP="00072860">
      <w:pPr>
        <w:widowControl w:val="0"/>
        <w:autoSpaceDE w:val="0"/>
        <w:autoSpaceDN w:val="0"/>
        <w:adjustRightInd w:val="0"/>
        <w:spacing w:line="480" w:lineRule="auto"/>
        <w:ind w:left="480" w:hanging="480"/>
        <w:rPr>
          <w:noProof/>
        </w:rPr>
      </w:pPr>
      <w:r w:rsidRPr="00072860">
        <w:rPr>
          <w:noProof/>
          <w:lang w:val="en-GB"/>
        </w:rPr>
        <w:t xml:space="preserve">Wilkinson, R. G., &amp; Pickett, K. E. (2009). </w:t>
      </w:r>
      <w:r w:rsidRPr="00072860">
        <w:rPr>
          <w:i/>
          <w:iCs/>
          <w:noProof/>
          <w:lang w:val="en-GB"/>
        </w:rPr>
        <w:t>The spirit level: Why more equal societies almost always do better</w:t>
      </w:r>
      <w:r w:rsidRPr="00072860">
        <w:rPr>
          <w:noProof/>
          <w:lang w:val="en-GB"/>
        </w:rPr>
        <w:t>. Allen Lane.</w:t>
      </w:r>
    </w:p>
    <w:p w14:paraId="53E08741" w14:textId="020D9731" w:rsidR="00EA274F" w:rsidRPr="0040625A" w:rsidRDefault="00EA274F" w:rsidP="00072860">
      <w:pPr>
        <w:widowControl w:val="0"/>
        <w:autoSpaceDE w:val="0"/>
        <w:autoSpaceDN w:val="0"/>
        <w:adjustRightInd w:val="0"/>
        <w:spacing w:line="480" w:lineRule="auto"/>
        <w:ind w:left="480" w:hanging="480"/>
      </w:pPr>
      <w:r>
        <w:fldChar w:fldCharType="end"/>
      </w:r>
    </w:p>
    <w:sectPr w:rsidR="00EA274F" w:rsidRPr="0040625A" w:rsidSect="006B65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CDD11" w14:textId="77777777" w:rsidR="00F50EBA" w:rsidRDefault="00F50EBA" w:rsidP="002C5F00">
      <w:r>
        <w:separator/>
      </w:r>
    </w:p>
  </w:endnote>
  <w:endnote w:type="continuationSeparator" w:id="0">
    <w:p w14:paraId="4D255C55" w14:textId="77777777" w:rsidR="00F50EBA" w:rsidRDefault="00F50EBA" w:rsidP="002C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9511531"/>
      <w:docPartObj>
        <w:docPartGallery w:val="Page Numbers (Bottom of Page)"/>
        <w:docPartUnique/>
      </w:docPartObj>
    </w:sdtPr>
    <w:sdtEndPr>
      <w:rPr>
        <w:rStyle w:val="PageNumber"/>
      </w:rPr>
    </w:sdtEndPr>
    <w:sdtContent>
      <w:p w14:paraId="79CC524D" w14:textId="5F90D767" w:rsidR="001C438F" w:rsidRDefault="001C438F" w:rsidP="001C43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8FF58F" w14:textId="77777777" w:rsidR="001C438F" w:rsidRDefault="001C4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5305374"/>
      <w:docPartObj>
        <w:docPartGallery w:val="Page Numbers (Bottom of Page)"/>
        <w:docPartUnique/>
      </w:docPartObj>
    </w:sdtPr>
    <w:sdtEndPr>
      <w:rPr>
        <w:rStyle w:val="PageNumber"/>
        <w:rFonts w:ascii="Times New Roman" w:hAnsi="Times New Roman" w:cs="Times New Roman"/>
      </w:rPr>
    </w:sdtEndPr>
    <w:sdtContent>
      <w:p w14:paraId="76F3AFEB" w14:textId="300EC9DA" w:rsidR="001C438F" w:rsidRDefault="001C438F" w:rsidP="001C43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EF8CA6" w14:textId="77777777" w:rsidR="001C438F" w:rsidRDefault="001C4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3130E" w14:textId="77777777" w:rsidR="00F50EBA" w:rsidRDefault="00F50EBA" w:rsidP="002C5F00">
      <w:r>
        <w:separator/>
      </w:r>
    </w:p>
  </w:footnote>
  <w:footnote w:type="continuationSeparator" w:id="0">
    <w:p w14:paraId="413EEE98" w14:textId="77777777" w:rsidR="00F50EBA" w:rsidRDefault="00F50EBA" w:rsidP="002C5F00">
      <w:r>
        <w:continuationSeparator/>
      </w:r>
    </w:p>
  </w:footnote>
  <w:footnote w:id="1">
    <w:p w14:paraId="35B6A5A1" w14:textId="07A86749" w:rsidR="00264C42" w:rsidRPr="00020ACD" w:rsidRDefault="00264C42">
      <w:pPr>
        <w:pStyle w:val="FootnoteText"/>
        <w:rPr>
          <w:rFonts w:ascii="Times New Roman" w:hAnsi="Times New Roman" w:cs="Times New Roman"/>
        </w:rPr>
      </w:pPr>
      <w:r w:rsidRPr="00020ACD">
        <w:rPr>
          <w:rStyle w:val="FootnoteReference"/>
          <w:rFonts w:ascii="Times New Roman" w:hAnsi="Times New Roman" w:cs="Times New Roman"/>
        </w:rPr>
        <w:footnoteRef/>
      </w:r>
      <w:r w:rsidRPr="00020ACD">
        <w:rPr>
          <w:rFonts w:ascii="Times New Roman" w:hAnsi="Times New Roman" w:cs="Times New Roman"/>
        </w:rPr>
        <w:t xml:space="preserve">When testing the nomological network of the </w:t>
      </w:r>
      <w:r w:rsidR="00AF2A7F">
        <w:rPr>
          <w:rFonts w:ascii="Times New Roman" w:hAnsi="Times New Roman" w:cs="Times New Roman"/>
        </w:rPr>
        <w:t>MES</w:t>
      </w:r>
      <w:r w:rsidRPr="00020ACD">
        <w:rPr>
          <w:rFonts w:ascii="Times New Roman" w:hAnsi="Times New Roman" w:cs="Times New Roman"/>
        </w:rPr>
        <w:t xml:space="preserve"> scale (Supplementary Materials </w:t>
      </w:r>
      <w:r>
        <w:rPr>
          <w:rFonts w:ascii="Times New Roman" w:hAnsi="Times New Roman" w:cs="Times New Roman"/>
        </w:rPr>
        <w:t>7</w:t>
      </w:r>
      <w:r w:rsidRPr="00020ACD">
        <w:rPr>
          <w:rFonts w:ascii="Times New Roman" w:hAnsi="Times New Roman" w:cs="Times New Roman"/>
        </w:rPr>
        <w:t>), we found several</w:t>
      </w:r>
      <w:r>
        <w:rPr>
          <w:rFonts w:ascii="Times New Roman" w:hAnsi="Times New Roman" w:cs="Times New Roman"/>
        </w:rPr>
        <w:t xml:space="preserve"> significant</w:t>
      </w:r>
      <w:r w:rsidRPr="00020ACD">
        <w:rPr>
          <w:rFonts w:ascii="Times New Roman" w:hAnsi="Times New Roman" w:cs="Times New Roman"/>
        </w:rPr>
        <w:t xml:space="preserve"> between-country predictors</w:t>
      </w:r>
      <w:r>
        <w:rPr>
          <w:rFonts w:ascii="Times New Roman" w:hAnsi="Times New Roman" w:cs="Times New Roman"/>
        </w:rPr>
        <w:t xml:space="preserve">. This suggests there may be other between-country variables (external to our goals in this paper) that can predict differences in moral expansiveness.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7D9BB" w14:textId="739CB53C" w:rsidR="001C438F" w:rsidRPr="00C20BAD" w:rsidRDefault="001C438F">
    <w:pPr>
      <w:pStyle w:val="Header"/>
      <w:rPr>
        <w:rFonts w:ascii="Times New Roman" w:hAnsi="Times New Roman" w:cs="Times New Roman"/>
      </w:rPr>
    </w:pPr>
    <w:r w:rsidRPr="00C20BAD">
      <w:rPr>
        <w:rFonts w:ascii="Times New Roman" w:hAnsi="Times New Roman" w:cs="Times New Roman"/>
      </w:rPr>
      <w:t>MORAL EXPANSIVENESS ACROSS CULTURES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28E"/>
    <w:multiLevelType w:val="hybridMultilevel"/>
    <w:tmpl w:val="ED207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2E25"/>
    <w:multiLevelType w:val="hybridMultilevel"/>
    <w:tmpl w:val="664493C6"/>
    <w:lvl w:ilvl="0" w:tplc="73E69C5E">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6BBF"/>
    <w:multiLevelType w:val="hybridMultilevel"/>
    <w:tmpl w:val="8C4E1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C1644"/>
    <w:multiLevelType w:val="hybridMultilevel"/>
    <w:tmpl w:val="F500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21D46"/>
    <w:multiLevelType w:val="hybridMultilevel"/>
    <w:tmpl w:val="9140A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AB6035"/>
    <w:multiLevelType w:val="hybridMultilevel"/>
    <w:tmpl w:val="5740A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915EE6"/>
    <w:multiLevelType w:val="hybridMultilevel"/>
    <w:tmpl w:val="EF66A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F7450"/>
    <w:multiLevelType w:val="hybridMultilevel"/>
    <w:tmpl w:val="EA7A1172"/>
    <w:lvl w:ilvl="0" w:tplc="FB2A20D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00946"/>
    <w:multiLevelType w:val="hybridMultilevel"/>
    <w:tmpl w:val="D348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4551A"/>
    <w:multiLevelType w:val="hybridMultilevel"/>
    <w:tmpl w:val="3B9E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9147E2"/>
    <w:multiLevelType w:val="hybridMultilevel"/>
    <w:tmpl w:val="B5CA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550D0C"/>
    <w:multiLevelType w:val="hybridMultilevel"/>
    <w:tmpl w:val="620E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E63A7B"/>
    <w:multiLevelType w:val="hybridMultilevel"/>
    <w:tmpl w:val="9C12F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2FB69CA"/>
    <w:multiLevelType w:val="hybridMultilevel"/>
    <w:tmpl w:val="9294C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826235"/>
    <w:multiLevelType w:val="hybridMultilevel"/>
    <w:tmpl w:val="D2A2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548AE"/>
    <w:multiLevelType w:val="hybridMultilevel"/>
    <w:tmpl w:val="FF3C3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BD12B4"/>
    <w:multiLevelType w:val="hybridMultilevel"/>
    <w:tmpl w:val="858AA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847541"/>
    <w:multiLevelType w:val="hybridMultilevel"/>
    <w:tmpl w:val="BEA69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A4348E"/>
    <w:multiLevelType w:val="hybridMultilevel"/>
    <w:tmpl w:val="D11E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06A4E"/>
    <w:multiLevelType w:val="hybridMultilevel"/>
    <w:tmpl w:val="0A26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3F2902"/>
    <w:multiLevelType w:val="hybridMultilevel"/>
    <w:tmpl w:val="B344A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2A398F"/>
    <w:multiLevelType w:val="hybridMultilevel"/>
    <w:tmpl w:val="DE784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717685"/>
    <w:multiLevelType w:val="hybridMultilevel"/>
    <w:tmpl w:val="F3AA8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53574C"/>
    <w:multiLevelType w:val="hybridMultilevel"/>
    <w:tmpl w:val="AD2E6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303795"/>
    <w:multiLevelType w:val="hybridMultilevel"/>
    <w:tmpl w:val="FBD01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C533F6"/>
    <w:multiLevelType w:val="hybridMultilevel"/>
    <w:tmpl w:val="AF864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416856">
    <w:abstractNumId w:val="8"/>
  </w:num>
  <w:num w:numId="2" w16cid:durableId="2141073198">
    <w:abstractNumId w:val="12"/>
  </w:num>
  <w:num w:numId="3" w16cid:durableId="37124146">
    <w:abstractNumId w:val="19"/>
  </w:num>
  <w:num w:numId="4" w16cid:durableId="2083090870">
    <w:abstractNumId w:val="24"/>
  </w:num>
  <w:num w:numId="5" w16cid:durableId="169564436">
    <w:abstractNumId w:val="1"/>
  </w:num>
  <w:num w:numId="6" w16cid:durableId="1349025366">
    <w:abstractNumId w:val="7"/>
  </w:num>
  <w:num w:numId="7" w16cid:durableId="891498706">
    <w:abstractNumId w:val="23"/>
  </w:num>
  <w:num w:numId="8" w16cid:durableId="404109621">
    <w:abstractNumId w:val="10"/>
  </w:num>
  <w:num w:numId="9" w16cid:durableId="248583441">
    <w:abstractNumId w:val="4"/>
  </w:num>
  <w:num w:numId="10" w16cid:durableId="438263500">
    <w:abstractNumId w:val="3"/>
  </w:num>
  <w:num w:numId="11" w16cid:durableId="1312634835">
    <w:abstractNumId w:val="22"/>
  </w:num>
  <w:num w:numId="12" w16cid:durableId="600335545">
    <w:abstractNumId w:val="15"/>
  </w:num>
  <w:num w:numId="13" w16cid:durableId="1858696448">
    <w:abstractNumId w:val="2"/>
  </w:num>
  <w:num w:numId="14" w16cid:durableId="253050860">
    <w:abstractNumId w:val="18"/>
  </w:num>
  <w:num w:numId="15" w16cid:durableId="553078174">
    <w:abstractNumId w:val="25"/>
  </w:num>
  <w:num w:numId="16" w16cid:durableId="589701047">
    <w:abstractNumId w:val="11"/>
  </w:num>
  <w:num w:numId="17" w16cid:durableId="854223573">
    <w:abstractNumId w:val="9"/>
  </w:num>
  <w:num w:numId="18" w16cid:durableId="718282393">
    <w:abstractNumId w:val="20"/>
  </w:num>
  <w:num w:numId="19" w16cid:durableId="1440641634">
    <w:abstractNumId w:val="21"/>
  </w:num>
  <w:num w:numId="20" w16cid:durableId="536549214">
    <w:abstractNumId w:val="6"/>
  </w:num>
  <w:num w:numId="21" w16cid:durableId="1169713364">
    <w:abstractNumId w:val="13"/>
  </w:num>
  <w:num w:numId="22" w16cid:durableId="174391699">
    <w:abstractNumId w:val="14"/>
  </w:num>
  <w:num w:numId="23" w16cid:durableId="23412856">
    <w:abstractNumId w:val="16"/>
  </w:num>
  <w:num w:numId="24" w16cid:durableId="691878066">
    <w:abstractNumId w:val="0"/>
  </w:num>
  <w:num w:numId="25" w16cid:durableId="1115639358">
    <w:abstractNumId w:val="17"/>
  </w:num>
  <w:num w:numId="26" w16cid:durableId="1884442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905"/>
    <w:rsid w:val="00002C81"/>
    <w:rsid w:val="0000465C"/>
    <w:rsid w:val="000138A3"/>
    <w:rsid w:val="00016E69"/>
    <w:rsid w:val="00020ACD"/>
    <w:rsid w:val="000223D8"/>
    <w:rsid w:val="00022EA3"/>
    <w:rsid w:val="000251CA"/>
    <w:rsid w:val="000321A9"/>
    <w:rsid w:val="0004214B"/>
    <w:rsid w:val="00044067"/>
    <w:rsid w:val="00046655"/>
    <w:rsid w:val="000472AF"/>
    <w:rsid w:val="00070A66"/>
    <w:rsid w:val="00070E1A"/>
    <w:rsid w:val="00072860"/>
    <w:rsid w:val="00081A5A"/>
    <w:rsid w:val="00081E44"/>
    <w:rsid w:val="00082D0A"/>
    <w:rsid w:val="000879AF"/>
    <w:rsid w:val="00097E62"/>
    <w:rsid w:val="00097FDF"/>
    <w:rsid w:val="000A0325"/>
    <w:rsid w:val="000C093D"/>
    <w:rsid w:val="000C45B0"/>
    <w:rsid w:val="000D315C"/>
    <w:rsid w:val="000E13E0"/>
    <w:rsid w:val="000E528A"/>
    <w:rsid w:val="000E70BA"/>
    <w:rsid w:val="000E7DC3"/>
    <w:rsid w:val="000F0420"/>
    <w:rsid w:val="000F613A"/>
    <w:rsid w:val="000F6551"/>
    <w:rsid w:val="000F7222"/>
    <w:rsid w:val="00102F63"/>
    <w:rsid w:val="001043F1"/>
    <w:rsid w:val="001045F4"/>
    <w:rsid w:val="001138AB"/>
    <w:rsid w:val="00116879"/>
    <w:rsid w:val="001224D0"/>
    <w:rsid w:val="001235B4"/>
    <w:rsid w:val="00131425"/>
    <w:rsid w:val="00134D17"/>
    <w:rsid w:val="0013659D"/>
    <w:rsid w:val="00140A4C"/>
    <w:rsid w:val="00142AC1"/>
    <w:rsid w:val="00142E7C"/>
    <w:rsid w:val="00143F9D"/>
    <w:rsid w:val="001452AF"/>
    <w:rsid w:val="001464C3"/>
    <w:rsid w:val="00150985"/>
    <w:rsid w:val="001513FA"/>
    <w:rsid w:val="00151B40"/>
    <w:rsid w:val="00155306"/>
    <w:rsid w:val="00155585"/>
    <w:rsid w:val="00156332"/>
    <w:rsid w:val="00161AD5"/>
    <w:rsid w:val="001635CC"/>
    <w:rsid w:val="0016512C"/>
    <w:rsid w:val="0016535D"/>
    <w:rsid w:val="0017357A"/>
    <w:rsid w:val="001737C1"/>
    <w:rsid w:val="0017545D"/>
    <w:rsid w:val="00175E07"/>
    <w:rsid w:val="00180085"/>
    <w:rsid w:val="001836BE"/>
    <w:rsid w:val="001952E3"/>
    <w:rsid w:val="001B1523"/>
    <w:rsid w:val="001B20F3"/>
    <w:rsid w:val="001B30EC"/>
    <w:rsid w:val="001B4913"/>
    <w:rsid w:val="001C1720"/>
    <w:rsid w:val="001C3207"/>
    <w:rsid w:val="001C438F"/>
    <w:rsid w:val="001D738A"/>
    <w:rsid w:val="001E2595"/>
    <w:rsid w:val="001F06E1"/>
    <w:rsid w:val="001F11E0"/>
    <w:rsid w:val="001F27F1"/>
    <w:rsid w:val="001F6009"/>
    <w:rsid w:val="001F7974"/>
    <w:rsid w:val="00202583"/>
    <w:rsid w:val="00205A5F"/>
    <w:rsid w:val="00207958"/>
    <w:rsid w:val="0021075D"/>
    <w:rsid w:val="00216096"/>
    <w:rsid w:val="00216EEC"/>
    <w:rsid w:val="00220B3C"/>
    <w:rsid w:val="00221BE3"/>
    <w:rsid w:val="00223AE7"/>
    <w:rsid w:val="00223BFF"/>
    <w:rsid w:val="002305F4"/>
    <w:rsid w:val="002308AA"/>
    <w:rsid w:val="00232D07"/>
    <w:rsid w:val="002343E9"/>
    <w:rsid w:val="00235BF3"/>
    <w:rsid w:val="00236FF5"/>
    <w:rsid w:val="00237EDB"/>
    <w:rsid w:val="00252CE0"/>
    <w:rsid w:val="00257D8D"/>
    <w:rsid w:val="00264C42"/>
    <w:rsid w:val="00271135"/>
    <w:rsid w:val="00273125"/>
    <w:rsid w:val="0027331C"/>
    <w:rsid w:val="00274061"/>
    <w:rsid w:val="0027486F"/>
    <w:rsid w:val="00276B1B"/>
    <w:rsid w:val="00292128"/>
    <w:rsid w:val="0029387F"/>
    <w:rsid w:val="002B0AD0"/>
    <w:rsid w:val="002B7D74"/>
    <w:rsid w:val="002C5E81"/>
    <w:rsid w:val="002C5F00"/>
    <w:rsid w:val="002C61AA"/>
    <w:rsid w:val="002E4440"/>
    <w:rsid w:val="002F1626"/>
    <w:rsid w:val="002F23AB"/>
    <w:rsid w:val="00303C06"/>
    <w:rsid w:val="00303E2E"/>
    <w:rsid w:val="00303FA9"/>
    <w:rsid w:val="003044F0"/>
    <w:rsid w:val="00304D67"/>
    <w:rsid w:val="00306B97"/>
    <w:rsid w:val="00317145"/>
    <w:rsid w:val="003262D9"/>
    <w:rsid w:val="00326B62"/>
    <w:rsid w:val="00330227"/>
    <w:rsid w:val="00333458"/>
    <w:rsid w:val="003361C0"/>
    <w:rsid w:val="0033672D"/>
    <w:rsid w:val="00337A83"/>
    <w:rsid w:val="00342A19"/>
    <w:rsid w:val="00353BE1"/>
    <w:rsid w:val="00353D42"/>
    <w:rsid w:val="003557A0"/>
    <w:rsid w:val="00356935"/>
    <w:rsid w:val="0036375F"/>
    <w:rsid w:val="00363AA5"/>
    <w:rsid w:val="003716F9"/>
    <w:rsid w:val="0037213C"/>
    <w:rsid w:val="00373AA2"/>
    <w:rsid w:val="0037563C"/>
    <w:rsid w:val="00375EB6"/>
    <w:rsid w:val="003809BC"/>
    <w:rsid w:val="00380EC7"/>
    <w:rsid w:val="003822B6"/>
    <w:rsid w:val="00382705"/>
    <w:rsid w:val="00386FDD"/>
    <w:rsid w:val="003913DC"/>
    <w:rsid w:val="00394648"/>
    <w:rsid w:val="00396593"/>
    <w:rsid w:val="003A4D26"/>
    <w:rsid w:val="003C4B8B"/>
    <w:rsid w:val="003C572E"/>
    <w:rsid w:val="003C679E"/>
    <w:rsid w:val="003D084D"/>
    <w:rsid w:val="003D1352"/>
    <w:rsid w:val="003D1D88"/>
    <w:rsid w:val="003D7916"/>
    <w:rsid w:val="003E2832"/>
    <w:rsid w:val="003E430B"/>
    <w:rsid w:val="003E7DC1"/>
    <w:rsid w:val="003F0BD2"/>
    <w:rsid w:val="003F2C2C"/>
    <w:rsid w:val="003F3196"/>
    <w:rsid w:val="003F50B3"/>
    <w:rsid w:val="00403475"/>
    <w:rsid w:val="0040544B"/>
    <w:rsid w:val="004054CD"/>
    <w:rsid w:val="0040625A"/>
    <w:rsid w:val="00406DCC"/>
    <w:rsid w:val="00410570"/>
    <w:rsid w:val="00414301"/>
    <w:rsid w:val="00415584"/>
    <w:rsid w:val="00425D77"/>
    <w:rsid w:val="00431E65"/>
    <w:rsid w:val="004403FE"/>
    <w:rsid w:val="00442657"/>
    <w:rsid w:val="004462A4"/>
    <w:rsid w:val="00447FEE"/>
    <w:rsid w:val="004509EA"/>
    <w:rsid w:val="00454315"/>
    <w:rsid w:val="00454CF6"/>
    <w:rsid w:val="00455ED1"/>
    <w:rsid w:val="00460640"/>
    <w:rsid w:val="0046486C"/>
    <w:rsid w:val="004658B6"/>
    <w:rsid w:val="0047016B"/>
    <w:rsid w:val="004714BC"/>
    <w:rsid w:val="00471AC0"/>
    <w:rsid w:val="004779DB"/>
    <w:rsid w:val="00486B74"/>
    <w:rsid w:val="00494069"/>
    <w:rsid w:val="00494479"/>
    <w:rsid w:val="00494692"/>
    <w:rsid w:val="00496478"/>
    <w:rsid w:val="004A1265"/>
    <w:rsid w:val="004A3187"/>
    <w:rsid w:val="004B5ADC"/>
    <w:rsid w:val="004C03CE"/>
    <w:rsid w:val="004C4085"/>
    <w:rsid w:val="004C45F3"/>
    <w:rsid w:val="004D2504"/>
    <w:rsid w:val="004D38E9"/>
    <w:rsid w:val="004D5B7E"/>
    <w:rsid w:val="004D5D24"/>
    <w:rsid w:val="004E0F55"/>
    <w:rsid w:val="004E7909"/>
    <w:rsid w:val="004F137E"/>
    <w:rsid w:val="004F2792"/>
    <w:rsid w:val="004F5540"/>
    <w:rsid w:val="004F64DA"/>
    <w:rsid w:val="00502A76"/>
    <w:rsid w:val="00502B81"/>
    <w:rsid w:val="005036A9"/>
    <w:rsid w:val="00505292"/>
    <w:rsid w:val="005105AD"/>
    <w:rsid w:val="00510732"/>
    <w:rsid w:val="00510CF9"/>
    <w:rsid w:val="00515A78"/>
    <w:rsid w:val="00516FAE"/>
    <w:rsid w:val="0052582D"/>
    <w:rsid w:val="005306E8"/>
    <w:rsid w:val="00531452"/>
    <w:rsid w:val="0053548A"/>
    <w:rsid w:val="005365AC"/>
    <w:rsid w:val="00552C12"/>
    <w:rsid w:val="00553B21"/>
    <w:rsid w:val="00556A1C"/>
    <w:rsid w:val="0055772E"/>
    <w:rsid w:val="00562707"/>
    <w:rsid w:val="0056647C"/>
    <w:rsid w:val="00567D29"/>
    <w:rsid w:val="00573045"/>
    <w:rsid w:val="00575B0C"/>
    <w:rsid w:val="00582A54"/>
    <w:rsid w:val="00583C96"/>
    <w:rsid w:val="00594FDB"/>
    <w:rsid w:val="005A2922"/>
    <w:rsid w:val="005A3530"/>
    <w:rsid w:val="005A3F3C"/>
    <w:rsid w:val="005A628B"/>
    <w:rsid w:val="005B419A"/>
    <w:rsid w:val="005B7E66"/>
    <w:rsid w:val="005C492B"/>
    <w:rsid w:val="005D14AC"/>
    <w:rsid w:val="005D4CB3"/>
    <w:rsid w:val="005D5E57"/>
    <w:rsid w:val="005E0AF4"/>
    <w:rsid w:val="005E6355"/>
    <w:rsid w:val="005F0455"/>
    <w:rsid w:val="005F0CB8"/>
    <w:rsid w:val="005F49CD"/>
    <w:rsid w:val="005F7218"/>
    <w:rsid w:val="00600B38"/>
    <w:rsid w:val="0060310F"/>
    <w:rsid w:val="006102EA"/>
    <w:rsid w:val="0061213A"/>
    <w:rsid w:val="00612906"/>
    <w:rsid w:val="00615832"/>
    <w:rsid w:val="006208C1"/>
    <w:rsid w:val="00620AD5"/>
    <w:rsid w:val="006238DF"/>
    <w:rsid w:val="00624434"/>
    <w:rsid w:val="00624AC6"/>
    <w:rsid w:val="00625B8A"/>
    <w:rsid w:val="00630358"/>
    <w:rsid w:val="00636738"/>
    <w:rsid w:val="00642C08"/>
    <w:rsid w:val="00645ACC"/>
    <w:rsid w:val="00645F26"/>
    <w:rsid w:val="00646DEB"/>
    <w:rsid w:val="006478A3"/>
    <w:rsid w:val="00647A12"/>
    <w:rsid w:val="0066205E"/>
    <w:rsid w:val="006627FB"/>
    <w:rsid w:val="00662EBE"/>
    <w:rsid w:val="00664BD6"/>
    <w:rsid w:val="00666F35"/>
    <w:rsid w:val="0067092B"/>
    <w:rsid w:val="0067382C"/>
    <w:rsid w:val="00680255"/>
    <w:rsid w:val="006875E3"/>
    <w:rsid w:val="0068795B"/>
    <w:rsid w:val="00694A60"/>
    <w:rsid w:val="006977F8"/>
    <w:rsid w:val="00697FAB"/>
    <w:rsid w:val="006A1403"/>
    <w:rsid w:val="006A15D4"/>
    <w:rsid w:val="006A5339"/>
    <w:rsid w:val="006A7090"/>
    <w:rsid w:val="006B0C32"/>
    <w:rsid w:val="006B2F58"/>
    <w:rsid w:val="006B6561"/>
    <w:rsid w:val="006C0E52"/>
    <w:rsid w:val="006C2E7B"/>
    <w:rsid w:val="006D0A94"/>
    <w:rsid w:val="006D31C8"/>
    <w:rsid w:val="006D4910"/>
    <w:rsid w:val="006E44E1"/>
    <w:rsid w:val="006E46DB"/>
    <w:rsid w:val="006E4905"/>
    <w:rsid w:val="006E64A5"/>
    <w:rsid w:val="00706576"/>
    <w:rsid w:val="00706844"/>
    <w:rsid w:val="00710AB8"/>
    <w:rsid w:val="007123A7"/>
    <w:rsid w:val="0071392F"/>
    <w:rsid w:val="00717070"/>
    <w:rsid w:val="007173C9"/>
    <w:rsid w:val="0072243A"/>
    <w:rsid w:val="00726A48"/>
    <w:rsid w:val="00727159"/>
    <w:rsid w:val="007306E5"/>
    <w:rsid w:val="00740868"/>
    <w:rsid w:val="00746889"/>
    <w:rsid w:val="007473DC"/>
    <w:rsid w:val="007544CB"/>
    <w:rsid w:val="007606C1"/>
    <w:rsid w:val="007703BC"/>
    <w:rsid w:val="00774BC1"/>
    <w:rsid w:val="00781424"/>
    <w:rsid w:val="00782891"/>
    <w:rsid w:val="007860CF"/>
    <w:rsid w:val="0079342F"/>
    <w:rsid w:val="007966F0"/>
    <w:rsid w:val="007A208E"/>
    <w:rsid w:val="007A4E8C"/>
    <w:rsid w:val="007A51AF"/>
    <w:rsid w:val="007A51D1"/>
    <w:rsid w:val="007A6F18"/>
    <w:rsid w:val="007A73E4"/>
    <w:rsid w:val="007B0D41"/>
    <w:rsid w:val="007B29CC"/>
    <w:rsid w:val="007B306D"/>
    <w:rsid w:val="007B351D"/>
    <w:rsid w:val="007C0089"/>
    <w:rsid w:val="007C36F8"/>
    <w:rsid w:val="007C4A68"/>
    <w:rsid w:val="007C59FF"/>
    <w:rsid w:val="007C605F"/>
    <w:rsid w:val="007D1493"/>
    <w:rsid w:val="007D3861"/>
    <w:rsid w:val="007D5E59"/>
    <w:rsid w:val="007E22B7"/>
    <w:rsid w:val="007E273F"/>
    <w:rsid w:val="007E3FE6"/>
    <w:rsid w:val="007E53FE"/>
    <w:rsid w:val="007E7D09"/>
    <w:rsid w:val="007F0D54"/>
    <w:rsid w:val="007F691A"/>
    <w:rsid w:val="007F6ADD"/>
    <w:rsid w:val="007F7667"/>
    <w:rsid w:val="0080294E"/>
    <w:rsid w:val="008115D3"/>
    <w:rsid w:val="00820EAE"/>
    <w:rsid w:val="0082136F"/>
    <w:rsid w:val="00821BB0"/>
    <w:rsid w:val="00822D18"/>
    <w:rsid w:val="00826F0A"/>
    <w:rsid w:val="00831098"/>
    <w:rsid w:val="008335A3"/>
    <w:rsid w:val="00835665"/>
    <w:rsid w:val="0083738F"/>
    <w:rsid w:val="00844028"/>
    <w:rsid w:val="00847E18"/>
    <w:rsid w:val="0085110A"/>
    <w:rsid w:val="00854E39"/>
    <w:rsid w:val="00860A7C"/>
    <w:rsid w:val="00860AC8"/>
    <w:rsid w:val="00862243"/>
    <w:rsid w:val="0086255D"/>
    <w:rsid w:val="0086764D"/>
    <w:rsid w:val="00872096"/>
    <w:rsid w:val="00875F12"/>
    <w:rsid w:val="008829BC"/>
    <w:rsid w:val="00882D2B"/>
    <w:rsid w:val="0088300C"/>
    <w:rsid w:val="00883911"/>
    <w:rsid w:val="00886B01"/>
    <w:rsid w:val="008878F5"/>
    <w:rsid w:val="00887BFF"/>
    <w:rsid w:val="00890114"/>
    <w:rsid w:val="00895C96"/>
    <w:rsid w:val="00897789"/>
    <w:rsid w:val="008A00C1"/>
    <w:rsid w:val="008A1382"/>
    <w:rsid w:val="008A1A9F"/>
    <w:rsid w:val="008A206B"/>
    <w:rsid w:val="008A718C"/>
    <w:rsid w:val="008B0B04"/>
    <w:rsid w:val="008B3930"/>
    <w:rsid w:val="008B7BBE"/>
    <w:rsid w:val="008C4415"/>
    <w:rsid w:val="008D6CF4"/>
    <w:rsid w:val="008E25B1"/>
    <w:rsid w:val="008F12EE"/>
    <w:rsid w:val="008F4CB2"/>
    <w:rsid w:val="008F536F"/>
    <w:rsid w:val="00906659"/>
    <w:rsid w:val="009107FE"/>
    <w:rsid w:val="00912D10"/>
    <w:rsid w:val="0091653C"/>
    <w:rsid w:val="009179AB"/>
    <w:rsid w:val="00921B32"/>
    <w:rsid w:val="00923109"/>
    <w:rsid w:val="00930097"/>
    <w:rsid w:val="00930A6E"/>
    <w:rsid w:val="009358DF"/>
    <w:rsid w:val="00935F2D"/>
    <w:rsid w:val="009368A4"/>
    <w:rsid w:val="009370D7"/>
    <w:rsid w:val="009447DA"/>
    <w:rsid w:val="00944E18"/>
    <w:rsid w:val="00945B73"/>
    <w:rsid w:val="00946E4B"/>
    <w:rsid w:val="00947513"/>
    <w:rsid w:val="00953CCC"/>
    <w:rsid w:val="009618B0"/>
    <w:rsid w:val="009632E3"/>
    <w:rsid w:val="009636AB"/>
    <w:rsid w:val="00964B5F"/>
    <w:rsid w:val="009653AA"/>
    <w:rsid w:val="00965CDE"/>
    <w:rsid w:val="009775DF"/>
    <w:rsid w:val="00980492"/>
    <w:rsid w:val="00980895"/>
    <w:rsid w:val="00985BFE"/>
    <w:rsid w:val="0098650F"/>
    <w:rsid w:val="009901F7"/>
    <w:rsid w:val="0099309C"/>
    <w:rsid w:val="00993B35"/>
    <w:rsid w:val="00993C88"/>
    <w:rsid w:val="00994251"/>
    <w:rsid w:val="009945BB"/>
    <w:rsid w:val="009A04E4"/>
    <w:rsid w:val="009A5B91"/>
    <w:rsid w:val="009A5CF4"/>
    <w:rsid w:val="009B1F7A"/>
    <w:rsid w:val="009B25D5"/>
    <w:rsid w:val="009B3346"/>
    <w:rsid w:val="009C07D1"/>
    <w:rsid w:val="009C21C4"/>
    <w:rsid w:val="009C349B"/>
    <w:rsid w:val="009C4543"/>
    <w:rsid w:val="009D606B"/>
    <w:rsid w:val="009E34B0"/>
    <w:rsid w:val="009E48E1"/>
    <w:rsid w:val="009E640D"/>
    <w:rsid w:val="009F04AF"/>
    <w:rsid w:val="009F0964"/>
    <w:rsid w:val="009F10DF"/>
    <w:rsid w:val="009F20FB"/>
    <w:rsid w:val="009F4ABE"/>
    <w:rsid w:val="00A03C2F"/>
    <w:rsid w:val="00A04F86"/>
    <w:rsid w:val="00A07075"/>
    <w:rsid w:val="00A13926"/>
    <w:rsid w:val="00A14E3D"/>
    <w:rsid w:val="00A165A9"/>
    <w:rsid w:val="00A17BD5"/>
    <w:rsid w:val="00A31BE4"/>
    <w:rsid w:val="00A32AAE"/>
    <w:rsid w:val="00A3471A"/>
    <w:rsid w:val="00A35000"/>
    <w:rsid w:val="00A416D6"/>
    <w:rsid w:val="00A428E2"/>
    <w:rsid w:val="00A5376E"/>
    <w:rsid w:val="00A539F7"/>
    <w:rsid w:val="00A65F57"/>
    <w:rsid w:val="00A70F09"/>
    <w:rsid w:val="00A71218"/>
    <w:rsid w:val="00A72D16"/>
    <w:rsid w:val="00A73C75"/>
    <w:rsid w:val="00A74FCD"/>
    <w:rsid w:val="00A8415C"/>
    <w:rsid w:val="00A8505A"/>
    <w:rsid w:val="00A90C3B"/>
    <w:rsid w:val="00A94318"/>
    <w:rsid w:val="00A97F40"/>
    <w:rsid w:val="00AA2005"/>
    <w:rsid w:val="00AA4A3C"/>
    <w:rsid w:val="00AB5437"/>
    <w:rsid w:val="00AD50B1"/>
    <w:rsid w:val="00AD5B93"/>
    <w:rsid w:val="00AD6C42"/>
    <w:rsid w:val="00AD7EBF"/>
    <w:rsid w:val="00AF0301"/>
    <w:rsid w:val="00AF2A7F"/>
    <w:rsid w:val="00AF350D"/>
    <w:rsid w:val="00B01DA3"/>
    <w:rsid w:val="00B05692"/>
    <w:rsid w:val="00B1579A"/>
    <w:rsid w:val="00B32C4C"/>
    <w:rsid w:val="00B32E45"/>
    <w:rsid w:val="00B33E6F"/>
    <w:rsid w:val="00B35F3E"/>
    <w:rsid w:val="00B36BCA"/>
    <w:rsid w:val="00B41BEA"/>
    <w:rsid w:val="00B456E8"/>
    <w:rsid w:val="00B50EE3"/>
    <w:rsid w:val="00B5136A"/>
    <w:rsid w:val="00B51F22"/>
    <w:rsid w:val="00B5381A"/>
    <w:rsid w:val="00B53ED5"/>
    <w:rsid w:val="00B53EF9"/>
    <w:rsid w:val="00B54502"/>
    <w:rsid w:val="00B56345"/>
    <w:rsid w:val="00B5798D"/>
    <w:rsid w:val="00B62F34"/>
    <w:rsid w:val="00B64158"/>
    <w:rsid w:val="00B64615"/>
    <w:rsid w:val="00B70FA5"/>
    <w:rsid w:val="00B746D3"/>
    <w:rsid w:val="00B7660B"/>
    <w:rsid w:val="00B8169F"/>
    <w:rsid w:val="00B84EDC"/>
    <w:rsid w:val="00B84F26"/>
    <w:rsid w:val="00B86688"/>
    <w:rsid w:val="00B92520"/>
    <w:rsid w:val="00B929FC"/>
    <w:rsid w:val="00B9346D"/>
    <w:rsid w:val="00B94664"/>
    <w:rsid w:val="00B94EFA"/>
    <w:rsid w:val="00B9533B"/>
    <w:rsid w:val="00B955BF"/>
    <w:rsid w:val="00BA5B9B"/>
    <w:rsid w:val="00BA603A"/>
    <w:rsid w:val="00BA6AA1"/>
    <w:rsid w:val="00BB0FB9"/>
    <w:rsid w:val="00BB2406"/>
    <w:rsid w:val="00BB3AAD"/>
    <w:rsid w:val="00BB568F"/>
    <w:rsid w:val="00BB582C"/>
    <w:rsid w:val="00BB7829"/>
    <w:rsid w:val="00BC1429"/>
    <w:rsid w:val="00BC615A"/>
    <w:rsid w:val="00BD4120"/>
    <w:rsid w:val="00BE4E7D"/>
    <w:rsid w:val="00BE50B5"/>
    <w:rsid w:val="00BE782B"/>
    <w:rsid w:val="00BE78AF"/>
    <w:rsid w:val="00BF1199"/>
    <w:rsid w:val="00C0016F"/>
    <w:rsid w:val="00C00A0F"/>
    <w:rsid w:val="00C011BB"/>
    <w:rsid w:val="00C03095"/>
    <w:rsid w:val="00C030AC"/>
    <w:rsid w:val="00C034A6"/>
    <w:rsid w:val="00C04B7D"/>
    <w:rsid w:val="00C07328"/>
    <w:rsid w:val="00C15883"/>
    <w:rsid w:val="00C20BAD"/>
    <w:rsid w:val="00C21C52"/>
    <w:rsid w:val="00C25A07"/>
    <w:rsid w:val="00C43845"/>
    <w:rsid w:val="00C46541"/>
    <w:rsid w:val="00C6065C"/>
    <w:rsid w:val="00C63D79"/>
    <w:rsid w:val="00C64F44"/>
    <w:rsid w:val="00C65644"/>
    <w:rsid w:val="00C65C24"/>
    <w:rsid w:val="00C66A55"/>
    <w:rsid w:val="00C67469"/>
    <w:rsid w:val="00C72212"/>
    <w:rsid w:val="00C756A6"/>
    <w:rsid w:val="00C8634B"/>
    <w:rsid w:val="00C865CE"/>
    <w:rsid w:val="00C92419"/>
    <w:rsid w:val="00CB28CE"/>
    <w:rsid w:val="00CB3A62"/>
    <w:rsid w:val="00CC6395"/>
    <w:rsid w:val="00CD60D5"/>
    <w:rsid w:val="00CE05D2"/>
    <w:rsid w:val="00CE3593"/>
    <w:rsid w:val="00CE6674"/>
    <w:rsid w:val="00CF5662"/>
    <w:rsid w:val="00CF730A"/>
    <w:rsid w:val="00D0368A"/>
    <w:rsid w:val="00D03861"/>
    <w:rsid w:val="00D06CFE"/>
    <w:rsid w:val="00D0709A"/>
    <w:rsid w:val="00D10799"/>
    <w:rsid w:val="00D1092C"/>
    <w:rsid w:val="00D24C4F"/>
    <w:rsid w:val="00D25744"/>
    <w:rsid w:val="00D25F1E"/>
    <w:rsid w:val="00D2720E"/>
    <w:rsid w:val="00D3069B"/>
    <w:rsid w:val="00D56AA3"/>
    <w:rsid w:val="00D56FDA"/>
    <w:rsid w:val="00D6383D"/>
    <w:rsid w:val="00D64DF6"/>
    <w:rsid w:val="00D674FF"/>
    <w:rsid w:val="00D72608"/>
    <w:rsid w:val="00D90FCF"/>
    <w:rsid w:val="00D979EA"/>
    <w:rsid w:val="00DA2CD9"/>
    <w:rsid w:val="00DA5298"/>
    <w:rsid w:val="00DB7BEB"/>
    <w:rsid w:val="00DC6B95"/>
    <w:rsid w:val="00DE388A"/>
    <w:rsid w:val="00DE6813"/>
    <w:rsid w:val="00DE7C14"/>
    <w:rsid w:val="00DF21D9"/>
    <w:rsid w:val="00DF33AE"/>
    <w:rsid w:val="00DF78B5"/>
    <w:rsid w:val="00E11136"/>
    <w:rsid w:val="00E126BF"/>
    <w:rsid w:val="00E214F8"/>
    <w:rsid w:val="00E22C71"/>
    <w:rsid w:val="00E25D0A"/>
    <w:rsid w:val="00E26296"/>
    <w:rsid w:val="00E3534A"/>
    <w:rsid w:val="00E376E6"/>
    <w:rsid w:val="00E403CD"/>
    <w:rsid w:val="00E50E5D"/>
    <w:rsid w:val="00E51FE9"/>
    <w:rsid w:val="00E60FC9"/>
    <w:rsid w:val="00E663CF"/>
    <w:rsid w:val="00E66AE4"/>
    <w:rsid w:val="00E73B0A"/>
    <w:rsid w:val="00E75FF1"/>
    <w:rsid w:val="00E81452"/>
    <w:rsid w:val="00E82668"/>
    <w:rsid w:val="00E8326B"/>
    <w:rsid w:val="00E9255E"/>
    <w:rsid w:val="00E92D48"/>
    <w:rsid w:val="00EA0A89"/>
    <w:rsid w:val="00EA274F"/>
    <w:rsid w:val="00EA548D"/>
    <w:rsid w:val="00EA7CFA"/>
    <w:rsid w:val="00EB3965"/>
    <w:rsid w:val="00EB44A5"/>
    <w:rsid w:val="00EB6A9C"/>
    <w:rsid w:val="00EC1214"/>
    <w:rsid w:val="00EC711F"/>
    <w:rsid w:val="00ED5DB7"/>
    <w:rsid w:val="00EE22C3"/>
    <w:rsid w:val="00EE3933"/>
    <w:rsid w:val="00EE3E93"/>
    <w:rsid w:val="00EF20D4"/>
    <w:rsid w:val="00EF28E0"/>
    <w:rsid w:val="00EF3815"/>
    <w:rsid w:val="00EF74B8"/>
    <w:rsid w:val="00F044E7"/>
    <w:rsid w:val="00F05E31"/>
    <w:rsid w:val="00F16BCC"/>
    <w:rsid w:val="00F20058"/>
    <w:rsid w:val="00F24260"/>
    <w:rsid w:val="00F32B6E"/>
    <w:rsid w:val="00F33C9D"/>
    <w:rsid w:val="00F36E3B"/>
    <w:rsid w:val="00F36EF3"/>
    <w:rsid w:val="00F4392E"/>
    <w:rsid w:val="00F43AFA"/>
    <w:rsid w:val="00F474F7"/>
    <w:rsid w:val="00F50EBA"/>
    <w:rsid w:val="00F54F04"/>
    <w:rsid w:val="00F57DE2"/>
    <w:rsid w:val="00F706A5"/>
    <w:rsid w:val="00F74C40"/>
    <w:rsid w:val="00F75862"/>
    <w:rsid w:val="00F77FD5"/>
    <w:rsid w:val="00F83E6B"/>
    <w:rsid w:val="00F87D49"/>
    <w:rsid w:val="00F91BE2"/>
    <w:rsid w:val="00F951AB"/>
    <w:rsid w:val="00FA3238"/>
    <w:rsid w:val="00FA45F2"/>
    <w:rsid w:val="00FA4B8B"/>
    <w:rsid w:val="00FA63DD"/>
    <w:rsid w:val="00FB0EE2"/>
    <w:rsid w:val="00FB160E"/>
    <w:rsid w:val="00FB6053"/>
    <w:rsid w:val="00FB7DC4"/>
    <w:rsid w:val="00FC02B6"/>
    <w:rsid w:val="00FC07DB"/>
    <w:rsid w:val="00FC37C8"/>
    <w:rsid w:val="00FC5F02"/>
    <w:rsid w:val="00FD0131"/>
    <w:rsid w:val="00FD51C5"/>
    <w:rsid w:val="00FE1220"/>
    <w:rsid w:val="00FE5806"/>
    <w:rsid w:val="00FF1FEB"/>
    <w:rsid w:val="00FF4099"/>
    <w:rsid w:val="00FF4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1ECB8"/>
  <w15:chartTrackingRefBased/>
  <w15:docId w15:val="{2F1FCC01-2126-1640-BD8E-3B54B394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A4C"/>
    <w:rPr>
      <w:rFonts w:ascii="Times New Roman" w:eastAsia="Times New Roman" w:hAnsi="Times New Roman" w:cs="Times New Roman"/>
      <w:lang w:eastAsia="en-GB"/>
    </w:rPr>
  </w:style>
  <w:style w:type="paragraph" w:styleId="Heading1">
    <w:name w:val="heading 1"/>
    <w:basedOn w:val="Normal"/>
    <w:link w:val="Heading1Char"/>
    <w:uiPriority w:val="9"/>
    <w:qFormat/>
    <w:rsid w:val="00C03095"/>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0625A"/>
    <w:rPr>
      <w:sz w:val="16"/>
      <w:szCs w:val="16"/>
    </w:rPr>
  </w:style>
  <w:style w:type="paragraph" w:styleId="CommentText">
    <w:name w:val="annotation text"/>
    <w:basedOn w:val="Normal"/>
    <w:link w:val="CommentTextChar"/>
    <w:uiPriority w:val="99"/>
    <w:semiHidden/>
    <w:unhideWhenUsed/>
    <w:rsid w:val="0040625A"/>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0625A"/>
    <w:rPr>
      <w:sz w:val="20"/>
      <w:szCs w:val="20"/>
    </w:rPr>
  </w:style>
  <w:style w:type="paragraph" w:styleId="CommentSubject">
    <w:name w:val="annotation subject"/>
    <w:basedOn w:val="CommentText"/>
    <w:next w:val="CommentText"/>
    <w:link w:val="CommentSubjectChar"/>
    <w:uiPriority w:val="99"/>
    <w:semiHidden/>
    <w:unhideWhenUsed/>
    <w:rsid w:val="0040625A"/>
    <w:rPr>
      <w:b/>
      <w:bCs/>
    </w:rPr>
  </w:style>
  <w:style w:type="character" w:customStyle="1" w:styleId="CommentSubjectChar">
    <w:name w:val="Comment Subject Char"/>
    <w:basedOn w:val="CommentTextChar"/>
    <w:link w:val="CommentSubject"/>
    <w:uiPriority w:val="99"/>
    <w:semiHidden/>
    <w:rsid w:val="0040625A"/>
    <w:rPr>
      <w:b/>
      <w:bCs/>
      <w:sz w:val="20"/>
      <w:szCs w:val="20"/>
    </w:rPr>
  </w:style>
  <w:style w:type="paragraph" w:styleId="BalloonText">
    <w:name w:val="Balloon Text"/>
    <w:basedOn w:val="Normal"/>
    <w:link w:val="BalloonTextChar"/>
    <w:uiPriority w:val="99"/>
    <w:semiHidden/>
    <w:unhideWhenUsed/>
    <w:rsid w:val="0040625A"/>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40625A"/>
    <w:rPr>
      <w:rFonts w:ascii="Times New Roman" w:hAnsi="Times New Roman" w:cs="Times New Roman"/>
      <w:sz w:val="18"/>
      <w:szCs w:val="18"/>
    </w:rPr>
  </w:style>
  <w:style w:type="paragraph" w:styleId="ListParagraph">
    <w:name w:val="List Paragraph"/>
    <w:basedOn w:val="Normal"/>
    <w:uiPriority w:val="34"/>
    <w:qFormat/>
    <w:rsid w:val="00A03C2F"/>
    <w:pPr>
      <w:ind w:left="720"/>
      <w:contextualSpacing/>
    </w:pPr>
    <w:rPr>
      <w:rFonts w:asciiTheme="minorHAnsi" w:eastAsiaTheme="minorHAnsi" w:hAnsiTheme="minorHAnsi" w:cstheme="minorBidi"/>
      <w:lang w:val="en-GB" w:eastAsia="en-US"/>
    </w:rPr>
  </w:style>
  <w:style w:type="paragraph" w:styleId="FootnoteText">
    <w:name w:val="footnote text"/>
    <w:basedOn w:val="Normal"/>
    <w:link w:val="FootnoteTextChar"/>
    <w:uiPriority w:val="99"/>
    <w:semiHidden/>
    <w:unhideWhenUsed/>
    <w:rsid w:val="002C5F00"/>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2C5F00"/>
    <w:rPr>
      <w:sz w:val="20"/>
      <w:szCs w:val="20"/>
    </w:rPr>
  </w:style>
  <w:style w:type="character" w:styleId="FootnoteReference">
    <w:name w:val="footnote reference"/>
    <w:basedOn w:val="DefaultParagraphFont"/>
    <w:uiPriority w:val="99"/>
    <w:semiHidden/>
    <w:unhideWhenUsed/>
    <w:rsid w:val="002C5F00"/>
    <w:rPr>
      <w:vertAlign w:val="superscript"/>
    </w:rPr>
  </w:style>
  <w:style w:type="character" w:styleId="EndnoteReference">
    <w:name w:val="endnote reference"/>
    <w:basedOn w:val="DefaultParagraphFont"/>
    <w:uiPriority w:val="99"/>
    <w:semiHidden/>
    <w:unhideWhenUsed/>
    <w:rsid w:val="00D0709A"/>
    <w:rPr>
      <w:vertAlign w:val="superscript"/>
    </w:rPr>
  </w:style>
  <w:style w:type="character" w:styleId="PlaceholderText">
    <w:name w:val="Placeholder Text"/>
    <w:basedOn w:val="DefaultParagraphFont"/>
    <w:uiPriority w:val="99"/>
    <w:semiHidden/>
    <w:rsid w:val="00E126BF"/>
    <w:rPr>
      <w:color w:val="808080"/>
    </w:rPr>
  </w:style>
  <w:style w:type="character" w:customStyle="1" w:styleId="mi">
    <w:name w:val="mi"/>
    <w:basedOn w:val="DefaultParagraphFont"/>
    <w:rsid w:val="00E126BF"/>
  </w:style>
  <w:style w:type="character" w:customStyle="1" w:styleId="mn">
    <w:name w:val="mn"/>
    <w:basedOn w:val="DefaultParagraphFont"/>
    <w:rsid w:val="00E126BF"/>
  </w:style>
  <w:style w:type="character" w:customStyle="1" w:styleId="mjxassistivemathml">
    <w:name w:val="mjx_assistive_mathml"/>
    <w:basedOn w:val="DefaultParagraphFont"/>
    <w:rsid w:val="00E126BF"/>
  </w:style>
  <w:style w:type="paragraph" w:styleId="NormalWeb">
    <w:name w:val="Normal (Web)"/>
    <w:basedOn w:val="Normal"/>
    <w:uiPriority w:val="99"/>
    <w:unhideWhenUsed/>
    <w:rsid w:val="00921B32"/>
    <w:pPr>
      <w:spacing w:before="100" w:beforeAutospacing="1" w:after="100" w:afterAutospacing="1"/>
    </w:pPr>
  </w:style>
  <w:style w:type="table" w:styleId="TableGrid">
    <w:name w:val="Table Grid"/>
    <w:basedOn w:val="TableNormal"/>
    <w:uiPriority w:val="39"/>
    <w:rsid w:val="00C21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21C52"/>
    <w:pPr>
      <w:tabs>
        <w:tab w:val="right" w:leader="dot" w:pos="9010"/>
      </w:tabs>
      <w:spacing w:after="100"/>
    </w:pPr>
  </w:style>
  <w:style w:type="character" w:customStyle="1" w:styleId="apple-converted-space">
    <w:name w:val="apple-converted-space"/>
    <w:basedOn w:val="DefaultParagraphFont"/>
    <w:rsid w:val="00E73B0A"/>
  </w:style>
  <w:style w:type="paragraph" w:styleId="Header">
    <w:name w:val="header"/>
    <w:basedOn w:val="Normal"/>
    <w:link w:val="HeaderChar"/>
    <w:uiPriority w:val="99"/>
    <w:unhideWhenUsed/>
    <w:rsid w:val="00D24C4F"/>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D24C4F"/>
  </w:style>
  <w:style w:type="paragraph" w:styleId="Footer">
    <w:name w:val="footer"/>
    <w:basedOn w:val="Normal"/>
    <w:link w:val="FooterChar"/>
    <w:uiPriority w:val="99"/>
    <w:unhideWhenUsed/>
    <w:rsid w:val="00D24C4F"/>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D24C4F"/>
  </w:style>
  <w:style w:type="character" w:styleId="Hyperlink">
    <w:name w:val="Hyperlink"/>
    <w:basedOn w:val="DefaultParagraphFont"/>
    <w:uiPriority w:val="99"/>
    <w:unhideWhenUsed/>
    <w:rsid w:val="00FC02B6"/>
    <w:rPr>
      <w:color w:val="0563C1" w:themeColor="hyperlink"/>
      <w:u w:val="single"/>
    </w:rPr>
  </w:style>
  <w:style w:type="character" w:styleId="UnresolvedMention">
    <w:name w:val="Unresolved Mention"/>
    <w:basedOn w:val="DefaultParagraphFont"/>
    <w:uiPriority w:val="99"/>
    <w:semiHidden/>
    <w:unhideWhenUsed/>
    <w:rsid w:val="00FC02B6"/>
    <w:rPr>
      <w:color w:val="605E5C"/>
      <w:shd w:val="clear" w:color="auto" w:fill="E1DFDD"/>
    </w:rPr>
  </w:style>
  <w:style w:type="character" w:styleId="FollowedHyperlink">
    <w:name w:val="FollowedHyperlink"/>
    <w:basedOn w:val="DefaultParagraphFont"/>
    <w:uiPriority w:val="99"/>
    <w:semiHidden/>
    <w:unhideWhenUsed/>
    <w:rsid w:val="00D03861"/>
    <w:rPr>
      <w:color w:val="954F72" w:themeColor="followedHyperlink"/>
      <w:u w:val="single"/>
    </w:rPr>
  </w:style>
  <w:style w:type="character" w:customStyle="1" w:styleId="Heading1Char">
    <w:name w:val="Heading 1 Char"/>
    <w:basedOn w:val="DefaultParagraphFont"/>
    <w:link w:val="Heading1"/>
    <w:uiPriority w:val="9"/>
    <w:rsid w:val="00C03095"/>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A165A9"/>
    <w:rPr>
      <w:i/>
      <w:iCs/>
    </w:rPr>
  </w:style>
  <w:style w:type="character" w:styleId="PageNumber">
    <w:name w:val="page number"/>
    <w:basedOn w:val="DefaultParagraphFont"/>
    <w:uiPriority w:val="99"/>
    <w:semiHidden/>
    <w:unhideWhenUsed/>
    <w:rsid w:val="00C20BAD"/>
  </w:style>
  <w:style w:type="character" w:styleId="Strong">
    <w:name w:val="Strong"/>
    <w:basedOn w:val="DefaultParagraphFont"/>
    <w:uiPriority w:val="22"/>
    <w:qFormat/>
    <w:rsid w:val="00895C96"/>
    <w:rPr>
      <w:b/>
      <w:bCs/>
    </w:rPr>
  </w:style>
  <w:style w:type="paragraph" w:styleId="Revision">
    <w:name w:val="Revision"/>
    <w:hidden/>
    <w:uiPriority w:val="99"/>
    <w:semiHidden/>
    <w:rsid w:val="00680255"/>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84982">
      <w:bodyDiv w:val="1"/>
      <w:marLeft w:val="0"/>
      <w:marRight w:val="0"/>
      <w:marTop w:val="0"/>
      <w:marBottom w:val="0"/>
      <w:divBdr>
        <w:top w:val="none" w:sz="0" w:space="0" w:color="auto"/>
        <w:left w:val="none" w:sz="0" w:space="0" w:color="auto"/>
        <w:bottom w:val="none" w:sz="0" w:space="0" w:color="auto"/>
        <w:right w:val="none" w:sz="0" w:space="0" w:color="auto"/>
      </w:divBdr>
    </w:div>
    <w:div w:id="294219480">
      <w:bodyDiv w:val="1"/>
      <w:marLeft w:val="0"/>
      <w:marRight w:val="0"/>
      <w:marTop w:val="0"/>
      <w:marBottom w:val="0"/>
      <w:divBdr>
        <w:top w:val="none" w:sz="0" w:space="0" w:color="auto"/>
        <w:left w:val="none" w:sz="0" w:space="0" w:color="auto"/>
        <w:bottom w:val="none" w:sz="0" w:space="0" w:color="auto"/>
        <w:right w:val="none" w:sz="0" w:space="0" w:color="auto"/>
      </w:divBdr>
    </w:div>
    <w:div w:id="381760048">
      <w:bodyDiv w:val="1"/>
      <w:marLeft w:val="0"/>
      <w:marRight w:val="0"/>
      <w:marTop w:val="0"/>
      <w:marBottom w:val="0"/>
      <w:divBdr>
        <w:top w:val="none" w:sz="0" w:space="0" w:color="auto"/>
        <w:left w:val="none" w:sz="0" w:space="0" w:color="auto"/>
        <w:bottom w:val="none" w:sz="0" w:space="0" w:color="auto"/>
        <w:right w:val="none" w:sz="0" w:space="0" w:color="auto"/>
      </w:divBdr>
    </w:div>
    <w:div w:id="443351270">
      <w:bodyDiv w:val="1"/>
      <w:marLeft w:val="0"/>
      <w:marRight w:val="0"/>
      <w:marTop w:val="0"/>
      <w:marBottom w:val="0"/>
      <w:divBdr>
        <w:top w:val="none" w:sz="0" w:space="0" w:color="auto"/>
        <w:left w:val="none" w:sz="0" w:space="0" w:color="auto"/>
        <w:bottom w:val="none" w:sz="0" w:space="0" w:color="auto"/>
        <w:right w:val="none" w:sz="0" w:space="0" w:color="auto"/>
      </w:divBdr>
    </w:div>
    <w:div w:id="456293682">
      <w:bodyDiv w:val="1"/>
      <w:marLeft w:val="0"/>
      <w:marRight w:val="0"/>
      <w:marTop w:val="0"/>
      <w:marBottom w:val="0"/>
      <w:divBdr>
        <w:top w:val="none" w:sz="0" w:space="0" w:color="auto"/>
        <w:left w:val="none" w:sz="0" w:space="0" w:color="auto"/>
        <w:bottom w:val="none" w:sz="0" w:space="0" w:color="auto"/>
        <w:right w:val="none" w:sz="0" w:space="0" w:color="auto"/>
      </w:divBdr>
    </w:div>
    <w:div w:id="544565605">
      <w:bodyDiv w:val="1"/>
      <w:marLeft w:val="0"/>
      <w:marRight w:val="0"/>
      <w:marTop w:val="0"/>
      <w:marBottom w:val="0"/>
      <w:divBdr>
        <w:top w:val="none" w:sz="0" w:space="0" w:color="auto"/>
        <w:left w:val="none" w:sz="0" w:space="0" w:color="auto"/>
        <w:bottom w:val="none" w:sz="0" w:space="0" w:color="auto"/>
        <w:right w:val="none" w:sz="0" w:space="0" w:color="auto"/>
      </w:divBdr>
    </w:div>
    <w:div w:id="776019910">
      <w:bodyDiv w:val="1"/>
      <w:marLeft w:val="0"/>
      <w:marRight w:val="0"/>
      <w:marTop w:val="0"/>
      <w:marBottom w:val="0"/>
      <w:divBdr>
        <w:top w:val="none" w:sz="0" w:space="0" w:color="auto"/>
        <w:left w:val="none" w:sz="0" w:space="0" w:color="auto"/>
        <w:bottom w:val="none" w:sz="0" w:space="0" w:color="auto"/>
        <w:right w:val="none" w:sz="0" w:space="0" w:color="auto"/>
      </w:divBdr>
    </w:div>
    <w:div w:id="785390082">
      <w:bodyDiv w:val="1"/>
      <w:marLeft w:val="0"/>
      <w:marRight w:val="0"/>
      <w:marTop w:val="0"/>
      <w:marBottom w:val="0"/>
      <w:divBdr>
        <w:top w:val="none" w:sz="0" w:space="0" w:color="auto"/>
        <w:left w:val="none" w:sz="0" w:space="0" w:color="auto"/>
        <w:bottom w:val="none" w:sz="0" w:space="0" w:color="auto"/>
        <w:right w:val="none" w:sz="0" w:space="0" w:color="auto"/>
      </w:divBdr>
    </w:div>
    <w:div w:id="809860247">
      <w:bodyDiv w:val="1"/>
      <w:marLeft w:val="0"/>
      <w:marRight w:val="0"/>
      <w:marTop w:val="0"/>
      <w:marBottom w:val="0"/>
      <w:divBdr>
        <w:top w:val="none" w:sz="0" w:space="0" w:color="auto"/>
        <w:left w:val="none" w:sz="0" w:space="0" w:color="auto"/>
        <w:bottom w:val="none" w:sz="0" w:space="0" w:color="auto"/>
        <w:right w:val="none" w:sz="0" w:space="0" w:color="auto"/>
      </w:divBdr>
    </w:div>
    <w:div w:id="986737570">
      <w:bodyDiv w:val="1"/>
      <w:marLeft w:val="0"/>
      <w:marRight w:val="0"/>
      <w:marTop w:val="0"/>
      <w:marBottom w:val="0"/>
      <w:divBdr>
        <w:top w:val="none" w:sz="0" w:space="0" w:color="auto"/>
        <w:left w:val="none" w:sz="0" w:space="0" w:color="auto"/>
        <w:bottom w:val="none" w:sz="0" w:space="0" w:color="auto"/>
        <w:right w:val="none" w:sz="0" w:space="0" w:color="auto"/>
      </w:divBdr>
    </w:div>
    <w:div w:id="1091044915">
      <w:bodyDiv w:val="1"/>
      <w:marLeft w:val="0"/>
      <w:marRight w:val="0"/>
      <w:marTop w:val="0"/>
      <w:marBottom w:val="0"/>
      <w:divBdr>
        <w:top w:val="none" w:sz="0" w:space="0" w:color="auto"/>
        <w:left w:val="none" w:sz="0" w:space="0" w:color="auto"/>
        <w:bottom w:val="none" w:sz="0" w:space="0" w:color="auto"/>
        <w:right w:val="none" w:sz="0" w:space="0" w:color="auto"/>
      </w:divBdr>
    </w:div>
    <w:div w:id="1092511493">
      <w:bodyDiv w:val="1"/>
      <w:marLeft w:val="0"/>
      <w:marRight w:val="0"/>
      <w:marTop w:val="0"/>
      <w:marBottom w:val="0"/>
      <w:divBdr>
        <w:top w:val="none" w:sz="0" w:space="0" w:color="auto"/>
        <w:left w:val="none" w:sz="0" w:space="0" w:color="auto"/>
        <w:bottom w:val="none" w:sz="0" w:space="0" w:color="auto"/>
        <w:right w:val="none" w:sz="0" w:space="0" w:color="auto"/>
      </w:divBdr>
    </w:div>
    <w:div w:id="1109275976">
      <w:bodyDiv w:val="1"/>
      <w:marLeft w:val="0"/>
      <w:marRight w:val="0"/>
      <w:marTop w:val="0"/>
      <w:marBottom w:val="0"/>
      <w:divBdr>
        <w:top w:val="none" w:sz="0" w:space="0" w:color="auto"/>
        <w:left w:val="none" w:sz="0" w:space="0" w:color="auto"/>
        <w:bottom w:val="none" w:sz="0" w:space="0" w:color="auto"/>
        <w:right w:val="none" w:sz="0" w:space="0" w:color="auto"/>
      </w:divBdr>
    </w:div>
    <w:div w:id="1250695045">
      <w:bodyDiv w:val="1"/>
      <w:marLeft w:val="0"/>
      <w:marRight w:val="0"/>
      <w:marTop w:val="0"/>
      <w:marBottom w:val="0"/>
      <w:divBdr>
        <w:top w:val="none" w:sz="0" w:space="0" w:color="auto"/>
        <w:left w:val="none" w:sz="0" w:space="0" w:color="auto"/>
        <w:bottom w:val="none" w:sz="0" w:space="0" w:color="auto"/>
        <w:right w:val="none" w:sz="0" w:space="0" w:color="auto"/>
      </w:divBdr>
      <w:divsChild>
        <w:div w:id="171647537">
          <w:marLeft w:val="0"/>
          <w:marRight w:val="0"/>
          <w:marTop w:val="0"/>
          <w:marBottom w:val="0"/>
          <w:divBdr>
            <w:top w:val="none" w:sz="0" w:space="0" w:color="auto"/>
            <w:left w:val="none" w:sz="0" w:space="0" w:color="auto"/>
            <w:bottom w:val="none" w:sz="0" w:space="0" w:color="auto"/>
            <w:right w:val="none" w:sz="0" w:space="0" w:color="auto"/>
          </w:divBdr>
          <w:divsChild>
            <w:div w:id="2049182587">
              <w:marLeft w:val="0"/>
              <w:marRight w:val="0"/>
              <w:marTop w:val="0"/>
              <w:marBottom w:val="0"/>
              <w:divBdr>
                <w:top w:val="none" w:sz="0" w:space="0" w:color="auto"/>
                <w:left w:val="none" w:sz="0" w:space="0" w:color="auto"/>
                <w:bottom w:val="none" w:sz="0" w:space="0" w:color="auto"/>
                <w:right w:val="none" w:sz="0" w:space="0" w:color="auto"/>
              </w:divBdr>
              <w:divsChild>
                <w:div w:id="1245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94028">
      <w:bodyDiv w:val="1"/>
      <w:marLeft w:val="0"/>
      <w:marRight w:val="0"/>
      <w:marTop w:val="0"/>
      <w:marBottom w:val="0"/>
      <w:divBdr>
        <w:top w:val="none" w:sz="0" w:space="0" w:color="auto"/>
        <w:left w:val="none" w:sz="0" w:space="0" w:color="auto"/>
        <w:bottom w:val="none" w:sz="0" w:space="0" w:color="auto"/>
        <w:right w:val="none" w:sz="0" w:space="0" w:color="auto"/>
      </w:divBdr>
      <w:divsChild>
        <w:div w:id="1590233955">
          <w:marLeft w:val="0"/>
          <w:marRight w:val="0"/>
          <w:marTop w:val="0"/>
          <w:marBottom w:val="0"/>
          <w:divBdr>
            <w:top w:val="none" w:sz="0" w:space="0" w:color="auto"/>
            <w:left w:val="none" w:sz="0" w:space="0" w:color="auto"/>
            <w:bottom w:val="none" w:sz="0" w:space="0" w:color="auto"/>
            <w:right w:val="none" w:sz="0" w:space="0" w:color="auto"/>
          </w:divBdr>
          <w:divsChild>
            <w:div w:id="195579795">
              <w:marLeft w:val="0"/>
              <w:marRight w:val="0"/>
              <w:marTop w:val="0"/>
              <w:marBottom w:val="0"/>
              <w:divBdr>
                <w:top w:val="none" w:sz="0" w:space="0" w:color="auto"/>
                <w:left w:val="none" w:sz="0" w:space="0" w:color="auto"/>
                <w:bottom w:val="none" w:sz="0" w:space="0" w:color="auto"/>
                <w:right w:val="none" w:sz="0" w:space="0" w:color="auto"/>
              </w:divBdr>
              <w:divsChild>
                <w:div w:id="15036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20291">
      <w:bodyDiv w:val="1"/>
      <w:marLeft w:val="0"/>
      <w:marRight w:val="0"/>
      <w:marTop w:val="0"/>
      <w:marBottom w:val="0"/>
      <w:divBdr>
        <w:top w:val="none" w:sz="0" w:space="0" w:color="auto"/>
        <w:left w:val="none" w:sz="0" w:space="0" w:color="auto"/>
        <w:bottom w:val="none" w:sz="0" w:space="0" w:color="auto"/>
        <w:right w:val="none" w:sz="0" w:space="0" w:color="auto"/>
      </w:divBdr>
    </w:div>
    <w:div w:id="1541749373">
      <w:bodyDiv w:val="1"/>
      <w:marLeft w:val="0"/>
      <w:marRight w:val="0"/>
      <w:marTop w:val="0"/>
      <w:marBottom w:val="0"/>
      <w:divBdr>
        <w:top w:val="none" w:sz="0" w:space="0" w:color="auto"/>
        <w:left w:val="none" w:sz="0" w:space="0" w:color="auto"/>
        <w:bottom w:val="none" w:sz="0" w:space="0" w:color="auto"/>
        <w:right w:val="none" w:sz="0" w:space="0" w:color="auto"/>
      </w:divBdr>
    </w:div>
    <w:div w:id="1709531217">
      <w:bodyDiv w:val="1"/>
      <w:marLeft w:val="0"/>
      <w:marRight w:val="0"/>
      <w:marTop w:val="0"/>
      <w:marBottom w:val="0"/>
      <w:divBdr>
        <w:top w:val="none" w:sz="0" w:space="0" w:color="auto"/>
        <w:left w:val="none" w:sz="0" w:space="0" w:color="auto"/>
        <w:bottom w:val="none" w:sz="0" w:space="0" w:color="auto"/>
        <w:right w:val="none" w:sz="0" w:space="0" w:color="auto"/>
      </w:divBdr>
    </w:div>
    <w:div w:id="1888495252">
      <w:bodyDiv w:val="1"/>
      <w:marLeft w:val="0"/>
      <w:marRight w:val="0"/>
      <w:marTop w:val="0"/>
      <w:marBottom w:val="0"/>
      <w:divBdr>
        <w:top w:val="none" w:sz="0" w:space="0" w:color="auto"/>
        <w:left w:val="none" w:sz="0" w:space="0" w:color="auto"/>
        <w:bottom w:val="none" w:sz="0" w:space="0" w:color="auto"/>
        <w:right w:val="none" w:sz="0" w:space="0" w:color="auto"/>
      </w:divBdr>
    </w:div>
    <w:div w:id="2039311929">
      <w:bodyDiv w:val="1"/>
      <w:marLeft w:val="0"/>
      <w:marRight w:val="0"/>
      <w:marTop w:val="0"/>
      <w:marBottom w:val="0"/>
      <w:divBdr>
        <w:top w:val="none" w:sz="0" w:space="0" w:color="auto"/>
        <w:left w:val="none" w:sz="0" w:space="0" w:color="auto"/>
        <w:bottom w:val="none" w:sz="0" w:space="0" w:color="auto"/>
        <w:right w:val="none" w:sz="0" w:space="0" w:color="auto"/>
      </w:divBdr>
    </w:div>
    <w:div w:id="2084259381">
      <w:bodyDiv w:val="1"/>
      <w:marLeft w:val="0"/>
      <w:marRight w:val="0"/>
      <w:marTop w:val="0"/>
      <w:marBottom w:val="0"/>
      <w:divBdr>
        <w:top w:val="none" w:sz="0" w:space="0" w:color="auto"/>
        <w:left w:val="none" w:sz="0" w:space="0" w:color="auto"/>
        <w:bottom w:val="none" w:sz="0" w:space="0" w:color="auto"/>
        <w:right w:val="none" w:sz="0" w:space="0" w:color="auto"/>
      </w:divBdr>
    </w:div>
    <w:div w:id="212503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jzpba/?view_only=7c096b2f1c674a90b07944e1839ec61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67C7D-0107-FA46-815A-AA2E2E5A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28</Pages>
  <Words>33819</Words>
  <Characters>192772</Characters>
  <Application>Microsoft Office Word</Application>
  <DocSecurity>0</DocSecurity>
  <Lines>1606</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Kelly Kirkland</dc:creator>
  <cp:keywords/>
  <dc:description/>
  <cp:lastModifiedBy>Miss Kelly Kirkland</cp:lastModifiedBy>
  <cp:revision>17</cp:revision>
  <dcterms:created xsi:type="dcterms:W3CDTF">2021-12-14T18:19:00Z</dcterms:created>
  <dcterms:modified xsi:type="dcterms:W3CDTF">2022-06-16T09:25:00Z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e1f7d662-a25c-38ce-a4e0-465e1bc29390</vt:lpwstr>
  </property>
</Properties>
</file>