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AECC2" w14:textId="386BC38E" w:rsidR="003F27D2" w:rsidRDefault="00245FF6" w:rsidP="00950475">
      <w:pPr>
        <w:pStyle w:val="Heading2"/>
        <w:spacing w:line="480" w:lineRule="auto"/>
        <w:rPr>
          <w:rFonts w:ascii="Calibri Light" w:hAnsi="Calibri Light" w:cs="Calibri Light"/>
          <w:b w:val="0"/>
          <w:bCs/>
          <w:color w:val="365F91" w:themeColor="accent1" w:themeShade="BF"/>
          <w:sz w:val="32"/>
          <w:szCs w:val="32"/>
        </w:rPr>
      </w:pPr>
      <w:bookmarkStart w:id="0" w:name="_uu8ko4vs9jtd" w:colFirst="0" w:colLast="0"/>
      <w:bookmarkStart w:id="1" w:name="_rc99rniv8t3i" w:colFirst="0" w:colLast="0"/>
      <w:bookmarkStart w:id="2" w:name="_Hlk105164054"/>
      <w:bookmarkEnd w:id="0"/>
      <w:bookmarkEnd w:id="1"/>
      <w:r w:rsidRPr="008125FF">
        <w:rPr>
          <w:rFonts w:ascii="Calibri Light" w:hAnsi="Calibri Light" w:cs="Calibri Light"/>
          <w:b w:val="0"/>
          <w:bCs/>
          <w:color w:val="365F91" w:themeColor="accent1" w:themeShade="BF"/>
          <w:sz w:val="32"/>
          <w:szCs w:val="32"/>
        </w:rPr>
        <w:t>Relative motion flexion following zone I-III flexor tendon repair: concepts, evidence</w:t>
      </w:r>
      <w:r w:rsidR="00C638B9">
        <w:rPr>
          <w:rFonts w:ascii="Calibri Light" w:hAnsi="Calibri Light" w:cs="Calibri Light"/>
          <w:b w:val="0"/>
          <w:bCs/>
          <w:color w:val="365F91" w:themeColor="accent1" w:themeShade="BF"/>
          <w:sz w:val="32"/>
          <w:szCs w:val="32"/>
        </w:rPr>
        <w:t>,</w:t>
      </w:r>
      <w:r w:rsidRPr="008125FF">
        <w:rPr>
          <w:rFonts w:ascii="Calibri Light" w:hAnsi="Calibri Light" w:cs="Calibri Light"/>
          <w:b w:val="0"/>
          <w:bCs/>
          <w:color w:val="365F91" w:themeColor="accent1" w:themeShade="BF"/>
          <w:sz w:val="32"/>
          <w:szCs w:val="32"/>
        </w:rPr>
        <w:t xml:space="preserve"> and practice</w:t>
      </w:r>
      <w:bookmarkEnd w:id="2"/>
    </w:p>
    <w:p w14:paraId="5946D19D" w14:textId="7E4FF8DE" w:rsidR="00353F5E" w:rsidRPr="008125FF" w:rsidRDefault="00353F5E" w:rsidP="00950475">
      <w:pPr>
        <w:pStyle w:val="Heading2"/>
        <w:spacing w:line="480" w:lineRule="auto"/>
        <w:rPr>
          <w:rFonts w:ascii="Calibri Light" w:hAnsi="Calibri Light" w:cs="Calibri Light"/>
          <w:b w:val="0"/>
          <w:bCs/>
          <w:color w:val="365F91" w:themeColor="accent1" w:themeShade="BF"/>
          <w:sz w:val="32"/>
          <w:szCs w:val="32"/>
        </w:rPr>
      </w:pPr>
      <w:r w:rsidRPr="008125FF">
        <w:rPr>
          <w:rFonts w:ascii="Calibri Light" w:hAnsi="Calibri Light" w:cs="Calibri Light"/>
          <w:b w:val="0"/>
          <w:bCs/>
          <w:color w:val="365F91" w:themeColor="accent1" w:themeShade="BF"/>
          <w:sz w:val="32"/>
          <w:szCs w:val="32"/>
        </w:rPr>
        <w:t>Abstract</w:t>
      </w:r>
    </w:p>
    <w:p w14:paraId="4F2C4C47" w14:textId="0C70F05B" w:rsidR="005E3387" w:rsidRDefault="004C09E7" w:rsidP="00950475">
      <w:pPr>
        <w:spacing w:line="480" w:lineRule="auto"/>
        <w:rPr>
          <w:rFonts w:ascii="Calibri" w:eastAsia="Calibri" w:hAnsi="Calibri" w:cs="Calibri"/>
        </w:rPr>
      </w:pPr>
      <w:r>
        <w:rPr>
          <w:rFonts w:ascii="Calibri" w:eastAsia="Calibri" w:hAnsi="Calibri" w:cs="Calibri"/>
        </w:rPr>
        <w:t xml:space="preserve">We reviewed the existing literature to explore the </w:t>
      </w:r>
      <w:r w:rsidR="00AF464E">
        <w:rPr>
          <w:rFonts w:ascii="Calibri" w:eastAsia="Calibri" w:hAnsi="Calibri" w:cs="Calibri"/>
        </w:rPr>
        <w:t xml:space="preserve">rationale </w:t>
      </w:r>
      <w:r w:rsidR="001607C7">
        <w:rPr>
          <w:rFonts w:ascii="Calibri" w:eastAsia="Calibri" w:hAnsi="Calibri" w:cs="Calibri"/>
        </w:rPr>
        <w:t>for</w:t>
      </w:r>
      <w:r w:rsidR="00AF464E">
        <w:rPr>
          <w:rFonts w:ascii="Calibri" w:eastAsia="Calibri" w:hAnsi="Calibri" w:cs="Calibri"/>
        </w:rPr>
        <w:t xml:space="preserve"> </w:t>
      </w:r>
      <w:r w:rsidR="005E3387">
        <w:rPr>
          <w:rFonts w:ascii="Calibri" w:eastAsia="Calibri" w:hAnsi="Calibri" w:cs="Calibri"/>
        </w:rPr>
        <w:t xml:space="preserve">using </w:t>
      </w:r>
      <w:r w:rsidR="00AF464E">
        <w:rPr>
          <w:rFonts w:ascii="Calibri" w:eastAsia="Calibri" w:hAnsi="Calibri" w:cs="Calibri"/>
        </w:rPr>
        <w:t>relative motion flexion orthoses as</w:t>
      </w:r>
      <w:r w:rsidR="001607C7">
        <w:rPr>
          <w:rFonts w:ascii="Calibri" w:eastAsia="Calibri" w:hAnsi="Calibri" w:cs="Calibri"/>
        </w:rPr>
        <w:t xml:space="preserve"> an</w:t>
      </w:r>
      <w:r w:rsidR="00AF464E">
        <w:rPr>
          <w:rFonts w:ascii="Calibri" w:eastAsia="Calibri" w:hAnsi="Calibri" w:cs="Calibri"/>
        </w:rPr>
        <w:t xml:space="preserve"> early active mobilization strategy</w:t>
      </w:r>
      <w:r w:rsidR="001607C7">
        <w:rPr>
          <w:rFonts w:ascii="Calibri" w:eastAsia="Calibri" w:hAnsi="Calibri" w:cs="Calibri"/>
        </w:rPr>
        <w:t xml:space="preserve"> for patients after zone I-III flexor tendon repairs</w:t>
      </w:r>
      <w:r w:rsidR="00AF464E">
        <w:rPr>
          <w:rFonts w:ascii="Calibri" w:eastAsia="Calibri" w:hAnsi="Calibri" w:cs="Calibri"/>
        </w:rPr>
        <w:t xml:space="preserve">. </w:t>
      </w:r>
      <w:r w:rsidR="005E3387">
        <w:rPr>
          <w:rFonts w:ascii="Calibri" w:eastAsia="Calibri" w:hAnsi="Calibri" w:cs="Calibri"/>
        </w:rPr>
        <w:t>Positioning the affected finger(s) in relatively</w:t>
      </w:r>
      <w:r w:rsidR="00201FEB">
        <w:rPr>
          <w:rFonts w:ascii="Calibri" w:eastAsia="Calibri" w:hAnsi="Calibri" w:cs="Calibri"/>
        </w:rPr>
        <w:t xml:space="preserve"> </w:t>
      </w:r>
      <w:r w:rsidR="008B721A">
        <w:rPr>
          <w:rFonts w:ascii="Calibri" w:eastAsia="Calibri" w:hAnsi="Calibri" w:cs="Calibri"/>
        </w:rPr>
        <w:t>more</w:t>
      </w:r>
      <w:r w:rsidR="005E3387">
        <w:rPr>
          <w:rFonts w:ascii="Calibri" w:eastAsia="Calibri" w:hAnsi="Calibri" w:cs="Calibri"/>
        </w:rPr>
        <w:t xml:space="preserve"> metacarpophalangeal </w:t>
      </w:r>
      <w:r w:rsidR="008B721A">
        <w:rPr>
          <w:rFonts w:ascii="Calibri" w:eastAsia="Calibri" w:hAnsi="Calibri" w:cs="Calibri"/>
        </w:rPr>
        <w:t xml:space="preserve">joint </w:t>
      </w:r>
      <w:r w:rsidR="005E3387">
        <w:rPr>
          <w:rFonts w:ascii="Calibri" w:eastAsia="Calibri" w:hAnsi="Calibri" w:cs="Calibri"/>
        </w:rPr>
        <w:t>flexion is hypothesized to reduce the tension through the</w:t>
      </w:r>
      <w:r w:rsidR="00253BD0">
        <w:rPr>
          <w:rFonts w:ascii="Calibri" w:eastAsia="Calibri" w:hAnsi="Calibri" w:cs="Calibri"/>
        </w:rPr>
        <w:t xml:space="preserve"> repaired</w:t>
      </w:r>
      <w:r w:rsidR="005E3387">
        <w:rPr>
          <w:rFonts w:ascii="Calibri" w:eastAsia="Calibri" w:hAnsi="Calibri" w:cs="Calibri"/>
        </w:rPr>
        <w:t xml:space="preserve"> flexor digitorum </w:t>
      </w:r>
      <w:proofErr w:type="spellStart"/>
      <w:r w:rsidR="005E3387">
        <w:rPr>
          <w:rFonts w:ascii="Calibri" w:eastAsia="Calibri" w:hAnsi="Calibri" w:cs="Calibri"/>
        </w:rPr>
        <w:t>profundus</w:t>
      </w:r>
      <w:proofErr w:type="spellEnd"/>
      <w:r w:rsidR="005E3387">
        <w:rPr>
          <w:rFonts w:ascii="Calibri" w:eastAsia="Calibri" w:hAnsi="Calibri" w:cs="Calibri"/>
        </w:rPr>
        <w:t xml:space="preserve"> </w:t>
      </w:r>
      <w:r w:rsidR="00EE1219">
        <w:rPr>
          <w:rFonts w:ascii="Calibri" w:eastAsia="Calibri" w:hAnsi="Calibri" w:cs="Calibri"/>
        </w:rPr>
        <w:t>by</w:t>
      </w:r>
      <w:r w:rsidR="005E3387">
        <w:rPr>
          <w:rFonts w:ascii="Calibri" w:eastAsia="Calibri" w:hAnsi="Calibri" w:cs="Calibri"/>
        </w:rPr>
        <w:t xml:space="preserve"> the </w:t>
      </w:r>
      <w:r w:rsidR="00743C6A">
        <w:rPr>
          <w:rFonts w:ascii="Calibri" w:eastAsia="Calibri" w:hAnsi="Calibri" w:cs="Calibri"/>
        </w:rPr>
        <w:t>q</w:t>
      </w:r>
      <w:r w:rsidR="005E3387">
        <w:rPr>
          <w:rFonts w:ascii="Calibri" w:eastAsia="Calibri" w:hAnsi="Calibri" w:cs="Calibri"/>
        </w:rPr>
        <w:t xml:space="preserve">uadriga effect. </w:t>
      </w:r>
      <w:r w:rsidR="008B721A">
        <w:rPr>
          <w:rFonts w:ascii="Calibri" w:eastAsia="Calibri" w:hAnsi="Calibri" w:cs="Calibri"/>
        </w:rPr>
        <w:t>It is also hypothesized that a</w:t>
      </w:r>
      <w:r w:rsidR="00641406">
        <w:rPr>
          <w:rFonts w:ascii="Calibri" w:eastAsia="Calibri" w:hAnsi="Calibri" w:cs="Calibri"/>
        </w:rPr>
        <w:t xml:space="preserve">ltered patterns of co-contraction and </w:t>
      </w:r>
      <w:r w:rsidR="00EE1219">
        <w:rPr>
          <w:rFonts w:ascii="Calibri" w:eastAsia="Calibri" w:hAnsi="Calibri" w:cs="Calibri"/>
        </w:rPr>
        <w:t>co-</w:t>
      </w:r>
      <w:r w:rsidR="00641406">
        <w:rPr>
          <w:rFonts w:ascii="Calibri" w:eastAsia="Calibri" w:hAnsi="Calibri" w:cs="Calibri"/>
        </w:rPr>
        <w:t xml:space="preserve">inhibition may further reduce </w:t>
      </w:r>
      <w:r w:rsidR="00DF6B8A">
        <w:rPr>
          <w:rFonts w:ascii="Calibri" w:eastAsia="Calibri" w:hAnsi="Calibri" w:cs="Calibri"/>
        </w:rPr>
        <w:t xml:space="preserve">flexor digitorum </w:t>
      </w:r>
      <w:proofErr w:type="spellStart"/>
      <w:r w:rsidR="00DF6B8A">
        <w:rPr>
          <w:rFonts w:ascii="Calibri" w:eastAsia="Calibri" w:hAnsi="Calibri" w:cs="Calibri"/>
        </w:rPr>
        <w:t>profundus</w:t>
      </w:r>
      <w:proofErr w:type="spellEnd"/>
      <w:r w:rsidR="00EE1219">
        <w:rPr>
          <w:rFonts w:ascii="Calibri" w:eastAsia="Calibri" w:hAnsi="Calibri" w:cs="Calibri"/>
        </w:rPr>
        <w:t xml:space="preserve"> </w:t>
      </w:r>
      <w:proofErr w:type="gramStart"/>
      <w:r w:rsidR="00EE1219">
        <w:rPr>
          <w:rFonts w:ascii="Calibri" w:eastAsia="Calibri" w:hAnsi="Calibri" w:cs="Calibri"/>
        </w:rPr>
        <w:t>tension</w:t>
      </w:r>
      <w:r w:rsidR="008B721A">
        <w:rPr>
          <w:rFonts w:ascii="Calibri" w:eastAsia="Calibri" w:hAnsi="Calibri" w:cs="Calibri"/>
        </w:rPr>
        <w:t>,</w:t>
      </w:r>
      <w:r w:rsidR="00EE1219">
        <w:rPr>
          <w:rFonts w:ascii="Calibri" w:eastAsia="Calibri" w:hAnsi="Calibri" w:cs="Calibri"/>
        </w:rPr>
        <w:t xml:space="preserve"> and</w:t>
      </w:r>
      <w:proofErr w:type="gramEnd"/>
      <w:r w:rsidR="00EE1219">
        <w:rPr>
          <w:rFonts w:ascii="Calibri" w:eastAsia="Calibri" w:hAnsi="Calibri" w:cs="Calibri"/>
        </w:rPr>
        <w:t xml:space="preserve"> confer</w:t>
      </w:r>
      <w:r w:rsidR="00641406">
        <w:rPr>
          <w:rFonts w:ascii="Calibri" w:eastAsia="Calibri" w:hAnsi="Calibri" w:cs="Calibri"/>
        </w:rPr>
        <w:t xml:space="preserve"> protection </w:t>
      </w:r>
      <w:r w:rsidR="00EE1219">
        <w:rPr>
          <w:rFonts w:ascii="Calibri" w:eastAsia="Calibri" w:hAnsi="Calibri" w:cs="Calibri"/>
        </w:rPr>
        <w:t xml:space="preserve">to </w:t>
      </w:r>
      <w:r w:rsidR="00641406">
        <w:rPr>
          <w:rFonts w:ascii="Calibri" w:eastAsia="Calibri" w:hAnsi="Calibri" w:cs="Calibri"/>
        </w:rPr>
        <w:t xml:space="preserve">flexor digitorum superficialis. </w:t>
      </w:r>
    </w:p>
    <w:p w14:paraId="01AF31F0" w14:textId="77777777" w:rsidR="00EE1219" w:rsidRDefault="00EE1219" w:rsidP="00950475">
      <w:pPr>
        <w:spacing w:line="480" w:lineRule="auto"/>
        <w:rPr>
          <w:rFonts w:ascii="Calibri" w:eastAsia="Calibri" w:hAnsi="Calibri" w:cs="Calibri"/>
        </w:rPr>
      </w:pPr>
    </w:p>
    <w:p w14:paraId="006D2656" w14:textId="1C255DA5" w:rsidR="00DF6B8A" w:rsidRDefault="00AF464E" w:rsidP="00950475">
      <w:pPr>
        <w:spacing w:line="480" w:lineRule="auto"/>
        <w:rPr>
          <w:rFonts w:ascii="Calibri" w:eastAsia="Calibri" w:hAnsi="Calibri" w:cs="Calibri"/>
        </w:rPr>
      </w:pPr>
      <w:r>
        <w:rPr>
          <w:rFonts w:ascii="Calibri" w:eastAsia="Calibri" w:hAnsi="Calibri" w:cs="Calibri"/>
        </w:rPr>
        <w:t>We report published outcomes</w:t>
      </w:r>
      <w:r w:rsidR="00EE1219">
        <w:rPr>
          <w:rFonts w:ascii="Calibri" w:eastAsia="Calibri" w:hAnsi="Calibri" w:cs="Calibri"/>
        </w:rPr>
        <w:t xml:space="preserve"> of the clinical use of relative motion flexion </w:t>
      </w:r>
      <w:r w:rsidR="008B721A">
        <w:rPr>
          <w:rFonts w:ascii="Calibri" w:eastAsia="Calibri" w:hAnsi="Calibri" w:cs="Calibri"/>
        </w:rPr>
        <w:t xml:space="preserve">orthoses with early active motion, implemented </w:t>
      </w:r>
      <w:r w:rsidR="00EE1219">
        <w:rPr>
          <w:rFonts w:ascii="Calibri" w:eastAsia="Calibri" w:hAnsi="Calibri" w:cs="Calibri"/>
        </w:rPr>
        <w:t xml:space="preserve">as the primary </w:t>
      </w:r>
      <w:r w:rsidR="00C958D9">
        <w:rPr>
          <w:rFonts w:ascii="Calibri" w:eastAsia="Calibri" w:hAnsi="Calibri" w:cs="Calibri"/>
        </w:rPr>
        <w:t xml:space="preserve">rehabilitation approach </w:t>
      </w:r>
      <w:r w:rsidR="00EE1219">
        <w:rPr>
          <w:rFonts w:ascii="Calibri" w:eastAsia="Calibri" w:hAnsi="Calibri" w:cs="Calibri"/>
        </w:rPr>
        <w:t>after zone I-II</w:t>
      </w:r>
      <w:r w:rsidR="00201FEB">
        <w:rPr>
          <w:rFonts w:ascii="Calibri" w:eastAsia="Calibri" w:hAnsi="Calibri" w:cs="Calibri"/>
        </w:rPr>
        <w:t>I</w:t>
      </w:r>
      <w:r w:rsidR="00EE1219">
        <w:rPr>
          <w:rFonts w:ascii="Calibri" w:eastAsia="Calibri" w:hAnsi="Calibri" w:cs="Calibri"/>
        </w:rPr>
        <w:t xml:space="preserve"> </w:t>
      </w:r>
      <w:r w:rsidR="00DF6B8A">
        <w:rPr>
          <w:rFonts w:ascii="Calibri" w:eastAsia="Calibri" w:hAnsi="Calibri" w:cs="Calibri"/>
        </w:rPr>
        <w:t>flexor digitorum</w:t>
      </w:r>
      <w:r w:rsidR="00EE1219">
        <w:rPr>
          <w:rFonts w:ascii="Calibri" w:eastAsia="Calibri" w:hAnsi="Calibri" w:cs="Calibri"/>
        </w:rPr>
        <w:t xml:space="preserve"> </w:t>
      </w:r>
      <w:r w:rsidR="00CE66D3">
        <w:rPr>
          <w:rFonts w:ascii="Calibri" w:eastAsia="Calibri" w:hAnsi="Calibri" w:cs="Calibri"/>
        </w:rPr>
        <w:t>repairs</w:t>
      </w:r>
      <w:r w:rsidR="00A17E90">
        <w:rPr>
          <w:rFonts w:ascii="Calibri" w:eastAsia="Calibri" w:hAnsi="Calibri" w:cs="Calibri"/>
        </w:rPr>
        <w:t>. We also</w:t>
      </w:r>
      <w:r w:rsidR="00CE66D3">
        <w:rPr>
          <w:rFonts w:ascii="Calibri" w:eastAsia="Calibri" w:hAnsi="Calibri" w:cs="Calibri"/>
        </w:rPr>
        <w:t xml:space="preserve"> </w:t>
      </w:r>
      <w:r>
        <w:rPr>
          <w:rFonts w:ascii="Calibri" w:eastAsia="Calibri" w:hAnsi="Calibri" w:cs="Calibri"/>
        </w:rPr>
        <w:t>discuss our own experience of using t</w:t>
      </w:r>
      <w:r w:rsidR="001607C7">
        <w:rPr>
          <w:rFonts w:ascii="Calibri" w:eastAsia="Calibri" w:hAnsi="Calibri" w:cs="Calibri"/>
        </w:rPr>
        <w:t xml:space="preserve">his rehabilitation </w:t>
      </w:r>
      <w:proofErr w:type="gramStart"/>
      <w:r w:rsidR="00CE66D3">
        <w:rPr>
          <w:rFonts w:ascii="Calibri" w:eastAsia="Calibri" w:hAnsi="Calibri" w:cs="Calibri"/>
        </w:rPr>
        <w:t>strategy</w:t>
      </w:r>
      <w:r w:rsidR="00013AD8">
        <w:rPr>
          <w:rFonts w:ascii="Calibri" w:eastAsia="Calibri" w:hAnsi="Calibri" w:cs="Calibri"/>
        </w:rPr>
        <w:t>,</w:t>
      </w:r>
      <w:r w:rsidR="00A17E90">
        <w:rPr>
          <w:rFonts w:ascii="Calibri" w:eastAsia="Calibri" w:hAnsi="Calibri" w:cs="Calibri"/>
        </w:rPr>
        <w:t xml:space="preserve"> and</w:t>
      </w:r>
      <w:proofErr w:type="gramEnd"/>
      <w:r w:rsidR="00A17E90">
        <w:rPr>
          <w:rFonts w:ascii="Calibri" w:eastAsia="Calibri" w:hAnsi="Calibri" w:cs="Calibri"/>
        </w:rPr>
        <w:t xml:space="preserve"> share routinely collected data from our practice</w:t>
      </w:r>
      <w:r w:rsidR="00CE66D3">
        <w:rPr>
          <w:rFonts w:ascii="Calibri" w:eastAsia="Calibri" w:hAnsi="Calibri" w:cs="Calibri"/>
        </w:rPr>
        <w:t xml:space="preserve">. </w:t>
      </w:r>
      <w:r w:rsidR="000014AE" w:rsidRPr="000014AE">
        <w:rPr>
          <w:rFonts w:ascii="Calibri" w:eastAsia="Calibri" w:hAnsi="Calibri" w:cs="Calibri"/>
        </w:rPr>
        <w:t>We explore orthosis fabrication, rehabilitation exercises and functional hand use.</w:t>
      </w:r>
      <w:r w:rsidR="000014AE">
        <w:rPr>
          <w:rFonts w:ascii="Calibri" w:eastAsia="Calibri" w:hAnsi="Calibri" w:cs="Calibri"/>
        </w:rPr>
        <w:t xml:space="preserve"> </w:t>
      </w:r>
      <w:r w:rsidR="00B82780">
        <w:rPr>
          <w:rFonts w:ascii="Calibri" w:eastAsia="Calibri" w:hAnsi="Calibri" w:cs="Calibri"/>
        </w:rPr>
        <w:t>Finally, w</w:t>
      </w:r>
      <w:r w:rsidR="001607C7">
        <w:rPr>
          <w:rFonts w:ascii="Calibri" w:eastAsia="Calibri" w:hAnsi="Calibri" w:cs="Calibri"/>
        </w:rPr>
        <w:t>e</w:t>
      </w:r>
      <w:r w:rsidR="00866AD3">
        <w:rPr>
          <w:rFonts w:ascii="Calibri" w:eastAsia="Calibri" w:hAnsi="Calibri" w:cs="Calibri"/>
        </w:rPr>
        <w:t xml:space="preserve"> </w:t>
      </w:r>
      <w:r w:rsidR="00F10958">
        <w:rPr>
          <w:rFonts w:ascii="Calibri" w:eastAsia="Calibri" w:hAnsi="Calibri" w:cs="Calibri"/>
        </w:rPr>
        <w:t xml:space="preserve">conclude by </w:t>
      </w:r>
      <w:r w:rsidR="001607C7">
        <w:rPr>
          <w:rFonts w:ascii="Calibri" w:eastAsia="Calibri" w:hAnsi="Calibri" w:cs="Calibri"/>
        </w:rPr>
        <w:t>highlight</w:t>
      </w:r>
      <w:r w:rsidR="00F10958">
        <w:rPr>
          <w:rFonts w:ascii="Calibri" w:eastAsia="Calibri" w:hAnsi="Calibri" w:cs="Calibri"/>
        </w:rPr>
        <w:t>ing</w:t>
      </w:r>
      <w:r w:rsidR="00C91C4F">
        <w:rPr>
          <w:rFonts w:ascii="Calibri" w:eastAsia="Calibri" w:hAnsi="Calibri" w:cs="Calibri"/>
        </w:rPr>
        <w:t xml:space="preserve"> key areas for future researc</w:t>
      </w:r>
      <w:r w:rsidR="00A17E90">
        <w:rPr>
          <w:rFonts w:ascii="Calibri" w:eastAsia="Calibri" w:hAnsi="Calibri" w:cs="Calibri"/>
        </w:rPr>
        <w:t xml:space="preserve">h and </w:t>
      </w:r>
      <w:proofErr w:type="gramStart"/>
      <w:r w:rsidR="00A17E90">
        <w:rPr>
          <w:rFonts w:ascii="Calibri" w:eastAsia="Calibri" w:hAnsi="Calibri" w:cs="Calibri"/>
        </w:rPr>
        <w:t>describe</w:t>
      </w:r>
      <w:proofErr w:type="gramEnd"/>
      <w:r w:rsidR="00A17E90">
        <w:rPr>
          <w:rFonts w:ascii="Calibri" w:eastAsia="Calibri" w:hAnsi="Calibri" w:cs="Calibri"/>
        </w:rPr>
        <w:t xml:space="preserve"> a </w:t>
      </w:r>
      <w:r w:rsidR="000014AE">
        <w:rPr>
          <w:rFonts w:ascii="Calibri" w:eastAsia="Calibri" w:hAnsi="Calibri" w:cs="Calibri"/>
        </w:rPr>
        <w:t xml:space="preserve">current </w:t>
      </w:r>
      <w:r w:rsidR="00A17E90">
        <w:rPr>
          <w:rFonts w:ascii="Calibri" w:eastAsia="Calibri" w:hAnsi="Calibri" w:cs="Calibri"/>
        </w:rPr>
        <w:t>pragmatic randomized controlled trial</w:t>
      </w:r>
      <w:r w:rsidR="00DF6B8A">
        <w:rPr>
          <w:rFonts w:ascii="Calibri" w:eastAsia="Calibri" w:hAnsi="Calibri" w:cs="Calibri"/>
        </w:rPr>
        <w:t>.</w:t>
      </w:r>
    </w:p>
    <w:p w14:paraId="4819B2D4" w14:textId="77777777" w:rsidR="00950475" w:rsidRDefault="00950475" w:rsidP="00950475">
      <w:pPr>
        <w:spacing w:line="480" w:lineRule="auto"/>
        <w:rPr>
          <w:rFonts w:ascii="Calibri Light" w:hAnsi="Calibri Light" w:cs="Calibri Light"/>
          <w:bCs/>
          <w:color w:val="365F91" w:themeColor="accent1" w:themeShade="BF"/>
          <w:sz w:val="32"/>
          <w:szCs w:val="32"/>
        </w:rPr>
      </w:pPr>
      <w:r>
        <w:rPr>
          <w:rFonts w:ascii="Calibri Light" w:hAnsi="Calibri Light" w:cs="Calibri Light"/>
          <w:b/>
          <w:bCs/>
          <w:color w:val="365F91" w:themeColor="accent1" w:themeShade="BF"/>
          <w:sz w:val="32"/>
          <w:szCs w:val="32"/>
        </w:rPr>
        <w:br w:type="page"/>
      </w:r>
    </w:p>
    <w:p w14:paraId="7333D592" w14:textId="26C9698E" w:rsidR="00F22A15" w:rsidRPr="00950475" w:rsidRDefault="00FB652A" w:rsidP="00950475">
      <w:pPr>
        <w:pStyle w:val="Heading2"/>
        <w:spacing w:line="480" w:lineRule="auto"/>
        <w:rPr>
          <w:rFonts w:ascii="Calibri Light" w:hAnsi="Calibri Light" w:cs="Calibri Light"/>
          <w:b w:val="0"/>
          <w:bCs/>
          <w:color w:val="365F91" w:themeColor="accent1" w:themeShade="BF"/>
          <w:sz w:val="32"/>
          <w:szCs w:val="32"/>
        </w:rPr>
      </w:pPr>
      <w:r w:rsidRPr="00950475">
        <w:rPr>
          <w:rFonts w:ascii="Calibri Light" w:hAnsi="Calibri Light" w:cs="Calibri Light"/>
          <w:b w:val="0"/>
          <w:bCs/>
          <w:color w:val="365F91" w:themeColor="accent1" w:themeShade="BF"/>
          <w:sz w:val="32"/>
          <w:szCs w:val="32"/>
        </w:rPr>
        <w:lastRenderedPageBreak/>
        <w:t>Introduction</w:t>
      </w:r>
    </w:p>
    <w:p w14:paraId="6C3EF123" w14:textId="628A343F" w:rsidR="00B757A5" w:rsidRPr="00F95E66" w:rsidRDefault="00383279" w:rsidP="00950475">
      <w:pPr>
        <w:spacing w:line="480" w:lineRule="auto"/>
        <w:rPr>
          <w:rFonts w:ascii="Calibri" w:eastAsia="Calibri" w:hAnsi="Calibri" w:cs="Calibri"/>
        </w:rPr>
      </w:pPr>
      <w:r>
        <w:rPr>
          <w:rFonts w:ascii="Calibri" w:eastAsia="Calibri" w:hAnsi="Calibri" w:cs="Calibri"/>
        </w:rPr>
        <w:t>The</w:t>
      </w:r>
      <w:r w:rsidR="00FB652A" w:rsidRPr="00F95E66">
        <w:rPr>
          <w:rFonts w:ascii="Calibri" w:eastAsia="Calibri" w:hAnsi="Calibri" w:cs="Calibri"/>
        </w:rPr>
        <w:t xml:space="preserve"> concept of relative motion has gained wide acceptance and popularity</w:t>
      </w:r>
      <w:r w:rsidR="00FD0908" w:rsidRPr="00F95E66">
        <w:rPr>
          <w:rFonts w:ascii="Calibri" w:eastAsia="Calibri" w:hAnsi="Calibri" w:cs="Calibri"/>
        </w:rPr>
        <w:t>,</w:t>
      </w:r>
      <w:r w:rsidR="00854AE8" w:rsidRPr="00F95E66">
        <w:rPr>
          <w:rFonts w:ascii="Calibri" w:eastAsia="Calibri" w:hAnsi="Calibri" w:cs="Calibri"/>
        </w:rPr>
        <w:t xml:space="preserve"> </w:t>
      </w:r>
      <w:r w:rsidR="00B757A5" w:rsidRPr="00F95E66">
        <w:rPr>
          <w:rFonts w:ascii="Calibri" w:eastAsia="Calibri" w:hAnsi="Calibri" w:cs="Calibri"/>
        </w:rPr>
        <w:t xml:space="preserve">particularly </w:t>
      </w:r>
      <w:r w:rsidR="00F95E66">
        <w:rPr>
          <w:rFonts w:ascii="Calibri" w:eastAsia="Calibri" w:hAnsi="Calibri" w:cs="Calibri"/>
        </w:rPr>
        <w:t>through the use of the relative motion extension (</w:t>
      </w:r>
      <w:proofErr w:type="spellStart"/>
      <w:r w:rsidR="00F95E66">
        <w:rPr>
          <w:rFonts w:ascii="Calibri" w:eastAsia="Calibri" w:hAnsi="Calibri" w:cs="Calibri"/>
        </w:rPr>
        <w:t>RME</w:t>
      </w:r>
      <w:proofErr w:type="spellEnd"/>
      <w:r w:rsidR="00F95E66">
        <w:rPr>
          <w:rFonts w:ascii="Calibri" w:eastAsia="Calibri" w:hAnsi="Calibri" w:cs="Calibri"/>
        </w:rPr>
        <w:t xml:space="preserve">) orthosis </w:t>
      </w:r>
      <w:r w:rsidR="00B757A5" w:rsidRPr="00F95E66">
        <w:rPr>
          <w:rFonts w:ascii="Calibri" w:eastAsia="Calibri" w:hAnsi="Calibri" w:cs="Calibri"/>
        </w:rPr>
        <w:t>for t</w:t>
      </w:r>
      <w:r w:rsidR="00854AE8" w:rsidRPr="00F95E66">
        <w:rPr>
          <w:rFonts w:ascii="Calibri" w:eastAsia="Calibri" w:hAnsi="Calibri" w:cs="Calibri"/>
        </w:rPr>
        <w:t xml:space="preserve">he management of </w:t>
      </w:r>
      <w:r w:rsidR="00FE04CF" w:rsidRPr="00F95E66">
        <w:rPr>
          <w:rFonts w:ascii="Calibri" w:eastAsia="Calibri" w:hAnsi="Calibri" w:cs="Calibri"/>
        </w:rPr>
        <w:t>extensor tendon</w:t>
      </w:r>
      <w:r w:rsidR="00854AE8" w:rsidRPr="00F95E66">
        <w:rPr>
          <w:rFonts w:ascii="Calibri" w:eastAsia="Calibri" w:hAnsi="Calibri" w:cs="Calibri"/>
        </w:rPr>
        <w:t xml:space="preserve"> injuries</w:t>
      </w:r>
      <w:r w:rsidR="00B757A5" w:rsidRPr="00F95E66">
        <w:rPr>
          <w:rFonts w:ascii="Calibri" w:eastAsia="Calibri" w:hAnsi="Calibri" w:cs="Calibri"/>
        </w:rPr>
        <w:t xml:space="preserve"> </w:t>
      </w:r>
      <w:r w:rsidR="003235B9" w:rsidRPr="00F95E66">
        <w:rPr>
          <w:rFonts w:ascii="Calibri" w:eastAsia="Calibri" w:hAnsi="Calibri" w:cs="Calibri"/>
        </w:rPr>
        <w:fldChar w:fldCharType="begin" w:fldLock="1"/>
      </w:r>
      <w:r w:rsidR="00253BD0">
        <w:rPr>
          <w:rFonts w:ascii="Calibri" w:eastAsia="Calibri" w:hAnsi="Calibri" w:cs="Calibri"/>
        </w:rPr>
        <w:instrText>ADDIN CSL_CITATION {"citationItems":[{"id":"ITEM-1","itemData":{"DOI":"10.1053/oa.2000.5972","ISSN":"10710949","abstract":"In compliant adult patients with extensor tendon laceration(s) in zones V to VII, relative motion splinting of the lacerated tendon(s) provides support from the intact tendon(s), allowing immediate active motion and a less morbid course. Cadaver study shows how this simple splint allows full-fingers interphalangeal and metacarpophalangeal active motion, except for 10° to 15° less metacarpal phalangeal total active motion of the repaired digit(s). Relative motion splinting also permits immediate active motion after tendon graft reconstruction of extensor subluxation from sagittal band rupture at the metacarpophalangeal joint, creating a centralizing pulley with the graft.","author":[{"dropping-particle":"","family":"Merritt","given":"Wyndell H.","non-dropping-particle":"","parse-names":false,"suffix":""},{"dropping-particle":"","family":"Howell","given":"Julianne","non-dropping-particle":"","parse-names":false,"suffix":""},{"dropping-particle":"","family":"Tune","given":"Regina","non-dropping-particle":"","parse-names":false,"suffix":""},{"dropping-particle":"","family":"Saunders","given":"Sandra","non-dropping-particle":"","parse-names":false,"suffix":""},{"dropping-particle":"","family":"Hardy","given":"Maureen","non-dropping-particle":"","parse-names":false,"suffix":""}],"container-title":"Operative Techniques in Plastic and Reconstructive Surgery","id":"ITEM-1","issue":"1","issued":{"date-parts":[["2000"]]},"page":"31-37","title":"Achieving immediate active motion by using relative motion splinting after long extensor repair and sagittal band ruptures with tendon subluxation","type":"article-journal","volume":"7"},"uris":["http://www.mendeley.com/documents/?uuid=1b8c24ae-9024-4446-9174-70c2ace7de5d"]},{"id":"ITEM-2","itemData":{"DOI":"10.1016/j.jht.2016.07.001","ISSN":"1545004X","abstract":"Study Design Scoping review. Introduction The relative motion (RM) concept and immediate controlled active motion (ICAM) program, originally applied after zones IV-VII extensor tendon repairs, have been modified and extended to a variety of hand conditions, such as sagittal band injury, boutonniere deformity, and extensor lag. Purpose of the Study To scope the published and unpublished literature to review ICAM modifications, hand conditions for which the RM concept is used, and describe the preferred degree of relative metacarpophalangeal joint extension/flexion reported and spectrum of orthosis design. Methods Electronic and manual searches of scientific and gray literature and expert consultation were conducted. Documents with quantitative data were assessed with Oxford Levels of Evidence and the Structured Effectiveness Quality Evaluation Scale. Results Fifteen references met the inclusion criteria; 1 was level III evidence, and others were level IV evidence. RM-ICAM modifications, preferred degree of relative extension/flexion, orthotic design, management of other hand conditions and knowledge gaps were identified. Conclusion RM orthoses may improve outcomes in a variety of hand conditions; however, high-quality studies that contribute to the evidence base for its use are needed. Level of Evidence Not applicable.","author":[{"dropping-particle":"","family":"Hirth","given":"Melissa J.","non-dropping-particle":"","parse-names":false,"suffix":""},{"dropping-particle":"","family":"Howell","given":"Julianne W.","non-dropping-particle":"","parse-names":false,"suffix":""},{"dropping-particle":"","family":"O'Brien","given":"Lisa","non-dropping-particle":"","parse-names":false,"suffix":""}],"container-title":"Journal of Hand Therapy","id":"ITEM-2","issue":"4","issued":{"date-parts":[["2016"]]},"page":"405-432","publisher":"Elsevier Inc","title":"Relative motion orthoses in the management of various hand conditions: A scoping review","type":"article-journal","volume":"29"},"uris":["http://www.mendeley.com/documents/?uuid=210297db-08ff-457f-aa38-4973c3367a34"]},{"id":"ITEM-3","itemData":{"DOI":"10.1016/j.jht.2019.12.019","ISSN":"1545004X","abstract":"Study Design: Electronic Web-based survey. Introduction: Evidence supports early motion over immobilization for postoperative extensor tendon repair management. Various early motion programs and orthoses are used, with no single approach recognized as superior. It remains unknown if and how early motion is used by hand therapists worldwide. Purpose of the Study: The purpose of this study was to determine if there is a preferred approach and identify practice patterns for constituents of International Federation of Societies for Hand Therapy full-member countries. Methods: Participation in this English-language survey required respondents to have postoperatively managed at least one extensor tendon repair within the previous year. Approaches surveyed included programs of immobilization, early passive (EPM), and early active (EAM) with motion delivered by resting hand, dynamic, palmar/interphalangeal joints (IPJs) free, or relative motion extension (RME) orthoses. Survey flow depended on the respondent's answer to their “most used” approach in the previous year. Results: There were 992 individual responses from 28 International Federation of Societies for Hand Therapy member countries including 887 eligible responses with an 81% completion rate. The order of most used program was EAM (83%), EPM (8%), and immobilization (7%). The two most used orthoses for delivery of EAM were RME (43%) and palmar/IPJs free (25%). The RME orthosis was preferred for earlier recovery of hand function and motion. Barriers to therapists wanting to use the RME/EAM approach related to preference of surgeon (70%) and clinic (24%). Discussion: In practice, many therapists select from multiple approaches to manage zone V and VI extensor tendon repairs. Therapists believed TAM achieved with the RME/EAM approach was superior to the other approaches. Contrary to the literature, in practice, many therapists modify forearm-based palmar/IPJs free orthosis to exclude the wrist to manage this diagnosis. Conclusions: The RME/EAM approach was identified as the favored approach. Practice patterns and evidence did not always align.","author":[{"dropping-particle":"","family":"Hirth","given":"Melissa J.","non-dropping-particle":"","parse-names":false,"suffix":""},{"dropping-particle":"","family":"Howell","given":"Julianne W.","non-dropping-particle":"","parse-names":false,"suffix":""},{"dropping-particle":"","family":"Feehan","given":"Lynne M.","non-dropping-particle":"","parse-names":false,"suffix":""},{"dropping-particle":"","family":"Brown","given":"Ted","non-dropping-particle":"","parse-names":false,"suffix":""},{"dropping-particle":"","family":"O'Brien","given":"Lisa","non-dropping-particle":"","parse-names":false,"suffix":""}],"container-title":"Journal of Hand Therapy","id":"ITEM-3","issue":"1","issued":{"date-parts":[["2021"]]},"page":"58-75","publisher":"Elsevier Inc","title":"Postoperative hand therapy management of zones V and VI extensor tendon repairs of the fingers: An international inquiry of current practice","type":"article-journal","volume":"34"},"uris":["http://www.mendeley.com/documents/?uuid=e21ea575-568d-47f1-a6f4-bf2e8ac7bea6"]},{"id":"ITEM-4","itemData":{"DOI":"10.1258/ht.2011.011012","ISSN":"17589991","abstract":"There is a lack of evidence on the best method for rehabilitating extensor tendon injuries in zones V and VI. The purpose of this study was to evaluate the outcomes of modified relative motion splinting compared with immobilization following repair of extensor tendons in zones V and VI. A retrospective analysis compared the outcomes of relative motion splinting with immobilization. Sixteen patients (16 fingers) were treated by conventional immobilization splinting for four weeks (immobilization group) followed by mobilization with avoidance of “at-risk/heavy” activities for a further 4–6 weeks. Twenty-three patients (23 fingers) were treated with the modified relative motion splint (mRMS group) during the day and a resting splint worn overnight for the first four weeks. The relative motion splint was continued for “at-risk/heavy” activities for a further 4–6 weeks. The mRMS group demonstrated statistically significant improvement in range of motion compared with the immobilization group. This effect was most marked at six weeks (P = 0.0194, two-way mixed ANOVA) with the mRMS group achieving a 12% higher mean percentage total active motion (P = 0.0076, Mann-Whitney U test). Results were similar for both groups 12 weeks postoperatively. Differences in return to work times between groups were statistically significant (P = 0.0062, Mann-Whitney U test). Average return to work was 9.4 weeks for the immobilization group and 3.3 weeks for the mRMS group, equating to a 42 days earlier return to work for the mRMS group. There was no incidence of tendon rupture in either group. This study demonstrates that modified relative motion splintage (finger based without wrist component) can be applied in the postoperative management of single zone V or VI extensor tendon repairs. The main advantages of this protocol, compared with immobilization include the small simple splint design, and straightforward patient instructions that enable earlier mobilization, functional hand use and return to both daily living and work. © 2011, British Association of Hand Therapists Limited. All rights reserved.","author":[{"dropping-particle":"","family":"Hirth","given":"Melissa J.","non-dropping-particle":"","parse-names":false,"suffix":""},{"dropping-particle":"","family":"Bennett","given":"Kate","non-dropping-particle":"","parse-names":false,"suffix":""},{"dropping-particle":"","family":"Mah","given":"Eldon","non-dropping-particle":"","parse-names":false,"suffix":""},{"dropping-particle":"","family":"Farrow","given":"Hamish C.","non-dropping-particle":"","parse-names":false,"suffix":""},{"dropping-particle":"V.","family":"Cavallo","given":"Andrew","non-dropping-particle":"","parse-names":false,"suffix":""},{"dropping-particle":"","family":"Ritz","given":"Morris","non-dropping-particle":"","parse-names":false,"suffix":""},{"dropping-particle":"","family":"Findlay","given":"Michael W.","non-dropping-particle":"","parse-names":false,"suffix":""}],"container-title":"Hand Therapy","id":"ITEM-4","issue":"4","issued":{"date-parts":[["2011"]]},"page":"86-94","title":"Early return to work and improved range of motion with modified relative motion splinting: A retrospective comparison with immobilization splinting for zones V and VI extensor tendon repairs","type":"article-journal","volume":"16"},"uris":["http://www.mendeley.com/documents/?uuid=41d690af-f595-4379-b792-9c901cc5a359"]},{"id":"ITEM-5","itemData":{"DOI":"10.1197/j.jht.2005.02.011","ISSN":"08941130","abstract":"This article describes a splint management program for zone 4-7 extensor tendon repairs that allows for immediate controlled active motion (ICAM) of the repair and greater arcs of motion for adjacent digits. The splint is designed to relieve tension on the tenorrhaphy by positioning the involved digit in slight metacarpophalangeal joint hyperextension relative to the uninvolved digits with a simple yoke splint designed to control the metacarpophalangeal joints and a second splint to control wrist position. Cadaver and intraoperative trials support this technique, and 140 patient cases managed over 20 years. The majority of patients achieved a rating of excellent for both digital extension and flexion as judged by Miller's criteria. There were very few extension lags and no tendon ruptures. Patients returned to work in the ICAM splint on average in 18 days. The average time to complete the program was seven weeks after repair, and required an average of eight therapy visits. The results of this study demonstrate that the ICAM splinting technique is safe, simple to manage, decreases the morbidity associated with immobilization, is cost effective, and has high patient compliance when compared to other early motion programs.","author":[{"dropping-particle":"","family":"Howell","given":"Julianne W.","non-dropping-particle":"","parse-names":false,"suffix":""},{"dropping-particle":"","family":"Merritt","given":"Wyndell H.","non-dropping-particle":"","parse-names":false,"suffix":""},{"dropping-particle":"","family":"Robinson","given":"Sandra J.","non-dropping-particle":"","parse-names":false,"suffix":""}],"container-title":"Journal of Hand Therapy","id":"ITEM-5","issue":"2","issued":{"date-parts":[["2005"]]},"page":"182-190","title":"Immediate controlled active motion following zone 4-7 extensor tendon repair","type":"article-journal","volume":"18"},"uris":["http://www.mendeley.com/documents/?uuid=a5eb93d0-6ec7-4fce-ad94-ea2f8cd80944"]},{"id":"ITEM-6","itemData":{"DOI":"10.1007/s11552-012-9488-z","ISSN":"15589455","abstract":"Background: Controlled post-operative motion of extensor tendon repairs in zones IV-VII is intended to facilitate tendon excursion and minimize adhesion formation. The Wyndell Merritt \"relative motion\" digital yoke orthosis provides a low-profile option allowing for immediate controlled active motion (ICAM) of the extensor tendon repair. The addition of a multimedia manuscript demonstrating the manufacturing of the Wyndell Merritt digital yoke orthosis may complement current literature on this topic. Methods: Two case studies demonstrating the use of the Wyndell Merritt ICAM digital yoke orthosis without wrist immobilization following zone V extensor tendon repair are presented. A literature review was completed. A video was produced highlighting fabrication of the digital yoke orthosis as well as video documentation of case study 1. Results: Case study 1 demonstrated mild limitations in metacarpophalangeal (MP) flexion at 5-week follow-up that resolved by 6 weeks. MP hyperextension was attainable for all digits at 5 weeks. Grip strength was comparable to the contralateral uninjured hand at 10 weeks. The second patient achieved normal composite flexion/extension by 4 weeks. Attainment of normal hyperextension at the MP joints and grip strength for case study 2 was unknown, as the patient was lost to follow-up. Conclusion: The Wyndell Merritt ICAM digital yoke orthosis, fabricated with or without wrist immobilization, appears to facilitate the return of normal extensor tendon function after repair in zones IV through VII while minimizing morbidity to adjacent digits. This protocol provides a safe, low-profile, cost-effective alternative for post-operative treatment of zone IV-VII extensor tendon repairs. © 2013 American Association for Hand Surgery.","author":[{"dropping-particle":"","family":"Burns","given":"Mary C.","non-dropping-particle":"","parse-names":false,"suffix":""},{"dropping-particle":"","family":"Derby","given":"Brian","non-dropping-particle":"","parse-names":false,"suffix":""},{"dropping-particle":"","family":"Neumeister","given":"Michael W.","non-dropping-particle":"","parse-names":false,"suffix":""}],"container-title":"Hand","id":"ITEM-6","issue":"1","issued":{"date-parts":[["2013"]]},"page":"17-22","title":"Wyndell Merritt immediate controlled active motion (ICAM) protocol following extensor tendon repairs in zone IV-VII: Review of literature, orthosis design, and case study-a multimedia article","type":"article-journal","volume":"8"},"uris":["http://www.mendeley.com/documents/?uuid=391453cf-46d8-4007-9d1a-adf3415ddd32"]},{"id":"ITEM-7","itemData":{"DOI":"10.1016/j.jhsa.2014.03.015","ISSN":"15316564","PMID":"24862114","abstract":"The relative motion splint was initially developed to facilitate postoperative rehabilitation after repair of extensor tendon injuries at the dorsum of the hand and forearm. It has subsequently been used for rehabilitation of sagittal band injuries and after repair of closed attrition extensor tendon ruptures in rheumatoid arthritis. This is much less awkward than other braces and can readily be worn during normal past-time and work activities. This so-called immediate controlled active motion splinting protocol has also more recently been applied to both operative and nonsurgical rehabilitation for boutonniere deformity. © 2014 ASSH Published by Elsevier, Inc. All rights reserved.","author":[{"dropping-particle":"","family":"Merritt","given":"Wyndell H.","non-dropping-particle":"","parse-names":false,"suffix":""}],"container-title":"Journal of Hand Surgery","id":"ITEM-7","issue":"6","issued":{"date-parts":[["2014"]]},"page":"1187-1194","publisher":"Elsevier Inc","title":"Relative motion splint: Active motion after extensor tendon injury and repair","type":"article-journal","volume":"39"},"uris":["http://www.mendeley.com/documents/?uuid=2c6b24e7-e5ac-4d8c-abb2-1dd846c6960c"]}],"mendeley":{"formattedCitation":"(1–7)","plainTextFormattedCitation":"(1–7)","previouslyFormattedCitation":"(1–7)"},"properties":{"noteIndex":0},"schema":"https://github.com/citation-style-language/schema/raw/master/csl-citation.json"}</w:instrText>
      </w:r>
      <w:r w:rsidR="003235B9" w:rsidRPr="00F95E66">
        <w:rPr>
          <w:rFonts w:ascii="Calibri" w:eastAsia="Calibri" w:hAnsi="Calibri" w:cs="Calibri"/>
        </w:rPr>
        <w:fldChar w:fldCharType="separate"/>
      </w:r>
      <w:r w:rsidR="004A2541" w:rsidRPr="004A2541">
        <w:rPr>
          <w:rFonts w:ascii="Calibri" w:eastAsia="Calibri" w:hAnsi="Calibri" w:cs="Calibri"/>
          <w:noProof/>
        </w:rPr>
        <w:t>(1–7)</w:t>
      </w:r>
      <w:r w:rsidR="003235B9" w:rsidRPr="00F95E66">
        <w:rPr>
          <w:rFonts w:ascii="Calibri" w:eastAsia="Calibri" w:hAnsi="Calibri" w:cs="Calibri"/>
        </w:rPr>
        <w:fldChar w:fldCharType="end"/>
      </w:r>
      <w:r w:rsidR="00B757A5" w:rsidRPr="00F95E66">
        <w:rPr>
          <w:rFonts w:ascii="Calibri" w:eastAsia="Calibri" w:hAnsi="Calibri" w:cs="Calibri"/>
        </w:rPr>
        <w:t>. More recently, relative motion flexion</w:t>
      </w:r>
      <w:r w:rsidR="00915849" w:rsidRPr="00F95E66">
        <w:rPr>
          <w:rFonts w:ascii="Calibri" w:eastAsia="Calibri" w:hAnsi="Calibri" w:cs="Calibri"/>
        </w:rPr>
        <w:t xml:space="preserve"> (</w:t>
      </w:r>
      <w:proofErr w:type="spellStart"/>
      <w:r w:rsidR="00915849" w:rsidRPr="00F95E66">
        <w:rPr>
          <w:rFonts w:ascii="Calibri" w:eastAsia="Calibri" w:hAnsi="Calibri" w:cs="Calibri"/>
        </w:rPr>
        <w:t>RMF</w:t>
      </w:r>
      <w:proofErr w:type="spellEnd"/>
      <w:r w:rsidR="00915849" w:rsidRPr="00F95E66">
        <w:rPr>
          <w:rFonts w:ascii="Calibri" w:eastAsia="Calibri" w:hAnsi="Calibri" w:cs="Calibri"/>
        </w:rPr>
        <w:t>) orthoses</w:t>
      </w:r>
      <w:r w:rsidR="00C2740E">
        <w:rPr>
          <w:rFonts w:ascii="Calibri" w:eastAsia="Calibri" w:hAnsi="Calibri" w:cs="Calibri"/>
        </w:rPr>
        <w:t xml:space="preserve"> </w:t>
      </w:r>
      <w:r w:rsidR="00B757A5" w:rsidRPr="00F95E66">
        <w:rPr>
          <w:rFonts w:ascii="Calibri" w:eastAsia="Calibri" w:hAnsi="Calibri" w:cs="Calibri"/>
        </w:rPr>
        <w:t>ha</w:t>
      </w:r>
      <w:r w:rsidR="00C2740E">
        <w:rPr>
          <w:rFonts w:ascii="Calibri" w:eastAsia="Calibri" w:hAnsi="Calibri" w:cs="Calibri"/>
        </w:rPr>
        <w:t>ve</w:t>
      </w:r>
      <w:r w:rsidR="00B757A5" w:rsidRPr="00F95E66">
        <w:rPr>
          <w:rFonts w:ascii="Calibri" w:eastAsia="Calibri" w:hAnsi="Calibri" w:cs="Calibri"/>
        </w:rPr>
        <w:t xml:space="preserve"> been </w:t>
      </w:r>
      <w:r w:rsidR="00FD0908" w:rsidRPr="00F95E66">
        <w:rPr>
          <w:rFonts w:ascii="Calibri" w:eastAsia="Calibri" w:hAnsi="Calibri" w:cs="Calibri"/>
        </w:rPr>
        <w:t>reported</w:t>
      </w:r>
      <w:r w:rsidR="00B757A5" w:rsidRPr="00F95E66">
        <w:rPr>
          <w:rFonts w:ascii="Calibri" w:eastAsia="Calibri" w:hAnsi="Calibri" w:cs="Calibri"/>
        </w:rPr>
        <w:t xml:space="preserve"> as a</w:t>
      </w:r>
      <w:r w:rsidR="00A759B0" w:rsidRPr="00F95E66">
        <w:rPr>
          <w:rFonts w:ascii="Calibri" w:eastAsia="Calibri" w:hAnsi="Calibri" w:cs="Calibri"/>
        </w:rPr>
        <w:t xml:space="preserve"> potential</w:t>
      </w:r>
      <w:r w:rsidR="00B757A5" w:rsidRPr="00F95E66">
        <w:rPr>
          <w:rFonts w:ascii="Calibri" w:eastAsia="Calibri" w:hAnsi="Calibri" w:cs="Calibri"/>
        </w:rPr>
        <w:t xml:space="preserve"> rehabilitation strategy for patients following zone I-III flexor tendon repair </w:t>
      </w:r>
      <w:r w:rsidR="0007699F" w:rsidRPr="00F95E66">
        <w:rPr>
          <w:rFonts w:ascii="Calibri" w:eastAsia="Calibri" w:hAnsi="Calibri" w:cs="Calibri"/>
        </w:rPr>
        <w:fldChar w:fldCharType="begin" w:fldLock="1"/>
      </w:r>
      <w:r w:rsidR="0043414D">
        <w:rPr>
          <w:rFonts w:ascii="Calibri" w:eastAsia="Calibri" w:hAnsi="Calibri" w:cs="Calibri"/>
        </w:rPr>
        <w:instrText>ADDIN CSL_CITATION {"citationItems":[{"id":"ITEM-1","itemData":{"DOI":"10.1016/j.jht.2019.05.002","ISSN":"0894-1130","author":[{"dropping-particle":"","family":"Henry","given":"Steven L","non-dropping-particle":"","parse-names":false,"suffix":""},{"dropping-particle":"","family":"Howell","given":"Julianne W","non-dropping-particle":"","parse-names":false,"suffix":""}],"container-title":"Journal of Hand Therapy","id":"ITEM-1","issue":"3","issued":{"date-parts":[["2020"]]},"page":"296-304","publisher":"Elsevier Inc","title":"Use of a relative motion flexion orthosis for postoperative management of zone I/II flexor digitorum profundus repair: A retrospective consecutive case series","type":"article-journal","volume":"33"},"uris":["http://www.mendeley.com/documents/?uuid=8cf4242d-792a-4604-a722-3df7e36780c9"]},{"id":"ITEM-2","itemData":{"DOI":"10.1177/17589983211017584","ISSN":"17589991","abstract":"Introduction: Relative motion splinting has been used successfully in the treatment of extensor tendon repairs and has recently been applied in flexor tendon rehabilitation. The purpose of this systematic review was to identify articles reporting use of relative motion flexion (RMF) splinting following flexor tendon repair and to examine indications for use and clinical outcomes. Methods: Seven medical databases, four trials registries and three grey literature sources were systematically searched and screened against pre-specified eligibility criteria. Screening, data extraction and quality appraisal were independently performed by two reviewers. Results: A total of 12 studies were identified, of which three met the review eligibility criteria: one retrospective case series; one cadaveric proof of concept study; and one ongoing prospective case series. The type of splint (including metacarpophalangeal joint position and available movement), exercise programme, and zone of tendon injury varied between studies. Both case series presented acceptable range of movement and grip strength outcomes. The prospective series reported one tendon rupture and two tenolysis procedures; the retrospective series reported no tendon ruptures or secondary surgeries. Discussion: We found limited evidence supporting the use of RMF splinting in the rehabilitation of zones I-III flexor tendon repairs. Further prospective research with larger patient cohorts is required to assess the clinical outcomes, patient reported outcomes and safety of RMF splinting in comparison to other regimes. Application of the relative motion principles to flexor tendon splinting varied across the included studies, and we suggest an operational definition of relative motion in this context.","author":[{"dropping-particle":"","family":"Newington","given":"Lisa","non-dropping-particle":"","parse-names":false,"suffix":""},{"dropping-particle":"","family":"Ross","given":"Rachel","non-dropping-particle":"","parse-names":false,"suffix":""},{"dropping-particle":"","family":"Howell","given":"Julianne W.","non-dropping-particle":"","parse-names":false,"suffix":""}],"container-title":"Hand Therapy","id":"ITEM-2","issue":"3","issued":{"date-parts":[["2021"]]},"page":"102-112","title":"Relative motion flexion splinting for the rehabilitation of flexor tendon repairs: A systematic review","type":"article-journal","volume":"26"},"uris":["http://www.mendeley.com/documents/?uuid=7650f5bf-f912-46e0-a48a-7a2618ef8420"]},{"id":"ITEM-3","itemData":{"DOI":"10.1080/09593985.2022.2073574","author":[{"dropping-particle":"","family":"Öksüz","given":"Çiğdem","non-dropping-particle":"","parse-names":false,"suffix":""},{"dropping-particle":"","family":"Arslan","given":"Özge Buket","non-dropping-particle":"","parse-names":false,"suffix":""},{"dropping-particle":"","family":"Baş","given":"Can Emre","non-dropping-particle":"","parse-names":false,"suffix":""},{"dropping-particle":"","family":"Ayhan","given":"Egemen","non-dropping-particle":"","parse-names":false,"suffix":""}],"container-title":"Physiotherapy Theory and Practice","id":"ITEM-3","issued":{"date-parts":[["2022"]]},"page":"DOI:10.1080/09593985.2022.2073574","publisher":"Taylor &amp; Francis","title":"Early active movement with relative motion flexion splint for the management of zone 1-2 flexor tendon repairs: Case series","type":"article-journal","volume":"Online"},"uris":["http://www.mendeley.com/documents/?uuid=43f249d0-02d1-47b4-8e03-3521fb1925c0"]}],"mendeley":{"formattedCitation":"(8–10)","plainTextFormattedCitation":"(8–10)","previouslyFormattedCitation":"(8–10)"},"properties":{"noteIndex":0},"schema":"https://github.com/citation-style-language/schema/raw/master/csl-citation.json"}</w:instrText>
      </w:r>
      <w:r w:rsidR="0007699F" w:rsidRPr="00F95E66">
        <w:rPr>
          <w:rFonts w:ascii="Calibri" w:eastAsia="Calibri" w:hAnsi="Calibri" w:cs="Calibri"/>
        </w:rPr>
        <w:fldChar w:fldCharType="separate"/>
      </w:r>
      <w:r w:rsidR="004D5BB1" w:rsidRPr="004D5BB1">
        <w:rPr>
          <w:rFonts w:ascii="Calibri" w:eastAsia="Calibri" w:hAnsi="Calibri" w:cs="Calibri"/>
          <w:noProof/>
        </w:rPr>
        <w:t>(8–10)</w:t>
      </w:r>
      <w:r w:rsidR="0007699F" w:rsidRPr="00F95E66">
        <w:rPr>
          <w:rFonts w:ascii="Calibri" w:eastAsia="Calibri" w:hAnsi="Calibri" w:cs="Calibri"/>
        </w:rPr>
        <w:fldChar w:fldCharType="end"/>
      </w:r>
      <w:r w:rsidR="00B757A5" w:rsidRPr="00F95E66">
        <w:rPr>
          <w:rFonts w:ascii="Calibri" w:eastAsia="Calibri" w:hAnsi="Calibri" w:cs="Calibri"/>
        </w:rPr>
        <w:t xml:space="preserve">. </w:t>
      </w:r>
    </w:p>
    <w:p w14:paraId="252FBA01" w14:textId="32FF8C6F" w:rsidR="00B04FD2" w:rsidRPr="00F95E66" w:rsidRDefault="00B04FD2" w:rsidP="00950475">
      <w:pPr>
        <w:spacing w:line="480" w:lineRule="auto"/>
        <w:rPr>
          <w:rFonts w:ascii="Calibri" w:eastAsia="Calibri" w:hAnsi="Calibri" w:cs="Calibri"/>
        </w:rPr>
      </w:pPr>
    </w:p>
    <w:p w14:paraId="10BB5086" w14:textId="4EFDE8DF" w:rsidR="00B04FD2" w:rsidRPr="00F95E66" w:rsidRDefault="00B04FD2" w:rsidP="00950475">
      <w:pPr>
        <w:spacing w:line="480" w:lineRule="auto"/>
        <w:rPr>
          <w:rFonts w:ascii="Calibri" w:eastAsia="Calibri" w:hAnsi="Calibri" w:cs="Calibri"/>
        </w:rPr>
      </w:pPr>
      <w:r w:rsidRPr="00F95E66">
        <w:rPr>
          <w:rFonts w:ascii="Calibri" w:eastAsia="Calibri" w:hAnsi="Calibri" w:cs="Calibri"/>
        </w:rPr>
        <w:t xml:space="preserve">Many rehabilitation </w:t>
      </w:r>
      <w:r w:rsidR="007F79BA">
        <w:rPr>
          <w:rFonts w:ascii="Calibri" w:eastAsia="Calibri" w:hAnsi="Calibri" w:cs="Calibri"/>
        </w:rPr>
        <w:t>approaches</w:t>
      </w:r>
      <w:r w:rsidRPr="00F95E66">
        <w:rPr>
          <w:rFonts w:ascii="Calibri" w:eastAsia="Calibri" w:hAnsi="Calibri" w:cs="Calibri"/>
        </w:rPr>
        <w:t xml:space="preserve"> have been</w:t>
      </w:r>
      <w:r w:rsidR="00A759B0" w:rsidRPr="00F95E66">
        <w:rPr>
          <w:rFonts w:ascii="Calibri" w:eastAsia="Calibri" w:hAnsi="Calibri" w:cs="Calibri"/>
        </w:rPr>
        <w:t xml:space="preserve"> described in the </w:t>
      </w:r>
      <w:r w:rsidRPr="00F95E66">
        <w:rPr>
          <w:rFonts w:ascii="Calibri" w:eastAsia="Calibri" w:hAnsi="Calibri" w:cs="Calibri"/>
        </w:rPr>
        <w:t>management of flexor tendon repairs</w:t>
      </w:r>
      <w:r w:rsidR="00C2740E">
        <w:rPr>
          <w:rFonts w:ascii="Calibri" w:eastAsia="Calibri" w:hAnsi="Calibri" w:cs="Calibri"/>
        </w:rPr>
        <w:t>, h</w:t>
      </w:r>
      <w:r w:rsidRPr="00F95E66">
        <w:rPr>
          <w:rFonts w:ascii="Calibri" w:eastAsia="Calibri" w:hAnsi="Calibri" w:cs="Calibri"/>
        </w:rPr>
        <w:t xml:space="preserve">owever, there is currently insufficient high-quality evidence to support </w:t>
      </w:r>
      <w:r w:rsidR="00A759B0" w:rsidRPr="00F95E66">
        <w:rPr>
          <w:rFonts w:ascii="Calibri" w:eastAsia="Calibri" w:hAnsi="Calibri" w:cs="Calibri"/>
        </w:rPr>
        <w:t>any single</w:t>
      </w:r>
      <w:r w:rsidRPr="00F95E66">
        <w:rPr>
          <w:rFonts w:ascii="Calibri" w:eastAsia="Calibri" w:hAnsi="Calibri" w:cs="Calibri"/>
        </w:rPr>
        <w:t xml:space="preserve"> </w:t>
      </w:r>
      <w:r w:rsidR="006021AA">
        <w:rPr>
          <w:rFonts w:ascii="Calibri" w:eastAsia="Calibri" w:hAnsi="Calibri" w:cs="Calibri"/>
        </w:rPr>
        <w:t>appr</w:t>
      </w:r>
      <w:r w:rsidR="00BF27F2">
        <w:rPr>
          <w:rFonts w:ascii="Calibri" w:eastAsia="Calibri" w:hAnsi="Calibri" w:cs="Calibri"/>
        </w:rPr>
        <w:t>oa</w:t>
      </w:r>
      <w:r w:rsidR="006021AA">
        <w:rPr>
          <w:rFonts w:ascii="Calibri" w:eastAsia="Calibri" w:hAnsi="Calibri" w:cs="Calibri"/>
        </w:rPr>
        <w:t>ch</w:t>
      </w:r>
      <w:r w:rsidRPr="00F95E66">
        <w:rPr>
          <w:rFonts w:ascii="Calibri" w:eastAsia="Calibri" w:hAnsi="Calibri" w:cs="Calibri"/>
        </w:rPr>
        <w:t xml:space="preserve"> over another </w:t>
      </w:r>
      <w:r w:rsidRPr="00F95E66">
        <w:rPr>
          <w:rFonts w:ascii="Calibri" w:eastAsia="Calibri" w:hAnsi="Calibri" w:cs="Calibri"/>
        </w:rPr>
        <w:fldChar w:fldCharType="begin" w:fldLock="1"/>
      </w:r>
      <w:r w:rsidR="009E4364">
        <w:rPr>
          <w:rFonts w:ascii="Calibri" w:eastAsia="Calibri" w:hAnsi="Calibri" w:cs="Calibri"/>
        </w:rPr>
        <w:instrText>ADDIN CSL_CITATION {"citationItems":[{"id":"ITEM-1","itemData":{"DOI":"10.1002/14651858.CD012479.pub2","ISSN":"14651858","PMID":"33434949","abstract":"Background: Various rehabilitation treatments may be offered following surgery for flexor tendon injuries of the hand. Rehabilitation often includes a combination of an exercise regimen and an orthosis, plus other rehabilitation treatments, usually delivered together. The effectiveness of these interventions remains unclear. Objectives: To assess the effects (benefits and harms) of different rehabilitation interventions after surgery for flexor tendon injuries of the hand. Search methods: We searched the Cochrane Central Register of Controlled Trials, the Cochrane Bone, Joint and Muscle Trauma Group Specialised Register, MEDLINE, Embase, two additional databases and two international trials registries, unrestricted by language. The last date of searches was 11 August 2020. We checked the reference lists of included studies and relevant systematic reviews. Selection criteria: We included randomised controlled trials (RCTs) and quasi-RCTs that compared any postoperative rehabilitation intervention with no intervention, control, placebo, or another postoperative rehabilitation intervention in individuals who have had surgery for flexor tendon injuries of the hand. Trials comparing different mobilisation regimens either with another mobilisation regimen or with a control were the main comparisons of interest. Our main outcomes of interest were patient-reported function, active range of motion of the fingers, and number of participants experiencing an adverse event. Data collection and analysis: Two review authors independently selected trials for inclusion, extracted data, assessed risk of bias and assessed the quality of the body of evidence for primary outcomes using the GRADE approach, according to standard Cochrane methodology. Main results: We included 16 RCTs and one quasi-RCT, with a total of 1108 participants, mainly adults. Overall, the participants were aged between 7 and 72 years, and 74% were male. Studies mainly focused on flexor tendon injuries in zone II. The 17 studies were heterogeneous with respect to the types of rehabilitation treatments provided, intensity, duration of treatment and the treatment setting. Each trial tested one of 14 comparisons, eight of which were of different exercise regimens. The other trials examined the timing of return to unrestricted functional activities after surgery (one study); the use of external devices applied to the participant to facilitate mobilisation, such as an exoskeleton (one study) or continuous …","author":[{"dropping-particle":"","family":"Peters","given":"Susan E.","non-dropping-particle":"","parse-names":false,"suffix":""},{"dropping-particle":"","family":"Jha","given":"Bhavana","non-dropping-particle":"","parse-names":false,"suffix":""},{"dropping-particle":"","family":"Ross","given":"Mark","non-dropping-particle":"","parse-names":false,"suffix":""}],"container-title":"Cochrane Database of Systematic Reviews","id":"ITEM-1","issued":{"date-parts":[["2021"]]},"page":"CD012479","title":"Rehabilitation following surgery for flexor tendon injuries of the hand","type":"article-journal","volume":"1"},"uris":["http://www.mendeley.com/documents/?uuid=b15d80aa-aebd-45b3-9684-378ee0241ae7"]}],"mendeley":{"formattedCitation":"(11)","plainTextFormattedCitation":"(11)","previouslyFormattedCitation":"(11)"},"properties":{"noteIndex":0},"schema":"https://github.com/citation-style-language/schema/raw/master/csl-citation.json"}</w:instrText>
      </w:r>
      <w:r w:rsidRPr="00F95E66">
        <w:rPr>
          <w:rFonts w:ascii="Calibri" w:eastAsia="Calibri" w:hAnsi="Calibri" w:cs="Calibri"/>
        </w:rPr>
        <w:fldChar w:fldCharType="separate"/>
      </w:r>
      <w:r w:rsidR="004D5BB1" w:rsidRPr="004D5BB1">
        <w:rPr>
          <w:rFonts w:ascii="Calibri" w:eastAsia="Calibri" w:hAnsi="Calibri" w:cs="Calibri"/>
          <w:noProof/>
        </w:rPr>
        <w:t>(11)</w:t>
      </w:r>
      <w:r w:rsidRPr="00F95E66">
        <w:rPr>
          <w:rFonts w:ascii="Calibri" w:eastAsia="Calibri" w:hAnsi="Calibri" w:cs="Calibri"/>
        </w:rPr>
        <w:fldChar w:fldCharType="end"/>
      </w:r>
      <w:r w:rsidRPr="00F95E66">
        <w:rPr>
          <w:rFonts w:ascii="Calibri" w:eastAsia="Calibri" w:hAnsi="Calibri" w:cs="Calibri"/>
        </w:rPr>
        <w:t>. What has been agreed is that early active mobilization strategies are associated with better clinical outcomes compared with passive mobiliza</w:t>
      </w:r>
      <w:r w:rsidR="00383279">
        <w:rPr>
          <w:rFonts w:ascii="Calibri" w:eastAsia="Calibri" w:hAnsi="Calibri" w:cs="Calibri"/>
        </w:rPr>
        <w:t>tion</w:t>
      </w:r>
      <w:r w:rsidRPr="00F95E66">
        <w:rPr>
          <w:rFonts w:ascii="Calibri" w:eastAsia="Calibri" w:hAnsi="Calibri" w:cs="Calibri"/>
        </w:rPr>
        <w:t xml:space="preserve"> </w:t>
      </w:r>
      <w:r w:rsidRPr="00F95E66">
        <w:rPr>
          <w:rFonts w:ascii="Calibri" w:eastAsia="Calibri" w:hAnsi="Calibri" w:cs="Calibri"/>
        </w:rPr>
        <w:fldChar w:fldCharType="begin" w:fldLock="1"/>
      </w:r>
      <w:r w:rsidR="009E4364">
        <w:rPr>
          <w:rFonts w:ascii="Calibri" w:eastAsia="Calibri" w:hAnsi="Calibri" w:cs="Calibri"/>
        </w:rPr>
        <w:instrText>ADDIN CSL_CITATION {"citationItems":[{"id":"ITEM-1","itemData":{"DOI":"10.1002/14651858.CD012479.pub2","ISSN":"14651858","PMID":"33434949","abstract":"Background: Various rehabilitation treatments may be offered following surgery for flexor tendon injuries of the hand. Rehabilitation often includes a combination of an exercise regimen and an orthosis, plus other rehabilitation treatments, usually delivered together. The effectiveness of these interventions remains unclear. Objectives: To assess the effects (benefits and harms) of different rehabilitation interventions after surgery for flexor tendon injuries of the hand. Search methods: We searched the Cochrane Central Register of Controlled Trials, the Cochrane Bone, Joint and Muscle Trauma Group Specialised Register, MEDLINE, Embase, two additional databases and two international trials registries, unrestricted by language. The last date of searches was 11 August 2020. We checked the reference lists of included studies and relevant systematic reviews. Selection criteria: We included randomised controlled trials (RCTs) and quasi-RCTs that compared any postoperative rehabilitation intervention with no intervention, control, placebo, or another postoperative rehabilitation intervention in individuals who have had surgery for flexor tendon injuries of the hand. Trials comparing different mobilisation regimens either with another mobilisation regimen or with a control were the main comparisons of interest. Our main outcomes of interest were patient-reported function, active range of motion of the fingers, and number of participants experiencing an adverse event. Data collection and analysis: Two review authors independently selected trials for inclusion, extracted data, assessed risk of bias and assessed the quality of the body of evidence for primary outcomes using the GRADE approach, according to standard Cochrane methodology. Main results: We included 16 RCTs and one quasi-RCT, with a total of 1108 participants, mainly adults. Overall, the participants were aged between 7 and 72 years, and 74% were male. Studies mainly focused on flexor tendon injuries in zone II. The 17 studies were heterogeneous with respect to the types of rehabilitation treatments provided, intensity, duration of treatment and the treatment setting. Each trial tested one of 14 comparisons, eight of which were of different exercise regimens. The other trials examined the timing of return to unrestricted functional activities after surgery (one study); the use of external devices applied to the participant to facilitate mobilisation, such as an exoskeleton (one study) or continuous …","author":[{"dropping-particle":"","family":"Peters","given":"Susan E.","non-dropping-particle":"","parse-names":false,"suffix":""},{"dropping-particle":"","family":"Jha","given":"Bhavana","non-dropping-particle":"","parse-names":false,"suffix":""},{"dropping-particle":"","family":"Ross","given":"Mark","non-dropping-particle":"","parse-names":false,"suffix":""}],"container-title":"Cochrane Database of Systematic Reviews","id":"ITEM-1","issued":{"date-parts":[["2021"]]},"page":"CD012479","title":"Rehabilitation following surgery for flexor tendon injuries of the hand","type":"article-journal","volume":"1"},"uris":["http://www.mendeley.com/documents/?uuid=b15d80aa-aebd-45b3-9684-378ee0241ae7"]}],"mendeley":{"formattedCitation":"(11)","plainTextFormattedCitation":"(11)","previouslyFormattedCitation":"(11)"},"properties":{"noteIndex":0},"schema":"https://github.com/citation-style-language/schema/raw/master/csl-citation.json"}</w:instrText>
      </w:r>
      <w:r w:rsidRPr="00F95E66">
        <w:rPr>
          <w:rFonts w:ascii="Calibri" w:eastAsia="Calibri" w:hAnsi="Calibri" w:cs="Calibri"/>
        </w:rPr>
        <w:fldChar w:fldCharType="separate"/>
      </w:r>
      <w:r w:rsidR="004D5BB1" w:rsidRPr="004D5BB1">
        <w:rPr>
          <w:rFonts w:ascii="Calibri" w:eastAsia="Calibri" w:hAnsi="Calibri" w:cs="Calibri"/>
          <w:noProof/>
        </w:rPr>
        <w:t>(11)</w:t>
      </w:r>
      <w:r w:rsidRPr="00F95E66">
        <w:rPr>
          <w:rFonts w:ascii="Calibri" w:eastAsia="Calibri" w:hAnsi="Calibri" w:cs="Calibri"/>
        </w:rPr>
        <w:fldChar w:fldCharType="end"/>
      </w:r>
      <w:r w:rsidRPr="00F95E66">
        <w:rPr>
          <w:rFonts w:ascii="Calibri" w:eastAsia="Calibri" w:hAnsi="Calibri" w:cs="Calibri"/>
        </w:rPr>
        <w:t xml:space="preserve">. Relative motion </w:t>
      </w:r>
      <w:r w:rsidR="00C2740E">
        <w:rPr>
          <w:rFonts w:ascii="Calibri" w:eastAsia="Calibri" w:hAnsi="Calibri" w:cs="Calibri"/>
        </w:rPr>
        <w:t>orthoses offer</w:t>
      </w:r>
      <w:r w:rsidRPr="00F95E66">
        <w:rPr>
          <w:rFonts w:ascii="Calibri" w:eastAsia="Calibri" w:hAnsi="Calibri" w:cs="Calibri"/>
        </w:rPr>
        <w:t xml:space="preserve"> the opportunity for earlier functional use of the hand during flexor tendon rehabilitation</w:t>
      </w:r>
      <w:r w:rsidR="00C958D9">
        <w:rPr>
          <w:rFonts w:ascii="Calibri" w:eastAsia="Calibri" w:hAnsi="Calibri" w:cs="Calibri"/>
        </w:rPr>
        <w:fldChar w:fldCharType="begin" w:fldLock="1"/>
      </w:r>
      <w:r w:rsidR="00AE68C3">
        <w:rPr>
          <w:rFonts w:ascii="Calibri" w:eastAsia="Calibri" w:hAnsi="Calibri" w:cs="Calibri"/>
        </w:rPr>
        <w:instrText>ADDIN CSL_CITATION {"citationItems":[{"id":"ITEM-1","itemData":{"DOI":"10.1258/ht.2011.011012","ISSN":"17589991","abstract":"There is a lack of evidence on the best method for rehabilitating extensor tendon injuries in zones V and VI. The purpose of this study was to evaluate the outcomes of modified relative motion splinting compared with immobilization following repair of extensor tendons in zones V and VI. A retrospective analysis compared the outcomes of relative motion splinting with immobilization. Sixteen patients (16 fingers) were treated by conventional immobilization splinting for four weeks (immobilization group) followed by mobilization with avoidance of “at-risk/heavy” activities for a further 4–6 weeks. Twenty-three patients (23 fingers) were treated with the modified relative motion splint (mRMS group) during the day and a resting splint worn overnight for the first four weeks. The relative motion splint was continued for “at-risk/heavy” activities for a further 4–6 weeks. The mRMS group demonstrated statistically significant improvement in range of motion compared with the immobilization group. This effect was most marked at six weeks (P = 0.0194, two-way mixed ANOVA) with the mRMS group achieving a 12% higher mean percentage total active motion (P = 0.0076, Mann-Whitney U test). Results were similar for both groups 12 weeks postoperatively. Differences in return to work times between groups were statistically significant (P = 0.0062, Mann-Whitney U test). Average return to work was 9.4 weeks for the immobilization group and 3.3 weeks for the mRMS group, equating to a 42 days earlier return to work for the mRMS group. There was no incidence of tendon rupture in either group. This study demonstrates that modified relative motion splintage (finger based without wrist component) can be applied in the postoperative management of single zone V or VI extensor tendon repairs. The main advantages of this protocol, compared with immobilization include the small simple splint design, and straightforward patient instructions that enable earlier mobilization, functional hand use and return to both daily living and work. © 2011, British Association of Hand Therapists Limited. All rights reserved.","author":[{"dropping-particle":"","family":"Hirth","given":"Melissa J.","non-dropping-particle":"","parse-names":false,"suffix":""},{"dropping-particle":"","family":"Bennett","given":"Kate","non-dropping-particle":"","parse-names":false,"suffix":""},{"dropping-particle":"","family":"Mah","given":"Eldon","non-dropping-particle":"","parse-names":false,"suffix":""},{"dropping-particle":"","family":"Farrow","given":"Hamish C.","non-dropping-particle":"","parse-names":false,"suffix":""},{"dropping-particle":"V.","family":"Cavallo","given":"Andrew","non-dropping-particle":"","parse-names":false,"suffix":""},{"dropping-particle":"","family":"Ritz","given":"Morris","non-dropping-particle":"","parse-names":false,"suffix":""},{"dropping-particle":"","family":"Findlay","given":"Michael W.","non-dropping-particle":"","parse-names":false,"suffix":""}],"container-title":"Hand Therapy","id":"ITEM-1","issue":"4","issued":{"date-parts":[["2011"]]},"page":"86-94","title":"Early return to work and improved range of motion with modified relative motion splinting: A retrospective comparison with immobilization splinting for zones V and VI extensor tendon repairs","type":"article-journal","volume":"16"},"uris":["http://www.mendeley.com/documents/?uuid=41d690af-f595-4379-b792-9c901cc5a359"]}],"mendeley":{"formattedCitation":"(4)","plainTextFormattedCitation":"(4)","previouslyFormattedCitation":"(4)"},"properties":{"noteIndex":0},"schema":"https://github.com/citation-style-language/schema/raw/master/csl-citation.json"}</w:instrText>
      </w:r>
      <w:r w:rsidR="00C958D9">
        <w:rPr>
          <w:rFonts w:ascii="Calibri" w:eastAsia="Calibri" w:hAnsi="Calibri" w:cs="Calibri"/>
        </w:rPr>
        <w:fldChar w:fldCharType="separate"/>
      </w:r>
      <w:r w:rsidR="00C958D9" w:rsidRPr="00C958D9">
        <w:rPr>
          <w:rFonts w:ascii="Calibri" w:eastAsia="Calibri" w:hAnsi="Calibri" w:cs="Calibri"/>
          <w:noProof/>
        </w:rPr>
        <w:t>(4)</w:t>
      </w:r>
      <w:r w:rsidR="00C958D9">
        <w:rPr>
          <w:rFonts w:ascii="Calibri" w:eastAsia="Calibri" w:hAnsi="Calibri" w:cs="Calibri"/>
        </w:rPr>
        <w:fldChar w:fldCharType="end"/>
      </w:r>
      <w:r w:rsidR="00C2740E">
        <w:rPr>
          <w:rFonts w:ascii="Calibri" w:eastAsia="Calibri" w:hAnsi="Calibri" w:cs="Calibri"/>
        </w:rPr>
        <w:t xml:space="preserve">, which could, in </w:t>
      </w:r>
      <w:r w:rsidRPr="00F95E66">
        <w:rPr>
          <w:rFonts w:ascii="Calibri" w:eastAsia="Calibri" w:hAnsi="Calibri" w:cs="Calibri"/>
        </w:rPr>
        <w:t>theory</w:t>
      </w:r>
      <w:r w:rsidR="00C2740E">
        <w:rPr>
          <w:rFonts w:ascii="Calibri" w:eastAsia="Calibri" w:hAnsi="Calibri" w:cs="Calibri"/>
        </w:rPr>
        <w:t xml:space="preserve">, </w:t>
      </w:r>
      <w:r w:rsidRPr="00F95E66">
        <w:rPr>
          <w:rFonts w:ascii="Calibri" w:eastAsia="Calibri" w:hAnsi="Calibri" w:cs="Calibri"/>
        </w:rPr>
        <w:t xml:space="preserve">aid faster recovery and earlier return to work. </w:t>
      </w:r>
    </w:p>
    <w:p w14:paraId="6BD621C7" w14:textId="770C9FE1" w:rsidR="00854AE8" w:rsidRPr="00F95E66" w:rsidRDefault="00854AE8" w:rsidP="00950475">
      <w:pPr>
        <w:spacing w:line="480" w:lineRule="auto"/>
        <w:rPr>
          <w:rFonts w:ascii="Calibri" w:eastAsia="Calibri" w:hAnsi="Calibri" w:cs="Calibri"/>
        </w:rPr>
      </w:pPr>
    </w:p>
    <w:p w14:paraId="477BE7B4" w14:textId="29046436" w:rsidR="00A40EB6" w:rsidRPr="00EB67B4" w:rsidRDefault="00EB67B4" w:rsidP="00950475">
      <w:pPr>
        <w:spacing w:line="480" w:lineRule="auto"/>
        <w:rPr>
          <w:rFonts w:ascii="Calibri" w:eastAsia="Calibri" w:hAnsi="Calibri" w:cs="Calibri"/>
          <w:color w:val="00B050"/>
        </w:rPr>
      </w:pPr>
      <w:r w:rsidRPr="00F95E66">
        <w:rPr>
          <w:rFonts w:ascii="Calibri" w:eastAsia="Calibri" w:hAnsi="Calibri" w:cs="Calibri"/>
        </w:rPr>
        <w:t>T</w:t>
      </w:r>
      <w:r w:rsidR="005629AB" w:rsidRPr="00F95E66">
        <w:rPr>
          <w:rFonts w:ascii="Calibri" w:eastAsia="Calibri" w:hAnsi="Calibri" w:cs="Calibri"/>
        </w:rPr>
        <w:t xml:space="preserve">he concept of relative motion </w:t>
      </w:r>
      <w:r w:rsidR="00A557F2" w:rsidRPr="00F95E66">
        <w:rPr>
          <w:rFonts w:ascii="Calibri" w:eastAsia="Calibri" w:hAnsi="Calibri" w:cs="Calibri"/>
        </w:rPr>
        <w:t xml:space="preserve">can be </w:t>
      </w:r>
      <w:r w:rsidRPr="00F95E66">
        <w:rPr>
          <w:rFonts w:ascii="Calibri" w:eastAsia="Calibri" w:hAnsi="Calibri" w:cs="Calibri"/>
        </w:rPr>
        <w:t>applie</w:t>
      </w:r>
      <w:r w:rsidR="00A557F2" w:rsidRPr="00F95E66">
        <w:rPr>
          <w:rFonts w:ascii="Calibri" w:eastAsia="Calibri" w:hAnsi="Calibri" w:cs="Calibri"/>
        </w:rPr>
        <w:t>d</w:t>
      </w:r>
      <w:r w:rsidR="005629AB" w:rsidRPr="00F95E66">
        <w:rPr>
          <w:rFonts w:ascii="Calibri" w:eastAsia="Calibri" w:hAnsi="Calibri" w:cs="Calibri"/>
        </w:rPr>
        <w:t xml:space="preserve"> to tendons that share a common muscle belly</w:t>
      </w:r>
      <w:r w:rsidRPr="00F95E66">
        <w:rPr>
          <w:rFonts w:ascii="Calibri" w:eastAsia="Calibri" w:hAnsi="Calibri" w:cs="Calibri"/>
        </w:rPr>
        <w:t>, namely, e</w:t>
      </w:r>
      <w:r w:rsidR="005629AB" w:rsidRPr="00F95E66">
        <w:rPr>
          <w:rFonts w:ascii="Calibri" w:eastAsia="Calibri" w:hAnsi="Calibri" w:cs="Calibri"/>
        </w:rPr>
        <w:t xml:space="preserve">xtensor digitorum communis (EDC) and flexor digitorum </w:t>
      </w:r>
      <w:proofErr w:type="spellStart"/>
      <w:r w:rsidR="005629AB" w:rsidRPr="00F95E66">
        <w:rPr>
          <w:rFonts w:ascii="Calibri" w:eastAsia="Calibri" w:hAnsi="Calibri" w:cs="Calibri"/>
        </w:rPr>
        <w:t>profundus</w:t>
      </w:r>
      <w:proofErr w:type="spellEnd"/>
      <w:r w:rsidR="005629AB" w:rsidRPr="00F95E66">
        <w:rPr>
          <w:rFonts w:ascii="Calibri" w:eastAsia="Calibri" w:hAnsi="Calibri" w:cs="Calibri"/>
        </w:rPr>
        <w:t xml:space="preserve"> (FDP)</w:t>
      </w:r>
      <w:r w:rsidR="00AE68C3">
        <w:rPr>
          <w:rFonts w:ascii="Calibri" w:eastAsia="Calibri" w:hAnsi="Calibri" w:cs="Calibri"/>
        </w:rPr>
        <w:t xml:space="preserve"> </w:t>
      </w:r>
      <w:r w:rsidR="00AE68C3">
        <w:rPr>
          <w:rFonts w:ascii="Calibri" w:eastAsia="Calibri" w:hAnsi="Calibri" w:cs="Calibri"/>
        </w:rPr>
        <w:fldChar w:fldCharType="begin" w:fldLock="1"/>
      </w:r>
      <w:r w:rsidR="00EC0699">
        <w:rPr>
          <w:rFonts w:ascii="Calibri" w:eastAsia="Calibri" w:hAnsi="Calibri" w:cs="Calibri"/>
        </w:rPr>
        <w:instrText>ADDIN CSL_CITATION {"citationItems":[{"id":"ITEM-1","itemData":{"author":[{"dropping-particle":"","family":"Merritt","given":"Wyndell H.","non-dropping-particle":"","parse-names":false,"suffix":""},{"dropping-particle":"","family":"Howell","given":"Julianne W.","non-dropping-particle":"","parse-names":false,"suffix":""}],"chapter-number":"107","container-title":"Rehabilitation of the Hand and Upper Extremity","edition":"7th","editor":[{"dropping-particle":"","family":"Skirven","given":"TM","non-dropping-particle":"","parse-names":false,"suffix":""},{"dropping-particle":"","family":"Osterman","given":"AL","non-dropping-particle":"","parse-names":false,"suffix":""},{"dropping-particle":"","family":"Fedorczyk","given":"JM","non-dropping-particle":"","parse-names":false,"suffix":""},{"dropping-particle":"","family":"Amadio","given":"PC","non-dropping-particle":"","parse-names":false,"suffix":""},{"dropping-particle":"","family":"Feldscher","given":"SB","non-dropping-particle":"","parse-names":false,"suffix":""},{"dropping-particle":"","family":"Shin","given":"EK","non-dropping-particle":"","parse-names":false,"suffix":""}],"id":"ITEM-1","issued":{"date-parts":[["2021"]]},"page":"1496-1510","publisher":"Elsevier","publisher-place":"Philadelphia","title":"Relative motion orthoses: The concepts and application to hand therapy management of finger extensor tendon zone III and VII repairs, acute and chronic Boutonniere deformity, and sagittal band injury","type":"chapter"},"uris":["http://www.mendeley.com/documents/?uuid=4ad03b08-4c2a-406a-b40b-7d60f3931b0d"]}],"mendeley":{"formattedCitation":"(12)","plainTextFormattedCitation":"(12)","previouslyFormattedCitation":"(12)"},"properties":{"noteIndex":0},"schema":"https://github.com/citation-style-language/schema/raw/master/csl-citation.json"}</w:instrText>
      </w:r>
      <w:r w:rsidR="00AE68C3">
        <w:rPr>
          <w:rFonts w:ascii="Calibri" w:eastAsia="Calibri" w:hAnsi="Calibri" w:cs="Calibri"/>
        </w:rPr>
        <w:fldChar w:fldCharType="separate"/>
      </w:r>
      <w:r w:rsidR="00AE68C3" w:rsidRPr="00AE68C3">
        <w:rPr>
          <w:rFonts w:ascii="Calibri" w:eastAsia="Calibri" w:hAnsi="Calibri" w:cs="Calibri"/>
          <w:noProof/>
        </w:rPr>
        <w:t>(12)</w:t>
      </w:r>
      <w:r w:rsidR="00AE68C3">
        <w:rPr>
          <w:rFonts w:ascii="Calibri" w:eastAsia="Calibri" w:hAnsi="Calibri" w:cs="Calibri"/>
        </w:rPr>
        <w:fldChar w:fldCharType="end"/>
      </w:r>
      <w:r w:rsidR="005629AB" w:rsidRPr="00F95E66">
        <w:rPr>
          <w:rFonts w:ascii="Calibri" w:eastAsia="Calibri" w:hAnsi="Calibri" w:cs="Calibri"/>
        </w:rPr>
        <w:t xml:space="preserve">. </w:t>
      </w:r>
      <w:r w:rsidR="00FE04CF" w:rsidRPr="00F95E66">
        <w:rPr>
          <w:rFonts w:ascii="Calibri" w:eastAsia="Calibri" w:hAnsi="Calibri" w:cs="Calibri"/>
        </w:rPr>
        <w:t>The central p</w:t>
      </w:r>
      <w:r w:rsidRPr="00F95E66">
        <w:rPr>
          <w:rFonts w:ascii="Calibri" w:eastAsia="Calibri" w:hAnsi="Calibri" w:cs="Calibri"/>
        </w:rPr>
        <w:t xml:space="preserve">remise is that by using differential positioning of the metacarpophalangeal </w:t>
      </w:r>
      <w:r w:rsidR="00A40EB6" w:rsidRPr="00F95E66">
        <w:rPr>
          <w:rFonts w:ascii="Calibri" w:eastAsia="Calibri" w:hAnsi="Calibri" w:cs="Calibri"/>
        </w:rPr>
        <w:t>(</w:t>
      </w:r>
      <w:proofErr w:type="spellStart"/>
      <w:r w:rsidR="00A40EB6" w:rsidRPr="00F95E66">
        <w:rPr>
          <w:rFonts w:ascii="Calibri" w:eastAsia="Calibri" w:hAnsi="Calibri" w:cs="Calibri"/>
        </w:rPr>
        <w:t>MCP</w:t>
      </w:r>
      <w:proofErr w:type="spellEnd"/>
      <w:r w:rsidR="00A40EB6" w:rsidRPr="00F95E66">
        <w:rPr>
          <w:rFonts w:ascii="Calibri" w:eastAsia="Calibri" w:hAnsi="Calibri" w:cs="Calibri"/>
        </w:rPr>
        <w:t xml:space="preserve">) </w:t>
      </w:r>
      <w:r w:rsidRPr="00F95E66">
        <w:rPr>
          <w:rFonts w:ascii="Calibri" w:eastAsia="Calibri" w:hAnsi="Calibri" w:cs="Calibri"/>
        </w:rPr>
        <w:t xml:space="preserve">joints, tendon excursion can be </w:t>
      </w:r>
      <w:r w:rsidR="00A40EB6" w:rsidRPr="00F95E66">
        <w:rPr>
          <w:rFonts w:ascii="Calibri" w:eastAsia="Calibri" w:hAnsi="Calibri" w:cs="Calibri"/>
        </w:rPr>
        <w:t>reduced</w:t>
      </w:r>
      <w:r w:rsidRPr="00F95E66">
        <w:rPr>
          <w:rFonts w:ascii="Calibri" w:eastAsia="Calibri" w:hAnsi="Calibri" w:cs="Calibri"/>
        </w:rPr>
        <w:t xml:space="preserve"> to off-load the repaired or injured tendon</w:t>
      </w:r>
      <w:r w:rsidR="009E4364">
        <w:rPr>
          <w:rFonts w:ascii="Calibri" w:eastAsia="Calibri" w:hAnsi="Calibri" w:cs="Calibri"/>
        </w:rPr>
        <w:t xml:space="preserve"> </w:t>
      </w:r>
      <w:r w:rsidR="009E4364">
        <w:rPr>
          <w:rFonts w:ascii="Calibri" w:eastAsia="Calibri" w:hAnsi="Calibri" w:cs="Calibri"/>
        </w:rPr>
        <w:fldChar w:fldCharType="begin" w:fldLock="1"/>
      </w:r>
      <w:r w:rsidR="00047F9D">
        <w:rPr>
          <w:rFonts w:ascii="Calibri" w:eastAsia="Calibri" w:hAnsi="Calibri" w:cs="Calibri"/>
        </w:rPr>
        <w:instrText>ADDIN CSL_CITATION {"citationItems":[{"id":"ITEM-1","itemData":{"DOI":"10.1016/j.jhsa.2014.03.015","ISSN":"15316564","PMID":"24862114","abstract":"The relative motion splint was initially developed to facilitate postoperative rehabilitation after repair of extensor tendon injuries at the dorsum of the hand and forearm. It has subsequently been used for rehabilitation of sagittal band injuries and after repair of closed attrition extensor tendon ruptures in rheumatoid arthritis. This is much less awkward than other braces and can readily be worn during normal past-time and work activities. This so-called immediate controlled active motion splinting protocol has also more recently been applied to both operative and nonsurgical rehabilitation for boutonniere deformity. © 2014 ASSH Published by Elsevier, Inc. All rights reserved.","author":[{"dropping-particle":"","family":"Merritt","given":"Wyndell H.","non-dropping-particle":"","parse-names":false,"suffix":""}],"container-title":"Journal of Hand Surgery","id":"ITEM-1","issue":"6","issued":{"date-parts":[["2014"]]},"page":"1187-1194","publisher":"Elsevier Inc","title":"Relative motion splint: Active motion after extensor tendon injury and repair","type":"article-journal","volume":"39"},"uris":["http://www.mendeley.com/documents/?uuid=2c6b24e7-e5ac-4d8c-abb2-1dd846c6960c"]},{"id":"ITEM-2","itemData":{"author":[{"dropping-particle":"","family":"Merritt","given":"Wyndell H.","non-dropping-particle":"","parse-names":false,"suffix":""},{"dropping-particle":"","family":"Howell","given":"Julianne W.","non-dropping-particle":"","parse-names":false,"suffix":""}],"chapter-number":"107","container-title":"Rehabilitation of the Hand and Upper Extremity","edition":"7th","editor":[{"dropping-particle":"","family":"Skirven","given":"TM","non-dropping-particle":"","parse-names":false,"suffix":""},{"dropping-particle":"","family":"Osterman","given":"AL","non-dropping-particle":"","parse-names":false,"suffix":""},{"dropping-particle":"","family":"Fedorczyk","given":"JM","non-dropping-particle":"","parse-names":false,"suffix":""},{"dropping-particle":"","family":"Amadio","given":"PC","non-dropping-particle":"","parse-names":false,"suffix":""},{"dropping-particle":"","family":"Feldscher","given":"SB","non-dropping-particle":"","parse-names":false,"suffix":""},{"dropping-particle":"","family":"Shin","given":"EK","non-dropping-particle":"","parse-names":false,"suffix":""}],"id":"ITEM-2","issued":{"date-parts":[["2021"]]},"page":"1496-1510","publisher":"Elsevier","publisher-place":"Philadelphia","title":"Relative motion orthoses: The concepts and application to hand therapy management of finger extensor tendon zone III and VII repairs, acute and chronic Boutonniere deformity, and sagittal band injury","type":"chapter"},"uris":["http://www.mendeley.com/documents/?uuid=4ad03b08-4c2a-406a-b40b-7d60f3931b0d"]}],"mendeley":{"formattedCitation":"(7,12)","plainTextFormattedCitation":"(7,12)","previouslyFormattedCitation":"(7,12)"},"properties":{"noteIndex":0},"schema":"https://github.com/citation-style-language/schema/raw/master/csl-citation.json"}</w:instrText>
      </w:r>
      <w:r w:rsidR="009E4364">
        <w:rPr>
          <w:rFonts w:ascii="Calibri" w:eastAsia="Calibri" w:hAnsi="Calibri" w:cs="Calibri"/>
        </w:rPr>
        <w:fldChar w:fldCharType="separate"/>
      </w:r>
      <w:r w:rsidR="00C71A0C" w:rsidRPr="00C71A0C">
        <w:rPr>
          <w:rFonts w:ascii="Calibri" w:eastAsia="Calibri" w:hAnsi="Calibri" w:cs="Calibri"/>
          <w:noProof/>
        </w:rPr>
        <w:t>(7,12)</w:t>
      </w:r>
      <w:r w:rsidR="009E4364">
        <w:rPr>
          <w:rFonts w:ascii="Calibri" w:eastAsia="Calibri" w:hAnsi="Calibri" w:cs="Calibri"/>
        </w:rPr>
        <w:fldChar w:fldCharType="end"/>
      </w:r>
      <w:r w:rsidRPr="00F95E66">
        <w:rPr>
          <w:rFonts w:ascii="Calibri" w:eastAsia="Calibri" w:hAnsi="Calibri" w:cs="Calibri"/>
        </w:rPr>
        <w:t xml:space="preserve">. </w:t>
      </w:r>
      <w:r w:rsidR="00A557F2" w:rsidRPr="00F95E66">
        <w:rPr>
          <w:rFonts w:ascii="Calibri" w:eastAsia="Calibri" w:hAnsi="Calibri" w:cs="Calibri"/>
        </w:rPr>
        <w:t>P</w:t>
      </w:r>
      <w:r w:rsidR="005629AB" w:rsidRPr="00F95E66">
        <w:rPr>
          <w:rFonts w:ascii="Calibri" w:eastAsia="Calibri" w:hAnsi="Calibri" w:cs="Calibri"/>
        </w:rPr>
        <w:t xml:space="preserve">ositioning </w:t>
      </w:r>
      <w:r w:rsidRPr="00F95E66">
        <w:rPr>
          <w:rFonts w:ascii="Calibri" w:eastAsia="Calibri" w:hAnsi="Calibri" w:cs="Calibri"/>
        </w:rPr>
        <w:t>the</w:t>
      </w:r>
      <w:r w:rsidR="005629AB" w:rsidRPr="00F95E66">
        <w:rPr>
          <w:rFonts w:ascii="Calibri" w:eastAsia="Calibri" w:hAnsi="Calibri" w:cs="Calibri"/>
        </w:rPr>
        <w:t xml:space="preserve"> </w:t>
      </w:r>
      <w:proofErr w:type="spellStart"/>
      <w:r w:rsidR="005629AB" w:rsidRPr="00F95E66">
        <w:rPr>
          <w:rFonts w:ascii="Calibri" w:eastAsia="Calibri" w:hAnsi="Calibri" w:cs="Calibri"/>
        </w:rPr>
        <w:t>MCP</w:t>
      </w:r>
      <w:proofErr w:type="spellEnd"/>
      <w:r w:rsidR="00A40EB6" w:rsidRPr="00F95E66">
        <w:rPr>
          <w:rFonts w:ascii="Calibri" w:eastAsia="Calibri" w:hAnsi="Calibri" w:cs="Calibri"/>
        </w:rPr>
        <w:t xml:space="preserve"> joint</w:t>
      </w:r>
      <w:r w:rsidR="005629AB" w:rsidRPr="00F95E66">
        <w:rPr>
          <w:rFonts w:ascii="Calibri" w:eastAsia="Calibri" w:hAnsi="Calibri" w:cs="Calibri"/>
        </w:rPr>
        <w:t xml:space="preserve"> in relatively </w:t>
      </w:r>
      <w:r w:rsidR="00201FEB">
        <w:rPr>
          <w:rFonts w:ascii="Calibri" w:eastAsia="Calibri" w:hAnsi="Calibri" w:cs="Calibri"/>
        </w:rPr>
        <w:t>greater</w:t>
      </w:r>
      <w:r w:rsidR="005629AB" w:rsidRPr="00F95E66">
        <w:rPr>
          <w:rFonts w:ascii="Calibri" w:eastAsia="Calibri" w:hAnsi="Calibri" w:cs="Calibri"/>
        </w:rPr>
        <w:t xml:space="preserve"> extension </w:t>
      </w:r>
      <w:r w:rsidRPr="00F95E66">
        <w:rPr>
          <w:rFonts w:ascii="Calibri" w:eastAsia="Calibri" w:hAnsi="Calibri" w:cs="Calibri"/>
        </w:rPr>
        <w:t xml:space="preserve">compared to the other </w:t>
      </w:r>
      <w:proofErr w:type="spellStart"/>
      <w:r w:rsidR="00C2740E">
        <w:rPr>
          <w:rFonts w:ascii="Calibri" w:eastAsia="Calibri" w:hAnsi="Calibri" w:cs="Calibri"/>
        </w:rPr>
        <w:t>MCP</w:t>
      </w:r>
      <w:proofErr w:type="spellEnd"/>
      <w:r w:rsidR="00C2740E">
        <w:rPr>
          <w:rFonts w:ascii="Calibri" w:eastAsia="Calibri" w:hAnsi="Calibri" w:cs="Calibri"/>
        </w:rPr>
        <w:t xml:space="preserve"> joints</w:t>
      </w:r>
      <w:r w:rsidRPr="00F95E66">
        <w:rPr>
          <w:rFonts w:ascii="Calibri" w:eastAsia="Calibri" w:hAnsi="Calibri" w:cs="Calibri"/>
        </w:rPr>
        <w:t xml:space="preserve"> reduces the excursion of the EDC tendon</w:t>
      </w:r>
      <w:r w:rsidRPr="00C2740E">
        <w:rPr>
          <w:rFonts w:ascii="Calibri" w:eastAsia="Calibri" w:hAnsi="Calibri" w:cs="Calibri"/>
        </w:rPr>
        <w:t xml:space="preserve"> to </w:t>
      </w:r>
      <w:r w:rsidRPr="00C2740E">
        <w:rPr>
          <w:rFonts w:ascii="Calibri" w:eastAsia="Calibri" w:hAnsi="Calibri" w:cs="Calibri"/>
        </w:rPr>
        <w:lastRenderedPageBreak/>
        <w:t>that digit</w:t>
      </w:r>
      <w:r w:rsidR="00FF3DAA">
        <w:rPr>
          <w:rFonts w:ascii="Calibri" w:eastAsia="Calibri" w:hAnsi="Calibri" w:cs="Calibri"/>
        </w:rPr>
        <w:t xml:space="preserve"> </w:t>
      </w:r>
      <w:r w:rsidR="002D5ADE">
        <w:rPr>
          <w:rFonts w:ascii="Calibri" w:eastAsia="Calibri" w:hAnsi="Calibri" w:cs="Calibri"/>
        </w:rPr>
        <w:fldChar w:fldCharType="begin" w:fldLock="1"/>
      </w:r>
      <w:r w:rsidR="002E1436">
        <w:rPr>
          <w:rFonts w:ascii="Calibri" w:eastAsia="Calibri" w:hAnsi="Calibri" w:cs="Calibri"/>
        </w:rPr>
        <w:instrText>ADDIN CSL_CITATION {"citationItems":[{"id":"ITEM-1","itemData":{"DOI":"10.1016/j.jhsa.2006.04.004","ISSN":"03635023","PMID":"16945713","abstract":"Purpose: Early protected motion after extensor tendon repair is desirable. The low-profile relative motion splint, described previously by Merritt et al, holds the affected digit in 15° of extension relative to the uninjured digits to allow less-cumbersome early protected motion versus dynamic splinting. Although early clinical results have been favorable, formal biomechanic testing of this approach is lacking. We used an in vitro model to assess the effect of the low-profile relative motion splint on the biomechanics of zone VI extensor tendons by measuring tendon elongation with and without the splint. Tendon elongation also was measured after transection and repair of extensor tendons in zone VI with and without splint protection. Methods: Ten fresh-frozen cadeveric upper extremities were prepared and mounted on a testing apparatus with the wrist in 25° of extension. Alternating applications of extension and flexion loads to the tendons induced a full range of motion for 25 cycles. Differential variable reluctance transducers were applied to zone VI of the index, middle, and ring extensor tendons. Measurements of intact tendon microelongation (or strain) were obtained with and without the relative motion splint. The middle finger extensor tendon then was transected (in zone VI) and was repaired immediately. Measurements were repeated with and without splint protection. Elongation ratios were calculated and analyzed statistically. Results: For the intact tendon of the middle finger splinting reduced the elongation by 1% in extension, by 2% in flexion, and by 3% in neutral position. After the transection and repair of this same tendon, the splint reduced the elongation by 5% in extension, by 7% in flexion, and by 6% in neutral position. Cycling without splint protection caused permanent stretching at the repair site. Reapplication of the splint decreased elongation at the repair site by 2% in extension, by 3% in flexion, and by 3% in neutral position. Conclusions: The relative motion splint reduces the effective strain on intact and repaired zone VI middle finger extensor tendons and supports its clinical use. © 2006 American Society for Surgery of the Hand.","author":[{"dropping-particle":"V.","family":"Sharma","given":"Joy","non-dropping-particle":"","parse-names":false,"suffix":""},{"dropping-particle":"","family":"Liang","given":"Ni Jui","non-dropping-particle":"","parse-names":false,"suffix":""},{"dropping-particle":"","family":"Owen","given":"John R.","non-dropping-particle":"","parse-names":false,"suffix":""},{"dropping-particle":"","family":"Wayne","given":"Jennifer S.","non-dropping-particle":"","parse-names":false,"suffix":""},{"dropping-particle":"","family":"Isaacs","given":"Jonathan E.","non-dropping-particle":"","parse-names":false,"suffix":""}],"container-title":"Journal of Hand Surgery","id":"ITEM-1","issue":"7","issued":{"date-parts":[["2006"]]},"page":"1118-1122","title":"Analysis of Relative Motion Splint in the Treatment of Zone VI Extensor Tendon Injuries","type":"article-journal","volume":"31"},"uris":["http://www.mendeley.com/documents/?uuid=c2a8673a-fa03-434a-831f-1c11d7543005"]}],"mendeley":{"formattedCitation":"(13)","plainTextFormattedCitation":"(13)","previouslyFormattedCitation":"(13)"},"properties":{"noteIndex":0},"schema":"https://github.com/citation-style-language/schema/raw/master/csl-citation.json"}</w:instrText>
      </w:r>
      <w:r w:rsidR="002D5ADE">
        <w:rPr>
          <w:rFonts w:ascii="Calibri" w:eastAsia="Calibri" w:hAnsi="Calibri" w:cs="Calibri"/>
        </w:rPr>
        <w:fldChar w:fldCharType="separate"/>
      </w:r>
      <w:r w:rsidR="002D5ADE" w:rsidRPr="002D5ADE">
        <w:rPr>
          <w:rFonts w:ascii="Calibri" w:eastAsia="Calibri" w:hAnsi="Calibri" w:cs="Calibri"/>
          <w:noProof/>
        </w:rPr>
        <w:t>(13)</w:t>
      </w:r>
      <w:r w:rsidR="002D5ADE">
        <w:rPr>
          <w:rFonts w:ascii="Calibri" w:eastAsia="Calibri" w:hAnsi="Calibri" w:cs="Calibri"/>
        </w:rPr>
        <w:fldChar w:fldCharType="end"/>
      </w:r>
      <w:r w:rsidRPr="00C2740E">
        <w:rPr>
          <w:rFonts w:ascii="Calibri" w:eastAsia="Calibri" w:hAnsi="Calibri" w:cs="Calibri"/>
        </w:rPr>
        <w:t xml:space="preserve">. Similarly, positioning the </w:t>
      </w:r>
      <w:proofErr w:type="spellStart"/>
      <w:r w:rsidRPr="00C2740E">
        <w:rPr>
          <w:rFonts w:ascii="Calibri" w:eastAsia="Calibri" w:hAnsi="Calibri" w:cs="Calibri"/>
        </w:rPr>
        <w:t>MCP</w:t>
      </w:r>
      <w:proofErr w:type="spellEnd"/>
      <w:r w:rsidR="00A40EB6" w:rsidRPr="00C2740E">
        <w:rPr>
          <w:rFonts w:ascii="Calibri" w:eastAsia="Calibri" w:hAnsi="Calibri" w:cs="Calibri"/>
        </w:rPr>
        <w:t xml:space="preserve"> joint</w:t>
      </w:r>
      <w:r w:rsidRPr="00C2740E">
        <w:rPr>
          <w:rFonts w:ascii="Calibri" w:eastAsia="Calibri" w:hAnsi="Calibri" w:cs="Calibri"/>
        </w:rPr>
        <w:t xml:space="preserve"> in relatively </w:t>
      </w:r>
      <w:r w:rsidR="00AE68C3">
        <w:rPr>
          <w:rFonts w:ascii="Calibri" w:eastAsia="Calibri" w:hAnsi="Calibri" w:cs="Calibri"/>
        </w:rPr>
        <w:t>more</w:t>
      </w:r>
      <w:r w:rsidRPr="00C2740E">
        <w:rPr>
          <w:rFonts w:ascii="Calibri" w:eastAsia="Calibri" w:hAnsi="Calibri" w:cs="Calibri"/>
        </w:rPr>
        <w:t xml:space="preserve"> flexion </w:t>
      </w:r>
      <w:r w:rsidR="00CC6FD3" w:rsidRPr="00C2740E">
        <w:rPr>
          <w:rFonts w:ascii="Calibri" w:eastAsia="Calibri" w:hAnsi="Calibri" w:cs="Calibri"/>
        </w:rPr>
        <w:t xml:space="preserve">theoretically </w:t>
      </w:r>
      <w:r w:rsidRPr="00C2740E">
        <w:rPr>
          <w:rFonts w:ascii="Calibri" w:eastAsia="Calibri" w:hAnsi="Calibri" w:cs="Calibri"/>
        </w:rPr>
        <w:t xml:space="preserve">reduces the excursion of the FDP tendon for that digit </w:t>
      </w:r>
      <w:r w:rsidRPr="00C2740E">
        <w:rPr>
          <w:rFonts w:ascii="Calibri" w:eastAsia="Calibri" w:hAnsi="Calibri" w:cs="Calibri"/>
        </w:rPr>
        <w:fldChar w:fldCharType="begin" w:fldLock="1"/>
      </w:r>
      <w:r w:rsidR="002E1436">
        <w:rPr>
          <w:rFonts w:ascii="Calibri" w:eastAsia="Calibri" w:hAnsi="Calibri" w:cs="Calibri"/>
        </w:rPr>
        <w:instrText>ADDIN CSL_CITATION {"citationItems":[{"id":"ITEM-1","itemData":{"DOI":"10.1177/1558944717732063","ISSN":"15589455","PMID":"28975818","abstract":"Background: The principle of relative motion has allowed patients to regain a higher degree of hand function, while protecting extensor tendon repairs. The purpose of this study was to determine whether the principle of relative motion could be a viable method to protect a flexor tendon repair. Methods: Four fresh-frozen cadaver arms were each mounted on a testing apparatus (wrist in 30° of extension, metacarpophalangeal [MCP] joints blocked to 70°-80°). A minimum of 11 N was used to cyclically load the flexor digitorum profundus and extensor digitorum communis tendons to maximum allowable flexion and extension for 25 cycles. Measurements of elongation of the tendons were obtained through the use of differential variable reluctance transducers. Testing was performed in both intact and repaired (single 6-0 nylon suture) middle finger tendons (zone 3) with and without a relative motion flexion splint (RMFS), which placed the affected finger in 15° to 25° of relative flexion at the MCP joint. Results: In all 4 hands, elongation was restricted to less than 1.3 mm in repaired tendon in the RMFS compared with elongation &gt;2 mm in the nonsplinted condition. Average elongation was 0.86 mm (SD = 0.45). Visual examination of the tendons demonstrated no gapping with the use of the RMFS in any of the hands. All repairs had suture breakage and repair rupture without the RMFS. Conclusions: This study demonstrates that the RMFS decreases elongation and eliminates tendon-repair gapping after flexion/extension cycling in a cadaver model. It provides proof of concept that the RMFS may be a viable protective mechanism for flexor tendon repairs in zone 3.","author":[{"dropping-particle":"","family":"Chung","given":"Bryan","non-dropping-particle":"","parse-names":false,"suffix":""},{"dropping-particle":"","family":"Chiu","given":"David T.W.","non-dropping-particle":"","parse-names":false,"suffix":""},{"dropping-particle":"","family":"Thanik","given":"Vishal","non-dropping-particle":"","parse-names":false,"suffix":""}],"container-title":"Hand","id":"ITEM-1","issue":"2","issued":{"date-parts":[["2019"]]},"page":"193-196","title":"Relative Motion Flexion Splinting for Flexor Tendon Lacerations: Proof of Concept","type":"article-journal","volume":"14"},"uris":["http://www.mendeley.com/documents/?uuid=a7357478-07a4-4734-b363-8ab9339c7629"]}],"mendeley":{"formattedCitation":"(14)","plainTextFormattedCitation":"(14)","previouslyFormattedCitation":"(14)"},"properties":{"noteIndex":0},"schema":"https://github.com/citation-style-language/schema/raw/master/csl-citation.json"}</w:instrText>
      </w:r>
      <w:r w:rsidRPr="00C2740E">
        <w:rPr>
          <w:rFonts w:ascii="Calibri" w:eastAsia="Calibri" w:hAnsi="Calibri" w:cs="Calibri"/>
        </w:rPr>
        <w:fldChar w:fldCharType="separate"/>
      </w:r>
      <w:r w:rsidR="002D5ADE" w:rsidRPr="002D5ADE">
        <w:rPr>
          <w:rFonts w:ascii="Calibri" w:eastAsia="Calibri" w:hAnsi="Calibri" w:cs="Calibri"/>
          <w:noProof/>
        </w:rPr>
        <w:t>(14)</w:t>
      </w:r>
      <w:r w:rsidRPr="00C2740E">
        <w:rPr>
          <w:rFonts w:ascii="Calibri" w:eastAsia="Calibri" w:hAnsi="Calibri" w:cs="Calibri"/>
        </w:rPr>
        <w:fldChar w:fldCharType="end"/>
      </w:r>
      <w:r w:rsidRPr="00C2740E">
        <w:rPr>
          <w:rFonts w:ascii="Calibri" w:eastAsia="Calibri" w:hAnsi="Calibri" w:cs="Calibri"/>
        </w:rPr>
        <w:t xml:space="preserve">. </w:t>
      </w:r>
    </w:p>
    <w:p w14:paraId="2901884F" w14:textId="77777777" w:rsidR="00CD047E" w:rsidRDefault="00CD047E" w:rsidP="00950475">
      <w:pPr>
        <w:spacing w:line="480" w:lineRule="auto"/>
        <w:rPr>
          <w:rFonts w:ascii="Calibri" w:eastAsia="Calibri" w:hAnsi="Calibri" w:cs="Calibri"/>
        </w:rPr>
      </w:pPr>
    </w:p>
    <w:p w14:paraId="368968A5" w14:textId="3B16D557" w:rsidR="00CC6FD3" w:rsidRPr="00C2740E" w:rsidRDefault="00CD047E" w:rsidP="00950475">
      <w:pPr>
        <w:spacing w:line="480" w:lineRule="auto"/>
        <w:rPr>
          <w:rFonts w:ascii="Calibri" w:eastAsia="Calibri" w:hAnsi="Calibri" w:cs="Calibri"/>
        </w:rPr>
      </w:pPr>
      <w:r w:rsidRPr="00C2740E">
        <w:rPr>
          <w:rFonts w:ascii="Calibri" w:eastAsia="Calibri" w:hAnsi="Calibri" w:cs="Calibri"/>
        </w:rPr>
        <w:t xml:space="preserve">Relative motion </w:t>
      </w:r>
      <w:r w:rsidR="005629AB" w:rsidRPr="00C2740E">
        <w:rPr>
          <w:rFonts w:ascii="Calibri" w:eastAsia="Calibri" w:hAnsi="Calibri" w:cs="Calibri"/>
        </w:rPr>
        <w:t>orthoses</w:t>
      </w:r>
      <w:r w:rsidR="00D01BC0" w:rsidRPr="00C2740E">
        <w:rPr>
          <w:rFonts w:ascii="Calibri" w:eastAsia="Calibri" w:hAnsi="Calibri" w:cs="Calibri"/>
        </w:rPr>
        <w:t xml:space="preserve"> are typically fabricated </w:t>
      </w:r>
      <w:r w:rsidR="009E4364">
        <w:rPr>
          <w:rFonts w:ascii="Calibri" w:eastAsia="Calibri" w:hAnsi="Calibri" w:cs="Calibri"/>
        </w:rPr>
        <w:t>using a</w:t>
      </w:r>
      <w:r w:rsidR="00D01BC0" w:rsidRPr="00C2740E">
        <w:rPr>
          <w:rFonts w:ascii="Calibri" w:eastAsia="Calibri" w:hAnsi="Calibri" w:cs="Calibri"/>
        </w:rPr>
        <w:t xml:space="preserve"> customized</w:t>
      </w:r>
      <w:r w:rsidR="00C2740E" w:rsidRPr="00C2740E">
        <w:rPr>
          <w:rFonts w:ascii="Calibri" w:eastAsia="Calibri" w:hAnsi="Calibri" w:cs="Calibri"/>
        </w:rPr>
        <w:t xml:space="preserve"> finger-based </w:t>
      </w:r>
      <w:r w:rsidR="009E4364">
        <w:rPr>
          <w:rFonts w:ascii="Calibri" w:eastAsia="Calibri" w:hAnsi="Calibri" w:cs="Calibri"/>
        </w:rPr>
        <w:t>design</w:t>
      </w:r>
      <w:r w:rsidR="00D01BC0" w:rsidRPr="00C2740E">
        <w:rPr>
          <w:rFonts w:ascii="Calibri" w:eastAsia="Calibri" w:hAnsi="Calibri" w:cs="Calibri"/>
        </w:rPr>
        <w:t xml:space="preserve"> and r</w:t>
      </w:r>
      <w:r w:rsidR="0007699F" w:rsidRPr="00C2740E">
        <w:rPr>
          <w:rFonts w:ascii="Calibri" w:eastAsia="Calibri" w:hAnsi="Calibri" w:cs="Calibri"/>
        </w:rPr>
        <w:t xml:space="preserve">equire three elements: </w:t>
      </w:r>
      <w:r w:rsidR="00A40EB6" w:rsidRPr="00C2740E">
        <w:rPr>
          <w:rFonts w:ascii="Calibri" w:eastAsia="Calibri" w:hAnsi="Calibri" w:cs="Calibri"/>
        </w:rPr>
        <w:t xml:space="preserve">(i) </w:t>
      </w:r>
      <w:r w:rsidR="0007699F" w:rsidRPr="00C2740E">
        <w:rPr>
          <w:rFonts w:ascii="Calibri" w:eastAsia="Calibri" w:hAnsi="Calibri" w:cs="Calibri"/>
        </w:rPr>
        <w:t xml:space="preserve">the </w:t>
      </w:r>
      <w:proofErr w:type="spellStart"/>
      <w:r w:rsidR="00A40EB6" w:rsidRPr="00C2740E">
        <w:rPr>
          <w:rFonts w:ascii="Calibri" w:eastAsia="Calibri" w:hAnsi="Calibri" w:cs="Calibri"/>
        </w:rPr>
        <w:t>MCP</w:t>
      </w:r>
      <w:proofErr w:type="spellEnd"/>
      <w:r w:rsidR="00A40EB6" w:rsidRPr="00C2740E">
        <w:rPr>
          <w:rFonts w:ascii="Calibri" w:eastAsia="Calibri" w:hAnsi="Calibri" w:cs="Calibri"/>
        </w:rPr>
        <w:t xml:space="preserve"> joints</w:t>
      </w:r>
      <w:r w:rsidR="0007699F" w:rsidRPr="00C2740E">
        <w:rPr>
          <w:rFonts w:ascii="Calibri" w:eastAsia="Calibri" w:hAnsi="Calibri" w:cs="Calibri"/>
        </w:rPr>
        <w:t xml:space="preserve"> of the affected finger(s) </w:t>
      </w:r>
      <w:r w:rsidR="005629AB" w:rsidRPr="00C2740E">
        <w:rPr>
          <w:rFonts w:ascii="Calibri" w:eastAsia="Calibri" w:hAnsi="Calibri" w:cs="Calibri"/>
        </w:rPr>
        <w:t>are</w:t>
      </w:r>
      <w:r w:rsidR="0007699F" w:rsidRPr="00C2740E">
        <w:rPr>
          <w:rFonts w:ascii="Calibri" w:eastAsia="Calibri" w:hAnsi="Calibri" w:cs="Calibri"/>
        </w:rPr>
        <w:t xml:space="preserve"> held in greater extension or flexion than the </w:t>
      </w:r>
      <w:r w:rsidR="005629AB" w:rsidRPr="00C2740E">
        <w:rPr>
          <w:rFonts w:ascii="Calibri" w:eastAsia="Calibri" w:hAnsi="Calibri" w:cs="Calibri"/>
        </w:rPr>
        <w:t>unaffected</w:t>
      </w:r>
      <w:r w:rsidR="0007699F" w:rsidRPr="00C2740E">
        <w:rPr>
          <w:rFonts w:ascii="Calibri" w:eastAsia="Calibri" w:hAnsi="Calibri" w:cs="Calibri"/>
        </w:rPr>
        <w:t xml:space="preserve"> fingers;</w:t>
      </w:r>
      <w:r w:rsidR="00A40EB6" w:rsidRPr="00C2740E">
        <w:rPr>
          <w:rFonts w:ascii="Calibri" w:eastAsia="Calibri" w:hAnsi="Calibri" w:cs="Calibri"/>
        </w:rPr>
        <w:t xml:space="preserve"> (ii) the orthosis is used to deliver early active motion;</w:t>
      </w:r>
      <w:r w:rsidR="0007699F" w:rsidRPr="00C2740E">
        <w:rPr>
          <w:rFonts w:ascii="Calibri" w:eastAsia="Calibri" w:hAnsi="Calibri" w:cs="Calibri"/>
        </w:rPr>
        <w:t xml:space="preserve"> and (iii) the position of relative </w:t>
      </w:r>
      <w:proofErr w:type="spellStart"/>
      <w:r w:rsidR="0007699F" w:rsidRPr="00C2740E">
        <w:rPr>
          <w:rFonts w:ascii="Calibri" w:eastAsia="Calibri" w:hAnsi="Calibri" w:cs="Calibri"/>
        </w:rPr>
        <w:t>MCP</w:t>
      </w:r>
      <w:proofErr w:type="spellEnd"/>
      <w:r w:rsidR="00A40EB6" w:rsidRPr="00C2740E">
        <w:rPr>
          <w:rFonts w:ascii="Calibri" w:eastAsia="Calibri" w:hAnsi="Calibri" w:cs="Calibri"/>
        </w:rPr>
        <w:t xml:space="preserve"> joint</w:t>
      </w:r>
      <w:r w:rsidR="0007699F" w:rsidRPr="00C2740E">
        <w:rPr>
          <w:rFonts w:ascii="Calibri" w:eastAsia="Calibri" w:hAnsi="Calibri" w:cs="Calibri"/>
        </w:rPr>
        <w:t xml:space="preserve"> flexion or extension must be maintained throughout a wide arc of </w:t>
      </w:r>
      <w:r w:rsidR="00AE68C3">
        <w:rPr>
          <w:rFonts w:ascii="Calibri" w:eastAsia="Calibri" w:hAnsi="Calibri" w:cs="Calibri"/>
        </w:rPr>
        <w:t xml:space="preserve">finger </w:t>
      </w:r>
      <w:r w:rsidR="0007699F" w:rsidRPr="00C2740E">
        <w:rPr>
          <w:rFonts w:ascii="Calibri" w:eastAsia="Calibri" w:hAnsi="Calibri" w:cs="Calibri"/>
        </w:rPr>
        <w:t>movement</w:t>
      </w:r>
      <w:r w:rsidR="00D3083A">
        <w:rPr>
          <w:rFonts w:ascii="Calibri" w:eastAsia="Calibri" w:hAnsi="Calibri" w:cs="Calibri"/>
        </w:rPr>
        <w:t xml:space="preserve"> </w:t>
      </w:r>
      <w:r w:rsidR="00D3083A">
        <w:rPr>
          <w:rFonts w:ascii="Calibri" w:eastAsia="Calibri" w:hAnsi="Calibri" w:cs="Calibri"/>
        </w:rPr>
        <w:fldChar w:fldCharType="begin" w:fldLock="1"/>
      </w:r>
      <w:r w:rsidR="00F64C61">
        <w:rPr>
          <w:rFonts w:ascii="Calibri" w:eastAsia="Calibri" w:hAnsi="Calibri" w:cs="Calibri"/>
        </w:rPr>
        <w:instrText>ADDIN CSL_CITATION {"citationItems":[{"id":"ITEM-1","itemData":{"author":[{"dropping-particle":"","family":"Merritt","given":"Wyndell H.","non-dropping-particle":"","parse-names":false,"suffix":""},{"dropping-particle":"","family":"Howell","given":"Julianne W.","non-dropping-particle":"","parse-names":false,"suffix":""}],"chapter-number":"107","container-title":"Rehabilitation of the Hand and Upper Extremity","edition":"7th","editor":[{"dropping-particle":"","family":"Skirven","given":"TM","non-dropping-particle":"","parse-names":false,"suffix":""},{"dropping-particle":"","family":"Osterman","given":"AL","non-dropping-particle":"","parse-names":false,"suffix":""},{"dropping-particle":"","family":"Fedorczyk","given":"JM","non-dropping-particle":"","parse-names":false,"suffix":""},{"dropping-particle":"","family":"Amadio","given":"PC","non-dropping-particle":"","parse-names":false,"suffix":""},{"dropping-particle":"","family":"Feldscher","given":"SB","non-dropping-particle":"","parse-names":false,"suffix":""},{"dropping-particle":"","family":"Shin","given":"EK","non-dropping-particle":"","parse-names":false,"suffix":""}],"id":"ITEM-1","issued":{"date-parts":[["2021"]]},"page":"1496-1510","publisher":"Elsevier","publisher-place":"Philadelphia","title":"Relative motion orthoses: The concepts and application to hand therapy management of finger extensor tendon zone III and VII repairs, acute and chronic Boutonniere deformity, and sagittal band injury","type":"chapter"},"uris":["http://www.mendeley.com/documents/?uuid=4ad03b08-4c2a-406a-b40b-7d60f3931b0d"]}],"mendeley":{"formattedCitation":"(12)","plainTextFormattedCitation":"(12)","previouslyFormattedCitation":"(12)"},"properties":{"noteIndex":0},"schema":"https://github.com/citation-style-language/schema/raw/master/csl-citation.json"}</w:instrText>
      </w:r>
      <w:r w:rsidR="00D3083A">
        <w:rPr>
          <w:rFonts w:ascii="Calibri" w:eastAsia="Calibri" w:hAnsi="Calibri" w:cs="Calibri"/>
        </w:rPr>
        <w:fldChar w:fldCharType="separate"/>
      </w:r>
      <w:r w:rsidR="00D3083A" w:rsidRPr="00D3083A">
        <w:rPr>
          <w:rFonts w:ascii="Calibri" w:eastAsia="Calibri" w:hAnsi="Calibri" w:cs="Calibri"/>
          <w:noProof/>
        </w:rPr>
        <w:t>(12)</w:t>
      </w:r>
      <w:r w:rsidR="00D3083A">
        <w:rPr>
          <w:rFonts w:ascii="Calibri" w:eastAsia="Calibri" w:hAnsi="Calibri" w:cs="Calibri"/>
        </w:rPr>
        <w:fldChar w:fldCharType="end"/>
      </w:r>
      <w:r w:rsidR="0007699F" w:rsidRPr="00C2740E">
        <w:rPr>
          <w:rFonts w:ascii="Calibri" w:eastAsia="Calibri" w:hAnsi="Calibri" w:cs="Calibri"/>
        </w:rPr>
        <w:t>.</w:t>
      </w:r>
      <w:r w:rsidR="00D01BC0" w:rsidRPr="00C2740E">
        <w:rPr>
          <w:rFonts w:ascii="Calibri" w:eastAsia="Calibri" w:hAnsi="Calibri" w:cs="Calibri"/>
        </w:rPr>
        <w:t xml:space="preserve"> </w:t>
      </w:r>
    </w:p>
    <w:p w14:paraId="18B0A509" w14:textId="4BB80CBB" w:rsidR="00CC6FD3" w:rsidRPr="00C2740E" w:rsidRDefault="00CC6FD3" w:rsidP="00950475">
      <w:pPr>
        <w:spacing w:line="480" w:lineRule="auto"/>
        <w:rPr>
          <w:rFonts w:ascii="Calibri" w:eastAsia="Calibri" w:hAnsi="Calibri" w:cs="Calibri"/>
        </w:rPr>
      </w:pPr>
    </w:p>
    <w:p w14:paraId="715B7AD8" w14:textId="1D0ED481" w:rsidR="00F22A15" w:rsidRDefault="00CC6FD3" w:rsidP="00950475">
      <w:pPr>
        <w:spacing w:line="480" w:lineRule="auto"/>
        <w:rPr>
          <w:rFonts w:ascii="Calibri" w:eastAsia="Calibri" w:hAnsi="Calibri" w:cs="Calibri"/>
        </w:rPr>
      </w:pPr>
      <w:r w:rsidRPr="00407596">
        <w:rPr>
          <w:rFonts w:ascii="Calibri" w:eastAsia="Calibri" w:hAnsi="Calibri" w:cs="Calibri"/>
        </w:rPr>
        <w:t>This article explore</w:t>
      </w:r>
      <w:r w:rsidR="00F75792">
        <w:rPr>
          <w:rFonts w:ascii="Calibri" w:eastAsia="Calibri" w:hAnsi="Calibri" w:cs="Calibri"/>
        </w:rPr>
        <w:t>s</w:t>
      </w:r>
      <w:r w:rsidRPr="00407596">
        <w:rPr>
          <w:rFonts w:ascii="Calibri" w:eastAsia="Calibri" w:hAnsi="Calibri" w:cs="Calibri"/>
        </w:rPr>
        <w:t xml:space="preserve"> how the relative motion </w:t>
      </w:r>
      <w:r w:rsidR="00AE68C3">
        <w:rPr>
          <w:rFonts w:ascii="Calibri" w:eastAsia="Calibri" w:hAnsi="Calibri" w:cs="Calibri"/>
        </w:rPr>
        <w:t>orthosis and early active mobilization approach</w:t>
      </w:r>
      <w:r w:rsidRPr="00407596">
        <w:rPr>
          <w:rFonts w:ascii="Calibri" w:eastAsia="Calibri" w:hAnsi="Calibri" w:cs="Calibri"/>
        </w:rPr>
        <w:t xml:space="preserve"> has been applied to the management of flexor tendon injuries, including the anatomical and </w:t>
      </w:r>
      <w:r w:rsidR="00B04FD2" w:rsidRPr="00407596">
        <w:rPr>
          <w:rFonts w:ascii="Calibri" w:eastAsia="Calibri" w:hAnsi="Calibri" w:cs="Calibri"/>
        </w:rPr>
        <w:t>kinesiological</w:t>
      </w:r>
      <w:r w:rsidRPr="00407596">
        <w:rPr>
          <w:rFonts w:ascii="Calibri" w:eastAsia="Calibri" w:hAnsi="Calibri" w:cs="Calibri"/>
        </w:rPr>
        <w:t xml:space="preserve"> rationale. We also discuss the clinical and functional outcomes reported in the existing literature</w:t>
      </w:r>
      <w:r w:rsidR="00743C6A">
        <w:rPr>
          <w:rFonts w:ascii="Calibri" w:eastAsia="Calibri" w:hAnsi="Calibri" w:cs="Calibri"/>
        </w:rPr>
        <w:t xml:space="preserve"> and from our own practice. Finally, we highlight</w:t>
      </w:r>
      <w:r w:rsidRPr="00407596">
        <w:rPr>
          <w:rFonts w:ascii="Calibri" w:eastAsia="Calibri" w:hAnsi="Calibri" w:cs="Calibri"/>
        </w:rPr>
        <w:t xml:space="preserve"> areas for future research.  </w:t>
      </w:r>
    </w:p>
    <w:p w14:paraId="722E5F4C" w14:textId="77777777" w:rsidR="00D83C22" w:rsidRDefault="00D83C22" w:rsidP="00950475">
      <w:pPr>
        <w:spacing w:line="480" w:lineRule="auto"/>
        <w:rPr>
          <w:rFonts w:ascii="Calibri" w:eastAsia="Calibri" w:hAnsi="Calibri" w:cs="Calibri"/>
        </w:rPr>
      </w:pPr>
    </w:p>
    <w:p w14:paraId="0697409A" w14:textId="4A0D545B" w:rsidR="002F7A0B" w:rsidRPr="00950475" w:rsidRDefault="002F7A0B" w:rsidP="00950475">
      <w:pPr>
        <w:pStyle w:val="Heading2"/>
        <w:spacing w:line="480" w:lineRule="auto"/>
        <w:rPr>
          <w:rFonts w:ascii="Calibri Light" w:hAnsi="Calibri Light" w:cs="Calibri Light"/>
          <w:b w:val="0"/>
          <w:bCs/>
          <w:color w:val="365F91" w:themeColor="accent1" w:themeShade="BF"/>
        </w:rPr>
      </w:pPr>
      <w:r w:rsidRPr="00950475">
        <w:rPr>
          <w:rFonts w:ascii="Calibri Light" w:hAnsi="Calibri Light" w:cs="Calibri Light"/>
          <w:b w:val="0"/>
          <w:bCs/>
          <w:color w:val="365F91" w:themeColor="accent1" w:themeShade="BF"/>
        </w:rPr>
        <w:t>Relative motion flexion o</w:t>
      </w:r>
      <w:r w:rsidR="00FB652A" w:rsidRPr="00950475">
        <w:rPr>
          <w:rFonts w:ascii="Calibri Light" w:hAnsi="Calibri Light" w:cs="Calibri Light"/>
          <w:b w:val="0"/>
          <w:bCs/>
          <w:color w:val="365F91" w:themeColor="accent1" w:themeShade="BF"/>
        </w:rPr>
        <w:t xml:space="preserve">rthosis design </w:t>
      </w:r>
      <w:r w:rsidR="00D561AE" w:rsidRPr="00950475">
        <w:rPr>
          <w:rFonts w:ascii="Calibri Light" w:hAnsi="Calibri Light" w:cs="Calibri Light"/>
          <w:b w:val="0"/>
          <w:bCs/>
          <w:color w:val="365F91" w:themeColor="accent1" w:themeShade="BF"/>
        </w:rPr>
        <w:t>and reasoning</w:t>
      </w:r>
    </w:p>
    <w:p w14:paraId="65D02C98" w14:textId="0CD2F85B" w:rsidR="00743C6A" w:rsidRDefault="002F7A0B" w:rsidP="00950475">
      <w:pPr>
        <w:spacing w:line="480" w:lineRule="auto"/>
        <w:rPr>
          <w:rFonts w:ascii="Calibri" w:eastAsia="Calibri" w:hAnsi="Calibri" w:cs="Calibri"/>
        </w:rPr>
      </w:pPr>
      <w:r w:rsidRPr="00407596">
        <w:rPr>
          <w:rFonts w:ascii="Calibri" w:eastAsia="Calibri" w:hAnsi="Calibri" w:cs="Calibri"/>
        </w:rPr>
        <w:t xml:space="preserve">The </w:t>
      </w:r>
      <w:proofErr w:type="spellStart"/>
      <w:r w:rsidRPr="00407596">
        <w:rPr>
          <w:rFonts w:ascii="Calibri" w:eastAsia="Calibri" w:hAnsi="Calibri" w:cs="Calibri"/>
        </w:rPr>
        <w:t>RME</w:t>
      </w:r>
      <w:proofErr w:type="spellEnd"/>
      <w:r w:rsidRPr="00407596">
        <w:rPr>
          <w:rFonts w:ascii="Calibri" w:eastAsia="Calibri" w:hAnsi="Calibri" w:cs="Calibri"/>
        </w:rPr>
        <w:t xml:space="preserve"> orthosis</w:t>
      </w:r>
      <w:r w:rsidR="00327939" w:rsidRPr="00407596">
        <w:rPr>
          <w:rFonts w:ascii="Calibri" w:eastAsia="Calibri" w:hAnsi="Calibri" w:cs="Calibri"/>
        </w:rPr>
        <w:t xml:space="preserve">, </w:t>
      </w:r>
      <w:r w:rsidRPr="00407596">
        <w:rPr>
          <w:rFonts w:ascii="Calibri" w:eastAsia="Calibri" w:hAnsi="Calibri" w:cs="Calibri"/>
        </w:rPr>
        <w:t>use</w:t>
      </w:r>
      <w:r w:rsidR="00A652AD" w:rsidRPr="00407596">
        <w:rPr>
          <w:rFonts w:ascii="Calibri" w:eastAsia="Calibri" w:hAnsi="Calibri" w:cs="Calibri"/>
        </w:rPr>
        <w:t xml:space="preserve">s </w:t>
      </w:r>
      <w:r w:rsidRPr="00407596">
        <w:rPr>
          <w:rFonts w:ascii="Calibri" w:eastAsia="Calibri" w:hAnsi="Calibri" w:cs="Calibri"/>
        </w:rPr>
        <w:t xml:space="preserve">a customized </w:t>
      </w:r>
      <w:r w:rsidR="00AE68C3">
        <w:rPr>
          <w:rFonts w:ascii="Calibri" w:eastAsia="Calibri" w:hAnsi="Calibri" w:cs="Calibri"/>
        </w:rPr>
        <w:t xml:space="preserve">3-4 </w:t>
      </w:r>
      <w:r w:rsidR="00407596" w:rsidRPr="00407596">
        <w:rPr>
          <w:rFonts w:ascii="Calibri" w:eastAsia="Calibri" w:hAnsi="Calibri" w:cs="Calibri"/>
        </w:rPr>
        <w:t>finger-based</w:t>
      </w:r>
      <w:r w:rsidRPr="00407596">
        <w:rPr>
          <w:rFonts w:ascii="Calibri" w:eastAsia="Calibri" w:hAnsi="Calibri" w:cs="Calibri"/>
        </w:rPr>
        <w:t xml:space="preserve"> design </w:t>
      </w:r>
      <w:r w:rsidR="00AE68C3">
        <w:rPr>
          <w:rFonts w:ascii="Calibri" w:eastAsia="Calibri" w:hAnsi="Calibri" w:cs="Calibri"/>
        </w:rPr>
        <w:t>fabricated</w:t>
      </w:r>
      <w:r w:rsidRPr="00407596">
        <w:rPr>
          <w:rFonts w:ascii="Calibri" w:eastAsia="Calibri" w:hAnsi="Calibri" w:cs="Calibri"/>
        </w:rPr>
        <w:t xml:space="preserve"> around the proximal phalanges</w:t>
      </w:r>
      <w:r w:rsidR="00A652AD" w:rsidRPr="00407596">
        <w:rPr>
          <w:rFonts w:ascii="Calibri" w:eastAsia="Calibri" w:hAnsi="Calibri" w:cs="Calibri"/>
        </w:rPr>
        <w:t xml:space="preserve"> </w:t>
      </w:r>
      <w:r w:rsidR="00A652AD" w:rsidRPr="00407596">
        <w:rPr>
          <w:rFonts w:ascii="Calibri" w:eastAsia="Calibri" w:hAnsi="Calibri" w:cs="Calibri"/>
        </w:rPr>
        <w:fldChar w:fldCharType="begin" w:fldLock="1"/>
      </w:r>
      <w:r w:rsidR="002E1436">
        <w:rPr>
          <w:rFonts w:ascii="Calibri" w:eastAsia="Calibri" w:hAnsi="Calibri" w:cs="Calibri"/>
        </w:rPr>
        <w:instrText>ADDIN CSL_CITATION {"citationItems":[{"id":"ITEM-1","itemData":{"DOI":"10.1197/j.jht.2005.02.011","ISSN":"08941130","abstract":"This article describes a splint management program for zone 4-7 extensor tendon repairs that allows for immediate controlled active motion (ICAM) of the repair and greater arcs of motion for adjacent digits. The splint is designed to relieve tension on the tenorrhaphy by positioning the involved digit in slight metacarpophalangeal joint hyperextension relative to the uninvolved digits with a simple yoke splint designed to control the metacarpophalangeal joints and a second splint to control wrist position. Cadaver and intraoperative trials support this technique, and 140 patient cases managed over 20 years. The majority of patients achieved a rating of excellent for both digital extension and flexion as judged by Miller's criteria. There were very few extension lags and no tendon ruptures. Patients returned to work in the ICAM splint on average in 18 days. The average time to complete the program was seven weeks after repair, and required an average of eight therapy visits. The results of this study demonstrate that the ICAM splinting technique is safe, simple to manage, decreases the morbidity associated with immobilization, is cost effective, and has high patient compliance when compared to other early motion programs.","author":[{"dropping-particle":"","family":"Howell","given":"Julianne W.","non-dropping-particle":"","parse-names":false,"suffix":""},{"dropping-particle":"","family":"Merritt","given":"Wyndell H.","non-dropping-particle":"","parse-names":false,"suffix":""},{"dropping-particle":"","family":"Robinson","given":"Sandra J.","non-dropping-particle":"","parse-names":false,"suffix":""}],"container-title":"Journal of Hand Therapy","id":"ITEM-1","issue":"2","issued":{"date-parts":[["2005"]]},"page":"182-190","title":"Immediate controlled active motion following zone 4-7 extensor tendon repair","type":"article-journal","volume":"18"},"uris":["http://www.mendeley.com/documents/?uuid=a5eb93d0-6ec7-4fce-ad94-ea2f8cd80944"]},{"id":"ITEM-2","itemData":{"DOI":"10.1007/s11552-012-9488-z","ISSN":"15589455","abstract":"Background: Controlled post-operative motion of extensor tendon repairs in zones IV-VII is intended to facilitate tendon excursion and minimize adhesion formation. The Wyndell Merritt \"relative motion\" digital yoke orthosis provides a low-profile option allowing for immediate controlled active motion (ICAM) of the extensor tendon repair. The addition of a multimedia manuscript demonstrating the manufacturing of the Wyndell Merritt digital yoke orthosis may complement current literature on this topic. Methods: Two case studies demonstrating the use of the Wyndell Merritt ICAM digital yoke orthosis without wrist immobilization following zone V extensor tendon repair are presented. A literature review was completed. A video was produced highlighting fabrication of the digital yoke orthosis as well as video documentation of case study 1. Results: Case study 1 demonstrated mild limitations in metacarpophalangeal (MP) flexion at 5-week follow-up that resolved by 6 weeks. MP hyperextension was attainable for all digits at 5 weeks. Grip strength was comparable to the contralateral uninjured hand at 10 weeks. The second patient achieved normal composite flexion/extension by 4 weeks. Attainment of normal hyperextension at the MP joints and grip strength for case study 2 was unknown, as the patient was lost to follow-up. Conclusion: The Wyndell Merritt ICAM digital yoke orthosis, fabricated with or without wrist immobilization, appears to facilitate the return of normal extensor tendon function after repair in zones IV through VII while minimizing morbidity to adjacent digits. This protocol provides a safe, low-profile, cost-effective alternative for post-operative treatment of zone IV-VII extensor tendon repairs. © 2013 American Association for Hand Surgery.","author":[{"dropping-particle":"","family":"Burns","given":"Mary C.","non-dropping-particle":"","parse-names":false,"suffix":""},{"dropping-particle":"","family":"Derby","given":"Brian","non-dropping-particle":"","parse-names":false,"suffix":""},{"dropping-particle":"","family":"Neumeister","given":"Michael W.","non-dropping-particle":"","parse-names":false,"suffix":""}],"container-title":"Hand","id":"ITEM-2","issue":"1","issued":{"date-parts":[["2013"]]},"page":"17-22","title":"Wyndell Merritt immediate controlled active motion (ICAM) protocol following extensor tendon repairs in zone IV-VII: Review of literature, orthosis design, and case study-a multimedia article","type":"article-journal","volume":"8"},"uris":["http://www.mendeley.com/documents/?uuid=391453cf-46d8-4007-9d1a-adf3415ddd32"]},{"id":"ITEM-3","itemData":{"DOI":"10.1016/j.injury.2013.01.022","ISSN":"00201383","PMID":"23347765","abstract":"In recent years, a significant amount of research in the field of tendon injury in the hand has contributed to advances in both surgical and rehabilitation techniques. The introduction of early motion has improved tendon healing, reduced complications, and enhanced final outcomes. There is overwhelming evidence to show that carefully devised rehabilitation programs are critical to achieving favourable outcomes. Whatever the type, or level, of flexor or extensor injury, the ultimate goal of both the surgeon and therapist is to protect the repair, modify peritendinous adhesions, promote optimal tendon excursion and preserve joint motion. Early tendon motion regimens are initiated at surgery or within 5 days post repair. Intra-operative information from the surgeon to the therapist is vital to the choice of splint protected position to reduce repair rupture/gap forces, and to commencement of active, or splint controlled, motion for tendon excursion. Decisions should align with the phases of healing, the clinician's observations, frequent range of motion measurements and patient input. Clinical concepts pertinent to early motion rehabilitation decisions are presented by zone of injury for both flexor and extensor tendons during the early phases of healing. © 2013 Elsevier Ltd.","author":[{"dropping-particle":"","family":"Howell","given":"Julianne W.","non-dropping-particle":"","parse-names":false,"suffix":""},{"dropping-particle":"","family":"Peck","given":"Fiona","non-dropping-particle":"","parse-names":false,"suffix":""}],"container-title":"Injury","id":"ITEM-3","issue":"3","issued":{"date-parts":[["2013"]]},"page":"397-402","publisher":"Elsevier Ltd","title":"Rehabilitation of flexor and extensor tendon injuries in the hand: Current updates","type":"article-journal","volume":"44"},"uris":["http://www.mendeley.com/documents/?uuid=8c742ff6-3551-4a70-b723-78f92651bc34"]},{"id":"ITEM-4","itemData":{"DOI":"10.1016/j.jhsa.2014.03.015","ISSN":"15316564","PMID":"24862114","abstract":"The relative motion splint was initially developed to facilitate postoperative rehabilitation after repair of extensor tendon injuries at the dorsum of the hand and forearm. It has subsequently been used for rehabilitation of sagittal band injuries and after repair of closed attrition extensor tendon ruptures in rheumatoid arthritis. This is much less awkward than other braces and can readily be worn during normal past-time and work activities. This so-called immediate controlled active motion splinting protocol has also more recently been applied to both operative and nonsurgical rehabilitation for boutonniere deformity. © 2014 ASSH Published by Elsevier, Inc. All rights reserved.","author":[{"dropping-particle":"","family":"Merritt","given":"Wyndell H.","non-dropping-particle":"","parse-names":false,"suffix":""}],"container-title":"Journal of Hand Surgery","id":"ITEM-4","issue":"6","issued":{"date-parts":[["2014"]]},"page":"1187-1194","publisher":"Elsevier Inc","title":"Relative motion splint: Active motion after extensor tendon injury and repair","type":"article-journal","volume":"39"},"uris":["http://www.mendeley.com/documents/?uuid=2c6b24e7-e5ac-4d8c-abb2-1dd846c6960c"]}],"mendeley":{"formattedCitation":"(5–7,15)","plainTextFormattedCitation":"(5–7,15)","previouslyFormattedCitation":"(5–7,15)"},"properties":{"noteIndex":0},"schema":"https://github.com/citation-style-language/schema/raw/master/csl-citation.json"}</w:instrText>
      </w:r>
      <w:r w:rsidR="00A652AD" w:rsidRPr="00407596">
        <w:rPr>
          <w:rFonts w:ascii="Calibri" w:eastAsia="Calibri" w:hAnsi="Calibri" w:cs="Calibri"/>
        </w:rPr>
        <w:fldChar w:fldCharType="separate"/>
      </w:r>
      <w:r w:rsidR="002D5ADE" w:rsidRPr="002D5ADE">
        <w:rPr>
          <w:rFonts w:ascii="Calibri" w:eastAsia="Calibri" w:hAnsi="Calibri" w:cs="Calibri"/>
          <w:noProof/>
        </w:rPr>
        <w:t>(5–7,15)</w:t>
      </w:r>
      <w:r w:rsidR="00A652AD" w:rsidRPr="00407596">
        <w:rPr>
          <w:rFonts w:ascii="Calibri" w:eastAsia="Calibri" w:hAnsi="Calibri" w:cs="Calibri"/>
        </w:rPr>
        <w:fldChar w:fldCharType="end"/>
      </w:r>
      <w:r w:rsidR="00E95B32">
        <w:rPr>
          <w:rFonts w:ascii="Calibri" w:eastAsia="Calibri" w:hAnsi="Calibri" w:cs="Calibri"/>
        </w:rPr>
        <w:t>.</w:t>
      </w:r>
      <w:r w:rsidRPr="00407596">
        <w:rPr>
          <w:rFonts w:ascii="Calibri" w:eastAsia="Calibri" w:hAnsi="Calibri" w:cs="Calibri"/>
        </w:rPr>
        <w:t xml:space="preserve"> This pattern has been reversed for the </w:t>
      </w:r>
      <w:proofErr w:type="spellStart"/>
      <w:r w:rsidRPr="00407596">
        <w:rPr>
          <w:rFonts w:ascii="Calibri" w:eastAsia="Calibri" w:hAnsi="Calibri" w:cs="Calibri"/>
        </w:rPr>
        <w:t>RMF</w:t>
      </w:r>
      <w:proofErr w:type="spellEnd"/>
      <w:r w:rsidRPr="00407596">
        <w:rPr>
          <w:rFonts w:ascii="Calibri" w:eastAsia="Calibri" w:hAnsi="Calibri" w:cs="Calibri"/>
        </w:rPr>
        <w:t xml:space="preserve"> orthosis </w:t>
      </w:r>
      <w:r w:rsidRPr="00407596">
        <w:rPr>
          <w:rFonts w:ascii="Calibri" w:eastAsia="Calibri" w:hAnsi="Calibri" w:cs="Calibri"/>
        </w:rPr>
        <w:fldChar w:fldCharType="begin" w:fldLock="1"/>
      </w:r>
      <w:r w:rsidR="003770A3" w:rsidRPr="00407596">
        <w:rPr>
          <w:rFonts w:ascii="Calibri" w:eastAsia="Calibri" w:hAnsi="Calibri" w:cs="Calibri"/>
        </w:rPr>
        <w:instrText>ADDIN CSL_CITATION {"citationItems":[{"id":"ITEM-1","itemData":{"DOI":"10.1016/j.jht.2019.05.002","ISSN":"0894-1130","author":[{"dropping-particle":"","family":"Henry","given":"Steven L","non-dropping-particle":"","parse-names":false,"suffix":""},{"dropping-particle":"","family":"Howell","given":"Julianne W","non-dropping-particle":"","parse-names":false,"suffix":""}],"container-title":"Journal of Hand Therapy","id":"ITEM-1","issue":"3","issued":{"date-parts":[["2020"]]},"page":"296-304","publisher":"Elsevier Inc","title":"Use of a relative motion flexion orthosis for postoperative management of zone I/II flexor digitorum profundus repair: A retrospective consecutive case series","type":"article-journal","volume":"33"},"uris":["http://www.mendeley.com/documents/?uuid=8cf4242d-792a-4604-a722-3df7e36780c9"]}],"mendeley":{"formattedCitation":"(8)","plainTextFormattedCitation":"(8)","previouslyFormattedCitation":"(8)"},"properties":{"noteIndex":0},"schema":"https://github.com/citation-style-language/schema/raw/master/csl-citation.json"}</w:instrText>
      </w:r>
      <w:r w:rsidRPr="00407596">
        <w:rPr>
          <w:rFonts w:ascii="Calibri" w:eastAsia="Calibri" w:hAnsi="Calibri" w:cs="Calibri"/>
        </w:rPr>
        <w:fldChar w:fldCharType="separate"/>
      </w:r>
      <w:r w:rsidR="00327939" w:rsidRPr="00407596">
        <w:rPr>
          <w:rFonts w:ascii="Calibri" w:eastAsia="Calibri" w:hAnsi="Calibri" w:cs="Calibri"/>
          <w:noProof/>
        </w:rPr>
        <w:t>(8)</w:t>
      </w:r>
      <w:r w:rsidRPr="00407596">
        <w:rPr>
          <w:rFonts w:ascii="Calibri" w:eastAsia="Calibri" w:hAnsi="Calibri" w:cs="Calibri"/>
        </w:rPr>
        <w:fldChar w:fldCharType="end"/>
      </w:r>
      <w:r w:rsidR="001D49A2">
        <w:rPr>
          <w:rFonts w:ascii="Calibri" w:eastAsia="Calibri" w:hAnsi="Calibri" w:cs="Calibri"/>
        </w:rPr>
        <w:t xml:space="preserve"> (Figure</w:t>
      </w:r>
      <w:r w:rsidR="0099043B">
        <w:rPr>
          <w:rFonts w:ascii="Calibri" w:eastAsia="Calibri" w:hAnsi="Calibri" w:cs="Calibri"/>
        </w:rPr>
        <w:t>s</w:t>
      </w:r>
      <w:r w:rsidR="001D49A2">
        <w:rPr>
          <w:rFonts w:ascii="Calibri" w:eastAsia="Calibri" w:hAnsi="Calibri" w:cs="Calibri"/>
        </w:rPr>
        <w:t xml:space="preserve"> 1</w:t>
      </w:r>
      <w:r w:rsidR="00100407">
        <w:rPr>
          <w:rFonts w:ascii="Calibri" w:eastAsia="Calibri" w:hAnsi="Calibri" w:cs="Calibri"/>
        </w:rPr>
        <w:t xml:space="preserve"> and 2</w:t>
      </w:r>
      <w:r w:rsidR="001D49A2">
        <w:rPr>
          <w:rFonts w:ascii="Calibri" w:eastAsia="Calibri" w:hAnsi="Calibri" w:cs="Calibri"/>
        </w:rPr>
        <w:t>)</w:t>
      </w:r>
      <w:r w:rsidRPr="00407596">
        <w:rPr>
          <w:rFonts w:ascii="Calibri" w:eastAsia="Calibri" w:hAnsi="Calibri" w:cs="Calibri"/>
        </w:rPr>
        <w:t>.</w:t>
      </w:r>
      <w:r w:rsidR="009E2658" w:rsidRPr="00407596">
        <w:rPr>
          <w:rFonts w:ascii="Calibri" w:eastAsia="Calibri" w:hAnsi="Calibri" w:cs="Calibri"/>
        </w:rPr>
        <w:t xml:space="preserve"> </w:t>
      </w:r>
      <w:r w:rsidR="007C7DE6" w:rsidRPr="00407596">
        <w:rPr>
          <w:rFonts w:ascii="Calibri" w:eastAsia="Calibri" w:hAnsi="Calibri" w:cs="Calibri"/>
        </w:rPr>
        <w:t>As discussed above, t</w:t>
      </w:r>
      <w:r w:rsidR="00FA235C" w:rsidRPr="00407596">
        <w:rPr>
          <w:rFonts w:ascii="Calibri" w:eastAsia="Calibri" w:hAnsi="Calibri" w:cs="Calibri"/>
        </w:rPr>
        <w:t>he</w:t>
      </w:r>
      <w:r w:rsidR="00D561AE" w:rsidRPr="00407596">
        <w:rPr>
          <w:rFonts w:ascii="Calibri" w:eastAsia="Calibri" w:hAnsi="Calibri" w:cs="Calibri"/>
        </w:rPr>
        <w:t xml:space="preserve"> </w:t>
      </w:r>
      <w:r w:rsidR="00FA235C" w:rsidRPr="00407596">
        <w:rPr>
          <w:rFonts w:ascii="Calibri" w:eastAsia="Calibri" w:hAnsi="Calibri" w:cs="Calibri"/>
        </w:rPr>
        <w:t>application of the relative motion principle to flexor tendon rehabilitation requires the</w:t>
      </w:r>
      <w:r w:rsidR="00407596">
        <w:rPr>
          <w:rFonts w:ascii="Calibri" w:eastAsia="Calibri" w:hAnsi="Calibri" w:cs="Calibri"/>
        </w:rPr>
        <w:t xml:space="preserve"> </w:t>
      </w:r>
      <w:proofErr w:type="spellStart"/>
      <w:r w:rsidR="00407596">
        <w:rPr>
          <w:rFonts w:ascii="Calibri" w:eastAsia="Calibri" w:hAnsi="Calibri" w:cs="Calibri"/>
        </w:rPr>
        <w:t>MCP</w:t>
      </w:r>
      <w:proofErr w:type="spellEnd"/>
      <w:r w:rsidR="00407596">
        <w:rPr>
          <w:rFonts w:ascii="Calibri" w:eastAsia="Calibri" w:hAnsi="Calibri" w:cs="Calibri"/>
        </w:rPr>
        <w:t xml:space="preserve"> joint of the</w:t>
      </w:r>
      <w:r w:rsidR="00FA235C" w:rsidRPr="00407596">
        <w:rPr>
          <w:rFonts w:ascii="Calibri" w:eastAsia="Calibri" w:hAnsi="Calibri" w:cs="Calibri"/>
        </w:rPr>
        <w:t xml:space="preserve"> repaired digits to be </w:t>
      </w:r>
      <w:r w:rsidR="00FA235C" w:rsidRPr="00407596">
        <w:rPr>
          <w:rFonts w:ascii="Calibri" w:eastAsia="Calibri" w:hAnsi="Calibri" w:cs="Calibri"/>
        </w:rPr>
        <w:lastRenderedPageBreak/>
        <w:t>position</w:t>
      </w:r>
      <w:r w:rsidR="006877CE" w:rsidRPr="00407596">
        <w:rPr>
          <w:rFonts w:ascii="Calibri" w:eastAsia="Calibri" w:hAnsi="Calibri" w:cs="Calibri"/>
        </w:rPr>
        <w:t>ed</w:t>
      </w:r>
      <w:r w:rsidR="00FA235C" w:rsidRPr="00407596">
        <w:rPr>
          <w:rFonts w:ascii="Calibri" w:eastAsia="Calibri" w:hAnsi="Calibri" w:cs="Calibri"/>
        </w:rPr>
        <w:t xml:space="preserve"> </w:t>
      </w:r>
      <w:r w:rsidR="000A55F5" w:rsidRPr="00407596">
        <w:rPr>
          <w:rFonts w:ascii="Calibri" w:eastAsia="Calibri" w:hAnsi="Calibri" w:cs="Calibri"/>
        </w:rPr>
        <w:t xml:space="preserve">in </w:t>
      </w:r>
      <w:r w:rsidR="00AE68C3">
        <w:rPr>
          <w:rFonts w:ascii="Calibri" w:eastAsia="Calibri" w:hAnsi="Calibri" w:cs="Calibri"/>
        </w:rPr>
        <w:t>more</w:t>
      </w:r>
      <w:r w:rsidR="00FA235C" w:rsidRPr="00407596">
        <w:rPr>
          <w:rFonts w:ascii="Calibri" w:eastAsia="Calibri" w:hAnsi="Calibri" w:cs="Calibri"/>
        </w:rPr>
        <w:t xml:space="preserve"> flexion than the unaffected digits. This relative position needs to be maintained throughout range</w:t>
      </w:r>
      <w:r w:rsidR="007C7DE6" w:rsidRPr="00407596">
        <w:rPr>
          <w:rFonts w:ascii="Calibri" w:eastAsia="Calibri" w:hAnsi="Calibri" w:cs="Calibri"/>
        </w:rPr>
        <w:t xml:space="preserve"> with early active mobilization</w:t>
      </w:r>
      <w:r w:rsidR="00FA235C" w:rsidRPr="00407596">
        <w:rPr>
          <w:rFonts w:ascii="Calibri" w:eastAsia="Calibri" w:hAnsi="Calibri" w:cs="Calibri"/>
        </w:rPr>
        <w:t xml:space="preserve">. </w:t>
      </w:r>
    </w:p>
    <w:p w14:paraId="5AB4F8E2" w14:textId="2B3E39E5" w:rsidR="00950475" w:rsidRDefault="00950475">
      <w:pPr>
        <w:rPr>
          <w:rFonts w:ascii="Calibri" w:eastAsia="Calibri" w:hAnsi="Calibri" w:cs="Calibri"/>
        </w:rPr>
      </w:pPr>
    </w:p>
    <w:tbl>
      <w:tblPr>
        <w:tblStyle w:val="TableGrid"/>
        <w:tblW w:w="92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4272"/>
      </w:tblGrid>
      <w:tr w:rsidR="001D49A2" w14:paraId="58D56374" w14:textId="77777777" w:rsidTr="001D49A2">
        <w:tc>
          <w:tcPr>
            <w:tcW w:w="4989" w:type="dxa"/>
            <w:vAlign w:val="center"/>
          </w:tcPr>
          <w:p w14:paraId="10F5C3D5" w14:textId="67A4E2E4" w:rsidR="007A75B2" w:rsidRDefault="007A75B2" w:rsidP="00950475">
            <w:pPr>
              <w:spacing w:line="480" w:lineRule="auto"/>
              <w:jc w:val="center"/>
              <w:rPr>
                <w:rFonts w:ascii="Calibri" w:eastAsia="Calibri" w:hAnsi="Calibri" w:cs="Calibri"/>
              </w:rPr>
            </w:pPr>
            <w:r>
              <w:rPr>
                <w:rFonts w:ascii="Calibri" w:eastAsia="Calibri" w:hAnsi="Calibri" w:cs="Calibri"/>
                <w:noProof/>
              </w:rPr>
              <w:drawing>
                <wp:inline distT="0" distB="0" distL="0" distR="0" wp14:anchorId="3BA12AE2" wp14:editId="2244C449">
                  <wp:extent cx="3031069" cy="3038475"/>
                  <wp:effectExtent l="0" t="0" r="0" b="0"/>
                  <wp:docPr id="1" name="Picture 1" descr="A picture containing person, hand, footw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erson, hand, footwear&#10;&#10;Description automatically generated"/>
                          <pic:cNvPicPr/>
                        </pic:nvPicPr>
                        <pic:blipFill rotWithShape="1">
                          <a:blip r:embed="rId8" cstate="print">
                            <a:extLst>
                              <a:ext uri="{28A0092B-C50C-407E-A947-70E740481C1C}">
                                <a14:useLocalDpi xmlns:a14="http://schemas.microsoft.com/office/drawing/2010/main" val="0"/>
                              </a:ext>
                            </a:extLst>
                          </a:blip>
                          <a:srcRect l="15105" r="18576"/>
                          <a:stretch/>
                        </pic:blipFill>
                        <pic:spPr bwMode="auto">
                          <a:xfrm>
                            <a:off x="0" y="0"/>
                            <a:ext cx="3041919" cy="3049351"/>
                          </a:xfrm>
                          <a:prstGeom prst="rect">
                            <a:avLst/>
                          </a:prstGeom>
                          <a:ln>
                            <a:noFill/>
                          </a:ln>
                          <a:extLst>
                            <a:ext uri="{53640926-AAD7-44D8-BBD7-CCE9431645EC}">
                              <a14:shadowObscured xmlns:a14="http://schemas.microsoft.com/office/drawing/2010/main"/>
                            </a:ext>
                          </a:extLst>
                        </pic:spPr>
                      </pic:pic>
                    </a:graphicData>
                  </a:graphic>
                </wp:inline>
              </w:drawing>
            </w:r>
          </w:p>
        </w:tc>
        <w:tc>
          <w:tcPr>
            <w:tcW w:w="4272" w:type="dxa"/>
          </w:tcPr>
          <w:p w14:paraId="12335DCB" w14:textId="77777777" w:rsidR="001D49A2" w:rsidRDefault="001D49A2" w:rsidP="00950475">
            <w:pPr>
              <w:spacing w:line="480" w:lineRule="auto"/>
              <w:rPr>
                <w:rFonts w:ascii="Calibri" w:eastAsia="Calibri" w:hAnsi="Calibri" w:cs="Calibri"/>
                <w:noProof/>
              </w:rPr>
            </w:pPr>
          </w:p>
          <w:p w14:paraId="3F66764E" w14:textId="2278DFED" w:rsidR="007A75B2" w:rsidRDefault="007A75B2" w:rsidP="00950475">
            <w:pPr>
              <w:spacing w:line="480" w:lineRule="auto"/>
              <w:rPr>
                <w:rFonts w:ascii="Calibri" w:eastAsia="Calibri" w:hAnsi="Calibri" w:cs="Calibri"/>
              </w:rPr>
            </w:pPr>
            <w:r>
              <w:rPr>
                <w:rFonts w:ascii="Calibri" w:eastAsia="Calibri" w:hAnsi="Calibri" w:cs="Calibri"/>
                <w:noProof/>
              </w:rPr>
              <w:drawing>
                <wp:inline distT="0" distB="0" distL="0" distR="0" wp14:anchorId="76CE7C7F" wp14:editId="703477C5">
                  <wp:extent cx="2514600" cy="4067175"/>
                  <wp:effectExtent l="0" t="0" r="0" b="9525"/>
                  <wp:docPr id="2" name="Picture 2" descr="A picture containing in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ndoor, person&#10;&#10;Description automatically generated"/>
                          <pic:cNvPicPr/>
                        </pic:nvPicPr>
                        <pic:blipFill rotWithShape="1">
                          <a:blip r:embed="rId9">
                            <a:extLst>
                              <a:ext uri="{28A0092B-C50C-407E-A947-70E740481C1C}">
                                <a14:useLocalDpi xmlns:a14="http://schemas.microsoft.com/office/drawing/2010/main" val="0"/>
                              </a:ext>
                            </a:extLst>
                          </a:blip>
                          <a:srcRect l="12856" t="7657" r="16430" b="16304"/>
                          <a:stretch/>
                        </pic:blipFill>
                        <pic:spPr bwMode="auto">
                          <a:xfrm>
                            <a:off x="0" y="0"/>
                            <a:ext cx="2516566" cy="4070355"/>
                          </a:xfrm>
                          <a:prstGeom prst="rect">
                            <a:avLst/>
                          </a:prstGeom>
                          <a:ln>
                            <a:noFill/>
                          </a:ln>
                          <a:extLst>
                            <a:ext uri="{53640926-AAD7-44D8-BBD7-CCE9431645EC}">
                              <a14:shadowObscured xmlns:a14="http://schemas.microsoft.com/office/drawing/2010/main"/>
                            </a:ext>
                          </a:extLst>
                        </pic:spPr>
                      </pic:pic>
                    </a:graphicData>
                  </a:graphic>
                </wp:inline>
              </w:drawing>
            </w:r>
          </w:p>
        </w:tc>
      </w:tr>
    </w:tbl>
    <w:p w14:paraId="518E8977" w14:textId="5BEBD6E4" w:rsidR="00E95B32" w:rsidRDefault="00E95B32" w:rsidP="00950475">
      <w:pPr>
        <w:spacing w:line="480" w:lineRule="auto"/>
        <w:rPr>
          <w:rFonts w:ascii="Calibri" w:eastAsia="Calibri" w:hAnsi="Calibri" w:cs="Calibri"/>
        </w:rPr>
      </w:pPr>
    </w:p>
    <w:p w14:paraId="0D9788C9" w14:textId="3E5CBB3F" w:rsidR="00E95B32" w:rsidRDefault="00E95B32" w:rsidP="00950475">
      <w:pPr>
        <w:spacing w:line="480" w:lineRule="auto"/>
        <w:rPr>
          <w:rFonts w:ascii="Calibri" w:eastAsia="Calibri" w:hAnsi="Calibri" w:cs="Calibri"/>
        </w:rPr>
      </w:pPr>
      <w:r>
        <w:rPr>
          <w:rFonts w:ascii="Calibri" w:eastAsia="Calibri" w:hAnsi="Calibri" w:cs="Calibri"/>
          <w:b/>
          <w:bCs/>
        </w:rPr>
        <w:t xml:space="preserve">Figure 1. </w:t>
      </w:r>
      <w:r>
        <w:rPr>
          <w:rFonts w:ascii="Calibri" w:eastAsia="Calibri" w:hAnsi="Calibri" w:cs="Calibri"/>
        </w:rPr>
        <w:t xml:space="preserve">Relative motion flexion orthosis </w:t>
      </w:r>
      <w:r w:rsidR="001D49A2">
        <w:rPr>
          <w:rFonts w:ascii="Calibri" w:eastAsia="Calibri" w:hAnsi="Calibri" w:cs="Calibri"/>
        </w:rPr>
        <w:t xml:space="preserve">on a patient with a </w:t>
      </w:r>
      <w:r w:rsidR="00201FEB">
        <w:rPr>
          <w:rFonts w:ascii="Calibri" w:eastAsia="Calibri" w:hAnsi="Calibri" w:cs="Calibri"/>
        </w:rPr>
        <w:t>ring</w:t>
      </w:r>
      <w:r w:rsidR="001D49A2">
        <w:rPr>
          <w:rFonts w:ascii="Calibri" w:eastAsia="Calibri" w:hAnsi="Calibri" w:cs="Calibri"/>
        </w:rPr>
        <w:t xml:space="preserve"> finger zone II flexor digitorum </w:t>
      </w:r>
      <w:proofErr w:type="spellStart"/>
      <w:r w:rsidR="001D49A2">
        <w:rPr>
          <w:rFonts w:ascii="Calibri" w:eastAsia="Calibri" w:hAnsi="Calibri" w:cs="Calibri"/>
        </w:rPr>
        <w:t>profundus</w:t>
      </w:r>
      <w:proofErr w:type="spellEnd"/>
      <w:r w:rsidR="001D49A2">
        <w:rPr>
          <w:rFonts w:ascii="Calibri" w:eastAsia="Calibri" w:hAnsi="Calibri" w:cs="Calibri"/>
        </w:rPr>
        <w:t xml:space="preserve"> repair </w:t>
      </w:r>
    </w:p>
    <w:p w14:paraId="334CF386" w14:textId="372B1A96" w:rsidR="001D49A2" w:rsidRDefault="001D49A2" w:rsidP="00950475">
      <w:pPr>
        <w:spacing w:line="480" w:lineRule="auto"/>
        <w:rPr>
          <w:rFonts w:ascii="Calibri" w:eastAsia="Calibri" w:hAnsi="Calibri" w:cs="Calibri"/>
        </w:rPr>
      </w:pPr>
      <w:r>
        <w:rPr>
          <w:rFonts w:ascii="Calibri" w:eastAsia="Calibri" w:hAnsi="Calibri" w:cs="Calibri"/>
        </w:rPr>
        <w:t xml:space="preserve">Images – </w:t>
      </w:r>
      <w:r w:rsidR="00201FEB" w:rsidRPr="0053657D">
        <w:rPr>
          <w:rFonts w:ascii="Calibri" w:eastAsia="Calibri" w:hAnsi="Calibri" w:cs="Calibri"/>
          <w:highlight w:val="black"/>
        </w:rPr>
        <w:t xml:space="preserve">Katie Horton, </w:t>
      </w:r>
      <w:proofErr w:type="spellStart"/>
      <w:r w:rsidR="00201FEB" w:rsidRPr="0053657D">
        <w:rPr>
          <w:rFonts w:ascii="Calibri" w:eastAsia="Calibri" w:hAnsi="Calibri" w:cs="Calibri"/>
          <w:highlight w:val="black"/>
        </w:rPr>
        <w:t>Pulvertaft</w:t>
      </w:r>
      <w:proofErr w:type="spellEnd"/>
      <w:r w:rsidR="00201FEB" w:rsidRPr="0053657D">
        <w:rPr>
          <w:rFonts w:ascii="Calibri" w:eastAsia="Calibri" w:hAnsi="Calibri" w:cs="Calibri"/>
          <w:highlight w:val="black"/>
        </w:rPr>
        <w:t xml:space="preserve"> Hand Centre, UK</w:t>
      </w:r>
      <w:r>
        <w:rPr>
          <w:rFonts w:ascii="Calibri" w:eastAsia="Calibri" w:hAnsi="Calibri" w:cs="Calibri"/>
        </w:rPr>
        <w:t xml:space="preserve">. </w:t>
      </w:r>
    </w:p>
    <w:p w14:paraId="3556E620" w14:textId="3F43FA3D" w:rsidR="00B913B1" w:rsidRDefault="00B913B1" w:rsidP="00950475">
      <w:pPr>
        <w:spacing w:line="480" w:lineRule="auto"/>
        <w:rPr>
          <w:rFonts w:ascii="Calibri" w:eastAsia="Calibri" w:hAnsi="Calibri" w:cs="Calibri"/>
        </w:rPr>
      </w:pPr>
    </w:p>
    <w:p w14:paraId="2DE3D638" w14:textId="7DDC4437" w:rsidR="00100407" w:rsidRDefault="00100407" w:rsidP="00950475">
      <w:pPr>
        <w:spacing w:line="480" w:lineRule="auto"/>
        <w:rPr>
          <w:rFonts w:ascii="Calibri" w:eastAsia="Calibri" w:hAnsi="Calibri" w:cs="Calibri"/>
        </w:rPr>
      </w:pPr>
      <w:r>
        <w:rPr>
          <w:noProof/>
        </w:rPr>
        <w:lastRenderedPageBreak/>
        <w:drawing>
          <wp:inline distT="0" distB="0" distL="0" distR="0" wp14:anchorId="0610BDA3" wp14:editId="048572C2">
            <wp:extent cx="3024052" cy="4032069"/>
            <wp:effectExtent l="0" t="0" r="5080" b="6985"/>
            <wp:docPr id="5" name="Picture 5" descr="A picture containing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ccessory&#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30364" cy="4040485"/>
                    </a:xfrm>
                    <a:prstGeom prst="rect">
                      <a:avLst/>
                    </a:prstGeom>
                    <a:noFill/>
                    <a:ln>
                      <a:noFill/>
                    </a:ln>
                  </pic:spPr>
                </pic:pic>
              </a:graphicData>
            </a:graphic>
          </wp:inline>
        </w:drawing>
      </w:r>
    </w:p>
    <w:p w14:paraId="6063296E" w14:textId="17B6B54B" w:rsidR="00100407" w:rsidRDefault="00100407" w:rsidP="00950475">
      <w:pPr>
        <w:spacing w:line="480" w:lineRule="auto"/>
        <w:rPr>
          <w:rFonts w:ascii="Calibri" w:eastAsia="Calibri" w:hAnsi="Calibri" w:cs="Calibri"/>
        </w:rPr>
      </w:pPr>
      <w:r>
        <w:rPr>
          <w:rFonts w:ascii="Calibri" w:eastAsia="Calibri" w:hAnsi="Calibri" w:cs="Calibri"/>
          <w:b/>
          <w:bCs/>
        </w:rPr>
        <w:t xml:space="preserve">Figure 2. </w:t>
      </w:r>
      <w:r>
        <w:rPr>
          <w:rFonts w:ascii="Calibri" w:eastAsia="Calibri" w:hAnsi="Calibri" w:cs="Calibri"/>
        </w:rPr>
        <w:t xml:space="preserve">Example of a relative motion flexion orthosis for the middle finger </w:t>
      </w:r>
    </w:p>
    <w:p w14:paraId="5755C607" w14:textId="6F06502B" w:rsidR="00100407" w:rsidRDefault="00100407" w:rsidP="00950475">
      <w:pPr>
        <w:spacing w:line="480" w:lineRule="auto"/>
        <w:rPr>
          <w:rFonts w:ascii="Calibri" w:eastAsia="Calibri" w:hAnsi="Calibri" w:cs="Calibri"/>
        </w:rPr>
      </w:pPr>
      <w:r>
        <w:rPr>
          <w:rFonts w:ascii="Calibri" w:eastAsia="Calibri" w:hAnsi="Calibri" w:cs="Calibri"/>
        </w:rPr>
        <w:t xml:space="preserve">Image – </w:t>
      </w:r>
      <w:r w:rsidRPr="00053E34">
        <w:rPr>
          <w:rFonts w:ascii="Calibri" w:eastAsia="Calibri" w:hAnsi="Calibri" w:cs="Calibri"/>
          <w:highlight w:val="black"/>
        </w:rPr>
        <w:t xml:space="preserve">Lisa Newington, Guy’s and St </w:t>
      </w:r>
      <w:proofErr w:type="spellStart"/>
      <w:r w:rsidRPr="00053E34">
        <w:rPr>
          <w:rFonts w:ascii="Calibri" w:eastAsia="Calibri" w:hAnsi="Calibri" w:cs="Calibri"/>
          <w:highlight w:val="black"/>
        </w:rPr>
        <w:t>Thomas’</w:t>
      </w:r>
      <w:proofErr w:type="spellEnd"/>
      <w:r w:rsidRPr="00053E34">
        <w:rPr>
          <w:rFonts w:ascii="Calibri" w:eastAsia="Calibri" w:hAnsi="Calibri" w:cs="Calibri"/>
          <w:highlight w:val="black"/>
        </w:rPr>
        <w:t xml:space="preserve"> NHS Foundation Trust, UK</w:t>
      </w:r>
    </w:p>
    <w:p w14:paraId="5CB1CBDF" w14:textId="77777777" w:rsidR="00100407" w:rsidRPr="00100407" w:rsidRDefault="00100407" w:rsidP="00950475">
      <w:pPr>
        <w:spacing w:line="480" w:lineRule="auto"/>
        <w:rPr>
          <w:rFonts w:ascii="Calibri" w:eastAsia="Calibri" w:hAnsi="Calibri" w:cs="Calibri"/>
        </w:rPr>
      </w:pPr>
    </w:p>
    <w:p w14:paraId="0280D78D" w14:textId="07102A1F" w:rsidR="00846868" w:rsidRPr="00822F64" w:rsidRDefault="007C7DE6" w:rsidP="00950475">
      <w:pPr>
        <w:spacing w:line="480" w:lineRule="auto"/>
        <w:rPr>
          <w:rFonts w:ascii="Calibri" w:eastAsia="Calibri" w:hAnsi="Calibri" w:cs="Calibri"/>
        </w:rPr>
      </w:pPr>
      <w:r w:rsidRPr="00822F64">
        <w:rPr>
          <w:rFonts w:ascii="Calibri" w:eastAsia="Calibri" w:hAnsi="Calibri" w:cs="Calibri"/>
        </w:rPr>
        <w:t>The</w:t>
      </w:r>
      <w:r w:rsidR="00345587" w:rsidRPr="00822F64">
        <w:rPr>
          <w:rFonts w:ascii="Calibri" w:eastAsia="Calibri" w:hAnsi="Calibri" w:cs="Calibri"/>
        </w:rPr>
        <w:t xml:space="preserve"> pri</w:t>
      </w:r>
      <w:r w:rsidR="002416E6" w:rsidRPr="00822F64">
        <w:rPr>
          <w:rFonts w:ascii="Calibri" w:eastAsia="Calibri" w:hAnsi="Calibri" w:cs="Calibri"/>
        </w:rPr>
        <w:t>mary</w:t>
      </w:r>
      <w:r w:rsidRPr="00822F64">
        <w:rPr>
          <w:rFonts w:ascii="Calibri" w:eastAsia="Calibri" w:hAnsi="Calibri" w:cs="Calibri"/>
        </w:rPr>
        <w:t xml:space="preserve"> kinesiological reasoning</w:t>
      </w:r>
      <w:r w:rsidR="00480726" w:rsidRPr="00822F64">
        <w:rPr>
          <w:rFonts w:ascii="Calibri" w:eastAsia="Calibri" w:hAnsi="Calibri" w:cs="Calibri"/>
        </w:rPr>
        <w:t xml:space="preserve"> for these require</w:t>
      </w:r>
      <w:r w:rsidR="00384BCF" w:rsidRPr="00822F64">
        <w:rPr>
          <w:rFonts w:ascii="Calibri" w:eastAsia="Calibri" w:hAnsi="Calibri" w:cs="Calibri"/>
        </w:rPr>
        <w:t>ments</w:t>
      </w:r>
      <w:r w:rsidR="002416E6" w:rsidRPr="00822F64">
        <w:rPr>
          <w:rFonts w:ascii="Calibri" w:eastAsia="Calibri" w:hAnsi="Calibri" w:cs="Calibri"/>
        </w:rPr>
        <w:t xml:space="preserve"> is one of </w:t>
      </w:r>
      <w:r w:rsidR="00494700">
        <w:rPr>
          <w:rFonts w:ascii="Calibri" w:eastAsia="Calibri" w:hAnsi="Calibri" w:cs="Calibri"/>
        </w:rPr>
        <w:t>tension</w:t>
      </w:r>
      <w:r w:rsidRPr="00822F64">
        <w:rPr>
          <w:rFonts w:ascii="Calibri" w:eastAsia="Calibri" w:hAnsi="Calibri" w:cs="Calibri"/>
        </w:rPr>
        <w:t xml:space="preserve"> transference</w:t>
      </w:r>
      <w:r w:rsidR="00B63061" w:rsidRPr="00822F64">
        <w:rPr>
          <w:rFonts w:ascii="Calibri" w:eastAsia="Calibri" w:hAnsi="Calibri" w:cs="Calibri"/>
        </w:rPr>
        <w:t xml:space="preserve"> exploit</w:t>
      </w:r>
      <w:r w:rsidR="00743C6A">
        <w:rPr>
          <w:rFonts w:ascii="Calibri" w:eastAsia="Calibri" w:hAnsi="Calibri" w:cs="Calibri"/>
        </w:rPr>
        <w:t>ing</w:t>
      </w:r>
      <w:r w:rsidR="00B63061" w:rsidRPr="00822F64">
        <w:rPr>
          <w:rFonts w:ascii="Calibri" w:eastAsia="Calibri" w:hAnsi="Calibri" w:cs="Calibri"/>
        </w:rPr>
        <w:t xml:space="preserve"> the </w:t>
      </w:r>
      <w:r w:rsidR="00822F64" w:rsidRPr="00822F64">
        <w:rPr>
          <w:rFonts w:ascii="Calibri" w:eastAsia="Calibri" w:hAnsi="Calibri" w:cs="Calibri"/>
        </w:rPr>
        <w:t>quadriga</w:t>
      </w:r>
      <w:r w:rsidRPr="00822F64">
        <w:rPr>
          <w:rFonts w:ascii="Calibri" w:eastAsia="Calibri" w:hAnsi="Calibri" w:cs="Calibri"/>
        </w:rPr>
        <w:t xml:space="preserve"> effect</w:t>
      </w:r>
      <w:r w:rsidR="00E95B32">
        <w:rPr>
          <w:rFonts w:ascii="Calibri" w:eastAsia="Calibri" w:hAnsi="Calibri" w:cs="Calibri"/>
        </w:rPr>
        <w:t xml:space="preserve"> </w:t>
      </w:r>
      <w:r w:rsidR="00E95B32">
        <w:rPr>
          <w:rFonts w:ascii="Calibri" w:eastAsia="Calibri" w:hAnsi="Calibri" w:cs="Calibri"/>
        </w:rPr>
        <w:fldChar w:fldCharType="begin" w:fldLock="1"/>
      </w:r>
      <w:r w:rsidR="00BF6503">
        <w:rPr>
          <w:rFonts w:ascii="Calibri" w:eastAsia="Calibri" w:hAnsi="Calibri" w:cs="Calibri"/>
        </w:rPr>
        <w:instrText>ADDIN CSL_CITATION {"citationItems":[{"id":"ITEM-1","itemData":{"DOI":"10.1016/j.jhsa.2014.03.015","ISSN":"15316564","PMID":"24862114","abstract":"The relative motion splint was initially developed to facilitate postoperative rehabilitation after repair of extensor tendon injuries at the dorsum of the hand and forearm. It has subsequently been used for rehabilitation of sagittal band injuries and after repair of closed attrition extensor tendon ruptures in rheumatoid arthritis. This is much less awkward than other braces and can readily be worn during normal past-time and work activities. This so-called immediate controlled active motion splinting protocol has also more recently been applied to both operative and nonsurgical rehabilitation for boutonniere deformity. © 2014 ASSH Published by Elsevier, Inc. All rights reserved.","author":[{"dropping-particle":"","family":"Merritt","given":"Wyndell H.","non-dropping-particle":"","parse-names":false,"suffix":""}],"container-title":"Journal of Hand Surgery","id":"ITEM-1","issue":"6","issued":{"date-parts":[["2014"]]},"page":"1187-1194","publisher":"Elsevier Inc","title":"Relative motion splint: Active motion after extensor tendon injury and repair","type":"article-journal","volume":"39"},"uris":["http://www.mendeley.com/documents/?uuid=2c6b24e7-e5ac-4d8c-abb2-1dd846c6960c"]}],"mendeley":{"formattedCitation":"(7)","plainTextFormattedCitation":"(7)","previouslyFormattedCitation":"(7)"},"properties":{"noteIndex":0},"schema":"https://github.com/citation-style-language/schema/raw/master/csl-citation.json"}</w:instrText>
      </w:r>
      <w:r w:rsidR="00E95B32">
        <w:rPr>
          <w:rFonts w:ascii="Calibri" w:eastAsia="Calibri" w:hAnsi="Calibri" w:cs="Calibri"/>
        </w:rPr>
        <w:fldChar w:fldCharType="separate"/>
      </w:r>
      <w:r w:rsidR="00E95B32" w:rsidRPr="00E95B32">
        <w:rPr>
          <w:rFonts w:ascii="Calibri" w:eastAsia="Calibri" w:hAnsi="Calibri" w:cs="Calibri"/>
          <w:noProof/>
        </w:rPr>
        <w:t>(7)</w:t>
      </w:r>
      <w:r w:rsidR="00E95B32">
        <w:rPr>
          <w:rFonts w:ascii="Calibri" w:eastAsia="Calibri" w:hAnsi="Calibri" w:cs="Calibri"/>
        </w:rPr>
        <w:fldChar w:fldCharType="end"/>
      </w:r>
      <w:r w:rsidRPr="00822F64">
        <w:rPr>
          <w:rFonts w:ascii="Calibri" w:eastAsia="Calibri" w:hAnsi="Calibri" w:cs="Calibri"/>
        </w:rPr>
        <w:t>. As the four FDP tendon</w:t>
      </w:r>
      <w:r w:rsidR="009E2658" w:rsidRPr="00822F64">
        <w:rPr>
          <w:rFonts w:ascii="Calibri" w:eastAsia="Calibri" w:hAnsi="Calibri" w:cs="Calibri"/>
        </w:rPr>
        <w:t>s</w:t>
      </w:r>
      <w:r w:rsidRPr="00822F64">
        <w:rPr>
          <w:rFonts w:ascii="Calibri" w:eastAsia="Calibri" w:hAnsi="Calibri" w:cs="Calibri"/>
        </w:rPr>
        <w:t xml:space="preserve"> share a common muscle belly, </w:t>
      </w:r>
      <w:r w:rsidR="009E2658" w:rsidRPr="00822F64">
        <w:rPr>
          <w:rFonts w:ascii="Calibri" w:eastAsia="Calibri" w:hAnsi="Calibri" w:cs="Calibri"/>
        </w:rPr>
        <w:t>t</w:t>
      </w:r>
      <w:r w:rsidR="00007206" w:rsidRPr="00822F64">
        <w:rPr>
          <w:rFonts w:ascii="Calibri" w:eastAsia="Calibri" w:hAnsi="Calibri" w:cs="Calibri"/>
        </w:rPr>
        <w:t>h</w:t>
      </w:r>
      <w:r w:rsidR="00384BCF" w:rsidRPr="00822F64">
        <w:rPr>
          <w:rFonts w:ascii="Calibri" w:eastAsia="Calibri" w:hAnsi="Calibri" w:cs="Calibri"/>
        </w:rPr>
        <w:t>e</w:t>
      </w:r>
      <w:r w:rsidR="009E2658" w:rsidRPr="00822F64">
        <w:rPr>
          <w:rFonts w:ascii="Calibri" w:eastAsia="Calibri" w:hAnsi="Calibri" w:cs="Calibri"/>
        </w:rPr>
        <w:t xml:space="preserve"> position of relative </w:t>
      </w:r>
      <w:proofErr w:type="spellStart"/>
      <w:r w:rsidR="00384BCF" w:rsidRPr="00822F64">
        <w:rPr>
          <w:rFonts w:ascii="Calibri" w:eastAsia="Calibri" w:hAnsi="Calibri" w:cs="Calibri"/>
        </w:rPr>
        <w:t>MC</w:t>
      </w:r>
      <w:r w:rsidR="00345587" w:rsidRPr="00822F64">
        <w:rPr>
          <w:rFonts w:ascii="Calibri" w:eastAsia="Calibri" w:hAnsi="Calibri" w:cs="Calibri"/>
        </w:rPr>
        <w:t>P</w:t>
      </w:r>
      <w:proofErr w:type="spellEnd"/>
      <w:r w:rsidR="00384BCF" w:rsidRPr="00822F64">
        <w:rPr>
          <w:rFonts w:ascii="Calibri" w:eastAsia="Calibri" w:hAnsi="Calibri" w:cs="Calibri"/>
        </w:rPr>
        <w:t xml:space="preserve"> joint </w:t>
      </w:r>
      <w:r w:rsidR="009E2658" w:rsidRPr="00822F64">
        <w:rPr>
          <w:rFonts w:ascii="Calibri" w:eastAsia="Calibri" w:hAnsi="Calibri" w:cs="Calibri"/>
        </w:rPr>
        <w:t xml:space="preserve">flexion limits </w:t>
      </w:r>
      <w:r w:rsidR="00C71E4B" w:rsidRPr="00822F64">
        <w:rPr>
          <w:rFonts w:ascii="Calibri" w:eastAsia="Calibri" w:hAnsi="Calibri" w:cs="Calibri"/>
        </w:rPr>
        <w:t xml:space="preserve">active </w:t>
      </w:r>
      <w:r w:rsidR="00822F64">
        <w:rPr>
          <w:rFonts w:ascii="Calibri" w:eastAsia="Calibri" w:hAnsi="Calibri" w:cs="Calibri"/>
        </w:rPr>
        <w:t>tension</w:t>
      </w:r>
      <w:r w:rsidR="009E2658" w:rsidRPr="00822F64">
        <w:rPr>
          <w:rFonts w:ascii="Calibri" w:eastAsia="Calibri" w:hAnsi="Calibri" w:cs="Calibri"/>
        </w:rPr>
        <w:t xml:space="preserve"> through the repaired tendon during </w:t>
      </w:r>
      <w:r w:rsidR="00007206" w:rsidRPr="00822F64">
        <w:rPr>
          <w:rFonts w:ascii="Calibri" w:eastAsia="Calibri" w:hAnsi="Calibri" w:cs="Calibri"/>
        </w:rPr>
        <w:t xml:space="preserve">composite </w:t>
      </w:r>
      <w:r w:rsidR="009E2658" w:rsidRPr="00822F64">
        <w:rPr>
          <w:rFonts w:ascii="Calibri" w:eastAsia="Calibri" w:hAnsi="Calibri" w:cs="Calibri"/>
        </w:rPr>
        <w:t>finger flexion. Th</w:t>
      </w:r>
      <w:r w:rsidR="00007206" w:rsidRPr="00822F64">
        <w:rPr>
          <w:rFonts w:ascii="Calibri" w:eastAsia="Calibri" w:hAnsi="Calibri" w:cs="Calibri"/>
        </w:rPr>
        <w:t>e</w:t>
      </w:r>
      <w:r w:rsidR="009E2658" w:rsidRPr="00822F64">
        <w:rPr>
          <w:rFonts w:ascii="Calibri" w:eastAsia="Calibri" w:hAnsi="Calibri" w:cs="Calibri"/>
        </w:rPr>
        <w:t xml:space="preserve"> position of relative flexion also </w:t>
      </w:r>
      <w:r w:rsidR="00927B4C" w:rsidRPr="00822F64">
        <w:rPr>
          <w:rFonts w:ascii="Calibri" w:eastAsia="Calibri" w:hAnsi="Calibri" w:cs="Calibri"/>
        </w:rPr>
        <w:t xml:space="preserve">limits </w:t>
      </w:r>
      <w:r w:rsidR="009E2658" w:rsidRPr="00822F64">
        <w:rPr>
          <w:rFonts w:ascii="Calibri" w:eastAsia="Calibri" w:hAnsi="Calibri" w:cs="Calibri"/>
        </w:rPr>
        <w:t>tendon excursion</w:t>
      </w:r>
      <w:r w:rsidR="00007206" w:rsidRPr="00822F64">
        <w:rPr>
          <w:rFonts w:ascii="Calibri" w:eastAsia="Calibri" w:hAnsi="Calibri" w:cs="Calibri"/>
        </w:rPr>
        <w:t xml:space="preserve"> during </w:t>
      </w:r>
      <w:r w:rsidR="00C71E4B" w:rsidRPr="00822F64">
        <w:rPr>
          <w:rFonts w:ascii="Calibri" w:eastAsia="Calibri" w:hAnsi="Calibri" w:cs="Calibri"/>
        </w:rPr>
        <w:t>composite</w:t>
      </w:r>
      <w:r w:rsidR="00007206" w:rsidRPr="00822F64">
        <w:rPr>
          <w:rFonts w:ascii="Calibri" w:eastAsia="Calibri" w:hAnsi="Calibri" w:cs="Calibri"/>
        </w:rPr>
        <w:t xml:space="preserve"> extension</w:t>
      </w:r>
      <w:r w:rsidR="00C121DF" w:rsidRPr="00822F64">
        <w:rPr>
          <w:rFonts w:ascii="Calibri" w:eastAsia="Calibri" w:hAnsi="Calibri" w:cs="Calibri"/>
        </w:rPr>
        <w:t xml:space="preserve">, reducing </w:t>
      </w:r>
      <w:r w:rsidR="009E2658" w:rsidRPr="00822F64">
        <w:rPr>
          <w:rFonts w:ascii="Calibri" w:eastAsia="Calibri" w:hAnsi="Calibri" w:cs="Calibri"/>
        </w:rPr>
        <w:t>pass</w:t>
      </w:r>
      <w:r w:rsidR="00007206" w:rsidRPr="00822F64">
        <w:rPr>
          <w:rFonts w:ascii="Calibri" w:eastAsia="Calibri" w:hAnsi="Calibri" w:cs="Calibri"/>
        </w:rPr>
        <w:t>ive</w:t>
      </w:r>
      <w:r w:rsidR="009E2658" w:rsidRPr="00822F64">
        <w:rPr>
          <w:rFonts w:ascii="Calibri" w:eastAsia="Calibri" w:hAnsi="Calibri" w:cs="Calibri"/>
        </w:rPr>
        <w:t xml:space="preserve"> tension through the</w:t>
      </w:r>
      <w:r w:rsidR="00007206" w:rsidRPr="00822F64">
        <w:rPr>
          <w:rFonts w:ascii="Calibri" w:eastAsia="Calibri" w:hAnsi="Calibri" w:cs="Calibri"/>
        </w:rPr>
        <w:t xml:space="preserve"> repaired</w:t>
      </w:r>
      <w:r w:rsidR="009E2658" w:rsidRPr="00822F64">
        <w:rPr>
          <w:rFonts w:ascii="Calibri" w:eastAsia="Calibri" w:hAnsi="Calibri" w:cs="Calibri"/>
        </w:rPr>
        <w:t xml:space="preserve"> tendon</w:t>
      </w:r>
      <w:r w:rsidR="00BF6503">
        <w:rPr>
          <w:rFonts w:ascii="Calibri" w:eastAsia="Calibri" w:hAnsi="Calibri" w:cs="Calibri"/>
        </w:rPr>
        <w:t xml:space="preserve"> </w:t>
      </w:r>
      <w:r w:rsidR="00BF6503">
        <w:rPr>
          <w:rFonts w:ascii="Calibri" w:eastAsia="Calibri" w:hAnsi="Calibri" w:cs="Calibri"/>
        </w:rPr>
        <w:fldChar w:fldCharType="begin" w:fldLock="1"/>
      </w:r>
      <w:r w:rsidR="002E1436">
        <w:rPr>
          <w:rFonts w:ascii="Calibri" w:eastAsia="Calibri" w:hAnsi="Calibri" w:cs="Calibri"/>
        </w:rPr>
        <w:instrText>ADDIN CSL_CITATION {"citationItems":[{"id":"ITEM-1","itemData":{"DOI":"10.1177/1558944717732063","ISSN":"15589455","PMID":"28975818","abstract":"Background: The principle of relative motion has allowed patients to regain a higher degree of hand function, while protecting extensor tendon repairs. The purpose of this study was to determine whether the principle of relative motion could be a viable method to protect a flexor tendon repair. Methods: Four fresh-frozen cadaver arms were each mounted on a testing apparatus (wrist in 30° of extension, metacarpophalangeal [MCP] joints blocked to 70°-80°). A minimum of 11 N was used to cyclically load the flexor digitorum profundus and extensor digitorum communis tendons to maximum allowable flexion and extension for 25 cycles. Measurements of elongation of the tendons were obtained through the use of differential variable reluctance transducers. Testing was performed in both intact and repaired (single 6-0 nylon suture) middle finger tendons (zone 3) with and without a relative motion flexion splint (RMFS), which placed the affected finger in 15° to 25° of relative flexion at the MCP joint. Results: In all 4 hands, elongation was restricted to less than 1.3 mm in repaired tendon in the RMFS compared with elongation &gt;2 mm in the nonsplinted condition. Average elongation was 0.86 mm (SD = 0.45). Visual examination of the tendons demonstrated no gapping with the use of the RMFS in any of the hands. All repairs had suture breakage and repair rupture without the RMFS. Conclusions: This study demonstrates that the RMFS decreases elongation and eliminates tendon-repair gapping after flexion/extension cycling in a cadaver model. It provides proof of concept that the RMFS may be a viable protective mechanism for flexor tendon repairs in zone 3.","author":[{"dropping-particle":"","family":"Chung","given":"Bryan","non-dropping-particle":"","parse-names":false,"suffix":""},{"dropping-particle":"","family":"Chiu","given":"David T.W.","non-dropping-particle":"","parse-names":false,"suffix":""},{"dropping-particle":"","family":"Thanik","given":"Vishal","non-dropping-particle":"","parse-names":false,"suffix":""}],"container-title":"Hand","id":"ITEM-1","issue":"2","issued":{"date-parts":[["2019"]]},"page":"193-196","title":"Relative Motion Flexion Splinting for Flexor Tendon Lacerations: Proof of Concept","type":"article-journal","volume":"14"},"uris":["http://www.mendeley.com/documents/?uuid=a7357478-07a4-4734-b363-8ab9339c7629"]}],"mendeley":{"formattedCitation":"(14)","plainTextFormattedCitation":"(14)","previouslyFormattedCitation":"(14)"},"properties":{"noteIndex":0},"schema":"https://github.com/citation-style-language/schema/raw/master/csl-citation.json"}</w:instrText>
      </w:r>
      <w:r w:rsidR="00BF6503">
        <w:rPr>
          <w:rFonts w:ascii="Calibri" w:eastAsia="Calibri" w:hAnsi="Calibri" w:cs="Calibri"/>
        </w:rPr>
        <w:fldChar w:fldCharType="separate"/>
      </w:r>
      <w:r w:rsidR="002D5ADE" w:rsidRPr="002D5ADE">
        <w:rPr>
          <w:rFonts w:ascii="Calibri" w:eastAsia="Calibri" w:hAnsi="Calibri" w:cs="Calibri"/>
          <w:noProof/>
        </w:rPr>
        <w:t>(14)</w:t>
      </w:r>
      <w:r w:rsidR="00BF6503">
        <w:rPr>
          <w:rFonts w:ascii="Calibri" w:eastAsia="Calibri" w:hAnsi="Calibri" w:cs="Calibri"/>
        </w:rPr>
        <w:fldChar w:fldCharType="end"/>
      </w:r>
      <w:r w:rsidR="009E2658" w:rsidRPr="00822F64">
        <w:rPr>
          <w:rFonts w:ascii="Calibri" w:eastAsia="Calibri" w:hAnsi="Calibri" w:cs="Calibri"/>
        </w:rPr>
        <w:t>.</w:t>
      </w:r>
      <w:r w:rsidR="00007206" w:rsidRPr="00822F64">
        <w:rPr>
          <w:rFonts w:ascii="Calibri" w:eastAsia="Calibri" w:hAnsi="Calibri" w:cs="Calibri"/>
        </w:rPr>
        <w:t xml:space="preserve"> </w:t>
      </w:r>
      <w:r w:rsidR="009D0904" w:rsidRPr="00822F64">
        <w:rPr>
          <w:rFonts w:ascii="Calibri" w:eastAsia="Calibri" w:hAnsi="Calibri" w:cs="Calibri"/>
        </w:rPr>
        <w:t xml:space="preserve">An assessment of </w:t>
      </w:r>
      <w:r w:rsidR="00BA30BF" w:rsidRPr="00822F64">
        <w:rPr>
          <w:rFonts w:ascii="Calibri" w:eastAsia="Calibri" w:hAnsi="Calibri" w:cs="Calibri"/>
        </w:rPr>
        <w:t xml:space="preserve">intact and </w:t>
      </w:r>
      <w:r w:rsidR="009D0904" w:rsidRPr="00822F64">
        <w:rPr>
          <w:rFonts w:ascii="Calibri" w:eastAsia="Calibri" w:hAnsi="Calibri" w:cs="Calibri"/>
        </w:rPr>
        <w:t xml:space="preserve">repaired FDP tendons in a cadaver model </w:t>
      </w:r>
      <w:r w:rsidR="00BA30BF" w:rsidRPr="00822F64">
        <w:rPr>
          <w:rFonts w:ascii="Calibri" w:eastAsia="Calibri" w:hAnsi="Calibri" w:cs="Calibri"/>
        </w:rPr>
        <w:t xml:space="preserve">found that the </w:t>
      </w:r>
      <w:proofErr w:type="spellStart"/>
      <w:r w:rsidR="00BA30BF" w:rsidRPr="00822F64">
        <w:rPr>
          <w:rFonts w:ascii="Calibri" w:eastAsia="Calibri" w:hAnsi="Calibri" w:cs="Calibri"/>
        </w:rPr>
        <w:t>RMF</w:t>
      </w:r>
      <w:proofErr w:type="spellEnd"/>
      <w:r w:rsidR="00BA30BF" w:rsidRPr="00822F64">
        <w:rPr>
          <w:rFonts w:ascii="Calibri" w:eastAsia="Calibri" w:hAnsi="Calibri" w:cs="Calibri"/>
        </w:rPr>
        <w:t xml:space="preserve"> orthosis reduced tendon elongation in the</w:t>
      </w:r>
      <w:r w:rsidR="00822F64">
        <w:rPr>
          <w:rFonts w:ascii="Calibri" w:eastAsia="Calibri" w:hAnsi="Calibri" w:cs="Calibri"/>
        </w:rPr>
        <w:t xml:space="preserve"> involved di</w:t>
      </w:r>
      <w:r w:rsidR="00BA30BF" w:rsidRPr="00822F64">
        <w:rPr>
          <w:rFonts w:ascii="Calibri" w:eastAsia="Calibri" w:hAnsi="Calibri" w:cs="Calibri"/>
        </w:rPr>
        <w:t xml:space="preserve">git and </w:t>
      </w:r>
      <w:r w:rsidR="00F164E2" w:rsidRPr="00822F64">
        <w:rPr>
          <w:rFonts w:ascii="Calibri" w:eastAsia="Calibri" w:hAnsi="Calibri" w:cs="Calibri"/>
        </w:rPr>
        <w:t xml:space="preserve">reduced </w:t>
      </w:r>
      <w:r w:rsidR="00BA30BF" w:rsidRPr="00822F64">
        <w:rPr>
          <w:rFonts w:ascii="Calibri" w:eastAsia="Calibri" w:hAnsi="Calibri" w:cs="Calibri"/>
        </w:rPr>
        <w:t>gapping at the repair site</w:t>
      </w:r>
      <w:r w:rsidR="00F164E2" w:rsidRPr="00822F64">
        <w:rPr>
          <w:rFonts w:ascii="Calibri" w:eastAsia="Calibri" w:hAnsi="Calibri" w:cs="Calibri"/>
        </w:rPr>
        <w:t xml:space="preserve"> </w:t>
      </w:r>
      <w:r w:rsidR="00F164E2" w:rsidRPr="00822F64">
        <w:rPr>
          <w:rFonts w:ascii="Calibri" w:eastAsia="Calibri" w:hAnsi="Calibri" w:cs="Calibri"/>
        </w:rPr>
        <w:fldChar w:fldCharType="begin" w:fldLock="1"/>
      </w:r>
      <w:r w:rsidR="002E1436">
        <w:rPr>
          <w:rFonts w:ascii="Calibri" w:eastAsia="Calibri" w:hAnsi="Calibri" w:cs="Calibri"/>
        </w:rPr>
        <w:instrText>ADDIN CSL_CITATION {"citationItems":[{"id":"ITEM-1","itemData":{"DOI":"10.1177/1558944717732063","ISSN":"15589455","PMID":"28975818","abstract":"Background: The principle of relative motion has allowed patients to regain a higher degree of hand function, while protecting extensor tendon repairs. The purpose of this study was to determine whether the principle of relative motion could be a viable method to protect a flexor tendon repair. Methods: Four fresh-frozen cadaver arms were each mounted on a testing apparatus (wrist in 30° of extension, metacarpophalangeal [MCP] joints blocked to 70°-80°). A minimum of 11 N was used to cyclically load the flexor digitorum profundus and extensor digitorum communis tendons to maximum allowable flexion and extension for 25 cycles. Measurements of elongation of the tendons were obtained through the use of differential variable reluctance transducers. Testing was performed in both intact and repaired (single 6-0 nylon suture) middle finger tendons (zone 3) with and without a relative motion flexion splint (RMFS), which placed the affected finger in 15° to 25° of relative flexion at the MCP joint. Results: In all 4 hands, elongation was restricted to less than 1.3 mm in repaired tendon in the RMFS compared with elongation &gt;2 mm in the nonsplinted condition. Average elongation was 0.86 mm (SD = 0.45). Visual examination of the tendons demonstrated no gapping with the use of the RMFS in any of the hands. All repairs had suture breakage and repair rupture without the RMFS. Conclusions: This study demonstrates that the RMFS decreases elongation and eliminates tendon-repair gapping after flexion/extension cycling in a cadaver model. It provides proof of concept that the RMFS may be a viable protective mechanism for flexor tendon repairs in zone 3.","author":[{"dropping-particle":"","family":"Chung","given":"Bryan","non-dropping-particle":"","parse-names":false,"suffix":""},{"dropping-particle":"","family":"Chiu","given":"David T.W.","non-dropping-particle":"","parse-names":false,"suffix":""},{"dropping-particle":"","family":"Thanik","given":"Vishal","non-dropping-particle":"","parse-names":false,"suffix":""}],"container-title":"Hand","id":"ITEM-1","issue":"2","issued":{"date-parts":[["2019"]]},"page":"193-196","title":"Relative Motion Flexion Splinting for Flexor Tendon Lacerations: Proof of Concept","type":"article-journal","volume":"14"},"uris":["http://www.mendeley.com/documents/?uuid=a7357478-07a4-4734-b363-8ab9339c7629"]}],"mendeley":{"formattedCitation":"(14)","plainTextFormattedCitation":"(14)","previouslyFormattedCitation":"(14)"},"properties":{"noteIndex":0},"schema":"https://github.com/citation-style-language/schema/raw/master/csl-citation.json"}</w:instrText>
      </w:r>
      <w:r w:rsidR="00F164E2" w:rsidRPr="00822F64">
        <w:rPr>
          <w:rFonts w:ascii="Calibri" w:eastAsia="Calibri" w:hAnsi="Calibri" w:cs="Calibri"/>
        </w:rPr>
        <w:fldChar w:fldCharType="separate"/>
      </w:r>
      <w:r w:rsidR="002D5ADE" w:rsidRPr="002D5ADE">
        <w:rPr>
          <w:rFonts w:ascii="Calibri" w:eastAsia="Calibri" w:hAnsi="Calibri" w:cs="Calibri"/>
          <w:noProof/>
        </w:rPr>
        <w:t>(14)</w:t>
      </w:r>
      <w:r w:rsidR="00F164E2" w:rsidRPr="00822F64">
        <w:rPr>
          <w:rFonts w:ascii="Calibri" w:eastAsia="Calibri" w:hAnsi="Calibri" w:cs="Calibri"/>
        </w:rPr>
        <w:fldChar w:fldCharType="end"/>
      </w:r>
      <w:r w:rsidR="00F164E2" w:rsidRPr="00822F64">
        <w:rPr>
          <w:rFonts w:ascii="Calibri" w:eastAsia="Calibri" w:hAnsi="Calibri" w:cs="Calibri"/>
        </w:rPr>
        <w:t>.</w:t>
      </w:r>
    </w:p>
    <w:p w14:paraId="44E4E559" w14:textId="77777777" w:rsidR="00F164E2" w:rsidRDefault="00F164E2" w:rsidP="00950475">
      <w:pPr>
        <w:spacing w:line="480" w:lineRule="auto"/>
        <w:rPr>
          <w:rFonts w:ascii="Calibri" w:eastAsia="Calibri" w:hAnsi="Calibri" w:cs="Calibri"/>
          <w:color w:val="00B050"/>
        </w:rPr>
      </w:pPr>
    </w:p>
    <w:p w14:paraId="1191E853" w14:textId="410297CB" w:rsidR="00B31BBA" w:rsidRPr="00703655" w:rsidRDefault="00345587" w:rsidP="00950475">
      <w:pPr>
        <w:spacing w:line="480" w:lineRule="auto"/>
        <w:rPr>
          <w:rFonts w:ascii="Calibri" w:eastAsia="Calibri" w:hAnsi="Calibri" w:cs="Calibri"/>
        </w:rPr>
      </w:pPr>
      <w:r w:rsidRPr="00703655">
        <w:rPr>
          <w:rFonts w:ascii="Calibri" w:eastAsia="Calibri" w:hAnsi="Calibri" w:cs="Calibri"/>
        </w:rPr>
        <w:t>An a</w:t>
      </w:r>
      <w:r w:rsidR="00C056A7" w:rsidRPr="00703655">
        <w:rPr>
          <w:rFonts w:ascii="Calibri" w:eastAsia="Calibri" w:hAnsi="Calibri" w:cs="Calibri"/>
        </w:rPr>
        <w:t xml:space="preserve">dditional kinesiological rationale for </w:t>
      </w:r>
      <w:r w:rsidR="00846868" w:rsidRPr="00703655">
        <w:rPr>
          <w:rFonts w:ascii="Calibri" w:eastAsia="Calibri" w:hAnsi="Calibri" w:cs="Calibri"/>
        </w:rPr>
        <w:t>using a</w:t>
      </w:r>
      <w:r w:rsidR="00DF67CD">
        <w:rPr>
          <w:rFonts w:ascii="Calibri" w:eastAsia="Calibri" w:hAnsi="Calibri" w:cs="Calibri"/>
        </w:rPr>
        <w:t>n</w:t>
      </w:r>
      <w:r w:rsidR="00846868" w:rsidRPr="00703655">
        <w:rPr>
          <w:rFonts w:ascii="Calibri" w:eastAsia="Calibri" w:hAnsi="Calibri" w:cs="Calibri"/>
        </w:rPr>
        <w:t xml:space="preserve"> </w:t>
      </w:r>
      <w:proofErr w:type="spellStart"/>
      <w:r w:rsidR="00846868" w:rsidRPr="00703655">
        <w:rPr>
          <w:rFonts w:ascii="Calibri" w:eastAsia="Calibri" w:hAnsi="Calibri" w:cs="Calibri"/>
        </w:rPr>
        <w:t>RMF</w:t>
      </w:r>
      <w:proofErr w:type="spellEnd"/>
      <w:r w:rsidR="00846868" w:rsidRPr="00703655">
        <w:rPr>
          <w:rFonts w:ascii="Calibri" w:eastAsia="Calibri" w:hAnsi="Calibri" w:cs="Calibri"/>
        </w:rPr>
        <w:t xml:space="preserve"> orthosis after </w:t>
      </w:r>
      <w:r w:rsidR="00822F64" w:rsidRPr="00703655">
        <w:rPr>
          <w:rFonts w:ascii="Calibri" w:eastAsia="Calibri" w:hAnsi="Calibri" w:cs="Calibri"/>
        </w:rPr>
        <w:t>flex</w:t>
      </w:r>
      <w:r w:rsidR="00151981" w:rsidRPr="00703655">
        <w:rPr>
          <w:rFonts w:ascii="Calibri" w:eastAsia="Calibri" w:hAnsi="Calibri" w:cs="Calibri"/>
        </w:rPr>
        <w:t>or</w:t>
      </w:r>
      <w:r w:rsidR="00822F64" w:rsidRPr="00703655">
        <w:rPr>
          <w:rFonts w:ascii="Calibri" w:eastAsia="Calibri" w:hAnsi="Calibri" w:cs="Calibri"/>
        </w:rPr>
        <w:t xml:space="preserve"> </w:t>
      </w:r>
      <w:r w:rsidR="00846868" w:rsidRPr="00703655">
        <w:rPr>
          <w:rFonts w:ascii="Calibri" w:eastAsia="Calibri" w:hAnsi="Calibri" w:cs="Calibri"/>
        </w:rPr>
        <w:t xml:space="preserve">tendon repair is </w:t>
      </w:r>
      <w:r w:rsidR="00C056A7" w:rsidRPr="00703655">
        <w:rPr>
          <w:rFonts w:ascii="Calibri" w:eastAsia="Calibri" w:hAnsi="Calibri" w:cs="Calibri"/>
        </w:rPr>
        <w:t>that it confers a</w:t>
      </w:r>
      <w:r w:rsidR="00846868" w:rsidRPr="00703655">
        <w:rPr>
          <w:rFonts w:ascii="Calibri" w:eastAsia="Calibri" w:hAnsi="Calibri" w:cs="Calibri"/>
        </w:rPr>
        <w:t xml:space="preserve"> biomechanical advantage for interphalangeal</w:t>
      </w:r>
      <w:r w:rsidR="00E334B8" w:rsidRPr="00703655">
        <w:rPr>
          <w:rFonts w:ascii="Calibri" w:eastAsia="Calibri" w:hAnsi="Calibri" w:cs="Calibri"/>
        </w:rPr>
        <w:t xml:space="preserve"> (IP)</w:t>
      </w:r>
      <w:r w:rsidR="00846868" w:rsidRPr="00703655">
        <w:rPr>
          <w:rFonts w:ascii="Calibri" w:eastAsia="Calibri" w:hAnsi="Calibri" w:cs="Calibri"/>
        </w:rPr>
        <w:t xml:space="preserve"> joint extension</w:t>
      </w:r>
      <w:r w:rsidR="008A023F" w:rsidRPr="00703655">
        <w:rPr>
          <w:rFonts w:ascii="Calibri" w:eastAsia="Calibri" w:hAnsi="Calibri" w:cs="Calibri"/>
        </w:rPr>
        <w:t xml:space="preserve"> </w:t>
      </w:r>
      <w:r w:rsidR="008A023F" w:rsidRPr="00703655">
        <w:rPr>
          <w:rFonts w:ascii="Calibri" w:eastAsia="Calibri" w:hAnsi="Calibri" w:cs="Calibri"/>
        </w:rPr>
        <w:fldChar w:fldCharType="begin" w:fldLock="1"/>
      </w:r>
      <w:r w:rsidR="0043414D">
        <w:rPr>
          <w:rFonts w:ascii="Calibri" w:eastAsia="Calibri" w:hAnsi="Calibri" w:cs="Calibri"/>
        </w:rPr>
        <w:instrText>ADDIN CSL_CITATION {"citationItems":[{"id":"ITEM-1","itemData":{"DOI":"10.1097/SAP.0000000000002307","ISBN":"0000000000","ISSN":"15363708","PMID":"32028337","abstract":"BACKGROUND: We have utilized relative motion splinting for early motion following acute repair of boutonniere injuries, and we have developed nonoperative orthosis-based therapy for the treatment of chronic injuries. We offer our early clinical experience using relative motion flexion splinting for boutonniere deformities and explain the anatomic rationale that permits immediate active motion and hand use following acute injury or repair. For chronic boutonniere deformity, we offer a nonsurgical management method with low morbidity as a safe alternative to surgery. METHODS: Our understanding of the extrinsic-intrinsic anatomic interrelationship in boutonniere deformity offers rationale for relative motion flexion splinting, which is confirmed by cadaver study. Our early clinical results in 5 closed and 3 open acute and 15 chronic cases have encouraged recommending this management technique. For repaired open and closed acutely injured digits, we utilize relative motion flexion orthoses that place the injured digits in 15° to 20° greater metacarpophalangeal flexion than its neighboring digits and otherwise permit full active range of motion and functional hand use maintaining the 15° to 20° greater metacarpophalangeal flexion for 6 weeks. In fixed chronic boutonniere cases, serial casting is utilized to obtain as much proximal interphalangeal extension as possible (at least -20°), and then relative motion flexion splinting and hand use is instituted for 12 weeks. RESULTS: Our acute cases obtained as good as, or better range of motion than, conventional management techniques, with early full flexion and maintenance of extension without any recurrences. The most significant difference is morbidity, with ability to preserve hand function during healing and the absence of further therapy after 6 weeks of splinting. Patients with chronic boutonniere deformity presented from 8 weeks to 3 years following injury (averaging 31 weeks) and were 15 to 99 years of age (averaging 42 years). All were serially casted to less than -20° (averaging -4°) and maintained that level of extension after 3 months of relative motion flexion splinting. All achieved flexion to their palm, and all met the Steichen-Strickland chronic boutonniere classification of \"excellent.\" There were no recurrent progressive boutonniere deformities in either acute or chronic cases and no instances of reflex sympathetic dystrophy/chronic regional pain syndrome (RSD/CRPS). CONCLUSIONS: Relative motio…","author":[{"dropping-particle":"","family":"Merritt","given":"Wyndell H.","non-dropping-particle":"","parse-names":false,"suffix":""},{"dropping-particle":"","family":"Jarrell","given":"Kathy","non-dropping-particle":"","parse-names":false,"suffix":""}],"container-title":"Annals of plastic surgery","id":"ITEM-1","issue":"Suppl 2","issued":{"date-parts":[["2020"]]},"page":"S141-S150","title":"A Paradigm Shift in Managing Acute and Chronic Boutonniere Deformity: Anatomic Rationale and Early Clinical Results for the Relative Motion Concept Permitting Immediate Active Motion and Hand Use","type":"article-journal","volume":"84"},"uris":["http://www.mendeley.com/documents/?uuid=37c08cbe-b567-4ac1-92eb-80c1764c9931"]}],"mendeley":{"formattedCitation":"(16)","plainTextFormattedCitation":"(16)","previouslyFormattedCitation":"(16)"},"properties":{"noteIndex":0},"schema":"https://github.com/citation-style-language/schema/raw/master/csl-citation.json"}</w:instrText>
      </w:r>
      <w:r w:rsidR="008A023F" w:rsidRPr="00703655">
        <w:rPr>
          <w:rFonts w:ascii="Calibri" w:eastAsia="Calibri" w:hAnsi="Calibri" w:cs="Calibri"/>
        </w:rPr>
        <w:fldChar w:fldCharType="separate"/>
      </w:r>
      <w:r w:rsidR="002D5ADE" w:rsidRPr="002D5ADE">
        <w:rPr>
          <w:rFonts w:ascii="Calibri" w:eastAsia="Calibri" w:hAnsi="Calibri" w:cs="Calibri"/>
          <w:noProof/>
        </w:rPr>
        <w:t>(16)</w:t>
      </w:r>
      <w:r w:rsidR="008A023F" w:rsidRPr="00703655">
        <w:rPr>
          <w:rFonts w:ascii="Calibri" w:eastAsia="Calibri" w:hAnsi="Calibri" w:cs="Calibri"/>
        </w:rPr>
        <w:fldChar w:fldCharType="end"/>
      </w:r>
      <w:r w:rsidR="00846868" w:rsidRPr="00703655">
        <w:rPr>
          <w:rFonts w:ascii="Calibri" w:eastAsia="Calibri" w:hAnsi="Calibri" w:cs="Calibri"/>
        </w:rPr>
        <w:t>.</w:t>
      </w:r>
      <w:r w:rsidR="009440E8" w:rsidRPr="00703655">
        <w:rPr>
          <w:rFonts w:ascii="Calibri" w:eastAsia="Calibri" w:hAnsi="Calibri" w:cs="Calibri"/>
        </w:rPr>
        <w:t xml:space="preserve"> The </w:t>
      </w:r>
      <w:proofErr w:type="spellStart"/>
      <w:r w:rsidR="009440E8" w:rsidRPr="00703655">
        <w:rPr>
          <w:rFonts w:ascii="Calibri" w:eastAsia="Calibri" w:hAnsi="Calibri" w:cs="Calibri"/>
        </w:rPr>
        <w:t>RMF</w:t>
      </w:r>
      <w:proofErr w:type="spellEnd"/>
      <w:r w:rsidR="009440E8" w:rsidRPr="00703655">
        <w:rPr>
          <w:rFonts w:ascii="Calibri" w:eastAsia="Calibri" w:hAnsi="Calibri" w:cs="Calibri"/>
        </w:rPr>
        <w:t xml:space="preserve"> orthosis optimize</w:t>
      </w:r>
      <w:r w:rsidR="00703655" w:rsidRPr="00703655">
        <w:rPr>
          <w:rFonts w:ascii="Calibri" w:eastAsia="Calibri" w:hAnsi="Calibri" w:cs="Calibri"/>
        </w:rPr>
        <w:t>s</w:t>
      </w:r>
      <w:r w:rsidR="009440E8" w:rsidRPr="00703655">
        <w:rPr>
          <w:rFonts w:ascii="Calibri" w:eastAsia="Calibri" w:hAnsi="Calibri" w:cs="Calibri"/>
        </w:rPr>
        <w:t xml:space="preserve"> the position of the intrinsic muscles and EDC to act on IP </w:t>
      </w:r>
      <w:r w:rsidR="00AE68C3">
        <w:rPr>
          <w:rFonts w:ascii="Calibri" w:eastAsia="Calibri" w:hAnsi="Calibri" w:cs="Calibri"/>
        </w:rPr>
        <w:t xml:space="preserve">joint </w:t>
      </w:r>
      <w:r w:rsidR="009440E8" w:rsidRPr="00703655">
        <w:rPr>
          <w:rFonts w:ascii="Calibri" w:eastAsia="Calibri" w:hAnsi="Calibri" w:cs="Calibri"/>
        </w:rPr>
        <w:t>extension</w:t>
      </w:r>
      <w:r w:rsidR="00D052EE">
        <w:rPr>
          <w:rFonts w:ascii="Calibri" w:eastAsia="Calibri" w:hAnsi="Calibri" w:cs="Calibri"/>
        </w:rPr>
        <w:t xml:space="preserve"> </w:t>
      </w:r>
      <w:r w:rsidR="00D052EE">
        <w:rPr>
          <w:rFonts w:ascii="Calibri" w:eastAsia="Calibri" w:hAnsi="Calibri" w:cs="Calibri"/>
        </w:rPr>
        <w:fldChar w:fldCharType="begin" w:fldLock="1"/>
      </w:r>
      <w:r w:rsidR="00047F9D">
        <w:rPr>
          <w:rFonts w:ascii="Calibri" w:eastAsia="Calibri" w:hAnsi="Calibri" w:cs="Calibri"/>
        </w:rPr>
        <w:instrText>ADDIN CSL_CITATION {"citationItems":[{"id":"ITEM-1","itemData":{"author":[{"dropping-particle":"","family":"Merritt","given":"Wyndell H.","non-dropping-particle":"","parse-names":false,"suffix":""},{"dropping-particle":"","family":"Howell","given":"Julianne W.","non-dropping-particle":"","parse-names":false,"suffix":""}],"chapter-number":"107","container-title":"Rehabilitation of the Hand and Upper Extremity","edition":"7th","editor":[{"dropping-particle":"","family":"Skirven","given":"TM","non-dropping-particle":"","parse-names":false,"suffix":""},{"dropping-particle":"","family":"Osterman","given":"AL","non-dropping-particle":"","parse-names":false,"suffix":""},{"dropping-particle":"","family":"Fedorczyk","given":"JM","non-dropping-particle":"","parse-names":false,"suffix":""},{"dropping-particle":"","family":"Amadio","given":"PC","non-dropping-particle":"","parse-names":false,"suffix":""},{"dropping-particle":"","family":"Feldscher","given":"SB","non-dropping-particle":"","parse-names":false,"suffix":""},{"dropping-particle":"","family":"Shin","given":"EK","non-dropping-particle":"","parse-names":false,"suffix":""}],"id":"ITEM-1","issued":{"date-parts":[["2021"]]},"page":"1496-1510","publisher":"Elsevier","publisher-place":"Philadelphia","title":"Relative motion orthoses: The concepts and application to hand therapy management of finger extensor tendon zone III and VII repairs, acute and chronic Boutonniere deformity, and sagittal band injury","type":"chapter"},"uris":["http://www.mendeley.com/documents/?uuid=4ad03b08-4c2a-406a-b40b-7d60f3931b0d"]}],"mendeley":{"formattedCitation":"(12)","plainTextFormattedCitation":"(12)","previouslyFormattedCitation":"(12)"},"properties":{"noteIndex":0},"schema":"https://github.com/citation-style-language/schema/raw/master/csl-citation.json"}</w:instrText>
      </w:r>
      <w:r w:rsidR="00D052EE">
        <w:rPr>
          <w:rFonts w:ascii="Calibri" w:eastAsia="Calibri" w:hAnsi="Calibri" w:cs="Calibri"/>
        </w:rPr>
        <w:fldChar w:fldCharType="separate"/>
      </w:r>
      <w:r w:rsidR="00C71A0C" w:rsidRPr="00C71A0C">
        <w:rPr>
          <w:rFonts w:ascii="Calibri" w:eastAsia="Calibri" w:hAnsi="Calibri" w:cs="Calibri"/>
          <w:noProof/>
        </w:rPr>
        <w:t>(12)</w:t>
      </w:r>
      <w:r w:rsidR="00D052EE">
        <w:rPr>
          <w:rFonts w:ascii="Calibri" w:eastAsia="Calibri" w:hAnsi="Calibri" w:cs="Calibri"/>
        </w:rPr>
        <w:fldChar w:fldCharType="end"/>
      </w:r>
      <w:r w:rsidR="00703655" w:rsidRPr="00703655">
        <w:rPr>
          <w:rFonts w:ascii="Calibri" w:eastAsia="Calibri" w:hAnsi="Calibri" w:cs="Calibri"/>
        </w:rPr>
        <w:t xml:space="preserve">. </w:t>
      </w:r>
      <w:r w:rsidR="00E334B8" w:rsidRPr="00703655">
        <w:rPr>
          <w:rFonts w:ascii="Calibri" w:eastAsia="Calibri" w:hAnsi="Calibri" w:cs="Calibri"/>
        </w:rPr>
        <w:t>This is similar to</w:t>
      </w:r>
      <w:r w:rsidR="00703655" w:rsidRPr="00703655">
        <w:rPr>
          <w:rFonts w:ascii="Calibri" w:eastAsia="Calibri" w:hAnsi="Calibri" w:cs="Calibri"/>
        </w:rPr>
        <w:t xml:space="preserve"> the exercise </w:t>
      </w:r>
      <w:r w:rsidR="00743C6A">
        <w:rPr>
          <w:rFonts w:ascii="Calibri" w:eastAsia="Calibri" w:hAnsi="Calibri" w:cs="Calibri"/>
        </w:rPr>
        <w:t>comprising</w:t>
      </w:r>
      <w:r w:rsidR="00703655" w:rsidRPr="00703655">
        <w:rPr>
          <w:rFonts w:ascii="Calibri" w:eastAsia="Calibri" w:hAnsi="Calibri" w:cs="Calibri"/>
        </w:rPr>
        <w:t xml:space="preserve"> </w:t>
      </w:r>
      <w:r w:rsidR="00E334B8" w:rsidRPr="00703655">
        <w:rPr>
          <w:rFonts w:ascii="Calibri" w:eastAsia="Calibri" w:hAnsi="Calibri" w:cs="Calibri"/>
        </w:rPr>
        <w:t>active IP joint extension</w:t>
      </w:r>
      <w:r w:rsidR="00822F64" w:rsidRPr="00703655">
        <w:rPr>
          <w:rFonts w:ascii="Calibri" w:eastAsia="Calibri" w:hAnsi="Calibri" w:cs="Calibri"/>
        </w:rPr>
        <w:t xml:space="preserve"> </w:t>
      </w:r>
      <w:r w:rsidR="00E334B8" w:rsidRPr="00703655">
        <w:rPr>
          <w:rFonts w:ascii="Calibri" w:eastAsia="Calibri" w:hAnsi="Calibri" w:cs="Calibri"/>
        </w:rPr>
        <w:t xml:space="preserve">while positioned in </w:t>
      </w:r>
      <w:proofErr w:type="spellStart"/>
      <w:r w:rsidR="00E334B8" w:rsidRPr="00703655">
        <w:rPr>
          <w:rFonts w:ascii="Calibri" w:eastAsia="Calibri" w:hAnsi="Calibri" w:cs="Calibri"/>
        </w:rPr>
        <w:t>MCP</w:t>
      </w:r>
      <w:proofErr w:type="spellEnd"/>
      <w:r w:rsidR="00E334B8" w:rsidRPr="00703655">
        <w:rPr>
          <w:rFonts w:ascii="Calibri" w:eastAsia="Calibri" w:hAnsi="Calibri" w:cs="Calibri"/>
        </w:rPr>
        <w:t xml:space="preserve"> joint flexion</w:t>
      </w:r>
      <w:r w:rsidR="00201FEB">
        <w:rPr>
          <w:rFonts w:ascii="Calibri" w:eastAsia="Calibri" w:hAnsi="Calibri" w:cs="Calibri"/>
        </w:rPr>
        <w:t xml:space="preserve">, which is </w:t>
      </w:r>
      <w:r w:rsidR="00703655" w:rsidRPr="00703655">
        <w:rPr>
          <w:rFonts w:ascii="Calibri" w:eastAsia="Calibri" w:hAnsi="Calibri" w:cs="Calibri"/>
        </w:rPr>
        <w:t>a common component of o</w:t>
      </w:r>
      <w:r w:rsidR="00E334B8" w:rsidRPr="00703655">
        <w:rPr>
          <w:rFonts w:ascii="Calibri" w:eastAsia="Calibri" w:hAnsi="Calibri" w:cs="Calibri"/>
        </w:rPr>
        <w:t>ther</w:t>
      </w:r>
      <w:r w:rsidR="00D55C20" w:rsidRPr="00703655">
        <w:rPr>
          <w:rFonts w:ascii="Calibri" w:eastAsia="Calibri" w:hAnsi="Calibri" w:cs="Calibri"/>
        </w:rPr>
        <w:t xml:space="preserve"> </w:t>
      </w:r>
      <w:r w:rsidR="00170046" w:rsidRPr="00703655">
        <w:rPr>
          <w:rFonts w:ascii="Calibri" w:eastAsia="Calibri" w:hAnsi="Calibri" w:cs="Calibri"/>
        </w:rPr>
        <w:t>early active flexor tendon</w:t>
      </w:r>
      <w:r w:rsidR="00E334B8" w:rsidRPr="00703655">
        <w:rPr>
          <w:rFonts w:ascii="Calibri" w:eastAsia="Calibri" w:hAnsi="Calibri" w:cs="Calibri"/>
        </w:rPr>
        <w:t xml:space="preserve"> rehabilitation </w:t>
      </w:r>
      <w:r w:rsidR="006021AA">
        <w:rPr>
          <w:rFonts w:ascii="Calibri" w:eastAsia="Calibri" w:hAnsi="Calibri" w:cs="Calibri"/>
        </w:rPr>
        <w:t>approaches</w:t>
      </w:r>
      <w:r w:rsidR="00E334B8" w:rsidRPr="00703655">
        <w:rPr>
          <w:rFonts w:ascii="Calibri" w:eastAsia="Calibri" w:hAnsi="Calibri" w:cs="Calibri"/>
        </w:rPr>
        <w:t xml:space="preserve"> </w:t>
      </w:r>
      <w:r w:rsidR="00E334B8" w:rsidRPr="00703655">
        <w:rPr>
          <w:rFonts w:ascii="Calibri" w:eastAsia="Calibri" w:hAnsi="Calibri" w:cs="Calibri"/>
        </w:rPr>
        <w:fldChar w:fldCharType="begin" w:fldLock="1"/>
      </w:r>
      <w:r w:rsidR="002E1436">
        <w:rPr>
          <w:rFonts w:ascii="Calibri" w:eastAsia="Calibri" w:hAnsi="Calibri" w:cs="Calibri"/>
        </w:rPr>
        <w:instrText>ADDIN CSL_CITATION {"citationItems":[{"id":"ITEM-1","itemData":{"DOI":"10.1177/1758998314533306","ISSN":"17589991","abstract":"Introduction: The results of patients with primary zone II flexor tendon repairs rehabilitated using a traditional forearm-based splint were audited and compared with those who were managed in the Manchester short splint. Method: The short splint was fabricated to permit maximal wrist flexion and up to 45° of wrist extension with a block to 30° of metacarpophalangeal joint extension. A rehabilitation regimen consisting of early combined passive flexion exercises and active motion was employed. In 2011, 62 patients (76 digits) with a mean age of 34 years (range 14–58) were rehabilitated using the forearm-based splint (group A). In 2012, 40 patients (45 digits) with a mean age of 31 years (range 15–71) were rehabilitated using the Manchester short splint (group B). Results: Group B had significantly less flexion contracture at their proximal interphalangeal joints than group A at 6 weeks (median 15° versus 28°; p=0.003) and 12 weeks (median 6° versus 18°; p=0.024) postoperatively. At the final review, group B had a significantly greater arc of flexion at their distal interphalangeal joints (median 59° versus 30°; p&lt;0.001) and a greater proportion of patients with excellent/good Strickland’s grades. There were three (3.9%) ruptures in group A and two (4.4%) ruptures in group B (p&gt;0.999). Conclusion: The use of a shorter splint would appear to enhance the outcomes whilst preserving repair integrity.","author":[{"dropping-particle":"","family":"Peck","given":"F. H.","non-dropping-particle":"","parse-names":false,"suffix":""},{"dropping-particle":"","family":"Roe","given":"A. E.","non-dropping-particle":"","parse-names":false,"suffix":""},{"dropping-particle":"","family":"Ng","given":"C. Y.","non-dropping-particle":"","parse-names":false,"suffix":""},{"dropping-particle":"","family":"Duff","given":"C.","non-dropping-particle":"","parse-names":false,"suffix":""},{"dropping-particle":"","family":"McGrouther","given":"D. A.","non-dropping-particle":"","parse-names":false,"suffix":""},{"dropping-particle":"","family":"Lees","given":"V. C.","non-dropping-particle":"","parse-names":false,"suffix":""}],"container-title":"Hand Therapy","id":"ITEM-1","issue":"2","issued":{"date-parts":[["2014"]]},"page":"47-53","title":"The Manchester short splint: A change to splinting practice in the rehabilitation of zone II flexor tendon repairs","type":"article-journal","volume":"19"},"uris":["http://www.mendeley.com/documents/?uuid=1569637a-93e3-42dc-b7a3-4ce4e7c7ac9c"]},{"id":"ITEM-2","itemData":{"DOI":"10.1097/GOX.0000000000001134","ISBN":"0000000000","ISSN":"21697574","author":[{"dropping-particle":"","family":"Higgins","given":"Amanda","non-dropping-particle":"","parse-names":false,"suffix":""},{"dropping-particle":"","family":"Lalonde","given":"Donald H.","non-dropping-particle":"","parse-names":false,"suffix":""}],"container-title":"Plastic and Reconstructive Surgery - Global Open","id":"ITEM-2","issue":"11","issued":{"date-parts":[["2016"]]},"page":"1-3","title":"Flexor tendon repair postoperative rehabilitation: The Saint John protocol","type":"article-journal","volume":"4"},"uris":["http://www.mendeley.com/documents/?uuid=cc89686b-b513-4638-9006-4e9bb0333a6e"]}],"mendeley":{"formattedCitation":"(17,18)","plainTextFormattedCitation":"(17,18)","previouslyFormattedCitation":"(17,18)"},"properties":{"noteIndex":0},"schema":"https://github.com/citation-style-language/schema/raw/master/csl-citation.json"}</w:instrText>
      </w:r>
      <w:r w:rsidR="00E334B8" w:rsidRPr="00703655">
        <w:rPr>
          <w:rFonts w:ascii="Calibri" w:eastAsia="Calibri" w:hAnsi="Calibri" w:cs="Calibri"/>
        </w:rPr>
        <w:fldChar w:fldCharType="separate"/>
      </w:r>
      <w:r w:rsidR="002D5ADE" w:rsidRPr="002D5ADE">
        <w:rPr>
          <w:rFonts w:ascii="Calibri" w:eastAsia="Calibri" w:hAnsi="Calibri" w:cs="Calibri"/>
          <w:noProof/>
        </w:rPr>
        <w:t>(17,18)</w:t>
      </w:r>
      <w:r w:rsidR="00E334B8" w:rsidRPr="00703655">
        <w:rPr>
          <w:rFonts w:ascii="Calibri" w:eastAsia="Calibri" w:hAnsi="Calibri" w:cs="Calibri"/>
        </w:rPr>
        <w:fldChar w:fldCharType="end"/>
      </w:r>
      <w:r w:rsidR="00170046" w:rsidRPr="00703655">
        <w:rPr>
          <w:rFonts w:ascii="Calibri" w:eastAsia="Calibri" w:hAnsi="Calibri" w:cs="Calibri"/>
        </w:rPr>
        <w:t xml:space="preserve">. </w:t>
      </w:r>
      <w:r w:rsidR="00991709" w:rsidRPr="00703655">
        <w:rPr>
          <w:rFonts w:ascii="Calibri" w:eastAsia="Calibri" w:hAnsi="Calibri" w:cs="Calibri"/>
        </w:rPr>
        <w:t xml:space="preserve">Preventing the development of </w:t>
      </w:r>
      <w:r w:rsidR="00170046" w:rsidRPr="00703655">
        <w:rPr>
          <w:rFonts w:ascii="Calibri" w:eastAsia="Calibri" w:hAnsi="Calibri" w:cs="Calibri"/>
        </w:rPr>
        <w:t xml:space="preserve">IP joint </w:t>
      </w:r>
      <w:r w:rsidR="00991709" w:rsidRPr="00703655">
        <w:rPr>
          <w:rFonts w:ascii="Calibri" w:eastAsia="Calibri" w:hAnsi="Calibri" w:cs="Calibri"/>
        </w:rPr>
        <w:t xml:space="preserve">fixed flexion deformities is an important </w:t>
      </w:r>
      <w:r w:rsidR="009065F8" w:rsidRPr="00703655">
        <w:rPr>
          <w:rFonts w:ascii="Calibri" w:eastAsia="Calibri" w:hAnsi="Calibri" w:cs="Calibri"/>
        </w:rPr>
        <w:t>element</w:t>
      </w:r>
      <w:r w:rsidR="00991709" w:rsidRPr="00703655">
        <w:rPr>
          <w:rFonts w:ascii="Calibri" w:eastAsia="Calibri" w:hAnsi="Calibri" w:cs="Calibri"/>
        </w:rPr>
        <w:t xml:space="preserve"> of rehabilitation after flexor tendon repair</w:t>
      </w:r>
      <w:r w:rsidR="0048127E" w:rsidRPr="00703655">
        <w:rPr>
          <w:rFonts w:ascii="Calibri" w:eastAsia="Calibri" w:hAnsi="Calibri" w:cs="Calibri"/>
        </w:rPr>
        <w:t xml:space="preserve">. Anecdotally this is a </w:t>
      </w:r>
      <w:r w:rsidR="00703655" w:rsidRPr="00703655">
        <w:rPr>
          <w:rFonts w:ascii="Calibri" w:eastAsia="Calibri" w:hAnsi="Calibri" w:cs="Calibri"/>
        </w:rPr>
        <w:t xml:space="preserve">frequent </w:t>
      </w:r>
      <w:r w:rsidR="0048127E" w:rsidRPr="00703655">
        <w:rPr>
          <w:rFonts w:ascii="Calibri" w:eastAsia="Calibri" w:hAnsi="Calibri" w:cs="Calibri"/>
        </w:rPr>
        <w:t>issue following zone I</w:t>
      </w:r>
      <w:r w:rsidR="00A65114">
        <w:rPr>
          <w:rFonts w:ascii="Calibri" w:eastAsia="Calibri" w:hAnsi="Calibri" w:cs="Calibri"/>
        </w:rPr>
        <w:t xml:space="preserve"> and </w:t>
      </w:r>
      <w:r w:rsidR="0048127E" w:rsidRPr="00703655">
        <w:rPr>
          <w:rFonts w:ascii="Calibri" w:eastAsia="Calibri" w:hAnsi="Calibri" w:cs="Calibri"/>
        </w:rPr>
        <w:t xml:space="preserve">II repairs, but it is difficult to assess the true incidence because range of movement outcomes </w:t>
      </w:r>
      <w:r w:rsidR="00A65114">
        <w:rPr>
          <w:rFonts w:ascii="Calibri" w:eastAsia="Calibri" w:hAnsi="Calibri" w:cs="Calibri"/>
        </w:rPr>
        <w:t>are</w:t>
      </w:r>
      <w:r w:rsidR="0048127E" w:rsidRPr="00703655">
        <w:rPr>
          <w:rFonts w:ascii="Calibri" w:eastAsia="Calibri" w:hAnsi="Calibri" w:cs="Calibri"/>
        </w:rPr>
        <w:t xml:space="preserve"> typically</w:t>
      </w:r>
      <w:r w:rsidR="003770A3" w:rsidRPr="00703655">
        <w:rPr>
          <w:rFonts w:ascii="Calibri" w:eastAsia="Calibri" w:hAnsi="Calibri" w:cs="Calibri"/>
        </w:rPr>
        <w:t xml:space="preserve"> </w:t>
      </w:r>
      <w:r w:rsidR="0048127E" w:rsidRPr="00703655">
        <w:rPr>
          <w:rFonts w:ascii="Calibri" w:eastAsia="Calibri" w:hAnsi="Calibri" w:cs="Calibri"/>
        </w:rPr>
        <w:t>reported as a composite measure</w:t>
      </w:r>
      <w:r w:rsidR="00170046" w:rsidRPr="00703655">
        <w:rPr>
          <w:rFonts w:ascii="Calibri" w:eastAsia="Calibri" w:hAnsi="Calibri" w:cs="Calibri"/>
        </w:rPr>
        <w:t>,</w:t>
      </w:r>
      <w:r w:rsidR="00822845" w:rsidRPr="00703655">
        <w:rPr>
          <w:rFonts w:ascii="Calibri" w:eastAsia="Calibri" w:hAnsi="Calibri" w:cs="Calibri"/>
        </w:rPr>
        <w:t xml:space="preserve"> such as the Strickland </w:t>
      </w:r>
      <w:r w:rsidR="00E97D5C">
        <w:rPr>
          <w:rFonts w:ascii="Calibri" w:eastAsia="Calibri" w:hAnsi="Calibri" w:cs="Calibri"/>
        </w:rPr>
        <w:t xml:space="preserve">and </w:t>
      </w:r>
      <w:proofErr w:type="spellStart"/>
      <w:r w:rsidR="00E97D5C">
        <w:rPr>
          <w:rFonts w:ascii="Calibri" w:eastAsia="Calibri" w:hAnsi="Calibri" w:cs="Calibri"/>
        </w:rPr>
        <w:t>Glogovac</w:t>
      </w:r>
      <w:proofErr w:type="spellEnd"/>
      <w:r w:rsidR="00E97D5C">
        <w:rPr>
          <w:rFonts w:ascii="Calibri" w:eastAsia="Calibri" w:hAnsi="Calibri" w:cs="Calibri"/>
        </w:rPr>
        <w:t xml:space="preserve"> </w:t>
      </w:r>
      <w:r w:rsidR="00822845" w:rsidRPr="00703655">
        <w:rPr>
          <w:rFonts w:ascii="Calibri" w:eastAsia="Calibri" w:hAnsi="Calibri" w:cs="Calibri"/>
        </w:rPr>
        <w:t xml:space="preserve">classification </w:t>
      </w:r>
      <w:r w:rsidR="003770A3" w:rsidRPr="00703655">
        <w:rPr>
          <w:rFonts w:ascii="Calibri" w:eastAsia="Calibri" w:hAnsi="Calibri" w:cs="Calibri"/>
        </w:rPr>
        <w:fldChar w:fldCharType="begin" w:fldLock="1"/>
      </w:r>
      <w:r w:rsidR="002E1436">
        <w:rPr>
          <w:rFonts w:ascii="Calibri" w:eastAsia="Calibri" w:hAnsi="Calibri" w:cs="Calibri"/>
        </w:rPr>
        <w:instrText>ADDIN CSL_CITATION {"citationItems":[{"id":"ITEM-1","itemData":{"DOI":"10.1002/14651858.CD012479.pub2","ISSN":"14651858","PMID":"33434949","abstract":"Background: Various rehabilitation treatments may be offered following surgery for flexor tendon injuries of the hand. Rehabilitation often includes a combination of an exercise regimen and an orthosis, plus other rehabilitation treatments, usually delivered together. The effectiveness of these interventions remains unclear. Objectives: To assess the effects (benefits and harms) of different rehabilitation interventions after surgery for flexor tendon injuries of the hand. Search methods: We searched the Cochrane Central Register of Controlled Trials, the Cochrane Bone, Joint and Muscle Trauma Group Specialised Register, MEDLINE, Embase, two additional databases and two international trials registries, unrestricted by language. The last date of searches was 11 August 2020. We checked the reference lists of included studies and relevant systematic reviews. Selection criteria: We included randomised controlled trials (RCTs) and quasi-RCTs that compared any postoperative rehabilitation intervention with no intervention, control, placebo, or another postoperative rehabilitation intervention in individuals who have had surgery for flexor tendon injuries of the hand. Trials comparing different mobilisation regimens either with another mobilisation regimen or with a control were the main comparisons of interest. Our main outcomes of interest were patient-reported function, active range of motion of the fingers, and number of participants experiencing an adverse event. Data collection and analysis: Two review authors independently selected trials for inclusion, extracted data, assessed risk of bias and assessed the quality of the body of evidence for primary outcomes using the GRADE approach, according to standard Cochrane methodology. Main results: We included 16 RCTs and one quasi-RCT, with a total of 1108 participants, mainly adults. Overall, the participants were aged between 7 and 72 years, and 74% were male. Studies mainly focused on flexor tendon injuries in zone II. The 17 studies were heterogeneous with respect to the types of rehabilitation treatments provided, intensity, duration of treatment and the treatment setting. Each trial tested one of 14 comparisons, eight of which were of different exercise regimens. The other trials examined the timing of return to unrestricted functional activities after surgery (one study); the use of external devices applied to the participant to facilitate mobilisation, such as an exoskeleton (one study) or continuous …","author":[{"dropping-particle":"","family":"Peters","given":"Susan E.","non-dropping-particle":"","parse-names":false,"suffix":""},{"dropping-particle":"","family":"Jha","given":"Bhavana","non-dropping-particle":"","parse-names":false,"suffix":""},{"dropping-particle":"","family":"Ross","given":"Mark","non-dropping-particle":"","parse-names":false,"suffix":""}],"container-title":"Cochrane Database of Systematic Reviews","id":"ITEM-1","issued":{"date-parts":[["2021"]]},"page":"CD012479","title":"Rehabilitation following surgery for flexor tendon injuries of the hand","type":"article-journal","volume":"1"},"uris":["http://www.mendeley.com/documents/?uuid=b15d80aa-aebd-45b3-9684-378ee0241ae7"]},{"id":"ITEM-2","itemData":{"DOI":"10.1016/S0363-5023(80)80101-8","ISSN":"03635023","PMID":"7430595","abstract":"The performance of 50 consecutive digits in 37 patients was analyzed following flexor tendon repair in Zone 11. Twenty-five digits were managed by 3 1/2 weeks of immobilization followed by a program of gradually increased motion; 25 other digits by intermittent passive motion initiated within the first 5 days with active flexion commenced at 4 1/2 weeks. Results were graded according to the percentage of return of motion at the proximal and distal interphalangeal joints. There were four ruptures in the immobilization group with no excellent results, 12% being rated good, 28%fair, and 11% poor. In the digits managed by early mobilization there were 36% excellent, 20% good, 16% fair, 24% poor; there was one rupture in this group. Early passive motion appeared to be an effective technique to improve the results of flexor tendon repairs in this area. © 1980, American Society for Surgery of the Hand. All rights reserved.","author":[{"dropping-particle":"","family":"Strickland","given":"James W.","non-dropping-particle":"","parse-names":false,"suffix":""},{"dropping-particle":"","family":"Glogovac","given":"S. Vic","non-dropping-particle":"","parse-names":false,"suffix":""}],"container-title":"Journal of Hand Surgery","id":"ITEM-2","issue":"6","issued":{"date-parts":[["1980"]]},"page":"537-543","publisher":"American Society for Surgery of the Hand","title":"Digital function following flexor tendon repair in Zone II: A comparison of immobilization and controlled passive motion techniques","type":"article-journal","volume":"5"},"uris":["http://www.mendeley.com/documents/?uuid=5c1d69f7-0aec-4e0e-ac59-0bf7da35a9a2"]}],"mendeley":{"formattedCitation":"(11,19)","plainTextFormattedCitation":"(11,19)","previouslyFormattedCitation":"(11,19)"},"properties":{"noteIndex":0},"schema":"https://github.com/citation-style-language/schema/raw/master/csl-citation.json"}</w:instrText>
      </w:r>
      <w:r w:rsidR="003770A3" w:rsidRPr="00703655">
        <w:rPr>
          <w:rFonts w:ascii="Calibri" w:eastAsia="Calibri" w:hAnsi="Calibri" w:cs="Calibri"/>
        </w:rPr>
        <w:fldChar w:fldCharType="separate"/>
      </w:r>
      <w:r w:rsidR="002D5ADE" w:rsidRPr="002D5ADE">
        <w:rPr>
          <w:rFonts w:ascii="Calibri" w:eastAsia="Calibri" w:hAnsi="Calibri" w:cs="Calibri"/>
          <w:noProof/>
        </w:rPr>
        <w:t>(11,19)</w:t>
      </w:r>
      <w:r w:rsidR="003770A3" w:rsidRPr="00703655">
        <w:rPr>
          <w:rFonts w:ascii="Calibri" w:eastAsia="Calibri" w:hAnsi="Calibri" w:cs="Calibri"/>
        </w:rPr>
        <w:fldChar w:fldCharType="end"/>
      </w:r>
      <w:r w:rsidR="003770A3" w:rsidRPr="00703655">
        <w:rPr>
          <w:rFonts w:ascii="Calibri" w:eastAsia="Calibri" w:hAnsi="Calibri" w:cs="Calibri"/>
        </w:rPr>
        <w:t>.</w:t>
      </w:r>
      <w:r w:rsidR="00B31BBA" w:rsidRPr="00703655">
        <w:rPr>
          <w:rFonts w:ascii="Calibri" w:eastAsia="Calibri" w:hAnsi="Calibri" w:cs="Calibri"/>
        </w:rPr>
        <w:t xml:space="preserve"> </w:t>
      </w:r>
    </w:p>
    <w:p w14:paraId="5E716419" w14:textId="702C2110" w:rsidR="00007206" w:rsidRDefault="00007206" w:rsidP="00950475">
      <w:pPr>
        <w:spacing w:line="480" w:lineRule="auto"/>
        <w:rPr>
          <w:rFonts w:ascii="Calibri" w:eastAsia="Calibri" w:hAnsi="Calibri" w:cs="Calibri"/>
          <w:color w:val="00B050"/>
        </w:rPr>
      </w:pPr>
    </w:p>
    <w:p w14:paraId="67FD5A65" w14:textId="1FFC0041" w:rsidR="00846868" w:rsidRPr="00B20FF5" w:rsidRDefault="00795BFC" w:rsidP="00B20FF5">
      <w:pPr>
        <w:pStyle w:val="Heading3"/>
        <w:spacing w:line="480" w:lineRule="auto"/>
        <w:rPr>
          <w:rFonts w:ascii="Calibri Light" w:hAnsi="Calibri Light" w:cs="Calibri Light"/>
          <w:b w:val="0"/>
          <w:bCs/>
          <w:color w:val="244061" w:themeColor="accent1" w:themeShade="80"/>
          <w:sz w:val="24"/>
          <w:szCs w:val="24"/>
        </w:rPr>
      </w:pPr>
      <w:r w:rsidRPr="00B20FF5">
        <w:rPr>
          <w:rFonts w:ascii="Calibri Light" w:hAnsi="Calibri Light" w:cs="Calibri Light"/>
          <w:b w:val="0"/>
          <w:bCs/>
          <w:color w:val="244061" w:themeColor="accent1" w:themeShade="80"/>
          <w:sz w:val="24"/>
          <w:szCs w:val="24"/>
        </w:rPr>
        <w:t>M</w:t>
      </w:r>
      <w:r w:rsidR="004777AA" w:rsidRPr="00B20FF5">
        <w:rPr>
          <w:rFonts w:ascii="Calibri Light" w:hAnsi="Calibri Light" w:cs="Calibri Light"/>
          <w:b w:val="0"/>
          <w:bCs/>
          <w:color w:val="244061" w:themeColor="accent1" w:themeShade="80"/>
          <w:sz w:val="24"/>
          <w:szCs w:val="24"/>
        </w:rPr>
        <w:t xml:space="preserve">etacarpophalangeal joint </w:t>
      </w:r>
      <w:r w:rsidR="00EC0699">
        <w:rPr>
          <w:rFonts w:ascii="Calibri Light" w:hAnsi="Calibri Light" w:cs="Calibri Light"/>
          <w:b w:val="0"/>
          <w:bCs/>
          <w:color w:val="244061" w:themeColor="accent1" w:themeShade="80"/>
          <w:sz w:val="24"/>
          <w:szCs w:val="24"/>
        </w:rPr>
        <w:t>differential</w:t>
      </w:r>
      <w:r w:rsidRPr="00B20FF5">
        <w:rPr>
          <w:rFonts w:ascii="Calibri Light" w:hAnsi="Calibri Light" w:cs="Calibri Light"/>
          <w:b w:val="0"/>
          <w:bCs/>
          <w:color w:val="244061" w:themeColor="accent1" w:themeShade="80"/>
          <w:sz w:val="24"/>
          <w:szCs w:val="24"/>
        </w:rPr>
        <w:t xml:space="preserve"> </w:t>
      </w:r>
      <w:r w:rsidR="004777AA" w:rsidRPr="00B20FF5">
        <w:rPr>
          <w:rFonts w:ascii="Calibri Light" w:hAnsi="Calibri Light" w:cs="Calibri Light"/>
          <w:b w:val="0"/>
          <w:bCs/>
          <w:color w:val="244061" w:themeColor="accent1" w:themeShade="80"/>
          <w:sz w:val="24"/>
          <w:szCs w:val="24"/>
        </w:rPr>
        <w:t>flexion</w:t>
      </w:r>
    </w:p>
    <w:p w14:paraId="60DBF7E3" w14:textId="2DA73BA1" w:rsidR="006032CE" w:rsidRPr="00EA6ADE" w:rsidRDefault="00A557F2" w:rsidP="00950475">
      <w:pPr>
        <w:spacing w:line="480" w:lineRule="auto"/>
        <w:rPr>
          <w:rFonts w:ascii="Calibri" w:eastAsia="Calibri" w:hAnsi="Calibri" w:cs="Calibri"/>
        </w:rPr>
      </w:pPr>
      <w:r w:rsidRPr="00D331DC">
        <w:rPr>
          <w:rFonts w:ascii="Calibri" w:eastAsia="Calibri" w:hAnsi="Calibri" w:cs="Calibri"/>
        </w:rPr>
        <w:t>A critical question is</w:t>
      </w:r>
      <w:r w:rsidR="0099043B">
        <w:rPr>
          <w:rFonts w:ascii="Calibri" w:eastAsia="Calibri" w:hAnsi="Calibri" w:cs="Calibri"/>
        </w:rPr>
        <w:t xml:space="preserve"> how much</w:t>
      </w:r>
      <w:r w:rsidR="00EC0699">
        <w:rPr>
          <w:rFonts w:ascii="Calibri" w:eastAsia="Calibri" w:hAnsi="Calibri" w:cs="Calibri"/>
        </w:rPr>
        <w:t xml:space="preserve"> </w:t>
      </w:r>
      <w:proofErr w:type="spellStart"/>
      <w:r w:rsidR="00EC0699">
        <w:rPr>
          <w:rFonts w:ascii="Calibri" w:eastAsia="Calibri" w:hAnsi="Calibri" w:cs="Calibri"/>
        </w:rPr>
        <w:t>MCP</w:t>
      </w:r>
      <w:proofErr w:type="spellEnd"/>
      <w:r w:rsidR="00EC0699">
        <w:rPr>
          <w:rFonts w:ascii="Calibri" w:eastAsia="Calibri" w:hAnsi="Calibri" w:cs="Calibri"/>
        </w:rPr>
        <w:t xml:space="preserve"> joint flexion differential</w:t>
      </w:r>
      <w:r w:rsidR="0099043B">
        <w:rPr>
          <w:rFonts w:ascii="Calibri" w:eastAsia="Calibri" w:hAnsi="Calibri" w:cs="Calibri"/>
        </w:rPr>
        <w:t xml:space="preserve"> is</w:t>
      </w:r>
      <w:r w:rsidRPr="00D331DC">
        <w:rPr>
          <w:rFonts w:ascii="Calibri" w:eastAsia="Calibri" w:hAnsi="Calibri" w:cs="Calibri"/>
        </w:rPr>
        <w:t xml:space="preserve"> required to protect the repaired tendon? With too little flexion, </w:t>
      </w:r>
      <w:r w:rsidR="006D35F2">
        <w:rPr>
          <w:rFonts w:ascii="Calibri" w:eastAsia="Calibri" w:hAnsi="Calibri" w:cs="Calibri"/>
        </w:rPr>
        <w:t xml:space="preserve">relative to the unaffected digits, </w:t>
      </w:r>
      <w:r w:rsidRPr="00D331DC">
        <w:rPr>
          <w:rFonts w:ascii="Calibri" w:eastAsia="Calibri" w:hAnsi="Calibri" w:cs="Calibri"/>
        </w:rPr>
        <w:t xml:space="preserve">there may be the risk of excessive tension through the repair leading to rupture. Conversely, too much flexion </w:t>
      </w:r>
      <w:r w:rsidR="006D35F2">
        <w:rPr>
          <w:rFonts w:ascii="Calibri" w:eastAsia="Calibri" w:hAnsi="Calibri" w:cs="Calibri"/>
        </w:rPr>
        <w:t xml:space="preserve">relative to the unaffected digits </w:t>
      </w:r>
      <w:r w:rsidRPr="00D331DC">
        <w:rPr>
          <w:rFonts w:ascii="Calibri" w:eastAsia="Calibri" w:hAnsi="Calibri" w:cs="Calibri"/>
        </w:rPr>
        <w:t xml:space="preserve">may prohibit active movement and tendon gliding. </w:t>
      </w:r>
      <w:r w:rsidRPr="00601E8A">
        <w:rPr>
          <w:rFonts w:ascii="Calibri" w:eastAsia="Calibri" w:hAnsi="Calibri" w:cs="Calibri"/>
        </w:rPr>
        <w:t xml:space="preserve">To </w:t>
      </w:r>
      <w:r w:rsidR="000A55F5" w:rsidRPr="00601E8A">
        <w:rPr>
          <w:rFonts w:ascii="Calibri" w:eastAsia="Calibri" w:hAnsi="Calibri" w:cs="Calibri"/>
        </w:rPr>
        <w:t>date</w:t>
      </w:r>
      <w:r w:rsidRPr="00601E8A">
        <w:rPr>
          <w:rFonts w:ascii="Calibri" w:eastAsia="Calibri" w:hAnsi="Calibri" w:cs="Calibri"/>
        </w:rPr>
        <w:t xml:space="preserve">, only </w:t>
      </w:r>
      <w:r w:rsidR="00703655" w:rsidRPr="00601E8A">
        <w:rPr>
          <w:rFonts w:ascii="Calibri" w:eastAsia="Calibri" w:hAnsi="Calibri" w:cs="Calibri"/>
        </w:rPr>
        <w:t>four</w:t>
      </w:r>
      <w:r w:rsidRPr="00601E8A">
        <w:rPr>
          <w:rFonts w:ascii="Calibri" w:eastAsia="Calibri" w:hAnsi="Calibri" w:cs="Calibri"/>
        </w:rPr>
        <w:t xml:space="preserve"> small studies have published data on the use of </w:t>
      </w:r>
      <w:proofErr w:type="spellStart"/>
      <w:r w:rsidRPr="00601E8A">
        <w:rPr>
          <w:rFonts w:ascii="Calibri" w:eastAsia="Calibri" w:hAnsi="Calibri" w:cs="Calibri"/>
        </w:rPr>
        <w:t>RMF</w:t>
      </w:r>
      <w:proofErr w:type="spellEnd"/>
      <w:r w:rsidRPr="00601E8A">
        <w:rPr>
          <w:rFonts w:ascii="Calibri" w:eastAsia="Calibri" w:hAnsi="Calibri" w:cs="Calibri"/>
        </w:rPr>
        <w:t xml:space="preserve"> </w:t>
      </w:r>
      <w:r w:rsidR="0059337D">
        <w:rPr>
          <w:rFonts w:ascii="Calibri" w:eastAsia="Calibri" w:hAnsi="Calibri" w:cs="Calibri"/>
        </w:rPr>
        <w:t>orthoses</w:t>
      </w:r>
      <w:r w:rsidRPr="00601E8A">
        <w:rPr>
          <w:rFonts w:ascii="Calibri" w:eastAsia="Calibri" w:hAnsi="Calibri" w:cs="Calibri"/>
        </w:rPr>
        <w:t xml:space="preserve"> after flexor tendon repair</w:t>
      </w:r>
      <w:r w:rsidR="001036AA">
        <w:rPr>
          <w:rFonts w:ascii="Calibri" w:eastAsia="Calibri" w:hAnsi="Calibri" w:cs="Calibri"/>
        </w:rPr>
        <w:t>,</w:t>
      </w:r>
      <w:r w:rsidR="00EB336B" w:rsidRPr="00601E8A">
        <w:rPr>
          <w:rFonts w:ascii="Calibri" w:eastAsia="Calibri" w:hAnsi="Calibri" w:cs="Calibri"/>
        </w:rPr>
        <w:t xml:space="preserve"> and</w:t>
      </w:r>
      <w:r w:rsidRPr="00601E8A">
        <w:rPr>
          <w:rFonts w:ascii="Calibri" w:eastAsia="Calibri" w:hAnsi="Calibri" w:cs="Calibri"/>
        </w:rPr>
        <w:t xml:space="preserve"> </w:t>
      </w:r>
      <w:proofErr w:type="spellStart"/>
      <w:r w:rsidR="006032CE" w:rsidRPr="00601E8A">
        <w:rPr>
          <w:rFonts w:ascii="Calibri" w:eastAsia="Calibri" w:hAnsi="Calibri" w:cs="Calibri"/>
        </w:rPr>
        <w:t>MCP</w:t>
      </w:r>
      <w:proofErr w:type="spellEnd"/>
      <w:r w:rsidR="006032CE" w:rsidRPr="00601E8A">
        <w:rPr>
          <w:rFonts w:ascii="Calibri" w:eastAsia="Calibri" w:hAnsi="Calibri" w:cs="Calibri"/>
        </w:rPr>
        <w:t xml:space="preserve"> </w:t>
      </w:r>
      <w:r w:rsidR="00EC0699">
        <w:rPr>
          <w:rFonts w:ascii="Calibri" w:eastAsia="Calibri" w:hAnsi="Calibri" w:cs="Calibri"/>
        </w:rPr>
        <w:t>joint differential</w:t>
      </w:r>
      <w:r w:rsidR="006032CE" w:rsidRPr="00601E8A">
        <w:rPr>
          <w:rFonts w:ascii="Calibri" w:eastAsia="Calibri" w:hAnsi="Calibri" w:cs="Calibri"/>
        </w:rPr>
        <w:t xml:space="preserve"> flexion </w:t>
      </w:r>
      <w:r w:rsidR="00EB336B" w:rsidRPr="00601E8A">
        <w:rPr>
          <w:rFonts w:ascii="Calibri" w:eastAsia="Calibri" w:hAnsi="Calibri" w:cs="Calibri"/>
        </w:rPr>
        <w:t>ranged from 1</w:t>
      </w:r>
      <w:r w:rsidR="00A36DB6">
        <w:rPr>
          <w:rFonts w:ascii="Calibri" w:eastAsia="Calibri" w:hAnsi="Calibri" w:cs="Calibri"/>
        </w:rPr>
        <w:t>5-</w:t>
      </w:r>
      <w:r w:rsidR="006032CE" w:rsidRPr="00601E8A">
        <w:rPr>
          <w:rFonts w:ascii="Calibri" w:eastAsia="Calibri" w:hAnsi="Calibri" w:cs="Calibri"/>
        </w:rPr>
        <w:t>40</w:t>
      </w:r>
      <w:r w:rsidR="006032CE" w:rsidRPr="00601E8A">
        <w:rPr>
          <w:rFonts w:ascii="Abadi" w:eastAsia="Calibri" w:hAnsi="Abadi" w:cs="Calibri"/>
        </w:rPr>
        <w:t>°</w:t>
      </w:r>
      <w:r w:rsidR="00EC0699">
        <w:rPr>
          <w:rFonts w:ascii="Abadi" w:eastAsia="Calibri" w:hAnsi="Abadi" w:cs="Calibri"/>
        </w:rPr>
        <w:t xml:space="preserve"> </w:t>
      </w:r>
      <w:r w:rsidR="00EC0699" w:rsidRPr="00CE562B">
        <w:rPr>
          <w:rFonts w:asciiTheme="majorHAnsi" w:eastAsia="Calibri" w:hAnsiTheme="majorHAnsi" w:cstheme="majorHAnsi"/>
        </w:rPr>
        <w:fldChar w:fldCharType="begin" w:fldLock="1"/>
      </w:r>
      <w:r w:rsidR="0043414D">
        <w:rPr>
          <w:rFonts w:asciiTheme="majorHAnsi" w:eastAsia="Calibri" w:hAnsiTheme="majorHAnsi" w:cstheme="majorHAnsi"/>
        </w:rPr>
        <w:instrText>ADDIN CSL_CITATION {"citationItems":[{"id":"ITEM-1","itemData":{"DOI":"10.1177/1558944717732063","ISSN":"15589455","PMID":"28975818","abstract":"Background: The principle of relative motion has allowed patients to regain a higher degree of hand function, while protecting extensor tendon repairs. The purpose of this study was to determine whether the principle of relative motion could be a viable method to protect a flexor tendon repair. Methods: Four fresh-frozen cadaver arms were each mounted on a testing apparatus (wrist in 30° of extension, metacarpophalangeal [MCP] joints blocked to 70°-80°). A minimum of 11 N was used to cyclically load the flexor digitorum profundus and extensor digitorum communis tendons to maximum allowable flexion and extension for 25 cycles. Measurements of elongation of the tendons were obtained through the use of differential variable reluctance transducers. Testing was performed in both intact and repaired (single 6-0 nylon suture) middle finger tendons (zone 3) with and without a relative motion flexion splint (RMFS), which placed the affected finger in 15° to 25° of relative flexion at the MCP joint. Results: In all 4 hands, elongation was restricted to less than 1.3 mm in repaired tendon in the RMFS compared with elongation &gt;2 mm in the nonsplinted condition. Average elongation was 0.86 mm (SD = 0.45). Visual examination of the tendons demonstrated no gapping with the use of the RMFS in any of the hands. All repairs had suture breakage and repair rupture without the RMFS. Conclusions: This study demonstrates that the RMFS decreases elongation and eliminates tendon-repair gapping after flexion/extension cycling in a cadaver model. It provides proof of concept that the RMFS may be a viable protective mechanism for flexor tendon repairs in zone 3.","author":[{"dropping-particle":"","family":"Chung","given":"Bryan","non-dropping-particle":"","parse-names":false,"suffix":""},{"dropping-particle":"","family":"Chiu","given":"David T.W.","non-dropping-particle":"","parse-names":false,"suffix":""},{"dropping-particle":"","family":"Thanik","given":"Vishal","non-dropping-particle":"","parse-names":false,"suffix":""}],"container-title":"Hand","id":"ITEM-1","issue":"2","issued":{"date-parts":[["2019"]]},"page":"193-196","title":"Relative Motion Flexion Splinting for Flexor Tendon Lacerations: Proof of Concept","type":"article-journal","volume":"14"},"uris":["http://www.mendeley.com/documents/?uuid=a7357478-07a4-4734-b363-8ab9339c7629"]},{"id":"ITEM-2","itemData":{"DOI":"10.1016/j.jht.2019.05.002","ISSN":"0894-1130","author":[{"dropping-particle":"","family":"Henry","given":"Steven L","non-dropping-particle":"","parse-names":false,"suffix":""},{"dropping-particle":"","family":"Howell","given":"Julianne W","non-dropping-particle":"","parse-names":false,"suffix":""}],"container-title":"Journal of Hand Therapy","id":"ITEM-2","issue":"3","issued":{"date-parts":[["2020"]]},"page":"296-304","publisher":"Elsevier Inc","title":"Use of a relative motion flexion orthosis for postoperative management of zone I/II flexor digitorum profundus repair: A retrospective consecutive case series","type":"article-journal","volume":"33"},"uris":["http://www.mendeley.com/documents/?uuid=8cf4242d-792a-4604-a722-3df7e36780c9"]},{"id":"ITEM-3","itemData":{"DOI":"10.1177/17589983221089654","ISSN":"1758-9983","author":[{"dropping-particle":"","family":"Newington","given":"Lisa","non-dropping-particle":"","parse-names":false,"suffix":""},{"dropping-particle":"","family":"Lane","given":"Jennifer CE","non-dropping-particle":"","parse-names":false,"suffix":""},{"dropping-particle":"","family":"Holmes","given":"David GW","non-dropping-particle":"","parse-names":false,"suffix":""},{"dropping-particle":"","family":"Gardiner","given":"Matthew D","non-dropping-particle":"","parse-names":false,"suffix":""}],"container-title":"Hand Therapy","id":"ITEM-3","issue":"2","issued":{"date-parts":[["2022"]]},"page":"49-57","title":"Variation in patient information and rehabilitation regimens after flexor tendon repair in the United Kingdom","type":"article-journal","volume":"27"},"uris":["http://www.mendeley.com/documents/?uuid=b9b7ccd9-6e63-4996-a1c9-267b01ae6bd6"]},{"id":"ITEM-4","itemData":{"DOI":"10.1080/09593985.2022.2073574","author":[{"dropping-particle":"","family":"Öksüz","given":"Çiğdem","non-dropping-particle":"","parse-names":false,"suffix":""},{"dropping-particle":"","family":"Arslan","given":"Özge Buket","non-dropping-particle":"","parse-names":false,"suffix":""},{"dropping-particle":"","family":"Baş","given":"Can Emre","non-dropping-particle":"","parse-names":false,"suffix":""},{"dropping-particle":"","family":"Ayhan","given":"Egemen","non-dropping-particle":"","parse-names":false,"suffix":""}],"container-title":"Physiotherapy Theory and Practice","id":"ITEM-4","issued":{"date-parts":[["2022"]]},"page":"DOI:10.1080/09593985.2022.2073574","publisher":"Taylor &amp; Francis","title":"Early active movement with relative motion flexion splint for the management of zone 1-2 flexor tendon repairs: Case series","type":"article-journal","volume":"Online"},"uris":["http://www.mendeley.com/documents/?uuid=43f249d0-02d1-47b4-8e03-3521fb1925c0"]}],"mendeley":{"formattedCitation":"(8,10,14,20)","plainTextFormattedCitation":"(8,10,14,20)","previouslyFormattedCitation":"(8,10,14,20)"},"properties":{"noteIndex":0},"schema":"https://github.com/citation-style-language/schema/raw/master/csl-citation.json"}</w:instrText>
      </w:r>
      <w:r w:rsidR="00EC0699" w:rsidRPr="00CE562B">
        <w:rPr>
          <w:rFonts w:asciiTheme="majorHAnsi" w:eastAsia="Calibri" w:hAnsiTheme="majorHAnsi" w:cstheme="majorHAnsi"/>
        </w:rPr>
        <w:fldChar w:fldCharType="separate"/>
      </w:r>
      <w:r w:rsidR="00553985" w:rsidRPr="00553985">
        <w:rPr>
          <w:rFonts w:asciiTheme="majorHAnsi" w:eastAsia="Calibri" w:hAnsiTheme="majorHAnsi" w:cstheme="majorHAnsi"/>
          <w:noProof/>
        </w:rPr>
        <w:t>(8,10,14,20)</w:t>
      </w:r>
      <w:r w:rsidR="00EC0699" w:rsidRPr="00CE562B">
        <w:rPr>
          <w:rFonts w:asciiTheme="majorHAnsi" w:eastAsia="Calibri" w:hAnsiTheme="majorHAnsi" w:cstheme="majorHAnsi"/>
        </w:rPr>
        <w:fldChar w:fldCharType="end"/>
      </w:r>
      <w:r w:rsidR="00EB336B" w:rsidRPr="00CE562B">
        <w:rPr>
          <w:rFonts w:asciiTheme="majorHAnsi" w:eastAsia="Calibri" w:hAnsiTheme="majorHAnsi" w:cstheme="majorHAnsi"/>
        </w:rPr>
        <w:t>.</w:t>
      </w:r>
    </w:p>
    <w:p w14:paraId="2DEED6CF" w14:textId="77777777" w:rsidR="006032CE" w:rsidRPr="00601E8A" w:rsidRDefault="006032CE" w:rsidP="00950475">
      <w:pPr>
        <w:spacing w:line="480" w:lineRule="auto"/>
        <w:rPr>
          <w:rFonts w:ascii="Calibri" w:eastAsia="Calibri" w:hAnsi="Calibri" w:cs="Calibri"/>
        </w:rPr>
      </w:pPr>
    </w:p>
    <w:p w14:paraId="1DA72D34" w14:textId="7B1973AB" w:rsidR="00D331DC" w:rsidRPr="00601E8A" w:rsidRDefault="00EB336B" w:rsidP="00950475">
      <w:pPr>
        <w:spacing w:line="480" w:lineRule="auto"/>
        <w:rPr>
          <w:rFonts w:ascii="Calibri" w:eastAsia="Calibri" w:hAnsi="Calibri" w:cs="Calibri"/>
        </w:rPr>
      </w:pPr>
      <w:r w:rsidRPr="00601E8A">
        <w:rPr>
          <w:rFonts w:ascii="Calibri" w:eastAsia="Calibri" w:hAnsi="Calibri" w:cs="Calibri"/>
        </w:rPr>
        <w:lastRenderedPageBreak/>
        <w:t xml:space="preserve">A </w:t>
      </w:r>
      <w:r w:rsidR="00A557F2" w:rsidRPr="00601E8A">
        <w:rPr>
          <w:rFonts w:ascii="Calibri" w:eastAsia="Calibri" w:hAnsi="Calibri" w:cs="Calibri"/>
        </w:rPr>
        <w:t>cadaver study by Chung et al</w:t>
      </w:r>
      <w:r w:rsidR="00D331DC" w:rsidRPr="00601E8A">
        <w:rPr>
          <w:rFonts w:ascii="Calibri" w:eastAsia="Calibri" w:hAnsi="Calibri" w:cs="Calibri"/>
        </w:rPr>
        <w:t>.</w:t>
      </w:r>
      <w:r w:rsidR="00A557F2" w:rsidRPr="00601E8A">
        <w:rPr>
          <w:rFonts w:ascii="Calibri" w:eastAsia="Calibri" w:hAnsi="Calibri" w:cs="Calibri"/>
        </w:rPr>
        <w:t xml:space="preserve">, examined zone III repairs </w:t>
      </w:r>
      <w:r w:rsidR="00D331DC" w:rsidRPr="00601E8A">
        <w:rPr>
          <w:rFonts w:ascii="Calibri" w:eastAsia="Calibri" w:hAnsi="Calibri" w:cs="Calibri"/>
        </w:rPr>
        <w:t xml:space="preserve">in </w:t>
      </w:r>
      <w:r w:rsidR="00CB2B85">
        <w:rPr>
          <w:rFonts w:ascii="Calibri" w:eastAsia="Calibri" w:hAnsi="Calibri" w:cs="Calibri"/>
        </w:rPr>
        <w:t>four</w:t>
      </w:r>
      <w:r w:rsidR="00D331DC" w:rsidRPr="00601E8A">
        <w:rPr>
          <w:rFonts w:ascii="Calibri" w:eastAsia="Calibri" w:hAnsi="Calibri" w:cs="Calibri"/>
        </w:rPr>
        <w:t xml:space="preserve"> middle fingers </w:t>
      </w:r>
      <w:r w:rsidR="00A557F2" w:rsidRPr="00601E8A">
        <w:rPr>
          <w:rFonts w:ascii="Calibri" w:eastAsia="Calibri" w:hAnsi="Calibri" w:cs="Calibri"/>
        </w:rPr>
        <w:t>using a</w:t>
      </w:r>
      <w:r w:rsidR="00DF67CD">
        <w:rPr>
          <w:rFonts w:ascii="Calibri" w:eastAsia="Calibri" w:hAnsi="Calibri" w:cs="Calibri"/>
        </w:rPr>
        <w:t>n</w:t>
      </w:r>
      <w:r w:rsidR="00A557F2" w:rsidRPr="00601E8A">
        <w:rPr>
          <w:rFonts w:ascii="Calibri" w:eastAsia="Calibri" w:hAnsi="Calibri" w:cs="Calibri"/>
        </w:rPr>
        <w:t xml:space="preserve"> </w:t>
      </w:r>
      <w:proofErr w:type="spellStart"/>
      <w:r w:rsidR="00A557F2" w:rsidRPr="00601E8A">
        <w:rPr>
          <w:rFonts w:ascii="Calibri" w:eastAsia="Calibri" w:hAnsi="Calibri" w:cs="Calibri"/>
        </w:rPr>
        <w:t>RMF</w:t>
      </w:r>
      <w:proofErr w:type="spellEnd"/>
      <w:r w:rsidR="00A557F2" w:rsidRPr="00601E8A">
        <w:rPr>
          <w:rFonts w:ascii="Calibri" w:eastAsia="Calibri" w:hAnsi="Calibri" w:cs="Calibri"/>
        </w:rPr>
        <w:t xml:space="preserve"> orthosis </w:t>
      </w:r>
      <w:r w:rsidR="00CB2B85">
        <w:rPr>
          <w:rFonts w:ascii="Calibri" w:eastAsia="Calibri" w:hAnsi="Calibri" w:cs="Calibri"/>
        </w:rPr>
        <w:t>with</w:t>
      </w:r>
      <w:r w:rsidR="00A557F2" w:rsidRPr="00601E8A">
        <w:rPr>
          <w:rFonts w:ascii="Calibri" w:eastAsia="Calibri" w:hAnsi="Calibri" w:cs="Calibri"/>
        </w:rPr>
        <w:t xml:space="preserve"> 15-25</w:t>
      </w:r>
      <w:r w:rsidR="00A557F2" w:rsidRPr="00601E8A">
        <w:rPr>
          <w:rFonts w:ascii="Abadi" w:eastAsia="Calibri" w:hAnsi="Abadi" w:cs="Calibri"/>
        </w:rPr>
        <w:t>°</w:t>
      </w:r>
      <w:r w:rsidR="00A557F2" w:rsidRPr="00601E8A">
        <w:rPr>
          <w:rFonts w:ascii="Calibri" w:eastAsia="Calibri" w:hAnsi="Calibri" w:cs="Calibri"/>
        </w:rPr>
        <w:t xml:space="preserve"> </w:t>
      </w:r>
      <w:r w:rsidR="006D35F2">
        <w:rPr>
          <w:rFonts w:ascii="Calibri" w:eastAsia="Calibri" w:hAnsi="Calibri" w:cs="Calibri"/>
        </w:rPr>
        <w:t xml:space="preserve">differential </w:t>
      </w:r>
      <w:r w:rsidR="00A557F2" w:rsidRPr="00601E8A">
        <w:rPr>
          <w:rFonts w:ascii="Calibri" w:eastAsia="Calibri" w:hAnsi="Calibri" w:cs="Calibri"/>
        </w:rPr>
        <w:t xml:space="preserve">flexion </w:t>
      </w:r>
      <w:r w:rsidR="00A557F2" w:rsidRPr="00601E8A">
        <w:rPr>
          <w:rFonts w:ascii="Calibri" w:eastAsia="Calibri" w:hAnsi="Calibri" w:cs="Calibri"/>
        </w:rPr>
        <w:fldChar w:fldCharType="begin" w:fldLock="1"/>
      </w:r>
      <w:r w:rsidR="002E1436">
        <w:rPr>
          <w:rFonts w:ascii="Calibri" w:eastAsia="Calibri" w:hAnsi="Calibri" w:cs="Calibri"/>
        </w:rPr>
        <w:instrText>ADDIN CSL_CITATION {"citationItems":[{"id":"ITEM-1","itemData":{"DOI":"10.1177/1558944717732063","ISSN":"15589455","PMID":"28975818","abstract":"Background: The principle of relative motion has allowed patients to regain a higher degree of hand function, while protecting extensor tendon repairs. The purpose of this study was to determine whether the principle of relative motion could be a viable method to protect a flexor tendon repair. Methods: Four fresh-frozen cadaver arms were each mounted on a testing apparatus (wrist in 30° of extension, metacarpophalangeal [MCP] joints blocked to 70°-80°). A minimum of 11 N was used to cyclically load the flexor digitorum profundus and extensor digitorum communis tendons to maximum allowable flexion and extension for 25 cycles. Measurements of elongation of the tendons were obtained through the use of differential variable reluctance transducers. Testing was performed in both intact and repaired (single 6-0 nylon suture) middle finger tendons (zone 3) with and without a relative motion flexion splint (RMFS), which placed the affected finger in 15° to 25° of relative flexion at the MCP joint. Results: In all 4 hands, elongation was restricted to less than 1.3 mm in repaired tendon in the RMFS compared with elongation &gt;2 mm in the nonsplinted condition. Average elongation was 0.86 mm (SD = 0.45). Visual examination of the tendons demonstrated no gapping with the use of the RMFS in any of the hands. All repairs had suture breakage and repair rupture without the RMFS. Conclusions: This study demonstrates that the RMFS decreases elongation and eliminates tendon-repair gapping after flexion/extension cycling in a cadaver model. It provides proof of concept that the RMFS may be a viable protective mechanism for flexor tendon repairs in zone 3.","author":[{"dropping-particle":"","family":"Chung","given":"Bryan","non-dropping-particle":"","parse-names":false,"suffix":""},{"dropping-particle":"","family":"Chiu","given":"David T.W.","non-dropping-particle":"","parse-names":false,"suffix":""},{"dropping-particle":"","family":"Thanik","given":"Vishal","non-dropping-particle":"","parse-names":false,"suffix":""}],"container-title":"Hand","id":"ITEM-1","issue":"2","issued":{"date-parts":[["2019"]]},"page":"193-196","title":"Relative Motion Flexion Splinting for Flexor Tendon Lacerations: Proof of Concept","type":"article-journal","volume":"14"},"uris":["http://www.mendeley.com/documents/?uuid=a7357478-07a4-4734-b363-8ab9339c7629"]}],"mendeley":{"formattedCitation":"(14)","plainTextFormattedCitation":"(14)","previouslyFormattedCitation":"(14)"},"properties":{"noteIndex":0},"schema":"https://github.com/citation-style-language/schema/raw/master/csl-citation.json"}</w:instrText>
      </w:r>
      <w:r w:rsidR="00A557F2" w:rsidRPr="00601E8A">
        <w:rPr>
          <w:rFonts w:ascii="Calibri" w:eastAsia="Calibri" w:hAnsi="Calibri" w:cs="Calibri"/>
        </w:rPr>
        <w:fldChar w:fldCharType="separate"/>
      </w:r>
      <w:r w:rsidR="002D5ADE" w:rsidRPr="002D5ADE">
        <w:rPr>
          <w:rFonts w:ascii="Calibri" w:eastAsia="Calibri" w:hAnsi="Calibri" w:cs="Calibri"/>
          <w:noProof/>
        </w:rPr>
        <w:t>(14)</w:t>
      </w:r>
      <w:r w:rsidR="00A557F2" w:rsidRPr="00601E8A">
        <w:rPr>
          <w:rFonts w:ascii="Calibri" w:eastAsia="Calibri" w:hAnsi="Calibri" w:cs="Calibri"/>
        </w:rPr>
        <w:fldChar w:fldCharType="end"/>
      </w:r>
      <w:r w:rsidR="00A557F2" w:rsidRPr="00601E8A">
        <w:rPr>
          <w:rFonts w:ascii="Calibri" w:eastAsia="Calibri" w:hAnsi="Calibri" w:cs="Calibri"/>
        </w:rPr>
        <w:t xml:space="preserve">. </w:t>
      </w:r>
      <w:r w:rsidRPr="00601E8A">
        <w:rPr>
          <w:rFonts w:ascii="Calibri" w:eastAsia="Calibri" w:hAnsi="Calibri" w:cs="Calibri"/>
        </w:rPr>
        <w:t>A</w:t>
      </w:r>
      <w:r w:rsidR="00A557F2" w:rsidRPr="00601E8A">
        <w:rPr>
          <w:rFonts w:ascii="Calibri" w:eastAsia="Calibri" w:hAnsi="Calibri" w:cs="Calibri"/>
        </w:rPr>
        <w:t xml:space="preserve"> retrospective case series (n=10), included zone I and II repairs and positioned the </w:t>
      </w:r>
      <w:proofErr w:type="spellStart"/>
      <w:r w:rsidR="00A557F2" w:rsidRPr="00601E8A">
        <w:rPr>
          <w:rFonts w:ascii="Calibri" w:eastAsia="Calibri" w:hAnsi="Calibri" w:cs="Calibri"/>
        </w:rPr>
        <w:t>MCP</w:t>
      </w:r>
      <w:proofErr w:type="spellEnd"/>
      <w:r w:rsidR="00A557F2" w:rsidRPr="00601E8A">
        <w:rPr>
          <w:rFonts w:ascii="Calibri" w:eastAsia="Calibri" w:hAnsi="Calibri" w:cs="Calibri"/>
        </w:rPr>
        <w:t xml:space="preserve"> joint of the affected fingers in 30-40</w:t>
      </w:r>
      <w:r w:rsidR="00A557F2" w:rsidRPr="00601E8A">
        <w:rPr>
          <w:rFonts w:ascii="Abadi" w:eastAsia="Calibri" w:hAnsi="Abadi" w:cs="Calibri"/>
        </w:rPr>
        <w:t xml:space="preserve">° </w:t>
      </w:r>
      <w:r w:rsidR="006D35F2">
        <w:rPr>
          <w:rFonts w:ascii="Calibri" w:eastAsia="Calibri" w:hAnsi="Calibri" w:cs="Calibri"/>
        </w:rPr>
        <w:t>differential</w:t>
      </w:r>
      <w:r w:rsidR="00A557F2" w:rsidRPr="00601E8A">
        <w:rPr>
          <w:rFonts w:ascii="Calibri" w:eastAsia="Calibri" w:hAnsi="Calibri" w:cs="Calibri"/>
        </w:rPr>
        <w:t xml:space="preserve"> flexion </w:t>
      </w:r>
      <w:r w:rsidR="00A557F2" w:rsidRPr="00601E8A">
        <w:rPr>
          <w:rFonts w:ascii="Calibri" w:eastAsia="Calibri" w:hAnsi="Calibri" w:cs="Calibri"/>
        </w:rPr>
        <w:fldChar w:fldCharType="begin" w:fldLock="1"/>
      </w:r>
      <w:r w:rsidR="003770A3" w:rsidRPr="00601E8A">
        <w:rPr>
          <w:rFonts w:ascii="Calibri" w:eastAsia="Calibri" w:hAnsi="Calibri" w:cs="Calibri"/>
        </w:rPr>
        <w:instrText>ADDIN CSL_CITATION {"citationItems":[{"id":"ITEM-1","itemData":{"DOI":"10.1016/j.jht.2019.05.002","ISSN":"0894-1130","author":[{"dropping-particle":"","family":"Henry","given":"Steven L","non-dropping-particle":"","parse-names":false,"suffix":""},{"dropping-particle":"","family":"Howell","given":"Julianne W","non-dropping-particle":"","parse-names":false,"suffix":""}],"container-title":"Journal of Hand Therapy","id":"ITEM-1","issue":"3","issued":{"date-parts":[["2020"]]},"page":"296-304","publisher":"Elsevier Inc","title":"Use of a relative motion flexion orthosis for postoperative management of zone I/II flexor digitorum profundus repair: A retrospective consecutive case series","type":"article-journal","volume":"33"},"uris":["http://www.mendeley.com/documents/?uuid=8cf4242d-792a-4604-a722-3df7e36780c9"]}],"mendeley":{"formattedCitation":"(8)","plainTextFormattedCitation":"(8)","previouslyFormattedCitation":"(8)"},"properties":{"noteIndex":0},"schema":"https://github.com/citation-style-language/schema/raw/master/csl-citation.json"}</w:instrText>
      </w:r>
      <w:r w:rsidR="00A557F2" w:rsidRPr="00601E8A">
        <w:rPr>
          <w:rFonts w:ascii="Calibri" w:eastAsia="Calibri" w:hAnsi="Calibri" w:cs="Calibri"/>
        </w:rPr>
        <w:fldChar w:fldCharType="separate"/>
      </w:r>
      <w:r w:rsidR="00327939" w:rsidRPr="00601E8A">
        <w:rPr>
          <w:rFonts w:ascii="Calibri" w:eastAsia="Calibri" w:hAnsi="Calibri" w:cs="Calibri"/>
          <w:noProof/>
        </w:rPr>
        <w:t>(8)</w:t>
      </w:r>
      <w:r w:rsidR="00A557F2" w:rsidRPr="00601E8A">
        <w:rPr>
          <w:rFonts w:ascii="Calibri" w:eastAsia="Calibri" w:hAnsi="Calibri" w:cs="Calibri"/>
        </w:rPr>
        <w:fldChar w:fldCharType="end"/>
      </w:r>
      <w:r w:rsidR="00A557F2" w:rsidRPr="00601E8A">
        <w:rPr>
          <w:rFonts w:ascii="Calibri" w:eastAsia="Calibri" w:hAnsi="Calibri" w:cs="Calibri"/>
        </w:rPr>
        <w:t xml:space="preserve">. </w:t>
      </w:r>
      <w:r w:rsidR="00BF6503">
        <w:rPr>
          <w:rFonts w:ascii="Calibri" w:eastAsia="Calibri" w:hAnsi="Calibri" w:cs="Calibri"/>
        </w:rPr>
        <w:t xml:space="preserve">This position was replicated in a prospective case series of 14 patients who underwent zone I or II repairs, however rehabilitation commenced with a long dorsal blocking splint and the </w:t>
      </w:r>
      <w:proofErr w:type="spellStart"/>
      <w:r w:rsidR="00BF6503">
        <w:rPr>
          <w:rFonts w:ascii="Calibri" w:eastAsia="Calibri" w:hAnsi="Calibri" w:cs="Calibri"/>
        </w:rPr>
        <w:t>RMF</w:t>
      </w:r>
      <w:proofErr w:type="spellEnd"/>
      <w:r w:rsidR="00BF6503">
        <w:rPr>
          <w:rFonts w:ascii="Calibri" w:eastAsia="Calibri" w:hAnsi="Calibri" w:cs="Calibri"/>
        </w:rPr>
        <w:t xml:space="preserve"> orthosis was used </w:t>
      </w:r>
      <w:r w:rsidR="00CB2B85">
        <w:rPr>
          <w:rFonts w:ascii="Calibri" w:eastAsia="Calibri" w:hAnsi="Calibri" w:cs="Calibri"/>
        </w:rPr>
        <w:t xml:space="preserve">only </w:t>
      </w:r>
      <w:r w:rsidR="00BF6503">
        <w:rPr>
          <w:rFonts w:ascii="Calibri" w:eastAsia="Calibri" w:hAnsi="Calibri" w:cs="Calibri"/>
        </w:rPr>
        <w:t xml:space="preserve">from the third week </w:t>
      </w:r>
      <w:r w:rsidR="00BF6503">
        <w:rPr>
          <w:rFonts w:ascii="Calibri" w:eastAsia="Calibri" w:hAnsi="Calibri" w:cs="Calibri"/>
        </w:rPr>
        <w:fldChar w:fldCharType="begin" w:fldLock="1"/>
      </w:r>
      <w:r w:rsidR="0043414D">
        <w:rPr>
          <w:rFonts w:ascii="Calibri" w:eastAsia="Calibri" w:hAnsi="Calibri" w:cs="Calibri"/>
        </w:rPr>
        <w:instrText>ADDIN CSL_CITATION {"citationItems":[{"id":"ITEM-1","itemData":{"DOI":"10.1080/09593985.2022.2073574","author":[{"dropping-particle":"","family":"Öksüz","given":"Çiğdem","non-dropping-particle":"","parse-names":false,"suffix":""},{"dropping-particle":"","family":"Arslan","given":"Özge Buket","non-dropping-particle":"","parse-names":false,"suffix":""},{"dropping-particle":"","family":"Baş","given":"Can Emre","non-dropping-particle":"","parse-names":false,"suffix":""},{"dropping-particle":"","family":"Ayhan","given":"Egemen","non-dropping-particle":"","parse-names":false,"suffix":""}],"container-title":"Physiotherapy Theory and Practice","id":"ITEM-1","issued":{"date-parts":[["2022"]]},"page":"DOI:10.1080/09593985.2022.2073574","publisher":"Taylor &amp; Francis","title":"Early active movement with relative motion flexion splint for the management of zone 1-2 flexor tendon repairs: Case series","type":"article-journal","volume":"Online"},"uris":["http://www.mendeley.com/documents/?uuid=43f249d0-02d1-47b4-8e03-3521fb1925c0"]}],"mendeley":{"formattedCitation":"(10)","plainTextFormattedCitation":"(10)","previouslyFormattedCitation":"(10)"},"properties":{"noteIndex":0},"schema":"https://github.com/citation-style-language/schema/raw/master/csl-citation.json"}</w:instrText>
      </w:r>
      <w:r w:rsidR="00BF6503">
        <w:rPr>
          <w:rFonts w:ascii="Calibri" w:eastAsia="Calibri" w:hAnsi="Calibri" w:cs="Calibri"/>
        </w:rPr>
        <w:fldChar w:fldCharType="separate"/>
      </w:r>
      <w:r w:rsidR="00553985" w:rsidRPr="00553985">
        <w:rPr>
          <w:rFonts w:ascii="Calibri" w:eastAsia="Calibri" w:hAnsi="Calibri" w:cs="Calibri"/>
          <w:noProof/>
        </w:rPr>
        <w:t>(10)</w:t>
      </w:r>
      <w:r w:rsidR="00BF6503">
        <w:rPr>
          <w:rFonts w:ascii="Calibri" w:eastAsia="Calibri" w:hAnsi="Calibri" w:cs="Calibri"/>
        </w:rPr>
        <w:fldChar w:fldCharType="end"/>
      </w:r>
      <w:r w:rsidR="00BF6503">
        <w:rPr>
          <w:rFonts w:ascii="Calibri" w:eastAsia="Calibri" w:hAnsi="Calibri" w:cs="Calibri"/>
        </w:rPr>
        <w:t>. Finally, a</w:t>
      </w:r>
      <w:r w:rsidR="006032CE" w:rsidRPr="00601E8A">
        <w:rPr>
          <w:rFonts w:ascii="Calibri" w:eastAsia="Calibri" w:hAnsi="Calibri" w:cs="Calibri"/>
        </w:rPr>
        <w:t xml:space="preserve"> c</w:t>
      </w:r>
      <w:r w:rsidR="000E7E0A" w:rsidRPr="00601E8A">
        <w:rPr>
          <w:rFonts w:ascii="Calibri" w:eastAsia="Calibri" w:hAnsi="Calibri" w:cs="Calibri"/>
        </w:rPr>
        <w:t xml:space="preserve">ross-sectional </w:t>
      </w:r>
      <w:r w:rsidR="00A557F2" w:rsidRPr="00601E8A">
        <w:rPr>
          <w:rFonts w:ascii="Calibri" w:eastAsia="Calibri" w:hAnsi="Calibri" w:cs="Calibri"/>
        </w:rPr>
        <w:t>evaluat</w:t>
      </w:r>
      <w:r w:rsidR="006032CE" w:rsidRPr="00601E8A">
        <w:rPr>
          <w:rFonts w:ascii="Calibri" w:eastAsia="Calibri" w:hAnsi="Calibri" w:cs="Calibri"/>
        </w:rPr>
        <w:t>ion o</w:t>
      </w:r>
      <w:r w:rsidR="00CB2B85">
        <w:rPr>
          <w:rFonts w:ascii="Calibri" w:eastAsia="Calibri" w:hAnsi="Calibri" w:cs="Calibri"/>
        </w:rPr>
        <w:t>f</w:t>
      </w:r>
      <w:r w:rsidR="00A557F2" w:rsidRPr="00601E8A">
        <w:rPr>
          <w:rFonts w:ascii="Calibri" w:eastAsia="Calibri" w:hAnsi="Calibri" w:cs="Calibri"/>
        </w:rPr>
        <w:t xml:space="preserve"> flexor tendon rehabilitation guidelines </w:t>
      </w:r>
      <w:r w:rsidR="00CB2B85">
        <w:rPr>
          <w:rFonts w:ascii="Calibri" w:eastAsia="Calibri" w:hAnsi="Calibri" w:cs="Calibri"/>
        </w:rPr>
        <w:t xml:space="preserve">across UK hand therapy departments </w:t>
      </w:r>
      <w:r w:rsidR="00A557F2" w:rsidRPr="00601E8A">
        <w:rPr>
          <w:rFonts w:ascii="Calibri" w:eastAsia="Calibri" w:hAnsi="Calibri" w:cs="Calibri"/>
        </w:rPr>
        <w:t xml:space="preserve">identified one </w:t>
      </w:r>
      <w:proofErr w:type="spellStart"/>
      <w:r w:rsidR="00CB2B85">
        <w:rPr>
          <w:rFonts w:ascii="Calibri" w:eastAsia="Calibri" w:hAnsi="Calibri" w:cs="Calibri"/>
        </w:rPr>
        <w:t>RMF</w:t>
      </w:r>
      <w:proofErr w:type="spellEnd"/>
      <w:r w:rsidR="00CB2B85">
        <w:rPr>
          <w:rFonts w:ascii="Calibri" w:eastAsia="Calibri" w:hAnsi="Calibri" w:cs="Calibri"/>
        </w:rPr>
        <w:t xml:space="preserve"> </w:t>
      </w:r>
      <w:r w:rsidR="00A557F2" w:rsidRPr="00601E8A">
        <w:rPr>
          <w:rFonts w:ascii="Calibri" w:eastAsia="Calibri" w:hAnsi="Calibri" w:cs="Calibri"/>
        </w:rPr>
        <w:t>guideline, which advocated a minimum of 20</w:t>
      </w:r>
      <w:r w:rsidR="00A557F2" w:rsidRPr="00601E8A">
        <w:rPr>
          <w:rFonts w:ascii="Abadi" w:eastAsia="Calibri" w:hAnsi="Abadi" w:cs="Calibri"/>
        </w:rPr>
        <w:t>°</w:t>
      </w:r>
      <w:r w:rsidR="00A557F2" w:rsidRPr="00601E8A">
        <w:rPr>
          <w:rFonts w:ascii="Calibri" w:eastAsia="Calibri" w:hAnsi="Calibri" w:cs="Calibri"/>
        </w:rPr>
        <w:t xml:space="preserve"> </w:t>
      </w:r>
      <w:r w:rsidR="006D35F2">
        <w:rPr>
          <w:rFonts w:ascii="Calibri" w:eastAsia="Calibri" w:hAnsi="Calibri" w:cs="Calibri"/>
        </w:rPr>
        <w:t>differential</w:t>
      </w:r>
      <w:r w:rsidR="00A557F2" w:rsidRPr="00601E8A">
        <w:rPr>
          <w:rFonts w:ascii="Calibri" w:eastAsia="Calibri" w:hAnsi="Calibri" w:cs="Calibri"/>
        </w:rPr>
        <w:t xml:space="preserve"> flexion </w:t>
      </w:r>
      <w:r w:rsidR="00E97D5C">
        <w:rPr>
          <w:rFonts w:ascii="Calibri" w:eastAsia="Calibri" w:hAnsi="Calibri" w:cs="Calibri"/>
        </w:rPr>
        <w:fldChar w:fldCharType="begin" w:fldLock="1"/>
      </w:r>
      <w:r w:rsidR="002E1436">
        <w:rPr>
          <w:rFonts w:ascii="Calibri" w:eastAsia="Calibri" w:hAnsi="Calibri" w:cs="Calibri"/>
        </w:rPr>
        <w:instrText>ADDIN CSL_CITATION {"citationItems":[{"id":"ITEM-1","itemData":{"DOI":"10.1177/17589983221089654","ISSN":"1758-9983","author":[{"dropping-particle":"","family":"Newington","given":"Lisa","non-dropping-particle":"","parse-names":false,"suffix":""},{"dropping-particle":"","family":"Lane","given":"Jennifer CE","non-dropping-particle":"","parse-names":false,"suffix":""},{"dropping-particle":"","family":"Holmes","given":"David GW","non-dropping-particle":"","parse-names":false,"suffix":""},{"dropping-particle":"","family":"Gardiner","given":"Matthew D","non-dropping-particle":"","parse-names":false,"suffix":""}],"container-title":"Hand Therapy","id":"ITEM-1","issue":"2","issued":{"date-parts":[["2022"]]},"page":"49-57","title":"Variation in patient information and rehabilitation regimens after flexor tendon repair in the United Kingdom","type":"article-journal","volume":"27"},"uris":["http://www.mendeley.com/documents/?uuid=b9b7ccd9-6e63-4996-a1c9-267b01ae6bd6"]}],"mendeley":{"formattedCitation":"(20)","plainTextFormattedCitation":"(20)","previouslyFormattedCitation":"(20)"},"properties":{"noteIndex":0},"schema":"https://github.com/citation-style-language/schema/raw/master/csl-citation.json"}</w:instrText>
      </w:r>
      <w:r w:rsidR="00E97D5C">
        <w:rPr>
          <w:rFonts w:ascii="Calibri" w:eastAsia="Calibri" w:hAnsi="Calibri" w:cs="Calibri"/>
        </w:rPr>
        <w:fldChar w:fldCharType="separate"/>
      </w:r>
      <w:r w:rsidR="002D5ADE" w:rsidRPr="002D5ADE">
        <w:rPr>
          <w:rFonts w:ascii="Calibri" w:eastAsia="Calibri" w:hAnsi="Calibri" w:cs="Calibri"/>
          <w:noProof/>
        </w:rPr>
        <w:t>(20)</w:t>
      </w:r>
      <w:r w:rsidR="00E97D5C">
        <w:rPr>
          <w:rFonts w:ascii="Calibri" w:eastAsia="Calibri" w:hAnsi="Calibri" w:cs="Calibri"/>
        </w:rPr>
        <w:fldChar w:fldCharType="end"/>
      </w:r>
      <w:r w:rsidR="00A557F2" w:rsidRPr="00601E8A">
        <w:rPr>
          <w:rFonts w:ascii="Calibri" w:eastAsia="Calibri" w:hAnsi="Calibri" w:cs="Calibri"/>
        </w:rPr>
        <w:t xml:space="preserve">. </w:t>
      </w:r>
    </w:p>
    <w:p w14:paraId="517E4ACD" w14:textId="06E88AD0" w:rsidR="00D331DC" w:rsidRDefault="00D331DC" w:rsidP="00950475">
      <w:pPr>
        <w:spacing w:line="480" w:lineRule="auto"/>
        <w:rPr>
          <w:rFonts w:ascii="Calibri" w:eastAsia="Calibri" w:hAnsi="Calibri" w:cs="Calibri"/>
        </w:rPr>
      </w:pPr>
    </w:p>
    <w:p w14:paraId="04FAC965" w14:textId="77CC2DE1" w:rsidR="00C9719A" w:rsidRDefault="00EA6ADE" w:rsidP="00950475">
      <w:pPr>
        <w:spacing w:line="480" w:lineRule="auto"/>
        <w:rPr>
          <w:rFonts w:ascii="Calibri" w:eastAsia="Calibri" w:hAnsi="Calibri" w:cs="Calibri"/>
        </w:rPr>
      </w:pPr>
      <w:r w:rsidRPr="00EA6ADE">
        <w:rPr>
          <w:rFonts w:ascii="Calibri" w:eastAsia="Calibri" w:hAnsi="Calibri" w:cs="Calibri"/>
        </w:rPr>
        <w:t xml:space="preserve">Savage </w:t>
      </w:r>
      <w:r w:rsidRPr="009065F8">
        <w:rPr>
          <w:rFonts w:ascii="Calibri" w:eastAsia="Calibri" w:hAnsi="Calibri" w:cs="Calibri"/>
          <w:i/>
          <w:iCs/>
        </w:rPr>
        <w:t>et al.</w:t>
      </w:r>
      <w:r w:rsidRPr="00EA6ADE">
        <w:rPr>
          <w:rFonts w:ascii="Calibri" w:eastAsia="Calibri" w:hAnsi="Calibri" w:cs="Calibri"/>
        </w:rPr>
        <w:t xml:space="preserve"> assessed FDP </w:t>
      </w:r>
      <w:r w:rsidR="008C23B7">
        <w:rPr>
          <w:rFonts w:ascii="Calibri" w:eastAsia="Calibri" w:hAnsi="Calibri" w:cs="Calibri"/>
        </w:rPr>
        <w:t>performance</w:t>
      </w:r>
      <w:r w:rsidRPr="00EA6ADE">
        <w:rPr>
          <w:rFonts w:ascii="Calibri" w:eastAsia="Calibri" w:hAnsi="Calibri" w:cs="Calibri"/>
        </w:rPr>
        <w:t xml:space="preserve"> in</w:t>
      </w:r>
      <w:r w:rsidR="00CB2B85">
        <w:rPr>
          <w:rFonts w:ascii="Calibri" w:eastAsia="Calibri" w:hAnsi="Calibri" w:cs="Calibri"/>
        </w:rPr>
        <w:t xml:space="preserve"> 10 healthy volunteers using a dorsal blocking splint that </w:t>
      </w:r>
      <w:r w:rsidR="009065F8">
        <w:rPr>
          <w:rFonts w:ascii="Calibri" w:eastAsia="Calibri" w:hAnsi="Calibri" w:cs="Calibri"/>
        </w:rPr>
        <w:t xml:space="preserve">permitted </w:t>
      </w:r>
      <w:r w:rsidRPr="00EA6ADE">
        <w:rPr>
          <w:rFonts w:ascii="Calibri" w:eastAsia="Calibri" w:hAnsi="Calibri" w:cs="Calibri"/>
        </w:rPr>
        <w:t xml:space="preserve">three </w:t>
      </w:r>
      <w:proofErr w:type="spellStart"/>
      <w:r w:rsidRPr="00EA6ADE">
        <w:rPr>
          <w:rFonts w:ascii="Calibri" w:eastAsia="Calibri" w:hAnsi="Calibri" w:cs="Calibri"/>
        </w:rPr>
        <w:t>MC</w:t>
      </w:r>
      <w:r w:rsidR="00CB2B85">
        <w:rPr>
          <w:rFonts w:ascii="Calibri" w:eastAsia="Calibri" w:hAnsi="Calibri" w:cs="Calibri"/>
        </w:rPr>
        <w:t>P</w:t>
      </w:r>
      <w:proofErr w:type="spellEnd"/>
      <w:r w:rsidRPr="00EA6ADE">
        <w:rPr>
          <w:rFonts w:ascii="Calibri" w:eastAsia="Calibri" w:hAnsi="Calibri" w:cs="Calibri"/>
        </w:rPr>
        <w:t xml:space="preserve"> joint positions (</w:t>
      </w:r>
      <w:r w:rsidRPr="00EA6ADE">
        <w:rPr>
          <w:rFonts w:asciiTheme="majorHAnsi" w:eastAsia="Calibri" w:hAnsiTheme="majorHAnsi" w:cstheme="majorHAnsi"/>
        </w:rPr>
        <w:t>15°, 30° and 45°)</w:t>
      </w:r>
      <w:r w:rsidRPr="00EA6ADE">
        <w:rPr>
          <w:rFonts w:ascii="Calibri" w:eastAsia="Calibri" w:hAnsi="Calibri" w:cs="Calibri"/>
        </w:rPr>
        <w:t xml:space="preserve"> </w:t>
      </w:r>
      <w:r w:rsidR="00BF6503">
        <w:rPr>
          <w:rFonts w:ascii="Calibri" w:eastAsia="Calibri" w:hAnsi="Calibri" w:cs="Calibri"/>
        </w:rPr>
        <w:fldChar w:fldCharType="begin" w:fldLock="1"/>
      </w:r>
      <w:r w:rsidR="002E1436">
        <w:rPr>
          <w:rFonts w:ascii="Calibri" w:eastAsia="Calibri" w:hAnsi="Calibri" w:cs="Calibri"/>
        </w:rPr>
        <w:instrText>ADDIN CSL_CITATION {"citationItems":[{"id":"ITEM-1","itemData":{"DOI":"10.1016/j.jhsb.2004.10.014","ISSN":"02667681","PMID":"15757770","abstract":"We conducted laboratory tests to investigate the possibility of partly de-powering flexor digitorum profundus with a view of reducing flexion force during active flexor tendon rehabilitation. We constructed a splint and applied tapes to the proximal segments of fingers to test the hypothesis that holding three fingers more extended than the other finger would reduce the flexion strength of the more flexed finger. The splint allowed the metacarpophalangeal joint of the more flexed finger to be held in three positions of increasing flexion (15°, 30°, and 45°) compared to the remaining three fingers. We have called this 'differential splintage'. Healthy volunteers were tested for maximum active flexion strength at the different flexion angles. 'Differential splintage' of up to 45° resulted in mean decreased flexion strength of 28% in the index finger and 35% to 38% in the middle, ring and little fingers. The results suggest that \"differential splintage\" of a finger after flexor tendon repair may be useful in reducing tension across the repair during a program of active tendon rehabilitation and we feel that it has potential to reduce the incidence of repair rupture before healing is complete. © 2004 The British Society for Surgery of the Hand. Published by Elsecvier Ltd. All rights reserved.","author":[{"dropping-particle":"","family":"Savage","given":"Rob","non-dropping-particle":"","parse-names":false,"suffix":""},{"dropping-particle":"","family":"Pritchard","given":"M. G.","non-dropping-particle":"","parse-names":false,"suffix":""},{"dropping-particle":"","family":"Thomas","given":"M.","non-dropping-particle":"","parse-names":false,"suffix":""},{"dropping-particle":"","family":"Newcombe","given":"R. G.","non-dropping-particle":"","parse-names":false,"suffix":""}],"container-title":"Journal of Hand Surgery","id":"ITEM-1","issue":"2","issued":{"date-parts":[["2005"]]},"page":"168-174","title":"Differential splintage for flexor tendon rehabilitation: An experimental study of its effect on finger flexion strength","type":"article-journal","volume":"30"},"uris":["http://www.mendeley.com/documents/?uuid=a7b5c096-50b7-47c1-8f0f-ef1f71f14e0e"]}],"mendeley":{"formattedCitation":"(21)","plainTextFormattedCitation":"(21)","previouslyFormattedCitation":"(21)"},"properties":{"noteIndex":0},"schema":"https://github.com/citation-style-language/schema/raw/master/csl-citation.json"}</w:instrText>
      </w:r>
      <w:r w:rsidR="00BF6503">
        <w:rPr>
          <w:rFonts w:ascii="Calibri" w:eastAsia="Calibri" w:hAnsi="Calibri" w:cs="Calibri"/>
        </w:rPr>
        <w:fldChar w:fldCharType="separate"/>
      </w:r>
      <w:r w:rsidR="002D5ADE" w:rsidRPr="002D5ADE">
        <w:rPr>
          <w:rFonts w:ascii="Calibri" w:eastAsia="Calibri" w:hAnsi="Calibri" w:cs="Calibri"/>
          <w:noProof/>
        </w:rPr>
        <w:t>(21)</w:t>
      </w:r>
      <w:r w:rsidR="00BF6503">
        <w:rPr>
          <w:rFonts w:ascii="Calibri" w:eastAsia="Calibri" w:hAnsi="Calibri" w:cs="Calibri"/>
        </w:rPr>
        <w:fldChar w:fldCharType="end"/>
      </w:r>
      <w:r w:rsidR="00BF6503">
        <w:rPr>
          <w:rFonts w:ascii="Calibri" w:eastAsia="Calibri" w:hAnsi="Calibri" w:cs="Calibri"/>
        </w:rPr>
        <w:t xml:space="preserve">. </w:t>
      </w:r>
      <w:r w:rsidR="00CB2B85">
        <w:rPr>
          <w:rFonts w:ascii="Calibri" w:eastAsia="Calibri" w:hAnsi="Calibri" w:cs="Calibri"/>
        </w:rPr>
        <w:t>They</w:t>
      </w:r>
      <w:r w:rsidR="00A36DB6">
        <w:rPr>
          <w:rFonts w:ascii="Calibri" w:eastAsia="Calibri" w:hAnsi="Calibri" w:cs="Calibri"/>
        </w:rPr>
        <w:t xml:space="preserve"> found </w:t>
      </w:r>
      <w:r w:rsidR="00BF6503">
        <w:rPr>
          <w:rFonts w:ascii="Calibri" w:eastAsia="Calibri" w:hAnsi="Calibri" w:cs="Calibri"/>
        </w:rPr>
        <w:t xml:space="preserve">that </w:t>
      </w:r>
      <w:r w:rsidRPr="00EA6ADE">
        <w:rPr>
          <w:rFonts w:ascii="Calibri" w:eastAsia="Calibri" w:hAnsi="Calibri" w:cs="Calibri"/>
        </w:rPr>
        <w:t xml:space="preserve">FDP strength decreased with increased </w:t>
      </w:r>
      <w:proofErr w:type="spellStart"/>
      <w:r w:rsidRPr="00EA6ADE">
        <w:rPr>
          <w:rFonts w:ascii="Calibri" w:eastAsia="Calibri" w:hAnsi="Calibri" w:cs="Calibri"/>
        </w:rPr>
        <w:t>MCP</w:t>
      </w:r>
      <w:proofErr w:type="spellEnd"/>
      <w:r w:rsidRPr="00EA6ADE">
        <w:rPr>
          <w:rFonts w:ascii="Calibri" w:eastAsia="Calibri" w:hAnsi="Calibri" w:cs="Calibri"/>
        </w:rPr>
        <w:t xml:space="preserve"> </w:t>
      </w:r>
      <w:r w:rsidR="001036AA">
        <w:rPr>
          <w:rFonts w:ascii="Calibri" w:eastAsia="Calibri" w:hAnsi="Calibri" w:cs="Calibri"/>
        </w:rPr>
        <w:t xml:space="preserve">joint differential </w:t>
      </w:r>
      <w:r w:rsidRPr="00EA6ADE">
        <w:rPr>
          <w:rFonts w:ascii="Calibri" w:eastAsia="Calibri" w:hAnsi="Calibri" w:cs="Calibri"/>
        </w:rPr>
        <w:t xml:space="preserve">flexion, but not uniformly across </w:t>
      </w:r>
      <w:r w:rsidR="008C23B7">
        <w:rPr>
          <w:rFonts w:ascii="Calibri" w:eastAsia="Calibri" w:hAnsi="Calibri" w:cs="Calibri"/>
        </w:rPr>
        <w:t>all fingers</w:t>
      </w:r>
      <w:r w:rsidRPr="00EA6ADE">
        <w:rPr>
          <w:rFonts w:ascii="Calibri" w:eastAsia="Calibri" w:hAnsi="Calibri" w:cs="Calibri"/>
        </w:rPr>
        <w:t xml:space="preserve">. </w:t>
      </w:r>
      <w:proofErr w:type="gramStart"/>
      <w:r w:rsidRPr="00EA6ADE">
        <w:rPr>
          <w:rFonts w:ascii="Calibri" w:eastAsia="Calibri" w:hAnsi="Calibri" w:cs="Calibri"/>
        </w:rPr>
        <w:t>Greatest</w:t>
      </w:r>
      <w:proofErr w:type="gramEnd"/>
      <w:r w:rsidRPr="00EA6ADE">
        <w:rPr>
          <w:rFonts w:ascii="Calibri" w:eastAsia="Calibri" w:hAnsi="Calibri" w:cs="Calibri"/>
        </w:rPr>
        <w:t xml:space="preserve"> strength loss was seen in the middle, </w:t>
      </w:r>
      <w:proofErr w:type="gramStart"/>
      <w:r w:rsidRPr="00EA6ADE">
        <w:rPr>
          <w:rFonts w:ascii="Calibri" w:eastAsia="Calibri" w:hAnsi="Calibri" w:cs="Calibri"/>
        </w:rPr>
        <w:t>ring</w:t>
      </w:r>
      <w:proofErr w:type="gramEnd"/>
      <w:r w:rsidRPr="00EA6ADE">
        <w:rPr>
          <w:rFonts w:ascii="Calibri" w:eastAsia="Calibri" w:hAnsi="Calibri" w:cs="Calibri"/>
        </w:rPr>
        <w:t xml:space="preserve"> and small fingers. Similarly, FDP excursion decreased as </w:t>
      </w:r>
      <w:r w:rsidR="001036AA">
        <w:rPr>
          <w:rFonts w:ascii="Calibri" w:eastAsia="Calibri" w:hAnsi="Calibri" w:cs="Calibri"/>
        </w:rPr>
        <w:t>differential</w:t>
      </w:r>
      <w:r w:rsidRPr="00EA6ADE">
        <w:rPr>
          <w:rFonts w:ascii="Calibri" w:eastAsia="Calibri" w:hAnsi="Calibri" w:cs="Calibri"/>
        </w:rPr>
        <w:t xml:space="preserve"> flexion increased, with</w:t>
      </w:r>
      <w:r w:rsidR="00B749D7">
        <w:rPr>
          <w:rFonts w:ascii="Calibri" w:eastAsia="Calibri" w:hAnsi="Calibri" w:cs="Calibri"/>
        </w:rPr>
        <w:t xml:space="preserve"> the</w:t>
      </w:r>
      <w:r w:rsidRPr="00EA6ADE">
        <w:rPr>
          <w:rFonts w:ascii="Calibri" w:eastAsia="Calibri" w:hAnsi="Calibri" w:cs="Calibri"/>
        </w:rPr>
        <w:t xml:space="preserve"> </w:t>
      </w:r>
      <w:r w:rsidR="00B749D7">
        <w:rPr>
          <w:rFonts w:ascii="Calibri" w:eastAsia="Calibri" w:hAnsi="Calibri" w:cs="Calibri"/>
        </w:rPr>
        <w:t>largest</w:t>
      </w:r>
      <w:r w:rsidRPr="00EA6ADE">
        <w:rPr>
          <w:rFonts w:ascii="Calibri" w:eastAsia="Calibri" w:hAnsi="Calibri" w:cs="Calibri"/>
        </w:rPr>
        <w:t xml:space="preserve"> loss of excursion </w:t>
      </w:r>
      <w:r w:rsidR="00B749D7">
        <w:rPr>
          <w:rFonts w:ascii="Calibri" w:eastAsia="Calibri" w:hAnsi="Calibri" w:cs="Calibri"/>
        </w:rPr>
        <w:t xml:space="preserve">identified in </w:t>
      </w:r>
      <w:r w:rsidRPr="00EA6ADE">
        <w:rPr>
          <w:rFonts w:ascii="Calibri" w:eastAsia="Calibri" w:hAnsi="Calibri" w:cs="Calibri"/>
        </w:rPr>
        <w:t>the ring finger</w:t>
      </w:r>
      <w:r w:rsidR="008C23B7">
        <w:rPr>
          <w:rFonts w:ascii="Calibri" w:eastAsia="Calibri" w:hAnsi="Calibri" w:cs="Calibri"/>
        </w:rPr>
        <w:t xml:space="preserve"> </w:t>
      </w:r>
      <w:r w:rsidR="008C23B7">
        <w:rPr>
          <w:rFonts w:ascii="Calibri" w:eastAsia="Calibri" w:hAnsi="Calibri" w:cs="Calibri"/>
        </w:rPr>
        <w:fldChar w:fldCharType="begin" w:fldLock="1"/>
      </w:r>
      <w:r w:rsidR="002E1436">
        <w:rPr>
          <w:rFonts w:ascii="Calibri" w:eastAsia="Calibri" w:hAnsi="Calibri" w:cs="Calibri"/>
        </w:rPr>
        <w:instrText>ADDIN CSL_CITATION {"citationItems":[{"id":"ITEM-1","itemData":{"DOI":"10.1016/j.jhsb.2004.10.014","ISSN":"02667681","PMID":"15757770","abstract":"We conducted laboratory tests to investigate the possibility of partly de-powering flexor digitorum profundus with a view of reducing flexion force during active flexor tendon rehabilitation. We constructed a splint and applied tapes to the proximal segments of fingers to test the hypothesis that holding three fingers more extended than the other finger would reduce the flexion strength of the more flexed finger. The splint allowed the metacarpophalangeal joint of the more flexed finger to be held in three positions of increasing flexion (15°, 30°, and 45°) compared to the remaining three fingers. We have called this 'differential splintage'. Healthy volunteers were tested for maximum active flexion strength at the different flexion angles. 'Differential splintage' of up to 45° resulted in mean decreased flexion strength of 28% in the index finger and 35% to 38% in the middle, ring and little fingers. The results suggest that \"differential splintage\" of a finger after flexor tendon repair may be useful in reducing tension across the repair during a program of active tendon rehabilitation and we feel that it has potential to reduce the incidence of repair rupture before healing is complete. © 2004 The British Society for Surgery of the Hand. Published by Elsecvier Ltd. All rights reserved.","author":[{"dropping-particle":"","family":"Savage","given":"Rob","non-dropping-particle":"","parse-names":false,"suffix":""},{"dropping-particle":"","family":"Pritchard","given":"M. G.","non-dropping-particle":"","parse-names":false,"suffix":""},{"dropping-particle":"","family":"Thomas","given":"M.","non-dropping-particle":"","parse-names":false,"suffix":""},{"dropping-particle":"","family":"Newcombe","given":"R. G.","non-dropping-particle":"","parse-names":false,"suffix":""}],"container-title":"Journal of Hand Surgery","id":"ITEM-1","issue":"2","issued":{"date-parts":[["2005"]]},"page":"168-174","title":"Differential splintage for flexor tendon rehabilitation: An experimental study of its effect on finger flexion strength","type":"article-journal","volume":"30"},"uris":["http://www.mendeley.com/documents/?uuid=a7b5c096-50b7-47c1-8f0f-ef1f71f14e0e"]}],"mendeley":{"formattedCitation":"(21)","plainTextFormattedCitation":"(21)","previouslyFormattedCitation":"(21)"},"properties":{"noteIndex":0},"schema":"https://github.com/citation-style-language/schema/raw/master/csl-citation.json"}</w:instrText>
      </w:r>
      <w:r w:rsidR="008C23B7">
        <w:rPr>
          <w:rFonts w:ascii="Calibri" w:eastAsia="Calibri" w:hAnsi="Calibri" w:cs="Calibri"/>
        </w:rPr>
        <w:fldChar w:fldCharType="separate"/>
      </w:r>
      <w:r w:rsidR="002D5ADE" w:rsidRPr="002D5ADE">
        <w:rPr>
          <w:rFonts w:ascii="Calibri" w:eastAsia="Calibri" w:hAnsi="Calibri" w:cs="Calibri"/>
          <w:noProof/>
        </w:rPr>
        <w:t>(21)</w:t>
      </w:r>
      <w:r w:rsidR="008C23B7">
        <w:rPr>
          <w:rFonts w:ascii="Calibri" w:eastAsia="Calibri" w:hAnsi="Calibri" w:cs="Calibri"/>
        </w:rPr>
        <w:fldChar w:fldCharType="end"/>
      </w:r>
      <w:r w:rsidRPr="00EA6ADE">
        <w:rPr>
          <w:rFonts w:ascii="Calibri" w:eastAsia="Calibri" w:hAnsi="Calibri" w:cs="Calibri"/>
        </w:rPr>
        <w:t xml:space="preserve">. </w:t>
      </w:r>
    </w:p>
    <w:p w14:paraId="1A72071E" w14:textId="77777777" w:rsidR="00C9719A" w:rsidRDefault="00C9719A" w:rsidP="00950475">
      <w:pPr>
        <w:spacing w:line="480" w:lineRule="auto"/>
        <w:rPr>
          <w:rFonts w:ascii="Calibri" w:eastAsia="Calibri" w:hAnsi="Calibri" w:cs="Calibri"/>
        </w:rPr>
      </w:pPr>
    </w:p>
    <w:p w14:paraId="07F80769" w14:textId="4A4757E7" w:rsidR="008C23B7" w:rsidRDefault="00C9719A" w:rsidP="00950475">
      <w:pPr>
        <w:spacing w:line="480" w:lineRule="auto"/>
        <w:rPr>
          <w:rFonts w:ascii="Calibri" w:eastAsia="Calibri" w:hAnsi="Calibri" w:cs="Calibri"/>
        </w:rPr>
      </w:pPr>
      <w:r>
        <w:rPr>
          <w:rFonts w:ascii="Calibri" w:eastAsia="Calibri" w:hAnsi="Calibri" w:cs="Calibri"/>
        </w:rPr>
        <w:t>G</w:t>
      </w:r>
      <w:r w:rsidR="00804360">
        <w:rPr>
          <w:rFonts w:ascii="Calibri" w:eastAsia="Calibri" w:hAnsi="Calibri" w:cs="Calibri"/>
        </w:rPr>
        <w:t xml:space="preserve">reater </w:t>
      </w:r>
      <w:r w:rsidR="001036AA">
        <w:rPr>
          <w:rFonts w:ascii="Calibri" w:eastAsia="Calibri" w:hAnsi="Calibri" w:cs="Calibri"/>
        </w:rPr>
        <w:t>differential</w:t>
      </w:r>
      <w:r w:rsidR="00804360">
        <w:rPr>
          <w:rFonts w:ascii="Calibri" w:eastAsia="Calibri" w:hAnsi="Calibri" w:cs="Calibri"/>
        </w:rPr>
        <w:t xml:space="preserve"> flexion may be required for the small finger in comparison with the middle finger due to the differen</w:t>
      </w:r>
      <w:r w:rsidR="00BA0E0F">
        <w:rPr>
          <w:rFonts w:ascii="Calibri" w:eastAsia="Calibri" w:hAnsi="Calibri" w:cs="Calibri"/>
        </w:rPr>
        <w:t>ces in hand posture</w:t>
      </w:r>
      <w:r w:rsidR="008C23B7">
        <w:rPr>
          <w:rFonts w:ascii="Calibri" w:eastAsia="Calibri" w:hAnsi="Calibri" w:cs="Calibri"/>
        </w:rPr>
        <w:t xml:space="preserve"> associated with the </w:t>
      </w:r>
      <w:r w:rsidR="008C23B7" w:rsidRPr="00053E34">
        <w:rPr>
          <w:rFonts w:ascii="Calibri" w:eastAsia="Calibri" w:hAnsi="Calibri" w:cs="Calibri"/>
        </w:rPr>
        <w:t>transverse arches</w:t>
      </w:r>
      <w:r w:rsidR="008B6C00" w:rsidRPr="00053E34">
        <w:rPr>
          <w:rFonts w:ascii="Calibri" w:eastAsia="Calibri" w:hAnsi="Calibri" w:cs="Calibri"/>
        </w:rPr>
        <w:t xml:space="preserve"> </w:t>
      </w:r>
      <w:r w:rsidR="008B6C00" w:rsidRPr="00053E34">
        <w:rPr>
          <w:rFonts w:ascii="Calibri" w:eastAsia="Calibri" w:hAnsi="Calibri" w:cs="Calibri"/>
        </w:rPr>
        <w:fldChar w:fldCharType="begin" w:fldLock="1"/>
      </w:r>
      <w:r w:rsidR="008B6C00" w:rsidRPr="00053E34">
        <w:rPr>
          <w:rFonts w:ascii="Calibri" w:eastAsia="Calibri" w:hAnsi="Calibri" w:cs="Calibri"/>
        </w:rPr>
        <w:instrText>ADDIN CSL_CITATION {"citationItems":[{"id":"ITEM-1","itemData":{"author":[{"dropping-particle":"","family":"Tubiana","given":"R","non-dropping-particle":"","parse-names":false,"suffix":""},{"dropping-particle":"","family":"Thomine","given":"J-M","non-dropping-particle":"","parse-names":false,"suffix":""},{"dropping-particle":"","family":"Mackin","given":"E","non-dropping-particle":"","parse-names":false,"suffix":""}],"container-title":"Examination of the Hand and Wrist","edition":"2","id":"ITEM-1","issued":{"date-parts":[["1998"]]},"page":"9-15","publisher":"Martin Dunitz Ltd","title":"The arches of the hand","type":"chapter"},"uris":["http://www.mendeley.com/documents/?uuid=cb1458b8-e32c-45e9-adf4-e2ea0a79ccfd"]}],"mendeley":{"formattedCitation":"(22)","plainTextFormattedCitation":"(22)","previouslyFormattedCitation":"(22)"},"properties":{"noteIndex":0},"schema":"https://github.com/citation-style-language/schema/raw/master/csl-citation.json"}</w:instrText>
      </w:r>
      <w:r w:rsidR="008B6C00" w:rsidRPr="00053E34">
        <w:rPr>
          <w:rFonts w:ascii="Calibri" w:eastAsia="Calibri" w:hAnsi="Calibri" w:cs="Calibri"/>
        </w:rPr>
        <w:fldChar w:fldCharType="separate"/>
      </w:r>
      <w:r w:rsidR="008B6C00" w:rsidRPr="00053E34">
        <w:rPr>
          <w:rFonts w:ascii="Calibri" w:eastAsia="Calibri" w:hAnsi="Calibri" w:cs="Calibri"/>
          <w:noProof/>
        </w:rPr>
        <w:t>(22)</w:t>
      </w:r>
      <w:r w:rsidR="008B6C00" w:rsidRPr="00053E34">
        <w:rPr>
          <w:rFonts w:ascii="Calibri" w:eastAsia="Calibri" w:hAnsi="Calibri" w:cs="Calibri"/>
        </w:rPr>
        <w:fldChar w:fldCharType="end"/>
      </w:r>
      <w:r w:rsidR="00BA0E0F" w:rsidRPr="00053E34">
        <w:rPr>
          <w:rFonts w:ascii="Calibri" w:eastAsia="Calibri" w:hAnsi="Calibri" w:cs="Calibri"/>
        </w:rPr>
        <w:t>.</w:t>
      </w:r>
      <w:r w:rsidR="00B66BBC">
        <w:rPr>
          <w:rFonts w:ascii="Calibri" w:eastAsia="Calibri" w:hAnsi="Calibri" w:cs="Calibri"/>
        </w:rPr>
        <w:t xml:space="preserve"> This may also depend on the </w:t>
      </w:r>
      <w:proofErr w:type="spellStart"/>
      <w:r w:rsidR="00B66BBC">
        <w:rPr>
          <w:rFonts w:ascii="Calibri" w:eastAsia="Calibri" w:hAnsi="Calibri" w:cs="Calibri"/>
        </w:rPr>
        <w:t>RMF</w:t>
      </w:r>
      <w:proofErr w:type="spellEnd"/>
      <w:r w:rsidR="00B66BBC">
        <w:rPr>
          <w:rFonts w:ascii="Calibri" w:eastAsia="Calibri" w:hAnsi="Calibri" w:cs="Calibri"/>
        </w:rPr>
        <w:t xml:space="preserve"> orthosis design, for example whether the orthosis conforms with the transverse metacarpal arch or </w:t>
      </w:r>
      <w:r w:rsidR="00B60F4C">
        <w:rPr>
          <w:rFonts w:ascii="Calibri" w:eastAsia="Calibri" w:hAnsi="Calibri" w:cs="Calibri"/>
        </w:rPr>
        <w:t xml:space="preserve">has a </w:t>
      </w:r>
      <w:r w:rsidR="00B66BBC">
        <w:rPr>
          <w:rFonts w:ascii="Calibri" w:eastAsia="Calibri" w:hAnsi="Calibri" w:cs="Calibri"/>
        </w:rPr>
        <w:t xml:space="preserve">flatter </w:t>
      </w:r>
      <w:r w:rsidR="00B60F4C">
        <w:rPr>
          <w:rFonts w:ascii="Calibri" w:eastAsia="Calibri" w:hAnsi="Calibri" w:cs="Calibri"/>
        </w:rPr>
        <w:t>arrangement</w:t>
      </w:r>
      <w:r w:rsidR="00726A0A">
        <w:rPr>
          <w:rFonts w:ascii="Calibri" w:eastAsia="Calibri" w:hAnsi="Calibri" w:cs="Calibri"/>
        </w:rPr>
        <w:t xml:space="preserve"> </w:t>
      </w:r>
      <w:r w:rsidR="00726A0A">
        <w:rPr>
          <w:rFonts w:ascii="Calibri" w:eastAsia="Calibri" w:hAnsi="Calibri" w:cs="Calibri"/>
        </w:rPr>
        <w:lastRenderedPageBreak/>
        <w:fldChar w:fldCharType="begin" w:fldLock="1"/>
      </w:r>
      <w:r w:rsidR="008B6C00">
        <w:rPr>
          <w:rFonts w:ascii="Calibri" w:eastAsia="Calibri" w:hAnsi="Calibri" w:cs="Calibri"/>
        </w:rPr>
        <w:instrText>ADDIN CSL_CITATION {"citationItems":[{"id":"ITEM-1","itemData":{"author":[{"dropping-particle":"","family":"Howell","given":"Julianne W.","non-dropping-particle":"","parse-names":false,"suffix":""},{"dropping-particle":"","family":"Hirth","given":"M","non-dropping-particle":"","parse-names":false,"suffix":""}],"container-title":"Orthotic intervention for the hand and upper extremity","edition":"3","editor":[{"dropping-particle":"","family":"Jacobs","given":"ML","non-dropping-particle":"","parse-names":false,"suffix":""},{"dropping-particle":"","family":"Austin","given":"NM","non-dropping-particle":"","parse-names":false,"suffix":""}],"id":"ITEM-1","issued":{"date-parts":[["2021"]]},"page":"138-149","publisher":"Wolters Kluwer","title":"Relative motion orthoses","type":"chapter"},"uris":["http://www.mendeley.com/documents/?uuid=27051c8c-7d05-4b9f-8220-934b59389e2f"]}],"mendeley":{"formattedCitation":"(23)","plainTextFormattedCitation":"(23)","previouslyFormattedCitation":"(23)"},"properties":{"noteIndex":0},"schema":"https://github.com/citation-style-language/schema/raw/master/csl-citation.json"}</w:instrText>
      </w:r>
      <w:r w:rsidR="00726A0A">
        <w:rPr>
          <w:rFonts w:ascii="Calibri" w:eastAsia="Calibri" w:hAnsi="Calibri" w:cs="Calibri"/>
        </w:rPr>
        <w:fldChar w:fldCharType="separate"/>
      </w:r>
      <w:r w:rsidR="008B6C00" w:rsidRPr="008B6C00">
        <w:rPr>
          <w:rFonts w:ascii="Calibri" w:eastAsia="Calibri" w:hAnsi="Calibri" w:cs="Calibri"/>
          <w:noProof/>
        </w:rPr>
        <w:t>(23)</w:t>
      </w:r>
      <w:r w:rsidR="00726A0A">
        <w:rPr>
          <w:rFonts w:ascii="Calibri" w:eastAsia="Calibri" w:hAnsi="Calibri" w:cs="Calibri"/>
        </w:rPr>
        <w:fldChar w:fldCharType="end"/>
      </w:r>
      <w:r w:rsidR="00B66BBC">
        <w:rPr>
          <w:rFonts w:ascii="Calibri" w:eastAsia="Calibri" w:hAnsi="Calibri" w:cs="Calibri"/>
        </w:rPr>
        <w:t>.</w:t>
      </w:r>
      <w:r w:rsidR="00BA0E0F">
        <w:rPr>
          <w:rFonts w:ascii="Calibri" w:eastAsia="Calibri" w:hAnsi="Calibri" w:cs="Calibri"/>
        </w:rPr>
        <w:t xml:space="preserve"> </w:t>
      </w:r>
      <w:r w:rsidR="00D331DC" w:rsidRPr="00601E8A">
        <w:rPr>
          <w:rFonts w:ascii="Calibri" w:eastAsia="Calibri" w:hAnsi="Calibri" w:cs="Calibri"/>
        </w:rPr>
        <w:t xml:space="preserve">Interestingly, none </w:t>
      </w:r>
      <w:r w:rsidR="00EA6ADE">
        <w:rPr>
          <w:rFonts w:ascii="Calibri" w:eastAsia="Calibri" w:hAnsi="Calibri" w:cs="Calibri"/>
        </w:rPr>
        <w:t xml:space="preserve">of the identified </w:t>
      </w:r>
      <w:proofErr w:type="spellStart"/>
      <w:r w:rsidR="00EA6ADE">
        <w:rPr>
          <w:rFonts w:ascii="Calibri" w:eastAsia="Calibri" w:hAnsi="Calibri" w:cs="Calibri"/>
        </w:rPr>
        <w:t>RMF</w:t>
      </w:r>
      <w:proofErr w:type="spellEnd"/>
      <w:r w:rsidR="00EA6ADE">
        <w:rPr>
          <w:rFonts w:ascii="Calibri" w:eastAsia="Calibri" w:hAnsi="Calibri" w:cs="Calibri"/>
        </w:rPr>
        <w:t xml:space="preserve"> studies</w:t>
      </w:r>
      <w:r w:rsidR="00D331DC" w:rsidRPr="00601E8A">
        <w:rPr>
          <w:rFonts w:ascii="Calibri" w:eastAsia="Calibri" w:hAnsi="Calibri" w:cs="Calibri"/>
        </w:rPr>
        <w:t xml:space="preserve"> report</w:t>
      </w:r>
      <w:r w:rsidR="008C23B7">
        <w:rPr>
          <w:rFonts w:ascii="Calibri" w:eastAsia="Calibri" w:hAnsi="Calibri" w:cs="Calibri"/>
        </w:rPr>
        <w:t>ed</w:t>
      </w:r>
      <w:r w:rsidR="00D331DC" w:rsidRPr="00601E8A">
        <w:rPr>
          <w:rFonts w:ascii="Calibri" w:eastAsia="Calibri" w:hAnsi="Calibri" w:cs="Calibri"/>
        </w:rPr>
        <w:t xml:space="preserve"> different </w:t>
      </w:r>
      <w:r w:rsidR="001036AA">
        <w:rPr>
          <w:rFonts w:ascii="Calibri" w:eastAsia="Calibri" w:hAnsi="Calibri" w:cs="Calibri"/>
        </w:rPr>
        <w:t>differential</w:t>
      </w:r>
      <w:r w:rsidR="00D331DC" w:rsidRPr="00601E8A">
        <w:rPr>
          <w:rFonts w:ascii="Calibri" w:eastAsia="Calibri" w:hAnsi="Calibri" w:cs="Calibri"/>
        </w:rPr>
        <w:t xml:space="preserve"> flexion targets</w:t>
      </w:r>
      <w:r w:rsidR="00601E8A">
        <w:rPr>
          <w:rFonts w:ascii="Calibri" w:eastAsia="Calibri" w:hAnsi="Calibri" w:cs="Calibri"/>
        </w:rPr>
        <w:t xml:space="preserve"> for </w:t>
      </w:r>
      <w:r w:rsidR="00EA6ADE">
        <w:rPr>
          <w:rFonts w:ascii="Calibri" w:eastAsia="Calibri" w:hAnsi="Calibri" w:cs="Calibri"/>
        </w:rPr>
        <w:t>individual fingers</w:t>
      </w:r>
      <w:r w:rsidR="0099043B">
        <w:rPr>
          <w:rFonts w:ascii="Calibri" w:eastAsia="Calibri" w:hAnsi="Calibri" w:cs="Calibri"/>
        </w:rPr>
        <w:t xml:space="preserve"> </w:t>
      </w:r>
      <w:r w:rsidR="0099043B">
        <w:rPr>
          <w:rFonts w:ascii="Calibri" w:eastAsia="Calibri" w:hAnsi="Calibri" w:cs="Calibri"/>
        </w:rPr>
        <w:fldChar w:fldCharType="begin" w:fldLock="1"/>
      </w:r>
      <w:r w:rsidR="0043414D">
        <w:rPr>
          <w:rFonts w:ascii="Calibri" w:eastAsia="Calibri" w:hAnsi="Calibri" w:cs="Calibri"/>
        </w:rPr>
        <w:instrText>ADDIN CSL_CITATION {"citationItems":[{"id":"ITEM-1","itemData":{"DOI":"10.1016/j.jht.2019.05.002","ISSN":"0894-1130","author":[{"dropping-particle":"","family":"Henry","given":"Steven L","non-dropping-particle":"","parse-names":false,"suffix":""},{"dropping-particle":"","family":"Howell","given":"Julianne W","non-dropping-particle":"","parse-names":false,"suffix":""}],"container-title":"Journal of Hand Therapy","id":"ITEM-1","issue":"3","issued":{"date-parts":[["2020"]]},"page":"296-304","publisher":"Elsevier Inc","title":"Use of a relative motion flexion orthosis for postoperative management of zone I/II flexor digitorum profundus repair: A retrospective consecutive case series","type":"article-journal","volume":"33"},"uris":["http://www.mendeley.com/documents/?uuid=8cf4242d-792a-4604-a722-3df7e36780c9"]},{"id":"ITEM-2","itemData":{"DOI":"10.1177/1558944717732063","ISSN":"15589455","PMID":"28975818","abstract":"Background: The principle of relative motion has allowed patients to regain a higher degree of hand function, while protecting extensor tendon repairs. The purpose of this study was to determine whether the principle of relative motion could be a viable method to protect a flexor tendon repair. Methods: Four fresh-frozen cadaver arms were each mounted on a testing apparatus (wrist in 30° of extension, metacarpophalangeal [MCP] joints blocked to 70°-80°). A minimum of 11 N was used to cyclically load the flexor digitorum profundus and extensor digitorum communis tendons to maximum allowable flexion and extension for 25 cycles. Measurements of elongation of the tendons were obtained through the use of differential variable reluctance transducers. Testing was performed in both intact and repaired (single 6-0 nylon suture) middle finger tendons (zone 3) with and without a relative motion flexion splint (RMFS), which placed the affected finger in 15° to 25° of relative flexion at the MCP joint. Results: In all 4 hands, elongation was restricted to less than 1.3 mm in repaired tendon in the RMFS compared with elongation &gt;2 mm in the nonsplinted condition. Average elongation was 0.86 mm (SD = 0.45). Visual examination of the tendons demonstrated no gapping with the use of the RMFS in any of the hands. All repairs had suture breakage and repair rupture without the RMFS. Conclusions: This study demonstrates that the RMFS decreases elongation and eliminates tendon-repair gapping after flexion/extension cycling in a cadaver model. It provides proof of concept that the RMFS may be a viable protective mechanism for flexor tendon repairs in zone 3.","author":[{"dropping-particle":"","family":"Chung","given":"Bryan","non-dropping-particle":"","parse-names":false,"suffix":""},{"dropping-particle":"","family":"Chiu","given":"David T.W.","non-dropping-particle":"","parse-names":false,"suffix":""},{"dropping-particle":"","family":"Thanik","given":"Vishal","non-dropping-particle":"","parse-names":false,"suffix":""}],"container-title":"Hand","id":"ITEM-2","issue":"2","issued":{"date-parts":[["2019"]]},"page":"193-196","title":"Relative Motion Flexion Splinting for Flexor Tendon Lacerations: Proof of Concept","type":"article-journal","volume":"14"},"uris":["http://www.mendeley.com/documents/?uuid=a7357478-07a4-4734-b363-8ab9339c7629"]},{"id":"ITEM-3","itemData":{"DOI":"10.1177/17589983221089654","ISSN":"1758-9983","author":[{"dropping-particle":"","family":"Newington","given":"Lisa","non-dropping-particle":"","parse-names":false,"suffix":""},{"dropping-particle":"","family":"Lane","given":"Jennifer CE","non-dropping-particle":"","parse-names":false,"suffix":""},{"dropping-particle":"","family":"Holmes","given":"David GW","non-dropping-particle":"","parse-names":false,"suffix":""},{"dropping-particle":"","family":"Gardiner","given":"Matthew D","non-dropping-particle":"","parse-names":false,"suffix":""}],"container-title":"Hand Therapy","id":"ITEM-3","issue":"2","issued":{"date-parts":[["2022"]]},"page":"49-57","title":"Variation in patient information and rehabilitation regimens after flexor tendon repair in the United Kingdom","type":"article-journal","volume":"27"},"uris":["http://www.mendeley.com/documents/?uuid=b9b7ccd9-6e63-4996-a1c9-267b01ae6bd6"]},{"id":"ITEM-4","itemData":{"DOI":"10.1080/09593985.2022.2073574","author":[{"dropping-particle":"","family":"Öksüz","given":"Çiğdem","non-dropping-particle":"","parse-names":false,"suffix":""},{"dropping-particle":"","family":"Arslan","given":"Özge Buket","non-dropping-particle":"","parse-names":false,"suffix":""},{"dropping-particle":"","family":"Baş","given":"Can Emre","non-dropping-particle":"","parse-names":false,"suffix":""},{"dropping-particle":"","family":"Ayhan","given":"Egemen","non-dropping-particle":"","parse-names":false,"suffix":""}],"container-title":"Physiotherapy Theory and Practice","id":"ITEM-4","issued":{"date-parts":[["2022"]]},"page":"DOI:10.1080/09593985.2022.2073574","publisher":"Taylor &amp; Francis","title":"Early active movement with relative motion flexion splint for the management of zone 1-2 flexor tendon repairs: Case series","type":"article-journal","volume":"Online"},"uris":["http://www.mendeley.com/documents/?uuid=43f249d0-02d1-47b4-8e03-3521fb1925c0"]}],"mendeley":{"formattedCitation":"(8,10,14,20)","plainTextFormattedCitation":"(8,10,14,20)","previouslyFormattedCitation":"(8,10,14,20)"},"properties":{"noteIndex":0},"schema":"https://github.com/citation-style-language/schema/raw/master/csl-citation.json"}</w:instrText>
      </w:r>
      <w:r w:rsidR="0099043B">
        <w:rPr>
          <w:rFonts w:ascii="Calibri" w:eastAsia="Calibri" w:hAnsi="Calibri" w:cs="Calibri"/>
        </w:rPr>
        <w:fldChar w:fldCharType="separate"/>
      </w:r>
      <w:r w:rsidR="00D06ED5" w:rsidRPr="00D06ED5">
        <w:rPr>
          <w:rFonts w:ascii="Calibri" w:eastAsia="Calibri" w:hAnsi="Calibri" w:cs="Calibri"/>
          <w:noProof/>
        </w:rPr>
        <w:t>(8,10,14,20)</w:t>
      </w:r>
      <w:r w:rsidR="0099043B">
        <w:rPr>
          <w:rFonts w:ascii="Calibri" w:eastAsia="Calibri" w:hAnsi="Calibri" w:cs="Calibri"/>
        </w:rPr>
        <w:fldChar w:fldCharType="end"/>
      </w:r>
      <w:r w:rsidR="00EA6ADE" w:rsidRPr="00804360">
        <w:rPr>
          <w:rFonts w:ascii="Calibri" w:eastAsia="Calibri" w:hAnsi="Calibri" w:cs="Calibri"/>
        </w:rPr>
        <w:t>.</w:t>
      </w:r>
    </w:p>
    <w:p w14:paraId="44939AAB" w14:textId="77777777" w:rsidR="008C23B7" w:rsidRDefault="008C23B7" w:rsidP="00950475">
      <w:pPr>
        <w:spacing w:line="480" w:lineRule="auto"/>
        <w:rPr>
          <w:rFonts w:ascii="Calibri" w:eastAsia="Calibri" w:hAnsi="Calibri" w:cs="Calibri"/>
        </w:rPr>
      </w:pPr>
    </w:p>
    <w:p w14:paraId="5550CABA" w14:textId="51EB56AA" w:rsidR="00B26348" w:rsidRPr="008C23B7" w:rsidRDefault="002B30D3" w:rsidP="00950475">
      <w:pPr>
        <w:spacing w:line="480" w:lineRule="auto"/>
        <w:rPr>
          <w:rFonts w:ascii="Calibri" w:eastAsia="Calibri" w:hAnsi="Calibri" w:cs="Calibri"/>
        </w:rPr>
      </w:pPr>
      <w:r w:rsidRPr="00804360">
        <w:rPr>
          <w:rFonts w:ascii="Calibri" w:eastAsia="Calibri" w:hAnsi="Calibri" w:cs="Calibri"/>
        </w:rPr>
        <w:t xml:space="preserve">The optimal position of </w:t>
      </w:r>
      <w:r w:rsidR="001036AA">
        <w:rPr>
          <w:rFonts w:ascii="Calibri" w:eastAsia="Calibri" w:hAnsi="Calibri" w:cs="Calibri"/>
        </w:rPr>
        <w:t>differential</w:t>
      </w:r>
      <w:r w:rsidRPr="00804360">
        <w:rPr>
          <w:rFonts w:ascii="Calibri" w:eastAsia="Calibri" w:hAnsi="Calibri" w:cs="Calibri"/>
        </w:rPr>
        <w:t xml:space="preserve"> flexion remains unknown and warrants further </w:t>
      </w:r>
      <w:r w:rsidRPr="00804360">
        <w:rPr>
          <w:rFonts w:asciiTheme="majorHAnsi" w:eastAsia="Calibri" w:hAnsiTheme="majorHAnsi" w:cstheme="majorHAnsi"/>
        </w:rPr>
        <w:t>investigation</w:t>
      </w:r>
      <w:r w:rsidR="00AA0AF6">
        <w:rPr>
          <w:rFonts w:asciiTheme="majorHAnsi" w:eastAsia="Calibri" w:hAnsiTheme="majorHAnsi" w:cstheme="majorHAnsi"/>
        </w:rPr>
        <w:t xml:space="preserve"> </w:t>
      </w:r>
      <w:r w:rsidR="00AA0AF6">
        <w:rPr>
          <w:rFonts w:asciiTheme="majorHAnsi" w:eastAsia="Calibri" w:hAnsiTheme="majorHAnsi" w:cstheme="majorHAnsi"/>
        </w:rPr>
        <w:fldChar w:fldCharType="begin" w:fldLock="1"/>
      </w:r>
      <w:r w:rsidR="0043414D">
        <w:rPr>
          <w:rFonts w:asciiTheme="majorHAnsi" w:eastAsia="Calibri" w:hAnsiTheme="majorHAnsi" w:cstheme="majorHAnsi"/>
        </w:rPr>
        <w:instrText>ADDIN CSL_CITATION {"citationItems":[{"id":"ITEM-1","itemData":{"URL":"https://issuu.com/ahta/docs/ahta_fingerprint_-_june_2021_v8_wr","accessed":{"date-parts":[["2022","10","25"]]},"author":[{"dropping-particle":"","family":"Howell","given":"Julianne W.","non-dropping-particle":"","parse-names":false,"suffix":""},{"dropping-particle":"","family":"Hirth","given":"Melissa J.","non-dropping-particle":"","parse-names":false,"suffix":""}],"container-title":"Fingerprint: Australian Hand Therapy Association","id":"ITEM-1","issued":{"date-parts":[["2021"]]},"page":"24-28","title":"Relative motion flexion splints in the management of finger flexor tendon repairs: an update","type":"webpage","volume":"127"},"uris":["http://www.mendeley.com/documents/?uuid=1733d342-2204-4dee-aae3-5553ca132b0d"]}],"mendeley":{"formattedCitation":"(24)","plainTextFormattedCitation":"(24)","previouslyFormattedCitation":"(24)"},"properties":{"noteIndex":0},"schema":"https://github.com/citation-style-language/schema/raw/master/csl-citation.json"}</w:instrText>
      </w:r>
      <w:r w:rsidR="00AA0AF6">
        <w:rPr>
          <w:rFonts w:asciiTheme="majorHAnsi" w:eastAsia="Calibri" w:hAnsiTheme="majorHAnsi" w:cstheme="majorHAnsi"/>
        </w:rPr>
        <w:fldChar w:fldCharType="separate"/>
      </w:r>
      <w:r w:rsidR="00D06ED5" w:rsidRPr="00D06ED5">
        <w:rPr>
          <w:rFonts w:asciiTheme="majorHAnsi" w:eastAsia="Calibri" w:hAnsiTheme="majorHAnsi" w:cstheme="majorHAnsi"/>
          <w:noProof/>
        </w:rPr>
        <w:t>(24)</w:t>
      </w:r>
      <w:r w:rsidR="00AA0AF6">
        <w:rPr>
          <w:rFonts w:asciiTheme="majorHAnsi" w:eastAsia="Calibri" w:hAnsiTheme="majorHAnsi" w:cstheme="majorHAnsi"/>
        </w:rPr>
        <w:fldChar w:fldCharType="end"/>
      </w:r>
      <w:r w:rsidRPr="00804360">
        <w:rPr>
          <w:rFonts w:asciiTheme="majorHAnsi" w:eastAsia="Calibri" w:hAnsiTheme="majorHAnsi" w:cstheme="majorHAnsi"/>
        </w:rPr>
        <w:t xml:space="preserve">. Clinically, </w:t>
      </w:r>
      <w:r w:rsidR="008C23B7">
        <w:rPr>
          <w:rFonts w:asciiTheme="majorHAnsi" w:eastAsia="Calibri" w:hAnsiTheme="majorHAnsi" w:cstheme="majorHAnsi"/>
        </w:rPr>
        <w:t>we f</w:t>
      </w:r>
      <w:r w:rsidR="00B749D7">
        <w:rPr>
          <w:rFonts w:asciiTheme="majorHAnsi" w:eastAsia="Calibri" w:hAnsiTheme="majorHAnsi" w:cstheme="majorHAnsi"/>
        </w:rPr>
        <w:t>ind</w:t>
      </w:r>
      <w:r w:rsidR="008C23B7">
        <w:rPr>
          <w:rFonts w:asciiTheme="majorHAnsi" w:eastAsia="Calibri" w:hAnsiTheme="majorHAnsi" w:cstheme="majorHAnsi"/>
        </w:rPr>
        <w:t xml:space="preserve"> it </w:t>
      </w:r>
      <w:r w:rsidRPr="00804360">
        <w:rPr>
          <w:rFonts w:asciiTheme="majorHAnsi" w:eastAsia="Calibri" w:hAnsiTheme="majorHAnsi" w:cstheme="majorHAnsi"/>
        </w:rPr>
        <w:t xml:space="preserve">challenging to </w:t>
      </w:r>
      <w:r w:rsidR="00A74ADF">
        <w:rPr>
          <w:rFonts w:asciiTheme="majorHAnsi" w:eastAsia="Calibri" w:hAnsiTheme="majorHAnsi" w:cstheme="majorHAnsi"/>
        </w:rPr>
        <w:t xml:space="preserve">consistently </w:t>
      </w:r>
      <w:r w:rsidRPr="00804360">
        <w:rPr>
          <w:rFonts w:asciiTheme="majorHAnsi" w:eastAsia="Calibri" w:hAnsiTheme="majorHAnsi" w:cstheme="majorHAnsi"/>
        </w:rPr>
        <w:t xml:space="preserve">achieve 30-40° </w:t>
      </w:r>
      <w:r w:rsidR="001036AA">
        <w:rPr>
          <w:rFonts w:asciiTheme="majorHAnsi" w:eastAsia="Calibri" w:hAnsiTheme="majorHAnsi" w:cstheme="majorHAnsi"/>
        </w:rPr>
        <w:t xml:space="preserve">differential </w:t>
      </w:r>
      <w:r w:rsidRPr="00804360">
        <w:rPr>
          <w:rFonts w:asciiTheme="majorHAnsi" w:eastAsia="Calibri" w:hAnsiTheme="majorHAnsi" w:cstheme="majorHAnsi"/>
        </w:rPr>
        <w:t xml:space="preserve">flexion and </w:t>
      </w:r>
      <w:r w:rsidR="008C23B7">
        <w:rPr>
          <w:rFonts w:asciiTheme="majorHAnsi" w:eastAsia="Calibri" w:hAnsiTheme="majorHAnsi" w:cstheme="majorHAnsi"/>
        </w:rPr>
        <w:t xml:space="preserve">suggest that </w:t>
      </w:r>
      <w:r w:rsidRPr="00804360">
        <w:rPr>
          <w:rFonts w:asciiTheme="majorHAnsi" w:eastAsia="Calibri" w:hAnsiTheme="majorHAnsi" w:cstheme="majorHAnsi"/>
        </w:rPr>
        <w:t xml:space="preserve">future research should record the amount of </w:t>
      </w:r>
      <w:r w:rsidR="00B66BBC">
        <w:rPr>
          <w:rFonts w:asciiTheme="majorHAnsi" w:eastAsia="Calibri" w:hAnsiTheme="majorHAnsi" w:cstheme="majorHAnsi"/>
        </w:rPr>
        <w:t>differential</w:t>
      </w:r>
      <w:r w:rsidR="008C23B7">
        <w:rPr>
          <w:rFonts w:asciiTheme="majorHAnsi" w:eastAsia="Calibri" w:hAnsiTheme="majorHAnsi" w:cstheme="majorHAnsi"/>
        </w:rPr>
        <w:t xml:space="preserve"> </w:t>
      </w:r>
      <w:r w:rsidRPr="00804360">
        <w:rPr>
          <w:rFonts w:asciiTheme="majorHAnsi" w:eastAsia="Calibri" w:hAnsiTheme="majorHAnsi" w:cstheme="majorHAnsi"/>
        </w:rPr>
        <w:t>flexion achieved, in addition to the amount desired.</w:t>
      </w:r>
      <w:r w:rsidRPr="00804360">
        <w:rPr>
          <w:rFonts w:ascii="Abadi" w:eastAsia="Calibri" w:hAnsi="Abadi" w:cs="Calibri"/>
        </w:rPr>
        <w:t xml:space="preserve"> </w:t>
      </w:r>
    </w:p>
    <w:p w14:paraId="7FF153BA" w14:textId="77777777" w:rsidR="00B20FF5" w:rsidRPr="00B20FF5" w:rsidRDefault="00B20FF5" w:rsidP="00950475">
      <w:pPr>
        <w:spacing w:line="480" w:lineRule="auto"/>
        <w:rPr>
          <w:rFonts w:ascii="Calibri" w:eastAsia="Calibri" w:hAnsi="Calibri" w:cs="Calibri"/>
        </w:rPr>
      </w:pPr>
    </w:p>
    <w:p w14:paraId="6E70813B" w14:textId="77EF546B" w:rsidR="00B26348" w:rsidRPr="00B20FF5" w:rsidRDefault="00795BFC" w:rsidP="00950475">
      <w:pPr>
        <w:pStyle w:val="Heading3"/>
        <w:spacing w:line="480" w:lineRule="auto"/>
        <w:rPr>
          <w:rFonts w:ascii="Calibri Light" w:hAnsi="Calibri Light" w:cs="Calibri Light"/>
          <w:b w:val="0"/>
          <w:bCs/>
          <w:color w:val="244061" w:themeColor="accent1" w:themeShade="80"/>
          <w:sz w:val="24"/>
          <w:szCs w:val="24"/>
        </w:rPr>
      </w:pPr>
      <w:r w:rsidRPr="00B20FF5">
        <w:rPr>
          <w:rFonts w:ascii="Calibri Light" w:hAnsi="Calibri Light" w:cs="Calibri Light"/>
          <w:b w:val="0"/>
          <w:bCs/>
          <w:color w:val="244061" w:themeColor="accent1" w:themeShade="80"/>
          <w:sz w:val="24"/>
          <w:szCs w:val="24"/>
        </w:rPr>
        <w:t xml:space="preserve">Wrist position </w:t>
      </w:r>
    </w:p>
    <w:p w14:paraId="79B4EAC4" w14:textId="39916C4C" w:rsidR="00C9719A" w:rsidRDefault="00E77217" w:rsidP="00950475">
      <w:pPr>
        <w:spacing w:line="480" w:lineRule="auto"/>
        <w:rPr>
          <w:rFonts w:ascii="Calibri" w:eastAsia="Calibri" w:hAnsi="Calibri" w:cs="Calibri"/>
          <w:color w:val="000000" w:themeColor="text1"/>
        </w:rPr>
      </w:pPr>
      <w:r w:rsidRPr="00E77217">
        <w:rPr>
          <w:rFonts w:ascii="Calibri" w:eastAsia="Calibri" w:hAnsi="Calibri" w:cs="Calibri"/>
        </w:rPr>
        <w:t>Both studies</w:t>
      </w:r>
      <w:r w:rsidR="00B26348" w:rsidRPr="00E77217">
        <w:rPr>
          <w:rFonts w:ascii="Calibri" w:eastAsia="Calibri" w:hAnsi="Calibri" w:cs="Calibri"/>
        </w:rPr>
        <w:t xml:space="preserve"> that describe</w:t>
      </w:r>
      <w:r w:rsidR="00C9719A">
        <w:rPr>
          <w:rFonts w:ascii="Calibri" w:eastAsia="Calibri" w:hAnsi="Calibri" w:cs="Calibri"/>
        </w:rPr>
        <w:t>d</w:t>
      </w:r>
      <w:r w:rsidR="00B26348" w:rsidRPr="00E77217">
        <w:rPr>
          <w:rFonts w:ascii="Calibri" w:eastAsia="Calibri" w:hAnsi="Calibri" w:cs="Calibri"/>
        </w:rPr>
        <w:t xml:space="preserve"> </w:t>
      </w:r>
      <w:proofErr w:type="spellStart"/>
      <w:r w:rsidR="00B26348" w:rsidRPr="00E77217">
        <w:rPr>
          <w:rFonts w:ascii="Calibri" w:eastAsia="Calibri" w:hAnsi="Calibri" w:cs="Calibri"/>
        </w:rPr>
        <w:t>RMF</w:t>
      </w:r>
      <w:proofErr w:type="spellEnd"/>
      <w:r w:rsidR="00B26348" w:rsidRPr="00E77217">
        <w:rPr>
          <w:rFonts w:ascii="Calibri" w:eastAsia="Calibri" w:hAnsi="Calibri" w:cs="Calibri"/>
        </w:rPr>
        <w:t xml:space="preserve"> </w:t>
      </w:r>
      <w:r w:rsidRPr="00E77217">
        <w:rPr>
          <w:rFonts w:ascii="Calibri" w:eastAsia="Calibri" w:hAnsi="Calibri" w:cs="Calibri"/>
        </w:rPr>
        <w:t xml:space="preserve">as </w:t>
      </w:r>
      <w:r w:rsidR="00A74ADF">
        <w:rPr>
          <w:rFonts w:ascii="Calibri" w:eastAsia="Calibri" w:hAnsi="Calibri" w:cs="Calibri"/>
        </w:rPr>
        <w:t>a</w:t>
      </w:r>
      <w:r w:rsidRPr="00E77217">
        <w:rPr>
          <w:rFonts w:ascii="Calibri" w:eastAsia="Calibri" w:hAnsi="Calibri" w:cs="Calibri"/>
        </w:rPr>
        <w:t xml:space="preserve"> primary </w:t>
      </w:r>
      <w:r w:rsidR="00C9719A">
        <w:rPr>
          <w:rFonts w:ascii="Calibri" w:eastAsia="Calibri" w:hAnsi="Calibri" w:cs="Calibri"/>
        </w:rPr>
        <w:t>rehabilitation strategy</w:t>
      </w:r>
      <w:r w:rsidRPr="00E77217">
        <w:rPr>
          <w:rFonts w:ascii="Calibri" w:eastAsia="Calibri" w:hAnsi="Calibri" w:cs="Calibri"/>
        </w:rPr>
        <w:t xml:space="preserve"> </w:t>
      </w:r>
      <w:r w:rsidR="00A74ADF">
        <w:rPr>
          <w:rFonts w:ascii="Calibri" w:eastAsia="Calibri" w:hAnsi="Calibri" w:cs="Calibri"/>
        </w:rPr>
        <w:t>for</w:t>
      </w:r>
      <w:r w:rsidR="00B26348" w:rsidRPr="00E77217">
        <w:rPr>
          <w:rFonts w:ascii="Calibri" w:eastAsia="Calibri" w:hAnsi="Calibri" w:cs="Calibri"/>
        </w:rPr>
        <w:t xml:space="preserve"> flexor tendon repair also </w:t>
      </w:r>
      <w:r w:rsidR="00C9719A">
        <w:rPr>
          <w:rFonts w:ascii="Calibri" w:eastAsia="Calibri" w:hAnsi="Calibri" w:cs="Calibri"/>
        </w:rPr>
        <w:t>included</w:t>
      </w:r>
      <w:r w:rsidR="00B26348" w:rsidRPr="00E77217">
        <w:rPr>
          <w:rFonts w:ascii="Calibri" w:eastAsia="Calibri" w:hAnsi="Calibri" w:cs="Calibri"/>
        </w:rPr>
        <w:t xml:space="preserve"> a separate wrist orthosis. </w:t>
      </w:r>
      <w:r w:rsidRPr="00E77217">
        <w:rPr>
          <w:rFonts w:ascii="Calibri" w:eastAsia="Calibri" w:hAnsi="Calibri" w:cs="Calibri"/>
        </w:rPr>
        <w:t>I</w:t>
      </w:r>
      <w:r w:rsidR="00B26348" w:rsidRPr="00E77217">
        <w:rPr>
          <w:rFonts w:ascii="Calibri" w:eastAsia="Calibri" w:hAnsi="Calibri" w:cs="Calibri"/>
        </w:rPr>
        <w:t>n the retrospective case series, the wrist was positioned between 20</w:t>
      </w:r>
      <w:r w:rsidR="00B26348" w:rsidRPr="00E77217">
        <w:rPr>
          <w:rFonts w:ascii="Abadi" w:eastAsia="Calibri" w:hAnsi="Abadi" w:cs="Calibri"/>
        </w:rPr>
        <w:t>°</w:t>
      </w:r>
      <w:r w:rsidR="00B26348" w:rsidRPr="00E77217">
        <w:rPr>
          <w:rFonts w:ascii="Calibri" w:eastAsia="Calibri" w:hAnsi="Calibri" w:cs="Calibri"/>
        </w:rPr>
        <w:t xml:space="preserve"> flexion and 20</w:t>
      </w:r>
      <w:r w:rsidR="00B26348" w:rsidRPr="00E77217">
        <w:rPr>
          <w:rFonts w:ascii="Abadi" w:eastAsia="Calibri" w:hAnsi="Abadi" w:cs="Calibri"/>
        </w:rPr>
        <w:t xml:space="preserve">° </w:t>
      </w:r>
      <w:r w:rsidR="00B26348" w:rsidRPr="00E77217">
        <w:rPr>
          <w:rFonts w:ascii="Calibri" w:eastAsia="Calibri" w:hAnsi="Calibri" w:cs="Calibri"/>
        </w:rPr>
        <w:t xml:space="preserve">extension </w:t>
      </w:r>
      <w:r w:rsidR="00B26348" w:rsidRPr="00E77217">
        <w:rPr>
          <w:rFonts w:ascii="Calibri" w:eastAsia="Calibri" w:hAnsi="Calibri" w:cs="Calibri"/>
        </w:rPr>
        <w:fldChar w:fldCharType="begin" w:fldLock="1"/>
      </w:r>
      <w:r w:rsidR="00B26348" w:rsidRPr="00E77217">
        <w:rPr>
          <w:rFonts w:ascii="Calibri" w:eastAsia="Calibri" w:hAnsi="Calibri" w:cs="Calibri"/>
        </w:rPr>
        <w:instrText>ADDIN CSL_CITATION {"citationItems":[{"id":"ITEM-1","itemData":{"DOI":"10.1016/j.jht.2019.05.002","ISSN":"0894-1130","author":[{"dropping-particle":"","family":"Henry","given":"Steven L","non-dropping-particle":"","parse-names":false,"suffix":""},{"dropping-particle":"","family":"Howell","given":"Julianne W","non-dropping-particle":"","parse-names":false,"suffix":""}],"container-title":"Journal of Hand Therapy","id":"ITEM-1","issue":"3","issued":{"date-parts":[["2020"]]},"page":"296-304","publisher":"Elsevier Inc","title":"Use of a relative motion flexion orthosis for postoperative management of zone I/II flexor digitorum profundus repair: A retrospective consecutive case series","type":"article-journal","volume":"33"},"uris":["http://www.mendeley.com/documents/?uuid=8cf4242d-792a-4604-a722-3df7e36780c9"]}],"mendeley":{"formattedCitation":"(8)","plainTextFormattedCitation":"(8)","previouslyFormattedCitation":"(8)"},"properties":{"noteIndex":0},"schema":"https://github.com/citation-style-language/schema/raw/master/csl-citation.json"}</w:instrText>
      </w:r>
      <w:r w:rsidR="00B26348" w:rsidRPr="00E77217">
        <w:rPr>
          <w:rFonts w:ascii="Calibri" w:eastAsia="Calibri" w:hAnsi="Calibri" w:cs="Calibri"/>
        </w:rPr>
        <w:fldChar w:fldCharType="separate"/>
      </w:r>
      <w:r w:rsidR="00B26348" w:rsidRPr="00E77217">
        <w:rPr>
          <w:rFonts w:ascii="Calibri" w:eastAsia="Calibri" w:hAnsi="Calibri" w:cs="Calibri"/>
          <w:noProof/>
        </w:rPr>
        <w:t>(8)</w:t>
      </w:r>
      <w:r w:rsidR="00B26348" w:rsidRPr="00E77217">
        <w:rPr>
          <w:rFonts w:ascii="Calibri" w:eastAsia="Calibri" w:hAnsi="Calibri" w:cs="Calibri"/>
        </w:rPr>
        <w:fldChar w:fldCharType="end"/>
      </w:r>
      <w:r w:rsidR="00A74ADF">
        <w:rPr>
          <w:rFonts w:ascii="Calibri" w:eastAsia="Calibri" w:hAnsi="Calibri" w:cs="Calibri"/>
        </w:rPr>
        <w:t xml:space="preserve">. </w:t>
      </w:r>
      <w:r w:rsidR="00A74ADF">
        <w:rPr>
          <w:rFonts w:ascii="Calibri" w:eastAsia="Calibri" w:hAnsi="Calibri" w:cs="Calibri"/>
          <w:color w:val="000000" w:themeColor="text1"/>
        </w:rPr>
        <w:t>Henry and Howell describe positioning in wrist flexion for the</w:t>
      </w:r>
      <w:r w:rsidR="009D2BB9">
        <w:rPr>
          <w:rFonts w:ascii="Calibri" w:eastAsia="Calibri" w:hAnsi="Calibri" w:cs="Calibri"/>
          <w:color w:val="000000" w:themeColor="text1"/>
        </w:rPr>
        <w:t>ir</w:t>
      </w:r>
      <w:r w:rsidR="00A74ADF">
        <w:rPr>
          <w:rFonts w:ascii="Calibri" w:eastAsia="Calibri" w:hAnsi="Calibri" w:cs="Calibri"/>
          <w:color w:val="000000" w:themeColor="text1"/>
        </w:rPr>
        <w:t xml:space="preserve"> first three patients, before switching to the extended position, which they now advocate </w:t>
      </w:r>
      <w:r w:rsidR="00A74ADF">
        <w:rPr>
          <w:rFonts w:ascii="Calibri" w:eastAsia="Calibri" w:hAnsi="Calibri" w:cs="Calibri"/>
          <w:color w:val="000000" w:themeColor="text1"/>
        </w:rPr>
        <w:fldChar w:fldCharType="begin" w:fldLock="1"/>
      </w:r>
      <w:r w:rsidR="00A74ADF">
        <w:rPr>
          <w:rFonts w:ascii="Calibri" w:eastAsia="Calibri" w:hAnsi="Calibri" w:cs="Calibri"/>
          <w:color w:val="000000" w:themeColor="text1"/>
        </w:rPr>
        <w:instrText>ADDIN CSL_CITATION {"citationItems":[{"id":"ITEM-1","itemData":{"DOI":"10.1016/j.jht.2019.05.002","ISSN":"0894-1130","author":[{"dropping-particle":"","family":"Henry","given":"Steven L","non-dropping-particle":"","parse-names":false,"suffix":""},{"dropping-particle":"","family":"Howell","given":"Julianne W","non-dropping-particle":"","parse-names":false,"suffix":""}],"container-title":"Journal of Hand Therapy","id":"ITEM-1","issue":"3","issued":{"date-parts":[["2020"]]},"page":"296-304","publisher":"Elsevier Inc","title":"Use of a relative motion flexion orthosis for postoperative management of zone I/II flexor digitorum profundus repair: A retrospective consecutive case series","type":"article-journal","volume":"33"},"uris":["http://www.mendeley.com/documents/?uuid=8cf4242d-792a-4604-a722-3df7e36780c9"]}],"mendeley":{"formattedCitation":"(8)","plainTextFormattedCitation":"(8)","previouslyFormattedCitation":"(8)"},"properties":{"noteIndex":0},"schema":"https://github.com/citation-style-language/schema/raw/master/csl-citation.json"}</w:instrText>
      </w:r>
      <w:r w:rsidR="00A74ADF">
        <w:rPr>
          <w:rFonts w:ascii="Calibri" w:eastAsia="Calibri" w:hAnsi="Calibri" w:cs="Calibri"/>
          <w:color w:val="000000" w:themeColor="text1"/>
        </w:rPr>
        <w:fldChar w:fldCharType="separate"/>
      </w:r>
      <w:r w:rsidR="00A74ADF" w:rsidRPr="00226B4A">
        <w:rPr>
          <w:rFonts w:ascii="Calibri" w:eastAsia="Calibri" w:hAnsi="Calibri" w:cs="Calibri"/>
          <w:noProof/>
          <w:color w:val="000000" w:themeColor="text1"/>
        </w:rPr>
        <w:t>(8)</w:t>
      </w:r>
      <w:r w:rsidR="00A74ADF">
        <w:rPr>
          <w:rFonts w:ascii="Calibri" w:eastAsia="Calibri" w:hAnsi="Calibri" w:cs="Calibri"/>
          <w:color w:val="000000" w:themeColor="text1"/>
        </w:rPr>
        <w:fldChar w:fldCharType="end"/>
      </w:r>
      <w:r w:rsidR="00A74ADF">
        <w:rPr>
          <w:rFonts w:ascii="Calibri" w:eastAsia="Calibri" w:hAnsi="Calibri" w:cs="Calibri"/>
          <w:color w:val="000000" w:themeColor="text1"/>
        </w:rPr>
        <w:t>. I</w:t>
      </w:r>
      <w:r w:rsidR="00B26348" w:rsidRPr="00E77217">
        <w:rPr>
          <w:rFonts w:ascii="Calibri" w:eastAsia="Calibri" w:hAnsi="Calibri" w:cs="Calibri"/>
        </w:rPr>
        <w:t xml:space="preserve">n the </w:t>
      </w:r>
      <w:r w:rsidR="00B60F4C">
        <w:rPr>
          <w:rFonts w:ascii="Calibri" w:eastAsia="Calibri" w:hAnsi="Calibri" w:cs="Calibri"/>
        </w:rPr>
        <w:t xml:space="preserve">single </w:t>
      </w:r>
      <w:proofErr w:type="spellStart"/>
      <w:r w:rsidR="00B60F4C">
        <w:rPr>
          <w:rFonts w:ascii="Calibri" w:eastAsia="Calibri" w:hAnsi="Calibri" w:cs="Calibri"/>
        </w:rPr>
        <w:t>RMF</w:t>
      </w:r>
      <w:proofErr w:type="spellEnd"/>
      <w:r w:rsidR="00B60F4C">
        <w:rPr>
          <w:rFonts w:ascii="Calibri" w:eastAsia="Calibri" w:hAnsi="Calibri" w:cs="Calibri"/>
        </w:rPr>
        <w:t xml:space="preserve"> </w:t>
      </w:r>
      <w:r w:rsidR="00B26348" w:rsidRPr="00494700">
        <w:rPr>
          <w:rFonts w:ascii="Calibri" w:eastAsia="Calibri" w:hAnsi="Calibri" w:cs="Calibri"/>
          <w:color w:val="000000" w:themeColor="text1"/>
        </w:rPr>
        <w:t>rehabilitation guideline</w:t>
      </w:r>
      <w:r w:rsidR="00B60F4C">
        <w:rPr>
          <w:rFonts w:ascii="Calibri" w:eastAsia="Calibri" w:hAnsi="Calibri" w:cs="Calibri"/>
          <w:color w:val="000000" w:themeColor="text1"/>
        </w:rPr>
        <w:t xml:space="preserve"> identified in the UK</w:t>
      </w:r>
      <w:r w:rsidR="00B26348" w:rsidRPr="00494700">
        <w:rPr>
          <w:rFonts w:ascii="Calibri" w:eastAsia="Calibri" w:hAnsi="Calibri" w:cs="Calibri"/>
          <w:color w:val="000000" w:themeColor="text1"/>
        </w:rPr>
        <w:t>, the advocated wrist position was 0-15</w:t>
      </w:r>
      <w:r w:rsidR="00B26348" w:rsidRPr="00494700">
        <w:rPr>
          <w:rFonts w:ascii="Abadi" w:eastAsia="Calibri" w:hAnsi="Abadi" w:cs="Calibri"/>
          <w:color w:val="000000" w:themeColor="text1"/>
        </w:rPr>
        <w:t>°</w:t>
      </w:r>
      <w:r w:rsidR="00B26348" w:rsidRPr="00494700">
        <w:rPr>
          <w:rFonts w:ascii="Calibri" w:eastAsia="Calibri" w:hAnsi="Calibri" w:cs="Calibri"/>
          <w:color w:val="000000" w:themeColor="text1"/>
        </w:rPr>
        <w:t xml:space="preserve"> extension </w:t>
      </w:r>
      <w:r w:rsidR="004A2541" w:rsidRPr="00494700">
        <w:rPr>
          <w:rFonts w:ascii="Calibri" w:eastAsia="Calibri" w:hAnsi="Calibri" w:cs="Calibri"/>
          <w:color w:val="000000" w:themeColor="text1"/>
        </w:rPr>
        <w:fldChar w:fldCharType="begin" w:fldLock="1"/>
      </w:r>
      <w:r w:rsidR="002E1436">
        <w:rPr>
          <w:rFonts w:ascii="Calibri" w:eastAsia="Calibri" w:hAnsi="Calibri" w:cs="Calibri"/>
          <w:color w:val="000000" w:themeColor="text1"/>
        </w:rPr>
        <w:instrText>ADDIN CSL_CITATION {"citationItems":[{"id":"ITEM-1","itemData":{"DOI":"10.1177/17589983221089654","ISSN":"1758-9983","author":[{"dropping-particle":"","family":"Newington","given":"Lisa","non-dropping-particle":"","parse-names":false,"suffix":""},{"dropping-particle":"","family":"Lane","given":"Jennifer CE","non-dropping-particle":"","parse-names":false,"suffix":""},{"dropping-particle":"","family":"Holmes","given":"David GW","non-dropping-particle":"","parse-names":false,"suffix":""},{"dropping-particle":"","family":"Gardiner","given":"Matthew D","non-dropping-particle":"","parse-names":false,"suffix":""}],"container-title":"Hand Therapy","id":"ITEM-1","issue":"2","issued":{"date-parts":[["2022"]]},"page":"49-57","title":"Variation in patient information and rehabilitation regimens after flexor tendon repair in the United Kingdom","type":"article-journal","volume":"27"},"uris":["http://www.mendeley.com/documents/?uuid=b9b7ccd9-6e63-4996-a1c9-267b01ae6bd6"]}],"mendeley":{"formattedCitation":"(20)","plainTextFormattedCitation":"(20)","previouslyFormattedCitation":"(20)"},"properties":{"noteIndex":0},"schema":"https://github.com/citation-style-language/schema/raw/master/csl-citation.json"}</w:instrText>
      </w:r>
      <w:r w:rsidR="004A2541" w:rsidRPr="00494700">
        <w:rPr>
          <w:rFonts w:ascii="Calibri" w:eastAsia="Calibri" w:hAnsi="Calibri" w:cs="Calibri"/>
          <w:color w:val="000000" w:themeColor="text1"/>
        </w:rPr>
        <w:fldChar w:fldCharType="separate"/>
      </w:r>
      <w:r w:rsidR="002D5ADE" w:rsidRPr="002D5ADE">
        <w:rPr>
          <w:rFonts w:ascii="Calibri" w:eastAsia="Calibri" w:hAnsi="Calibri" w:cs="Calibri"/>
          <w:noProof/>
          <w:color w:val="000000" w:themeColor="text1"/>
        </w:rPr>
        <w:t>(20)</w:t>
      </w:r>
      <w:r w:rsidR="004A2541" w:rsidRPr="00494700">
        <w:rPr>
          <w:rFonts w:ascii="Calibri" w:eastAsia="Calibri" w:hAnsi="Calibri" w:cs="Calibri"/>
          <w:color w:val="000000" w:themeColor="text1"/>
        </w:rPr>
        <w:fldChar w:fldCharType="end"/>
      </w:r>
      <w:r w:rsidR="00B26348" w:rsidRPr="00494700">
        <w:rPr>
          <w:rFonts w:ascii="Calibri" w:eastAsia="Calibri" w:hAnsi="Calibri" w:cs="Calibri"/>
          <w:color w:val="000000" w:themeColor="text1"/>
        </w:rPr>
        <w:t xml:space="preserve">. </w:t>
      </w:r>
    </w:p>
    <w:p w14:paraId="5D9F8EB5" w14:textId="4D328C85" w:rsidR="00226B4A" w:rsidRDefault="00226B4A" w:rsidP="00950475">
      <w:pPr>
        <w:spacing w:line="480" w:lineRule="auto"/>
        <w:rPr>
          <w:rFonts w:ascii="Calibri" w:eastAsia="Calibri" w:hAnsi="Calibri" w:cs="Calibri"/>
          <w:color w:val="000000" w:themeColor="text1"/>
        </w:rPr>
      </w:pPr>
    </w:p>
    <w:p w14:paraId="20D6ED3E" w14:textId="632289B4" w:rsidR="000B3D6F" w:rsidRDefault="00C9719A" w:rsidP="00950475">
      <w:pPr>
        <w:spacing w:line="480" w:lineRule="auto"/>
        <w:rPr>
          <w:rFonts w:ascii="Calibri" w:eastAsia="Calibri" w:hAnsi="Calibri" w:cs="Calibri"/>
          <w:color w:val="000000" w:themeColor="text1"/>
        </w:rPr>
      </w:pPr>
      <w:r>
        <w:rPr>
          <w:rFonts w:ascii="Calibri" w:eastAsia="Calibri" w:hAnsi="Calibri" w:cs="Calibri"/>
          <w:color w:val="000000" w:themeColor="text1"/>
        </w:rPr>
        <w:t>Wrist position impacts</w:t>
      </w:r>
      <w:r w:rsidR="00A74ADF">
        <w:rPr>
          <w:rFonts w:ascii="Calibri" w:eastAsia="Calibri" w:hAnsi="Calibri" w:cs="Calibri"/>
          <w:color w:val="000000" w:themeColor="text1"/>
        </w:rPr>
        <w:t xml:space="preserve"> flexor</w:t>
      </w:r>
      <w:r w:rsidR="000B3D6F" w:rsidRPr="00494700">
        <w:rPr>
          <w:rFonts w:ascii="Calibri" w:eastAsia="Calibri" w:hAnsi="Calibri" w:cs="Calibri"/>
          <w:color w:val="000000" w:themeColor="text1"/>
        </w:rPr>
        <w:t xml:space="preserve"> tendon gliding and work of flexion. </w:t>
      </w:r>
      <w:r>
        <w:rPr>
          <w:rFonts w:ascii="Calibri" w:eastAsia="Calibri" w:hAnsi="Calibri" w:cs="Calibri"/>
          <w:color w:val="000000" w:themeColor="text1"/>
        </w:rPr>
        <w:t>Savage found that t</w:t>
      </w:r>
      <w:r w:rsidR="00CC4372" w:rsidRPr="00494700">
        <w:rPr>
          <w:rFonts w:ascii="Calibri" w:eastAsia="Calibri" w:hAnsi="Calibri" w:cs="Calibri"/>
          <w:color w:val="000000" w:themeColor="text1"/>
        </w:rPr>
        <w:t xml:space="preserve">he </w:t>
      </w:r>
      <w:r w:rsidR="00C16012" w:rsidRPr="00494700">
        <w:rPr>
          <w:rFonts w:ascii="Calibri" w:eastAsia="Calibri" w:hAnsi="Calibri" w:cs="Calibri"/>
          <w:color w:val="000000" w:themeColor="text1"/>
        </w:rPr>
        <w:t xml:space="preserve">combination of wrist extension </w:t>
      </w:r>
      <w:r>
        <w:rPr>
          <w:rFonts w:ascii="Calibri" w:eastAsia="Calibri" w:hAnsi="Calibri" w:cs="Calibri"/>
          <w:color w:val="000000" w:themeColor="text1"/>
        </w:rPr>
        <w:t>with</w:t>
      </w:r>
      <w:r w:rsidR="00C16012" w:rsidRPr="00494700">
        <w:rPr>
          <w:rFonts w:ascii="Calibri" w:eastAsia="Calibri" w:hAnsi="Calibri" w:cs="Calibri"/>
          <w:color w:val="000000" w:themeColor="text1"/>
        </w:rPr>
        <w:t xml:space="preserve"> </w:t>
      </w:r>
      <w:proofErr w:type="spellStart"/>
      <w:r w:rsidR="00C16012" w:rsidRPr="00494700">
        <w:rPr>
          <w:rFonts w:ascii="Calibri" w:eastAsia="Calibri" w:hAnsi="Calibri" w:cs="Calibri"/>
          <w:color w:val="000000" w:themeColor="text1"/>
        </w:rPr>
        <w:t>MCP</w:t>
      </w:r>
      <w:proofErr w:type="spellEnd"/>
      <w:r w:rsidR="00C16012" w:rsidRPr="00494700">
        <w:rPr>
          <w:rFonts w:ascii="Calibri" w:eastAsia="Calibri" w:hAnsi="Calibri" w:cs="Calibri"/>
          <w:color w:val="000000" w:themeColor="text1"/>
        </w:rPr>
        <w:t xml:space="preserve"> joint flexion </w:t>
      </w:r>
      <w:r w:rsidR="00FF5A57" w:rsidRPr="00494700">
        <w:rPr>
          <w:rFonts w:ascii="Calibri" w:eastAsia="Calibri" w:hAnsi="Calibri" w:cs="Calibri"/>
          <w:color w:val="000000" w:themeColor="text1"/>
        </w:rPr>
        <w:t>was</w:t>
      </w:r>
      <w:r w:rsidR="00C16012" w:rsidRPr="00494700">
        <w:rPr>
          <w:rFonts w:ascii="Calibri" w:eastAsia="Calibri" w:hAnsi="Calibri" w:cs="Calibri"/>
          <w:color w:val="000000" w:themeColor="text1"/>
        </w:rPr>
        <w:t xml:space="preserve"> associated with lower work of flexion when compared </w:t>
      </w:r>
      <w:r>
        <w:rPr>
          <w:rFonts w:ascii="Calibri" w:eastAsia="Calibri" w:hAnsi="Calibri" w:cs="Calibri"/>
          <w:color w:val="000000" w:themeColor="text1"/>
        </w:rPr>
        <w:t xml:space="preserve">to </w:t>
      </w:r>
      <w:r w:rsidR="00C16012" w:rsidRPr="00494700">
        <w:rPr>
          <w:rFonts w:ascii="Calibri" w:eastAsia="Calibri" w:hAnsi="Calibri" w:cs="Calibri"/>
          <w:color w:val="000000" w:themeColor="text1"/>
        </w:rPr>
        <w:t xml:space="preserve">a neutral or </w:t>
      </w:r>
      <w:r w:rsidR="00B60F4C">
        <w:rPr>
          <w:rFonts w:ascii="Calibri" w:eastAsia="Calibri" w:hAnsi="Calibri" w:cs="Calibri"/>
          <w:color w:val="000000" w:themeColor="text1"/>
        </w:rPr>
        <w:t>flexed</w:t>
      </w:r>
      <w:r w:rsidR="00C16012" w:rsidRPr="00494700">
        <w:rPr>
          <w:rFonts w:ascii="Calibri" w:eastAsia="Calibri" w:hAnsi="Calibri" w:cs="Calibri"/>
          <w:color w:val="000000" w:themeColor="text1"/>
        </w:rPr>
        <w:t xml:space="preserve"> wrist </w:t>
      </w:r>
      <w:r w:rsidR="004A2541" w:rsidRPr="00494700">
        <w:rPr>
          <w:rFonts w:ascii="Calibri" w:eastAsia="Calibri" w:hAnsi="Calibri" w:cs="Calibri"/>
          <w:color w:val="000000" w:themeColor="text1"/>
        </w:rPr>
        <w:fldChar w:fldCharType="begin" w:fldLock="1"/>
      </w:r>
      <w:r w:rsidR="00A50831">
        <w:rPr>
          <w:rFonts w:ascii="Calibri" w:eastAsia="Calibri" w:hAnsi="Calibri" w:cs="Calibri"/>
          <w:color w:val="000000" w:themeColor="text1"/>
        </w:rPr>
        <w:instrText>ADDIN CSL_CITATION {"citationItems":[{"id":"ITEM-1","itemData":{"author":[{"dropping-particle":"","family":"Savage","given":"R","non-dropping-particle":"","parse-names":false,"suffix":""}],"container-title":"Journal of Hand Surgery [Br]","id":"ITEM-1","issue":"3","issued":{"date-parts":[["1988"]]},"page":"262-68","title":"The influence of wrist position on the minimum force required for active movement of the interphalangeal joints","type":"article-journal","volume":"13"},"uris":["http://www.mendeley.com/documents/?uuid=6dec9823-d335-42ab-af2d-1aee8b051e90"]}],"mendeley":{"formattedCitation":"(25)","plainTextFormattedCitation":"(25)","previouslyFormattedCitation":"(25)"},"properties":{"noteIndex":0},"schema":"https://github.com/citation-style-language/schema/raw/master/csl-citation.json"}</w:instrText>
      </w:r>
      <w:r w:rsidR="004A2541" w:rsidRPr="00494700">
        <w:rPr>
          <w:rFonts w:ascii="Calibri" w:eastAsia="Calibri" w:hAnsi="Calibri" w:cs="Calibri"/>
          <w:color w:val="000000" w:themeColor="text1"/>
        </w:rPr>
        <w:fldChar w:fldCharType="separate"/>
      </w:r>
      <w:r w:rsidR="00D06ED5" w:rsidRPr="00D06ED5">
        <w:rPr>
          <w:rFonts w:ascii="Calibri" w:eastAsia="Calibri" w:hAnsi="Calibri" w:cs="Calibri"/>
          <w:noProof/>
          <w:color w:val="000000" w:themeColor="text1"/>
        </w:rPr>
        <w:t>(25)</w:t>
      </w:r>
      <w:r w:rsidR="004A2541" w:rsidRPr="00494700">
        <w:rPr>
          <w:rFonts w:ascii="Calibri" w:eastAsia="Calibri" w:hAnsi="Calibri" w:cs="Calibri"/>
          <w:color w:val="000000" w:themeColor="text1"/>
        </w:rPr>
        <w:fldChar w:fldCharType="end"/>
      </w:r>
      <w:r>
        <w:rPr>
          <w:rFonts w:ascii="Calibri" w:eastAsia="Calibri" w:hAnsi="Calibri" w:cs="Calibri"/>
          <w:color w:val="000000" w:themeColor="text1"/>
        </w:rPr>
        <w:t xml:space="preserve">. This </w:t>
      </w:r>
      <w:r w:rsidR="00FF5A57" w:rsidRPr="00494700">
        <w:rPr>
          <w:rFonts w:ascii="Calibri" w:eastAsia="Calibri" w:hAnsi="Calibri" w:cs="Calibri"/>
          <w:color w:val="000000" w:themeColor="text1"/>
        </w:rPr>
        <w:t xml:space="preserve">principle is </w:t>
      </w:r>
      <w:r w:rsidR="00226B4A">
        <w:rPr>
          <w:rFonts w:ascii="Calibri" w:eastAsia="Calibri" w:hAnsi="Calibri" w:cs="Calibri"/>
          <w:color w:val="000000" w:themeColor="text1"/>
        </w:rPr>
        <w:t xml:space="preserve">also </w:t>
      </w:r>
      <w:r w:rsidR="00CC4372" w:rsidRPr="00494700">
        <w:rPr>
          <w:rFonts w:ascii="Calibri" w:eastAsia="Calibri" w:hAnsi="Calibri" w:cs="Calibri"/>
          <w:color w:val="000000" w:themeColor="text1"/>
        </w:rPr>
        <w:t xml:space="preserve">utilized in the Manchester short splint </w:t>
      </w:r>
      <w:r w:rsidR="006021AA">
        <w:rPr>
          <w:rFonts w:ascii="Calibri" w:eastAsia="Calibri" w:hAnsi="Calibri" w:cs="Calibri"/>
          <w:color w:val="000000" w:themeColor="text1"/>
        </w:rPr>
        <w:t>approach</w:t>
      </w:r>
      <w:r w:rsidR="00CC4372" w:rsidRPr="00494700">
        <w:rPr>
          <w:rFonts w:ascii="Calibri" w:eastAsia="Calibri" w:hAnsi="Calibri" w:cs="Calibri"/>
          <w:color w:val="000000" w:themeColor="text1"/>
        </w:rPr>
        <w:t xml:space="preserve"> </w:t>
      </w:r>
      <w:r w:rsidR="00CC4372" w:rsidRPr="00494700">
        <w:rPr>
          <w:rFonts w:ascii="Calibri" w:eastAsia="Calibri" w:hAnsi="Calibri" w:cs="Calibri"/>
          <w:color w:val="000000" w:themeColor="text1"/>
        </w:rPr>
        <w:fldChar w:fldCharType="begin" w:fldLock="1"/>
      </w:r>
      <w:r w:rsidR="002E1436">
        <w:rPr>
          <w:rFonts w:ascii="Calibri" w:eastAsia="Calibri" w:hAnsi="Calibri" w:cs="Calibri"/>
          <w:color w:val="000000" w:themeColor="text1"/>
        </w:rPr>
        <w:instrText>ADDIN CSL_CITATION {"citationItems":[{"id":"ITEM-1","itemData":{"DOI":"10.1177/1758998314533306","ISSN":"17589991","abstract":"Introduction: The results of patients with primary zone II flexor tendon repairs rehabilitated using a traditional forearm-based splint were audited and compared with those who were managed in the Manchester short splint. Method: The short splint was fabricated to permit maximal wrist flexion and up to 45° of wrist extension with a block to 30° of metacarpophalangeal joint extension. A rehabilitation regimen consisting of early combined passive flexion exercises and active motion was employed. In 2011, 62 patients (76 digits) with a mean age of 34 years (range 14–58) were rehabilitated using the forearm-based splint (group A). In 2012, 40 patients (45 digits) with a mean age of 31 years (range 15–71) were rehabilitated using the Manchester short splint (group B). Results: Group B had significantly less flexion contracture at their proximal interphalangeal joints than group A at 6 weeks (median 15° versus 28°; p=0.003) and 12 weeks (median 6° versus 18°; p=0.024) postoperatively. At the final review, group B had a significantly greater arc of flexion at their distal interphalangeal joints (median 59° versus 30°; p&lt;0.001) and a greater proportion of patients with excellent/good Strickland’s grades. There were three (3.9%) ruptures in group A and two (4.4%) ruptures in group B (p&gt;0.999). Conclusion: The use of a shorter splint would appear to enhance the outcomes whilst preserving repair integrity.","author":[{"dropping-particle":"","family":"Peck","given":"F. H.","non-dropping-particle":"","parse-names":false,"suffix":""},{"dropping-particle":"","family":"Roe","given":"A. E.","non-dropping-particle":"","parse-names":false,"suffix":""},{"dropping-particle":"","family":"Ng","given":"C. Y.","non-dropping-particle":"","parse-names":false,"suffix":""},{"dropping-particle":"","family":"Duff","given":"C.","non-dropping-particle":"","parse-names":false,"suffix":""},{"dropping-particle":"","family":"McGrouther","given":"D. A.","non-dropping-particle":"","parse-names":false,"suffix":""},{"dropping-particle":"","family":"Lees","given":"V. C.","non-dropping-particle":"","parse-names":false,"suffix":""}],"container-title":"Hand Therapy","id":"ITEM-1","issue":"2","issued":{"date-parts":[["2014"]]},"page":"47-53","title":"The Manchester short splint: A change to splinting practice in the rehabilitation of zone II flexor tendon repairs","type":"article-journal","volume":"19"},"uris":["http://www.mendeley.com/documents/?uuid=1569637a-93e3-42dc-b7a3-4ce4e7c7ac9c"]}],"mendeley":{"formattedCitation":"(17)","plainTextFormattedCitation":"(17)","previouslyFormattedCitation":"(17)"},"properties":{"noteIndex":0},"schema":"https://github.com/citation-style-language/schema/raw/master/csl-citation.json"}</w:instrText>
      </w:r>
      <w:r w:rsidR="00CC4372" w:rsidRPr="00494700">
        <w:rPr>
          <w:rFonts w:ascii="Calibri" w:eastAsia="Calibri" w:hAnsi="Calibri" w:cs="Calibri"/>
          <w:color w:val="000000" w:themeColor="text1"/>
        </w:rPr>
        <w:fldChar w:fldCharType="separate"/>
      </w:r>
      <w:r w:rsidR="002D5ADE" w:rsidRPr="002D5ADE">
        <w:rPr>
          <w:rFonts w:ascii="Calibri" w:eastAsia="Calibri" w:hAnsi="Calibri" w:cs="Calibri"/>
          <w:noProof/>
          <w:color w:val="000000" w:themeColor="text1"/>
        </w:rPr>
        <w:t>(17)</w:t>
      </w:r>
      <w:r w:rsidR="00CC4372" w:rsidRPr="00494700">
        <w:rPr>
          <w:rFonts w:ascii="Calibri" w:eastAsia="Calibri" w:hAnsi="Calibri" w:cs="Calibri"/>
          <w:color w:val="000000" w:themeColor="text1"/>
        </w:rPr>
        <w:fldChar w:fldCharType="end"/>
      </w:r>
      <w:r w:rsidR="00226B4A">
        <w:rPr>
          <w:rFonts w:ascii="Calibri" w:eastAsia="Calibri" w:hAnsi="Calibri" w:cs="Calibri"/>
          <w:color w:val="000000" w:themeColor="text1"/>
        </w:rPr>
        <w:t xml:space="preserve">. </w:t>
      </w:r>
    </w:p>
    <w:p w14:paraId="7586F4E0" w14:textId="77777777" w:rsidR="00226B4A" w:rsidRPr="00494700" w:rsidRDefault="00226B4A" w:rsidP="00950475">
      <w:pPr>
        <w:spacing w:line="480" w:lineRule="auto"/>
        <w:rPr>
          <w:rFonts w:ascii="Calibri" w:eastAsia="Calibri" w:hAnsi="Calibri" w:cs="Calibri"/>
          <w:color w:val="000000" w:themeColor="text1"/>
        </w:rPr>
      </w:pPr>
    </w:p>
    <w:p w14:paraId="0A86DE3E" w14:textId="548D611D" w:rsidR="00E77217" w:rsidRDefault="00B26348" w:rsidP="00950475">
      <w:pPr>
        <w:spacing w:line="480" w:lineRule="auto"/>
        <w:rPr>
          <w:rStyle w:val="cf01"/>
          <w:rFonts w:asciiTheme="majorHAnsi" w:hAnsiTheme="majorHAnsi" w:cstheme="majorHAnsi"/>
          <w:color w:val="000000" w:themeColor="text1"/>
          <w:sz w:val="24"/>
          <w:szCs w:val="24"/>
        </w:rPr>
      </w:pPr>
      <w:r w:rsidRPr="00494700">
        <w:rPr>
          <w:rFonts w:ascii="Calibri" w:eastAsia="Calibri" w:hAnsi="Calibri" w:cs="Calibri"/>
          <w:color w:val="000000" w:themeColor="text1"/>
        </w:rPr>
        <w:lastRenderedPageBreak/>
        <w:t>Without a wrist orthosis, there is the theoretical risk of inadvertent forced wrist and digit extension</w:t>
      </w:r>
      <w:r w:rsidR="001E0337" w:rsidRPr="00494700">
        <w:rPr>
          <w:rFonts w:ascii="Calibri" w:eastAsia="Calibri" w:hAnsi="Calibri" w:cs="Calibri"/>
          <w:color w:val="000000" w:themeColor="text1"/>
        </w:rPr>
        <w:t xml:space="preserve"> leading to</w:t>
      </w:r>
      <w:r w:rsidRPr="00494700">
        <w:rPr>
          <w:rFonts w:ascii="Calibri" w:eastAsia="Calibri" w:hAnsi="Calibri" w:cs="Calibri"/>
          <w:color w:val="000000" w:themeColor="text1"/>
        </w:rPr>
        <w:t xml:space="preserve"> </w:t>
      </w:r>
      <w:r w:rsidR="001E0337" w:rsidRPr="00494700">
        <w:rPr>
          <w:rFonts w:ascii="Calibri" w:eastAsia="Calibri" w:hAnsi="Calibri" w:cs="Calibri"/>
          <w:color w:val="000000" w:themeColor="text1"/>
        </w:rPr>
        <w:t>rupture of the repair</w:t>
      </w:r>
      <w:r w:rsidRPr="00494700">
        <w:rPr>
          <w:rFonts w:ascii="Calibri" w:eastAsia="Calibri" w:hAnsi="Calibri" w:cs="Calibri"/>
          <w:color w:val="000000" w:themeColor="text1"/>
        </w:rPr>
        <w:t xml:space="preserve">. </w:t>
      </w:r>
      <w:r w:rsidR="00A74ADF">
        <w:rPr>
          <w:rFonts w:ascii="Calibri" w:eastAsia="Calibri" w:hAnsi="Calibri" w:cs="Calibri"/>
          <w:color w:val="000000" w:themeColor="text1"/>
        </w:rPr>
        <w:t>A</w:t>
      </w:r>
      <w:r w:rsidR="00E77217" w:rsidRPr="00494700">
        <w:rPr>
          <w:rStyle w:val="cf01"/>
          <w:rFonts w:asciiTheme="majorHAnsi" w:hAnsiTheme="majorHAnsi" w:cstheme="majorHAnsi"/>
          <w:color w:val="000000" w:themeColor="text1"/>
          <w:sz w:val="24"/>
          <w:szCs w:val="24"/>
        </w:rPr>
        <w:t xml:space="preserve"> wrist orthosis was </w:t>
      </w:r>
      <w:r w:rsidR="00A74ADF">
        <w:rPr>
          <w:rStyle w:val="cf01"/>
          <w:rFonts w:asciiTheme="majorHAnsi" w:hAnsiTheme="majorHAnsi" w:cstheme="majorHAnsi"/>
          <w:color w:val="000000" w:themeColor="text1"/>
          <w:sz w:val="24"/>
          <w:szCs w:val="24"/>
        </w:rPr>
        <w:t xml:space="preserve">initially </w:t>
      </w:r>
      <w:r w:rsidR="00E77217" w:rsidRPr="00494700">
        <w:rPr>
          <w:rStyle w:val="cf01"/>
          <w:rFonts w:asciiTheme="majorHAnsi" w:hAnsiTheme="majorHAnsi" w:cstheme="majorHAnsi"/>
          <w:color w:val="000000" w:themeColor="text1"/>
          <w:sz w:val="24"/>
          <w:szCs w:val="24"/>
        </w:rPr>
        <w:t xml:space="preserve">used </w:t>
      </w:r>
      <w:r w:rsidR="00226B4A">
        <w:rPr>
          <w:rStyle w:val="cf01"/>
          <w:rFonts w:asciiTheme="majorHAnsi" w:hAnsiTheme="majorHAnsi" w:cstheme="majorHAnsi"/>
          <w:color w:val="000000" w:themeColor="text1"/>
          <w:sz w:val="24"/>
          <w:szCs w:val="24"/>
        </w:rPr>
        <w:t xml:space="preserve">as part of the </w:t>
      </w:r>
      <w:proofErr w:type="spellStart"/>
      <w:r w:rsidR="00E77217" w:rsidRPr="00494700">
        <w:rPr>
          <w:rStyle w:val="cf01"/>
          <w:rFonts w:asciiTheme="majorHAnsi" w:hAnsiTheme="majorHAnsi" w:cstheme="majorHAnsi"/>
          <w:color w:val="000000" w:themeColor="text1"/>
          <w:sz w:val="24"/>
          <w:szCs w:val="24"/>
        </w:rPr>
        <w:t>RME</w:t>
      </w:r>
      <w:proofErr w:type="spellEnd"/>
      <w:r w:rsidR="00E77217" w:rsidRPr="00494700">
        <w:rPr>
          <w:rStyle w:val="cf01"/>
          <w:rFonts w:asciiTheme="majorHAnsi" w:hAnsiTheme="majorHAnsi" w:cstheme="majorHAnsi"/>
          <w:color w:val="000000" w:themeColor="text1"/>
          <w:sz w:val="24"/>
          <w:szCs w:val="24"/>
        </w:rPr>
        <w:t xml:space="preserve"> </w:t>
      </w:r>
      <w:r w:rsidR="006021AA">
        <w:rPr>
          <w:rStyle w:val="cf01"/>
          <w:rFonts w:asciiTheme="majorHAnsi" w:hAnsiTheme="majorHAnsi" w:cstheme="majorHAnsi"/>
          <w:color w:val="000000" w:themeColor="text1"/>
          <w:sz w:val="24"/>
          <w:szCs w:val="24"/>
        </w:rPr>
        <w:t>approach</w:t>
      </w:r>
      <w:r w:rsidR="00226B4A">
        <w:rPr>
          <w:rStyle w:val="cf01"/>
          <w:rFonts w:asciiTheme="majorHAnsi" w:hAnsiTheme="majorHAnsi" w:cstheme="majorHAnsi"/>
          <w:color w:val="000000" w:themeColor="text1"/>
          <w:sz w:val="24"/>
          <w:szCs w:val="24"/>
        </w:rPr>
        <w:t xml:space="preserve"> </w:t>
      </w:r>
      <w:r w:rsidR="00E77217" w:rsidRPr="00494700">
        <w:rPr>
          <w:rStyle w:val="cf01"/>
          <w:rFonts w:asciiTheme="majorHAnsi" w:hAnsiTheme="majorHAnsi" w:cstheme="majorHAnsi"/>
          <w:color w:val="000000" w:themeColor="text1"/>
          <w:sz w:val="24"/>
          <w:szCs w:val="24"/>
        </w:rPr>
        <w:t xml:space="preserve">after extensor repair, but recent </w:t>
      </w:r>
      <w:r w:rsidR="00A74ADF">
        <w:rPr>
          <w:rStyle w:val="cf01"/>
          <w:rFonts w:asciiTheme="majorHAnsi" w:hAnsiTheme="majorHAnsi" w:cstheme="majorHAnsi"/>
          <w:color w:val="000000" w:themeColor="text1"/>
          <w:sz w:val="24"/>
          <w:szCs w:val="24"/>
        </w:rPr>
        <w:t>research</w:t>
      </w:r>
      <w:r w:rsidR="00E77217" w:rsidRPr="00494700">
        <w:rPr>
          <w:rStyle w:val="cf01"/>
          <w:rFonts w:asciiTheme="majorHAnsi" w:hAnsiTheme="majorHAnsi" w:cstheme="majorHAnsi"/>
          <w:color w:val="000000" w:themeColor="text1"/>
          <w:sz w:val="24"/>
          <w:szCs w:val="24"/>
        </w:rPr>
        <w:t xml:space="preserve"> suggests</w:t>
      </w:r>
      <w:r w:rsidR="00C041A0" w:rsidRPr="00494700">
        <w:rPr>
          <w:rStyle w:val="cf01"/>
          <w:rFonts w:asciiTheme="majorHAnsi" w:hAnsiTheme="majorHAnsi" w:cstheme="majorHAnsi"/>
          <w:color w:val="000000" w:themeColor="text1"/>
          <w:sz w:val="24"/>
          <w:szCs w:val="24"/>
        </w:rPr>
        <w:t xml:space="preserve"> that</w:t>
      </w:r>
      <w:r w:rsidR="00E77217" w:rsidRPr="00494700">
        <w:rPr>
          <w:rStyle w:val="cf01"/>
          <w:rFonts w:asciiTheme="majorHAnsi" w:hAnsiTheme="majorHAnsi" w:cstheme="majorHAnsi"/>
          <w:color w:val="000000" w:themeColor="text1"/>
          <w:sz w:val="24"/>
          <w:szCs w:val="24"/>
        </w:rPr>
        <w:t xml:space="preserve"> it is not required as standard</w:t>
      </w:r>
      <w:r w:rsidR="001E0337" w:rsidRPr="00494700">
        <w:rPr>
          <w:rStyle w:val="cf01"/>
          <w:rFonts w:asciiTheme="majorHAnsi" w:hAnsiTheme="majorHAnsi" w:cstheme="majorHAnsi"/>
          <w:color w:val="000000" w:themeColor="text1"/>
          <w:sz w:val="24"/>
          <w:szCs w:val="24"/>
        </w:rPr>
        <w:t xml:space="preserve"> </w:t>
      </w:r>
      <w:r w:rsidR="00C12E67" w:rsidRPr="00494700">
        <w:rPr>
          <w:rStyle w:val="cf01"/>
          <w:rFonts w:asciiTheme="majorHAnsi" w:hAnsiTheme="majorHAnsi" w:cstheme="majorHAnsi"/>
          <w:color w:val="000000" w:themeColor="text1"/>
          <w:sz w:val="24"/>
          <w:szCs w:val="24"/>
        </w:rPr>
        <w:fldChar w:fldCharType="begin" w:fldLock="1"/>
      </w:r>
      <w:r w:rsidR="00A50831">
        <w:rPr>
          <w:rStyle w:val="cf01"/>
          <w:rFonts w:asciiTheme="majorHAnsi" w:hAnsiTheme="majorHAnsi" w:cstheme="majorHAnsi"/>
          <w:color w:val="000000" w:themeColor="text1"/>
          <w:sz w:val="24"/>
          <w:szCs w:val="24"/>
        </w:rPr>
        <w:instrText>ADDIN CSL_CITATION {"citationItems":[{"id":"ITEM-1","itemData":{"DOI":"10.1016/j.jht.2018.10.003","ISSN":"1545004X","PMID":"30905495","abstract":"Study Design: Randomized clinical trial with parallel groups. Introduction: Early active mobilization programs are used after zones V and VI extensor tendon repairs; two programs used are relative motion extension (RME) orthosis and controlled active motion (CAM). Although no comparative studies exist, use of the RME orthosis has been reported to support earlier hand function. Purpose of the Study: This randomized clinical trial investigated whether patients managed with an RME program would recover hand function earlier postoperatively than those managed with a CAM program. Methods: Forty-two participants with zones V-VI extensor tendon repairs were randomized into either a CAM or RME program. The Sollerman Hand Function Test (SHFT) was the primary outcome measure of hand function. Days to return to work, QuickDASH (Disabilities of Arm, Shoulder and Hand) questionnaire, total active motion (TAM), grip strength, and patient satisfaction were the secondary measures of outcome. Results: The RME group demonstrated better results at four weeks for the SHFT score (P =.0073; 95% CI: −10.9, −1.8), QuickDASH score (P =.05; 95% CI: −0.05, 19.5), and TAM (P =.008; 95% CI: −65.4, −10.6). Days to return to work were similar between groups (P =.77; 95% CI: −28.1, 36.1). RME participants were more satisfied with the orthosis (P &lt;.0001; 95% CI: 3.5, 8.4). No tendon ruptures occurred. Discussion: Participants managed using an RME program, and RME finger orthosis demonstrated significantly better early hand function, TAM, and orthosis satisfaction than those managed by the CAM program using a static wrist-hand-finger orthosis. This is likely due to the less restrictive design of the RME orthosis. Conclusions: The RME program supports safe earlier recovery of hand function and motion when compared to a CAM program following repair of zones V and VI extensor tendons.","author":[{"dropping-particle":"","family":"Collocott","given":"Shirley J.F.","non-dropping-particle":"","parse-names":false,"suffix":""},{"dropping-particle":"","family":"Kelly","given":"Edel","non-dropping-particle":"","parse-names":false,"suffix":""},{"dropping-particle":"","family":"Foster","given":"Michael","non-dropping-particle":"","parse-names":false,"suffix":""},{"dropping-particle":"","family":"Myhr","given":"Heidi","non-dropping-particle":"","parse-names":false,"suffix":""},{"dropping-particle":"","family":"Wang","given":"Amy","non-dropping-particle":"","parse-names":false,"suffix":""},{"dropping-particle":"","family":"Ellis","given":"Richard F.","non-dropping-particle":"","parse-names":false,"suffix":""}],"container-title":"Journal of Hand Therapy","id":"ITEM-1","issue":"1","issued":{"date-parts":[["2019"]]},"page":"13-24","publisher":"Elsevier Inc","title":"A randomized clinical trial comparing early active motion programs: Earlier hand function, TAM, and orthotic satisfaction with a relative motion extension program for zones V and VI extensor tendon repairs","type":"article-journal","volume":"33"},"uris":["http://www.mendeley.com/documents/?uuid=457241c4-a5e0-4a26-b5e9-9ba5caafb405"]},{"id":"ITEM-2","itemData":{"DOI":"10.1016/j.jht.2019.12.019","ISSN":"1545004X","abstract":"Study Design: Electronic Web-based survey. Introduction: Evidence supports early motion over immobilization for postoperative extensor tendon repair management. Various early motion programs and orthoses are used, with no single approach recognized as superior. It remains unknown if and how early motion is used by hand therapists worldwide. Purpose of the Study: The purpose of this study was to determine if there is a preferred approach and identify practice patterns for constituents of International Federation of Societies for Hand Therapy full-member countries. Methods: Participation in this English-language survey required respondents to have postoperatively managed at least one extensor tendon repair within the previous year. Approaches surveyed included programs of immobilization, early passive (EPM), and early active (EAM) with motion delivered by resting hand, dynamic, palmar/interphalangeal joints (IPJs) free, or relative motion extension (RME) orthoses. Survey flow depended on the respondent's answer to their “most used” approach in the previous year. Results: There were 992 individual responses from 28 International Federation of Societies for Hand Therapy member countries including 887 eligible responses with an 81% completion rate. The order of most used program was EAM (83%), EPM (8%), and immobilization (7%). The two most used orthoses for delivery of EAM were RME (43%) and palmar/IPJs free (25%). The RME orthosis was preferred for earlier recovery of hand function and motion. Barriers to therapists wanting to use the RME/EAM approach related to preference of surgeon (70%) and clinic (24%). Discussion: In practice, many therapists select from multiple approaches to manage zone V and VI extensor tendon repairs. Therapists believed TAM achieved with the RME/EAM approach was superior to the other approaches. Contrary to the literature, in practice, many therapists modify forearm-based palmar/IPJs free orthosis to exclude the wrist to manage this diagnosis. Conclusions: The RME/EAM approach was identified as the favored approach. Practice patterns and evidence did not always align.","author":[{"dropping-particle":"","family":"Hirth","given":"Melissa J.","non-dropping-particle":"","parse-names":false,"suffix":""},{"dropping-particle":"","family":"Howell","given":"Julianne W.","non-dropping-particle":"","parse-names":false,"suffix":""},{"dropping-particle":"","family":"Feehan","given":"Lynne M.","non-dropping-particle":"","parse-names":false,"suffix":""},{"dropping-particle":"","family":"Brown","given":"Ted","non-dropping-particle":"","parse-names":false,"suffix":""},{"dropping-particle":"","family":"O'Brien","given":"Lisa","non-dropping-particle":"","parse-names":false,"suffix":""}],"container-title":"Journal of Hand Therapy","id":"ITEM-2","issue":"1","issued":{"date-parts":[["2021"]]},"page":"58-75","publisher":"Elsevier Inc","title":"Postoperative hand therapy management of zones V and VI extensor tendon repairs of the fingers: An international inquiry of current practice","type":"article-journal","volume":"34"},"uris":["http://www.mendeley.com/documents/?uuid=e21ea575-568d-47f1-a6f4-bf2e8ac7bea6"]}],"mendeley":{"formattedCitation":"(3,26)","plainTextFormattedCitation":"(3,26)","previouslyFormattedCitation":"(3,26)"},"properties":{"noteIndex":0},"schema":"https://github.com/citation-style-language/schema/raw/master/csl-citation.json"}</w:instrText>
      </w:r>
      <w:r w:rsidR="00C12E67" w:rsidRPr="00494700">
        <w:rPr>
          <w:rStyle w:val="cf01"/>
          <w:rFonts w:asciiTheme="majorHAnsi" w:hAnsiTheme="majorHAnsi" w:cstheme="majorHAnsi"/>
          <w:color w:val="000000" w:themeColor="text1"/>
          <w:sz w:val="24"/>
          <w:szCs w:val="24"/>
        </w:rPr>
        <w:fldChar w:fldCharType="separate"/>
      </w:r>
      <w:r w:rsidR="00D06ED5" w:rsidRPr="00D06ED5">
        <w:rPr>
          <w:rStyle w:val="cf01"/>
          <w:rFonts w:asciiTheme="majorHAnsi" w:hAnsiTheme="majorHAnsi" w:cstheme="majorHAnsi"/>
          <w:noProof/>
          <w:color w:val="000000" w:themeColor="text1"/>
          <w:sz w:val="24"/>
          <w:szCs w:val="24"/>
        </w:rPr>
        <w:t>(3,26)</w:t>
      </w:r>
      <w:r w:rsidR="00C12E67" w:rsidRPr="00494700">
        <w:rPr>
          <w:rStyle w:val="cf01"/>
          <w:rFonts w:asciiTheme="majorHAnsi" w:hAnsiTheme="majorHAnsi" w:cstheme="majorHAnsi"/>
          <w:color w:val="000000" w:themeColor="text1"/>
          <w:sz w:val="24"/>
          <w:szCs w:val="24"/>
        </w:rPr>
        <w:fldChar w:fldCharType="end"/>
      </w:r>
      <w:r w:rsidR="00E77217" w:rsidRPr="00494700">
        <w:rPr>
          <w:rStyle w:val="cf01"/>
          <w:rFonts w:asciiTheme="majorHAnsi" w:hAnsiTheme="majorHAnsi" w:cstheme="majorHAnsi"/>
          <w:color w:val="000000" w:themeColor="text1"/>
          <w:sz w:val="24"/>
          <w:szCs w:val="24"/>
        </w:rPr>
        <w:t>.</w:t>
      </w:r>
      <w:r w:rsidR="00C12E67" w:rsidRPr="00494700">
        <w:rPr>
          <w:rStyle w:val="cf01"/>
          <w:rFonts w:asciiTheme="majorHAnsi" w:hAnsiTheme="majorHAnsi" w:cstheme="majorHAnsi"/>
          <w:color w:val="000000" w:themeColor="text1"/>
          <w:sz w:val="24"/>
          <w:szCs w:val="24"/>
        </w:rPr>
        <w:t xml:space="preserve"> Use of the </w:t>
      </w:r>
      <w:proofErr w:type="spellStart"/>
      <w:r w:rsidR="00C12E67" w:rsidRPr="00494700">
        <w:rPr>
          <w:rStyle w:val="cf01"/>
          <w:rFonts w:asciiTheme="majorHAnsi" w:hAnsiTheme="majorHAnsi" w:cstheme="majorHAnsi"/>
          <w:color w:val="000000" w:themeColor="text1"/>
          <w:sz w:val="24"/>
          <w:szCs w:val="24"/>
        </w:rPr>
        <w:t>RME</w:t>
      </w:r>
      <w:proofErr w:type="spellEnd"/>
      <w:r w:rsidR="00C12E67" w:rsidRPr="00494700">
        <w:rPr>
          <w:rStyle w:val="cf01"/>
          <w:rFonts w:asciiTheme="majorHAnsi" w:hAnsiTheme="majorHAnsi" w:cstheme="majorHAnsi"/>
          <w:color w:val="000000" w:themeColor="text1"/>
          <w:sz w:val="24"/>
          <w:szCs w:val="24"/>
        </w:rPr>
        <w:t xml:space="preserve"> orthosis alone was associated with early return to movement and function</w:t>
      </w:r>
      <w:r w:rsidR="00A74ADF">
        <w:rPr>
          <w:rStyle w:val="cf01"/>
          <w:rFonts w:asciiTheme="majorHAnsi" w:hAnsiTheme="majorHAnsi" w:cstheme="majorHAnsi"/>
          <w:color w:val="000000" w:themeColor="text1"/>
          <w:sz w:val="24"/>
          <w:szCs w:val="24"/>
        </w:rPr>
        <w:t>,</w:t>
      </w:r>
      <w:r w:rsidR="00C041A0" w:rsidRPr="00494700">
        <w:rPr>
          <w:rStyle w:val="cf01"/>
          <w:rFonts w:asciiTheme="majorHAnsi" w:hAnsiTheme="majorHAnsi" w:cstheme="majorHAnsi"/>
          <w:color w:val="000000" w:themeColor="text1"/>
          <w:sz w:val="24"/>
          <w:szCs w:val="24"/>
        </w:rPr>
        <w:t xml:space="preserve"> and </w:t>
      </w:r>
      <w:r w:rsidR="00C12E67" w:rsidRPr="00494700">
        <w:rPr>
          <w:rStyle w:val="cf01"/>
          <w:rFonts w:asciiTheme="majorHAnsi" w:hAnsiTheme="majorHAnsi" w:cstheme="majorHAnsi"/>
          <w:color w:val="000000" w:themeColor="text1"/>
          <w:sz w:val="24"/>
          <w:szCs w:val="24"/>
        </w:rPr>
        <w:t xml:space="preserve">increased patient satisfaction when compared with </w:t>
      </w:r>
      <w:r w:rsidR="00B60F4C">
        <w:rPr>
          <w:rStyle w:val="cf01"/>
          <w:rFonts w:asciiTheme="majorHAnsi" w:hAnsiTheme="majorHAnsi" w:cstheme="majorHAnsi"/>
          <w:color w:val="000000" w:themeColor="text1"/>
          <w:sz w:val="24"/>
          <w:szCs w:val="24"/>
        </w:rPr>
        <w:t>a wrist-hand orthosis</w:t>
      </w:r>
      <w:r w:rsidR="00AF553F">
        <w:rPr>
          <w:rStyle w:val="cf01"/>
          <w:rFonts w:asciiTheme="majorHAnsi" w:hAnsiTheme="majorHAnsi" w:cstheme="majorHAnsi"/>
          <w:color w:val="000000" w:themeColor="text1"/>
          <w:sz w:val="24"/>
          <w:szCs w:val="24"/>
        </w:rPr>
        <w:t xml:space="preserve"> with the PIP joint</w:t>
      </w:r>
      <w:r w:rsidR="004C04FF">
        <w:rPr>
          <w:rStyle w:val="cf01"/>
          <w:rFonts w:asciiTheme="majorHAnsi" w:hAnsiTheme="majorHAnsi" w:cstheme="majorHAnsi"/>
          <w:color w:val="000000" w:themeColor="text1"/>
          <w:sz w:val="24"/>
          <w:szCs w:val="24"/>
        </w:rPr>
        <w:t>s</w:t>
      </w:r>
      <w:r w:rsidR="00AF553F">
        <w:rPr>
          <w:rStyle w:val="cf01"/>
          <w:rFonts w:asciiTheme="majorHAnsi" w:hAnsiTheme="majorHAnsi" w:cstheme="majorHAnsi"/>
          <w:color w:val="000000" w:themeColor="text1"/>
          <w:sz w:val="24"/>
          <w:szCs w:val="24"/>
        </w:rPr>
        <w:t xml:space="preserve"> free move</w:t>
      </w:r>
      <w:r w:rsidR="004C2DC2" w:rsidRPr="00494700">
        <w:rPr>
          <w:rStyle w:val="cf01"/>
          <w:rFonts w:asciiTheme="majorHAnsi" w:hAnsiTheme="majorHAnsi" w:cstheme="majorHAnsi"/>
          <w:color w:val="000000" w:themeColor="text1"/>
          <w:sz w:val="24"/>
          <w:szCs w:val="24"/>
        </w:rPr>
        <w:t xml:space="preserve">; there were no ruptures </w:t>
      </w:r>
      <w:r w:rsidR="004C2DC2" w:rsidRPr="00494700">
        <w:rPr>
          <w:rStyle w:val="cf01"/>
          <w:rFonts w:asciiTheme="majorHAnsi" w:hAnsiTheme="majorHAnsi" w:cstheme="majorHAnsi"/>
          <w:color w:val="000000" w:themeColor="text1"/>
          <w:sz w:val="24"/>
          <w:szCs w:val="24"/>
        </w:rPr>
        <w:fldChar w:fldCharType="begin" w:fldLock="1"/>
      </w:r>
      <w:r w:rsidR="00A50831">
        <w:rPr>
          <w:rStyle w:val="cf01"/>
          <w:rFonts w:asciiTheme="majorHAnsi" w:hAnsiTheme="majorHAnsi" w:cstheme="majorHAnsi"/>
          <w:color w:val="000000" w:themeColor="text1"/>
          <w:sz w:val="24"/>
          <w:szCs w:val="24"/>
        </w:rPr>
        <w:instrText>ADDIN CSL_CITATION {"citationItems":[{"id":"ITEM-1","itemData":{"DOI":"10.1016/j.jht.2018.10.003","ISSN":"1545004X","PMID":"30905495","abstract":"Study Design: Randomized clinical trial with parallel groups. Introduction: Early active mobilization programs are used after zones V and VI extensor tendon repairs; two programs used are relative motion extension (RME) orthosis and controlled active motion (CAM). Although no comparative studies exist, use of the RME orthosis has been reported to support earlier hand function. Purpose of the Study: This randomized clinical trial investigated whether patients managed with an RME program would recover hand function earlier postoperatively than those managed with a CAM program. Methods: Forty-two participants with zones V-VI extensor tendon repairs were randomized into either a CAM or RME program. The Sollerman Hand Function Test (SHFT) was the primary outcome measure of hand function. Days to return to work, QuickDASH (Disabilities of Arm, Shoulder and Hand) questionnaire, total active motion (TAM), grip strength, and patient satisfaction were the secondary measures of outcome. Results: The RME group demonstrated better results at four weeks for the SHFT score (P =.0073; 95% CI: −10.9, −1.8), QuickDASH score (P =.05; 95% CI: −0.05, 19.5), and TAM (P =.008; 95% CI: −65.4, −10.6). Days to return to work were similar between groups (P =.77; 95% CI: −28.1, 36.1). RME participants were more satisfied with the orthosis (P &lt;.0001; 95% CI: 3.5, 8.4). No tendon ruptures occurred. Discussion: Participants managed using an RME program, and RME finger orthosis demonstrated significantly better early hand function, TAM, and orthosis satisfaction than those managed by the CAM program using a static wrist-hand-finger orthosis. This is likely due to the less restrictive design of the RME orthosis. Conclusions: The RME program supports safe earlier recovery of hand function and motion when compared to a CAM program following repair of zones V and VI extensor tendons.","author":[{"dropping-particle":"","family":"Collocott","given":"Shirley J.F.","non-dropping-particle":"","parse-names":false,"suffix":""},{"dropping-particle":"","family":"Kelly","given":"Edel","non-dropping-particle":"","parse-names":false,"suffix":""},{"dropping-particle":"","family":"Foster","given":"Michael","non-dropping-particle":"","parse-names":false,"suffix":""},{"dropping-particle":"","family":"Myhr","given":"Heidi","non-dropping-particle":"","parse-names":false,"suffix":""},{"dropping-particle":"","family":"Wang","given":"Amy","non-dropping-particle":"","parse-names":false,"suffix":""},{"dropping-particle":"","family":"Ellis","given":"Richard F.","non-dropping-particle":"","parse-names":false,"suffix":""}],"container-title":"Journal of Hand Therapy","id":"ITEM-1","issue":"1","issued":{"date-parts":[["2019"]]},"page":"13-24","publisher":"Elsevier Inc","title":"A randomized clinical trial comparing early active motion programs: Earlier hand function, TAM, and orthotic satisfaction with a relative motion extension program for zones V and VI extensor tendon repairs","type":"article-journal","volume":"33"},"uris":["http://www.mendeley.com/documents/?uuid=457241c4-a5e0-4a26-b5e9-9ba5caafb405"]}],"mendeley":{"formattedCitation":"(26)","plainTextFormattedCitation":"(26)","previouslyFormattedCitation":"(26)"},"properties":{"noteIndex":0},"schema":"https://github.com/citation-style-language/schema/raw/master/csl-citation.json"}</w:instrText>
      </w:r>
      <w:r w:rsidR="004C2DC2" w:rsidRPr="00494700">
        <w:rPr>
          <w:rStyle w:val="cf01"/>
          <w:rFonts w:asciiTheme="majorHAnsi" w:hAnsiTheme="majorHAnsi" w:cstheme="majorHAnsi"/>
          <w:color w:val="000000" w:themeColor="text1"/>
          <w:sz w:val="24"/>
          <w:szCs w:val="24"/>
        </w:rPr>
        <w:fldChar w:fldCharType="separate"/>
      </w:r>
      <w:r w:rsidR="00D06ED5" w:rsidRPr="00D06ED5">
        <w:rPr>
          <w:rStyle w:val="cf01"/>
          <w:rFonts w:asciiTheme="majorHAnsi" w:hAnsiTheme="majorHAnsi" w:cstheme="majorHAnsi"/>
          <w:noProof/>
          <w:color w:val="000000" w:themeColor="text1"/>
          <w:sz w:val="24"/>
          <w:szCs w:val="24"/>
        </w:rPr>
        <w:t>(26)</w:t>
      </w:r>
      <w:r w:rsidR="004C2DC2" w:rsidRPr="00494700">
        <w:rPr>
          <w:rStyle w:val="cf01"/>
          <w:rFonts w:asciiTheme="majorHAnsi" w:hAnsiTheme="majorHAnsi" w:cstheme="majorHAnsi"/>
          <w:color w:val="000000" w:themeColor="text1"/>
          <w:sz w:val="24"/>
          <w:szCs w:val="24"/>
        </w:rPr>
        <w:fldChar w:fldCharType="end"/>
      </w:r>
      <w:r w:rsidR="00C12E67" w:rsidRPr="00494700">
        <w:rPr>
          <w:rStyle w:val="cf01"/>
          <w:rFonts w:asciiTheme="majorHAnsi" w:hAnsiTheme="majorHAnsi" w:cstheme="majorHAnsi"/>
          <w:color w:val="000000" w:themeColor="text1"/>
          <w:sz w:val="24"/>
          <w:szCs w:val="24"/>
        </w:rPr>
        <w:t xml:space="preserve">. </w:t>
      </w:r>
      <w:r w:rsidR="001E0337" w:rsidRPr="00494700">
        <w:rPr>
          <w:rStyle w:val="cf01"/>
          <w:rFonts w:asciiTheme="majorHAnsi" w:hAnsiTheme="majorHAnsi" w:cstheme="majorHAnsi"/>
          <w:color w:val="000000" w:themeColor="text1"/>
          <w:sz w:val="24"/>
          <w:szCs w:val="24"/>
        </w:rPr>
        <w:t xml:space="preserve">It is possible that </w:t>
      </w:r>
      <w:r w:rsidR="00C041A0" w:rsidRPr="00494700">
        <w:rPr>
          <w:rStyle w:val="cf01"/>
          <w:rFonts w:asciiTheme="majorHAnsi" w:hAnsiTheme="majorHAnsi" w:cstheme="majorHAnsi"/>
          <w:color w:val="000000" w:themeColor="text1"/>
          <w:sz w:val="24"/>
          <w:szCs w:val="24"/>
        </w:rPr>
        <w:t xml:space="preserve">the wrist component may </w:t>
      </w:r>
      <w:r w:rsidR="004C2DC2" w:rsidRPr="00494700">
        <w:rPr>
          <w:rStyle w:val="cf01"/>
          <w:rFonts w:asciiTheme="majorHAnsi" w:hAnsiTheme="majorHAnsi" w:cstheme="majorHAnsi"/>
          <w:color w:val="000000" w:themeColor="text1"/>
          <w:sz w:val="24"/>
          <w:szCs w:val="24"/>
        </w:rPr>
        <w:t>not be</w:t>
      </w:r>
      <w:r w:rsidR="00494700" w:rsidRPr="00494700">
        <w:rPr>
          <w:rStyle w:val="cf01"/>
          <w:rFonts w:asciiTheme="majorHAnsi" w:hAnsiTheme="majorHAnsi" w:cstheme="majorHAnsi"/>
          <w:color w:val="000000" w:themeColor="text1"/>
          <w:sz w:val="24"/>
          <w:szCs w:val="24"/>
        </w:rPr>
        <w:t xml:space="preserve"> routinely</w:t>
      </w:r>
      <w:r w:rsidR="004C2DC2" w:rsidRPr="00494700">
        <w:rPr>
          <w:rStyle w:val="cf01"/>
          <w:rFonts w:asciiTheme="majorHAnsi" w:hAnsiTheme="majorHAnsi" w:cstheme="majorHAnsi"/>
          <w:color w:val="000000" w:themeColor="text1"/>
          <w:sz w:val="24"/>
          <w:szCs w:val="24"/>
        </w:rPr>
        <w:t xml:space="preserve"> required following flexor tendon repair</w:t>
      </w:r>
      <w:r w:rsidR="00D502EE">
        <w:rPr>
          <w:rStyle w:val="cf01"/>
          <w:rFonts w:asciiTheme="majorHAnsi" w:hAnsiTheme="majorHAnsi" w:cstheme="majorHAnsi"/>
          <w:color w:val="000000" w:themeColor="text1"/>
          <w:sz w:val="24"/>
          <w:szCs w:val="24"/>
        </w:rPr>
        <w:t>. Anecdotally, several</w:t>
      </w:r>
      <w:r w:rsidR="009D2BB9">
        <w:rPr>
          <w:rStyle w:val="cf01"/>
          <w:rFonts w:asciiTheme="majorHAnsi" w:hAnsiTheme="majorHAnsi" w:cstheme="majorHAnsi"/>
          <w:color w:val="000000" w:themeColor="text1"/>
          <w:sz w:val="24"/>
          <w:szCs w:val="24"/>
        </w:rPr>
        <w:t xml:space="preserve"> of our</w:t>
      </w:r>
      <w:r w:rsidR="00D502EE">
        <w:rPr>
          <w:rStyle w:val="cf01"/>
          <w:rFonts w:asciiTheme="majorHAnsi" w:hAnsiTheme="majorHAnsi" w:cstheme="majorHAnsi"/>
          <w:color w:val="000000" w:themeColor="text1"/>
          <w:sz w:val="24"/>
          <w:szCs w:val="24"/>
        </w:rPr>
        <w:t xml:space="preserve"> patients recalled discarding the wrist orthosis at an early stage of their rehabilitation without ill-effect; </w:t>
      </w:r>
      <w:r w:rsidR="00494700" w:rsidRPr="00494700">
        <w:rPr>
          <w:rStyle w:val="cf01"/>
          <w:rFonts w:asciiTheme="majorHAnsi" w:hAnsiTheme="majorHAnsi" w:cstheme="majorHAnsi"/>
          <w:color w:val="000000" w:themeColor="text1"/>
          <w:sz w:val="24"/>
          <w:szCs w:val="24"/>
        </w:rPr>
        <w:t>however</w:t>
      </w:r>
      <w:r w:rsidR="00A74ADF">
        <w:rPr>
          <w:rStyle w:val="cf01"/>
          <w:rFonts w:asciiTheme="majorHAnsi" w:hAnsiTheme="majorHAnsi" w:cstheme="majorHAnsi"/>
          <w:color w:val="000000" w:themeColor="text1"/>
          <w:sz w:val="24"/>
          <w:szCs w:val="24"/>
        </w:rPr>
        <w:t>,</w:t>
      </w:r>
      <w:r w:rsidR="00494700" w:rsidRPr="00494700">
        <w:rPr>
          <w:rStyle w:val="cf01"/>
          <w:rFonts w:asciiTheme="majorHAnsi" w:hAnsiTheme="majorHAnsi" w:cstheme="majorHAnsi"/>
          <w:color w:val="000000" w:themeColor="text1"/>
          <w:sz w:val="24"/>
          <w:szCs w:val="24"/>
        </w:rPr>
        <w:t xml:space="preserve"> </w:t>
      </w:r>
      <w:r w:rsidR="0048023E">
        <w:rPr>
          <w:rStyle w:val="cf01"/>
          <w:rFonts w:asciiTheme="majorHAnsi" w:hAnsiTheme="majorHAnsi" w:cstheme="majorHAnsi"/>
          <w:color w:val="000000" w:themeColor="text1"/>
          <w:sz w:val="24"/>
          <w:szCs w:val="24"/>
        </w:rPr>
        <w:t xml:space="preserve">in the absence of any research, </w:t>
      </w:r>
      <w:r w:rsidR="00494700" w:rsidRPr="00494700">
        <w:rPr>
          <w:rStyle w:val="cf01"/>
          <w:rFonts w:asciiTheme="majorHAnsi" w:hAnsiTheme="majorHAnsi" w:cstheme="majorHAnsi"/>
          <w:color w:val="000000" w:themeColor="text1"/>
          <w:sz w:val="24"/>
          <w:szCs w:val="24"/>
        </w:rPr>
        <w:t xml:space="preserve">this </w:t>
      </w:r>
      <w:r w:rsidR="00D502EE">
        <w:rPr>
          <w:rStyle w:val="cf01"/>
          <w:rFonts w:asciiTheme="majorHAnsi" w:hAnsiTheme="majorHAnsi" w:cstheme="majorHAnsi"/>
          <w:color w:val="000000" w:themeColor="text1"/>
          <w:sz w:val="24"/>
          <w:szCs w:val="24"/>
        </w:rPr>
        <w:t>does not form part of our current clinical practice or recommendations.</w:t>
      </w:r>
    </w:p>
    <w:p w14:paraId="391E13F5" w14:textId="68FFE1D3" w:rsidR="00DF1C69" w:rsidRDefault="00DF1C69" w:rsidP="00950475">
      <w:pPr>
        <w:spacing w:line="480" w:lineRule="auto"/>
        <w:rPr>
          <w:noProof/>
        </w:rPr>
      </w:pPr>
    </w:p>
    <w:p w14:paraId="41EE56B2" w14:textId="5C242C6D" w:rsidR="00795BFC" w:rsidRPr="00B20FF5" w:rsidRDefault="00795BFC" w:rsidP="00950475">
      <w:pPr>
        <w:pStyle w:val="Heading3"/>
        <w:spacing w:line="480" w:lineRule="auto"/>
        <w:rPr>
          <w:rFonts w:ascii="Calibri Light" w:hAnsi="Calibri Light" w:cs="Calibri Light"/>
          <w:b w:val="0"/>
          <w:bCs/>
          <w:color w:val="244061" w:themeColor="accent1" w:themeShade="80"/>
          <w:sz w:val="24"/>
          <w:szCs w:val="24"/>
        </w:rPr>
      </w:pPr>
      <w:r w:rsidRPr="00B20FF5">
        <w:rPr>
          <w:rFonts w:ascii="Calibri Light" w:hAnsi="Calibri Light" w:cs="Calibri Light"/>
          <w:b w:val="0"/>
          <w:bCs/>
          <w:color w:val="244061" w:themeColor="accent1" w:themeShade="80"/>
          <w:sz w:val="24"/>
          <w:szCs w:val="24"/>
        </w:rPr>
        <w:t xml:space="preserve">Exercise programs </w:t>
      </w:r>
      <w:r w:rsidR="00AB2697" w:rsidRPr="00B20FF5">
        <w:rPr>
          <w:rFonts w:ascii="Calibri Light" w:hAnsi="Calibri Light" w:cs="Calibri Light"/>
          <w:b w:val="0"/>
          <w:bCs/>
          <w:color w:val="244061" w:themeColor="accent1" w:themeShade="80"/>
          <w:sz w:val="24"/>
          <w:szCs w:val="24"/>
        </w:rPr>
        <w:t>and hand</w:t>
      </w:r>
      <w:r w:rsidR="00F22F71" w:rsidRPr="00B20FF5">
        <w:rPr>
          <w:rFonts w:ascii="Calibri Light" w:hAnsi="Calibri Light" w:cs="Calibri Light"/>
          <w:b w:val="0"/>
          <w:bCs/>
          <w:color w:val="244061" w:themeColor="accent1" w:themeShade="80"/>
          <w:sz w:val="24"/>
          <w:szCs w:val="24"/>
        </w:rPr>
        <w:t xml:space="preserve"> function</w:t>
      </w:r>
    </w:p>
    <w:p w14:paraId="06553194" w14:textId="169C1FE7" w:rsidR="0048023E" w:rsidRDefault="00BA69A3" w:rsidP="00950475">
      <w:pPr>
        <w:spacing w:line="480" w:lineRule="auto"/>
        <w:rPr>
          <w:rStyle w:val="cf01"/>
          <w:rFonts w:asciiTheme="majorHAnsi" w:hAnsiTheme="majorHAnsi" w:cstheme="majorHAnsi"/>
          <w:color w:val="000000" w:themeColor="text1"/>
          <w:sz w:val="24"/>
          <w:szCs w:val="24"/>
        </w:rPr>
      </w:pPr>
      <w:r>
        <w:rPr>
          <w:rStyle w:val="cf01"/>
          <w:rFonts w:asciiTheme="majorHAnsi" w:hAnsiTheme="majorHAnsi" w:cstheme="majorHAnsi"/>
          <w:color w:val="000000" w:themeColor="text1"/>
          <w:sz w:val="24"/>
          <w:szCs w:val="24"/>
        </w:rPr>
        <w:t xml:space="preserve">Early active mobilization is a core component of the relative motion </w:t>
      </w:r>
      <w:r w:rsidR="004C04FF">
        <w:rPr>
          <w:rStyle w:val="cf01"/>
          <w:rFonts w:asciiTheme="majorHAnsi" w:hAnsiTheme="majorHAnsi" w:cstheme="majorHAnsi"/>
          <w:color w:val="000000" w:themeColor="text1"/>
          <w:sz w:val="24"/>
          <w:szCs w:val="24"/>
        </w:rPr>
        <w:t>approach</w:t>
      </w:r>
      <w:r>
        <w:rPr>
          <w:rStyle w:val="cf01"/>
          <w:rFonts w:asciiTheme="majorHAnsi" w:hAnsiTheme="majorHAnsi" w:cstheme="majorHAnsi"/>
          <w:color w:val="000000" w:themeColor="text1"/>
          <w:sz w:val="24"/>
          <w:szCs w:val="24"/>
        </w:rPr>
        <w:t xml:space="preserve"> </w:t>
      </w:r>
      <w:r>
        <w:rPr>
          <w:rStyle w:val="cf01"/>
          <w:rFonts w:asciiTheme="majorHAnsi" w:hAnsiTheme="majorHAnsi" w:cstheme="majorHAnsi"/>
          <w:color w:val="000000" w:themeColor="text1"/>
          <w:sz w:val="24"/>
          <w:szCs w:val="24"/>
        </w:rPr>
        <w:fldChar w:fldCharType="begin" w:fldLock="1"/>
      </w:r>
      <w:r w:rsidR="00856F10">
        <w:rPr>
          <w:rStyle w:val="cf01"/>
          <w:rFonts w:asciiTheme="majorHAnsi" w:hAnsiTheme="majorHAnsi" w:cstheme="majorHAnsi"/>
          <w:color w:val="000000" w:themeColor="text1"/>
          <w:sz w:val="24"/>
          <w:szCs w:val="24"/>
        </w:rPr>
        <w:instrText>ADDIN CSL_CITATION {"citationItems":[{"id":"ITEM-1","itemData":{"DOI":"10.1016/j.jhsa.2014.03.015","ISSN":"15316564","PMID":"24862114","abstract":"The relative motion splint was initially developed to facilitate postoperative rehabilitation after repair of extensor tendon injuries at the dorsum of the hand and forearm. It has subsequently been used for rehabilitation of sagittal band injuries and after repair of closed attrition extensor tendon ruptures in rheumatoid arthritis. This is much less awkward than other braces and can readily be worn during normal past-time and work activities. This so-called immediate controlled active motion splinting protocol has also more recently been applied to both operative and nonsurgical rehabilitation for boutonniere deformity. © 2014 ASSH Published by Elsevier, Inc. All rights reserved.","author":[{"dropping-particle":"","family":"Merritt","given":"Wyndell H.","non-dropping-particle":"","parse-names":false,"suffix":""}],"container-title":"Journal of Hand Surgery","id":"ITEM-1","issue":"6","issued":{"date-parts":[["2014"]]},"page":"1187-1194","publisher":"Elsevier Inc","title":"Relative motion splint: Active motion after extensor tendon injury and repair","type":"article-journal","volume":"39"},"uris":["http://www.mendeley.com/documents/?uuid=2c6b24e7-e5ac-4d8c-abb2-1dd846c6960c"]}],"mendeley":{"formattedCitation":"(7)","plainTextFormattedCitation":"(7)","previouslyFormattedCitation":"(7)"},"properties":{"noteIndex":0},"schema":"https://github.com/citation-style-language/schema/raw/master/csl-citation.json"}</w:instrText>
      </w:r>
      <w:r>
        <w:rPr>
          <w:rStyle w:val="cf01"/>
          <w:rFonts w:asciiTheme="majorHAnsi" w:hAnsiTheme="majorHAnsi" w:cstheme="majorHAnsi"/>
          <w:color w:val="000000" w:themeColor="text1"/>
          <w:sz w:val="24"/>
          <w:szCs w:val="24"/>
        </w:rPr>
        <w:fldChar w:fldCharType="separate"/>
      </w:r>
      <w:r w:rsidRPr="00BA69A3">
        <w:rPr>
          <w:rStyle w:val="cf01"/>
          <w:rFonts w:asciiTheme="majorHAnsi" w:hAnsiTheme="majorHAnsi" w:cstheme="majorHAnsi"/>
          <w:noProof/>
          <w:color w:val="000000" w:themeColor="text1"/>
          <w:sz w:val="24"/>
          <w:szCs w:val="24"/>
        </w:rPr>
        <w:t>(7)</w:t>
      </w:r>
      <w:r>
        <w:rPr>
          <w:rStyle w:val="cf01"/>
          <w:rFonts w:asciiTheme="majorHAnsi" w:hAnsiTheme="majorHAnsi" w:cstheme="majorHAnsi"/>
          <w:color w:val="000000" w:themeColor="text1"/>
          <w:sz w:val="24"/>
          <w:szCs w:val="24"/>
        </w:rPr>
        <w:fldChar w:fldCharType="end"/>
      </w:r>
      <w:r>
        <w:rPr>
          <w:rStyle w:val="cf01"/>
          <w:rFonts w:asciiTheme="majorHAnsi" w:hAnsiTheme="majorHAnsi" w:cstheme="majorHAnsi"/>
          <w:color w:val="000000" w:themeColor="text1"/>
          <w:sz w:val="24"/>
          <w:szCs w:val="24"/>
        </w:rPr>
        <w:t xml:space="preserve">. </w:t>
      </w:r>
      <w:r w:rsidR="00C53642">
        <w:rPr>
          <w:rStyle w:val="cf01"/>
          <w:rFonts w:asciiTheme="majorHAnsi" w:hAnsiTheme="majorHAnsi" w:cstheme="majorHAnsi"/>
          <w:color w:val="000000" w:themeColor="text1"/>
          <w:sz w:val="24"/>
          <w:szCs w:val="24"/>
        </w:rPr>
        <w:t>This can be achieved through movement exercises and function</w:t>
      </w:r>
      <w:r w:rsidR="0048023E">
        <w:rPr>
          <w:rStyle w:val="cf01"/>
          <w:rFonts w:asciiTheme="majorHAnsi" w:hAnsiTheme="majorHAnsi" w:cstheme="majorHAnsi"/>
          <w:color w:val="000000" w:themeColor="text1"/>
          <w:sz w:val="24"/>
          <w:szCs w:val="24"/>
        </w:rPr>
        <w:t>al hand use</w:t>
      </w:r>
      <w:r w:rsidR="00C53642">
        <w:rPr>
          <w:rStyle w:val="cf01"/>
          <w:rFonts w:asciiTheme="majorHAnsi" w:hAnsiTheme="majorHAnsi" w:cstheme="majorHAnsi"/>
          <w:color w:val="000000" w:themeColor="text1"/>
          <w:sz w:val="24"/>
          <w:szCs w:val="24"/>
        </w:rPr>
        <w:t xml:space="preserve">. </w:t>
      </w:r>
    </w:p>
    <w:p w14:paraId="1049BCEF" w14:textId="77777777" w:rsidR="0048023E" w:rsidRDefault="0048023E" w:rsidP="00950475">
      <w:pPr>
        <w:spacing w:line="480" w:lineRule="auto"/>
        <w:rPr>
          <w:rStyle w:val="cf01"/>
          <w:rFonts w:asciiTheme="majorHAnsi" w:hAnsiTheme="majorHAnsi" w:cstheme="majorHAnsi"/>
          <w:color w:val="000000" w:themeColor="text1"/>
          <w:sz w:val="24"/>
          <w:szCs w:val="24"/>
        </w:rPr>
      </w:pPr>
    </w:p>
    <w:p w14:paraId="3D213525" w14:textId="6F056300" w:rsidR="008459D3" w:rsidRDefault="0048023E" w:rsidP="00950475">
      <w:pPr>
        <w:spacing w:line="480" w:lineRule="auto"/>
        <w:rPr>
          <w:rStyle w:val="cf01"/>
          <w:rFonts w:asciiTheme="majorHAnsi" w:hAnsiTheme="majorHAnsi" w:cstheme="majorHAnsi"/>
          <w:color w:val="000000" w:themeColor="text1"/>
          <w:sz w:val="24"/>
          <w:szCs w:val="24"/>
        </w:rPr>
      </w:pPr>
      <w:r>
        <w:rPr>
          <w:rStyle w:val="cf01"/>
          <w:rFonts w:asciiTheme="majorHAnsi" w:hAnsiTheme="majorHAnsi" w:cstheme="majorHAnsi"/>
          <w:color w:val="000000" w:themeColor="text1"/>
          <w:sz w:val="24"/>
          <w:szCs w:val="24"/>
        </w:rPr>
        <w:t>R</w:t>
      </w:r>
      <w:r w:rsidR="00C53642">
        <w:rPr>
          <w:rStyle w:val="cf01"/>
          <w:rFonts w:asciiTheme="majorHAnsi" w:hAnsiTheme="majorHAnsi" w:cstheme="majorHAnsi"/>
          <w:color w:val="000000" w:themeColor="text1"/>
          <w:sz w:val="24"/>
          <w:szCs w:val="24"/>
        </w:rPr>
        <w:t>eported exercise</w:t>
      </w:r>
      <w:r>
        <w:rPr>
          <w:rStyle w:val="cf01"/>
          <w:rFonts w:asciiTheme="majorHAnsi" w:hAnsiTheme="majorHAnsi" w:cstheme="majorHAnsi"/>
          <w:color w:val="000000" w:themeColor="text1"/>
          <w:sz w:val="24"/>
          <w:szCs w:val="24"/>
        </w:rPr>
        <w:t xml:space="preserve"> programs,</w:t>
      </w:r>
      <w:r w:rsidR="00C53642">
        <w:rPr>
          <w:rStyle w:val="cf01"/>
          <w:rFonts w:asciiTheme="majorHAnsi" w:hAnsiTheme="majorHAnsi" w:cstheme="majorHAnsi"/>
          <w:color w:val="000000" w:themeColor="text1"/>
          <w:sz w:val="24"/>
          <w:szCs w:val="24"/>
        </w:rPr>
        <w:t xml:space="preserve"> timescales </w:t>
      </w:r>
      <w:r>
        <w:rPr>
          <w:rStyle w:val="cf01"/>
          <w:rFonts w:asciiTheme="majorHAnsi" w:hAnsiTheme="majorHAnsi" w:cstheme="majorHAnsi"/>
          <w:color w:val="000000" w:themeColor="text1"/>
          <w:sz w:val="24"/>
          <w:szCs w:val="24"/>
        </w:rPr>
        <w:t xml:space="preserve">and recommended hand function vary. </w:t>
      </w:r>
      <w:r w:rsidR="00C53642">
        <w:rPr>
          <w:rStyle w:val="cf01"/>
          <w:rFonts w:asciiTheme="majorHAnsi" w:hAnsiTheme="majorHAnsi" w:cstheme="majorHAnsi"/>
          <w:color w:val="000000" w:themeColor="text1"/>
          <w:sz w:val="24"/>
          <w:szCs w:val="24"/>
        </w:rPr>
        <w:t xml:space="preserve">Patients in the study by </w:t>
      </w:r>
      <w:r w:rsidR="00B14B34">
        <w:rPr>
          <w:rStyle w:val="cf01"/>
          <w:rFonts w:asciiTheme="majorHAnsi" w:hAnsiTheme="majorHAnsi" w:cstheme="majorHAnsi"/>
          <w:color w:val="000000" w:themeColor="text1"/>
          <w:sz w:val="24"/>
          <w:szCs w:val="24"/>
        </w:rPr>
        <w:t xml:space="preserve">Henry and Howell </w:t>
      </w:r>
      <w:r w:rsidR="00FE36C6">
        <w:rPr>
          <w:rStyle w:val="cf01"/>
          <w:rFonts w:asciiTheme="majorHAnsi" w:hAnsiTheme="majorHAnsi" w:cstheme="majorHAnsi"/>
          <w:color w:val="000000" w:themeColor="text1"/>
          <w:sz w:val="24"/>
          <w:szCs w:val="24"/>
        </w:rPr>
        <w:t>were advised by their surgeon</w:t>
      </w:r>
      <w:r w:rsidR="00854631">
        <w:rPr>
          <w:rStyle w:val="cf01"/>
          <w:rFonts w:asciiTheme="majorHAnsi" w:hAnsiTheme="majorHAnsi" w:cstheme="majorHAnsi"/>
          <w:color w:val="000000" w:themeColor="text1"/>
          <w:sz w:val="24"/>
          <w:szCs w:val="24"/>
        </w:rPr>
        <w:t xml:space="preserve"> to complete</w:t>
      </w:r>
      <w:r w:rsidR="00B14B34">
        <w:rPr>
          <w:rStyle w:val="cf01"/>
          <w:rFonts w:asciiTheme="majorHAnsi" w:hAnsiTheme="majorHAnsi" w:cstheme="majorHAnsi"/>
          <w:color w:val="000000" w:themeColor="text1"/>
          <w:sz w:val="24"/>
          <w:szCs w:val="24"/>
        </w:rPr>
        <w:t xml:space="preserve"> </w:t>
      </w:r>
      <w:r w:rsidR="00133563">
        <w:rPr>
          <w:rStyle w:val="cf01"/>
          <w:rFonts w:asciiTheme="majorHAnsi" w:hAnsiTheme="majorHAnsi" w:cstheme="majorHAnsi"/>
          <w:color w:val="000000" w:themeColor="text1"/>
          <w:sz w:val="24"/>
          <w:szCs w:val="24"/>
        </w:rPr>
        <w:t xml:space="preserve">(i) </w:t>
      </w:r>
      <w:r w:rsidR="00B14B34">
        <w:rPr>
          <w:rStyle w:val="cf01"/>
          <w:rFonts w:asciiTheme="majorHAnsi" w:hAnsiTheme="majorHAnsi" w:cstheme="majorHAnsi"/>
          <w:color w:val="000000" w:themeColor="text1"/>
          <w:sz w:val="24"/>
          <w:szCs w:val="24"/>
        </w:rPr>
        <w:t>passive combined IP</w:t>
      </w:r>
      <w:r w:rsidR="00133563">
        <w:rPr>
          <w:rStyle w:val="cf01"/>
          <w:rFonts w:asciiTheme="majorHAnsi" w:hAnsiTheme="majorHAnsi" w:cstheme="majorHAnsi"/>
          <w:color w:val="000000" w:themeColor="text1"/>
          <w:sz w:val="24"/>
          <w:szCs w:val="24"/>
        </w:rPr>
        <w:t xml:space="preserve"> joint</w:t>
      </w:r>
      <w:r w:rsidR="00CE562B">
        <w:rPr>
          <w:rStyle w:val="cf01"/>
          <w:rFonts w:asciiTheme="majorHAnsi" w:hAnsiTheme="majorHAnsi" w:cstheme="majorHAnsi"/>
          <w:color w:val="000000" w:themeColor="text1"/>
          <w:sz w:val="24"/>
          <w:szCs w:val="24"/>
        </w:rPr>
        <w:t xml:space="preserve"> </w:t>
      </w:r>
      <w:r w:rsidR="00B14B34">
        <w:rPr>
          <w:rStyle w:val="cf01"/>
          <w:rFonts w:asciiTheme="majorHAnsi" w:hAnsiTheme="majorHAnsi" w:cstheme="majorHAnsi"/>
          <w:color w:val="000000" w:themeColor="text1"/>
          <w:sz w:val="24"/>
          <w:szCs w:val="24"/>
        </w:rPr>
        <w:t xml:space="preserve">flexion, </w:t>
      </w:r>
      <w:r w:rsidR="00133563">
        <w:rPr>
          <w:rStyle w:val="cf01"/>
          <w:rFonts w:asciiTheme="majorHAnsi" w:hAnsiTheme="majorHAnsi" w:cstheme="majorHAnsi"/>
          <w:color w:val="000000" w:themeColor="text1"/>
          <w:sz w:val="24"/>
          <w:szCs w:val="24"/>
        </w:rPr>
        <w:t xml:space="preserve">(ii) </w:t>
      </w:r>
      <w:r w:rsidR="00B14B34">
        <w:rPr>
          <w:rStyle w:val="cf01"/>
          <w:rFonts w:asciiTheme="majorHAnsi" w:hAnsiTheme="majorHAnsi" w:cstheme="majorHAnsi"/>
          <w:color w:val="000000" w:themeColor="text1"/>
          <w:sz w:val="24"/>
          <w:szCs w:val="24"/>
        </w:rPr>
        <w:t>passive IP</w:t>
      </w:r>
      <w:r w:rsidR="00133563">
        <w:rPr>
          <w:rStyle w:val="cf01"/>
          <w:rFonts w:asciiTheme="majorHAnsi" w:hAnsiTheme="majorHAnsi" w:cstheme="majorHAnsi"/>
          <w:color w:val="000000" w:themeColor="text1"/>
          <w:sz w:val="24"/>
          <w:szCs w:val="24"/>
        </w:rPr>
        <w:t xml:space="preserve"> joint</w:t>
      </w:r>
      <w:r w:rsidR="00B14B34">
        <w:rPr>
          <w:rStyle w:val="cf01"/>
          <w:rFonts w:asciiTheme="majorHAnsi" w:hAnsiTheme="majorHAnsi" w:cstheme="majorHAnsi"/>
          <w:color w:val="000000" w:themeColor="text1"/>
          <w:sz w:val="24"/>
          <w:szCs w:val="24"/>
        </w:rPr>
        <w:t xml:space="preserve"> extension with the </w:t>
      </w:r>
      <w:proofErr w:type="spellStart"/>
      <w:r w:rsidR="00B14B34">
        <w:rPr>
          <w:rStyle w:val="cf01"/>
          <w:rFonts w:asciiTheme="majorHAnsi" w:hAnsiTheme="majorHAnsi" w:cstheme="majorHAnsi"/>
          <w:color w:val="000000" w:themeColor="text1"/>
          <w:sz w:val="24"/>
          <w:szCs w:val="24"/>
        </w:rPr>
        <w:t>MCP</w:t>
      </w:r>
      <w:proofErr w:type="spellEnd"/>
      <w:r w:rsidR="00B14B34">
        <w:rPr>
          <w:rStyle w:val="cf01"/>
          <w:rFonts w:asciiTheme="majorHAnsi" w:hAnsiTheme="majorHAnsi" w:cstheme="majorHAnsi"/>
          <w:color w:val="000000" w:themeColor="text1"/>
          <w:sz w:val="24"/>
          <w:szCs w:val="24"/>
        </w:rPr>
        <w:t xml:space="preserve"> joint in flexion and </w:t>
      </w:r>
      <w:r w:rsidR="00133563">
        <w:rPr>
          <w:rStyle w:val="cf01"/>
          <w:rFonts w:asciiTheme="majorHAnsi" w:hAnsiTheme="majorHAnsi" w:cstheme="majorHAnsi"/>
          <w:color w:val="000000" w:themeColor="text1"/>
          <w:sz w:val="24"/>
          <w:szCs w:val="24"/>
        </w:rPr>
        <w:t xml:space="preserve">(iii) </w:t>
      </w:r>
      <w:r w:rsidR="00B14B34">
        <w:rPr>
          <w:rStyle w:val="cf01"/>
          <w:rFonts w:asciiTheme="majorHAnsi" w:hAnsiTheme="majorHAnsi" w:cstheme="majorHAnsi"/>
          <w:color w:val="000000" w:themeColor="text1"/>
          <w:sz w:val="24"/>
          <w:szCs w:val="24"/>
        </w:rPr>
        <w:t>active range of movement</w:t>
      </w:r>
      <w:r w:rsidR="00133563">
        <w:rPr>
          <w:rStyle w:val="cf01"/>
          <w:rFonts w:asciiTheme="majorHAnsi" w:hAnsiTheme="majorHAnsi" w:cstheme="majorHAnsi"/>
          <w:color w:val="000000" w:themeColor="text1"/>
          <w:sz w:val="24"/>
          <w:szCs w:val="24"/>
        </w:rPr>
        <w:t>, all</w:t>
      </w:r>
      <w:r w:rsidR="00B14B34">
        <w:rPr>
          <w:rStyle w:val="cf01"/>
          <w:rFonts w:asciiTheme="majorHAnsi" w:hAnsiTheme="majorHAnsi" w:cstheme="majorHAnsi"/>
          <w:color w:val="000000" w:themeColor="text1"/>
          <w:sz w:val="24"/>
          <w:szCs w:val="24"/>
        </w:rPr>
        <w:t xml:space="preserve"> within the</w:t>
      </w:r>
      <w:r w:rsidR="00F22F71">
        <w:rPr>
          <w:rStyle w:val="cf01"/>
          <w:rFonts w:asciiTheme="majorHAnsi" w:hAnsiTheme="majorHAnsi" w:cstheme="majorHAnsi"/>
          <w:color w:val="000000" w:themeColor="text1"/>
          <w:sz w:val="24"/>
          <w:szCs w:val="24"/>
        </w:rPr>
        <w:t xml:space="preserve"> </w:t>
      </w:r>
      <w:proofErr w:type="spellStart"/>
      <w:r w:rsidR="00FE36C6">
        <w:rPr>
          <w:rStyle w:val="cf01"/>
          <w:rFonts w:asciiTheme="majorHAnsi" w:hAnsiTheme="majorHAnsi" w:cstheme="majorHAnsi"/>
          <w:color w:val="000000" w:themeColor="text1"/>
          <w:sz w:val="24"/>
          <w:szCs w:val="24"/>
        </w:rPr>
        <w:t>RMF</w:t>
      </w:r>
      <w:proofErr w:type="spellEnd"/>
      <w:r w:rsidR="00FE36C6">
        <w:rPr>
          <w:rStyle w:val="cf01"/>
          <w:rFonts w:asciiTheme="majorHAnsi" w:hAnsiTheme="majorHAnsi" w:cstheme="majorHAnsi"/>
          <w:color w:val="000000" w:themeColor="text1"/>
          <w:sz w:val="24"/>
          <w:szCs w:val="24"/>
        </w:rPr>
        <w:t xml:space="preserve"> </w:t>
      </w:r>
      <w:r w:rsidR="00F22F71">
        <w:rPr>
          <w:rStyle w:val="cf01"/>
          <w:rFonts w:asciiTheme="majorHAnsi" w:hAnsiTheme="majorHAnsi" w:cstheme="majorHAnsi"/>
          <w:color w:val="000000" w:themeColor="text1"/>
          <w:sz w:val="24"/>
          <w:szCs w:val="24"/>
        </w:rPr>
        <w:t>orthosis</w:t>
      </w:r>
      <w:r w:rsidR="00FB6451">
        <w:rPr>
          <w:rStyle w:val="cf01"/>
          <w:rFonts w:asciiTheme="majorHAnsi" w:hAnsiTheme="majorHAnsi" w:cstheme="majorHAnsi"/>
          <w:color w:val="000000" w:themeColor="text1"/>
          <w:sz w:val="24"/>
          <w:szCs w:val="24"/>
        </w:rPr>
        <w:t xml:space="preserve"> </w:t>
      </w:r>
      <w:r w:rsidR="00FB6451">
        <w:rPr>
          <w:rStyle w:val="cf01"/>
          <w:rFonts w:asciiTheme="majorHAnsi" w:hAnsiTheme="majorHAnsi" w:cstheme="majorHAnsi"/>
          <w:color w:val="000000" w:themeColor="text1"/>
          <w:sz w:val="24"/>
          <w:szCs w:val="24"/>
        </w:rPr>
        <w:fldChar w:fldCharType="begin" w:fldLock="1"/>
      </w:r>
      <w:r w:rsidR="00FB6451">
        <w:rPr>
          <w:rStyle w:val="cf01"/>
          <w:rFonts w:asciiTheme="majorHAnsi" w:hAnsiTheme="majorHAnsi" w:cstheme="majorHAnsi"/>
          <w:color w:val="000000" w:themeColor="text1"/>
          <w:sz w:val="24"/>
          <w:szCs w:val="24"/>
        </w:rPr>
        <w:instrText>ADDIN CSL_CITATION {"citationItems":[{"id":"ITEM-1","itemData":{"DOI":"10.1016/j.jht.2019.05.002","ISSN":"0894-1130","author":[{"dropping-particle":"","family":"Henry","given":"Steven L","non-dropping-particle":"","parse-names":false,"suffix":""},{"dropping-particle":"","family":"Howell","given":"Julianne W","non-dropping-particle":"","parse-names":false,"suffix":""}],"container-title":"Journal of Hand Therapy","id":"ITEM-1","issue":"3","issued":{"date-parts":[["2020"]]},"page":"296-304","publisher":"Elsevier Inc","title":"Use of a relative motion flexion orthosis for postoperative management of zone I/II flexor digitorum profundus repair: A retrospective consecutive case series","type":"article-journal","volume":"33"},"uris":["http://www.mendeley.com/documents/?uuid=8cf4242d-792a-4604-a722-3df7e36780c9"]}],"mendeley":{"formattedCitation":"(8)","plainTextFormattedCitation":"(8)","previouslyFormattedCitation":"(8)"},"properties":{"noteIndex":0},"schema":"https://github.com/citation-style-language/schema/raw/master/csl-citation.json"}</w:instrText>
      </w:r>
      <w:r w:rsidR="00FB6451">
        <w:rPr>
          <w:rStyle w:val="cf01"/>
          <w:rFonts w:asciiTheme="majorHAnsi" w:hAnsiTheme="majorHAnsi" w:cstheme="majorHAnsi"/>
          <w:color w:val="000000" w:themeColor="text1"/>
          <w:sz w:val="24"/>
          <w:szCs w:val="24"/>
        </w:rPr>
        <w:fldChar w:fldCharType="separate"/>
      </w:r>
      <w:r w:rsidR="00FB6451" w:rsidRPr="00795BFC">
        <w:rPr>
          <w:rStyle w:val="cf01"/>
          <w:rFonts w:asciiTheme="majorHAnsi" w:hAnsiTheme="majorHAnsi" w:cstheme="majorHAnsi"/>
          <w:noProof/>
          <w:color w:val="000000" w:themeColor="text1"/>
          <w:sz w:val="24"/>
          <w:szCs w:val="24"/>
        </w:rPr>
        <w:t>(8)</w:t>
      </w:r>
      <w:r w:rsidR="00FB6451">
        <w:rPr>
          <w:rStyle w:val="cf01"/>
          <w:rFonts w:asciiTheme="majorHAnsi" w:hAnsiTheme="majorHAnsi" w:cstheme="majorHAnsi"/>
          <w:color w:val="000000" w:themeColor="text1"/>
          <w:sz w:val="24"/>
          <w:szCs w:val="24"/>
        </w:rPr>
        <w:fldChar w:fldCharType="end"/>
      </w:r>
      <w:r w:rsidR="00FB6451">
        <w:rPr>
          <w:rStyle w:val="cf01"/>
          <w:rFonts w:asciiTheme="majorHAnsi" w:hAnsiTheme="majorHAnsi" w:cstheme="majorHAnsi"/>
          <w:color w:val="000000" w:themeColor="text1"/>
          <w:sz w:val="24"/>
          <w:szCs w:val="24"/>
        </w:rPr>
        <w:t xml:space="preserve">. </w:t>
      </w:r>
      <w:r w:rsidR="00133563">
        <w:rPr>
          <w:rStyle w:val="cf01"/>
          <w:rFonts w:asciiTheme="majorHAnsi" w:hAnsiTheme="majorHAnsi" w:cstheme="majorHAnsi"/>
          <w:color w:val="000000" w:themeColor="text1"/>
          <w:sz w:val="24"/>
          <w:szCs w:val="24"/>
        </w:rPr>
        <w:t>Exercise dosage (f</w:t>
      </w:r>
      <w:r w:rsidR="00FB6451">
        <w:rPr>
          <w:rStyle w:val="cf01"/>
          <w:rFonts w:asciiTheme="majorHAnsi" w:hAnsiTheme="majorHAnsi" w:cstheme="majorHAnsi"/>
          <w:color w:val="000000" w:themeColor="text1"/>
          <w:sz w:val="24"/>
          <w:szCs w:val="24"/>
        </w:rPr>
        <w:t>requency and repetitions</w:t>
      </w:r>
      <w:r w:rsidR="00133563">
        <w:rPr>
          <w:rStyle w:val="cf01"/>
          <w:rFonts w:asciiTheme="majorHAnsi" w:hAnsiTheme="majorHAnsi" w:cstheme="majorHAnsi"/>
          <w:color w:val="000000" w:themeColor="text1"/>
          <w:sz w:val="24"/>
          <w:szCs w:val="24"/>
        </w:rPr>
        <w:t>)</w:t>
      </w:r>
      <w:r w:rsidR="00FB6451">
        <w:rPr>
          <w:rStyle w:val="cf01"/>
          <w:rFonts w:asciiTheme="majorHAnsi" w:hAnsiTheme="majorHAnsi" w:cstheme="majorHAnsi"/>
          <w:color w:val="000000" w:themeColor="text1"/>
          <w:sz w:val="24"/>
          <w:szCs w:val="24"/>
        </w:rPr>
        <w:t xml:space="preserve"> were not reported, and </w:t>
      </w:r>
      <w:proofErr w:type="gramStart"/>
      <w:r w:rsidR="00FB6451">
        <w:rPr>
          <w:rStyle w:val="cf01"/>
          <w:rFonts w:asciiTheme="majorHAnsi" w:hAnsiTheme="majorHAnsi" w:cstheme="majorHAnsi"/>
          <w:color w:val="000000" w:themeColor="text1"/>
          <w:sz w:val="24"/>
          <w:szCs w:val="24"/>
        </w:rPr>
        <w:t>any</w:t>
      </w:r>
      <w:proofErr w:type="gramEnd"/>
      <w:r w:rsidR="00FB6451">
        <w:rPr>
          <w:rStyle w:val="cf01"/>
          <w:rFonts w:asciiTheme="majorHAnsi" w:hAnsiTheme="majorHAnsi" w:cstheme="majorHAnsi"/>
          <w:color w:val="000000" w:themeColor="text1"/>
          <w:sz w:val="24"/>
          <w:szCs w:val="24"/>
        </w:rPr>
        <w:t xml:space="preserve"> other specific exercises were prescribed as required. </w:t>
      </w:r>
      <w:r w:rsidR="00133563">
        <w:rPr>
          <w:rStyle w:val="cf01"/>
          <w:rFonts w:asciiTheme="majorHAnsi" w:hAnsiTheme="majorHAnsi" w:cstheme="majorHAnsi"/>
          <w:color w:val="000000" w:themeColor="text1"/>
          <w:sz w:val="24"/>
          <w:szCs w:val="24"/>
        </w:rPr>
        <w:t xml:space="preserve">The authors </w:t>
      </w:r>
      <w:r w:rsidR="00FA09FB">
        <w:rPr>
          <w:rStyle w:val="cf01"/>
          <w:rFonts w:asciiTheme="majorHAnsi" w:hAnsiTheme="majorHAnsi" w:cstheme="majorHAnsi"/>
          <w:color w:val="000000" w:themeColor="text1"/>
          <w:sz w:val="24"/>
          <w:szCs w:val="24"/>
        </w:rPr>
        <w:t>recommended</w:t>
      </w:r>
      <w:r w:rsidR="00133563">
        <w:rPr>
          <w:rStyle w:val="cf01"/>
          <w:rFonts w:asciiTheme="majorHAnsi" w:hAnsiTheme="majorHAnsi" w:cstheme="majorHAnsi"/>
          <w:color w:val="000000" w:themeColor="text1"/>
          <w:sz w:val="24"/>
          <w:szCs w:val="24"/>
        </w:rPr>
        <w:t xml:space="preserve"> that </w:t>
      </w:r>
      <w:r w:rsidR="00841359">
        <w:rPr>
          <w:rStyle w:val="cf01"/>
          <w:rFonts w:asciiTheme="majorHAnsi" w:hAnsiTheme="majorHAnsi" w:cstheme="majorHAnsi"/>
          <w:color w:val="000000" w:themeColor="text1"/>
          <w:sz w:val="24"/>
          <w:szCs w:val="24"/>
        </w:rPr>
        <w:t xml:space="preserve">in future, </w:t>
      </w:r>
      <w:r w:rsidR="00133563">
        <w:rPr>
          <w:rStyle w:val="cf01"/>
          <w:rFonts w:asciiTheme="majorHAnsi" w:hAnsiTheme="majorHAnsi" w:cstheme="majorHAnsi"/>
          <w:color w:val="000000" w:themeColor="text1"/>
          <w:sz w:val="24"/>
          <w:szCs w:val="24"/>
        </w:rPr>
        <w:t xml:space="preserve">removal of the </w:t>
      </w:r>
      <w:proofErr w:type="spellStart"/>
      <w:r w:rsidR="00133563">
        <w:rPr>
          <w:rStyle w:val="cf01"/>
          <w:rFonts w:asciiTheme="majorHAnsi" w:hAnsiTheme="majorHAnsi" w:cstheme="majorHAnsi"/>
          <w:color w:val="000000" w:themeColor="text1"/>
          <w:sz w:val="24"/>
          <w:szCs w:val="24"/>
        </w:rPr>
        <w:t>RMF</w:t>
      </w:r>
      <w:proofErr w:type="spellEnd"/>
      <w:r w:rsidR="00133563">
        <w:rPr>
          <w:rStyle w:val="cf01"/>
          <w:rFonts w:asciiTheme="majorHAnsi" w:hAnsiTheme="majorHAnsi" w:cstheme="majorHAnsi"/>
          <w:color w:val="000000" w:themeColor="text1"/>
          <w:sz w:val="24"/>
          <w:szCs w:val="24"/>
        </w:rPr>
        <w:t xml:space="preserve"> orthosis for exercise</w:t>
      </w:r>
      <w:r w:rsidR="00841359">
        <w:rPr>
          <w:rStyle w:val="cf01"/>
          <w:rFonts w:asciiTheme="majorHAnsi" w:hAnsiTheme="majorHAnsi" w:cstheme="majorHAnsi"/>
          <w:color w:val="000000" w:themeColor="text1"/>
          <w:sz w:val="24"/>
          <w:szCs w:val="24"/>
        </w:rPr>
        <w:t xml:space="preserve"> would be beneficial.</w:t>
      </w:r>
      <w:r w:rsidR="00133563">
        <w:rPr>
          <w:rStyle w:val="cf01"/>
          <w:rFonts w:asciiTheme="majorHAnsi" w:hAnsiTheme="majorHAnsi" w:cstheme="majorHAnsi"/>
          <w:color w:val="000000" w:themeColor="text1"/>
          <w:sz w:val="24"/>
          <w:szCs w:val="24"/>
        </w:rPr>
        <w:t xml:space="preserve"> </w:t>
      </w:r>
      <w:r w:rsidR="00FB6451">
        <w:rPr>
          <w:rStyle w:val="cf01"/>
          <w:rFonts w:asciiTheme="majorHAnsi" w:hAnsiTheme="majorHAnsi" w:cstheme="majorHAnsi"/>
          <w:color w:val="000000" w:themeColor="text1"/>
          <w:sz w:val="24"/>
          <w:szCs w:val="24"/>
        </w:rPr>
        <w:t xml:space="preserve">Patients were encouraged </w:t>
      </w:r>
      <w:r w:rsidR="00F22F71">
        <w:rPr>
          <w:rStyle w:val="cf01"/>
          <w:rFonts w:asciiTheme="majorHAnsi" w:hAnsiTheme="majorHAnsi" w:cstheme="majorHAnsi"/>
          <w:color w:val="000000" w:themeColor="text1"/>
          <w:sz w:val="24"/>
          <w:szCs w:val="24"/>
        </w:rPr>
        <w:t xml:space="preserve">to </w:t>
      </w:r>
      <w:r w:rsidR="00854631">
        <w:rPr>
          <w:rStyle w:val="cf01"/>
          <w:rFonts w:asciiTheme="majorHAnsi" w:hAnsiTheme="majorHAnsi" w:cstheme="majorHAnsi"/>
          <w:color w:val="000000" w:themeColor="text1"/>
          <w:sz w:val="24"/>
          <w:szCs w:val="24"/>
        </w:rPr>
        <w:t xml:space="preserve">use the affected </w:t>
      </w:r>
      <w:r w:rsidR="00854631">
        <w:rPr>
          <w:rStyle w:val="cf01"/>
          <w:rFonts w:asciiTheme="majorHAnsi" w:hAnsiTheme="majorHAnsi" w:cstheme="majorHAnsi"/>
          <w:color w:val="000000" w:themeColor="text1"/>
          <w:sz w:val="24"/>
          <w:szCs w:val="24"/>
        </w:rPr>
        <w:lastRenderedPageBreak/>
        <w:t xml:space="preserve">hand for light function during the first </w:t>
      </w:r>
      <w:r w:rsidR="00060B1B">
        <w:rPr>
          <w:rStyle w:val="cf01"/>
          <w:rFonts w:asciiTheme="majorHAnsi" w:hAnsiTheme="majorHAnsi" w:cstheme="majorHAnsi"/>
          <w:color w:val="000000" w:themeColor="text1"/>
          <w:sz w:val="24"/>
          <w:szCs w:val="24"/>
        </w:rPr>
        <w:t>three</w:t>
      </w:r>
      <w:r w:rsidR="00854631">
        <w:rPr>
          <w:rStyle w:val="cf01"/>
          <w:rFonts w:asciiTheme="majorHAnsi" w:hAnsiTheme="majorHAnsi" w:cstheme="majorHAnsi"/>
          <w:color w:val="000000" w:themeColor="text1"/>
          <w:sz w:val="24"/>
          <w:szCs w:val="24"/>
        </w:rPr>
        <w:t xml:space="preserve"> </w:t>
      </w:r>
      <w:proofErr w:type="gramStart"/>
      <w:r w:rsidR="00854631">
        <w:rPr>
          <w:rStyle w:val="cf01"/>
          <w:rFonts w:asciiTheme="majorHAnsi" w:hAnsiTheme="majorHAnsi" w:cstheme="majorHAnsi"/>
          <w:color w:val="000000" w:themeColor="text1"/>
          <w:sz w:val="24"/>
          <w:szCs w:val="24"/>
        </w:rPr>
        <w:t>weeks</w:t>
      </w:r>
      <w:r w:rsidR="00F22F71">
        <w:rPr>
          <w:rStyle w:val="cf01"/>
          <w:rFonts w:asciiTheme="majorHAnsi" w:hAnsiTheme="majorHAnsi" w:cstheme="majorHAnsi"/>
          <w:color w:val="000000" w:themeColor="text1"/>
          <w:sz w:val="24"/>
          <w:szCs w:val="24"/>
        </w:rPr>
        <w:t>, but</w:t>
      </w:r>
      <w:proofErr w:type="gramEnd"/>
      <w:r w:rsidR="00F22F71">
        <w:rPr>
          <w:rStyle w:val="cf01"/>
          <w:rFonts w:asciiTheme="majorHAnsi" w:hAnsiTheme="majorHAnsi" w:cstheme="majorHAnsi"/>
          <w:color w:val="000000" w:themeColor="text1"/>
          <w:sz w:val="24"/>
          <w:szCs w:val="24"/>
        </w:rPr>
        <w:t xml:space="preserve"> cautioned not to lift or grip strenuously. After this</w:t>
      </w:r>
      <w:r w:rsidR="00854631" w:rsidRPr="00854631">
        <w:rPr>
          <w:rStyle w:val="cf01"/>
          <w:rFonts w:asciiTheme="majorHAnsi" w:hAnsiTheme="majorHAnsi" w:cstheme="majorHAnsi"/>
          <w:color w:val="000000" w:themeColor="text1"/>
          <w:sz w:val="24"/>
          <w:szCs w:val="24"/>
        </w:rPr>
        <w:t xml:space="preserve">, both hands could be used to lift a ‘light’ bag, and ‘at risk’ activities such as jogging were </w:t>
      </w:r>
      <w:r>
        <w:rPr>
          <w:rStyle w:val="cf01"/>
          <w:rFonts w:asciiTheme="majorHAnsi" w:hAnsiTheme="majorHAnsi" w:cstheme="majorHAnsi"/>
          <w:color w:val="000000" w:themeColor="text1"/>
          <w:sz w:val="24"/>
          <w:szCs w:val="24"/>
        </w:rPr>
        <w:t>permitted</w:t>
      </w:r>
      <w:r w:rsidR="00854631" w:rsidRPr="00854631">
        <w:rPr>
          <w:rStyle w:val="cf01"/>
          <w:rFonts w:asciiTheme="majorHAnsi" w:hAnsiTheme="majorHAnsi" w:cstheme="majorHAnsi"/>
          <w:color w:val="000000" w:themeColor="text1"/>
          <w:sz w:val="24"/>
          <w:szCs w:val="24"/>
        </w:rPr>
        <w:t xml:space="preserve">. Bilateral hand use to the equivalent of 3.5 kg was allowed from six weeks </w:t>
      </w:r>
      <w:r w:rsidR="00854631" w:rsidRPr="00060B1B">
        <w:rPr>
          <w:rStyle w:val="cf01"/>
          <w:rFonts w:asciiTheme="majorHAnsi" w:hAnsiTheme="majorHAnsi" w:cstheme="majorHAnsi"/>
          <w:color w:val="000000" w:themeColor="text1"/>
          <w:sz w:val="24"/>
          <w:szCs w:val="24"/>
        </w:rPr>
        <w:t xml:space="preserve">postoperatively. </w:t>
      </w:r>
      <w:r w:rsidR="00FB6451" w:rsidRPr="00060B1B">
        <w:rPr>
          <w:rStyle w:val="cf01"/>
          <w:rFonts w:asciiTheme="majorHAnsi" w:hAnsiTheme="majorHAnsi" w:cstheme="majorHAnsi"/>
          <w:color w:val="000000" w:themeColor="text1"/>
          <w:sz w:val="24"/>
          <w:szCs w:val="24"/>
        </w:rPr>
        <w:t xml:space="preserve">Full function hand-use was advised 8-10 weeks after </w:t>
      </w:r>
      <w:r w:rsidR="00854631" w:rsidRPr="00060B1B">
        <w:rPr>
          <w:rStyle w:val="cf01"/>
          <w:rFonts w:asciiTheme="majorHAnsi" w:hAnsiTheme="majorHAnsi" w:cstheme="majorHAnsi"/>
          <w:color w:val="000000" w:themeColor="text1"/>
          <w:sz w:val="24"/>
          <w:szCs w:val="24"/>
        </w:rPr>
        <w:t>surgery</w:t>
      </w:r>
      <w:r w:rsidR="00060B1B" w:rsidRPr="00060B1B">
        <w:rPr>
          <w:rStyle w:val="cf01"/>
          <w:rFonts w:asciiTheme="majorHAnsi" w:hAnsiTheme="majorHAnsi" w:cstheme="majorHAnsi"/>
          <w:color w:val="000000" w:themeColor="text1"/>
          <w:sz w:val="24"/>
          <w:szCs w:val="24"/>
        </w:rPr>
        <w:t>.</w:t>
      </w:r>
      <w:r w:rsidR="00133563">
        <w:rPr>
          <w:rStyle w:val="cf01"/>
          <w:rFonts w:asciiTheme="majorHAnsi" w:hAnsiTheme="majorHAnsi" w:cstheme="majorHAnsi"/>
          <w:color w:val="000000" w:themeColor="text1"/>
          <w:sz w:val="24"/>
          <w:szCs w:val="24"/>
        </w:rPr>
        <w:t xml:space="preserve"> </w:t>
      </w:r>
    </w:p>
    <w:p w14:paraId="37124B32" w14:textId="77777777" w:rsidR="008459D3" w:rsidRDefault="008459D3" w:rsidP="00950475">
      <w:pPr>
        <w:spacing w:line="480" w:lineRule="auto"/>
        <w:rPr>
          <w:rStyle w:val="cf01"/>
          <w:rFonts w:asciiTheme="majorHAnsi" w:hAnsiTheme="majorHAnsi" w:cstheme="majorHAnsi"/>
          <w:color w:val="000000" w:themeColor="text1"/>
          <w:sz w:val="24"/>
          <w:szCs w:val="24"/>
        </w:rPr>
      </w:pPr>
    </w:p>
    <w:p w14:paraId="1AD49A0E" w14:textId="2B6D2289" w:rsidR="00854631" w:rsidRDefault="00060B1B" w:rsidP="00950475">
      <w:pPr>
        <w:spacing w:line="480" w:lineRule="auto"/>
        <w:rPr>
          <w:rFonts w:asciiTheme="majorHAnsi" w:hAnsiTheme="majorHAnsi" w:cstheme="majorHAnsi"/>
        </w:rPr>
      </w:pPr>
      <w:r w:rsidRPr="00060B1B">
        <w:rPr>
          <w:rFonts w:asciiTheme="majorHAnsi" w:hAnsiTheme="majorHAnsi" w:cstheme="majorHAnsi"/>
        </w:rPr>
        <w:t>Öksüz</w:t>
      </w:r>
      <w:r>
        <w:rPr>
          <w:rFonts w:asciiTheme="majorHAnsi" w:hAnsiTheme="majorHAnsi" w:cstheme="majorHAnsi"/>
        </w:rPr>
        <w:t xml:space="preserve"> et al</w:t>
      </w:r>
      <w:r w:rsidR="00C53642">
        <w:rPr>
          <w:rFonts w:asciiTheme="majorHAnsi" w:hAnsiTheme="majorHAnsi" w:cstheme="majorHAnsi"/>
        </w:rPr>
        <w:t>.</w:t>
      </w:r>
      <w:r>
        <w:rPr>
          <w:rFonts w:asciiTheme="majorHAnsi" w:hAnsiTheme="majorHAnsi" w:cstheme="majorHAnsi"/>
        </w:rPr>
        <w:t xml:space="preserve"> followed a standard controlled active motion protocol </w:t>
      </w:r>
      <w:r w:rsidR="00C53642">
        <w:rPr>
          <w:rFonts w:asciiTheme="majorHAnsi" w:hAnsiTheme="majorHAnsi" w:cstheme="majorHAnsi"/>
        </w:rPr>
        <w:t>within</w:t>
      </w:r>
      <w:r>
        <w:rPr>
          <w:rFonts w:asciiTheme="majorHAnsi" w:hAnsiTheme="majorHAnsi" w:cstheme="majorHAnsi"/>
        </w:rPr>
        <w:t xml:space="preserve"> </w:t>
      </w:r>
      <w:r w:rsidR="00C53642">
        <w:rPr>
          <w:rFonts w:asciiTheme="majorHAnsi" w:hAnsiTheme="majorHAnsi" w:cstheme="majorHAnsi"/>
        </w:rPr>
        <w:t>a</w:t>
      </w:r>
      <w:r>
        <w:rPr>
          <w:rFonts w:asciiTheme="majorHAnsi" w:hAnsiTheme="majorHAnsi" w:cstheme="majorHAnsi"/>
        </w:rPr>
        <w:t xml:space="preserve"> </w:t>
      </w:r>
      <w:r w:rsidR="00FA09FB">
        <w:rPr>
          <w:rFonts w:asciiTheme="majorHAnsi" w:hAnsiTheme="majorHAnsi" w:cstheme="majorHAnsi"/>
        </w:rPr>
        <w:t>dorsal-blocking wrist-hand</w:t>
      </w:r>
      <w:r w:rsidR="00AC3326">
        <w:rPr>
          <w:rFonts w:asciiTheme="majorHAnsi" w:hAnsiTheme="majorHAnsi" w:cstheme="majorHAnsi"/>
        </w:rPr>
        <w:t>-finger</w:t>
      </w:r>
      <w:r>
        <w:rPr>
          <w:rFonts w:asciiTheme="majorHAnsi" w:hAnsiTheme="majorHAnsi" w:cstheme="majorHAnsi"/>
        </w:rPr>
        <w:t xml:space="preserve"> </w:t>
      </w:r>
      <w:r w:rsidR="00C53642">
        <w:rPr>
          <w:rFonts w:asciiTheme="majorHAnsi" w:hAnsiTheme="majorHAnsi" w:cstheme="majorHAnsi"/>
        </w:rPr>
        <w:t>orthosis</w:t>
      </w:r>
      <w:r>
        <w:rPr>
          <w:rFonts w:asciiTheme="majorHAnsi" w:hAnsiTheme="majorHAnsi" w:cstheme="majorHAnsi"/>
        </w:rPr>
        <w:t xml:space="preserve"> </w:t>
      </w:r>
      <w:r w:rsidR="00AC3326">
        <w:rPr>
          <w:rFonts w:asciiTheme="majorHAnsi" w:hAnsiTheme="majorHAnsi" w:cstheme="majorHAnsi"/>
        </w:rPr>
        <w:t>(</w:t>
      </w:r>
      <w:proofErr w:type="spellStart"/>
      <w:r w:rsidR="00AC3326">
        <w:rPr>
          <w:rFonts w:asciiTheme="majorHAnsi" w:hAnsiTheme="majorHAnsi" w:cstheme="majorHAnsi"/>
        </w:rPr>
        <w:t>WHFO</w:t>
      </w:r>
      <w:proofErr w:type="spellEnd"/>
      <w:r w:rsidR="00AC3326">
        <w:rPr>
          <w:rFonts w:asciiTheme="majorHAnsi" w:hAnsiTheme="majorHAnsi" w:cstheme="majorHAnsi"/>
        </w:rPr>
        <w:t xml:space="preserve">) </w:t>
      </w:r>
      <w:r>
        <w:rPr>
          <w:rFonts w:asciiTheme="majorHAnsi" w:hAnsiTheme="majorHAnsi" w:cstheme="majorHAnsi"/>
        </w:rPr>
        <w:t>for the first three weeks</w:t>
      </w:r>
      <w:r w:rsidR="00A50831">
        <w:rPr>
          <w:rFonts w:asciiTheme="majorHAnsi" w:hAnsiTheme="majorHAnsi" w:cstheme="majorHAnsi"/>
        </w:rPr>
        <w:t xml:space="preserve"> </w:t>
      </w:r>
      <w:r w:rsidR="00A50831">
        <w:rPr>
          <w:rFonts w:asciiTheme="majorHAnsi" w:hAnsiTheme="majorHAnsi" w:cstheme="majorHAnsi"/>
        </w:rPr>
        <w:fldChar w:fldCharType="begin" w:fldLock="1"/>
      </w:r>
      <w:r w:rsidR="0043414D">
        <w:rPr>
          <w:rFonts w:asciiTheme="majorHAnsi" w:hAnsiTheme="majorHAnsi" w:cstheme="majorHAnsi"/>
        </w:rPr>
        <w:instrText>ADDIN CSL_CITATION {"citationItems":[{"id":"ITEM-1","itemData":{"DOI":"10.1080/09593985.2022.2073574","author":[{"dropping-particle":"","family":"Öksüz","given":"Çiğdem","non-dropping-particle":"","parse-names":false,"suffix":""},{"dropping-particle":"","family":"Arslan","given":"Özge Buket","non-dropping-particle":"","parse-names":false,"suffix":""},{"dropping-particle":"","family":"Baş","given":"Can Emre","non-dropping-particle":"","parse-names":false,"suffix":""},{"dropping-particle":"","family":"Ayhan","given":"Egemen","non-dropping-particle":"","parse-names":false,"suffix":""}],"container-title":"Physiotherapy Theory and Practice","id":"ITEM-1","issued":{"date-parts":[["2022"]]},"page":"DOI:10.1080/09593985.2022.2073574","publisher":"Taylor &amp; Francis","title":"Early active movement with relative motion flexion splint for the management of zone 1-2 flexor tendon repairs: Case series","type":"article-journal","volume":"Online"},"uris":["http://www.mendeley.com/documents/?uuid=43f249d0-02d1-47b4-8e03-3521fb1925c0"]}],"mendeley":{"formattedCitation":"(10)","plainTextFormattedCitation":"(10)","previouslyFormattedCitation":"(10)"},"properties":{"noteIndex":0},"schema":"https://github.com/citation-style-language/schema/raw/master/csl-citation.json"}</w:instrText>
      </w:r>
      <w:r w:rsidR="00A50831">
        <w:rPr>
          <w:rFonts w:asciiTheme="majorHAnsi" w:hAnsiTheme="majorHAnsi" w:cstheme="majorHAnsi"/>
        </w:rPr>
        <w:fldChar w:fldCharType="separate"/>
      </w:r>
      <w:r w:rsidR="00A50831" w:rsidRPr="00A50831">
        <w:rPr>
          <w:rFonts w:asciiTheme="majorHAnsi" w:hAnsiTheme="majorHAnsi" w:cstheme="majorHAnsi"/>
          <w:noProof/>
        </w:rPr>
        <w:t>(10)</w:t>
      </w:r>
      <w:r w:rsidR="00A50831">
        <w:rPr>
          <w:rFonts w:asciiTheme="majorHAnsi" w:hAnsiTheme="majorHAnsi" w:cstheme="majorHAnsi"/>
        </w:rPr>
        <w:fldChar w:fldCharType="end"/>
      </w:r>
      <w:r w:rsidR="00C53642">
        <w:rPr>
          <w:rFonts w:asciiTheme="majorHAnsi" w:hAnsiTheme="majorHAnsi" w:cstheme="majorHAnsi"/>
        </w:rPr>
        <w:t xml:space="preserve">. </w:t>
      </w:r>
      <w:r w:rsidR="0048023E">
        <w:rPr>
          <w:rFonts w:asciiTheme="majorHAnsi" w:hAnsiTheme="majorHAnsi" w:cstheme="majorHAnsi"/>
        </w:rPr>
        <w:t>A</w:t>
      </w:r>
      <w:r w:rsidR="00EE731F">
        <w:rPr>
          <w:rFonts w:asciiTheme="majorHAnsi" w:hAnsiTheme="majorHAnsi" w:cstheme="majorHAnsi"/>
        </w:rPr>
        <w:t>fter this, a</w:t>
      </w:r>
      <w:r w:rsidR="00DF67CD">
        <w:rPr>
          <w:rFonts w:asciiTheme="majorHAnsi" w:hAnsiTheme="majorHAnsi" w:cstheme="majorHAnsi"/>
        </w:rPr>
        <w:t>n</w:t>
      </w:r>
      <w:r w:rsidR="00C53642">
        <w:rPr>
          <w:rFonts w:asciiTheme="majorHAnsi" w:hAnsiTheme="majorHAnsi" w:cstheme="majorHAnsi"/>
        </w:rPr>
        <w:t xml:space="preserve"> </w:t>
      </w:r>
      <w:proofErr w:type="spellStart"/>
      <w:r w:rsidR="00C53642">
        <w:rPr>
          <w:rFonts w:asciiTheme="majorHAnsi" w:hAnsiTheme="majorHAnsi" w:cstheme="majorHAnsi"/>
        </w:rPr>
        <w:t>RMF</w:t>
      </w:r>
      <w:proofErr w:type="spellEnd"/>
      <w:r w:rsidR="00C53642">
        <w:rPr>
          <w:rFonts w:asciiTheme="majorHAnsi" w:hAnsiTheme="majorHAnsi" w:cstheme="majorHAnsi"/>
        </w:rPr>
        <w:t xml:space="preserve"> orthosis was provided, </w:t>
      </w:r>
      <w:r w:rsidR="008459D3">
        <w:rPr>
          <w:rFonts w:asciiTheme="majorHAnsi" w:hAnsiTheme="majorHAnsi" w:cstheme="majorHAnsi"/>
        </w:rPr>
        <w:t xml:space="preserve">with </w:t>
      </w:r>
      <w:r w:rsidR="00EE731F">
        <w:rPr>
          <w:rFonts w:asciiTheme="majorHAnsi" w:hAnsiTheme="majorHAnsi" w:cstheme="majorHAnsi"/>
        </w:rPr>
        <w:t xml:space="preserve">similar </w:t>
      </w:r>
      <w:r w:rsidR="008459D3">
        <w:rPr>
          <w:rFonts w:asciiTheme="majorHAnsi" w:hAnsiTheme="majorHAnsi" w:cstheme="majorHAnsi"/>
        </w:rPr>
        <w:t>active and passive exercises to those described above.</w:t>
      </w:r>
      <w:r w:rsidR="00D7093E">
        <w:rPr>
          <w:rFonts w:asciiTheme="majorHAnsi" w:hAnsiTheme="majorHAnsi" w:cstheme="majorHAnsi"/>
        </w:rPr>
        <w:t xml:space="preserve"> Hand function was permitted up to 4.5kg.</w:t>
      </w:r>
      <w:r w:rsidR="008459D3">
        <w:rPr>
          <w:rFonts w:asciiTheme="majorHAnsi" w:hAnsiTheme="majorHAnsi" w:cstheme="majorHAnsi"/>
        </w:rPr>
        <w:t xml:space="preserve"> The orthosis was removed for range of movement exercise</w:t>
      </w:r>
      <w:r w:rsidR="005B0201">
        <w:rPr>
          <w:rFonts w:asciiTheme="majorHAnsi" w:hAnsiTheme="majorHAnsi" w:cstheme="majorHAnsi"/>
        </w:rPr>
        <w:t>s</w:t>
      </w:r>
      <w:r w:rsidR="008459D3">
        <w:rPr>
          <w:rFonts w:asciiTheme="majorHAnsi" w:hAnsiTheme="majorHAnsi" w:cstheme="majorHAnsi"/>
        </w:rPr>
        <w:t xml:space="preserve"> from week four</w:t>
      </w:r>
      <w:r w:rsidR="00D7093E">
        <w:rPr>
          <w:rFonts w:asciiTheme="majorHAnsi" w:hAnsiTheme="majorHAnsi" w:cstheme="majorHAnsi"/>
        </w:rPr>
        <w:t xml:space="preserve"> and removed for all but heavy hand function (&gt;20kg) during weeks 7-9.</w:t>
      </w:r>
    </w:p>
    <w:p w14:paraId="65F622D3" w14:textId="5312E8D3" w:rsidR="0075639E" w:rsidRDefault="0075639E" w:rsidP="00950475">
      <w:pPr>
        <w:spacing w:line="480" w:lineRule="auto"/>
        <w:rPr>
          <w:rFonts w:asciiTheme="majorHAnsi" w:hAnsiTheme="majorHAnsi" w:cstheme="majorHAnsi"/>
        </w:rPr>
      </w:pPr>
    </w:p>
    <w:p w14:paraId="30F08FF4" w14:textId="00F29F28" w:rsidR="00854631" w:rsidRPr="005B0201" w:rsidRDefault="0075639E" w:rsidP="00950475">
      <w:pPr>
        <w:spacing w:line="480" w:lineRule="auto"/>
        <w:rPr>
          <w:rStyle w:val="cf01"/>
          <w:rFonts w:asciiTheme="majorHAnsi" w:hAnsiTheme="majorHAnsi" w:cstheme="majorHAnsi"/>
          <w:sz w:val="24"/>
          <w:szCs w:val="24"/>
        </w:rPr>
      </w:pPr>
      <w:r>
        <w:rPr>
          <w:rFonts w:asciiTheme="majorHAnsi" w:hAnsiTheme="majorHAnsi" w:cstheme="majorHAnsi"/>
        </w:rPr>
        <w:t xml:space="preserve">An important consideration of any </w:t>
      </w:r>
      <w:r w:rsidR="00C1003E">
        <w:rPr>
          <w:rFonts w:asciiTheme="majorHAnsi" w:hAnsiTheme="majorHAnsi" w:cstheme="majorHAnsi"/>
        </w:rPr>
        <w:t xml:space="preserve">exercise program is the time burden for patients. Newington </w:t>
      </w:r>
      <w:r w:rsidR="00C1003E">
        <w:rPr>
          <w:rFonts w:asciiTheme="majorHAnsi" w:hAnsiTheme="majorHAnsi" w:cstheme="majorHAnsi"/>
          <w:i/>
          <w:iCs/>
        </w:rPr>
        <w:t xml:space="preserve">et al. </w:t>
      </w:r>
      <w:r w:rsidR="00C1003E">
        <w:rPr>
          <w:rFonts w:asciiTheme="majorHAnsi" w:hAnsiTheme="majorHAnsi" w:cstheme="majorHAnsi"/>
        </w:rPr>
        <w:t>calculated the</w:t>
      </w:r>
      <w:r w:rsidR="00DD6DA6">
        <w:rPr>
          <w:rFonts w:asciiTheme="majorHAnsi" w:hAnsiTheme="majorHAnsi" w:cstheme="majorHAnsi"/>
        </w:rPr>
        <w:t xml:space="preserve"> approximate daily</w:t>
      </w:r>
      <w:r w:rsidR="00C1003E">
        <w:rPr>
          <w:rFonts w:asciiTheme="majorHAnsi" w:hAnsiTheme="majorHAnsi" w:cstheme="majorHAnsi"/>
        </w:rPr>
        <w:t xml:space="preserve"> duration of exercise</w:t>
      </w:r>
      <w:r w:rsidR="00DD6DA6">
        <w:rPr>
          <w:rFonts w:asciiTheme="majorHAnsi" w:hAnsiTheme="majorHAnsi" w:cstheme="majorHAnsi"/>
        </w:rPr>
        <w:t>s reported in UK flexor tendon treatment guidelines</w:t>
      </w:r>
      <w:r w:rsidR="00FA09FB">
        <w:rPr>
          <w:rFonts w:asciiTheme="majorHAnsi" w:hAnsiTheme="majorHAnsi" w:cstheme="majorHAnsi"/>
        </w:rPr>
        <w:t xml:space="preserve"> and this </w:t>
      </w:r>
      <w:r w:rsidR="00DD6DA6">
        <w:rPr>
          <w:rFonts w:asciiTheme="majorHAnsi" w:hAnsiTheme="majorHAnsi" w:cstheme="majorHAnsi"/>
        </w:rPr>
        <w:t>ranged from 7-90 minutes</w:t>
      </w:r>
      <w:r w:rsidR="00A01339">
        <w:rPr>
          <w:rFonts w:asciiTheme="majorHAnsi" w:hAnsiTheme="majorHAnsi" w:cstheme="majorHAnsi"/>
        </w:rPr>
        <w:t xml:space="preserve"> </w:t>
      </w:r>
      <w:r w:rsidR="00A01339">
        <w:rPr>
          <w:rFonts w:asciiTheme="majorHAnsi" w:hAnsiTheme="majorHAnsi" w:cstheme="majorHAnsi"/>
        </w:rPr>
        <w:fldChar w:fldCharType="begin" w:fldLock="1"/>
      </w:r>
      <w:r w:rsidR="002E1436">
        <w:rPr>
          <w:rFonts w:asciiTheme="majorHAnsi" w:hAnsiTheme="majorHAnsi" w:cstheme="majorHAnsi"/>
        </w:rPr>
        <w:instrText>ADDIN CSL_CITATION {"citationItems":[{"id":"ITEM-1","itemData":{"DOI":"10.1177/17589983221089654","ISSN":"1758-9983","author":[{"dropping-particle":"","family":"Newington","given":"Lisa","non-dropping-particle":"","parse-names":false,"suffix":""},{"dropping-particle":"","family":"Lane","given":"Jennifer CE","non-dropping-particle":"","parse-names":false,"suffix":""},{"dropping-particle":"","family":"Holmes","given":"David GW","non-dropping-particle":"","parse-names":false,"suffix":""},{"dropping-particle":"","family":"Gardiner","given":"Matthew D","non-dropping-particle":"","parse-names":false,"suffix":""}],"container-title":"Hand Therapy","id":"ITEM-1","issue":"2","issued":{"date-parts":[["2022"]]},"page":"49-57","title":"Variation in patient information and rehabilitation regimens after flexor tendon repair in the United Kingdom","type":"article-journal","volume":"27"},"uris":["http://www.mendeley.com/documents/?uuid=b9b7ccd9-6e63-4996-a1c9-267b01ae6bd6"]}],"mendeley":{"formattedCitation":"(20)","plainTextFormattedCitation":"(20)","previouslyFormattedCitation":"(20)"},"properties":{"noteIndex":0},"schema":"https://github.com/citation-style-language/schema/raw/master/csl-citation.json"}</w:instrText>
      </w:r>
      <w:r w:rsidR="00A01339">
        <w:rPr>
          <w:rFonts w:asciiTheme="majorHAnsi" w:hAnsiTheme="majorHAnsi" w:cstheme="majorHAnsi"/>
        </w:rPr>
        <w:fldChar w:fldCharType="separate"/>
      </w:r>
      <w:r w:rsidR="002D5ADE" w:rsidRPr="002D5ADE">
        <w:rPr>
          <w:rFonts w:asciiTheme="majorHAnsi" w:hAnsiTheme="majorHAnsi" w:cstheme="majorHAnsi"/>
          <w:noProof/>
        </w:rPr>
        <w:t>(20)</w:t>
      </w:r>
      <w:r w:rsidR="00A01339">
        <w:rPr>
          <w:rFonts w:asciiTheme="majorHAnsi" w:hAnsiTheme="majorHAnsi" w:cstheme="majorHAnsi"/>
        </w:rPr>
        <w:fldChar w:fldCharType="end"/>
      </w:r>
      <w:r w:rsidR="00A01339">
        <w:rPr>
          <w:rFonts w:asciiTheme="majorHAnsi" w:hAnsiTheme="majorHAnsi" w:cstheme="majorHAnsi"/>
        </w:rPr>
        <w:t>.</w:t>
      </w:r>
      <w:r w:rsidR="00793308">
        <w:rPr>
          <w:rFonts w:asciiTheme="majorHAnsi" w:hAnsiTheme="majorHAnsi" w:cstheme="majorHAnsi"/>
        </w:rPr>
        <w:t xml:space="preserve"> The calculation was based on an estimated 5 seconds per finger or wrist exercise repetition and did not include time for scar management or other more proximal mobilization exercises. This calc</w:t>
      </w:r>
      <w:r w:rsidR="00A01339">
        <w:rPr>
          <w:rFonts w:asciiTheme="majorHAnsi" w:hAnsiTheme="majorHAnsi" w:cstheme="majorHAnsi"/>
        </w:rPr>
        <w:t>ulation is</w:t>
      </w:r>
      <w:r w:rsidR="00793308">
        <w:rPr>
          <w:rFonts w:asciiTheme="majorHAnsi" w:hAnsiTheme="majorHAnsi" w:cstheme="majorHAnsi"/>
        </w:rPr>
        <w:t xml:space="preserve"> therefore</w:t>
      </w:r>
      <w:r w:rsidR="00A01339">
        <w:rPr>
          <w:rFonts w:asciiTheme="majorHAnsi" w:hAnsiTheme="majorHAnsi" w:cstheme="majorHAnsi"/>
        </w:rPr>
        <w:t xml:space="preserve"> likely to</w:t>
      </w:r>
      <w:r w:rsidR="00793308">
        <w:rPr>
          <w:rFonts w:asciiTheme="majorHAnsi" w:hAnsiTheme="majorHAnsi" w:cstheme="majorHAnsi"/>
        </w:rPr>
        <w:t xml:space="preserve"> </w:t>
      </w:r>
      <w:r w:rsidR="00A01339">
        <w:rPr>
          <w:rFonts w:asciiTheme="majorHAnsi" w:hAnsiTheme="majorHAnsi" w:cstheme="majorHAnsi"/>
        </w:rPr>
        <w:t>underestimat</w:t>
      </w:r>
      <w:r w:rsidR="00793308">
        <w:rPr>
          <w:rFonts w:asciiTheme="majorHAnsi" w:hAnsiTheme="majorHAnsi" w:cstheme="majorHAnsi"/>
        </w:rPr>
        <w:t>e</w:t>
      </w:r>
      <w:r w:rsidR="00A01339">
        <w:rPr>
          <w:rFonts w:asciiTheme="majorHAnsi" w:hAnsiTheme="majorHAnsi" w:cstheme="majorHAnsi"/>
        </w:rPr>
        <w:t xml:space="preserve"> the true time burden, </w:t>
      </w:r>
      <w:r w:rsidR="00793308">
        <w:rPr>
          <w:rFonts w:asciiTheme="majorHAnsi" w:hAnsiTheme="majorHAnsi" w:cstheme="majorHAnsi"/>
        </w:rPr>
        <w:t xml:space="preserve">however </w:t>
      </w:r>
      <w:r w:rsidR="00A01339">
        <w:rPr>
          <w:rFonts w:asciiTheme="majorHAnsi" w:hAnsiTheme="majorHAnsi" w:cstheme="majorHAnsi"/>
        </w:rPr>
        <w:t xml:space="preserve">it does highlight the potential benefit of orthotic designs such as the </w:t>
      </w:r>
      <w:proofErr w:type="spellStart"/>
      <w:r w:rsidR="00FA6279">
        <w:rPr>
          <w:rFonts w:asciiTheme="majorHAnsi" w:hAnsiTheme="majorHAnsi" w:cstheme="majorHAnsi"/>
        </w:rPr>
        <w:t>RMF</w:t>
      </w:r>
      <w:proofErr w:type="spellEnd"/>
      <w:r w:rsidR="00FA6279">
        <w:rPr>
          <w:rFonts w:asciiTheme="majorHAnsi" w:hAnsiTheme="majorHAnsi" w:cstheme="majorHAnsi"/>
        </w:rPr>
        <w:t xml:space="preserve"> orthosis and the Manchester short splint, which enable light functional hand</w:t>
      </w:r>
      <w:r w:rsidR="00DF67CD">
        <w:rPr>
          <w:rFonts w:asciiTheme="majorHAnsi" w:hAnsiTheme="majorHAnsi" w:cstheme="majorHAnsi"/>
        </w:rPr>
        <w:t xml:space="preserve"> use</w:t>
      </w:r>
      <w:r w:rsidR="00D42C86">
        <w:rPr>
          <w:rFonts w:asciiTheme="majorHAnsi" w:hAnsiTheme="majorHAnsi" w:cstheme="majorHAnsi"/>
        </w:rPr>
        <w:t xml:space="preserve"> early in the rehabilitation process. Hand function may facilitate more frequent movement than </w:t>
      </w:r>
      <w:r w:rsidR="00D42C86">
        <w:rPr>
          <w:rFonts w:asciiTheme="majorHAnsi" w:hAnsiTheme="majorHAnsi" w:cstheme="majorHAnsi"/>
        </w:rPr>
        <w:lastRenderedPageBreak/>
        <w:t xml:space="preserve">prescribed exercises, while also reducing the exercise burden. </w:t>
      </w:r>
      <w:r w:rsidR="00BE5A32">
        <w:rPr>
          <w:rFonts w:asciiTheme="majorHAnsi" w:hAnsiTheme="majorHAnsi" w:cstheme="majorHAnsi"/>
        </w:rPr>
        <w:t xml:space="preserve">Tang </w:t>
      </w:r>
      <w:r w:rsidR="00040416">
        <w:rPr>
          <w:rFonts w:asciiTheme="majorHAnsi" w:hAnsiTheme="majorHAnsi" w:cstheme="majorHAnsi"/>
        </w:rPr>
        <w:t>suggest</w:t>
      </w:r>
      <w:r w:rsidR="00BE5A32">
        <w:rPr>
          <w:rFonts w:asciiTheme="majorHAnsi" w:hAnsiTheme="majorHAnsi" w:cstheme="majorHAnsi"/>
        </w:rPr>
        <w:t>s</w:t>
      </w:r>
      <w:r w:rsidR="00040416">
        <w:rPr>
          <w:rFonts w:asciiTheme="majorHAnsi" w:hAnsiTheme="majorHAnsi" w:cstheme="majorHAnsi"/>
        </w:rPr>
        <w:t xml:space="preserve"> that </w:t>
      </w:r>
      <w:r w:rsidR="005E4569">
        <w:rPr>
          <w:rFonts w:asciiTheme="majorHAnsi" w:hAnsiTheme="majorHAnsi" w:cstheme="majorHAnsi"/>
        </w:rPr>
        <w:t>60-80</w:t>
      </w:r>
      <w:r w:rsidR="00040416">
        <w:rPr>
          <w:rFonts w:asciiTheme="majorHAnsi" w:hAnsiTheme="majorHAnsi" w:cstheme="majorHAnsi"/>
        </w:rPr>
        <w:t xml:space="preserve"> cycles of active flexion should be performed in each </w:t>
      </w:r>
      <w:r w:rsidR="00EE731F">
        <w:rPr>
          <w:rFonts w:asciiTheme="majorHAnsi" w:hAnsiTheme="majorHAnsi" w:cstheme="majorHAnsi"/>
        </w:rPr>
        <w:t xml:space="preserve">flexor tendon </w:t>
      </w:r>
      <w:r w:rsidR="00040416">
        <w:rPr>
          <w:rFonts w:asciiTheme="majorHAnsi" w:hAnsiTheme="majorHAnsi" w:cstheme="majorHAnsi"/>
        </w:rPr>
        <w:t>exercise session</w:t>
      </w:r>
      <w:r w:rsidR="00872A40">
        <w:rPr>
          <w:rFonts w:asciiTheme="majorHAnsi" w:hAnsiTheme="majorHAnsi" w:cstheme="majorHAnsi"/>
        </w:rPr>
        <w:t xml:space="preserve"> at </w:t>
      </w:r>
      <w:r w:rsidR="00040416">
        <w:rPr>
          <w:rFonts w:asciiTheme="majorHAnsi" w:hAnsiTheme="majorHAnsi" w:cstheme="majorHAnsi"/>
        </w:rPr>
        <w:t>a frequency of 4-6 times per day</w:t>
      </w:r>
      <w:r w:rsidR="00BE5A32">
        <w:rPr>
          <w:rFonts w:asciiTheme="majorHAnsi" w:hAnsiTheme="majorHAnsi" w:cstheme="majorHAnsi"/>
        </w:rPr>
        <w:t xml:space="preserve"> </w:t>
      </w:r>
      <w:r w:rsidR="00BE5A32">
        <w:rPr>
          <w:rFonts w:asciiTheme="majorHAnsi" w:hAnsiTheme="majorHAnsi" w:cstheme="majorHAnsi"/>
        </w:rPr>
        <w:fldChar w:fldCharType="begin" w:fldLock="1"/>
      </w:r>
      <w:r w:rsidR="00A50831">
        <w:rPr>
          <w:rFonts w:asciiTheme="majorHAnsi" w:hAnsiTheme="majorHAnsi" w:cstheme="majorHAnsi"/>
        </w:rPr>
        <w:instrText>ADDIN CSL_CITATION {"citationItems":[{"id":"ITEM-1","itemData":{"DOI":"10.1177/17531934211037112","ISSN":"20436289","PMID":"34384293","abstract":"In this review I detail the protocol that I use after flexor tendon repair and outline my experience regarding how its framework might be used for other disorders. The early passive–active flexion protocol has a sufficient number of cycles of active flexion in each exercise session, which is at least 40, and ideally 60 to 80. The frequency of exercise sessions may range from 4 to 6 a day, distributed in the morning, afternoon and evening. Increasing the number of daily sessions without a sufficient number of runs in each session is ineffective. In the first 2–3 weeks after surgery, active digital flexion should go through only a partial range. In weeks 4–6, the patient gradually moves through the full range. With modifications, I suggest generalization of the partial-range finger motion to therapy after treating other hand injuries. I consider partial-range active flexion a generalizable working principle for different hand disorders.","author":[{"dropping-particle":"","family":"Tang","given":"Jin Bo","non-dropping-particle":"","parse-names":false,"suffix":""}],"container-title":"Journal of Hand Surgery: European Volume","id":"ITEM-1","issue":"8","issued":{"date-parts":[["2021"]]},"page":"813-817","title":"Rehabilitation after flexor tendon repair and others: a safe and efficient protocol","type":"article-journal","volume":"46"},"uris":["http://www.mendeley.com/documents/?uuid=916528dd-b511-4ad1-9593-ee52f95ec9b0"]}],"mendeley":{"formattedCitation":"(27)","plainTextFormattedCitation":"(27)","previouslyFormattedCitation":"(27)"},"properties":{"noteIndex":0},"schema":"https://github.com/citation-style-language/schema/raw/master/csl-citation.json"}</w:instrText>
      </w:r>
      <w:r w:rsidR="00BE5A32">
        <w:rPr>
          <w:rFonts w:asciiTheme="majorHAnsi" w:hAnsiTheme="majorHAnsi" w:cstheme="majorHAnsi"/>
        </w:rPr>
        <w:fldChar w:fldCharType="separate"/>
      </w:r>
      <w:r w:rsidR="00D06ED5" w:rsidRPr="00D06ED5">
        <w:rPr>
          <w:rFonts w:asciiTheme="majorHAnsi" w:hAnsiTheme="majorHAnsi" w:cstheme="majorHAnsi"/>
          <w:noProof/>
        </w:rPr>
        <w:t>(27)</w:t>
      </w:r>
      <w:r w:rsidR="00BE5A32">
        <w:rPr>
          <w:rFonts w:asciiTheme="majorHAnsi" w:hAnsiTheme="majorHAnsi" w:cstheme="majorHAnsi"/>
        </w:rPr>
        <w:fldChar w:fldCharType="end"/>
      </w:r>
      <w:r w:rsidR="00EE731F">
        <w:rPr>
          <w:rFonts w:asciiTheme="majorHAnsi" w:hAnsiTheme="majorHAnsi" w:cstheme="majorHAnsi"/>
        </w:rPr>
        <w:t xml:space="preserve">. This </w:t>
      </w:r>
      <w:r w:rsidR="005E4569">
        <w:rPr>
          <w:rFonts w:asciiTheme="majorHAnsi" w:hAnsiTheme="majorHAnsi" w:cstheme="majorHAnsi"/>
        </w:rPr>
        <w:t>equates to 20-40 minutes per day</w:t>
      </w:r>
      <w:r w:rsidR="00872A40">
        <w:rPr>
          <w:rFonts w:asciiTheme="majorHAnsi" w:hAnsiTheme="majorHAnsi" w:cstheme="majorHAnsi"/>
        </w:rPr>
        <w:t xml:space="preserve"> for a single exercise</w:t>
      </w:r>
      <w:r w:rsidR="00EE731F">
        <w:rPr>
          <w:rFonts w:asciiTheme="majorHAnsi" w:hAnsiTheme="majorHAnsi" w:cstheme="majorHAnsi"/>
        </w:rPr>
        <w:t xml:space="preserve"> using the same calculation method descri</w:t>
      </w:r>
      <w:r w:rsidR="00DF67CD">
        <w:rPr>
          <w:rFonts w:asciiTheme="majorHAnsi" w:hAnsiTheme="majorHAnsi" w:cstheme="majorHAnsi"/>
        </w:rPr>
        <w:t>bed above</w:t>
      </w:r>
      <w:r w:rsidR="00872A40">
        <w:rPr>
          <w:rFonts w:asciiTheme="majorHAnsi" w:hAnsiTheme="majorHAnsi" w:cstheme="majorHAnsi"/>
        </w:rPr>
        <w:t xml:space="preserve"> </w:t>
      </w:r>
      <w:r w:rsidR="00872A40">
        <w:rPr>
          <w:rFonts w:asciiTheme="majorHAnsi" w:hAnsiTheme="majorHAnsi" w:cstheme="majorHAnsi"/>
        </w:rPr>
        <w:fldChar w:fldCharType="begin" w:fldLock="1"/>
      </w:r>
      <w:r w:rsidR="002E1436">
        <w:rPr>
          <w:rFonts w:asciiTheme="majorHAnsi" w:hAnsiTheme="majorHAnsi" w:cstheme="majorHAnsi"/>
        </w:rPr>
        <w:instrText>ADDIN CSL_CITATION {"citationItems":[{"id":"ITEM-1","itemData":{"DOI":"10.1177/17589983221089654","ISSN":"1758-9983","author":[{"dropping-particle":"","family":"Newington","given":"Lisa","non-dropping-particle":"","parse-names":false,"suffix":""},{"dropping-particle":"","family":"Lane","given":"Jennifer CE","non-dropping-particle":"","parse-names":false,"suffix":""},{"dropping-particle":"","family":"Holmes","given":"David GW","non-dropping-particle":"","parse-names":false,"suffix":""},{"dropping-particle":"","family":"Gardiner","given":"Matthew D","non-dropping-particle":"","parse-names":false,"suffix":""}],"container-title":"Hand Therapy","id":"ITEM-1","issue":"2","issued":{"date-parts":[["2022"]]},"page":"49-57","title":"Variation in patient information and rehabilitation regimens after flexor tendon repair in the United Kingdom","type":"article-journal","volume":"27"},"uris":["http://www.mendeley.com/documents/?uuid=b9b7ccd9-6e63-4996-a1c9-267b01ae6bd6"]}],"mendeley":{"formattedCitation":"(20)","plainTextFormattedCitation":"(20)","previouslyFormattedCitation":"(20)"},"properties":{"noteIndex":0},"schema":"https://github.com/citation-style-language/schema/raw/master/csl-citation.json"}</w:instrText>
      </w:r>
      <w:r w:rsidR="00872A40">
        <w:rPr>
          <w:rFonts w:asciiTheme="majorHAnsi" w:hAnsiTheme="majorHAnsi" w:cstheme="majorHAnsi"/>
        </w:rPr>
        <w:fldChar w:fldCharType="separate"/>
      </w:r>
      <w:r w:rsidR="002D5ADE" w:rsidRPr="002D5ADE">
        <w:rPr>
          <w:rFonts w:asciiTheme="majorHAnsi" w:hAnsiTheme="majorHAnsi" w:cstheme="majorHAnsi"/>
          <w:noProof/>
        </w:rPr>
        <w:t>(20)</w:t>
      </w:r>
      <w:r w:rsidR="00872A40">
        <w:rPr>
          <w:rFonts w:asciiTheme="majorHAnsi" w:hAnsiTheme="majorHAnsi" w:cstheme="majorHAnsi"/>
        </w:rPr>
        <w:fldChar w:fldCharType="end"/>
      </w:r>
      <w:r w:rsidR="00872A40">
        <w:rPr>
          <w:rFonts w:asciiTheme="majorHAnsi" w:hAnsiTheme="majorHAnsi" w:cstheme="majorHAnsi"/>
        </w:rPr>
        <w:t xml:space="preserve">. Instead of solely focusing on isolated exercises, patients can also achieve active tendon gliding </w:t>
      </w:r>
      <w:r w:rsidR="00793308">
        <w:rPr>
          <w:rFonts w:asciiTheme="majorHAnsi" w:hAnsiTheme="majorHAnsi" w:cstheme="majorHAnsi"/>
        </w:rPr>
        <w:t xml:space="preserve">cycles </w:t>
      </w:r>
      <w:r w:rsidR="00817B6F">
        <w:rPr>
          <w:rFonts w:asciiTheme="majorHAnsi" w:hAnsiTheme="majorHAnsi" w:cstheme="majorHAnsi"/>
        </w:rPr>
        <w:t>of non-intentional exercise during</w:t>
      </w:r>
      <w:r w:rsidR="00872A40">
        <w:rPr>
          <w:rFonts w:asciiTheme="majorHAnsi" w:hAnsiTheme="majorHAnsi" w:cstheme="majorHAnsi"/>
        </w:rPr>
        <w:t xml:space="preserve"> functional activities</w:t>
      </w:r>
      <w:r w:rsidR="00DC1CAC">
        <w:rPr>
          <w:rFonts w:asciiTheme="majorHAnsi" w:hAnsiTheme="majorHAnsi" w:cstheme="majorHAnsi"/>
        </w:rPr>
        <w:t xml:space="preserve">. Future research should explore whether functional hand use during flexor tendon rehabilitation improves patient </w:t>
      </w:r>
      <w:r w:rsidR="00C71A0C">
        <w:rPr>
          <w:rFonts w:asciiTheme="majorHAnsi" w:hAnsiTheme="majorHAnsi" w:cstheme="majorHAnsi"/>
        </w:rPr>
        <w:t>satisfaction, in addition to clinical outcomes.</w:t>
      </w:r>
    </w:p>
    <w:p w14:paraId="5AB50AE9" w14:textId="2E6D7F03" w:rsidR="00B26348" w:rsidRPr="00494700" w:rsidRDefault="00B26348" w:rsidP="00950475">
      <w:pPr>
        <w:pStyle w:val="pf0"/>
        <w:spacing w:line="480" w:lineRule="auto"/>
        <w:rPr>
          <w:rFonts w:asciiTheme="majorHAnsi" w:hAnsiTheme="majorHAnsi" w:cstheme="majorHAnsi"/>
        </w:rPr>
      </w:pPr>
    </w:p>
    <w:p w14:paraId="42867F79" w14:textId="37C9129D" w:rsidR="007C7DE6" w:rsidRPr="00B20FF5" w:rsidRDefault="00657E3F" w:rsidP="00950475">
      <w:pPr>
        <w:pStyle w:val="Heading2"/>
        <w:spacing w:line="480" w:lineRule="auto"/>
        <w:rPr>
          <w:rFonts w:ascii="Calibri Light" w:hAnsi="Calibri Light" w:cs="Calibri Light"/>
          <w:b w:val="0"/>
          <w:bCs/>
          <w:color w:val="365F91" w:themeColor="accent1" w:themeShade="BF"/>
          <w:sz w:val="32"/>
          <w:szCs w:val="32"/>
        </w:rPr>
      </w:pPr>
      <w:r w:rsidRPr="00B20FF5">
        <w:rPr>
          <w:rFonts w:ascii="Calibri Light" w:hAnsi="Calibri Light" w:cs="Calibri Light"/>
          <w:b w:val="0"/>
          <w:bCs/>
          <w:color w:val="365F91" w:themeColor="accent1" w:themeShade="BF"/>
          <w:sz w:val="32"/>
          <w:szCs w:val="32"/>
        </w:rPr>
        <w:t>Surgical considerations</w:t>
      </w:r>
      <w:r w:rsidR="00E64BDE" w:rsidRPr="00B20FF5">
        <w:rPr>
          <w:rFonts w:ascii="Calibri Light" w:hAnsi="Calibri Light" w:cs="Calibri Light"/>
          <w:b w:val="0"/>
          <w:bCs/>
          <w:color w:val="365F91" w:themeColor="accent1" w:themeShade="BF"/>
          <w:sz w:val="32"/>
          <w:szCs w:val="32"/>
        </w:rPr>
        <w:t xml:space="preserve"> for relative motion flexion splinting</w:t>
      </w:r>
    </w:p>
    <w:p w14:paraId="59BEEC49" w14:textId="274FA7DF" w:rsidR="00657E3F" w:rsidRPr="00B20FF5" w:rsidRDefault="00233064" w:rsidP="00950475">
      <w:pPr>
        <w:pStyle w:val="Heading3"/>
        <w:spacing w:line="480" w:lineRule="auto"/>
        <w:rPr>
          <w:rFonts w:ascii="Calibri Light" w:hAnsi="Calibri Light" w:cs="Calibri Light"/>
          <w:b w:val="0"/>
          <w:bCs/>
          <w:color w:val="244061" w:themeColor="accent1" w:themeShade="80"/>
          <w:sz w:val="24"/>
          <w:szCs w:val="24"/>
        </w:rPr>
      </w:pPr>
      <w:r w:rsidRPr="00B20FF5">
        <w:rPr>
          <w:rFonts w:ascii="Calibri Light" w:hAnsi="Calibri Light" w:cs="Calibri Light"/>
          <w:b w:val="0"/>
          <w:bCs/>
          <w:color w:val="244061" w:themeColor="accent1" w:themeShade="80"/>
          <w:sz w:val="24"/>
          <w:szCs w:val="24"/>
        </w:rPr>
        <w:t xml:space="preserve">Included digits </w:t>
      </w:r>
    </w:p>
    <w:p w14:paraId="5B038D6F" w14:textId="504C58C3" w:rsidR="005665AA" w:rsidRDefault="007C7DE6" w:rsidP="00950475">
      <w:pPr>
        <w:spacing w:line="480" w:lineRule="auto"/>
        <w:rPr>
          <w:rFonts w:ascii="Calibri" w:eastAsia="Calibri" w:hAnsi="Calibri" w:cs="Calibri"/>
        </w:rPr>
      </w:pPr>
      <w:r w:rsidRPr="007B7C2D">
        <w:rPr>
          <w:rFonts w:ascii="Calibri" w:eastAsia="Calibri" w:hAnsi="Calibri" w:cs="Calibri"/>
        </w:rPr>
        <w:t>T</w:t>
      </w:r>
      <w:r w:rsidR="00912442">
        <w:rPr>
          <w:rFonts w:ascii="Calibri" w:eastAsia="Calibri" w:hAnsi="Calibri" w:cs="Calibri"/>
        </w:rPr>
        <w:t>he</w:t>
      </w:r>
      <w:r w:rsidRPr="007B7C2D">
        <w:rPr>
          <w:rFonts w:ascii="Calibri" w:eastAsia="Calibri" w:hAnsi="Calibri" w:cs="Calibri"/>
        </w:rPr>
        <w:t xml:space="preserve"> protective mechanism of </w:t>
      </w:r>
      <w:proofErr w:type="spellStart"/>
      <w:r w:rsidR="007B7C2D">
        <w:rPr>
          <w:rFonts w:ascii="Calibri" w:eastAsia="Calibri" w:hAnsi="Calibri" w:cs="Calibri"/>
        </w:rPr>
        <w:t>RMF</w:t>
      </w:r>
      <w:proofErr w:type="spellEnd"/>
      <w:r w:rsidR="007B7C2D">
        <w:rPr>
          <w:rFonts w:ascii="Calibri" w:eastAsia="Calibri" w:hAnsi="Calibri" w:cs="Calibri"/>
        </w:rPr>
        <w:t xml:space="preserve"> orthos</w:t>
      </w:r>
      <w:r w:rsidR="00817B6F">
        <w:rPr>
          <w:rFonts w:ascii="Calibri" w:eastAsia="Calibri" w:hAnsi="Calibri" w:cs="Calibri"/>
        </w:rPr>
        <w:t>e</w:t>
      </w:r>
      <w:r w:rsidRPr="007B7C2D">
        <w:rPr>
          <w:rFonts w:ascii="Calibri" w:eastAsia="Calibri" w:hAnsi="Calibri" w:cs="Calibri"/>
        </w:rPr>
        <w:t>s</w:t>
      </w:r>
      <w:r w:rsidR="007B7C2D">
        <w:rPr>
          <w:rFonts w:ascii="Calibri" w:eastAsia="Calibri" w:hAnsi="Calibri" w:cs="Calibri"/>
        </w:rPr>
        <w:t xml:space="preserve"> is</w:t>
      </w:r>
      <w:r w:rsidRPr="007B7C2D">
        <w:rPr>
          <w:rFonts w:ascii="Calibri" w:eastAsia="Calibri" w:hAnsi="Calibri" w:cs="Calibri"/>
        </w:rPr>
        <w:t xml:space="preserve"> theoretically </w:t>
      </w:r>
      <w:r w:rsidR="00846868" w:rsidRPr="007B7C2D">
        <w:rPr>
          <w:rFonts w:ascii="Calibri" w:eastAsia="Calibri" w:hAnsi="Calibri" w:cs="Calibri"/>
        </w:rPr>
        <w:t>based on the commonality of the</w:t>
      </w:r>
      <w:r w:rsidR="009460B1">
        <w:rPr>
          <w:rFonts w:ascii="Calibri" w:eastAsia="Calibri" w:hAnsi="Calibri" w:cs="Calibri"/>
        </w:rPr>
        <w:t xml:space="preserve"> FDP</w:t>
      </w:r>
      <w:r w:rsidR="00846868" w:rsidRPr="007B7C2D">
        <w:rPr>
          <w:rFonts w:ascii="Calibri" w:eastAsia="Calibri" w:hAnsi="Calibri" w:cs="Calibri"/>
        </w:rPr>
        <w:t xml:space="preserve"> muscle belly</w:t>
      </w:r>
      <w:r w:rsidR="009460B1">
        <w:rPr>
          <w:rFonts w:ascii="Calibri" w:eastAsia="Calibri" w:hAnsi="Calibri" w:cs="Calibri"/>
        </w:rPr>
        <w:t>. This e</w:t>
      </w:r>
      <w:r w:rsidR="00912442">
        <w:rPr>
          <w:rFonts w:ascii="Calibri" w:eastAsia="Calibri" w:hAnsi="Calibri" w:cs="Calibri"/>
        </w:rPr>
        <w:t xml:space="preserve">nables </w:t>
      </w:r>
      <w:r w:rsidR="009460B1">
        <w:rPr>
          <w:rFonts w:ascii="Calibri" w:eastAsia="Calibri" w:hAnsi="Calibri" w:cs="Calibri"/>
        </w:rPr>
        <w:t xml:space="preserve">the FDP of the </w:t>
      </w:r>
      <w:r w:rsidR="00817B6F">
        <w:rPr>
          <w:rFonts w:ascii="Calibri" w:eastAsia="Calibri" w:hAnsi="Calibri" w:cs="Calibri"/>
        </w:rPr>
        <w:t>more</w:t>
      </w:r>
      <w:r w:rsidR="009460B1">
        <w:rPr>
          <w:rFonts w:ascii="Calibri" w:eastAsia="Calibri" w:hAnsi="Calibri" w:cs="Calibri"/>
        </w:rPr>
        <w:t xml:space="preserve"> flexed digit to remain slack </w:t>
      </w:r>
      <w:r w:rsidR="00312C6E">
        <w:rPr>
          <w:rFonts w:ascii="Calibri" w:eastAsia="Calibri" w:hAnsi="Calibri" w:cs="Calibri"/>
        </w:rPr>
        <w:t>as</w:t>
      </w:r>
      <w:r w:rsidR="009460B1">
        <w:rPr>
          <w:rFonts w:ascii="Calibri" w:eastAsia="Calibri" w:hAnsi="Calibri" w:cs="Calibri"/>
        </w:rPr>
        <w:t xml:space="preserve"> tension is transferred through the other FDP tendons </w:t>
      </w:r>
      <w:r w:rsidR="00312C6E">
        <w:rPr>
          <w:rFonts w:ascii="Calibri" w:eastAsia="Calibri" w:hAnsi="Calibri" w:cs="Calibri"/>
        </w:rPr>
        <w:t>when</w:t>
      </w:r>
      <w:r w:rsidR="009460B1">
        <w:rPr>
          <w:rFonts w:ascii="Calibri" w:eastAsia="Calibri" w:hAnsi="Calibri" w:cs="Calibri"/>
        </w:rPr>
        <w:t xml:space="preserve"> the muscle contracts.</w:t>
      </w:r>
      <w:r w:rsidRPr="007B7C2D">
        <w:rPr>
          <w:rFonts w:ascii="Calibri" w:eastAsia="Calibri" w:hAnsi="Calibri" w:cs="Calibri"/>
        </w:rPr>
        <w:t xml:space="preserve"> </w:t>
      </w:r>
      <w:r w:rsidR="00312C6E">
        <w:rPr>
          <w:rFonts w:ascii="Calibri" w:eastAsia="Calibri" w:hAnsi="Calibri" w:cs="Calibri"/>
        </w:rPr>
        <w:t>While t</w:t>
      </w:r>
      <w:r w:rsidR="009460B1">
        <w:rPr>
          <w:rFonts w:ascii="Calibri" w:eastAsia="Calibri" w:hAnsi="Calibri" w:cs="Calibri"/>
        </w:rPr>
        <w:t>he FDP for the ulnar three digits has a shared muscle belly, the</w:t>
      </w:r>
      <w:r w:rsidRPr="007B7C2D">
        <w:rPr>
          <w:rFonts w:ascii="Calibri" w:eastAsia="Calibri" w:hAnsi="Calibri" w:cs="Calibri"/>
        </w:rPr>
        <w:t xml:space="preserve"> segment to the index finger </w:t>
      </w:r>
      <w:r w:rsidR="00846868" w:rsidRPr="007B7C2D">
        <w:rPr>
          <w:rFonts w:ascii="Calibri" w:eastAsia="Calibri" w:hAnsi="Calibri" w:cs="Calibri"/>
        </w:rPr>
        <w:t xml:space="preserve">can be </w:t>
      </w:r>
      <w:r w:rsidRPr="007B7C2D">
        <w:rPr>
          <w:rFonts w:ascii="Calibri" w:eastAsia="Calibri" w:hAnsi="Calibri" w:cs="Calibri"/>
        </w:rPr>
        <w:t>partially separate allow</w:t>
      </w:r>
      <w:r w:rsidR="00C056A7" w:rsidRPr="007B7C2D">
        <w:rPr>
          <w:rFonts w:ascii="Calibri" w:eastAsia="Calibri" w:hAnsi="Calibri" w:cs="Calibri"/>
        </w:rPr>
        <w:t>ing</w:t>
      </w:r>
      <w:r w:rsidRPr="007B7C2D">
        <w:rPr>
          <w:rFonts w:ascii="Calibri" w:eastAsia="Calibri" w:hAnsi="Calibri" w:cs="Calibri"/>
        </w:rPr>
        <w:t xml:space="preserve"> </w:t>
      </w:r>
      <w:r w:rsidR="00C056A7" w:rsidRPr="007B7C2D">
        <w:rPr>
          <w:rFonts w:ascii="Calibri" w:eastAsia="Calibri" w:hAnsi="Calibri" w:cs="Calibri"/>
        </w:rPr>
        <w:t>some</w:t>
      </w:r>
      <w:r w:rsidRPr="007B7C2D">
        <w:rPr>
          <w:rFonts w:ascii="Calibri" w:eastAsia="Calibri" w:hAnsi="Calibri" w:cs="Calibri"/>
        </w:rPr>
        <w:t xml:space="preserve"> independent flexion of the index finger</w:t>
      </w:r>
      <w:r w:rsidR="00846868" w:rsidRPr="007B7C2D">
        <w:rPr>
          <w:rFonts w:ascii="Calibri" w:eastAsia="Calibri" w:hAnsi="Calibri" w:cs="Calibri"/>
        </w:rPr>
        <w:t xml:space="preserve"> distal interphalangeal</w:t>
      </w:r>
      <w:r w:rsidRPr="007B7C2D">
        <w:rPr>
          <w:rFonts w:ascii="Calibri" w:eastAsia="Calibri" w:hAnsi="Calibri" w:cs="Calibri"/>
        </w:rPr>
        <w:t xml:space="preserve"> </w:t>
      </w:r>
      <w:r w:rsidR="00846868" w:rsidRPr="007B7C2D">
        <w:rPr>
          <w:rFonts w:ascii="Calibri" w:eastAsia="Calibri" w:hAnsi="Calibri" w:cs="Calibri"/>
        </w:rPr>
        <w:t>(</w:t>
      </w:r>
      <w:r w:rsidRPr="007B7C2D">
        <w:rPr>
          <w:rFonts w:ascii="Calibri" w:eastAsia="Calibri" w:hAnsi="Calibri" w:cs="Calibri"/>
        </w:rPr>
        <w:t>DIP</w:t>
      </w:r>
      <w:r w:rsidR="00846868" w:rsidRPr="007B7C2D">
        <w:rPr>
          <w:rFonts w:ascii="Calibri" w:eastAsia="Calibri" w:hAnsi="Calibri" w:cs="Calibri"/>
        </w:rPr>
        <w:t>)</w:t>
      </w:r>
      <w:r w:rsidRPr="007B7C2D">
        <w:rPr>
          <w:rFonts w:ascii="Calibri" w:eastAsia="Calibri" w:hAnsi="Calibri" w:cs="Calibri"/>
        </w:rPr>
        <w:t xml:space="preserve"> joint</w:t>
      </w:r>
      <w:r w:rsidR="00FD32F2">
        <w:rPr>
          <w:rFonts w:ascii="Calibri" w:eastAsia="Calibri" w:hAnsi="Calibri" w:cs="Calibri"/>
        </w:rPr>
        <w:t xml:space="preserve"> </w:t>
      </w:r>
      <w:r w:rsidR="00FD32F2">
        <w:rPr>
          <w:rFonts w:ascii="Calibri" w:eastAsia="Calibri" w:hAnsi="Calibri" w:cs="Calibri"/>
        </w:rPr>
        <w:fldChar w:fldCharType="begin" w:fldLock="1"/>
      </w:r>
      <w:r w:rsidR="00A50831">
        <w:rPr>
          <w:rFonts w:ascii="Calibri" w:eastAsia="Calibri" w:hAnsi="Calibri" w:cs="Calibri"/>
        </w:rPr>
        <w:instrText>ADDIN CSL_CITATION {"citationItems":[{"id":"ITEM-1","itemData":{"author":[{"dropping-particle":"","family":"Salmons","given":"Stanley","non-dropping-particle":"","parse-names":false,"suffix":""}],"chapter-number":"Muscle","container-title":"Gray's Anatomy: The anatomical basis of medicine and surgery","edition":"38","editor":[{"dropping-particle":"","family":"Williams","given":"PL","non-dropping-particle":"","parse-names":false,"suffix":""}],"id":"ITEM-1","issued":{"date-parts":[["1995"]]},"page":"848","publisher":"Churchill Livingstone","title":"Muscles","type":"chapter"},"uris":["http://www.mendeley.com/documents/?uuid=068b608f-c635-4745-92fe-a424bc107975"]}],"mendeley":{"formattedCitation":"(28)","plainTextFormattedCitation":"(28)","previouslyFormattedCitation":"(28)"},"properties":{"noteIndex":0},"schema":"https://github.com/citation-style-language/schema/raw/master/csl-citation.json"}</w:instrText>
      </w:r>
      <w:r w:rsidR="00FD32F2">
        <w:rPr>
          <w:rFonts w:ascii="Calibri" w:eastAsia="Calibri" w:hAnsi="Calibri" w:cs="Calibri"/>
        </w:rPr>
        <w:fldChar w:fldCharType="separate"/>
      </w:r>
      <w:r w:rsidR="00D06ED5" w:rsidRPr="00D06ED5">
        <w:rPr>
          <w:rFonts w:ascii="Calibri" w:eastAsia="Calibri" w:hAnsi="Calibri" w:cs="Calibri"/>
          <w:noProof/>
        </w:rPr>
        <w:t>(28)</w:t>
      </w:r>
      <w:r w:rsidR="00FD32F2">
        <w:rPr>
          <w:rFonts w:ascii="Calibri" w:eastAsia="Calibri" w:hAnsi="Calibri" w:cs="Calibri"/>
        </w:rPr>
        <w:fldChar w:fldCharType="end"/>
      </w:r>
      <w:r w:rsidR="00237F2B">
        <w:rPr>
          <w:rFonts w:ascii="Calibri" w:eastAsia="Calibri" w:hAnsi="Calibri" w:cs="Calibri"/>
        </w:rPr>
        <w:t>.</w:t>
      </w:r>
      <w:r w:rsidRPr="007B7C2D">
        <w:rPr>
          <w:rFonts w:ascii="Calibri" w:eastAsia="Calibri" w:hAnsi="Calibri" w:cs="Calibri"/>
        </w:rPr>
        <w:t xml:space="preserve"> </w:t>
      </w:r>
      <w:r w:rsidR="00B877F8">
        <w:rPr>
          <w:rFonts w:ascii="Calibri" w:eastAsia="Calibri" w:hAnsi="Calibri" w:cs="Calibri"/>
        </w:rPr>
        <w:t xml:space="preserve">Savage </w:t>
      </w:r>
      <w:r w:rsidR="00B877F8" w:rsidRPr="00C720D1">
        <w:rPr>
          <w:rFonts w:ascii="Calibri" w:eastAsia="Calibri" w:hAnsi="Calibri" w:cs="Calibri"/>
          <w:i/>
          <w:iCs/>
        </w:rPr>
        <w:t>et al</w:t>
      </w:r>
      <w:r w:rsidR="00C720D1">
        <w:rPr>
          <w:rFonts w:ascii="Calibri" w:eastAsia="Calibri" w:hAnsi="Calibri" w:cs="Calibri"/>
          <w:i/>
          <w:iCs/>
        </w:rPr>
        <w:t>.</w:t>
      </w:r>
      <w:r w:rsidR="00B877F8">
        <w:rPr>
          <w:rFonts w:ascii="Calibri" w:eastAsia="Calibri" w:hAnsi="Calibri" w:cs="Calibri"/>
        </w:rPr>
        <w:t xml:space="preserve"> found that </w:t>
      </w:r>
      <w:r w:rsidR="00817B6F">
        <w:rPr>
          <w:rFonts w:ascii="Calibri" w:eastAsia="Calibri" w:hAnsi="Calibri" w:cs="Calibri"/>
        </w:rPr>
        <w:t xml:space="preserve">when the index finger </w:t>
      </w:r>
      <w:proofErr w:type="spellStart"/>
      <w:r w:rsidR="00817B6F">
        <w:rPr>
          <w:rFonts w:ascii="Calibri" w:eastAsia="Calibri" w:hAnsi="Calibri" w:cs="Calibri"/>
        </w:rPr>
        <w:t>MCP</w:t>
      </w:r>
      <w:proofErr w:type="spellEnd"/>
      <w:r w:rsidR="00817B6F">
        <w:rPr>
          <w:rFonts w:ascii="Calibri" w:eastAsia="Calibri" w:hAnsi="Calibri" w:cs="Calibri"/>
        </w:rPr>
        <w:t xml:space="preserve"> joint was positioned in more flexion, this </w:t>
      </w:r>
      <w:r w:rsidR="00B877F8">
        <w:rPr>
          <w:rFonts w:ascii="Calibri" w:eastAsia="Calibri" w:hAnsi="Calibri" w:cs="Calibri"/>
        </w:rPr>
        <w:t>was associated with</w:t>
      </w:r>
      <w:r w:rsidR="00C720D1">
        <w:rPr>
          <w:rFonts w:ascii="Calibri" w:eastAsia="Calibri" w:hAnsi="Calibri" w:cs="Calibri"/>
        </w:rPr>
        <w:t xml:space="preserve"> a</w:t>
      </w:r>
      <w:r w:rsidR="00B877F8">
        <w:rPr>
          <w:rFonts w:ascii="Calibri" w:eastAsia="Calibri" w:hAnsi="Calibri" w:cs="Calibri"/>
        </w:rPr>
        <w:t xml:space="preserve"> smaller reduction in </w:t>
      </w:r>
      <w:r w:rsidR="00C720D1">
        <w:rPr>
          <w:rFonts w:ascii="Calibri" w:eastAsia="Calibri" w:hAnsi="Calibri" w:cs="Calibri"/>
        </w:rPr>
        <w:t>flexion strength when compare</w:t>
      </w:r>
      <w:r w:rsidR="00DF67CD">
        <w:rPr>
          <w:rFonts w:ascii="Calibri" w:eastAsia="Calibri" w:hAnsi="Calibri" w:cs="Calibri"/>
        </w:rPr>
        <w:t>d</w:t>
      </w:r>
      <w:r w:rsidR="00C720D1">
        <w:rPr>
          <w:rFonts w:ascii="Calibri" w:eastAsia="Calibri" w:hAnsi="Calibri" w:cs="Calibri"/>
        </w:rPr>
        <w:t xml:space="preserve"> with </w:t>
      </w:r>
      <w:r w:rsidR="00817B6F">
        <w:rPr>
          <w:rFonts w:ascii="Calibri" w:eastAsia="Calibri" w:hAnsi="Calibri" w:cs="Calibri"/>
        </w:rPr>
        <w:t xml:space="preserve">differential </w:t>
      </w:r>
      <w:r w:rsidR="00C720D1">
        <w:rPr>
          <w:rFonts w:ascii="Calibri" w:eastAsia="Calibri" w:hAnsi="Calibri" w:cs="Calibri"/>
        </w:rPr>
        <w:t xml:space="preserve">flexion of the middle, ring or small finger </w:t>
      </w:r>
      <w:r w:rsidR="00C720D1">
        <w:rPr>
          <w:rFonts w:ascii="Calibri" w:eastAsia="Calibri" w:hAnsi="Calibri" w:cs="Calibri"/>
        </w:rPr>
        <w:fldChar w:fldCharType="begin" w:fldLock="1"/>
      </w:r>
      <w:r w:rsidR="002E1436">
        <w:rPr>
          <w:rFonts w:ascii="Calibri" w:eastAsia="Calibri" w:hAnsi="Calibri" w:cs="Calibri"/>
        </w:rPr>
        <w:instrText>ADDIN CSL_CITATION {"citationItems":[{"id":"ITEM-1","itemData":{"DOI":"10.1016/j.jhsb.2004.10.014","ISSN":"02667681","PMID":"15757770","abstract":"We conducted laboratory tests to investigate the possibility of partly de-powering flexor digitorum profundus with a view of reducing flexion force during active flexor tendon rehabilitation. We constructed a splint and applied tapes to the proximal segments of fingers to test the hypothesis that holding three fingers more extended than the other finger would reduce the flexion strength of the more flexed finger. The splint allowed the metacarpophalangeal joint of the more flexed finger to be held in three positions of increasing flexion (15°, 30°, and 45°) compared to the remaining three fingers. We have called this 'differential splintage'. Healthy volunteers were tested for maximum active flexion strength at the different flexion angles. 'Differential splintage' of up to 45° resulted in mean decreased flexion strength of 28% in the index finger and 35% to 38% in the middle, ring and little fingers. The results suggest that \"differential splintage\" of a finger after flexor tendon repair may be useful in reducing tension across the repair during a program of active tendon rehabilitation and we feel that it has potential to reduce the incidence of repair rupture before healing is complete. © 2004 The British Society for Surgery of the Hand. Published by Elsecvier Ltd. All rights reserved.","author":[{"dropping-particle":"","family":"Savage","given":"Rob","non-dropping-particle":"","parse-names":false,"suffix":""},{"dropping-particle":"","family":"Pritchard","given":"M. G.","non-dropping-particle":"","parse-names":false,"suffix":""},{"dropping-particle":"","family":"Thomas","given":"M.","non-dropping-particle":"","parse-names":false,"suffix":""},{"dropping-particle":"","family":"Newcombe","given":"R. G.","non-dropping-particle":"","parse-names":false,"suffix":""}],"container-title":"Journal of Hand Surgery","id":"ITEM-1","issue":"2","issued":{"date-parts":[["2005"]]},"page":"168-174","title":"Differential splintage for flexor tendon rehabilitation: An experimental study of its effect on finger flexion strength","type":"article-journal","volume":"30"},"uris":["http://www.mendeley.com/documents/?uuid=a7b5c096-50b7-47c1-8f0f-ef1f71f14e0e"]}],"mendeley":{"formattedCitation":"(21)","plainTextFormattedCitation":"(21)","previouslyFormattedCitation":"(21)"},"properties":{"noteIndex":0},"schema":"https://github.com/citation-style-language/schema/raw/master/csl-citation.json"}</w:instrText>
      </w:r>
      <w:r w:rsidR="00C720D1">
        <w:rPr>
          <w:rFonts w:ascii="Calibri" w:eastAsia="Calibri" w:hAnsi="Calibri" w:cs="Calibri"/>
        </w:rPr>
        <w:fldChar w:fldCharType="separate"/>
      </w:r>
      <w:r w:rsidR="002D5ADE" w:rsidRPr="002D5ADE">
        <w:rPr>
          <w:rFonts w:ascii="Calibri" w:eastAsia="Calibri" w:hAnsi="Calibri" w:cs="Calibri"/>
          <w:noProof/>
        </w:rPr>
        <w:t>(21)</w:t>
      </w:r>
      <w:r w:rsidR="00C720D1">
        <w:rPr>
          <w:rFonts w:ascii="Calibri" w:eastAsia="Calibri" w:hAnsi="Calibri" w:cs="Calibri"/>
        </w:rPr>
        <w:fldChar w:fldCharType="end"/>
      </w:r>
      <w:r w:rsidR="00C720D1">
        <w:rPr>
          <w:rFonts w:ascii="Calibri" w:eastAsia="Calibri" w:hAnsi="Calibri" w:cs="Calibri"/>
        </w:rPr>
        <w:t xml:space="preserve">. </w:t>
      </w:r>
      <w:r w:rsidR="00C056A7" w:rsidRPr="007B7C2D">
        <w:rPr>
          <w:rFonts w:ascii="Calibri" w:eastAsia="Calibri" w:hAnsi="Calibri" w:cs="Calibri"/>
        </w:rPr>
        <w:t xml:space="preserve">With this reasoning, the </w:t>
      </w:r>
      <w:r w:rsidRPr="007B7C2D">
        <w:rPr>
          <w:rFonts w:ascii="Calibri" w:eastAsia="Calibri" w:hAnsi="Calibri" w:cs="Calibri"/>
        </w:rPr>
        <w:t xml:space="preserve">relative motion </w:t>
      </w:r>
      <w:r w:rsidR="00F221C0">
        <w:rPr>
          <w:rFonts w:ascii="Calibri" w:eastAsia="Calibri" w:hAnsi="Calibri" w:cs="Calibri"/>
        </w:rPr>
        <w:t xml:space="preserve">flexion </w:t>
      </w:r>
      <w:r w:rsidR="00817B6F">
        <w:rPr>
          <w:rFonts w:ascii="Calibri" w:eastAsia="Calibri" w:hAnsi="Calibri" w:cs="Calibri"/>
        </w:rPr>
        <w:t>approach</w:t>
      </w:r>
      <w:r w:rsidRPr="007B7C2D">
        <w:rPr>
          <w:rFonts w:ascii="Calibri" w:eastAsia="Calibri" w:hAnsi="Calibri" w:cs="Calibri"/>
        </w:rPr>
        <w:t xml:space="preserve"> </w:t>
      </w:r>
      <w:r w:rsidR="00C056A7" w:rsidRPr="007B7C2D">
        <w:rPr>
          <w:rFonts w:ascii="Calibri" w:eastAsia="Calibri" w:hAnsi="Calibri" w:cs="Calibri"/>
        </w:rPr>
        <w:t xml:space="preserve">may not </w:t>
      </w:r>
      <w:r w:rsidR="00005E66">
        <w:rPr>
          <w:rFonts w:ascii="Calibri" w:eastAsia="Calibri" w:hAnsi="Calibri" w:cs="Calibri"/>
        </w:rPr>
        <w:t>be</w:t>
      </w:r>
      <w:r w:rsidR="00B7254F" w:rsidRPr="007B7C2D">
        <w:rPr>
          <w:rFonts w:ascii="Calibri" w:eastAsia="Calibri" w:hAnsi="Calibri" w:cs="Calibri"/>
        </w:rPr>
        <w:t xml:space="preserve"> </w:t>
      </w:r>
      <w:r w:rsidR="00C056A7" w:rsidRPr="007B7C2D">
        <w:rPr>
          <w:rFonts w:ascii="Calibri" w:eastAsia="Calibri" w:hAnsi="Calibri" w:cs="Calibri"/>
        </w:rPr>
        <w:lastRenderedPageBreak/>
        <w:t xml:space="preserve">appropriate for all </w:t>
      </w:r>
      <w:r w:rsidRPr="007B7C2D">
        <w:rPr>
          <w:rFonts w:ascii="Calibri" w:eastAsia="Calibri" w:hAnsi="Calibri" w:cs="Calibri"/>
        </w:rPr>
        <w:t>index finger FDP injuries</w:t>
      </w:r>
      <w:r w:rsidR="00C056A7" w:rsidRPr="007B7C2D">
        <w:rPr>
          <w:rFonts w:ascii="Calibri" w:eastAsia="Calibri" w:hAnsi="Calibri" w:cs="Calibri"/>
        </w:rPr>
        <w:t>.</w:t>
      </w:r>
      <w:r w:rsidR="00C720D1">
        <w:rPr>
          <w:rFonts w:ascii="Calibri" w:eastAsia="Calibri" w:hAnsi="Calibri" w:cs="Calibri"/>
        </w:rPr>
        <w:t xml:space="preserve"> H</w:t>
      </w:r>
      <w:r w:rsidR="00C056A7" w:rsidRPr="007B7C2D">
        <w:rPr>
          <w:rFonts w:ascii="Calibri" w:eastAsia="Calibri" w:hAnsi="Calibri" w:cs="Calibri"/>
        </w:rPr>
        <w:t>owever,</w:t>
      </w:r>
      <w:r w:rsidR="00EF160D" w:rsidRPr="007B7C2D">
        <w:rPr>
          <w:rFonts w:ascii="Calibri" w:eastAsia="Calibri" w:hAnsi="Calibri" w:cs="Calibri"/>
        </w:rPr>
        <w:t xml:space="preserve"> </w:t>
      </w:r>
      <w:r w:rsidR="00C056A7" w:rsidRPr="007B7C2D">
        <w:rPr>
          <w:rFonts w:ascii="Calibri" w:eastAsia="Calibri" w:hAnsi="Calibri" w:cs="Calibri"/>
        </w:rPr>
        <w:t xml:space="preserve">the </w:t>
      </w:r>
      <w:proofErr w:type="spellStart"/>
      <w:r w:rsidR="00C056A7" w:rsidRPr="007B7C2D">
        <w:rPr>
          <w:rFonts w:ascii="Calibri" w:eastAsia="Calibri" w:hAnsi="Calibri" w:cs="Calibri"/>
        </w:rPr>
        <w:t>RME</w:t>
      </w:r>
      <w:proofErr w:type="spellEnd"/>
      <w:r w:rsidR="00C056A7" w:rsidRPr="007B7C2D">
        <w:rPr>
          <w:rFonts w:ascii="Calibri" w:eastAsia="Calibri" w:hAnsi="Calibri" w:cs="Calibri"/>
        </w:rPr>
        <w:t xml:space="preserve"> orthosis has been found to be effective not only for extensor digitorum communis tendons, but also extensor indices and </w:t>
      </w:r>
      <w:r w:rsidR="00DF67CD">
        <w:rPr>
          <w:rFonts w:ascii="Calibri" w:eastAsia="Calibri" w:hAnsi="Calibri" w:cs="Calibri"/>
        </w:rPr>
        <w:t xml:space="preserve">extensor </w:t>
      </w:r>
      <w:proofErr w:type="spellStart"/>
      <w:r w:rsidR="00C056A7" w:rsidRPr="007B7C2D">
        <w:rPr>
          <w:rFonts w:ascii="Calibri" w:eastAsia="Calibri" w:hAnsi="Calibri" w:cs="Calibri"/>
        </w:rPr>
        <w:t>digiti</w:t>
      </w:r>
      <w:proofErr w:type="spellEnd"/>
      <w:r w:rsidR="00C056A7" w:rsidRPr="007B7C2D">
        <w:rPr>
          <w:rFonts w:ascii="Calibri" w:eastAsia="Calibri" w:hAnsi="Calibri" w:cs="Calibri"/>
        </w:rPr>
        <w:t xml:space="preserve"> </w:t>
      </w:r>
      <w:proofErr w:type="spellStart"/>
      <w:r w:rsidR="00C056A7" w:rsidRPr="007B7C2D">
        <w:rPr>
          <w:rFonts w:ascii="Calibri" w:eastAsia="Calibri" w:hAnsi="Calibri" w:cs="Calibri"/>
        </w:rPr>
        <w:t>minimi</w:t>
      </w:r>
      <w:proofErr w:type="spellEnd"/>
      <w:r w:rsidR="00C056A7" w:rsidRPr="007B7C2D">
        <w:rPr>
          <w:rFonts w:ascii="Calibri" w:eastAsia="Calibri" w:hAnsi="Calibri" w:cs="Calibri"/>
        </w:rPr>
        <w:t xml:space="preserve"> tendons, which have separate muscle bellies</w:t>
      </w:r>
      <w:r w:rsidR="00EF160D" w:rsidRPr="007B7C2D">
        <w:rPr>
          <w:rFonts w:ascii="Calibri" w:eastAsia="Calibri" w:hAnsi="Calibri" w:cs="Calibri"/>
        </w:rPr>
        <w:t xml:space="preserve"> </w:t>
      </w:r>
      <w:r w:rsidR="00EF160D" w:rsidRPr="007B7C2D">
        <w:rPr>
          <w:rFonts w:ascii="Calibri" w:eastAsia="Calibri" w:hAnsi="Calibri" w:cs="Calibri"/>
        </w:rPr>
        <w:fldChar w:fldCharType="begin" w:fldLock="1"/>
      </w:r>
      <w:r w:rsidR="004E4EAE" w:rsidRPr="007B7C2D">
        <w:rPr>
          <w:rFonts w:ascii="Calibri" w:eastAsia="Calibri" w:hAnsi="Calibri" w:cs="Calibri"/>
        </w:rPr>
        <w:instrText>ADDIN CSL_CITATION {"citationItems":[{"id":"ITEM-1","itemData":{"DOI":"10.1016/j.jht.2016.07.001","ISSN":"1545004X","abstract":"Study Design Scoping review. Introduction The relative motion (RM) concept and immediate controlled active motion (ICAM) program, originally applied after zones IV-VII extensor tendon repairs, have been modified and extended to a variety of hand conditions, such as sagittal band injury, boutonniere deformity, and extensor lag. Purpose of the Study To scope the published and unpublished literature to review ICAM modifications, hand conditions for which the RM concept is used, and describe the preferred degree of relative metacarpophalangeal joint extension/flexion reported and spectrum of orthosis design. Methods Electronic and manual searches of scientific and gray literature and expert consultation were conducted. Documents with quantitative data were assessed with Oxford Levels of Evidence and the Structured Effectiveness Quality Evaluation Scale. Results Fifteen references met the inclusion criteria; 1 was level III evidence, and others were level IV evidence. RM-ICAM modifications, preferred degree of relative extension/flexion, orthotic design, management of other hand conditions and knowledge gaps were identified. Conclusion RM orthoses may improve outcomes in a variety of hand conditions; however, high-quality studies that contribute to the evidence base for its use are needed. Level of Evidence Not applicable.","author":[{"dropping-particle":"","family":"Hirth","given":"Melissa J.","non-dropping-particle":"","parse-names":false,"suffix":""},{"dropping-particle":"","family":"Howell","given":"Julianne W.","non-dropping-particle":"","parse-names":false,"suffix":""},{"dropping-particle":"","family":"O'Brien","given":"Lisa","non-dropping-particle":"","parse-names":false,"suffix":""}],"container-title":"Journal of Hand Therapy","id":"ITEM-1","issue":"4","issued":{"date-parts":[["2016"]]},"page":"405-432","publisher":"Elsevier Inc","title":"Relative motion orthoses in the management of various hand conditions: A scoping review","type":"article-journal","volume":"29"},"uris":["http://www.mendeley.com/documents/?uuid=210297db-08ff-457f-aa38-4973c3367a34"]}],"mendeley":{"formattedCitation":"(2)","plainTextFormattedCitation":"(2)","previouslyFormattedCitation":"(2)"},"properties":{"noteIndex":0},"schema":"https://github.com/citation-style-language/schema/raw/master/csl-citation.json"}</w:instrText>
      </w:r>
      <w:r w:rsidR="00EF160D" w:rsidRPr="007B7C2D">
        <w:rPr>
          <w:rFonts w:ascii="Calibri" w:eastAsia="Calibri" w:hAnsi="Calibri" w:cs="Calibri"/>
        </w:rPr>
        <w:fldChar w:fldCharType="separate"/>
      </w:r>
      <w:r w:rsidR="00EF160D" w:rsidRPr="007B7C2D">
        <w:rPr>
          <w:rFonts w:ascii="Calibri" w:eastAsia="Calibri" w:hAnsi="Calibri" w:cs="Calibri"/>
          <w:noProof/>
        </w:rPr>
        <w:t>(2)</w:t>
      </w:r>
      <w:r w:rsidR="00EF160D" w:rsidRPr="007B7C2D">
        <w:rPr>
          <w:rFonts w:ascii="Calibri" w:eastAsia="Calibri" w:hAnsi="Calibri" w:cs="Calibri"/>
        </w:rPr>
        <w:fldChar w:fldCharType="end"/>
      </w:r>
      <w:r w:rsidR="00EF160D" w:rsidRPr="007B7C2D">
        <w:rPr>
          <w:rFonts w:ascii="Calibri" w:eastAsia="Calibri" w:hAnsi="Calibri" w:cs="Calibri"/>
        </w:rPr>
        <w:t xml:space="preserve">. </w:t>
      </w:r>
      <w:r w:rsidR="00807D6A" w:rsidRPr="007B7C2D">
        <w:rPr>
          <w:rFonts w:ascii="Calibri" w:eastAsia="Calibri" w:hAnsi="Calibri" w:cs="Calibri"/>
        </w:rPr>
        <w:t xml:space="preserve">It is </w:t>
      </w:r>
      <w:r w:rsidR="004C21CD" w:rsidRPr="007B7C2D">
        <w:rPr>
          <w:rFonts w:ascii="Calibri" w:eastAsia="Calibri" w:hAnsi="Calibri" w:cs="Calibri"/>
        </w:rPr>
        <w:t xml:space="preserve">therefore </w:t>
      </w:r>
      <w:r w:rsidR="000A1A80" w:rsidRPr="007B7C2D">
        <w:rPr>
          <w:rFonts w:ascii="Calibri" w:eastAsia="Calibri" w:hAnsi="Calibri" w:cs="Calibri"/>
        </w:rPr>
        <w:t>suggested</w:t>
      </w:r>
      <w:r w:rsidR="00807D6A" w:rsidRPr="007B7C2D">
        <w:rPr>
          <w:rFonts w:ascii="Calibri" w:eastAsia="Calibri" w:hAnsi="Calibri" w:cs="Calibri"/>
        </w:rPr>
        <w:t xml:space="preserve"> that relative motion </w:t>
      </w:r>
      <w:r w:rsidR="000A1A80" w:rsidRPr="007B7C2D">
        <w:rPr>
          <w:rFonts w:ascii="Calibri" w:eastAsia="Calibri" w:hAnsi="Calibri" w:cs="Calibri"/>
        </w:rPr>
        <w:t>orthos</w:t>
      </w:r>
      <w:r w:rsidR="00D20530">
        <w:rPr>
          <w:rFonts w:ascii="Calibri" w:eastAsia="Calibri" w:hAnsi="Calibri" w:cs="Calibri"/>
        </w:rPr>
        <w:t>e</w:t>
      </w:r>
      <w:r w:rsidR="000A1A80" w:rsidRPr="007B7C2D">
        <w:rPr>
          <w:rFonts w:ascii="Calibri" w:eastAsia="Calibri" w:hAnsi="Calibri" w:cs="Calibri"/>
        </w:rPr>
        <w:t>s</w:t>
      </w:r>
      <w:r w:rsidR="00807D6A" w:rsidRPr="007B7C2D">
        <w:rPr>
          <w:rFonts w:ascii="Calibri" w:eastAsia="Calibri" w:hAnsi="Calibri" w:cs="Calibri"/>
        </w:rPr>
        <w:t xml:space="preserve"> may </w:t>
      </w:r>
      <w:r w:rsidR="00005E66">
        <w:rPr>
          <w:rFonts w:ascii="Calibri" w:eastAsia="Calibri" w:hAnsi="Calibri" w:cs="Calibri"/>
        </w:rPr>
        <w:t xml:space="preserve">also </w:t>
      </w:r>
      <w:r w:rsidR="00807D6A" w:rsidRPr="007B7C2D">
        <w:rPr>
          <w:rFonts w:ascii="Calibri" w:eastAsia="Calibri" w:hAnsi="Calibri" w:cs="Calibri"/>
        </w:rPr>
        <w:t xml:space="preserve">function due to the </w:t>
      </w:r>
      <w:r w:rsidR="004C21CD" w:rsidRPr="007B7C2D">
        <w:rPr>
          <w:rFonts w:ascii="Calibri" w:eastAsia="Calibri" w:hAnsi="Calibri" w:cs="Calibri"/>
        </w:rPr>
        <w:t xml:space="preserve">kinesiological </w:t>
      </w:r>
      <w:r w:rsidR="00807D6A" w:rsidRPr="007B7C2D">
        <w:rPr>
          <w:rFonts w:ascii="Calibri" w:eastAsia="Calibri" w:hAnsi="Calibri" w:cs="Calibri"/>
        </w:rPr>
        <w:t>effects of co-contraction</w:t>
      </w:r>
      <w:r w:rsidR="00005E66">
        <w:rPr>
          <w:rFonts w:ascii="Calibri" w:eastAsia="Calibri" w:hAnsi="Calibri" w:cs="Calibri"/>
        </w:rPr>
        <w:t xml:space="preserve"> and co-inhibition,</w:t>
      </w:r>
      <w:r w:rsidR="000A1A80" w:rsidRPr="007B7C2D">
        <w:rPr>
          <w:rFonts w:ascii="Calibri" w:eastAsia="Calibri" w:hAnsi="Calibri" w:cs="Calibri"/>
        </w:rPr>
        <w:t xml:space="preserve"> in addition to the anatomical feature of a shared muscle belly. </w:t>
      </w:r>
      <w:r w:rsidR="00807D6A" w:rsidRPr="007B7C2D">
        <w:rPr>
          <w:rFonts w:ascii="Calibri" w:eastAsia="Calibri" w:hAnsi="Calibri" w:cs="Calibri"/>
        </w:rPr>
        <w:t>Electromyographic studies have shown that all extrinsic digital extensors co-activate when voluntary contraction force exceeds 50% of maximum</w:t>
      </w:r>
      <w:r w:rsidR="004E4EAE" w:rsidRPr="007B7C2D">
        <w:rPr>
          <w:rFonts w:ascii="Calibri" w:eastAsia="Calibri" w:hAnsi="Calibri" w:cs="Calibri"/>
        </w:rPr>
        <w:t xml:space="preserve"> </w:t>
      </w:r>
      <w:r w:rsidR="004E4EAE" w:rsidRPr="007B7C2D">
        <w:rPr>
          <w:rFonts w:ascii="Calibri" w:eastAsia="Calibri" w:hAnsi="Calibri" w:cs="Calibri"/>
        </w:rPr>
        <w:fldChar w:fldCharType="begin" w:fldLock="1"/>
      </w:r>
      <w:r w:rsidR="00A50831">
        <w:rPr>
          <w:rFonts w:ascii="Calibri" w:eastAsia="Calibri" w:hAnsi="Calibri" w:cs="Calibri"/>
        </w:rPr>
        <w:instrText>ADDIN CSL_CITATION {"citationItems":[{"id":"ITEM-1","itemData":{"DOI":"10.1113/jphysiol.2009.177964","ISSN":"00223751","PMID":"19703966","abstract":"While the human hand has an extraordinary capacity to manipulate objects, movement of its digits is usually not completely independent. These limits have been documented for extrinsic flexor muscles, although hand skills also require selectivity for extension movements. Hence, we measured the degree of independent control of the major extrinsic extensor (extensor digitorum, ED). Subjects grasped a cylinder, with the thumb perpendicular to the fingers. Load cells were connected to the proximal phalanges of the fingers and the thumb's distal phalanx. Intramuscular recordings using needle electrodes were made from the individual digital compartments of ED. Subjects were instructed to extend each digit isometrically in a voluntary ramp contraction to 50% maximal force. In total, the behaviour of 283 single motor units was analysed. More than half of the units associated with one 'test' finger were recruited inadvertently when another digit contracted to 50% maximum, with most units being recruited by extension of the adjacent digits. Usually, test motor units were recruited at higher forces by extension of fingers further from the test finger. Unexpectedly, extension of the thumb recruited many motor units acting on the little finger. Across tasks, at recruitment of the test motor units, the force produced by the test finger often differed between the voluntary and inadvertent contractions. Overall, the independent control of the output of ED is limited; this may reflect 'spill-over' of motor commands to other digital extensor compartments. This level of control of the extrinsic extensor muscles is more independent than the control of the deep extrinsic flexor muscle but less independent than that of the superficial extrinsic flexor muscle. © 2009 The Authors. Journal compilation © 2009 The Physiological Society.","author":[{"dropping-particle":"","family":"Duinen","given":"Hiske","non-dropping-particle":"van","parse-names":false,"suffix":""},{"dropping-particle":"","family":"Yu","given":"Wei Shin","non-dropping-particle":"","parse-names":false,"suffix":""},{"dropping-particle":"","family":"Gandevia","given":"Simon C.","non-dropping-particle":"","parse-names":false,"suffix":""}],"container-title":"Journal of Physiology","id":"ITEM-1","issue":"20","issued":{"date-parts":[["2009"]]},"page":"4799-4810","title":"Limited ability to extend the digits of the human hand independently with extensor digitorum","type":"article-journal","volume":"587"},"uris":["http://www.mendeley.com/documents/?uuid=41503c76-be9a-40fe-a3b6-faa1ee6793fc"]}],"mendeley":{"formattedCitation":"(29)","plainTextFormattedCitation":"(29)","previouslyFormattedCitation":"(29)"},"properties":{"noteIndex":0},"schema":"https://github.com/citation-style-language/schema/raw/master/csl-citation.json"}</w:instrText>
      </w:r>
      <w:r w:rsidR="004E4EAE" w:rsidRPr="007B7C2D">
        <w:rPr>
          <w:rFonts w:ascii="Calibri" w:eastAsia="Calibri" w:hAnsi="Calibri" w:cs="Calibri"/>
        </w:rPr>
        <w:fldChar w:fldCharType="separate"/>
      </w:r>
      <w:r w:rsidR="00D06ED5" w:rsidRPr="00D06ED5">
        <w:rPr>
          <w:rFonts w:ascii="Calibri" w:eastAsia="Calibri" w:hAnsi="Calibri" w:cs="Calibri"/>
          <w:noProof/>
        </w:rPr>
        <w:t>(29)</w:t>
      </w:r>
      <w:r w:rsidR="004E4EAE" w:rsidRPr="007B7C2D">
        <w:rPr>
          <w:rFonts w:ascii="Calibri" w:eastAsia="Calibri" w:hAnsi="Calibri" w:cs="Calibri"/>
        </w:rPr>
        <w:fldChar w:fldCharType="end"/>
      </w:r>
      <w:r w:rsidR="004E4EAE" w:rsidRPr="007B7C2D">
        <w:rPr>
          <w:rFonts w:ascii="Calibri" w:eastAsia="Calibri" w:hAnsi="Calibri" w:cs="Calibri"/>
        </w:rPr>
        <w:t>. Similar neuromuscular interdependence has been reported using electromyography of the FDP muscle</w:t>
      </w:r>
      <w:r w:rsidR="001932C7" w:rsidRPr="007B7C2D">
        <w:rPr>
          <w:rFonts w:ascii="Calibri" w:eastAsia="Calibri" w:hAnsi="Calibri" w:cs="Calibri"/>
        </w:rPr>
        <w:t xml:space="preserve">, identifying substantial co-activation of all parts of the FDP muscle with active flexion of a single finger </w:t>
      </w:r>
      <w:r w:rsidR="001932C7" w:rsidRPr="007B7C2D">
        <w:rPr>
          <w:rFonts w:ascii="Calibri" w:eastAsia="Calibri" w:hAnsi="Calibri" w:cs="Calibri"/>
        </w:rPr>
        <w:fldChar w:fldCharType="begin" w:fldLock="1"/>
      </w:r>
      <w:r w:rsidR="00A50831">
        <w:rPr>
          <w:rFonts w:ascii="Calibri" w:eastAsia="Calibri" w:hAnsi="Calibri" w:cs="Calibri"/>
        </w:rPr>
        <w:instrText>ADDIN CSL_CITATION {"citationItems":[{"id":"ITEM-1","itemData":{"DOI":"10.1152/jn.00287.2003","ISSN":"00223077","PMID":"12815024","abstract":"The human flexor digitorum profundus (FDP) sends tendons to all 4 fingers. One might assume that this multitendoned muscle consists of 4 discrete neuromuscular compartments each acting on a different finger, but recent anatomical and physiological studies raise the possibility that the human FDP is incompletely subdivided. To investigate the functional organization of the human FDP, we recorded electromyographic (EMG) activity by bipolar fine-wire electrodes simultaneously from 2 or 4 separate intramuscular sites as normal human subjects performed isometric, individuated flexion, and extension of each left-hand digit. Some recordings showed EMG activity during flexion of only one of the 4 fingers, indicating that the human FDP has highly selective core regions that act on single fingers. The majority of recordings, however, showed a large amount of EMG activity during flexion of one finger and lower levels of EMG activity during flexion of an adjacent finger. This lesser EMG activity during flexion of adjacent fingers was unlikely to have resulted from recording motor units in neighboring neuromuscular compartments, and instead suggests incomplete functional subdivision of the human FDP. In addition to the greatest agonist EMG activity during flexion of a given finger, most recordings also showed EMG activity during extension of adjacent fingers, apparently serving to stabilize the given finger against unwanted extension. Paradoxically, the functional organization of the human FDP - with both incomplete functional subdivision and highly selective core regions - may contribute simultaneously to the inability of humans to produce completely independent finger movements, and to the greater ability of humans (compared with macaques) to individuate finger movements.","author":[{"dropping-particle":"","family":"Reilly","given":"Karen T.","non-dropping-particle":"","parse-names":false,"suffix":""},{"dropping-particle":"","family":"Schieber","given":"Marc H.","non-dropping-particle":"","parse-names":false,"suffix":""}],"container-title":"Journal of Neurophysiology","id":"ITEM-1","issue":"4","issued":{"date-parts":[["2003"]]},"page":"2560-70","title":"Incomplete functional subdivision of the human multitendoned finger muscle flexor digitorum profundus: An electromyographic study","type":"article-journal","volume":"90"},"uris":["http://www.mendeley.com/documents/?uuid=e5cadb44-f934-42c0-b573-b05098f47ba0"]}],"mendeley":{"formattedCitation":"(30)","plainTextFormattedCitation":"(30)","previouslyFormattedCitation":"(30)"},"properties":{"noteIndex":0},"schema":"https://github.com/citation-style-language/schema/raw/master/csl-citation.json"}</w:instrText>
      </w:r>
      <w:r w:rsidR="001932C7" w:rsidRPr="007B7C2D">
        <w:rPr>
          <w:rFonts w:ascii="Calibri" w:eastAsia="Calibri" w:hAnsi="Calibri" w:cs="Calibri"/>
        </w:rPr>
        <w:fldChar w:fldCharType="separate"/>
      </w:r>
      <w:r w:rsidR="00D06ED5" w:rsidRPr="00D06ED5">
        <w:rPr>
          <w:rFonts w:ascii="Calibri" w:eastAsia="Calibri" w:hAnsi="Calibri" w:cs="Calibri"/>
          <w:noProof/>
        </w:rPr>
        <w:t>(30)</w:t>
      </w:r>
      <w:r w:rsidR="001932C7" w:rsidRPr="007B7C2D">
        <w:rPr>
          <w:rFonts w:ascii="Calibri" w:eastAsia="Calibri" w:hAnsi="Calibri" w:cs="Calibri"/>
        </w:rPr>
        <w:fldChar w:fldCharType="end"/>
      </w:r>
      <w:r w:rsidR="00817B6F">
        <w:rPr>
          <w:rFonts w:ascii="Calibri" w:eastAsia="Calibri" w:hAnsi="Calibri" w:cs="Calibri"/>
        </w:rPr>
        <w:t xml:space="preserve">; however this has not been specifically assessed </w:t>
      </w:r>
      <w:r w:rsidR="005C5585">
        <w:rPr>
          <w:rFonts w:ascii="Calibri" w:eastAsia="Calibri" w:hAnsi="Calibri" w:cs="Calibri"/>
        </w:rPr>
        <w:t xml:space="preserve">with differential flexion of the </w:t>
      </w:r>
      <w:proofErr w:type="spellStart"/>
      <w:r w:rsidR="005C5585">
        <w:rPr>
          <w:rFonts w:ascii="Calibri" w:eastAsia="Calibri" w:hAnsi="Calibri" w:cs="Calibri"/>
        </w:rPr>
        <w:t>MCP</w:t>
      </w:r>
      <w:proofErr w:type="spellEnd"/>
      <w:r w:rsidR="005C5585">
        <w:rPr>
          <w:rFonts w:ascii="Calibri" w:eastAsia="Calibri" w:hAnsi="Calibri" w:cs="Calibri"/>
        </w:rPr>
        <w:t xml:space="preserve"> joint</w:t>
      </w:r>
      <w:r w:rsidR="001932C7" w:rsidRPr="007B7C2D">
        <w:rPr>
          <w:rFonts w:ascii="Calibri" w:eastAsia="Calibri" w:hAnsi="Calibri" w:cs="Calibri"/>
        </w:rPr>
        <w:t xml:space="preserve">. </w:t>
      </w:r>
    </w:p>
    <w:p w14:paraId="0708D30C" w14:textId="78951CF1" w:rsidR="00130693" w:rsidRDefault="00130693" w:rsidP="00950475">
      <w:pPr>
        <w:spacing w:line="480" w:lineRule="auto"/>
        <w:rPr>
          <w:rFonts w:ascii="Calibri" w:eastAsia="Calibri" w:hAnsi="Calibri" w:cs="Calibri"/>
        </w:rPr>
      </w:pPr>
    </w:p>
    <w:p w14:paraId="32147D8F" w14:textId="3833A480" w:rsidR="00885704" w:rsidRDefault="00D20530" w:rsidP="00950475">
      <w:pPr>
        <w:spacing w:line="480" w:lineRule="auto"/>
        <w:rPr>
          <w:rFonts w:ascii="Calibri" w:eastAsia="Calibri" w:hAnsi="Calibri" w:cs="Calibri"/>
        </w:rPr>
      </w:pPr>
      <w:r>
        <w:rPr>
          <w:rFonts w:ascii="Calibri" w:eastAsia="Calibri" w:hAnsi="Calibri" w:cs="Calibri"/>
        </w:rPr>
        <w:t xml:space="preserve">Existing studies have </w:t>
      </w:r>
      <w:r w:rsidR="00005E66">
        <w:rPr>
          <w:rFonts w:ascii="Calibri" w:eastAsia="Calibri" w:hAnsi="Calibri" w:cs="Calibri"/>
        </w:rPr>
        <w:t>used</w:t>
      </w:r>
      <w:r w:rsidR="00130693">
        <w:rPr>
          <w:rFonts w:ascii="Calibri" w:eastAsia="Calibri" w:hAnsi="Calibri" w:cs="Calibri"/>
        </w:rPr>
        <w:t xml:space="preserve"> </w:t>
      </w:r>
      <w:proofErr w:type="spellStart"/>
      <w:r w:rsidR="00130693">
        <w:rPr>
          <w:rFonts w:ascii="Calibri" w:eastAsia="Calibri" w:hAnsi="Calibri" w:cs="Calibri"/>
        </w:rPr>
        <w:t>RMF</w:t>
      </w:r>
      <w:proofErr w:type="spellEnd"/>
      <w:r w:rsidR="00130693">
        <w:rPr>
          <w:rFonts w:ascii="Calibri" w:eastAsia="Calibri" w:hAnsi="Calibri" w:cs="Calibri"/>
        </w:rPr>
        <w:t xml:space="preserve"> orthos</w:t>
      </w:r>
      <w:r w:rsidR="00005E66">
        <w:rPr>
          <w:rFonts w:ascii="Calibri" w:eastAsia="Calibri" w:hAnsi="Calibri" w:cs="Calibri"/>
        </w:rPr>
        <w:t>e</w:t>
      </w:r>
      <w:r w:rsidR="00130693">
        <w:rPr>
          <w:rFonts w:ascii="Calibri" w:eastAsia="Calibri" w:hAnsi="Calibri" w:cs="Calibri"/>
        </w:rPr>
        <w:t>s after FDP repairs</w:t>
      </w:r>
      <w:r w:rsidR="00885704">
        <w:rPr>
          <w:rFonts w:ascii="Calibri" w:eastAsia="Calibri" w:hAnsi="Calibri" w:cs="Calibri"/>
        </w:rPr>
        <w:t xml:space="preserve"> to the index finger</w:t>
      </w:r>
      <w:r>
        <w:rPr>
          <w:rFonts w:ascii="Calibri" w:eastAsia="Calibri" w:hAnsi="Calibri" w:cs="Calibri"/>
        </w:rPr>
        <w:t xml:space="preserve">, but there </w:t>
      </w:r>
      <w:r w:rsidR="00D954DA">
        <w:rPr>
          <w:rFonts w:ascii="Calibri" w:eastAsia="Calibri" w:hAnsi="Calibri" w:cs="Calibri"/>
        </w:rPr>
        <w:t>is</w:t>
      </w:r>
      <w:r w:rsidR="00005E66">
        <w:rPr>
          <w:rFonts w:ascii="Calibri" w:eastAsia="Calibri" w:hAnsi="Calibri" w:cs="Calibri"/>
        </w:rPr>
        <w:t xml:space="preserve"> very</w:t>
      </w:r>
      <w:r>
        <w:rPr>
          <w:rFonts w:ascii="Calibri" w:eastAsia="Calibri" w:hAnsi="Calibri" w:cs="Calibri"/>
        </w:rPr>
        <w:t xml:space="preserve"> limited data available for this digit. Henry and Howell’s cohort included one patient with an index finger repair</w:t>
      </w:r>
      <w:r w:rsidR="00661CE9">
        <w:rPr>
          <w:rFonts w:ascii="Calibri" w:eastAsia="Calibri" w:hAnsi="Calibri" w:cs="Calibri"/>
        </w:rPr>
        <w:t>. This individual a</w:t>
      </w:r>
      <w:r>
        <w:rPr>
          <w:rFonts w:ascii="Calibri" w:eastAsia="Calibri" w:hAnsi="Calibri" w:cs="Calibri"/>
        </w:rPr>
        <w:t>chieved grip strength</w:t>
      </w:r>
      <w:r w:rsidR="005665AA">
        <w:rPr>
          <w:rFonts w:ascii="Calibri" w:eastAsia="Calibri" w:hAnsi="Calibri" w:cs="Calibri"/>
        </w:rPr>
        <w:t xml:space="preserve"> comparable</w:t>
      </w:r>
      <w:r>
        <w:rPr>
          <w:rFonts w:ascii="Calibri" w:eastAsia="Calibri" w:hAnsi="Calibri" w:cs="Calibri"/>
        </w:rPr>
        <w:t xml:space="preserve"> to the unaffected side and excellent range of movement using the </w:t>
      </w:r>
      <w:r w:rsidR="00796CEB">
        <w:rPr>
          <w:rFonts w:ascii="Calibri" w:eastAsia="Calibri" w:hAnsi="Calibri" w:cs="Calibri"/>
        </w:rPr>
        <w:t xml:space="preserve">Strickland and </w:t>
      </w:r>
      <w:proofErr w:type="spellStart"/>
      <w:r w:rsidR="00796CEB">
        <w:rPr>
          <w:rFonts w:ascii="Calibri" w:eastAsia="Calibri" w:hAnsi="Calibri" w:cs="Calibri"/>
        </w:rPr>
        <w:t>Glogovac</w:t>
      </w:r>
      <w:proofErr w:type="spellEnd"/>
      <w:r w:rsidR="00796CEB">
        <w:rPr>
          <w:rFonts w:ascii="Calibri" w:eastAsia="Calibri" w:hAnsi="Calibri" w:cs="Calibri"/>
        </w:rPr>
        <w:t xml:space="preserve"> classification</w:t>
      </w:r>
      <w:r w:rsidR="00885704">
        <w:rPr>
          <w:rFonts w:ascii="Calibri" w:eastAsia="Calibri" w:hAnsi="Calibri" w:cs="Calibri"/>
        </w:rPr>
        <w:t xml:space="preserve">, as </w:t>
      </w:r>
      <w:r w:rsidR="008D5F2F">
        <w:rPr>
          <w:rFonts w:ascii="Calibri" w:eastAsia="Calibri" w:hAnsi="Calibri" w:cs="Calibri"/>
        </w:rPr>
        <w:t xml:space="preserve">assessed </w:t>
      </w:r>
      <w:r w:rsidR="00DF67CD">
        <w:rPr>
          <w:rFonts w:ascii="Calibri" w:eastAsia="Calibri" w:hAnsi="Calibri" w:cs="Calibri"/>
        </w:rPr>
        <w:t>eight</w:t>
      </w:r>
      <w:r w:rsidR="008D5F2F">
        <w:rPr>
          <w:rFonts w:ascii="Calibri" w:eastAsia="Calibri" w:hAnsi="Calibri" w:cs="Calibri"/>
        </w:rPr>
        <w:t xml:space="preserve"> months after surgery</w:t>
      </w:r>
      <w:r w:rsidR="00796CEB">
        <w:rPr>
          <w:rFonts w:ascii="Calibri" w:eastAsia="Calibri" w:hAnsi="Calibri" w:cs="Calibri"/>
        </w:rPr>
        <w:t xml:space="preserve"> </w:t>
      </w:r>
      <w:r w:rsidR="00796CEB">
        <w:rPr>
          <w:rFonts w:ascii="Calibri" w:eastAsia="Calibri" w:hAnsi="Calibri" w:cs="Calibri"/>
        </w:rPr>
        <w:fldChar w:fldCharType="begin" w:fldLock="1"/>
      </w:r>
      <w:r w:rsidR="00661CE9">
        <w:rPr>
          <w:rFonts w:ascii="Calibri" w:eastAsia="Calibri" w:hAnsi="Calibri" w:cs="Calibri"/>
        </w:rPr>
        <w:instrText>ADDIN CSL_CITATION {"citationItems":[{"id":"ITEM-1","itemData":{"DOI":"10.1016/S0363-5023(80)80101-8","ISSN":"03635023","PMID":"7430595","abstract":"The performance of 50 consecutive digits in 37 patients was analyzed following flexor tendon repair in Zone 11. Twenty-five digits were managed by 3 1/2 weeks of immobilization followed by a program of gradually increased motion; 25 other digits by intermittent passive motion initiated within the first 5 days with active flexion commenced at 4 1/2 weeks. Results were graded according to the percentage of return of motion at the proximal and distal interphalangeal joints. There were four ruptures in the immobilization group with no excellent results, 12% being rated good, 28%fair, and 11% poor. In the digits managed by early mobilization there were 36% excellent, 20% good, 16% fair, 24% poor; there was one rupture in this group. Early passive motion appeared to be an effective technique to improve the results of flexor tendon repairs in this area. © 1980, American Society for Surgery of the Hand. All rights reserved.","author":[{"dropping-particle":"","family":"Strickland","given":"James W.","non-dropping-particle":"","parse-names":false,"suffix":""},{"dropping-particle":"","family":"Glogovac","given":"S. Vic","non-dropping-particle":"","parse-names":false,"suffix":""}],"container-title":"Journal of Hand Surgery","id":"ITEM-1","issue":"6","issued":{"date-parts":[["1980"]]},"page":"537-543","publisher":"American Society for Surgery of the Hand","title":"Digital function following flexor tendon repair in Zone II: A comparison of immobilization and controlled passive motion techniques","type":"article-journal","volume":"5"},"uris":["http://www.mendeley.com/documents/?uuid=5c1d69f7-0aec-4e0e-ac59-0bf7da35a9a2"]},{"id":"ITEM-2","itemData":{"DOI":"10.1016/j.jht.2019.05.002","ISSN":"0894-1130","author":[{"dropping-particle":"","family":"Henry","given":"Steven L","non-dropping-particle":"","parse-names":false,"suffix":""},{"dropping-particle":"","family":"Howell","given":"Julianne W","non-dropping-particle":"","parse-names":false,"suffix":""}],"container-title":"Journal of Hand Therapy","id":"ITEM-2","issue":"3","issued":{"date-parts":[["2020"]]},"page":"296-304","publisher":"Elsevier Inc","title":"Use of a relative motion flexion orthosis for postoperative management of zone I/II flexor digitorum profundus repair: A retrospective consecutive case series","type":"article-journal","volume":"33"},"uris":["http://www.mendeley.com/documents/?uuid=8cf4242d-792a-4604-a722-3df7e36780c9"]}],"mendeley":{"formattedCitation":"(8,19)","plainTextFormattedCitation":"(8,19)","previouslyFormattedCitation":"(8,19)"},"properties":{"noteIndex":0},"schema":"https://github.com/citation-style-language/schema/raw/master/csl-citation.json"}</w:instrText>
      </w:r>
      <w:r w:rsidR="00796CEB">
        <w:rPr>
          <w:rFonts w:ascii="Calibri" w:eastAsia="Calibri" w:hAnsi="Calibri" w:cs="Calibri"/>
        </w:rPr>
        <w:fldChar w:fldCharType="separate"/>
      </w:r>
      <w:r w:rsidR="002D5ADE" w:rsidRPr="002D5ADE">
        <w:rPr>
          <w:rFonts w:ascii="Calibri" w:eastAsia="Calibri" w:hAnsi="Calibri" w:cs="Calibri"/>
          <w:noProof/>
        </w:rPr>
        <w:t>(8,19)</w:t>
      </w:r>
      <w:r w:rsidR="00796CEB">
        <w:rPr>
          <w:rFonts w:ascii="Calibri" w:eastAsia="Calibri" w:hAnsi="Calibri" w:cs="Calibri"/>
        </w:rPr>
        <w:fldChar w:fldCharType="end"/>
      </w:r>
      <w:r w:rsidR="00796CEB">
        <w:rPr>
          <w:rFonts w:ascii="Calibri" w:eastAsia="Calibri" w:hAnsi="Calibri" w:cs="Calibri"/>
        </w:rPr>
        <w:t>.</w:t>
      </w:r>
      <w:r w:rsidR="0042528F">
        <w:rPr>
          <w:rFonts w:ascii="Calibri" w:eastAsia="Calibri" w:hAnsi="Calibri" w:cs="Calibri"/>
        </w:rPr>
        <w:t xml:space="preserve"> </w:t>
      </w:r>
      <w:r w:rsidR="008D5F2F">
        <w:rPr>
          <w:rFonts w:ascii="Calibri" w:eastAsia="Calibri" w:hAnsi="Calibri" w:cs="Calibri"/>
        </w:rPr>
        <w:t>A</w:t>
      </w:r>
      <w:r w:rsidR="0042528F">
        <w:rPr>
          <w:rFonts w:ascii="Calibri" w:eastAsia="Calibri" w:hAnsi="Calibri" w:cs="Calibri"/>
        </w:rPr>
        <w:t xml:space="preserve"> prospective </w:t>
      </w:r>
      <w:r w:rsidR="00885704">
        <w:rPr>
          <w:rFonts w:ascii="Calibri" w:eastAsia="Calibri" w:hAnsi="Calibri" w:cs="Calibri"/>
        </w:rPr>
        <w:t>service evaluation</w:t>
      </w:r>
      <w:r w:rsidR="0042528F">
        <w:rPr>
          <w:rFonts w:ascii="Calibri" w:eastAsia="Calibri" w:hAnsi="Calibri" w:cs="Calibri"/>
        </w:rPr>
        <w:t xml:space="preserve"> conducted </w:t>
      </w:r>
      <w:r w:rsidR="00E0032F">
        <w:rPr>
          <w:rFonts w:ascii="Calibri" w:eastAsia="Calibri" w:hAnsi="Calibri" w:cs="Calibri"/>
        </w:rPr>
        <w:t xml:space="preserve">at the </w:t>
      </w:r>
      <w:proofErr w:type="spellStart"/>
      <w:r w:rsidR="00E0032F" w:rsidRPr="0053657D">
        <w:rPr>
          <w:rFonts w:ascii="Calibri" w:eastAsia="Calibri" w:hAnsi="Calibri" w:cs="Calibri"/>
          <w:highlight w:val="black"/>
        </w:rPr>
        <w:t>Pulvertaft</w:t>
      </w:r>
      <w:proofErr w:type="spellEnd"/>
      <w:r w:rsidR="00E0032F" w:rsidRPr="0053657D">
        <w:rPr>
          <w:rFonts w:ascii="Calibri" w:eastAsia="Calibri" w:hAnsi="Calibri" w:cs="Calibri"/>
          <w:highlight w:val="black"/>
        </w:rPr>
        <w:t xml:space="preserve"> Hand Centre in the UK</w:t>
      </w:r>
      <w:r w:rsidR="00885704">
        <w:rPr>
          <w:rFonts w:ascii="Calibri" w:eastAsia="Calibri" w:hAnsi="Calibri" w:cs="Calibri"/>
        </w:rPr>
        <w:t xml:space="preserve"> (</w:t>
      </w:r>
      <w:r w:rsidR="0042528F">
        <w:rPr>
          <w:rFonts w:ascii="Calibri" w:eastAsia="Calibri" w:hAnsi="Calibri" w:cs="Calibri"/>
        </w:rPr>
        <w:t>reported below</w:t>
      </w:r>
      <w:r w:rsidR="00885704">
        <w:rPr>
          <w:rFonts w:ascii="Calibri" w:eastAsia="Calibri" w:hAnsi="Calibri" w:cs="Calibri"/>
        </w:rPr>
        <w:t>)</w:t>
      </w:r>
      <w:r w:rsidR="008D5F2F">
        <w:rPr>
          <w:rFonts w:ascii="Calibri" w:eastAsia="Calibri" w:hAnsi="Calibri" w:cs="Calibri"/>
        </w:rPr>
        <w:t>,</w:t>
      </w:r>
      <w:r w:rsidR="0042528F">
        <w:rPr>
          <w:rFonts w:ascii="Calibri" w:eastAsia="Calibri" w:hAnsi="Calibri" w:cs="Calibri"/>
        </w:rPr>
        <w:t xml:space="preserve"> included </w:t>
      </w:r>
      <w:r w:rsidR="00DF67CD">
        <w:rPr>
          <w:rFonts w:ascii="Calibri" w:eastAsia="Calibri" w:hAnsi="Calibri" w:cs="Calibri"/>
        </w:rPr>
        <w:t>six</w:t>
      </w:r>
      <w:r w:rsidR="0042528F">
        <w:rPr>
          <w:rFonts w:ascii="Calibri" w:eastAsia="Calibri" w:hAnsi="Calibri" w:cs="Calibri"/>
        </w:rPr>
        <w:t xml:space="preserve"> patient</w:t>
      </w:r>
      <w:r w:rsidR="008D5F2F">
        <w:rPr>
          <w:rFonts w:ascii="Calibri" w:eastAsia="Calibri" w:hAnsi="Calibri" w:cs="Calibri"/>
        </w:rPr>
        <w:t>s</w:t>
      </w:r>
      <w:r w:rsidR="0042528F">
        <w:rPr>
          <w:rFonts w:ascii="Calibri" w:eastAsia="Calibri" w:hAnsi="Calibri" w:cs="Calibri"/>
        </w:rPr>
        <w:t xml:space="preserve"> with index finger FDP repairs (3</w:t>
      </w:r>
      <w:r w:rsidR="007F45D7">
        <w:rPr>
          <w:rFonts w:ascii="Calibri" w:eastAsia="Calibri" w:hAnsi="Calibri" w:cs="Calibri"/>
        </w:rPr>
        <w:t>3</w:t>
      </w:r>
      <w:r w:rsidR="0042528F">
        <w:rPr>
          <w:rFonts w:ascii="Calibri" w:eastAsia="Calibri" w:hAnsi="Calibri" w:cs="Calibri"/>
        </w:rPr>
        <w:t>% of the cohort).</w:t>
      </w:r>
      <w:r w:rsidR="008D5F2F">
        <w:rPr>
          <w:rFonts w:ascii="Calibri" w:eastAsia="Calibri" w:hAnsi="Calibri" w:cs="Calibri"/>
        </w:rPr>
        <w:t xml:space="preserve"> </w:t>
      </w:r>
      <w:r w:rsidR="007F45D7">
        <w:rPr>
          <w:rFonts w:ascii="Calibri" w:eastAsia="Calibri" w:hAnsi="Calibri" w:cs="Calibri"/>
        </w:rPr>
        <w:t>One was</w:t>
      </w:r>
      <w:r w:rsidR="008D5F2F">
        <w:rPr>
          <w:rFonts w:ascii="Calibri" w:eastAsia="Calibri" w:hAnsi="Calibri" w:cs="Calibri"/>
        </w:rPr>
        <w:t xml:space="preserve"> lost to follow-up, one rupture</w:t>
      </w:r>
      <w:r w:rsidR="00233064">
        <w:rPr>
          <w:rFonts w:ascii="Calibri" w:eastAsia="Calibri" w:hAnsi="Calibri" w:cs="Calibri"/>
        </w:rPr>
        <w:t>d</w:t>
      </w:r>
      <w:r w:rsidR="008D5F2F">
        <w:rPr>
          <w:rFonts w:ascii="Calibri" w:eastAsia="Calibri" w:hAnsi="Calibri" w:cs="Calibri"/>
        </w:rPr>
        <w:t xml:space="preserve"> after the </w:t>
      </w:r>
      <w:r w:rsidR="00233064">
        <w:rPr>
          <w:rFonts w:ascii="Calibri" w:eastAsia="Calibri" w:hAnsi="Calibri" w:cs="Calibri"/>
        </w:rPr>
        <w:t>orthosis</w:t>
      </w:r>
      <w:r w:rsidR="008D5F2F">
        <w:rPr>
          <w:rFonts w:ascii="Calibri" w:eastAsia="Calibri" w:hAnsi="Calibri" w:cs="Calibri"/>
        </w:rPr>
        <w:t xml:space="preserve"> </w:t>
      </w:r>
      <w:r w:rsidR="00233064">
        <w:rPr>
          <w:rFonts w:ascii="Calibri" w:eastAsia="Calibri" w:hAnsi="Calibri" w:cs="Calibri"/>
        </w:rPr>
        <w:t xml:space="preserve">was removed </w:t>
      </w:r>
      <w:r w:rsidR="008D5F2F">
        <w:rPr>
          <w:rFonts w:ascii="Calibri" w:eastAsia="Calibri" w:hAnsi="Calibri" w:cs="Calibri"/>
        </w:rPr>
        <w:t xml:space="preserve">overnight, and the remaining </w:t>
      </w:r>
      <w:r w:rsidR="007F45D7">
        <w:rPr>
          <w:rFonts w:ascii="Calibri" w:eastAsia="Calibri" w:hAnsi="Calibri" w:cs="Calibri"/>
        </w:rPr>
        <w:t>four</w:t>
      </w:r>
      <w:r w:rsidR="008D5F2F">
        <w:rPr>
          <w:rFonts w:ascii="Calibri" w:eastAsia="Calibri" w:hAnsi="Calibri" w:cs="Calibri"/>
        </w:rPr>
        <w:t xml:space="preserve"> achieved </w:t>
      </w:r>
      <w:r w:rsidR="007F45D7">
        <w:rPr>
          <w:rFonts w:ascii="Calibri" w:eastAsia="Calibri" w:hAnsi="Calibri" w:cs="Calibri"/>
        </w:rPr>
        <w:t xml:space="preserve">excellent (n=1), </w:t>
      </w:r>
      <w:r w:rsidR="008D5F2F">
        <w:rPr>
          <w:rFonts w:ascii="Calibri" w:eastAsia="Calibri" w:hAnsi="Calibri" w:cs="Calibri"/>
        </w:rPr>
        <w:t>good</w:t>
      </w:r>
      <w:r w:rsidR="007F45D7">
        <w:rPr>
          <w:rFonts w:ascii="Calibri" w:eastAsia="Calibri" w:hAnsi="Calibri" w:cs="Calibri"/>
        </w:rPr>
        <w:t xml:space="preserve"> (n=2),</w:t>
      </w:r>
      <w:r w:rsidR="008D5F2F">
        <w:rPr>
          <w:rFonts w:ascii="Calibri" w:eastAsia="Calibri" w:hAnsi="Calibri" w:cs="Calibri"/>
        </w:rPr>
        <w:t xml:space="preserve"> and fair</w:t>
      </w:r>
      <w:r w:rsidR="007F45D7">
        <w:rPr>
          <w:rFonts w:ascii="Calibri" w:eastAsia="Calibri" w:hAnsi="Calibri" w:cs="Calibri"/>
        </w:rPr>
        <w:t xml:space="preserve"> (n=1)</w:t>
      </w:r>
      <w:r w:rsidR="008D5F2F">
        <w:rPr>
          <w:rFonts w:ascii="Calibri" w:eastAsia="Calibri" w:hAnsi="Calibri" w:cs="Calibri"/>
        </w:rPr>
        <w:t xml:space="preserve"> range of movement </w:t>
      </w:r>
      <w:r w:rsidR="00233064">
        <w:rPr>
          <w:rFonts w:ascii="Calibri" w:eastAsia="Calibri" w:hAnsi="Calibri" w:cs="Calibri"/>
        </w:rPr>
        <w:t xml:space="preserve">(Strickland and </w:t>
      </w:r>
      <w:proofErr w:type="spellStart"/>
      <w:r w:rsidR="00233064">
        <w:rPr>
          <w:rFonts w:ascii="Calibri" w:eastAsia="Calibri" w:hAnsi="Calibri" w:cs="Calibri"/>
        </w:rPr>
        <w:t>Glogovac</w:t>
      </w:r>
      <w:proofErr w:type="spellEnd"/>
      <w:r w:rsidR="00233064">
        <w:rPr>
          <w:rFonts w:ascii="Calibri" w:eastAsia="Calibri" w:hAnsi="Calibri" w:cs="Calibri"/>
        </w:rPr>
        <w:t>)</w:t>
      </w:r>
      <w:r w:rsidR="00885704">
        <w:rPr>
          <w:rFonts w:ascii="Calibri" w:eastAsia="Calibri" w:hAnsi="Calibri" w:cs="Calibri"/>
        </w:rPr>
        <w:t>, as</w:t>
      </w:r>
      <w:r w:rsidR="00233064">
        <w:rPr>
          <w:rFonts w:ascii="Calibri" w:eastAsia="Calibri" w:hAnsi="Calibri" w:cs="Calibri"/>
        </w:rPr>
        <w:t xml:space="preserve"> </w:t>
      </w:r>
      <w:r w:rsidR="008D5F2F">
        <w:rPr>
          <w:rFonts w:ascii="Calibri" w:eastAsia="Calibri" w:hAnsi="Calibri" w:cs="Calibri"/>
        </w:rPr>
        <w:t xml:space="preserve">assessed </w:t>
      </w:r>
      <w:r w:rsidR="00DF67CD">
        <w:rPr>
          <w:rFonts w:ascii="Calibri" w:eastAsia="Calibri" w:hAnsi="Calibri" w:cs="Calibri"/>
        </w:rPr>
        <w:t>three</w:t>
      </w:r>
      <w:r w:rsidR="008D5F2F">
        <w:rPr>
          <w:rFonts w:ascii="Calibri" w:eastAsia="Calibri" w:hAnsi="Calibri" w:cs="Calibri"/>
        </w:rPr>
        <w:t xml:space="preserve"> months after surgery. </w:t>
      </w:r>
      <w:r w:rsidR="00885704">
        <w:rPr>
          <w:rFonts w:ascii="Calibri" w:eastAsia="Calibri" w:hAnsi="Calibri" w:cs="Calibri"/>
        </w:rPr>
        <w:t xml:space="preserve">Our clinical experience suggests </w:t>
      </w:r>
      <w:r w:rsidR="00885704">
        <w:rPr>
          <w:rFonts w:ascii="Calibri" w:eastAsia="Calibri" w:hAnsi="Calibri" w:cs="Calibri"/>
        </w:rPr>
        <w:lastRenderedPageBreak/>
        <w:t xml:space="preserve">that </w:t>
      </w:r>
      <w:proofErr w:type="spellStart"/>
      <w:r w:rsidR="00885704">
        <w:rPr>
          <w:rFonts w:ascii="Calibri" w:eastAsia="Calibri" w:hAnsi="Calibri" w:cs="Calibri"/>
        </w:rPr>
        <w:t>RMF</w:t>
      </w:r>
      <w:proofErr w:type="spellEnd"/>
      <w:r w:rsidR="00885704">
        <w:rPr>
          <w:rFonts w:ascii="Calibri" w:eastAsia="Calibri" w:hAnsi="Calibri" w:cs="Calibri"/>
        </w:rPr>
        <w:t xml:space="preserve"> is suitable for index finger </w:t>
      </w:r>
      <w:r w:rsidR="005C5585">
        <w:rPr>
          <w:rFonts w:ascii="Calibri" w:eastAsia="Calibri" w:hAnsi="Calibri" w:cs="Calibri"/>
        </w:rPr>
        <w:t xml:space="preserve">FDP </w:t>
      </w:r>
      <w:r w:rsidR="00885704">
        <w:rPr>
          <w:rFonts w:ascii="Calibri" w:eastAsia="Calibri" w:hAnsi="Calibri" w:cs="Calibri"/>
        </w:rPr>
        <w:t>rep</w:t>
      </w:r>
      <w:r w:rsidR="00A33F01">
        <w:rPr>
          <w:rFonts w:ascii="Calibri" w:eastAsia="Calibri" w:hAnsi="Calibri" w:cs="Calibri"/>
        </w:rPr>
        <w:t>airs</w:t>
      </w:r>
      <w:r w:rsidR="00005E66">
        <w:rPr>
          <w:rFonts w:ascii="Calibri" w:eastAsia="Calibri" w:hAnsi="Calibri" w:cs="Calibri"/>
        </w:rPr>
        <w:t xml:space="preserve">, but we welcome further anatomical and clinical research to assess this in detail. </w:t>
      </w:r>
    </w:p>
    <w:p w14:paraId="4A1EEFE8" w14:textId="77777777" w:rsidR="00A00141" w:rsidRPr="007B7C2D" w:rsidRDefault="00A00141" w:rsidP="00950475">
      <w:pPr>
        <w:spacing w:line="480" w:lineRule="auto"/>
        <w:rPr>
          <w:rFonts w:ascii="Calibri" w:eastAsia="Calibri" w:hAnsi="Calibri" w:cs="Calibri"/>
        </w:rPr>
      </w:pPr>
    </w:p>
    <w:p w14:paraId="14008164" w14:textId="3ABAC8EC" w:rsidR="00130693" w:rsidRPr="00B20FF5" w:rsidRDefault="00233064" w:rsidP="00950475">
      <w:pPr>
        <w:pStyle w:val="Heading3"/>
        <w:spacing w:line="480" w:lineRule="auto"/>
        <w:rPr>
          <w:rFonts w:ascii="Calibri Light" w:hAnsi="Calibri Light" w:cs="Calibri Light"/>
          <w:b w:val="0"/>
          <w:bCs/>
          <w:color w:val="244061" w:themeColor="accent1" w:themeShade="80"/>
          <w:sz w:val="24"/>
          <w:szCs w:val="24"/>
        </w:rPr>
      </w:pPr>
      <w:r w:rsidRPr="00B20FF5">
        <w:rPr>
          <w:rFonts w:ascii="Calibri Light" w:hAnsi="Calibri Light" w:cs="Calibri Light"/>
          <w:b w:val="0"/>
          <w:bCs/>
          <w:color w:val="244061" w:themeColor="accent1" w:themeShade="80"/>
          <w:sz w:val="24"/>
          <w:szCs w:val="24"/>
        </w:rPr>
        <w:t xml:space="preserve">Number of repairs </w:t>
      </w:r>
    </w:p>
    <w:p w14:paraId="0F579C84" w14:textId="5D71DE00" w:rsidR="003E76D2" w:rsidRPr="0054707E" w:rsidRDefault="001440D0" w:rsidP="00950475">
      <w:pPr>
        <w:spacing w:line="480" w:lineRule="auto"/>
        <w:rPr>
          <w:rFonts w:ascii="Calibri" w:eastAsia="Calibri" w:hAnsi="Calibri" w:cs="Calibri"/>
        </w:rPr>
      </w:pPr>
      <w:r w:rsidRPr="0054707E">
        <w:rPr>
          <w:rFonts w:ascii="Calibri" w:eastAsia="Calibri" w:hAnsi="Calibri" w:cs="Calibri"/>
        </w:rPr>
        <w:t>Another</w:t>
      </w:r>
      <w:r w:rsidR="00775607">
        <w:rPr>
          <w:rFonts w:ascii="Calibri" w:eastAsia="Calibri" w:hAnsi="Calibri" w:cs="Calibri"/>
        </w:rPr>
        <w:t xml:space="preserve"> important surgical</w:t>
      </w:r>
      <w:r w:rsidRPr="0054707E">
        <w:rPr>
          <w:rFonts w:ascii="Calibri" w:eastAsia="Calibri" w:hAnsi="Calibri" w:cs="Calibri"/>
        </w:rPr>
        <w:t xml:space="preserve"> consideration i</w:t>
      </w:r>
      <w:r w:rsidR="00374AE0" w:rsidRPr="0054707E">
        <w:rPr>
          <w:rFonts w:ascii="Calibri" w:eastAsia="Calibri" w:hAnsi="Calibri" w:cs="Calibri"/>
        </w:rPr>
        <w:t xml:space="preserve">s the number of </w:t>
      </w:r>
      <w:r w:rsidR="00CD5361" w:rsidRPr="0054707E">
        <w:rPr>
          <w:rFonts w:ascii="Calibri" w:eastAsia="Calibri" w:hAnsi="Calibri" w:cs="Calibri"/>
        </w:rPr>
        <w:t>flexor t</w:t>
      </w:r>
      <w:r w:rsidR="00374AE0" w:rsidRPr="0054707E">
        <w:rPr>
          <w:rFonts w:ascii="Calibri" w:eastAsia="Calibri" w:hAnsi="Calibri" w:cs="Calibri"/>
        </w:rPr>
        <w:t>endon repairs that can be</w:t>
      </w:r>
      <w:r w:rsidR="00775607">
        <w:rPr>
          <w:rFonts w:ascii="Calibri" w:eastAsia="Calibri" w:hAnsi="Calibri" w:cs="Calibri"/>
        </w:rPr>
        <w:t xml:space="preserve"> safely</w:t>
      </w:r>
      <w:r w:rsidR="00374AE0" w:rsidRPr="0054707E">
        <w:rPr>
          <w:rFonts w:ascii="Calibri" w:eastAsia="Calibri" w:hAnsi="Calibri" w:cs="Calibri"/>
        </w:rPr>
        <w:t xml:space="preserve"> included </w:t>
      </w:r>
      <w:r w:rsidR="00775607">
        <w:rPr>
          <w:rFonts w:ascii="Calibri" w:eastAsia="Calibri" w:hAnsi="Calibri" w:cs="Calibri"/>
        </w:rPr>
        <w:t>in</w:t>
      </w:r>
      <w:r w:rsidR="00374AE0" w:rsidRPr="0054707E">
        <w:rPr>
          <w:rFonts w:ascii="Calibri" w:eastAsia="Calibri" w:hAnsi="Calibri" w:cs="Calibri"/>
        </w:rPr>
        <w:t xml:space="preserve"> a</w:t>
      </w:r>
      <w:r w:rsidR="00DF67CD">
        <w:rPr>
          <w:rFonts w:ascii="Calibri" w:eastAsia="Calibri" w:hAnsi="Calibri" w:cs="Calibri"/>
        </w:rPr>
        <w:t>n</w:t>
      </w:r>
      <w:r w:rsidR="00374AE0" w:rsidRPr="0054707E">
        <w:rPr>
          <w:rFonts w:ascii="Calibri" w:eastAsia="Calibri" w:hAnsi="Calibri" w:cs="Calibri"/>
        </w:rPr>
        <w:t xml:space="preserve"> </w:t>
      </w:r>
      <w:proofErr w:type="spellStart"/>
      <w:r w:rsidRPr="0054707E">
        <w:rPr>
          <w:rFonts w:ascii="Calibri" w:eastAsia="Calibri" w:hAnsi="Calibri" w:cs="Calibri"/>
        </w:rPr>
        <w:t>RMF</w:t>
      </w:r>
      <w:proofErr w:type="spellEnd"/>
      <w:r w:rsidRPr="0054707E">
        <w:rPr>
          <w:rFonts w:ascii="Calibri" w:eastAsia="Calibri" w:hAnsi="Calibri" w:cs="Calibri"/>
        </w:rPr>
        <w:t xml:space="preserve"> </w:t>
      </w:r>
      <w:r w:rsidR="00CD5361" w:rsidRPr="0054707E">
        <w:rPr>
          <w:rFonts w:ascii="Calibri" w:eastAsia="Calibri" w:hAnsi="Calibri" w:cs="Calibri"/>
        </w:rPr>
        <w:t>orthosis</w:t>
      </w:r>
      <w:r w:rsidR="00374AE0" w:rsidRPr="0054707E">
        <w:rPr>
          <w:rFonts w:ascii="Calibri" w:eastAsia="Calibri" w:hAnsi="Calibri" w:cs="Calibri"/>
        </w:rPr>
        <w:t xml:space="preserve">. </w:t>
      </w:r>
      <w:r w:rsidR="0054707E">
        <w:rPr>
          <w:rFonts w:ascii="Calibri" w:eastAsia="Calibri" w:hAnsi="Calibri" w:cs="Calibri"/>
        </w:rPr>
        <w:t>A</w:t>
      </w:r>
      <w:r w:rsidR="00CD5361" w:rsidRPr="0054707E">
        <w:rPr>
          <w:rFonts w:ascii="Calibri" w:eastAsia="Calibri" w:hAnsi="Calibri" w:cs="Calibri"/>
        </w:rPr>
        <w:t>fter</w:t>
      </w:r>
      <w:r w:rsidR="003E76D2" w:rsidRPr="0054707E">
        <w:rPr>
          <w:rFonts w:ascii="Calibri" w:eastAsia="Calibri" w:hAnsi="Calibri" w:cs="Calibri"/>
        </w:rPr>
        <w:t xml:space="preserve"> extensor</w:t>
      </w:r>
      <w:r w:rsidR="00CD5361" w:rsidRPr="0054707E">
        <w:rPr>
          <w:rFonts w:ascii="Calibri" w:eastAsia="Calibri" w:hAnsi="Calibri" w:cs="Calibri"/>
        </w:rPr>
        <w:t xml:space="preserve"> tendon repair</w:t>
      </w:r>
      <w:r w:rsidR="003E76D2" w:rsidRPr="0054707E">
        <w:rPr>
          <w:rFonts w:ascii="Calibri" w:eastAsia="Calibri" w:hAnsi="Calibri" w:cs="Calibri"/>
        </w:rPr>
        <w:t>, t</w:t>
      </w:r>
      <w:r w:rsidR="00374AE0" w:rsidRPr="0054707E">
        <w:rPr>
          <w:rFonts w:ascii="Calibri" w:eastAsia="Calibri" w:hAnsi="Calibri" w:cs="Calibri"/>
        </w:rPr>
        <w:t>he</w:t>
      </w:r>
      <w:r w:rsidR="003E76D2" w:rsidRPr="0054707E">
        <w:rPr>
          <w:rFonts w:ascii="Calibri" w:eastAsia="Calibri" w:hAnsi="Calibri" w:cs="Calibri"/>
        </w:rPr>
        <w:t xml:space="preserve"> </w:t>
      </w:r>
      <w:proofErr w:type="spellStart"/>
      <w:r w:rsidR="003E76D2" w:rsidRPr="0054707E">
        <w:rPr>
          <w:rFonts w:ascii="Calibri" w:eastAsia="Calibri" w:hAnsi="Calibri" w:cs="Calibri"/>
        </w:rPr>
        <w:t>RM</w:t>
      </w:r>
      <w:r w:rsidR="005C5585">
        <w:rPr>
          <w:rFonts w:ascii="Calibri" w:eastAsia="Calibri" w:hAnsi="Calibri" w:cs="Calibri"/>
        </w:rPr>
        <w:t>E</w:t>
      </w:r>
      <w:proofErr w:type="spellEnd"/>
      <w:r w:rsidR="00374AE0" w:rsidRPr="0054707E">
        <w:rPr>
          <w:rFonts w:ascii="Calibri" w:eastAsia="Calibri" w:hAnsi="Calibri" w:cs="Calibri"/>
        </w:rPr>
        <w:t xml:space="preserve"> orthosis </w:t>
      </w:r>
      <w:r w:rsidR="003E76D2" w:rsidRPr="0054707E">
        <w:rPr>
          <w:rFonts w:ascii="Calibri" w:eastAsia="Calibri" w:hAnsi="Calibri" w:cs="Calibri"/>
        </w:rPr>
        <w:t xml:space="preserve">is </w:t>
      </w:r>
      <w:r w:rsidR="00374AE0" w:rsidRPr="0054707E">
        <w:rPr>
          <w:rFonts w:ascii="Calibri" w:eastAsia="Calibri" w:hAnsi="Calibri" w:cs="Calibri"/>
        </w:rPr>
        <w:t xml:space="preserve">not suitable if there </w:t>
      </w:r>
      <w:r w:rsidR="003E76D2" w:rsidRPr="0054707E">
        <w:rPr>
          <w:rFonts w:ascii="Calibri" w:eastAsia="Calibri" w:hAnsi="Calibri" w:cs="Calibri"/>
        </w:rPr>
        <w:t xml:space="preserve">are tendon injuries to all four fingers </w:t>
      </w:r>
      <w:r w:rsidR="00133E1B" w:rsidRPr="0054707E">
        <w:rPr>
          <w:rFonts w:ascii="Calibri" w:eastAsia="Calibri" w:hAnsi="Calibri" w:cs="Calibri"/>
        </w:rPr>
        <w:t xml:space="preserve">because </w:t>
      </w:r>
      <w:r w:rsidR="003E76D2" w:rsidRPr="0054707E">
        <w:rPr>
          <w:rFonts w:ascii="Calibri" w:eastAsia="Calibri" w:hAnsi="Calibri" w:cs="Calibri"/>
        </w:rPr>
        <w:t xml:space="preserve">this prohibits the relative positioning of the </w:t>
      </w:r>
      <w:proofErr w:type="spellStart"/>
      <w:r w:rsidR="003E76D2" w:rsidRPr="0054707E">
        <w:rPr>
          <w:rFonts w:ascii="Calibri" w:eastAsia="Calibri" w:hAnsi="Calibri" w:cs="Calibri"/>
        </w:rPr>
        <w:t>MCP</w:t>
      </w:r>
      <w:proofErr w:type="spellEnd"/>
      <w:r w:rsidR="003E76D2" w:rsidRPr="0054707E">
        <w:rPr>
          <w:rFonts w:ascii="Calibri" w:eastAsia="Calibri" w:hAnsi="Calibri" w:cs="Calibri"/>
        </w:rPr>
        <w:t xml:space="preserve"> joints</w:t>
      </w:r>
      <w:r w:rsidR="00133E1B" w:rsidRPr="0054707E">
        <w:rPr>
          <w:rFonts w:ascii="Calibri" w:eastAsia="Calibri" w:hAnsi="Calibri" w:cs="Calibri"/>
        </w:rPr>
        <w:t xml:space="preserve"> </w:t>
      </w:r>
      <w:r w:rsidR="00133E1B" w:rsidRPr="0054707E">
        <w:rPr>
          <w:rFonts w:ascii="Calibri" w:eastAsia="Calibri" w:hAnsi="Calibri" w:cs="Calibri"/>
        </w:rPr>
        <w:fldChar w:fldCharType="begin" w:fldLock="1"/>
      </w:r>
      <w:r w:rsidR="00133E1B" w:rsidRPr="0054707E">
        <w:rPr>
          <w:rFonts w:ascii="Calibri" w:eastAsia="Calibri" w:hAnsi="Calibri" w:cs="Calibri"/>
        </w:rPr>
        <w:instrText>ADDIN CSL_CITATION {"citationItems":[{"id":"ITEM-1","itemData":{"DOI":"10.1053/oa.2000.5972","ISSN":"10710949","abstract":"In compliant adult patients with extensor tendon laceration(s) in zones V to VII, relative motion splinting of the lacerated tendon(s) provides support from the intact tendon(s), allowing immediate active motion and a less morbid course. Cadaver study shows how this simple splint allows full-fingers interphalangeal and metacarpophalangeal active motion, except for 10° to 15° less metacarpal phalangeal total active motion of the repaired digit(s). Relative motion splinting also permits immediate active motion after tendon graft reconstruction of extensor subluxation from sagittal band rupture at the metacarpophalangeal joint, creating a centralizing pulley with the graft.","author":[{"dropping-particle":"","family":"Merritt","given":"Wyndell H.","non-dropping-particle":"","parse-names":false,"suffix":""},{"dropping-particle":"","family":"Howell","given":"Julianne","non-dropping-particle":"","parse-names":false,"suffix":""},{"dropping-particle":"","family":"Tune","given":"Regina","non-dropping-particle":"","parse-names":false,"suffix":""},{"dropping-particle":"","family":"Saunders","given":"Sandra","non-dropping-particle":"","parse-names":false,"suffix":""},{"dropping-particle":"","family":"Hardy","given":"Maureen","non-dropping-particle":"","parse-names":false,"suffix":""}],"container-title":"Operative Techniques in Plastic and Reconstructive Surgery","id":"ITEM-1","issue":"1","issued":{"date-parts":[["2000"]]},"page":"31-37","title":"Achieving immediate active motion by using relative motion splinting after long extensor repair and sagittal band ruptures with tendon subluxation","type":"article-journal","volume":"7"},"uris":["http://www.mendeley.com/documents/?uuid=1b8c24ae-9024-4446-9174-70c2ace7de5d"]}],"mendeley":{"formattedCitation":"(1)","plainTextFormattedCitation":"(1)","previouslyFormattedCitation":"(1)"},"properties":{"noteIndex":0},"schema":"https://github.com/citation-style-language/schema/raw/master/csl-citation.json"}</w:instrText>
      </w:r>
      <w:r w:rsidR="00133E1B" w:rsidRPr="0054707E">
        <w:rPr>
          <w:rFonts w:ascii="Calibri" w:eastAsia="Calibri" w:hAnsi="Calibri" w:cs="Calibri"/>
        </w:rPr>
        <w:fldChar w:fldCharType="separate"/>
      </w:r>
      <w:r w:rsidR="00133E1B" w:rsidRPr="0054707E">
        <w:rPr>
          <w:rFonts w:ascii="Calibri" w:eastAsia="Calibri" w:hAnsi="Calibri" w:cs="Calibri"/>
          <w:noProof/>
        </w:rPr>
        <w:t>(1)</w:t>
      </w:r>
      <w:r w:rsidR="00133E1B" w:rsidRPr="0054707E">
        <w:rPr>
          <w:rFonts w:ascii="Calibri" w:eastAsia="Calibri" w:hAnsi="Calibri" w:cs="Calibri"/>
        </w:rPr>
        <w:fldChar w:fldCharType="end"/>
      </w:r>
      <w:r w:rsidR="003E76D2" w:rsidRPr="0054707E">
        <w:rPr>
          <w:rFonts w:ascii="Calibri" w:eastAsia="Calibri" w:hAnsi="Calibri" w:cs="Calibri"/>
        </w:rPr>
        <w:t xml:space="preserve">. </w:t>
      </w:r>
      <w:r w:rsidR="00133E1B" w:rsidRPr="0054707E">
        <w:rPr>
          <w:rFonts w:ascii="Calibri" w:eastAsia="Calibri" w:hAnsi="Calibri" w:cs="Calibri"/>
        </w:rPr>
        <w:t xml:space="preserve">The initial description of </w:t>
      </w:r>
      <w:proofErr w:type="spellStart"/>
      <w:r w:rsidR="00133E1B" w:rsidRPr="0054707E">
        <w:rPr>
          <w:rFonts w:ascii="Calibri" w:eastAsia="Calibri" w:hAnsi="Calibri" w:cs="Calibri"/>
        </w:rPr>
        <w:t>RME</w:t>
      </w:r>
      <w:proofErr w:type="spellEnd"/>
      <w:r w:rsidR="00F85413" w:rsidRPr="0054707E">
        <w:rPr>
          <w:rFonts w:ascii="Calibri" w:eastAsia="Calibri" w:hAnsi="Calibri" w:cs="Calibri"/>
        </w:rPr>
        <w:t xml:space="preserve"> </w:t>
      </w:r>
      <w:r w:rsidR="00133E1B" w:rsidRPr="0054707E">
        <w:rPr>
          <w:rFonts w:ascii="Calibri" w:eastAsia="Calibri" w:hAnsi="Calibri" w:cs="Calibri"/>
        </w:rPr>
        <w:t xml:space="preserve">advised that 1-3 extensor repairs could be included </w:t>
      </w:r>
      <w:r w:rsidR="00133E1B" w:rsidRPr="0054707E">
        <w:rPr>
          <w:rFonts w:ascii="Calibri" w:eastAsia="Calibri" w:hAnsi="Calibri" w:cs="Calibri"/>
        </w:rPr>
        <w:fldChar w:fldCharType="begin" w:fldLock="1"/>
      </w:r>
      <w:r w:rsidR="00133E1B" w:rsidRPr="0054707E">
        <w:rPr>
          <w:rFonts w:ascii="Calibri" w:eastAsia="Calibri" w:hAnsi="Calibri" w:cs="Calibri"/>
        </w:rPr>
        <w:instrText>ADDIN CSL_CITATION {"citationItems":[{"id":"ITEM-1","itemData":{"DOI":"10.1053/oa.2000.5972","ISSN":"10710949","abstract":"In compliant adult patients with extensor tendon laceration(s) in zones V to VII, relative motion splinting of the lacerated tendon(s) provides support from the intact tendon(s), allowing immediate active motion and a less morbid course. Cadaver study shows how this simple splint allows full-fingers interphalangeal and metacarpophalangeal active motion, except for 10° to 15° less metacarpal phalangeal total active motion of the repaired digit(s). Relative motion splinting also permits immediate active motion after tendon graft reconstruction of extensor subluxation from sagittal band rupture at the metacarpophalangeal joint, creating a centralizing pulley with the graft.","author":[{"dropping-particle":"","family":"Merritt","given":"Wyndell H.","non-dropping-particle":"","parse-names":false,"suffix":""},{"dropping-particle":"","family":"Howell","given":"Julianne","non-dropping-particle":"","parse-names":false,"suffix":""},{"dropping-particle":"","family":"Tune","given":"Regina","non-dropping-particle":"","parse-names":false,"suffix":""},{"dropping-particle":"","family":"Saunders","given":"Sandra","non-dropping-particle":"","parse-names":false,"suffix":""},{"dropping-particle":"","family":"Hardy","given":"Maureen","non-dropping-particle":"","parse-names":false,"suffix":""}],"container-title":"Operative Techniques in Plastic and Reconstructive Surgery","id":"ITEM-1","issue":"1","issued":{"date-parts":[["2000"]]},"page":"31-37","title":"Achieving immediate active motion by using relative motion splinting after long extensor repair and sagittal band ruptures with tendon subluxation","type":"article-journal","volume":"7"},"uris":["http://www.mendeley.com/documents/?uuid=1b8c24ae-9024-4446-9174-70c2ace7de5d"]}],"mendeley":{"formattedCitation":"(1)","plainTextFormattedCitation":"(1)","previouslyFormattedCitation":"(1)"},"properties":{"noteIndex":0},"schema":"https://github.com/citation-style-language/schema/raw/master/csl-citation.json"}</w:instrText>
      </w:r>
      <w:r w:rsidR="00133E1B" w:rsidRPr="0054707E">
        <w:rPr>
          <w:rFonts w:ascii="Calibri" w:eastAsia="Calibri" w:hAnsi="Calibri" w:cs="Calibri"/>
        </w:rPr>
        <w:fldChar w:fldCharType="separate"/>
      </w:r>
      <w:r w:rsidR="00133E1B" w:rsidRPr="0054707E">
        <w:rPr>
          <w:rFonts w:ascii="Calibri" w:eastAsia="Calibri" w:hAnsi="Calibri" w:cs="Calibri"/>
          <w:noProof/>
        </w:rPr>
        <w:t>(1)</w:t>
      </w:r>
      <w:r w:rsidR="00133E1B" w:rsidRPr="0054707E">
        <w:rPr>
          <w:rFonts w:ascii="Calibri" w:eastAsia="Calibri" w:hAnsi="Calibri" w:cs="Calibri"/>
        </w:rPr>
        <w:fldChar w:fldCharType="end"/>
      </w:r>
      <w:r w:rsidR="00133E1B" w:rsidRPr="0054707E">
        <w:rPr>
          <w:rFonts w:ascii="Calibri" w:eastAsia="Calibri" w:hAnsi="Calibri" w:cs="Calibri"/>
        </w:rPr>
        <w:t xml:space="preserve">, </w:t>
      </w:r>
      <w:r w:rsidR="0065505D" w:rsidRPr="0054707E">
        <w:rPr>
          <w:rFonts w:ascii="Calibri" w:eastAsia="Calibri" w:hAnsi="Calibri" w:cs="Calibri"/>
        </w:rPr>
        <w:t>however</w:t>
      </w:r>
      <w:r w:rsidR="00A33F01">
        <w:rPr>
          <w:rFonts w:ascii="Calibri" w:eastAsia="Calibri" w:hAnsi="Calibri" w:cs="Calibri"/>
        </w:rPr>
        <w:t xml:space="preserve"> </w:t>
      </w:r>
      <w:r w:rsidR="00775607">
        <w:rPr>
          <w:rFonts w:ascii="Calibri" w:eastAsia="Calibri" w:hAnsi="Calibri" w:cs="Calibri"/>
        </w:rPr>
        <w:t>to date,</w:t>
      </w:r>
      <w:r w:rsidR="00133E1B" w:rsidRPr="0054707E">
        <w:rPr>
          <w:rFonts w:ascii="Calibri" w:eastAsia="Calibri" w:hAnsi="Calibri" w:cs="Calibri"/>
        </w:rPr>
        <w:t xml:space="preserve"> </w:t>
      </w:r>
      <w:r w:rsidR="00A33F01">
        <w:rPr>
          <w:rFonts w:ascii="Calibri" w:eastAsia="Calibri" w:hAnsi="Calibri" w:cs="Calibri"/>
        </w:rPr>
        <w:t xml:space="preserve">studies of </w:t>
      </w:r>
      <w:proofErr w:type="spellStart"/>
      <w:r w:rsidR="005C5585">
        <w:rPr>
          <w:rFonts w:ascii="Calibri" w:eastAsia="Calibri" w:hAnsi="Calibri" w:cs="Calibri"/>
        </w:rPr>
        <w:t>RMF</w:t>
      </w:r>
      <w:proofErr w:type="spellEnd"/>
      <w:r w:rsidR="005C5585">
        <w:rPr>
          <w:rFonts w:ascii="Calibri" w:eastAsia="Calibri" w:hAnsi="Calibri" w:cs="Calibri"/>
        </w:rPr>
        <w:t xml:space="preserve"> use after </w:t>
      </w:r>
      <w:r w:rsidR="00133E1B" w:rsidRPr="0054707E">
        <w:rPr>
          <w:rFonts w:ascii="Calibri" w:eastAsia="Calibri" w:hAnsi="Calibri" w:cs="Calibri"/>
        </w:rPr>
        <w:t>flexor tendon</w:t>
      </w:r>
      <w:r w:rsidR="005C5585">
        <w:rPr>
          <w:rFonts w:ascii="Calibri" w:eastAsia="Calibri" w:hAnsi="Calibri" w:cs="Calibri"/>
        </w:rPr>
        <w:t xml:space="preserve"> repairs</w:t>
      </w:r>
      <w:r w:rsidR="00133E1B" w:rsidRPr="0054707E">
        <w:rPr>
          <w:rFonts w:ascii="Calibri" w:eastAsia="Calibri" w:hAnsi="Calibri" w:cs="Calibri"/>
        </w:rPr>
        <w:t xml:space="preserve"> ha</w:t>
      </w:r>
      <w:r w:rsidR="00A33F01">
        <w:rPr>
          <w:rFonts w:ascii="Calibri" w:eastAsia="Calibri" w:hAnsi="Calibri" w:cs="Calibri"/>
        </w:rPr>
        <w:t xml:space="preserve">ve </w:t>
      </w:r>
      <w:r w:rsidR="00133E1B" w:rsidRPr="0054707E">
        <w:rPr>
          <w:rFonts w:ascii="Calibri" w:eastAsia="Calibri" w:hAnsi="Calibri" w:cs="Calibri"/>
        </w:rPr>
        <w:t xml:space="preserve">only included single digit repairs </w:t>
      </w:r>
      <w:r w:rsidR="00133E1B" w:rsidRPr="0054707E">
        <w:rPr>
          <w:rFonts w:ascii="Calibri" w:eastAsia="Calibri" w:hAnsi="Calibri" w:cs="Calibri"/>
        </w:rPr>
        <w:fldChar w:fldCharType="begin" w:fldLock="1"/>
      </w:r>
      <w:r w:rsidR="0043414D">
        <w:rPr>
          <w:rFonts w:ascii="Calibri" w:eastAsia="Calibri" w:hAnsi="Calibri" w:cs="Calibri"/>
        </w:rPr>
        <w:instrText>ADDIN CSL_CITATION {"citationItems":[{"id":"ITEM-1","itemData":{"DOI":"10.1016/j.jht.2019.05.002","ISSN":"0894-1130","author":[{"dropping-particle":"","family":"Henry","given":"Steven L","non-dropping-particle":"","parse-names":false,"suffix":""},{"dropping-particle":"","family":"Howell","given":"Julianne W","non-dropping-particle":"","parse-names":false,"suffix":""}],"container-title":"Journal of Hand Therapy","id":"ITEM-1","issue":"3","issued":{"date-parts":[["2020"]]},"page":"296-304","publisher":"Elsevier Inc","title":"Use of a relative motion flexion orthosis for postoperative management of zone I/II flexor digitorum profundus repair: A retrospective consecutive case series","type":"article-journal","volume":"33"},"uris":["http://www.mendeley.com/documents/?uuid=8cf4242d-792a-4604-a722-3df7e36780c9"]},{"id":"ITEM-2","itemData":{"DOI":"10.1080/09593985.2022.2073574","author":[{"dropping-particle":"","family":"Öksüz","given":"Çiğdem","non-dropping-particle":"","parse-names":false,"suffix":""},{"dropping-particle":"","family":"Arslan","given":"Özge Buket","non-dropping-particle":"","parse-names":false,"suffix":""},{"dropping-particle":"","family":"Baş","given":"Can Emre","non-dropping-particle":"","parse-names":false,"suffix":""},{"dropping-particle":"","family":"Ayhan","given":"Egemen","non-dropping-particle":"","parse-names":false,"suffix":""}],"container-title":"Physiotherapy Theory and Practice","id":"ITEM-2","issued":{"date-parts":[["2022"]]},"page":"DOI:10.1080/09593985.2022.2073574","publisher":"Taylor &amp; Francis","title":"Early active movement with relative motion flexion splint for the management of zone 1-2 flexor tendon repairs: Case series","type":"article-journal","volume":"Online"},"uris":["http://www.mendeley.com/documents/?uuid=43f249d0-02d1-47b4-8e03-3521fb1925c0"]}],"mendeley":{"formattedCitation":"(8,10)","plainTextFormattedCitation":"(8,10)","previouslyFormattedCitation":"(8,10)"},"properties":{"noteIndex":0},"schema":"https://github.com/citation-style-language/schema/raw/master/csl-citation.json"}</w:instrText>
      </w:r>
      <w:r w:rsidR="00133E1B" w:rsidRPr="0054707E">
        <w:rPr>
          <w:rFonts w:ascii="Calibri" w:eastAsia="Calibri" w:hAnsi="Calibri" w:cs="Calibri"/>
        </w:rPr>
        <w:fldChar w:fldCharType="separate"/>
      </w:r>
      <w:r w:rsidR="004D5BB1" w:rsidRPr="004D5BB1">
        <w:rPr>
          <w:rFonts w:ascii="Calibri" w:eastAsia="Calibri" w:hAnsi="Calibri" w:cs="Calibri"/>
          <w:noProof/>
        </w:rPr>
        <w:t>(8,10)</w:t>
      </w:r>
      <w:r w:rsidR="00133E1B" w:rsidRPr="0054707E">
        <w:rPr>
          <w:rFonts w:ascii="Calibri" w:eastAsia="Calibri" w:hAnsi="Calibri" w:cs="Calibri"/>
        </w:rPr>
        <w:fldChar w:fldCharType="end"/>
      </w:r>
      <w:r w:rsidR="00E9160A" w:rsidRPr="0054707E">
        <w:rPr>
          <w:rFonts w:ascii="Calibri" w:eastAsia="Calibri" w:hAnsi="Calibri" w:cs="Calibri"/>
        </w:rPr>
        <w:t xml:space="preserve">. Theoretically, the </w:t>
      </w:r>
      <w:proofErr w:type="spellStart"/>
      <w:r w:rsidR="00E9160A" w:rsidRPr="0054707E">
        <w:rPr>
          <w:rFonts w:ascii="Calibri" w:eastAsia="Calibri" w:hAnsi="Calibri" w:cs="Calibri"/>
        </w:rPr>
        <w:t>RMF</w:t>
      </w:r>
      <w:proofErr w:type="spellEnd"/>
      <w:r w:rsidR="00E9160A" w:rsidRPr="0054707E">
        <w:rPr>
          <w:rFonts w:ascii="Calibri" w:eastAsia="Calibri" w:hAnsi="Calibri" w:cs="Calibri"/>
        </w:rPr>
        <w:t xml:space="preserve"> orthosis</w:t>
      </w:r>
      <w:r w:rsidR="0065505D" w:rsidRPr="0054707E">
        <w:rPr>
          <w:rFonts w:ascii="Calibri" w:eastAsia="Calibri" w:hAnsi="Calibri" w:cs="Calibri"/>
        </w:rPr>
        <w:t xml:space="preserve"> could be used to protect</w:t>
      </w:r>
      <w:r w:rsidR="00233064">
        <w:rPr>
          <w:rFonts w:ascii="Calibri" w:eastAsia="Calibri" w:hAnsi="Calibri" w:cs="Calibri"/>
        </w:rPr>
        <w:t xml:space="preserve"> up to</w:t>
      </w:r>
      <w:r w:rsidR="0065505D" w:rsidRPr="0054707E">
        <w:rPr>
          <w:rFonts w:ascii="Calibri" w:eastAsia="Calibri" w:hAnsi="Calibri" w:cs="Calibri"/>
        </w:rPr>
        <w:t xml:space="preserve"> </w:t>
      </w:r>
      <w:r w:rsidR="0054707E">
        <w:rPr>
          <w:rFonts w:ascii="Calibri" w:eastAsia="Calibri" w:hAnsi="Calibri" w:cs="Calibri"/>
        </w:rPr>
        <w:t>three F</w:t>
      </w:r>
      <w:r w:rsidR="00657E3F" w:rsidRPr="0054707E">
        <w:rPr>
          <w:rFonts w:ascii="Calibri" w:eastAsia="Calibri" w:hAnsi="Calibri" w:cs="Calibri"/>
        </w:rPr>
        <w:t xml:space="preserve">DP repairs, </w:t>
      </w:r>
      <w:proofErr w:type="gramStart"/>
      <w:r w:rsidR="00657E3F" w:rsidRPr="0054707E">
        <w:rPr>
          <w:rFonts w:ascii="Calibri" w:eastAsia="Calibri" w:hAnsi="Calibri" w:cs="Calibri"/>
        </w:rPr>
        <w:t>as long as</w:t>
      </w:r>
      <w:proofErr w:type="gramEnd"/>
      <w:r w:rsidR="00657E3F" w:rsidRPr="0054707E">
        <w:rPr>
          <w:rFonts w:ascii="Calibri" w:eastAsia="Calibri" w:hAnsi="Calibri" w:cs="Calibri"/>
        </w:rPr>
        <w:t xml:space="preserve"> these </w:t>
      </w:r>
      <w:r w:rsidR="0054707E">
        <w:rPr>
          <w:rFonts w:ascii="Calibri" w:eastAsia="Calibri" w:hAnsi="Calibri" w:cs="Calibri"/>
        </w:rPr>
        <w:t xml:space="preserve">fingers </w:t>
      </w:r>
      <w:r w:rsidR="00657E3F" w:rsidRPr="0054707E">
        <w:rPr>
          <w:rFonts w:ascii="Calibri" w:eastAsia="Calibri" w:hAnsi="Calibri" w:cs="Calibri"/>
        </w:rPr>
        <w:t xml:space="preserve">can be positioned in an adequate amount of </w:t>
      </w:r>
      <w:proofErr w:type="spellStart"/>
      <w:r w:rsidR="005C5585">
        <w:rPr>
          <w:rFonts w:ascii="Calibri" w:eastAsia="Calibri" w:hAnsi="Calibri" w:cs="Calibri"/>
        </w:rPr>
        <w:t>MCP</w:t>
      </w:r>
      <w:proofErr w:type="spellEnd"/>
      <w:r w:rsidR="005C5585">
        <w:rPr>
          <w:rFonts w:ascii="Calibri" w:eastAsia="Calibri" w:hAnsi="Calibri" w:cs="Calibri"/>
        </w:rPr>
        <w:t xml:space="preserve"> joint </w:t>
      </w:r>
      <w:r w:rsidR="00657E3F" w:rsidRPr="0054707E">
        <w:rPr>
          <w:rFonts w:ascii="Calibri" w:eastAsia="Calibri" w:hAnsi="Calibri" w:cs="Calibri"/>
        </w:rPr>
        <w:t>flexion</w:t>
      </w:r>
      <w:r w:rsidR="0054707E">
        <w:rPr>
          <w:rFonts w:ascii="Calibri" w:eastAsia="Calibri" w:hAnsi="Calibri" w:cs="Calibri"/>
        </w:rPr>
        <w:t xml:space="preserve"> relative to the remaining finger</w:t>
      </w:r>
      <w:r w:rsidR="00775607">
        <w:rPr>
          <w:rFonts w:ascii="Calibri" w:eastAsia="Calibri" w:hAnsi="Calibri" w:cs="Calibri"/>
        </w:rPr>
        <w:t>(</w:t>
      </w:r>
      <w:r w:rsidR="0054707E">
        <w:rPr>
          <w:rFonts w:ascii="Calibri" w:eastAsia="Calibri" w:hAnsi="Calibri" w:cs="Calibri"/>
        </w:rPr>
        <w:t>s</w:t>
      </w:r>
      <w:r w:rsidR="00775607">
        <w:rPr>
          <w:rFonts w:ascii="Calibri" w:eastAsia="Calibri" w:hAnsi="Calibri" w:cs="Calibri"/>
        </w:rPr>
        <w:t>)</w:t>
      </w:r>
      <w:r w:rsidR="0054707E">
        <w:rPr>
          <w:rFonts w:ascii="Calibri" w:eastAsia="Calibri" w:hAnsi="Calibri" w:cs="Calibri"/>
        </w:rPr>
        <w:t>.</w:t>
      </w:r>
      <w:r w:rsidR="00A33F01">
        <w:rPr>
          <w:rFonts w:ascii="Calibri" w:eastAsia="Calibri" w:hAnsi="Calibri" w:cs="Calibri"/>
        </w:rPr>
        <w:t xml:space="preserve"> In practice, it may be </w:t>
      </w:r>
      <w:r w:rsidR="00775607">
        <w:rPr>
          <w:rFonts w:ascii="Calibri" w:eastAsia="Calibri" w:hAnsi="Calibri" w:cs="Calibri"/>
        </w:rPr>
        <w:t>simpler</w:t>
      </w:r>
      <w:r w:rsidR="00A33F01">
        <w:rPr>
          <w:rFonts w:ascii="Calibri" w:eastAsia="Calibri" w:hAnsi="Calibri" w:cs="Calibri"/>
        </w:rPr>
        <w:t xml:space="preserve"> to fabricate the orthosis and ensure appropriate </w:t>
      </w:r>
      <w:proofErr w:type="spellStart"/>
      <w:r w:rsidR="005C5585">
        <w:rPr>
          <w:rFonts w:ascii="Calibri" w:eastAsia="Calibri" w:hAnsi="Calibri" w:cs="Calibri"/>
        </w:rPr>
        <w:t>MCP</w:t>
      </w:r>
      <w:proofErr w:type="spellEnd"/>
      <w:r w:rsidR="005C5585">
        <w:rPr>
          <w:rFonts w:ascii="Calibri" w:eastAsia="Calibri" w:hAnsi="Calibri" w:cs="Calibri"/>
        </w:rPr>
        <w:t xml:space="preserve"> joint differential </w:t>
      </w:r>
      <w:r w:rsidR="00A33F01">
        <w:rPr>
          <w:rFonts w:ascii="Calibri" w:eastAsia="Calibri" w:hAnsi="Calibri" w:cs="Calibri"/>
        </w:rPr>
        <w:t xml:space="preserve">flexion for only one or two fingers. </w:t>
      </w:r>
    </w:p>
    <w:p w14:paraId="2BC17372" w14:textId="4B930CB1" w:rsidR="00E9160A" w:rsidRDefault="00E9160A" w:rsidP="00950475">
      <w:pPr>
        <w:spacing w:line="480" w:lineRule="auto"/>
        <w:rPr>
          <w:rFonts w:ascii="Calibri" w:eastAsia="Calibri" w:hAnsi="Calibri" w:cs="Calibri"/>
          <w:color w:val="00B050"/>
        </w:rPr>
      </w:pPr>
    </w:p>
    <w:p w14:paraId="3CE57EC8" w14:textId="19A129E6" w:rsidR="007E5102" w:rsidRPr="00B20FF5" w:rsidRDefault="00E64BDE" w:rsidP="00950475">
      <w:pPr>
        <w:pStyle w:val="Heading3"/>
        <w:spacing w:line="480" w:lineRule="auto"/>
        <w:rPr>
          <w:rFonts w:ascii="Calibri Light" w:hAnsi="Calibri Light" w:cs="Calibri Light"/>
          <w:b w:val="0"/>
          <w:bCs/>
          <w:color w:val="244061" w:themeColor="accent1" w:themeShade="80"/>
          <w:sz w:val="24"/>
          <w:szCs w:val="24"/>
        </w:rPr>
      </w:pPr>
      <w:r w:rsidRPr="00B20FF5">
        <w:rPr>
          <w:rFonts w:ascii="Calibri Light" w:hAnsi="Calibri Light" w:cs="Calibri Light"/>
          <w:b w:val="0"/>
          <w:bCs/>
          <w:color w:val="244061" w:themeColor="accent1" w:themeShade="80"/>
          <w:sz w:val="24"/>
          <w:szCs w:val="24"/>
        </w:rPr>
        <w:t xml:space="preserve">Zone of injury </w:t>
      </w:r>
    </w:p>
    <w:p w14:paraId="2117BC41" w14:textId="4BA952A1" w:rsidR="00E0032F" w:rsidRDefault="00775607" w:rsidP="00950475">
      <w:pPr>
        <w:spacing w:line="480" w:lineRule="auto"/>
        <w:rPr>
          <w:rFonts w:ascii="Calibri" w:eastAsia="Calibri" w:hAnsi="Calibri" w:cs="Calibri"/>
          <w:color w:val="000000" w:themeColor="text1"/>
        </w:rPr>
      </w:pPr>
      <w:r>
        <w:rPr>
          <w:rFonts w:ascii="Calibri" w:eastAsia="Calibri" w:hAnsi="Calibri" w:cs="Calibri"/>
          <w:color w:val="000000" w:themeColor="text1"/>
        </w:rPr>
        <w:t>Existing clinical</w:t>
      </w:r>
      <w:r w:rsidR="00233064">
        <w:rPr>
          <w:rFonts w:ascii="Calibri" w:eastAsia="Calibri" w:hAnsi="Calibri" w:cs="Calibri"/>
          <w:color w:val="000000" w:themeColor="text1"/>
        </w:rPr>
        <w:t xml:space="preserve"> studies of </w:t>
      </w:r>
      <w:proofErr w:type="spellStart"/>
      <w:r w:rsidR="00233064">
        <w:rPr>
          <w:rFonts w:ascii="Calibri" w:eastAsia="Calibri" w:hAnsi="Calibri" w:cs="Calibri"/>
          <w:color w:val="000000" w:themeColor="text1"/>
        </w:rPr>
        <w:t>RMF</w:t>
      </w:r>
      <w:proofErr w:type="spellEnd"/>
      <w:r w:rsidR="00233064">
        <w:rPr>
          <w:rFonts w:ascii="Calibri" w:eastAsia="Calibri" w:hAnsi="Calibri" w:cs="Calibri"/>
          <w:color w:val="000000" w:themeColor="text1"/>
        </w:rPr>
        <w:t xml:space="preserve"> have</w:t>
      </w:r>
      <w:r>
        <w:rPr>
          <w:rFonts w:ascii="Calibri" w:eastAsia="Calibri" w:hAnsi="Calibri" w:cs="Calibri"/>
          <w:color w:val="000000" w:themeColor="text1"/>
        </w:rPr>
        <w:t xml:space="preserve"> only</w:t>
      </w:r>
      <w:r w:rsidR="00233064">
        <w:rPr>
          <w:rFonts w:ascii="Calibri" w:eastAsia="Calibri" w:hAnsi="Calibri" w:cs="Calibri"/>
          <w:color w:val="000000" w:themeColor="text1"/>
        </w:rPr>
        <w:t xml:space="preserve"> included patients with zone I or II FDP repairs</w:t>
      </w:r>
      <w:r w:rsidR="00A11055">
        <w:rPr>
          <w:rFonts w:ascii="Calibri" w:eastAsia="Calibri" w:hAnsi="Calibri" w:cs="Calibri"/>
          <w:color w:val="000000" w:themeColor="text1"/>
        </w:rPr>
        <w:t xml:space="preserve"> </w:t>
      </w:r>
      <w:r w:rsidR="00A11055">
        <w:rPr>
          <w:rFonts w:ascii="Calibri" w:eastAsia="Calibri" w:hAnsi="Calibri" w:cs="Calibri"/>
          <w:color w:val="000000" w:themeColor="text1"/>
        </w:rPr>
        <w:fldChar w:fldCharType="begin" w:fldLock="1"/>
      </w:r>
      <w:r w:rsidR="0043414D">
        <w:rPr>
          <w:rFonts w:ascii="Calibri" w:eastAsia="Calibri" w:hAnsi="Calibri" w:cs="Calibri"/>
          <w:color w:val="000000" w:themeColor="text1"/>
        </w:rPr>
        <w:instrText>ADDIN CSL_CITATION {"citationItems":[{"id":"ITEM-1","itemData":{"DOI":"10.1016/j.jht.2019.05.002","ISSN":"0894-1130","author":[{"dropping-particle":"","family":"Henry","given":"Steven L","non-dropping-particle":"","parse-names":false,"suffix":""},{"dropping-particle":"","family":"Howell","given":"Julianne W","non-dropping-particle":"","parse-names":false,"suffix":""}],"container-title":"Journal of Hand Therapy","id":"ITEM-1","issue":"3","issued":{"date-parts":[["2020"]]},"page":"296-304","publisher":"Elsevier Inc","title":"Use of a relative motion flexion orthosis for postoperative management of zone I/II flexor digitorum profundus repair: A retrospective consecutive case series","type":"article-journal","volume":"33"},"uris":["http://www.mendeley.com/documents/?uuid=8cf4242d-792a-4604-a722-3df7e36780c9"]},{"id":"ITEM-2","itemData":{"DOI":"10.1080/09593985.2022.2073574","author":[{"dropping-particle":"","family":"Öksüz","given":"Çiğdem","non-dropping-particle":"","parse-names":false,"suffix":""},{"dropping-particle":"","family":"Arslan","given":"Özge Buket","non-dropping-particle":"","parse-names":false,"suffix":""},{"dropping-particle":"","family":"Baş","given":"Can Emre","non-dropping-particle":"","parse-names":false,"suffix":""},{"dropping-particle":"","family":"Ayhan","given":"Egemen","non-dropping-particle":"","parse-names":false,"suffix":""}],"container-title":"Physiotherapy Theory and Practice","id":"ITEM-2","issued":{"date-parts":[["2022"]]},"page":"DOI:10.1080/09593985.2022.2073574","publisher":"Taylor &amp; Francis","title":"Early active movement with relative motion flexion splint for the management of zone 1-2 flexor tendon repairs: Case series","type":"article-journal","volume":"Online"},"uris":["http://www.mendeley.com/documents/?uuid=43f249d0-02d1-47b4-8e03-3521fb1925c0"]}],"mendeley":{"formattedCitation":"(8,10)","plainTextFormattedCitation":"(8,10)","previouslyFormattedCitation":"(8,10)"},"properties":{"noteIndex":0},"schema":"https://github.com/citation-style-language/schema/raw/master/csl-citation.json"}</w:instrText>
      </w:r>
      <w:r w:rsidR="00A11055">
        <w:rPr>
          <w:rFonts w:ascii="Calibri" w:eastAsia="Calibri" w:hAnsi="Calibri" w:cs="Calibri"/>
          <w:color w:val="000000" w:themeColor="text1"/>
        </w:rPr>
        <w:fldChar w:fldCharType="separate"/>
      </w:r>
      <w:r w:rsidR="004D5BB1" w:rsidRPr="004D5BB1">
        <w:rPr>
          <w:rFonts w:ascii="Calibri" w:eastAsia="Calibri" w:hAnsi="Calibri" w:cs="Calibri"/>
          <w:noProof/>
          <w:color w:val="000000" w:themeColor="text1"/>
        </w:rPr>
        <w:t>(8,10)</w:t>
      </w:r>
      <w:r w:rsidR="00A11055">
        <w:rPr>
          <w:rFonts w:ascii="Calibri" w:eastAsia="Calibri" w:hAnsi="Calibri" w:cs="Calibri"/>
          <w:color w:val="000000" w:themeColor="text1"/>
        </w:rPr>
        <w:fldChar w:fldCharType="end"/>
      </w:r>
      <w:r>
        <w:rPr>
          <w:rFonts w:ascii="Calibri" w:eastAsia="Calibri" w:hAnsi="Calibri" w:cs="Calibri"/>
          <w:color w:val="000000" w:themeColor="text1"/>
        </w:rPr>
        <w:t>;</w:t>
      </w:r>
      <w:r w:rsidR="00C70DED">
        <w:rPr>
          <w:rFonts w:ascii="Calibri" w:eastAsia="Calibri" w:hAnsi="Calibri" w:cs="Calibri"/>
          <w:color w:val="000000" w:themeColor="text1"/>
        </w:rPr>
        <w:t xml:space="preserve"> the identified treatment guidelines also applied to these zones </w:t>
      </w:r>
      <w:r w:rsidR="00C70DED">
        <w:rPr>
          <w:rFonts w:ascii="Calibri" w:eastAsia="Calibri" w:hAnsi="Calibri" w:cs="Calibri"/>
          <w:color w:val="000000" w:themeColor="text1"/>
        </w:rPr>
        <w:fldChar w:fldCharType="begin" w:fldLock="1"/>
      </w:r>
      <w:r w:rsidR="002E1436">
        <w:rPr>
          <w:rFonts w:ascii="Calibri" w:eastAsia="Calibri" w:hAnsi="Calibri" w:cs="Calibri"/>
          <w:color w:val="000000" w:themeColor="text1"/>
        </w:rPr>
        <w:instrText>ADDIN CSL_CITATION {"citationItems":[{"id":"ITEM-1","itemData":{"DOI":"10.1177/17589983221089654","ISSN":"1758-9983","author":[{"dropping-particle":"","family":"Newington","given":"Lisa","non-dropping-particle":"","parse-names":false,"suffix":""},{"dropping-particle":"","family":"Lane","given":"Jennifer CE","non-dropping-particle":"","parse-names":false,"suffix":""},{"dropping-particle":"","family":"Holmes","given":"David GW","non-dropping-particle":"","parse-names":false,"suffix":""},{"dropping-particle":"","family":"Gardiner","given":"Matthew D","non-dropping-particle":"","parse-names":false,"suffix":""}],"container-title":"Hand Therapy","id":"ITEM-1","issue":"2","issued":{"date-parts":[["2022"]]},"page":"49-57","title":"Variation in patient information and rehabilitation regimens after flexor tendon repair in the United Kingdom","type":"article-journal","volume":"27"},"uris":["http://www.mendeley.com/documents/?uuid=b9b7ccd9-6e63-4996-a1c9-267b01ae6bd6"]}],"mendeley":{"formattedCitation":"(20)","plainTextFormattedCitation":"(20)","previouslyFormattedCitation":"(20)"},"properties":{"noteIndex":0},"schema":"https://github.com/citation-style-language/schema/raw/master/csl-citation.json"}</w:instrText>
      </w:r>
      <w:r w:rsidR="00C70DED">
        <w:rPr>
          <w:rFonts w:ascii="Calibri" w:eastAsia="Calibri" w:hAnsi="Calibri" w:cs="Calibri"/>
          <w:color w:val="000000" w:themeColor="text1"/>
        </w:rPr>
        <w:fldChar w:fldCharType="separate"/>
      </w:r>
      <w:r w:rsidR="002D5ADE" w:rsidRPr="002D5ADE">
        <w:rPr>
          <w:rFonts w:ascii="Calibri" w:eastAsia="Calibri" w:hAnsi="Calibri" w:cs="Calibri"/>
          <w:noProof/>
          <w:color w:val="000000" w:themeColor="text1"/>
        </w:rPr>
        <w:t>(20)</w:t>
      </w:r>
      <w:r w:rsidR="00C70DED">
        <w:rPr>
          <w:rFonts w:ascii="Calibri" w:eastAsia="Calibri" w:hAnsi="Calibri" w:cs="Calibri"/>
          <w:color w:val="000000" w:themeColor="text1"/>
        </w:rPr>
        <w:fldChar w:fldCharType="end"/>
      </w:r>
      <w:r w:rsidR="00C70DED">
        <w:rPr>
          <w:rFonts w:ascii="Calibri" w:eastAsia="Calibri" w:hAnsi="Calibri" w:cs="Calibri"/>
          <w:color w:val="000000" w:themeColor="text1"/>
        </w:rPr>
        <w:t xml:space="preserve">. </w:t>
      </w:r>
      <w:r w:rsidR="00EC225F" w:rsidRPr="00EC225F">
        <w:rPr>
          <w:rFonts w:asciiTheme="majorHAnsi" w:hAnsiTheme="majorHAnsi" w:cstheme="majorHAnsi"/>
        </w:rPr>
        <w:t>Öksüz</w:t>
      </w:r>
      <w:r w:rsidR="00EC225F">
        <w:t xml:space="preserve"> </w:t>
      </w:r>
      <w:r w:rsidR="005E6C73" w:rsidRPr="00EC225F">
        <w:rPr>
          <w:rFonts w:ascii="Calibri" w:eastAsia="Calibri" w:hAnsi="Calibri" w:cs="Calibri"/>
          <w:i/>
          <w:iCs/>
          <w:color w:val="000000" w:themeColor="text1"/>
        </w:rPr>
        <w:t>et al</w:t>
      </w:r>
      <w:r w:rsidR="006F081A">
        <w:rPr>
          <w:rFonts w:ascii="Calibri" w:eastAsia="Calibri" w:hAnsi="Calibri" w:cs="Calibri"/>
          <w:i/>
          <w:iCs/>
          <w:color w:val="000000" w:themeColor="text1"/>
        </w:rPr>
        <w:t>.</w:t>
      </w:r>
      <w:r w:rsidR="005E6C73">
        <w:rPr>
          <w:rFonts w:ascii="Calibri" w:eastAsia="Calibri" w:hAnsi="Calibri" w:cs="Calibri"/>
          <w:color w:val="000000" w:themeColor="text1"/>
        </w:rPr>
        <w:t xml:space="preserve"> </w:t>
      </w:r>
      <w:r>
        <w:rPr>
          <w:rFonts w:ascii="Calibri" w:eastAsia="Calibri" w:hAnsi="Calibri" w:cs="Calibri"/>
          <w:color w:val="000000" w:themeColor="text1"/>
        </w:rPr>
        <w:t xml:space="preserve">also </w:t>
      </w:r>
      <w:r w:rsidR="006F081A">
        <w:rPr>
          <w:rFonts w:ascii="Calibri" w:eastAsia="Calibri" w:hAnsi="Calibri" w:cs="Calibri"/>
          <w:color w:val="000000" w:themeColor="text1"/>
        </w:rPr>
        <w:t xml:space="preserve">included associated flexor </w:t>
      </w:r>
      <w:proofErr w:type="spellStart"/>
      <w:r w:rsidR="006F081A">
        <w:rPr>
          <w:rFonts w:ascii="Calibri" w:eastAsia="Calibri" w:hAnsi="Calibri" w:cs="Calibri"/>
          <w:color w:val="000000" w:themeColor="text1"/>
        </w:rPr>
        <w:t>digitorium</w:t>
      </w:r>
      <w:proofErr w:type="spellEnd"/>
      <w:r w:rsidR="006F081A">
        <w:rPr>
          <w:rFonts w:ascii="Calibri" w:eastAsia="Calibri" w:hAnsi="Calibri" w:cs="Calibri"/>
          <w:color w:val="000000" w:themeColor="text1"/>
        </w:rPr>
        <w:t xml:space="preserve"> superficialis (FDS) repairs</w:t>
      </w:r>
      <w:r>
        <w:rPr>
          <w:rFonts w:asciiTheme="majorHAnsi" w:eastAsia="Calibri" w:hAnsiTheme="majorHAnsi" w:cstheme="majorHAnsi"/>
          <w:color w:val="000000" w:themeColor="text1"/>
        </w:rPr>
        <w:t xml:space="preserve">, but as mentioned previously, the </w:t>
      </w:r>
      <w:proofErr w:type="spellStart"/>
      <w:r w:rsidR="00EC225F">
        <w:rPr>
          <w:rFonts w:ascii="Calibri" w:eastAsia="Calibri" w:hAnsi="Calibri" w:cs="Calibri"/>
          <w:color w:val="000000" w:themeColor="text1"/>
        </w:rPr>
        <w:t>RMF</w:t>
      </w:r>
      <w:proofErr w:type="spellEnd"/>
      <w:r w:rsidR="00EC225F">
        <w:rPr>
          <w:rFonts w:ascii="Calibri" w:eastAsia="Calibri" w:hAnsi="Calibri" w:cs="Calibri"/>
          <w:color w:val="000000" w:themeColor="text1"/>
        </w:rPr>
        <w:t xml:space="preserve"> orthos</w:t>
      </w:r>
      <w:r>
        <w:rPr>
          <w:rFonts w:ascii="Calibri" w:eastAsia="Calibri" w:hAnsi="Calibri" w:cs="Calibri"/>
          <w:color w:val="000000" w:themeColor="text1"/>
        </w:rPr>
        <w:t>is was only used</w:t>
      </w:r>
      <w:r w:rsidR="00EC225F">
        <w:rPr>
          <w:rFonts w:ascii="Calibri" w:eastAsia="Calibri" w:hAnsi="Calibri" w:cs="Calibri"/>
          <w:color w:val="000000" w:themeColor="text1"/>
        </w:rPr>
        <w:t xml:space="preserve"> after</w:t>
      </w:r>
      <w:r w:rsidR="00A33F01">
        <w:rPr>
          <w:rFonts w:ascii="Calibri" w:eastAsia="Calibri" w:hAnsi="Calibri" w:cs="Calibri"/>
          <w:color w:val="000000" w:themeColor="text1"/>
        </w:rPr>
        <w:t xml:space="preserve"> an</w:t>
      </w:r>
      <w:r w:rsidR="00EC225F">
        <w:rPr>
          <w:rFonts w:ascii="Calibri" w:eastAsia="Calibri" w:hAnsi="Calibri" w:cs="Calibri"/>
          <w:color w:val="000000" w:themeColor="text1"/>
        </w:rPr>
        <w:t xml:space="preserve"> initial rehabilitation</w:t>
      </w:r>
      <w:r w:rsidR="00A33F01">
        <w:rPr>
          <w:rFonts w:ascii="Calibri" w:eastAsia="Calibri" w:hAnsi="Calibri" w:cs="Calibri"/>
          <w:color w:val="000000" w:themeColor="text1"/>
        </w:rPr>
        <w:t xml:space="preserve"> period</w:t>
      </w:r>
      <w:r w:rsidR="00EC225F">
        <w:rPr>
          <w:rFonts w:ascii="Calibri" w:eastAsia="Calibri" w:hAnsi="Calibri" w:cs="Calibri"/>
          <w:color w:val="000000" w:themeColor="text1"/>
        </w:rPr>
        <w:t xml:space="preserve"> in a </w:t>
      </w:r>
      <w:r w:rsidR="001C36E3">
        <w:rPr>
          <w:rFonts w:ascii="Calibri" w:eastAsia="Calibri" w:hAnsi="Calibri" w:cs="Calibri"/>
          <w:color w:val="000000" w:themeColor="text1"/>
        </w:rPr>
        <w:lastRenderedPageBreak/>
        <w:t xml:space="preserve">dorsal-blocking </w:t>
      </w:r>
      <w:proofErr w:type="spellStart"/>
      <w:r w:rsidR="00AC3326">
        <w:rPr>
          <w:rFonts w:ascii="Calibri" w:eastAsia="Calibri" w:hAnsi="Calibri" w:cs="Calibri"/>
          <w:color w:val="000000" w:themeColor="text1"/>
        </w:rPr>
        <w:t>WHFO</w:t>
      </w:r>
      <w:proofErr w:type="spellEnd"/>
      <w:r w:rsidR="00CE562B">
        <w:rPr>
          <w:rFonts w:ascii="Calibri" w:eastAsia="Calibri" w:hAnsi="Calibri" w:cs="Calibri"/>
          <w:color w:val="000000" w:themeColor="text1"/>
        </w:rPr>
        <w:t xml:space="preserve"> </w:t>
      </w:r>
      <w:r w:rsidR="00EC225F">
        <w:rPr>
          <w:rFonts w:ascii="Calibri" w:eastAsia="Calibri" w:hAnsi="Calibri" w:cs="Calibri"/>
          <w:color w:val="000000" w:themeColor="text1"/>
        </w:rPr>
        <w:fldChar w:fldCharType="begin" w:fldLock="1"/>
      </w:r>
      <w:r w:rsidR="0043414D">
        <w:rPr>
          <w:rFonts w:ascii="Calibri" w:eastAsia="Calibri" w:hAnsi="Calibri" w:cs="Calibri"/>
          <w:color w:val="000000" w:themeColor="text1"/>
        </w:rPr>
        <w:instrText>ADDIN CSL_CITATION {"citationItems":[{"id":"ITEM-1","itemData":{"DOI":"10.1080/09593985.2022.2073574","author":[{"dropping-particle":"","family":"Öksüz","given":"Çiğdem","non-dropping-particle":"","parse-names":false,"suffix":""},{"dropping-particle":"","family":"Arslan","given":"Özge Buket","non-dropping-particle":"","parse-names":false,"suffix":""},{"dropping-particle":"","family":"Baş","given":"Can Emre","non-dropping-particle":"","parse-names":false,"suffix":""},{"dropping-particle":"","family":"Ayhan","given":"Egemen","non-dropping-particle":"","parse-names":false,"suffix":""}],"container-title":"Physiotherapy Theory and Practice","id":"ITEM-1","issued":{"date-parts":[["2022"]]},"page":"DOI:10.1080/09593985.2022.2073574","publisher":"Taylor &amp; Francis","title":"Early active movement with relative motion flexion splint for the management of zone 1-2 flexor tendon repairs: Case series","type":"article-journal","volume":"Online"},"uris":["http://www.mendeley.com/documents/?uuid=43f249d0-02d1-47b4-8e03-3521fb1925c0"]}],"mendeley":{"formattedCitation":"(10)","plainTextFormattedCitation":"(10)","previouslyFormattedCitation":"(10)"},"properties":{"noteIndex":0},"schema":"https://github.com/citation-style-language/schema/raw/master/csl-citation.json"}</w:instrText>
      </w:r>
      <w:r w:rsidR="00EC225F">
        <w:rPr>
          <w:rFonts w:ascii="Calibri" w:eastAsia="Calibri" w:hAnsi="Calibri" w:cs="Calibri"/>
          <w:color w:val="000000" w:themeColor="text1"/>
        </w:rPr>
        <w:fldChar w:fldCharType="separate"/>
      </w:r>
      <w:r w:rsidR="004D5BB1" w:rsidRPr="004D5BB1">
        <w:rPr>
          <w:rFonts w:ascii="Calibri" w:eastAsia="Calibri" w:hAnsi="Calibri" w:cs="Calibri"/>
          <w:noProof/>
          <w:color w:val="000000" w:themeColor="text1"/>
        </w:rPr>
        <w:t>(10)</w:t>
      </w:r>
      <w:r w:rsidR="00EC225F">
        <w:rPr>
          <w:rFonts w:ascii="Calibri" w:eastAsia="Calibri" w:hAnsi="Calibri" w:cs="Calibri"/>
          <w:color w:val="000000" w:themeColor="text1"/>
        </w:rPr>
        <w:fldChar w:fldCharType="end"/>
      </w:r>
      <w:r w:rsidR="00EC225F">
        <w:rPr>
          <w:rFonts w:ascii="Calibri" w:eastAsia="Calibri" w:hAnsi="Calibri" w:cs="Calibri"/>
          <w:color w:val="000000" w:themeColor="text1"/>
        </w:rPr>
        <w:t xml:space="preserve">. </w:t>
      </w:r>
      <w:r w:rsidR="00E0032F">
        <w:rPr>
          <w:rFonts w:ascii="Calibri" w:eastAsia="Calibri" w:hAnsi="Calibri" w:cs="Calibri"/>
          <w:color w:val="000000" w:themeColor="text1"/>
        </w:rPr>
        <w:t xml:space="preserve">Digital nerve repairs were not a contraindication to use of the </w:t>
      </w:r>
      <w:proofErr w:type="spellStart"/>
      <w:r w:rsidR="00E0032F">
        <w:rPr>
          <w:rFonts w:ascii="Calibri" w:eastAsia="Calibri" w:hAnsi="Calibri" w:cs="Calibri"/>
          <w:color w:val="000000" w:themeColor="text1"/>
        </w:rPr>
        <w:t>RMF</w:t>
      </w:r>
      <w:proofErr w:type="spellEnd"/>
      <w:r w:rsidR="00E0032F">
        <w:rPr>
          <w:rFonts w:ascii="Calibri" w:eastAsia="Calibri" w:hAnsi="Calibri" w:cs="Calibri"/>
          <w:color w:val="000000" w:themeColor="text1"/>
        </w:rPr>
        <w:t xml:space="preserve"> orthosis in any</w:t>
      </w:r>
      <w:r w:rsidR="00A33F01">
        <w:rPr>
          <w:rFonts w:ascii="Calibri" w:eastAsia="Calibri" w:hAnsi="Calibri" w:cs="Calibri"/>
          <w:color w:val="000000" w:themeColor="text1"/>
        </w:rPr>
        <w:t xml:space="preserve"> of the </w:t>
      </w:r>
      <w:r w:rsidR="000A1D6B">
        <w:rPr>
          <w:rFonts w:ascii="Calibri" w:eastAsia="Calibri" w:hAnsi="Calibri" w:cs="Calibri"/>
          <w:color w:val="000000" w:themeColor="text1"/>
        </w:rPr>
        <w:t>existing</w:t>
      </w:r>
      <w:r w:rsidR="00E0032F">
        <w:rPr>
          <w:rFonts w:ascii="Calibri" w:eastAsia="Calibri" w:hAnsi="Calibri" w:cs="Calibri"/>
          <w:color w:val="000000" w:themeColor="text1"/>
        </w:rPr>
        <w:t xml:space="preserve"> stud</w:t>
      </w:r>
      <w:r w:rsidR="00A33F01">
        <w:rPr>
          <w:rFonts w:ascii="Calibri" w:eastAsia="Calibri" w:hAnsi="Calibri" w:cs="Calibri"/>
          <w:color w:val="000000" w:themeColor="text1"/>
        </w:rPr>
        <w:t>ies</w:t>
      </w:r>
      <w:r w:rsidR="00E0032F">
        <w:rPr>
          <w:rFonts w:ascii="Calibri" w:eastAsia="Calibri" w:hAnsi="Calibri" w:cs="Calibri"/>
          <w:color w:val="000000" w:themeColor="text1"/>
        </w:rPr>
        <w:t xml:space="preserve">. </w:t>
      </w:r>
    </w:p>
    <w:p w14:paraId="10A4BC67" w14:textId="77777777" w:rsidR="00E0032F" w:rsidRDefault="00E0032F" w:rsidP="00950475">
      <w:pPr>
        <w:spacing w:line="480" w:lineRule="auto"/>
        <w:rPr>
          <w:rFonts w:ascii="Calibri" w:eastAsia="Calibri" w:hAnsi="Calibri" w:cs="Calibri"/>
          <w:color w:val="000000" w:themeColor="text1"/>
        </w:rPr>
      </w:pPr>
    </w:p>
    <w:p w14:paraId="1D0AB449" w14:textId="371B67CA" w:rsidR="0040407A" w:rsidRDefault="006731F4" w:rsidP="00950475">
      <w:pPr>
        <w:spacing w:line="480" w:lineRule="auto"/>
        <w:rPr>
          <w:rFonts w:ascii="Calibri" w:eastAsia="Calibri" w:hAnsi="Calibri" w:cs="Calibri"/>
          <w:color w:val="000000" w:themeColor="text1"/>
        </w:rPr>
      </w:pPr>
      <w:r>
        <w:rPr>
          <w:rFonts w:ascii="Calibri" w:eastAsia="Calibri" w:hAnsi="Calibri" w:cs="Calibri"/>
          <w:color w:val="000000" w:themeColor="text1"/>
        </w:rPr>
        <w:t xml:space="preserve">Zone II </w:t>
      </w:r>
      <w:r w:rsidR="00117348">
        <w:rPr>
          <w:rFonts w:ascii="Calibri" w:eastAsia="Calibri" w:hAnsi="Calibri" w:cs="Calibri"/>
          <w:color w:val="000000" w:themeColor="text1"/>
        </w:rPr>
        <w:t>flexor tendon injuries are notorious for their complexity</w:t>
      </w:r>
      <w:r w:rsidR="001C372A">
        <w:rPr>
          <w:rFonts w:ascii="Calibri" w:eastAsia="Calibri" w:hAnsi="Calibri" w:cs="Calibri"/>
          <w:color w:val="000000" w:themeColor="text1"/>
        </w:rPr>
        <w:t xml:space="preserve"> and therefore it is unsurprising that advances in treatment </w:t>
      </w:r>
      <w:r w:rsidR="00D516CB">
        <w:rPr>
          <w:rFonts w:ascii="Calibri" w:eastAsia="Calibri" w:hAnsi="Calibri" w:cs="Calibri"/>
          <w:color w:val="000000" w:themeColor="text1"/>
        </w:rPr>
        <w:t xml:space="preserve">have focused on this </w:t>
      </w:r>
      <w:r w:rsidR="001C372A">
        <w:rPr>
          <w:rFonts w:ascii="Calibri" w:eastAsia="Calibri" w:hAnsi="Calibri" w:cs="Calibri"/>
          <w:color w:val="000000" w:themeColor="text1"/>
        </w:rPr>
        <w:t xml:space="preserve">zone </w:t>
      </w:r>
      <w:r w:rsidR="001C372A">
        <w:rPr>
          <w:rFonts w:ascii="Calibri" w:eastAsia="Calibri" w:hAnsi="Calibri" w:cs="Calibri"/>
          <w:color w:val="000000" w:themeColor="text1"/>
        </w:rPr>
        <w:fldChar w:fldCharType="begin" w:fldLock="1"/>
      </w:r>
      <w:r w:rsidR="0043414D">
        <w:rPr>
          <w:rFonts w:ascii="Calibri" w:eastAsia="Calibri" w:hAnsi="Calibri" w:cs="Calibri"/>
          <w:color w:val="000000" w:themeColor="text1"/>
        </w:rPr>
        <w:instrText>ADDIN CSL_CITATION {"citationItems":[{"id":"ITEM-1","itemData":{"DOI":"10.1177/17531934211053757","ISBN":"1753193421105","ISSN":"20436289","PMID":"34738496","abstract":"The current clinical methods of flexor tendon repair are remarkably different from those used 20 years ago. This article starts with a review of the current methods, followed by presentation of past experience and current status of six eminent hand surgery units from four continents/regions. Many units are using, or are moving toward using, the recent strong (multi-strand) core suture method together with a simpler peripheral suture. Venting of the critical pulleys over less than 2 cm length is safe and favours functional recovery. These repair and recent motion protocols lead to remarkably more reliable repairs, with over 80% good or excellent outcomes achieved rather consistently after Zone 2 repair along with infrequent need of tenolysis. Despite slight variations in repair methods, they all consider general principles and should be followed. Outcomes of Zone 2 repairs are not dissimilar to those in other zones with very low to zero incidence of rupture.","author":[{"dropping-particle":"","family":"Tang","given":"Jin Bo","non-dropping-particle":"","parse-names":false,"suffix":""},{"dropping-particle":"","family":"Lalonde","given":"Donald","non-dropping-particle":"","parse-names":false,"suffix":""},{"dropping-particle":"","family":"Harhaus","given":"Leila","non-dropping-particle":"","parse-names":false,"suffix":""},{"dropping-particle":"","family":"Sadek","given":"Ahmed Fathy","non-dropping-particle":"","parse-names":false,"suffix":""},{"dropping-particle":"","family":"Moriya","given":"Koji","non-dropping-particle":"","parse-names":false,"suffix":""},{"dropping-particle":"","family":"Pan","given":"Zhang Jun","non-dropping-particle":"","parse-names":false,"suffix":""}],"container-title":"Journal of Hand Surgery [Eur]","id":"ITEM-1","issue":"1","issued":{"date-parts":[["2022"]]},"page":"31-39","title":"Flexor tendon repair: recent changes and current methods","type":"article-journal","volume":"47"},"uris":["http://www.mendeley.com/documents/?uuid=673e85a7-e7fd-4912-9dc9-492f85fdd791"]}],"mendeley":{"formattedCitation":"(31)","plainTextFormattedCitation":"(31)","previouslyFormattedCitation":"(31)"},"properties":{"noteIndex":0},"schema":"https://github.com/citation-style-language/schema/raw/master/csl-citation.json"}</w:instrText>
      </w:r>
      <w:r w:rsidR="001C372A">
        <w:rPr>
          <w:rFonts w:ascii="Calibri" w:eastAsia="Calibri" w:hAnsi="Calibri" w:cs="Calibri"/>
          <w:color w:val="000000" w:themeColor="text1"/>
        </w:rPr>
        <w:fldChar w:fldCharType="separate"/>
      </w:r>
      <w:r w:rsidR="00D06ED5" w:rsidRPr="00D06ED5">
        <w:rPr>
          <w:rFonts w:ascii="Calibri" w:eastAsia="Calibri" w:hAnsi="Calibri" w:cs="Calibri"/>
          <w:noProof/>
          <w:color w:val="000000" w:themeColor="text1"/>
        </w:rPr>
        <w:t>(31)</w:t>
      </w:r>
      <w:r w:rsidR="001C372A">
        <w:rPr>
          <w:rFonts w:ascii="Calibri" w:eastAsia="Calibri" w:hAnsi="Calibri" w:cs="Calibri"/>
          <w:color w:val="000000" w:themeColor="text1"/>
        </w:rPr>
        <w:fldChar w:fldCharType="end"/>
      </w:r>
      <w:r w:rsidR="001C372A">
        <w:rPr>
          <w:rFonts w:ascii="Calibri" w:eastAsia="Calibri" w:hAnsi="Calibri" w:cs="Calibri"/>
          <w:color w:val="000000" w:themeColor="text1"/>
        </w:rPr>
        <w:t xml:space="preserve">. </w:t>
      </w:r>
      <w:r w:rsidR="00DD348B">
        <w:rPr>
          <w:rFonts w:ascii="Calibri" w:eastAsia="Calibri" w:hAnsi="Calibri" w:cs="Calibri"/>
          <w:color w:val="000000" w:themeColor="text1"/>
        </w:rPr>
        <w:t xml:space="preserve">Interestingly, the single </w:t>
      </w:r>
      <w:r w:rsidR="00C70DED">
        <w:rPr>
          <w:rFonts w:ascii="Calibri" w:eastAsia="Calibri" w:hAnsi="Calibri" w:cs="Calibri"/>
          <w:color w:val="000000" w:themeColor="text1"/>
        </w:rPr>
        <w:t xml:space="preserve">cadaveric study assessed zone III injuries </w:t>
      </w:r>
      <w:r w:rsidR="00C70DED">
        <w:rPr>
          <w:rFonts w:ascii="Calibri" w:eastAsia="Calibri" w:hAnsi="Calibri" w:cs="Calibri"/>
          <w:color w:val="000000" w:themeColor="text1"/>
        </w:rPr>
        <w:fldChar w:fldCharType="begin" w:fldLock="1"/>
      </w:r>
      <w:r w:rsidR="002E1436">
        <w:rPr>
          <w:rFonts w:ascii="Calibri" w:eastAsia="Calibri" w:hAnsi="Calibri" w:cs="Calibri"/>
          <w:color w:val="000000" w:themeColor="text1"/>
        </w:rPr>
        <w:instrText>ADDIN CSL_CITATION {"citationItems":[{"id":"ITEM-1","itemData":{"DOI":"10.1177/1558944717732063","ISSN":"15589455","PMID":"28975818","abstract":"Background: The principle of relative motion has allowed patients to regain a higher degree of hand function, while protecting extensor tendon repairs. The purpose of this study was to determine whether the principle of relative motion could be a viable method to protect a flexor tendon repair. Methods: Four fresh-frozen cadaver arms were each mounted on a testing apparatus (wrist in 30° of extension, metacarpophalangeal [MCP] joints blocked to 70°-80°). A minimum of 11 N was used to cyclically load the flexor digitorum profundus and extensor digitorum communis tendons to maximum allowable flexion and extension for 25 cycles. Measurements of elongation of the tendons were obtained through the use of differential variable reluctance transducers. Testing was performed in both intact and repaired (single 6-0 nylon suture) middle finger tendons (zone 3) with and without a relative motion flexion splint (RMFS), which placed the affected finger in 15° to 25° of relative flexion at the MCP joint. Results: In all 4 hands, elongation was restricted to less than 1.3 mm in repaired tendon in the RMFS compared with elongation &gt;2 mm in the nonsplinted condition. Average elongation was 0.86 mm (SD = 0.45). Visual examination of the tendons demonstrated no gapping with the use of the RMFS in any of the hands. All repairs had suture breakage and repair rupture without the RMFS. Conclusions: This study demonstrates that the RMFS decreases elongation and eliminates tendon-repair gapping after flexion/extension cycling in a cadaver model. It provides proof of concept that the RMFS may be a viable protective mechanism for flexor tendon repairs in zone 3.","author":[{"dropping-particle":"","family":"Chung","given":"Bryan","non-dropping-particle":"","parse-names":false,"suffix":""},{"dropping-particle":"","family":"Chiu","given":"David T.W.","non-dropping-particle":"","parse-names":false,"suffix":""},{"dropping-particle":"","family":"Thanik","given":"Vishal","non-dropping-particle":"","parse-names":false,"suffix":""}],"container-title":"Hand","id":"ITEM-1","issue":"2","issued":{"date-parts":[["2019"]]},"page":"193-196","title":"Relative Motion Flexion Splinting for Flexor Tendon Lacerations: Proof of Concept","type":"article-journal","volume":"14"},"uris":["http://www.mendeley.com/documents/?uuid=a7357478-07a4-4734-b363-8ab9339c7629"]}],"mendeley":{"formattedCitation":"(14)","plainTextFormattedCitation":"(14)","previouslyFormattedCitation":"(14)"},"properties":{"noteIndex":0},"schema":"https://github.com/citation-style-language/schema/raw/master/csl-citation.json"}</w:instrText>
      </w:r>
      <w:r w:rsidR="00C70DED">
        <w:rPr>
          <w:rFonts w:ascii="Calibri" w:eastAsia="Calibri" w:hAnsi="Calibri" w:cs="Calibri"/>
          <w:color w:val="000000" w:themeColor="text1"/>
        </w:rPr>
        <w:fldChar w:fldCharType="separate"/>
      </w:r>
      <w:r w:rsidR="002D5ADE" w:rsidRPr="002D5ADE">
        <w:rPr>
          <w:rFonts w:ascii="Calibri" w:eastAsia="Calibri" w:hAnsi="Calibri" w:cs="Calibri"/>
          <w:noProof/>
          <w:color w:val="000000" w:themeColor="text1"/>
        </w:rPr>
        <w:t>(14)</w:t>
      </w:r>
      <w:r w:rsidR="00C70DED">
        <w:rPr>
          <w:rFonts w:ascii="Calibri" w:eastAsia="Calibri" w:hAnsi="Calibri" w:cs="Calibri"/>
          <w:color w:val="000000" w:themeColor="text1"/>
        </w:rPr>
        <w:fldChar w:fldCharType="end"/>
      </w:r>
      <w:r w:rsidR="00C70DED">
        <w:rPr>
          <w:rFonts w:ascii="Calibri" w:eastAsia="Calibri" w:hAnsi="Calibri" w:cs="Calibri"/>
          <w:color w:val="000000" w:themeColor="text1"/>
        </w:rPr>
        <w:t>, but</w:t>
      </w:r>
      <w:r w:rsidR="00F221C0">
        <w:rPr>
          <w:rFonts w:ascii="Calibri" w:eastAsia="Calibri" w:hAnsi="Calibri" w:cs="Calibri"/>
          <w:color w:val="000000" w:themeColor="text1"/>
        </w:rPr>
        <w:t xml:space="preserve"> we were unable to find </w:t>
      </w:r>
      <w:r w:rsidR="005D3F7D">
        <w:rPr>
          <w:rFonts w:ascii="Calibri" w:eastAsia="Calibri" w:hAnsi="Calibri" w:cs="Calibri"/>
          <w:color w:val="000000" w:themeColor="text1"/>
        </w:rPr>
        <w:t xml:space="preserve">literature reporting outcomes for </w:t>
      </w:r>
      <w:r w:rsidR="00F221C0">
        <w:rPr>
          <w:rFonts w:ascii="Calibri" w:eastAsia="Calibri" w:hAnsi="Calibri" w:cs="Calibri"/>
          <w:color w:val="000000" w:themeColor="text1"/>
        </w:rPr>
        <w:t xml:space="preserve">the clinical application of </w:t>
      </w:r>
      <w:proofErr w:type="spellStart"/>
      <w:r w:rsidR="00F221C0">
        <w:rPr>
          <w:rFonts w:ascii="Calibri" w:eastAsia="Calibri" w:hAnsi="Calibri" w:cs="Calibri"/>
          <w:color w:val="000000" w:themeColor="text1"/>
        </w:rPr>
        <w:t>RMF</w:t>
      </w:r>
      <w:proofErr w:type="spellEnd"/>
      <w:r w:rsidR="00F221C0">
        <w:rPr>
          <w:rFonts w:ascii="Calibri" w:eastAsia="Calibri" w:hAnsi="Calibri" w:cs="Calibri"/>
          <w:color w:val="000000" w:themeColor="text1"/>
        </w:rPr>
        <w:t xml:space="preserve"> </w:t>
      </w:r>
      <w:r w:rsidR="002D6926">
        <w:rPr>
          <w:rFonts w:ascii="Calibri" w:eastAsia="Calibri" w:hAnsi="Calibri" w:cs="Calibri"/>
          <w:color w:val="000000" w:themeColor="text1"/>
        </w:rPr>
        <w:t xml:space="preserve">orthoses </w:t>
      </w:r>
      <w:r w:rsidR="00F221C0">
        <w:rPr>
          <w:rFonts w:ascii="Calibri" w:eastAsia="Calibri" w:hAnsi="Calibri" w:cs="Calibri"/>
          <w:color w:val="000000" w:themeColor="text1"/>
        </w:rPr>
        <w:t>for this zone</w:t>
      </w:r>
      <w:r w:rsidR="00C70DED">
        <w:rPr>
          <w:rFonts w:ascii="Calibri" w:eastAsia="Calibri" w:hAnsi="Calibri" w:cs="Calibri"/>
          <w:color w:val="000000" w:themeColor="text1"/>
        </w:rPr>
        <w:t>.</w:t>
      </w:r>
      <w:r w:rsidR="000675CB">
        <w:rPr>
          <w:rFonts w:ascii="Calibri" w:eastAsia="Calibri" w:hAnsi="Calibri" w:cs="Calibri"/>
          <w:color w:val="000000" w:themeColor="text1"/>
        </w:rPr>
        <w:t xml:space="preserve"> </w:t>
      </w:r>
      <w:r w:rsidR="00A44E32">
        <w:rPr>
          <w:rFonts w:ascii="Calibri" w:eastAsia="Calibri" w:hAnsi="Calibri" w:cs="Calibri"/>
          <w:color w:val="000000" w:themeColor="text1"/>
        </w:rPr>
        <w:t>Concomitant injuries to the lumbrical</w:t>
      </w:r>
      <w:r w:rsidR="003A40C6">
        <w:rPr>
          <w:rFonts w:ascii="Calibri" w:eastAsia="Calibri" w:hAnsi="Calibri" w:cs="Calibri"/>
          <w:color w:val="000000" w:themeColor="text1"/>
        </w:rPr>
        <w:t>s</w:t>
      </w:r>
      <w:r w:rsidR="00A44E32">
        <w:rPr>
          <w:rFonts w:ascii="Calibri" w:eastAsia="Calibri" w:hAnsi="Calibri" w:cs="Calibri"/>
          <w:color w:val="000000" w:themeColor="text1"/>
        </w:rPr>
        <w:t xml:space="preserve"> and interossei muscles need to be considered in zone III</w:t>
      </w:r>
      <w:r w:rsidR="000675CB">
        <w:rPr>
          <w:rFonts w:ascii="Calibri" w:eastAsia="Calibri" w:hAnsi="Calibri" w:cs="Calibri"/>
          <w:color w:val="000000" w:themeColor="text1"/>
        </w:rPr>
        <w:t>, in particular relati</w:t>
      </w:r>
      <w:r w:rsidR="008A57E7">
        <w:rPr>
          <w:rFonts w:ascii="Calibri" w:eastAsia="Calibri" w:hAnsi="Calibri" w:cs="Calibri"/>
          <w:color w:val="000000" w:themeColor="text1"/>
        </w:rPr>
        <w:t>ng</w:t>
      </w:r>
      <w:r w:rsidR="000675CB">
        <w:rPr>
          <w:rFonts w:ascii="Calibri" w:eastAsia="Calibri" w:hAnsi="Calibri" w:cs="Calibri"/>
          <w:color w:val="000000" w:themeColor="text1"/>
        </w:rPr>
        <w:t xml:space="preserve"> to </w:t>
      </w:r>
      <w:proofErr w:type="spellStart"/>
      <w:r w:rsidR="008A57E7">
        <w:rPr>
          <w:rFonts w:ascii="Calibri" w:eastAsia="Calibri" w:hAnsi="Calibri" w:cs="Calibri"/>
          <w:color w:val="000000" w:themeColor="text1"/>
        </w:rPr>
        <w:t>MCP</w:t>
      </w:r>
      <w:proofErr w:type="spellEnd"/>
      <w:r w:rsidR="008A57E7">
        <w:rPr>
          <w:rFonts w:ascii="Calibri" w:eastAsia="Calibri" w:hAnsi="Calibri" w:cs="Calibri"/>
          <w:color w:val="000000" w:themeColor="text1"/>
        </w:rPr>
        <w:t xml:space="preserve"> joint position </w:t>
      </w:r>
      <w:r w:rsidR="00D516CB">
        <w:rPr>
          <w:rFonts w:ascii="Calibri" w:eastAsia="Calibri" w:hAnsi="Calibri" w:cs="Calibri"/>
          <w:color w:val="000000" w:themeColor="text1"/>
        </w:rPr>
        <w:fldChar w:fldCharType="begin" w:fldLock="1"/>
      </w:r>
      <w:r w:rsidR="002E1436">
        <w:rPr>
          <w:rFonts w:ascii="Calibri" w:eastAsia="Calibri" w:hAnsi="Calibri" w:cs="Calibri"/>
          <w:color w:val="000000" w:themeColor="text1"/>
        </w:rPr>
        <w:instrText>ADDIN CSL_CITATION {"citationItems":[{"id":"ITEM-1","itemData":{"DOI":"10.1016/j.jhsb.2004.10.014","ISSN":"02667681","PMID":"15757770","abstract":"We conducted laboratory tests to investigate the possibility of partly de-powering flexor digitorum profundus with a view of reducing flexion force during active flexor tendon rehabilitation. We constructed a splint and applied tapes to the proximal segments of fingers to test the hypothesis that holding three fingers more extended than the other finger would reduce the flexion strength of the more flexed finger. The splint allowed the metacarpophalangeal joint of the more flexed finger to be held in three positions of increasing flexion (15°, 30°, and 45°) compared to the remaining three fingers. We have called this 'differential splintage'. Healthy volunteers were tested for maximum active flexion strength at the different flexion angles. 'Differential splintage' of up to 45° resulted in mean decreased flexion strength of 28% in the index finger and 35% to 38% in the middle, ring and little fingers. The results suggest that \"differential splintage\" of a finger after flexor tendon repair may be useful in reducing tension across the repair during a program of active tendon rehabilitation and we feel that it has potential to reduce the incidence of repair rupture before healing is complete. © 2004 The British Society for Surgery of the Hand. Published by Elsecvier Ltd. All rights reserved.","author":[{"dropping-particle":"","family":"Savage","given":"Rob","non-dropping-particle":"","parse-names":false,"suffix":""},{"dropping-particle":"","family":"Pritchard","given":"M. G.","non-dropping-particle":"","parse-names":false,"suffix":""},{"dropping-particle":"","family":"Thomas","given":"M.","non-dropping-particle":"","parse-names":false,"suffix":""},{"dropping-particle":"","family":"Newcombe","given":"R. G.","non-dropping-particle":"","parse-names":false,"suffix":""}],"container-title":"Journal of Hand Surgery","id":"ITEM-1","issue":"2","issued":{"date-parts":[["2005"]]},"page":"168-174","title":"Differential splintage for flexor tendon rehabilitation: An experimental study of its effect on finger flexion strength","type":"article-journal","volume":"30"},"uris":["http://www.mendeley.com/documents/?uuid=a7b5c096-50b7-47c1-8f0f-ef1f71f14e0e"]}],"mendeley":{"formattedCitation":"(21)","plainTextFormattedCitation":"(21)","previouslyFormattedCitation":"(21)"},"properties":{"noteIndex":0},"schema":"https://github.com/citation-style-language/schema/raw/master/csl-citation.json"}</w:instrText>
      </w:r>
      <w:r w:rsidR="00D516CB">
        <w:rPr>
          <w:rFonts w:ascii="Calibri" w:eastAsia="Calibri" w:hAnsi="Calibri" w:cs="Calibri"/>
          <w:color w:val="000000" w:themeColor="text1"/>
        </w:rPr>
        <w:fldChar w:fldCharType="separate"/>
      </w:r>
      <w:r w:rsidR="002D5ADE" w:rsidRPr="002D5ADE">
        <w:rPr>
          <w:rFonts w:ascii="Calibri" w:eastAsia="Calibri" w:hAnsi="Calibri" w:cs="Calibri"/>
          <w:noProof/>
          <w:color w:val="000000" w:themeColor="text1"/>
        </w:rPr>
        <w:t>(21)</w:t>
      </w:r>
      <w:r w:rsidR="00D516CB">
        <w:rPr>
          <w:rFonts w:ascii="Calibri" w:eastAsia="Calibri" w:hAnsi="Calibri" w:cs="Calibri"/>
          <w:color w:val="000000" w:themeColor="text1"/>
        </w:rPr>
        <w:fldChar w:fldCharType="end"/>
      </w:r>
      <w:r w:rsidR="008A57E7">
        <w:rPr>
          <w:rFonts w:ascii="Calibri" w:eastAsia="Calibri" w:hAnsi="Calibri" w:cs="Calibri"/>
          <w:color w:val="000000" w:themeColor="text1"/>
        </w:rPr>
        <w:t xml:space="preserve">. </w:t>
      </w:r>
      <w:r w:rsidR="000A1D6B">
        <w:rPr>
          <w:rFonts w:ascii="Calibri" w:eastAsia="Calibri" w:hAnsi="Calibri" w:cs="Calibri"/>
          <w:color w:val="000000" w:themeColor="text1"/>
        </w:rPr>
        <w:t>In practice, hand therapist</w:t>
      </w:r>
      <w:r w:rsidR="00DD348B">
        <w:rPr>
          <w:rFonts w:ascii="Calibri" w:eastAsia="Calibri" w:hAnsi="Calibri" w:cs="Calibri"/>
          <w:color w:val="000000" w:themeColor="text1"/>
        </w:rPr>
        <w:t>s</w:t>
      </w:r>
      <w:r w:rsidR="000A1D6B">
        <w:rPr>
          <w:rFonts w:ascii="Calibri" w:eastAsia="Calibri" w:hAnsi="Calibri" w:cs="Calibri"/>
          <w:color w:val="000000" w:themeColor="text1"/>
        </w:rPr>
        <w:t xml:space="preserve"> may </w:t>
      </w:r>
      <w:r w:rsidR="00DD348B">
        <w:rPr>
          <w:rFonts w:ascii="Calibri" w:eastAsia="Calibri" w:hAnsi="Calibri" w:cs="Calibri"/>
          <w:color w:val="000000" w:themeColor="text1"/>
        </w:rPr>
        <w:t xml:space="preserve">be less concerned </w:t>
      </w:r>
      <w:r w:rsidR="00397048">
        <w:rPr>
          <w:rFonts w:ascii="Calibri" w:eastAsia="Calibri" w:hAnsi="Calibri" w:cs="Calibri"/>
          <w:color w:val="000000" w:themeColor="text1"/>
        </w:rPr>
        <w:t xml:space="preserve">with clinical </w:t>
      </w:r>
      <w:r w:rsidR="000A1D6B">
        <w:rPr>
          <w:rFonts w:ascii="Calibri" w:eastAsia="Calibri" w:hAnsi="Calibri" w:cs="Calibri"/>
          <w:color w:val="000000" w:themeColor="text1"/>
        </w:rPr>
        <w:t>outcomes following zone III repairs</w:t>
      </w:r>
      <w:r w:rsidR="00397048">
        <w:rPr>
          <w:rFonts w:ascii="Calibri" w:eastAsia="Calibri" w:hAnsi="Calibri" w:cs="Calibri"/>
          <w:color w:val="000000" w:themeColor="text1"/>
        </w:rPr>
        <w:t>, as anecdotally there appear to be fewer issues with tendon adhesions or joint contractures</w:t>
      </w:r>
      <w:r w:rsidR="00A15C7A">
        <w:rPr>
          <w:rFonts w:ascii="Calibri" w:eastAsia="Calibri" w:hAnsi="Calibri" w:cs="Calibri"/>
          <w:color w:val="000000" w:themeColor="text1"/>
        </w:rPr>
        <w:t xml:space="preserve"> </w:t>
      </w:r>
      <w:r w:rsidR="00F92259">
        <w:rPr>
          <w:rFonts w:ascii="Calibri" w:eastAsia="Calibri" w:hAnsi="Calibri" w:cs="Calibri"/>
          <w:color w:val="000000" w:themeColor="text1"/>
        </w:rPr>
        <w:fldChar w:fldCharType="begin" w:fldLock="1"/>
      </w:r>
      <w:r w:rsidR="0043414D">
        <w:rPr>
          <w:rFonts w:ascii="Calibri" w:eastAsia="Calibri" w:hAnsi="Calibri" w:cs="Calibri"/>
          <w:color w:val="000000" w:themeColor="text1"/>
        </w:rPr>
        <w:instrText>ADDIN CSL_CITATION {"citationItems":[{"id":"ITEM-1","itemData":{"author":[{"dropping-particle":"","family":"Tobler-Ammann","given":"B","non-dropping-particle":"","parse-names":false,"suffix":""},{"dropping-particle":"","family":"Beckmann-Fries","given":"V","non-dropping-particle":"","parse-names":false,"suffix":""},{"dropping-particle":"","family":"Calcagni","given":"M","non-dropping-particle":"","parse-names":false,"suffix":""},{"dropping-particle":"","family":"Kampfen","given":"A","non-dropping-particle":"","parse-names":false,"suffix":""},{"dropping-particle":"","family":"Schrepfer","given":"L","non-dropping-particle":"","parse-names":false,"suffix":""},{"dropping-particle":"","family":"Vogelin","given":"E","non-dropping-particle":"","parse-names":false,"suffix":""}],"container-title":"Journal of Hand Surgery [Eur]","id":"ITEM-1","issue":"Suppl 1","issued":{"date-parts":[["2022"]]},"page":"S64-65","title":"Outcomes after zone 3 primary finger flexor tendon repair: a retrospective matched case-control study with zone 2","type":"article-journal","volume":"47"},"uris":["http://www.mendeley.com/documents/?uuid=9bf1bfda-ef90-49a1-8332-5d506abaf708"]}],"mendeley":{"formattedCitation":"(32)","plainTextFormattedCitation":"(32)","previouslyFormattedCitation":"(32)"},"properties":{"noteIndex":0},"schema":"https://github.com/citation-style-language/schema/raw/master/csl-citation.json"}</w:instrText>
      </w:r>
      <w:r w:rsidR="00F92259">
        <w:rPr>
          <w:rFonts w:ascii="Calibri" w:eastAsia="Calibri" w:hAnsi="Calibri" w:cs="Calibri"/>
          <w:color w:val="000000" w:themeColor="text1"/>
        </w:rPr>
        <w:fldChar w:fldCharType="separate"/>
      </w:r>
      <w:r w:rsidR="00D06ED5" w:rsidRPr="00D06ED5">
        <w:rPr>
          <w:rFonts w:ascii="Calibri" w:eastAsia="Calibri" w:hAnsi="Calibri" w:cs="Calibri"/>
          <w:noProof/>
          <w:color w:val="000000" w:themeColor="text1"/>
        </w:rPr>
        <w:t>(32)</w:t>
      </w:r>
      <w:r w:rsidR="00F92259">
        <w:rPr>
          <w:rFonts w:ascii="Calibri" w:eastAsia="Calibri" w:hAnsi="Calibri" w:cs="Calibri"/>
          <w:color w:val="000000" w:themeColor="text1"/>
        </w:rPr>
        <w:fldChar w:fldCharType="end"/>
      </w:r>
      <w:r w:rsidR="00397048">
        <w:rPr>
          <w:rFonts w:ascii="Calibri" w:eastAsia="Calibri" w:hAnsi="Calibri" w:cs="Calibri"/>
          <w:color w:val="000000" w:themeColor="text1"/>
        </w:rPr>
        <w:t>. This may create less of a drive</w:t>
      </w:r>
      <w:r w:rsidR="000A1D6B">
        <w:rPr>
          <w:rFonts w:ascii="Calibri" w:eastAsia="Calibri" w:hAnsi="Calibri" w:cs="Calibri"/>
          <w:color w:val="000000" w:themeColor="text1"/>
        </w:rPr>
        <w:t xml:space="preserve"> to </w:t>
      </w:r>
      <w:r w:rsidR="00397048">
        <w:rPr>
          <w:rFonts w:ascii="Calibri" w:eastAsia="Calibri" w:hAnsi="Calibri" w:cs="Calibri"/>
          <w:color w:val="000000" w:themeColor="text1"/>
        </w:rPr>
        <w:t>explore</w:t>
      </w:r>
      <w:r w:rsidR="000A1D6B">
        <w:rPr>
          <w:rFonts w:ascii="Calibri" w:eastAsia="Calibri" w:hAnsi="Calibri" w:cs="Calibri"/>
          <w:color w:val="000000" w:themeColor="text1"/>
        </w:rPr>
        <w:t xml:space="preserve"> alternative rehabilitation strategies. </w:t>
      </w:r>
    </w:p>
    <w:p w14:paraId="6B3A8E91" w14:textId="407C4916" w:rsidR="0040407A" w:rsidRDefault="0040407A" w:rsidP="00950475">
      <w:pPr>
        <w:spacing w:line="480" w:lineRule="auto"/>
        <w:rPr>
          <w:rFonts w:ascii="Calibri" w:eastAsia="Calibri" w:hAnsi="Calibri" w:cs="Calibri"/>
          <w:color w:val="000000" w:themeColor="text1"/>
        </w:rPr>
      </w:pPr>
    </w:p>
    <w:p w14:paraId="57E7587B" w14:textId="605A4317" w:rsidR="002B30D3" w:rsidRPr="00FD52AF" w:rsidRDefault="00DD348B" w:rsidP="00950475">
      <w:pPr>
        <w:spacing w:line="480" w:lineRule="auto"/>
        <w:rPr>
          <w:rFonts w:ascii="Calibri" w:eastAsia="Calibri" w:hAnsi="Calibri" w:cs="Calibri"/>
          <w:color w:val="000000" w:themeColor="text1"/>
        </w:rPr>
      </w:pPr>
      <w:r>
        <w:rPr>
          <w:rFonts w:ascii="Calibri" w:eastAsia="Calibri" w:hAnsi="Calibri" w:cs="Calibri"/>
          <w:color w:val="000000" w:themeColor="text1"/>
        </w:rPr>
        <w:t xml:space="preserve">As alluded to above, </w:t>
      </w:r>
      <w:proofErr w:type="spellStart"/>
      <w:r w:rsidR="0040407A">
        <w:rPr>
          <w:rFonts w:ascii="Calibri" w:eastAsia="Calibri" w:hAnsi="Calibri" w:cs="Calibri"/>
          <w:color w:val="000000" w:themeColor="text1"/>
        </w:rPr>
        <w:t>RMF</w:t>
      </w:r>
      <w:proofErr w:type="spellEnd"/>
      <w:r w:rsidR="0040407A">
        <w:rPr>
          <w:rFonts w:ascii="Calibri" w:eastAsia="Calibri" w:hAnsi="Calibri" w:cs="Calibri"/>
          <w:color w:val="000000" w:themeColor="text1"/>
        </w:rPr>
        <w:t xml:space="preserve"> orthoses </w:t>
      </w:r>
      <w:r w:rsidR="008A57E7">
        <w:rPr>
          <w:rFonts w:ascii="Calibri" w:eastAsia="Calibri" w:hAnsi="Calibri" w:cs="Calibri"/>
          <w:color w:val="000000" w:themeColor="text1"/>
        </w:rPr>
        <w:t>may also be suitable for</w:t>
      </w:r>
      <w:r w:rsidR="0040407A">
        <w:rPr>
          <w:rFonts w:ascii="Calibri" w:eastAsia="Calibri" w:hAnsi="Calibri" w:cs="Calibri"/>
          <w:color w:val="000000" w:themeColor="text1"/>
        </w:rPr>
        <w:t xml:space="preserve"> rehabilitation of isolated </w:t>
      </w:r>
      <w:r>
        <w:rPr>
          <w:rFonts w:ascii="Calibri" w:eastAsia="Calibri" w:hAnsi="Calibri" w:cs="Calibri"/>
          <w:color w:val="000000" w:themeColor="text1"/>
        </w:rPr>
        <w:t xml:space="preserve">or combined </w:t>
      </w:r>
      <w:r w:rsidR="0040407A">
        <w:rPr>
          <w:rFonts w:ascii="Calibri" w:eastAsia="Calibri" w:hAnsi="Calibri" w:cs="Calibri"/>
          <w:color w:val="000000" w:themeColor="text1"/>
        </w:rPr>
        <w:t>flexor digitorum superficialis (FDS) repair</w:t>
      </w:r>
      <w:r w:rsidR="00DB10AA">
        <w:rPr>
          <w:rFonts w:ascii="Calibri" w:eastAsia="Calibri" w:hAnsi="Calibri" w:cs="Calibri"/>
          <w:color w:val="000000" w:themeColor="text1"/>
        </w:rPr>
        <w:t xml:space="preserve"> in zone II </w:t>
      </w:r>
      <w:r w:rsidR="005E6C73">
        <w:rPr>
          <w:rFonts w:ascii="Calibri" w:eastAsia="Calibri" w:hAnsi="Calibri" w:cs="Calibri"/>
          <w:color w:val="000000" w:themeColor="text1"/>
        </w:rPr>
        <w:t>or III</w:t>
      </w:r>
      <w:r w:rsidR="000A1D6B">
        <w:rPr>
          <w:rFonts w:ascii="Calibri" w:eastAsia="Calibri" w:hAnsi="Calibri" w:cs="Calibri"/>
          <w:color w:val="000000" w:themeColor="text1"/>
        </w:rPr>
        <w:t xml:space="preserve"> using the principles of co-contraction</w:t>
      </w:r>
      <w:r>
        <w:rPr>
          <w:rFonts w:ascii="Calibri" w:eastAsia="Calibri" w:hAnsi="Calibri" w:cs="Calibri"/>
          <w:color w:val="000000" w:themeColor="text1"/>
        </w:rPr>
        <w:t xml:space="preserve"> and</w:t>
      </w:r>
      <w:r w:rsidR="000A1D6B">
        <w:rPr>
          <w:rFonts w:ascii="Calibri" w:eastAsia="Calibri" w:hAnsi="Calibri" w:cs="Calibri"/>
          <w:color w:val="000000" w:themeColor="text1"/>
        </w:rPr>
        <w:t xml:space="preserve"> inhibition</w:t>
      </w:r>
      <w:r>
        <w:rPr>
          <w:rFonts w:ascii="Calibri" w:eastAsia="Calibri" w:hAnsi="Calibri" w:cs="Calibri"/>
          <w:color w:val="000000" w:themeColor="text1"/>
        </w:rPr>
        <w:t xml:space="preserve">. However, </w:t>
      </w:r>
      <w:r w:rsidR="00353F5E">
        <w:rPr>
          <w:rFonts w:ascii="Calibri" w:eastAsia="Calibri" w:hAnsi="Calibri" w:cs="Calibri"/>
          <w:color w:val="000000" w:themeColor="text1"/>
        </w:rPr>
        <w:t>t</w:t>
      </w:r>
      <w:r w:rsidR="00FD52AF">
        <w:rPr>
          <w:rFonts w:ascii="Calibri" w:eastAsia="Calibri" w:hAnsi="Calibri" w:cs="Calibri"/>
          <w:color w:val="000000" w:themeColor="text1"/>
        </w:rPr>
        <w:t xml:space="preserve">his is not something we have experience of using in practice and </w:t>
      </w:r>
      <w:r>
        <w:rPr>
          <w:rFonts w:ascii="Calibri" w:eastAsia="Calibri" w:hAnsi="Calibri" w:cs="Calibri"/>
          <w:color w:val="000000" w:themeColor="text1"/>
        </w:rPr>
        <w:t xml:space="preserve">we </w:t>
      </w:r>
      <w:r w:rsidR="00FD52AF">
        <w:rPr>
          <w:rFonts w:ascii="Calibri" w:eastAsia="Calibri" w:hAnsi="Calibri" w:cs="Calibri"/>
          <w:color w:val="000000" w:themeColor="text1"/>
        </w:rPr>
        <w:t xml:space="preserve">welcome further research to explore these potential applications. </w:t>
      </w:r>
    </w:p>
    <w:p w14:paraId="0860E6AA" w14:textId="77777777" w:rsidR="003F27D2" w:rsidRDefault="003F27D2" w:rsidP="00950475">
      <w:pPr>
        <w:spacing w:line="480" w:lineRule="auto"/>
        <w:rPr>
          <w:rFonts w:ascii="Calibri" w:eastAsia="Calibri" w:hAnsi="Calibri" w:cs="Calibri"/>
          <w:color w:val="00B050"/>
        </w:rPr>
      </w:pPr>
    </w:p>
    <w:p w14:paraId="2E7D67C7" w14:textId="7D1773AF" w:rsidR="00E64BDE" w:rsidRPr="00B20FF5" w:rsidRDefault="00E64BDE" w:rsidP="00950475">
      <w:pPr>
        <w:pStyle w:val="Heading3"/>
        <w:spacing w:line="480" w:lineRule="auto"/>
        <w:rPr>
          <w:rFonts w:ascii="Calibri Light" w:hAnsi="Calibri Light" w:cs="Calibri Light"/>
          <w:b w:val="0"/>
          <w:bCs/>
          <w:color w:val="244061" w:themeColor="accent1" w:themeShade="80"/>
          <w:sz w:val="24"/>
          <w:szCs w:val="24"/>
        </w:rPr>
      </w:pPr>
      <w:r w:rsidRPr="00B20FF5">
        <w:rPr>
          <w:rFonts w:ascii="Calibri Light" w:hAnsi="Calibri Light" w:cs="Calibri Light"/>
          <w:b w:val="0"/>
          <w:bCs/>
          <w:color w:val="244061" w:themeColor="accent1" w:themeShade="80"/>
          <w:sz w:val="24"/>
          <w:szCs w:val="24"/>
        </w:rPr>
        <w:t>Type of repair</w:t>
      </w:r>
    </w:p>
    <w:p w14:paraId="49634905" w14:textId="4BCB24C1" w:rsidR="00C754EE" w:rsidRDefault="00AC778C" w:rsidP="00950475">
      <w:pPr>
        <w:spacing w:line="480" w:lineRule="auto"/>
        <w:rPr>
          <w:rFonts w:ascii="Calibri" w:eastAsia="Calibri" w:hAnsi="Calibri" w:cs="Calibri"/>
          <w:color w:val="000000" w:themeColor="text1"/>
        </w:rPr>
      </w:pPr>
      <w:r>
        <w:rPr>
          <w:rFonts w:ascii="Calibri" w:eastAsia="Calibri" w:hAnsi="Calibri" w:cs="Calibri"/>
          <w:color w:val="000000" w:themeColor="text1"/>
        </w:rPr>
        <w:t>Flexor tendon r</w:t>
      </w:r>
      <w:r w:rsidR="00763C73" w:rsidRPr="00D516CB">
        <w:rPr>
          <w:rFonts w:ascii="Calibri" w:eastAsia="Calibri" w:hAnsi="Calibri" w:cs="Calibri"/>
          <w:color w:val="000000" w:themeColor="text1"/>
        </w:rPr>
        <w:t xml:space="preserve">epairs involving </w:t>
      </w:r>
      <w:r>
        <w:rPr>
          <w:rFonts w:ascii="Calibri" w:eastAsia="Calibri" w:hAnsi="Calibri" w:cs="Calibri"/>
          <w:color w:val="000000" w:themeColor="text1"/>
        </w:rPr>
        <w:t>four</w:t>
      </w:r>
      <w:r w:rsidR="00DF67CD">
        <w:rPr>
          <w:rFonts w:ascii="Calibri" w:eastAsia="Calibri" w:hAnsi="Calibri" w:cs="Calibri"/>
          <w:color w:val="000000" w:themeColor="text1"/>
        </w:rPr>
        <w:t>-</w:t>
      </w:r>
      <w:r w:rsidR="00763C73" w:rsidRPr="00D516CB">
        <w:rPr>
          <w:rFonts w:ascii="Calibri" w:eastAsia="Calibri" w:hAnsi="Calibri" w:cs="Calibri"/>
          <w:color w:val="000000" w:themeColor="text1"/>
        </w:rPr>
        <w:t xml:space="preserve"> or </w:t>
      </w:r>
      <w:r>
        <w:rPr>
          <w:rFonts w:ascii="Calibri" w:eastAsia="Calibri" w:hAnsi="Calibri" w:cs="Calibri"/>
          <w:color w:val="000000" w:themeColor="text1"/>
        </w:rPr>
        <w:t>six-</w:t>
      </w:r>
      <w:r w:rsidR="00763C73" w:rsidRPr="00D516CB">
        <w:rPr>
          <w:rFonts w:ascii="Calibri" w:eastAsia="Calibri" w:hAnsi="Calibri" w:cs="Calibri"/>
          <w:color w:val="000000" w:themeColor="text1"/>
        </w:rPr>
        <w:t>strand core sutures are</w:t>
      </w:r>
      <w:r w:rsidR="00B77585" w:rsidRPr="00D516CB">
        <w:rPr>
          <w:rFonts w:ascii="Calibri" w:eastAsia="Calibri" w:hAnsi="Calibri" w:cs="Calibri"/>
          <w:color w:val="000000" w:themeColor="text1"/>
        </w:rPr>
        <w:t xml:space="preserve"> widely</w:t>
      </w:r>
      <w:r w:rsidR="00763C73" w:rsidRPr="00D516CB">
        <w:rPr>
          <w:rFonts w:ascii="Calibri" w:eastAsia="Calibri" w:hAnsi="Calibri" w:cs="Calibri"/>
          <w:color w:val="000000" w:themeColor="text1"/>
        </w:rPr>
        <w:t xml:space="preserve"> recommended</w:t>
      </w:r>
      <w:r w:rsidR="00C248E8" w:rsidRPr="00D516CB">
        <w:rPr>
          <w:rFonts w:ascii="Calibri" w:eastAsia="Calibri" w:hAnsi="Calibri" w:cs="Calibri"/>
          <w:color w:val="000000" w:themeColor="text1"/>
        </w:rPr>
        <w:t xml:space="preserve"> for early active </w:t>
      </w:r>
      <w:r w:rsidR="00D516CB" w:rsidRPr="00D516CB">
        <w:rPr>
          <w:rFonts w:ascii="Calibri" w:eastAsia="Calibri" w:hAnsi="Calibri" w:cs="Calibri"/>
          <w:color w:val="000000" w:themeColor="text1"/>
        </w:rPr>
        <w:t>mobilization</w:t>
      </w:r>
      <w:r w:rsidR="00C248E8" w:rsidRPr="00D516CB">
        <w:rPr>
          <w:rFonts w:ascii="Calibri" w:eastAsia="Calibri" w:hAnsi="Calibri" w:cs="Calibri"/>
          <w:color w:val="000000" w:themeColor="text1"/>
        </w:rPr>
        <w:t xml:space="preserve"> </w:t>
      </w:r>
      <w:r w:rsidR="00763C73" w:rsidRPr="00D516CB">
        <w:rPr>
          <w:rFonts w:ascii="Calibri" w:eastAsia="Calibri" w:hAnsi="Calibri" w:cs="Calibri"/>
          <w:color w:val="000000" w:themeColor="text1"/>
        </w:rPr>
        <w:t xml:space="preserve">rehabilitation </w:t>
      </w:r>
      <w:r w:rsidR="00C248E8" w:rsidRPr="00D516CB">
        <w:rPr>
          <w:rFonts w:ascii="Calibri" w:eastAsia="Calibri" w:hAnsi="Calibri" w:cs="Calibri"/>
          <w:color w:val="000000" w:themeColor="text1"/>
        </w:rPr>
        <w:fldChar w:fldCharType="begin" w:fldLock="1"/>
      </w:r>
      <w:r w:rsidR="00A50831">
        <w:rPr>
          <w:rFonts w:ascii="Calibri" w:eastAsia="Calibri" w:hAnsi="Calibri" w:cs="Calibri"/>
          <w:color w:val="000000" w:themeColor="text1"/>
        </w:rPr>
        <w:instrText>ADDIN CSL_CITATION {"citationItems":[{"id":"ITEM-1","itemData":{"DOI":"10.1097/GOX.0000000000003432","ISBN":"0000000000","ISSN":"21697574","abstract":"Recently, better outcomes have been reported when up-to-date developments in flexor tendon surgery and therapy were followed. Slightly tensioned multistrand repairs, judicious venting of pulleys, and early active motion are widely accepted principles. In addition to these principles, tailoring of the repair according to intraoperative active movement with wide awake local anesthesia no tourniquet (WALANT) surgical setting is recommended for better results. We aimed to describe our up-to-date approach to flexor tendon surgery and therapy with the help of visual communication tools of this age. The ideal primary repair of flexor tendons, the management of delayed presentation flexor tendon injuries, the key steps to achieve better results with flexor tendon therapy, and the tele-rehabilitation experience during COVID-19 pandemic will be highlighted. Zone 2 flexor tendon injuries are the most demanding part and will be focused on.","author":[{"dropping-particle":"","family":"Ayhan","given":"Egemen","non-dropping-particle":"","parse-names":false,"suffix":""},{"dropping-particle":"","family":"Tuna","given":"Zeynep","non-dropping-particle":"","parse-names":false,"suffix":""},{"dropping-particle":"","family":"Oksuz","given":"Cigdem","non-dropping-particle":"","parse-names":false,"suffix":""}],"container-title":"Plastic and Reconstructive Surgery - Global Open","id":"ITEM-1","issued":{"date-parts":[["2021"]]},"page":"e3432","title":"Getting better results in flexor tendon surgery and therapy","type":"article-journal","volume":"9"},"uris":["http://www.mendeley.com/documents/?uuid=ffd74cd7-8f18-4547-a01b-d86afb9d7b16"]},{"id":"ITEM-2","itemData":{"URL":"https://www.bssh.ac.uk/_userfiles/pages/files/professionals/Trauma standards/3 Flexor tendon final.pdf","accessed":{"date-parts":[["2021","10","12"]]},"author":[{"dropping-particle":"","family":"British Society for Surgery of the Hand","given":"","non-dropping-particle":"","parse-names":false,"suffix":""}],"id":"ITEM-2","issued":{"date-parts":[["2014"]]},"title":"Lacerations with flexor tendon involvement","type":"webpage"},"uris":["http://www.mendeley.com/documents/?uuid=0f952970-fc68-4923-b54b-57425c4aa19e"]},{"id":"ITEM-3","itemData":{"DOI":"10.1177/1753193418773008","ISSN":"20436289","PMID":"29690810","abstract":"This article reviews some recent advancements in repair and rehabilitation of the flexor tendons. These include placing sparse or no peripheral suture when the core suture is strong and sufficiently tensioned, allowing the repair site to be slightly bulky, aggressively releasing the pulleys (including the entire A2 pulley or both the A3 and A4 pulleys when necessary), placing a shorter splint with less restricted wrist positioning, and allowing out-of-splint active motion. The reported outcomes have been favourable with few or no repair ruptures and no function-disturbing tendon bowstringing. These changes favour easier surgeries. The recent reports have cause to re-evaluate long-held guidelines of a non-bulky repair site and the necessity of a standard peripheral suture. Emerging understanding posits that minor clinically noticeable tendon bowstringing does not affect hand function, and that free wrist positioning and out-of-splint motion are safe when strong surgical repairs are used and the pulleys are properly released.","author":[{"dropping-particle":"","family":"Tang","given":"Jin Bo","non-dropping-particle":"","parse-names":false,"suffix":""}],"container-title":"Journal of Hand Surgery [Eur]","id":"ITEM-3","issue":"5","issued":{"date-parts":[["2018"]]},"page":"469-473","title":"Recent evolutions in flexor tendon repairs and rehabilitation","type":"article-journal","volume":"43"},"uris":["http://www.mendeley.com/documents/?uuid=f567fb44-ebc9-42ca-a3ee-dfee3297aa3c"]}],"mendeley":{"formattedCitation":"(33–35)","plainTextFormattedCitation":"(33–35)","previouslyFormattedCitation":"(33–35)"},"properties":{"noteIndex":0},"schema":"https://github.com/citation-style-language/schema/raw/master/csl-citation.json"}</w:instrText>
      </w:r>
      <w:r w:rsidR="00C248E8" w:rsidRPr="00D516CB">
        <w:rPr>
          <w:rFonts w:ascii="Calibri" w:eastAsia="Calibri" w:hAnsi="Calibri" w:cs="Calibri"/>
          <w:color w:val="000000" w:themeColor="text1"/>
        </w:rPr>
        <w:fldChar w:fldCharType="separate"/>
      </w:r>
      <w:r w:rsidR="00D06ED5" w:rsidRPr="00D06ED5">
        <w:rPr>
          <w:rFonts w:ascii="Calibri" w:eastAsia="Calibri" w:hAnsi="Calibri" w:cs="Calibri"/>
          <w:noProof/>
          <w:color w:val="000000" w:themeColor="text1"/>
        </w:rPr>
        <w:t>(33–35)</w:t>
      </w:r>
      <w:r w:rsidR="00C248E8" w:rsidRPr="00D516CB">
        <w:rPr>
          <w:rFonts w:ascii="Calibri" w:eastAsia="Calibri" w:hAnsi="Calibri" w:cs="Calibri"/>
          <w:color w:val="000000" w:themeColor="text1"/>
        </w:rPr>
        <w:fldChar w:fldCharType="end"/>
      </w:r>
      <w:r w:rsidR="00763C73" w:rsidRPr="00D516CB">
        <w:rPr>
          <w:rFonts w:ascii="Calibri" w:eastAsia="Calibri" w:hAnsi="Calibri" w:cs="Calibri"/>
          <w:color w:val="000000" w:themeColor="text1"/>
        </w:rPr>
        <w:t xml:space="preserve">. Four-strand repairs were used </w:t>
      </w:r>
      <w:r w:rsidR="00805FBB">
        <w:rPr>
          <w:rFonts w:ascii="Calibri" w:eastAsia="Calibri" w:hAnsi="Calibri" w:cs="Calibri"/>
          <w:color w:val="000000" w:themeColor="text1"/>
        </w:rPr>
        <w:t xml:space="preserve">in the </w:t>
      </w:r>
      <w:r w:rsidR="00805FBB">
        <w:rPr>
          <w:rFonts w:ascii="Calibri" w:eastAsia="Calibri" w:hAnsi="Calibri" w:cs="Calibri"/>
          <w:color w:val="000000" w:themeColor="text1"/>
        </w:rPr>
        <w:lastRenderedPageBreak/>
        <w:t xml:space="preserve">existing </w:t>
      </w:r>
      <w:proofErr w:type="spellStart"/>
      <w:r w:rsidR="00805FBB">
        <w:rPr>
          <w:rFonts w:ascii="Calibri" w:eastAsia="Calibri" w:hAnsi="Calibri" w:cs="Calibri"/>
          <w:color w:val="000000" w:themeColor="text1"/>
        </w:rPr>
        <w:t>RMF</w:t>
      </w:r>
      <w:proofErr w:type="spellEnd"/>
      <w:r w:rsidR="00805FBB">
        <w:rPr>
          <w:rFonts w:ascii="Calibri" w:eastAsia="Calibri" w:hAnsi="Calibri" w:cs="Calibri"/>
          <w:color w:val="000000" w:themeColor="text1"/>
        </w:rPr>
        <w:t xml:space="preserve"> studies </w:t>
      </w:r>
      <w:r w:rsidR="00805FBB">
        <w:rPr>
          <w:rFonts w:ascii="Calibri" w:eastAsia="Calibri" w:hAnsi="Calibri" w:cs="Calibri"/>
          <w:color w:val="000000" w:themeColor="text1"/>
        </w:rPr>
        <w:fldChar w:fldCharType="begin" w:fldLock="1"/>
      </w:r>
      <w:r w:rsidR="0043414D">
        <w:rPr>
          <w:rFonts w:ascii="Calibri" w:eastAsia="Calibri" w:hAnsi="Calibri" w:cs="Calibri"/>
          <w:color w:val="000000" w:themeColor="text1"/>
        </w:rPr>
        <w:instrText>ADDIN CSL_CITATION {"citationItems":[{"id":"ITEM-1","itemData":{"DOI":"10.1016/j.jht.2019.05.002","ISSN":"0894-1130","author":[{"dropping-particle":"","family":"Henry","given":"Steven L","non-dropping-particle":"","parse-names":false,"suffix":""},{"dropping-particle":"","family":"Howell","given":"Julianne W","non-dropping-particle":"","parse-names":false,"suffix":""}],"container-title":"Journal of Hand Therapy","id":"ITEM-1","issue":"3","issued":{"date-parts":[["2020"]]},"page":"296-304","publisher":"Elsevier Inc","title":"Use of a relative motion flexion orthosis for postoperative management of zone I/II flexor digitorum profundus repair: A retrospective consecutive case series","type":"article-journal","volume":"33"},"uris":["http://www.mendeley.com/documents/?uuid=8cf4242d-792a-4604-a722-3df7e36780c9"]},{"id":"ITEM-2","itemData":{"DOI":"10.1080/09593985.2022.2073574","author":[{"dropping-particle":"","family":"Öksüz","given":"Çiğdem","non-dropping-particle":"","parse-names":false,"suffix":""},{"dropping-particle":"","family":"Arslan","given":"Özge Buket","non-dropping-particle":"","parse-names":false,"suffix":""},{"dropping-particle":"","family":"Baş","given":"Can Emre","non-dropping-particle":"","parse-names":false,"suffix":""},{"dropping-particle":"","family":"Ayhan","given":"Egemen","non-dropping-particle":"","parse-names":false,"suffix":""}],"container-title":"Physiotherapy Theory and Practice","id":"ITEM-2","issued":{"date-parts":[["2022"]]},"page":"DOI:10.1080/09593985.2022.2073574","publisher":"Taylor &amp; Francis","title":"Early active movement with relative motion flexion splint for the management of zone 1-2 flexor tendon repairs: Case series","type":"article-journal","volume":"Online"},"uris":["http://www.mendeley.com/documents/?uuid=43f249d0-02d1-47b4-8e03-3521fb1925c0"]}],"mendeley":{"formattedCitation":"(8,10)","plainTextFormattedCitation":"(8,10)","previouslyFormattedCitation":"(8,10)"},"properties":{"noteIndex":0},"schema":"https://github.com/citation-style-language/schema/raw/master/csl-citation.json"}</w:instrText>
      </w:r>
      <w:r w:rsidR="00805FBB">
        <w:rPr>
          <w:rFonts w:ascii="Calibri" w:eastAsia="Calibri" w:hAnsi="Calibri" w:cs="Calibri"/>
          <w:color w:val="000000" w:themeColor="text1"/>
        </w:rPr>
        <w:fldChar w:fldCharType="separate"/>
      </w:r>
      <w:r w:rsidR="004D5BB1" w:rsidRPr="004D5BB1">
        <w:rPr>
          <w:rFonts w:ascii="Calibri" w:eastAsia="Calibri" w:hAnsi="Calibri" w:cs="Calibri"/>
          <w:noProof/>
          <w:color w:val="000000" w:themeColor="text1"/>
        </w:rPr>
        <w:t>(8,10)</w:t>
      </w:r>
      <w:r w:rsidR="00805FBB">
        <w:rPr>
          <w:rFonts w:ascii="Calibri" w:eastAsia="Calibri" w:hAnsi="Calibri" w:cs="Calibri"/>
          <w:color w:val="000000" w:themeColor="text1"/>
        </w:rPr>
        <w:fldChar w:fldCharType="end"/>
      </w:r>
      <w:r w:rsidR="00805FBB">
        <w:rPr>
          <w:rFonts w:ascii="Calibri" w:eastAsia="Calibri" w:hAnsi="Calibri" w:cs="Calibri"/>
          <w:color w:val="000000" w:themeColor="text1"/>
        </w:rPr>
        <w:t xml:space="preserve"> and were a requirement </w:t>
      </w:r>
      <w:r w:rsidR="009901EB">
        <w:rPr>
          <w:rFonts w:ascii="Calibri" w:eastAsia="Calibri" w:hAnsi="Calibri" w:cs="Calibri"/>
          <w:color w:val="000000" w:themeColor="text1"/>
        </w:rPr>
        <w:t xml:space="preserve">in the identified </w:t>
      </w:r>
      <w:proofErr w:type="spellStart"/>
      <w:r w:rsidR="009901EB">
        <w:rPr>
          <w:rFonts w:ascii="Calibri" w:eastAsia="Calibri" w:hAnsi="Calibri" w:cs="Calibri"/>
          <w:color w:val="000000" w:themeColor="text1"/>
        </w:rPr>
        <w:t>RMF</w:t>
      </w:r>
      <w:proofErr w:type="spellEnd"/>
      <w:r w:rsidR="009901EB">
        <w:rPr>
          <w:rFonts w:ascii="Calibri" w:eastAsia="Calibri" w:hAnsi="Calibri" w:cs="Calibri"/>
          <w:color w:val="000000" w:themeColor="text1"/>
        </w:rPr>
        <w:t xml:space="preserve"> treatment guideline </w:t>
      </w:r>
      <w:r w:rsidR="00805FBB">
        <w:rPr>
          <w:rFonts w:ascii="Calibri" w:eastAsia="Calibri" w:hAnsi="Calibri" w:cs="Calibri"/>
          <w:color w:val="000000" w:themeColor="text1"/>
        </w:rPr>
        <w:fldChar w:fldCharType="begin" w:fldLock="1"/>
      </w:r>
      <w:r w:rsidR="002E1436">
        <w:rPr>
          <w:rFonts w:ascii="Calibri" w:eastAsia="Calibri" w:hAnsi="Calibri" w:cs="Calibri"/>
          <w:color w:val="000000" w:themeColor="text1"/>
        </w:rPr>
        <w:instrText>ADDIN CSL_CITATION {"citationItems":[{"id":"ITEM-1","itemData":{"DOI":"10.1177/17589983221089654","ISSN":"1758-9983","author":[{"dropping-particle":"","family":"Newington","given":"Lisa","non-dropping-particle":"","parse-names":false,"suffix":""},{"dropping-particle":"","family":"Lane","given":"Jennifer CE","non-dropping-particle":"","parse-names":false,"suffix":""},{"dropping-particle":"","family":"Holmes","given":"David GW","non-dropping-particle":"","parse-names":false,"suffix":""},{"dropping-particle":"","family":"Gardiner","given":"Matthew D","non-dropping-particle":"","parse-names":false,"suffix":""}],"container-title":"Hand Therapy","id":"ITEM-1","issue":"2","issued":{"date-parts":[["2022"]]},"page":"49-57","title":"Variation in patient information and rehabilitation regimens after flexor tendon repair in the United Kingdom","type":"article-journal","volume":"27"},"uris":["http://www.mendeley.com/documents/?uuid=b9b7ccd9-6e63-4996-a1c9-267b01ae6bd6"]}],"mendeley":{"formattedCitation":"(20)","plainTextFormattedCitation":"(20)","previouslyFormattedCitation":"(20)"},"properties":{"noteIndex":0},"schema":"https://github.com/citation-style-language/schema/raw/master/csl-citation.json"}</w:instrText>
      </w:r>
      <w:r w:rsidR="00805FBB">
        <w:rPr>
          <w:rFonts w:ascii="Calibri" w:eastAsia="Calibri" w:hAnsi="Calibri" w:cs="Calibri"/>
          <w:color w:val="000000" w:themeColor="text1"/>
        </w:rPr>
        <w:fldChar w:fldCharType="separate"/>
      </w:r>
      <w:r w:rsidR="002D5ADE" w:rsidRPr="002D5ADE">
        <w:rPr>
          <w:rFonts w:ascii="Calibri" w:eastAsia="Calibri" w:hAnsi="Calibri" w:cs="Calibri"/>
          <w:noProof/>
          <w:color w:val="000000" w:themeColor="text1"/>
        </w:rPr>
        <w:t>(20)</w:t>
      </w:r>
      <w:r w:rsidR="00805FBB">
        <w:rPr>
          <w:rFonts w:ascii="Calibri" w:eastAsia="Calibri" w:hAnsi="Calibri" w:cs="Calibri"/>
          <w:color w:val="000000" w:themeColor="text1"/>
        </w:rPr>
        <w:fldChar w:fldCharType="end"/>
      </w:r>
      <w:r w:rsidR="00805FBB">
        <w:rPr>
          <w:rFonts w:ascii="Calibri" w:eastAsia="Calibri" w:hAnsi="Calibri" w:cs="Calibri"/>
          <w:color w:val="000000" w:themeColor="text1"/>
        </w:rPr>
        <w:t>.</w:t>
      </w:r>
      <w:r w:rsidR="009901EB">
        <w:rPr>
          <w:rFonts w:ascii="Calibri" w:eastAsia="Calibri" w:hAnsi="Calibri" w:cs="Calibri"/>
          <w:color w:val="000000" w:themeColor="text1"/>
        </w:rPr>
        <w:t xml:space="preserve"> </w:t>
      </w:r>
      <w:r w:rsidR="007117A0">
        <w:rPr>
          <w:rFonts w:ascii="Calibri" w:eastAsia="Calibri" w:hAnsi="Calibri" w:cs="Calibri"/>
          <w:color w:val="000000" w:themeColor="text1"/>
        </w:rPr>
        <w:t xml:space="preserve">Four-strand repairs were also used in the initial evaluation of the Manchester short splint </w:t>
      </w:r>
      <w:r w:rsidR="007117A0">
        <w:rPr>
          <w:rFonts w:ascii="Calibri" w:eastAsia="Calibri" w:hAnsi="Calibri" w:cs="Calibri"/>
          <w:color w:val="000000" w:themeColor="text1"/>
        </w:rPr>
        <w:fldChar w:fldCharType="begin" w:fldLock="1"/>
      </w:r>
      <w:r w:rsidR="002E1436">
        <w:rPr>
          <w:rFonts w:ascii="Calibri" w:eastAsia="Calibri" w:hAnsi="Calibri" w:cs="Calibri"/>
          <w:color w:val="000000" w:themeColor="text1"/>
        </w:rPr>
        <w:instrText>ADDIN CSL_CITATION {"citationItems":[{"id":"ITEM-1","itemData":{"DOI":"10.1177/1758998314533306","ISSN":"17589991","abstract":"Introduction: The results of patients with primary zone II flexor tendon repairs rehabilitated using a traditional forearm-based splint were audited and compared with those who were managed in the Manchester short splint. Method: The short splint was fabricated to permit maximal wrist flexion and up to 45° of wrist extension with a block to 30° of metacarpophalangeal joint extension. A rehabilitation regimen consisting of early combined passive flexion exercises and active motion was employed. In 2011, 62 patients (76 digits) with a mean age of 34 years (range 14–58) were rehabilitated using the forearm-based splint (group A). In 2012, 40 patients (45 digits) with a mean age of 31 years (range 15–71) were rehabilitated using the Manchester short splint (group B). Results: Group B had significantly less flexion contracture at their proximal interphalangeal joints than group A at 6 weeks (median 15° versus 28°; p=0.003) and 12 weeks (median 6° versus 18°; p=0.024) postoperatively. At the final review, group B had a significantly greater arc of flexion at their distal interphalangeal joints (median 59° versus 30°; p&lt;0.001) and a greater proportion of patients with excellent/good Strickland’s grades. There were three (3.9%) ruptures in group A and two (4.4%) ruptures in group B (p&gt;0.999). Conclusion: The use of a shorter splint would appear to enhance the outcomes whilst preserving repair integrity.","author":[{"dropping-particle":"","family":"Peck","given":"F. H.","non-dropping-particle":"","parse-names":false,"suffix":""},{"dropping-particle":"","family":"Roe","given":"A. E.","non-dropping-particle":"","parse-names":false,"suffix":""},{"dropping-particle":"","family":"Ng","given":"C. Y.","non-dropping-particle":"","parse-names":false,"suffix":""},{"dropping-particle":"","family":"Duff","given":"C.","non-dropping-particle":"","parse-names":false,"suffix":""},{"dropping-particle":"","family":"McGrouther","given":"D. A.","non-dropping-particle":"","parse-names":false,"suffix":""},{"dropping-particle":"","family":"Lees","given":"V. C.","non-dropping-particle":"","parse-names":false,"suffix":""}],"container-title":"Hand Therapy","id":"ITEM-1","issue":"2","issued":{"date-parts":[["2014"]]},"page":"47-53","title":"The Manchester short splint: A change to splinting practice in the rehabilitation of zone II flexor tendon repairs","type":"article-journal","volume":"19"},"uris":["http://www.mendeley.com/documents/?uuid=1569637a-93e3-42dc-b7a3-4ce4e7c7ac9c"]}],"mendeley":{"formattedCitation":"(17)","plainTextFormattedCitation":"(17)","previouslyFormattedCitation":"(17)"},"properties":{"noteIndex":0},"schema":"https://github.com/citation-style-language/schema/raw/master/csl-citation.json"}</w:instrText>
      </w:r>
      <w:r w:rsidR="007117A0">
        <w:rPr>
          <w:rFonts w:ascii="Calibri" w:eastAsia="Calibri" w:hAnsi="Calibri" w:cs="Calibri"/>
          <w:color w:val="000000" w:themeColor="text1"/>
        </w:rPr>
        <w:fldChar w:fldCharType="separate"/>
      </w:r>
      <w:r w:rsidR="002D5ADE" w:rsidRPr="002D5ADE">
        <w:rPr>
          <w:rFonts w:ascii="Calibri" w:eastAsia="Calibri" w:hAnsi="Calibri" w:cs="Calibri"/>
          <w:noProof/>
          <w:color w:val="000000" w:themeColor="text1"/>
        </w:rPr>
        <w:t>(17)</w:t>
      </w:r>
      <w:r w:rsidR="007117A0">
        <w:rPr>
          <w:rFonts w:ascii="Calibri" w:eastAsia="Calibri" w:hAnsi="Calibri" w:cs="Calibri"/>
          <w:color w:val="000000" w:themeColor="text1"/>
        </w:rPr>
        <w:fldChar w:fldCharType="end"/>
      </w:r>
      <w:r w:rsidR="00BA4221">
        <w:rPr>
          <w:rFonts w:ascii="Calibri" w:eastAsia="Calibri" w:hAnsi="Calibri" w:cs="Calibri"/>
          <w:color w:val="000000" w:themeColor="text1"/>
        </w:rPr>
        <w:t xml:space="preserve">. </w:t>
      </w:r>
      <w:r w:rsidR="009417B9">
        <w:rPr>
          <w:rFonts w:ascii="Calibri" w:eastAsia="Calibri" w:hAnsi="Calibri" w:cs="Calibri"/>
          <w:color w:val="000000" w:themeColor="text1"/>
        </w:rPr>
        <w:t>The</w:t>
      </w:r>
      <w:r w:rsidR="000A1D6B">
        <w:rPr>
          <w:rFonts w:ascii="Calibri" w:eastAsia="Calibri" w:hAnsi="Calibri" w:cs="Calibri"/>
          <w:color w:val="000000" w:themeColor="text1"/>
        </w:rPr>
        <w:t xml:space="preserve">se </w:t>
      </w:r>
      <w:r w:rsidR="006B2FD8">
        <w:rPr>
          <w:rFonts w:ascii="Calibri" w:eastAsia="Calibri" w:hAnsi="Calibri" w:cs="Calibri"/>
          <w:color w:val="000000" w:themeColor="text1"/>
        </w:rPr>
        <w:t>rehabilitation</w:t>
      </w:r>
      <w:r w:rsidR="009417B9">
        <w:rPr>
          <w:rFonts w:ascii="Calibri" w:eastAsia="Calibri" w:hAnsi="Calibri" w:cs="Calibri"/>
          <w:color w:val="000000" w:themeColor="text1"/>
        </w:rPr>
        <w:t xml:space="preserve"> programs all included early functional hand use and reported no issues with tendon rupture </w:t>
      </w:r>
      <w:r w:rsidR="009417B9">
        <w:rPr>
          <w:rFonts w:ascii="Calibri" w:eastAsia="Calibri" w:hAnsi="Calibri" w:cs="Calibri"/>
          <w:color w:val="000000" w:themeColor="text1"/>
        </w:rPr>
        <w:fldChar w:fldCharType="begin" w:fldLock="1"/>
      </w:r>
      <w:r w:rsidR="0043414D">
        <w:rPr>
          <w:rFonts w:ascii="Calibri" w:eastAsia="Calibri" w:hAnsi="Calibri" w:cs="Calibri"/>
          <w:color w:val="000000" w:themeColor="text1"/>
        </w:rPr>
        <w:instrText>ADDIN CSL_CITATION {"citationItems":[{"id":"ITEM-1","itemData":{"DOI":"10.1016/j.jht.2019.05.002","ISSN":"0894-1130","author":[{"dropping-particle":"","family":"Henry","given":"Steven L","non-dropping-particle":"","parse-names":false,"suffix":""},{"dropping-particle":"","family":"Howell","given":"Julianne W","non-dropping-particle":"","parse-names":false,"suffix":""}],"container-title":"Journal of Hand Therapy","id":"ITEM-1","issue":"3","issued":{"date-parts":[["2020"]]},"page":"296-304","publisher":"Elsevier Inc","title":"Use of a relative motion flexion orthosis for postoperative management of zone I/II flexor digitorum profundus repair: A retrospective consecutive case series","type":"article-journal","volume":"33"},"uris":["http://www.mendeley.com/documents/?uuid=8cf4242d-792a-4604-a722-3df7e36780c9"]},{"id":"ITEM-2","itemData":{"DOI":"10.1080/09593985.2022.2073574","author":[{"dropping-particle":"","family":"Öksüz","given":"Çiğdem","non-dropping-particle":"","parse-names":false,"suffix":""},{"dropping-particle":"","family":"Arslan","given":"Özge Buket","non-dropping-particle":"","parse-names":false,"suffix":""},{"dropping-particle":"","family":"Baş","given":"Can Emre","non-dropping-particle":"","parse-names":false,"suffix":""},{"dropping-particle":"","family":"Ayhan","given":"Egemen","non-dropping-particle":"","parse-names":false,"suffix":""}],"container-title":"Physiotherapy Theory and Practice","id":"ITEM-2","issued":{"date-parts":[["2022"]]},"page":"DOI:10.1080/09593985.2022.2073574","publisher":"Taylor &amp; Francis","title":"Early active movement with relative motion flexion splint for the management of zone 1-2 flexor tendon repairs: Case series","type":"article-journal","volume":"Online"},"uris":["http://www.mendeley.com/documents/?uuid=43f249d0-02d1-47b4-8e03-3521fb1925c0"]},{"id":"ITEM-3","itemData":{"DOI":"10.1177/1758998314533306","ISSN":"17589991","abstract":"Introduction: The results of patients with primary zone II flexor tendon repairs rehabilitated using a traditional forearm-based splint were audited and compared with those who were managed in the Manchester short splint. Method: The short splint was fabricated to permit maximal wrist flexion and up to 45° of wrist extension with a block to 30° of metacarpophalangeal joint extension. A rehabilitation regimen consisting of early combined passive flexion exercises and active motion was employed. In 2011, 62 patients (76 digits) with a mean age of 34 years (range 14–58) were rehabilitated using the forearm-based splint (group A). In 2012, 40 patients (45 digits) with a mean age of 31 years (range 15–71) were rehabilitated using the Manchester short splint (group B). Results: Group B had significantly less flexion contracture at their proximal interphalangeal joints than group A at 6 weeks (median 15° versus 28°; p=0.003) and 12 weeks (median 6° versus 18°; p=0.024) postoperatively. At the final review, group B had a significantly greater arc of flexion at their distal interphalangeal joints (median 59° versus 30°; p&lt;0.001) and a greater proportion of patients with excellent/good Strickland’s grades. There were three (3.9%) ruptures in group A and two (4.4%) ruptures in group B (p&gt;0.999). Conclusion: The use of a shorter splint would appear to enhance the outcomes whilst preserving repair integrity.","author":[{"dropping-particle":"","family":"Peck","given":"F. H.","non-dropping-particle":"","parse-names":false,"suffix":""},{"dropping-particle":"","family":"Roe","given":"A. E.","non-dropping-particle":"","parse-names":false,"suffix":""},{"dropping-particle":"","family":"Ng","given":"C. Y.","non-dropping-particle":"","parse-names":false,"suffix":""},{"dropping-particle":"","family":"Duff","given":"C.","non-dropping-particle":"","parse-names":false,"suffix":""},{"dropping-particle":"","family":"McGrouther","given":"D. A.","non-dropping-particle":"","parse-names":false,"suffix":""},{"dropping-particle":"","family":"Lees","given":"V. C.","non-dropping-particle":"","parse-names":false,"suffix":""}],"container-title":"Hand Therapy","id":"ITEM-3","issue":"2","issued":{"date-parts":[["2014"]]},"page":"47-53","title":"The Manchester short splint: A change to splinting practice in the rehabilitation of zone II flexor tendon repairs","type":"article-journal","volume":"19"},"uris":["http://www.mendeley.com/documents/?uuid=1569637a-93e3-42dc-b7a3-4ce4e7c7ac9c"]}],"mendeley":{"formattedCitation":"(8,10,17)","plainTextFormattedCitation":"(8,10,17)","previouslyFormattedCitation":"(8,10,17)"},"properties":{"noteIndex":0},"schema":"https://github.com/citation-style-language/schema/raw/master/csl-citation.json"}</w:instrText>
      </w:r>
      <w:r w:rsidR="009417B9">
        <w:rPr>
          <w:rFonts w:ascii="Calibri" w:eastAsia="Calibri" w:hAnsi="Calibri" w:cs="Calibri"/>
          <w:color w:val="000000" w:themeColor="text1"/>
        </w:rPr>
        <w:fldChar w:fldCharType="separate"/>
      </w:r>
      <w:r w:rsidR="002D5ADE" w:rsidRPr="002D5ADE">
        <w:rPr>
          <w:rFonts w:ascii="Calibri" w:eastAsia="Calibri" w:hAnsi="Calibri" w:cs="Calibri"/>
          <w:noProof/>
          <w:color w:val="000000" w:themeColor="text1"/>
        </w:rPr>
        <w:t>(8,10,17)</w:t>
      </w:r>
      <w:r w:rsidR="009417B9">
        <w:rPr>
          <w:rFonts w:ascii="Calibri" w:eastAsia="Calibri" w:hAnsi="Calibri" w:cs="Calibri"/>
          <w:color w:val="000000" w:themeColor="text1"/>
        </w:rPr>
        <w:fldChar w:fldCharType="end"/>
      </w:r>
      <w:r w:rsidR="009417B9">
        <w:rPr>
          <w:rFonts w:ascii="Calibri" w:eastAsia="Calibri" w:hAnsi="Calibri" w:cs="Calibri"/>
          <w:color w:val="000000" w:themeColor="text1"/>
        </w:rPr>
        <w:t>.</w:t>
      </w:r>
      <w:r w:rsidR="006B2FD8">
        <w:rPr>
          <w:rFonts w:ascii="Calibri" w:eastAsia="Calibri" w:hAnsi="Calibri" w:cs="Calibri"/>
          <w:color w:val="000000" w:themeColor="text1"/>
        </w:rPr>
        <w:t xml:space="preserve"> </w:t>
      </w:r>
    </w:p>
    <w:p w14:paraId="595D8568" w14:textId="526CD7B8" w:rsidR="00C754EE" w:rsidRDefault="00C754EE" w:rsidP="00950475">
      <w:pPr>
        <w:spacing w:line="480" w:lineRule="auto"/>
        <w:rPr>
          <w:rFonts w:ascii="Calibri" w:eastAsia="Calibri" w:hAnsi="Calibri" w:cs="Calibri"/>
          <w:color w:val="000000" w:themeColor="text1"/>
        </w:rPr>
      </w:pPr>
    </w:p>
    <w:p w14:paraId="349C7E9E" w14:textId="73B72A5A" w:rsidR="00C754EE" w:rsidRDefault="00F05EB9" w:rsidP="00950475">
      <w:pPr>
        <w:spacing w:line="480" w:lineRule="auto"/>
        <w:rPr>
          <w:rFonts w:ascii="Calibri" w:eastAsia="Calibri" w:hAnsi="Calibri" w:cs="Calibri"/>
          <w:color w:val="000000" w:themeColor="text1"/>
        </w:rPr>
      </w:pPr>
      <w:r>
        <w:rPr>
          <w:rFonts w:ascii="Calibri" w:eastAsia="Calibri" w:hAnsi="Calibri" w:cs="Calibri"/>
          <w:color w:val="000000" w:themeColor="text1"/>
        </w:rPr>
        <w:t>Pulley venting is widely endorsed, with the aim of optimizing tendon gliding at the repair site</w:t>
      </w:r>
      <w:r w:rsidR="00CF090C">
        <w:rPr>
          <w:rFonts w:ascii="Calibri" w:eastAsia="Calibri" w:hAnsi="Calibri" w:cs="Calibri"/>
          <w:color w:val="000000" w:themeColor="text1"/>
        </w:rPr>
        <w:t xml:space="preserve"> </w:t>
      </w:r>
      <w:r w:rsidR="00CF090C">
        <w:rPr>
          <w:rFonts w:ascii="Calibri" w:eastAsia="Calibri" w:hAnsi="Calibri" w:cs="Calibri"/>
          <w:color w:val="000000" w:themeColor="text1"/>
        </w:rPr>
        <w:fldChar w:fldCharType="begin" w:fldLock="1"/>
      </w:r>
      <w:r w:rsidR="0043414D">
        <w:rPr>
          <w:rFonts w:ascii="Calibri" w:eastAsia="Calibri" w:hAnsi="Calibri" w:cs="Calibri"/>
          <w:color w:val="000000" w:themeColor="text1"/>
        </w:rPr>
        <w:instrText>ADDIN CSL_CITATION {"citationItems":[{"id":"ITEM-1","itemData":{"DOI":"10.1097/PRS.0000000000004416","ISBN":"0000000000","ISSN":"00321052","PMID":"29579022","abstract":"Summary: New developments in primary tendon repair in recent decades include stronger core tendon repair techniques, judicious and adequate venting of critical pulleys, followed by a combination of passive and active digital flexion and extension. During repair, core sutures over the tendon should have sufficient suture purchase (no shorter than 0.7 to 1 cm) in each tendon end and must be sufficiently tensioned to resist loosening and gap formation between tendon ends. Slight or even modest bulkiness in the tendon substance at the repair site is not harmful, although marked bulkiness should always be avoided. To expose the tendon ends and reduce restriction to tendon gliding, the longest annular pulley in the fingers (i.e., the A2 pulley) can be vented partially with an incision over its distal or proximal sheath no longer than 1.5 to 2 cm; the annular pulley over the middle phalanx (i.e., the A4 pulley) can be vented entirely. Surgeons have not observed adverse effects on hand function after judicious and limited venting. The digital extension-flexion test to check the quality of the repair during surgery has become increasingly routine. A wide-awake surgical setting allows patient to actively move the digits. After surgery, surgeons and therapists protect patients with a short splint and flexible wrist positioning, and are now moving toward out-of-splint freer early active motion. Improved outcomes have been reported over the past decade with minimal or no rupture during postoperative active motion, along with lower rates of tenolysis.","author":[{"dropping-particle":"","family":"Tang","given":"Jin Bo","non-dropping-particle":"","parse-names":false,"suffix":""}],"container-title":"Plastic and Reconstructive Surgery","id":"ITEM-1","issue":"6","issued":{"date-parts":[["2018"]]},"page":"1427-1437","title":"New developments are improving flexor tendon repair","type":"article-journal","volume":"141"},"uris":["http://www.mendeley.com/documents/?uuid=014c3531-3baa-43c8-9540-de2e5479d206"]},{"id":"ITEM-2","itemData":{"DOI":"10.1177/17531934211053757","ISBN":"1753193421105","ISSN":"20436289","PMID":"34738496","abstract":"The current clinical methods of flexor tendon repair are remarkably different from those used 20 years ago. This article starts with a review of the current methods, followed by presentation of past experience and current status of six eminent hand surgery units from four continents/regions. Many units are using, or are moving toward using, the recent strong (multi-strand) core suture method together with a simpler peripheral suture. Venting of the critical pulleys over less than 2 cm length is safe and favours functional recovery. These repair and recent motion protocols lead to remarkably more reliable repairs, with over 80% good or excellent outcomes achieved rather consistently after Zone 2 repair along with infrequent need of tenolysis. Despite slight variations in repair methods, they all consider general principles and should be followed. Outcomes of Zone 2 repairs are not dissimilar to those in other zones with very low to zero incidence of rupture.","author":[{"dropping-particle":"","family":"Tang","given":"Jin Bo","non-dropping-particle":"","parse-names":false,"suffix":""},{"dropping-particle":"","family":"Lalonde","given":"Donald","non-dropping-particle":"","parse-names":false,"suffix":""},{"dropping-particle":"","family":"Harhaus","given":"Leila","non-dropping-particle":"","parse-names":false,"suffix":""},{"dropping-particle":"","family":"Sadek","given":"Ahmed Fathy","non-dropping-particle":"","parse-names":false,"suffix":""},{"dropping-particle":"","family":"Moriya","given":"Koji","non-dropping-particle":"","parse-names":false,"suffix":""},{"dropping-particle":"","family":"Pan","given":"Zhang Jun","non-dropping-particle":"","parse-names":false,"suffix":""}],"container-title":"Journal of Hand Surgery [Eur]","id":"ITEM-2","issue":"1","issued":{"date-parts":[["2022"]]},"page":"31-39","title":"Flexor tendon repair: recent changes and current methods","type":"article-journal","volume":"47"},"uris":["http://www.mendeley.com/documents/?uuid=673e85a7-e7fd-4912-9dc9-492f85fdd791"]}],"mendeley":{"formattedCitation":"(31,36)","plainTextFormattedCitation":"(31,36)","previouslyFormattedCitation":"(31,36)"},"properties":{"noteIndex":0},"schema":"https://github.com/citation-style-language/schema/raw/master/csl-citation.json"}</w:instrText>
      </w:r>
      <w:r w:rsidR="00CF090C">
        <w:rPr>
          <w:rFonts w:ascii="Calibri" w:eastAsia="Calibri" w:hAnsi="Calibri" w:cs="Calibri"/>
          <w:color w:val="000000" w:themeColor="text1"/>
        </w:rPr>
        <w:fldChar w:fldCharType="separate"/>
      </w:r>
      <w:r w:rsidR="00D06ED5" w:rsidRPr="00D06ED5">
        <w:rPr>
          <w:rFonts w:ascii="Calibri" w:eastAsia="Calibri" w:hAnsi="Calibri" w:cs="Calibri"/>
          <w:noProof/>
          <w:color w:val="000000" w:themeColor="text1"/>
        </w:rPr>
        <w:t>(31,36)</w:t>
      </w:r>
      <w:r w:rsidR="00CF090C">
        <w:rPr>
          <w:rFonts w:ascii="Calibri" w:eastAsia="Calibri" w:hAnsi="Calibri" w:cs="Calibri"/>
          <w:color w:val="000000" w:themeColor="text1"/>
        </w:rPr>
        <w:fldChar w:fldCharType="end"/>
      </w:r>
      <w:r>
        <w:rPr>
          <w:rFonts w:ascii="Calibri" w:eastAsia="Calibri" w:hAnsi="Calibri" w:cs="Calibri"/>
          <w:color w:val="000000" w:themeColor="text1"/>
        </w:rPr>
        <w:t xml:space="preserve">. This can be best assessed when the surgery is performed wide-awake or under light sedation, so that the patient can actively flex the finger and the surgeon can directly visualize tendon gliding and </w:t>
      </w:r>
      <w:r w:rsidR="005F2DFD">
        <w:rPr>
          <w:rFonts w:ascii="Calibri" w:eastAsia="Calibri" w:hAnsi="Calibri" w:cs="Calibri"/>
          <w:color w:val="000000" w:themeColor="text1"/>
        </w:rPr>
        <w:t xml:space="preserve">assess for </w:t>
      </w:r>
      <w:r>
        <w:rPr>
          <w:rFonts w:ascii="Calibri" w:eastAsia="Calibri" w:hAnsi="Calibri" w:cs="Calibri"/>
          <w:color w:val="000000" w:themeColor="text1"/>
        </w:rPr>
        <w:t>repair gapping</w:t>
      </w:r>
      <w:r w:rsidR="00CF090C">
        <w:rPr>
          <w:rFonts w:ascii="Calibri" w:eastAsia="Calibri" w:hAnsi="Calibri" w:cs="Calibri"/>
          <w:color w:val="000000" w:themeColor="text1"/>
        </w:rPr>
        <w:t xml:space="preserve"> </w:t>
      </w:r>
      <w:r w:rsidR="00CF090C">
        <w:rPr>
          <w:rFonts w:ascii="Calibri" w:eastAsia="Calibri" w:hAnsi="Calibri" w:cs="Calibri"/>
          <w:color w:val="000000" w:themeColor="text1"/>
        </w:rPr>
        <w:fldChar w:fldCharType="begin" w:fldLock="1"/>
      </w:r>
      <w:r w:rsidR="00A50831">
        <w:rPr>
          <w:rFonts w:ascii="Calibri" w:eastAsia="Calibri" w:hAnsi="Calibri" w:cs="Calibri"/>
          <w:color w:val="000000" w:themeColor="text1"/>
        </w:rPr>
        <w:instrText>ADDIN CSL_CITATION {"citationItems":[{"id":"ITEM-1","itemData":{"DOI":"10.1016/j.hcl.2018.08.002","ISSN":"15581969","PMID":"30470325","abstract":"Injection of tumescent local anesthesia should no longer be painful. WALANT anesthesia, strong sutures, a slightly bulky repair, intraoperative testing of active movement, and judicious venting of the A2 and A4 pulleys improve results in flexor tendon repair. WALANT K wire finger fracture reduction permits intraoperative testing of K wire stability with active movement to facilitate early protected movement at 3 to 5 days after surgery. WALANT can decrease costs and garbage production while increasing accessibility and affordability. Several surgeons have found no infection difference when the K wires are inserted with full operating room sterility versus field sterility.","author":[{"dropping-particle":"","family":"Lalonde","given":"Donald H.","non-dropping-particle":"","parse-names":false,"suffix":""}],"container-title":"Hand Clinics","id":"ITEM-1","issue":"1","issued":{"date-parts":[["2019"]]},"page":"1-6","publisher":"Elsevier Inc","title":"Latest Advances in Wide Awake Hand Surgery","type":"article-journal","volume":"35"},"uris":["http://www.mendeley.com/documents/?uuid=31459573-e3bd-4308-ac1b-ff6aced31c78"]}],"mendeley":{"formattedCitation":"(37)","plainTextFormattedCitation":"(37)","previouslyFormattedCitation":"(37)"},"properties":{"noteIndex":0},"schema":"https://github.com/citation-style-language/schema/raw/master/csl-citation.json"}</w:instrText>
      </w:r>
      <w:r w:rsidR="00CF090C">
        <w:rPr>
          <w:rFonts w:ascii="Calibri" w:eastAsia="Calibri" w:hAnsi="Calibri" w:cs="Calibri"/>
          <w:color w:val="000000" w:themeColor="text1"/>
        </w:rPr>
        <w:fldChar w:fldCharType="separate"/>
      </w:r>
      <w:r w:rsidR="00D06ED5" w:rsidRPr="00D06ED5">
        <w:rPr>
          <w:rFonts w:ascii="Calibri" w:eastAsia="Calibri" w:hAnsi="Calibri" w:cs="Calibri"/>
          <w:noProof/>
          <w:color w:val="000000" w:themeColor="text1"/>
        </w:rPr>
        <w:t>(37)</w:t>
      </w:r>
      <w:r w:rsidR="00CF090C">
        <w:rPr>
          <w:rFonts w:ascii="Calibri" w:eastAsia="Calibri" w:hAnsi="Calibri" w:cs="Calibri"/>
          <w:color w:val="000000" w:themeColor="text1"/>
        </w:rPr>
        <w:fldChar w:fldCharType="end"/>
      </w:r>
      <w:r>
        <w:rPr>
          <w:rFonts w:ascii="Calibri" w:eastAsia="Calibri" w:hAnsi="Calibri" w:cs="Calibri"/>
          <w:color w:val="000000" w:themeColor="text1"/>
        </w:rPr>
        <w:t xml:space="preserve">. </w:t>
      </w:r>
      <w:r w:rsidR="006A15C0">
        <w:rPr>
          <w:rFonts w:ascii="Calibri" w:eastAsia="Calibri" w:hAnsi="Calibri" w:cs="Calibri"/>
          <w:color w:val="000000" w:themeColor="text1"/>
        </w:rPr>
        <w:t xml:space="preserve">This may also enable individualized assessment of the required </w:t>
      </w:r>
      <w:proofErr w:type="spellStart"/>
      <w:r w:rsidR="006A15C0">
        <w:rPr>
          <w:rFonts w:ascii="Calibri" w:eastAsia="Calibri" w:hAnsi="Calibri" w:cs="Calibri"/>
          <w:color w:val="000000" w:themeColor="text1"/>
        </w:rPr>
        <w:t>MCP</w:t>
      </w:r>
      <w:proofErr w:type="spellEnd"/>
      <w:r w:rsidR="006A15C0">
        <w:rPr>
          <w:rFonts w:ascii="Calibri" w:eastAsia="Calibri" w:hAnsi="Calibri" w:cs="Calibri"/>
          <w:color w:val="000000" w:themeColor="text1"/>
        </w:rPr>
        <w:t xml:space="preserve"> joint flexion differential to facilitate optimal gliding without excessive tension through the repair</w:t>
      </w:r>
      <w:r w:rsidR="005D3F7D">
        <w:rPr>
          <w:rFonts w:ascii="Calibri" w:eastAsia="Calibri" w:hAnsi="Calibri" w:cs="Calibri"/>
          <w:color w:val="000000" w:themeColor="text1"/>
        </w:rPr>
        <w:t xml:space="preserve"> </w:t>
      </w:r>
      <w:r w:rsidR="00011A07">
        <w:rPr>
          <w:rFonts w:ascii="Calibri" w:eastAsia="Calibri" w:hAnsi="Calibri" w:cs="Calibri"/>
          <w:color w:val="000000" w:themeColor="text1"/>
        </w:rPr>
        <w:fldChar w:fldCharType="begin" w:fldLock="1"/>
      </w:r>
      <w:r w:rsidR="0043414D">
        <w:rPr>
          <w:rFonts w:ascii="Calibri" w:eastAsia="Calibri" w:hAnsi="Calibri" w:cs="Calibri"/>
          <w:color w:val="000000" w:themeColor="text1"/>
        </w:rPr>
        <w:instrText>ADDIN CSL_CITATION {"citationItems":[{"id":"ITEM-1","itemData":{"URL":"https://issuu.com/ahta/docs/ahta_fingerprint_-_june_2021_v8_wr","accessed":{"date-parts":[["2022","10","25"]]},"author":[{"dropping-particle":"","family":"Howell","given":"Julianne W.","non-dropping-particle":"","parse-names":false,"suffix":""},{"dropping-particle":"","family":"Hirth","given":"Melissa J.","non-dropping-particle":"","parse-names":false,"suffix":""}],"container-title":"Fingerprint: Australian Hand Therapy Association","id":"ITEM-1","issued":{"date-parts":[["2021"]]},"page":"24-28","title":"Relative motion flexion splints in the management of finger flexor tendon repairs: an update","type":"webpage","volume":"127"},"uris":["http://www.mendeley.com/documents/?uuid=1733d342-2204-4dee-aae3-5553ca132b0d"]}],"mendeley":{"formattedCitation":"(24)","plainTextFormattedCitation":"(24)","previouslyFormattedCitation":"(24)"},"properties":{"noteIndex":0},"schema":"https://github.com/citation-style-language/schema/raw/master/csl-citation.json"}</w:instrText>
      </w:r>
      <w:r w:rsidR="00011A07">
        <w:rPr>
          <w:rFonts w:ascii="Calibri" w:eastAsia="Calibri" w:hAnsi="Calibri" w:cs="Calibri"/>
          <w:color w:val="000000" w:themeColor="text1"/>
        </w:rPr>
        <w:fldChar w:fldCharType="separate"/>
      </w:r>
      <w:r w:rsidR="00D06ED5" w:rsidRPr="00D06ED5">
        <w:rPr>
          <w:rFonts w:ascii="Calibri" w:eastAsia="Calibri" w:hAnsi="Calibri" w:cs="Calibri"/>
          <w:noProof/>
          <w:color w:val="000000" w:themeColor="text1"/>
        </w:rPr>
        <w:t>(24)</w:t>
      </w:r>
      <w:r w:rsidR="00011A07">
        <w:rPr>
          <w:rFonts w:ascii="Calibri" w:eastAsia="Calibri" w:hAnsi="Calibri" w:cs="Calibri"/>
          <w:color w:val="000000" w:themeColor="text1"/>
        </w:rPr>
        <w:fldChar w:fldCharType="end"/>
      </w:r>
      <w:r w:rsidR="006A15C0">
        <w:rPr>
          <w:rFonts w:ascii="Calibri" w:eastAsia="Calibri" w:hAnsi="Calibri" w:cs="Calibri"/>
          <w:color w:val="000000" w:themeColor="text1"/>
        </w:rPr>
        <w:t xml:space="preserve">. </w:t>
      </w:r>
    </w:p>
    <w:p w14:paraId="19C01F0A" w14:textId="77777777" w:rsidR="00C754EE" w:rsidRDefault="00C754EE" w:rsidP="00950475">
      <w:pPr>
        <w:spacing w:line="480" w:lineRule="auto"/>
        <w:rPr>
          <w:rFonts w:ascii="Calibri" w:eastAsia="Calibri" w:hAnsi="Calibri" w:cs="Calibri"/>
          <w:color w:val="000000" w:themeColor="text1"/>
        </w:rPr>
      </w:pPr>
    </w:p>
    <w:p w14:paraId="4966F117" w14:textId="378B9129" w:rsidR="00383412" w:rsidRDefault="00383412" w:rsidP="00950475">
      <w:pPr>
        <w:spacing w:line="480" w:lineRule="auto"/>
        <w:rPr>
          <w:rFonts w:ascii="Calibri" w:eastAsia="Calibri" w:hAnsi="Calibri" w:cs="Calibri"/>
          <w:color w:val="000000" w:themeColor="text1"/>
        </w:rPr>
      </w:pPr>
      <w:r>
        <w:rPr>
          <w:rFonts w:ascii="Calibri" w:eastAsia="Calibri" w:hAnsi="Calibri" w:cs="Calibri"/>
          <w:color w:val="000000" w:themeColor="text1"/>
        </w:rPr>
        <w:t>We recommend that the type and quality of the repair</w:t>
      </w:r>
      <w:r w:rsidR="00F05EB9">
        <w:rPr>
          <w:rFonts w:ascii="Calibri" w:eastAsia="Calibri" w:hAnsi="Calibri" w:cs="Calibri"/>
          <w:color w:val="000000" w:themeColor="text1"/>
        </w:rPr>
        <w:t xml:space="preserve"> and </w:t>
      </w:r>
      <w:r w:rsidR="00CF090C">
        <w:rPr>
          <w:rFonts w:ascii="Calibri" w:eastAsia="Calibri" w:hAnsi="Calibri" w:cs="Calibri"/>
          <w:color w:val="000000" w:themeColor="text1"/>
        </w:rPr>
        <w:t>the extent of pulley venting</w:t>
      </w:r>
      <w:r>
        <w:rPr>
          <w:rFonts w:ascii="Calibri" w:eastAsia="Calibri" w:hAnsi="Calibri" w:cs="Calibri"/>
          <w:color w:val="000000" w:themeColor="text1"/>
        </w:rPr>
        <w:t xml:space="preserve"> </w:t>
      </w:r>
      <w:r w:rsidR="00C754EE">
        <w:rPr>
          <w:rFonts w:ascii="Calibri" w:eastAsia="Calibri" w:hAnsi="Calibri" w:cs="Calibri"/>
          <w:color w:val="000000" w:themeColor="text1"/>
        </w:rPr>
        <w:t>is</w:t>
      </w:r>
      <w:r>
        <w:rPr>
          <w:rFonts w:ascii="Calibri" w:eastAsia="Calibri" w:hAnsi="Calibri" w:cs="Calibri"/>
          <w:color w:val="000000" w:themeColor="text1"/>
        </w:rPr>
        <w:t xml:space="preserve"> clearly documented as part of the operation record. This will inform hand therapists’ discussions with their patients regarding the options for orthoses and rehabilitation and enable audit and service evaluation using routinely collected data.</w:t>
      </w:r>
    </w:p>
    <w:p w14:paraId="583B2403" w14:textId="77777777" w:rsidR="00F22F71" w:rsidRDefault="00F22F71" w:rsidP="00950475">
      <w:pPr>
        <w:spacing w:line="480" w:lineRule="auto"/>
        <w:rPr>
          <w:rFonts w:ascii="Calibri" w:eastAsia="Calibri" w:hAnsi="Calibri" w:cs="Calibri"/>
          <w:color w:val="000000" w:themeColor="text1"/>
        </w:rPr>
      </w:pPr>
    </w:p>
    <w:p w14:paraId="07880567" w14:textId="12F8679B" w:rsidR="00F22F71" w:rsidRPr="00B20FF5" w:rsidRDefault="00FE36C6" w:rsidP="00950475">
      <w:pPr>
        <w:pStyle w:val="Heading3"/>
        <w:spacing w:line="480" w:lineRule="auto"/>
        <w:rPr>
          <w:rFonts w:ascii="Calibri Light" w:hAnsi="Calibri Light" w:cs="Calibri Light"/>
          <w:b w:val="0"/>
          <w:bCs/>
          <w:color w:val="244061" w:themeColor="accent1" w:themeShade="80"/>
          <w:sz w:val="24"/>
          <w:szCs w:val="24"/>
        </w:rPr>
      </w:pPr>
      <w:r w:rsidRPr="00B20FF5">
        <w:rPr>
          <w:rFonts w:ascii="Calibri Light" w:hAnsi="Calibri Light" w:cs="Calibri Light"/>
          <w:b w:val="0"/>
          <w:bCs/>
          <w:color w:val="244061" w:themeColor="accent1" w:themeShade="80"/>
          <w:sz w:val="24"/>
          <w:szCs w:val="24"/>
        </w:rPr>
        <w:t xml:space="preserve">Time from surgery to start of rehabilitation </w:t>
      </w:r>
    </w:p>
    <w:p w14:paraId="6F4411B7" w14:textId="5F363EE2" w:rsidR="00A557F2" w:rsidRDefault="007F3854" w:rsidP="00950475">
      <w:pPr>
        <w:spacing w:line="480" w:lineRule="auto"/>
        <w:rPr>
          <w:rFonts w:ascii="Calibri" w:eastAsia="Calibri" w:hAnsi="Calibri" w:cs="Calibri"/>
          <w:color w:val="000000" w:themeColor="text1"/>
        </w:rPr>
      </w:pPr>
      <w:r w:rsidRPr="00D8418D">
        <w:rPr>
          <w:rFonts w:ascii="Calibri" w:eastAsia="Calibri" w:hAnsi="Calibri" w:cs="Calibri"/>
          <w:color w:val="000000" w:themeColor="text1"/>
        </w:rPr>
        <w:t>Hand therapy commenced</w:t>
      </w:r>
      <w:r w:rsidR="00D8418D" w:rsidRPr="00D8418D">
        <w:rPr>
          <w:rFonts w:ascii="Calibri" w:eastAsia="Calibri" w:hAnsi="Calibri" w:cs="Calibri"/>
          <w:color w:val="000000" w:themeColor="text1"/>
        </w:rPr>
        <w:t xml:space="preserve">, or was recommended, </w:t>
      </w:r>
      <w:r w:rsidRPr="00D8418D">
        <w:rPr>
          <w:rFonts w:ascii="Calibri" w:eastAsia="Calibri" w:hAnsi="Calibri" w:cs="Calibri"/>
          <w:color w:val="000000" w:themeColor="text1"/>
        </w:rPr>
        <w:t>within a week of surgery in all existing studies</w:t>
      </w:r>
      <w:r w:rsidR="00D8418D" w:rsidRPr="00D8418D">
        <w:rPr>
          <w:rFonts w:ascii="Calibri" w:eastAsia="Calibri" w:hAnsi="Calibri" w:cs="Calibri"/>
          <w:color w:val="000000" w:themeColor="text1"/>
        </w:rPr>
        <w:t xml:space="preserve"> </w:t>
      </w:r>
      <w:r w:rsidR="00D8418D" w:rsidRPr="00D8418D">
        <w:rPr>
          <w:rFonts w:ascii="Calibri" w:eastAsia="Calibri" w:hAnsi="Calibri" w:cs="Calibri"/>
          <w:color w:val="000000" w:themeColor="text1"/>
        </w:rPr>
        <w:fldChar w:fldCharType="begin" w:fldLock="1"/>
      </w:r>
      <w:r w:rsidR="0043414D">
        <w:rPr>
          <w:rFonts w:ascii="Calibri" w:eastAsia="Calibri" w:hAnsi="Calibri" w:cs="Calibri"/>
          <w:color w:val="000000" w:themeColor="text1"/>
        </w:rPr>
        <w:instrText>ADDIN CSL_CITATION {"citationItems":[{"id":"ITEM-1","itemData":{"DOI":"10.1016/j.jht.2019.05.002","ISSN":"0894-1130","author":[{"dropping-particle":"","family":"Henry","given":"Steven L","non-dropping-particle":"","parse-names":false,"suffix":""},{"dropping-particle":"","family":"Howell","given":"Julianne W","non-dropping-particle":"","parse-names":false,"suffix":""}],"container-title":"Journal of Hand Therapy","id":"ITEM-1","issue":"3","issued":{"date-parts":[["2020"]]},"page":"296-304","publisher":"Elsevier Inc","title":"Use of a relative motion flexion orthosis for postoperative management of zone I/II flexor digitorum profundus repair: A retrospective consecutive case series","type":"article-journal","volume":"33"},"uris":["http://www.mendeley.com/documents/?uuid=8cf4242d-792a-4604-a722-3df7e36780c9"]},{"id":"ITEM-2","itemData":{"DOI":"10.1080/09593985.2022.2073574","author":[{"dropping-particle":"","family":"Öksüz","given":"Çiğdem","non-dropping-particle":"","parse-names":false,"suffix":""},{"dropping-particle":"","family":"Arslan","given":"Özge Buket","non-dropping-particle":"","parse-names":false,"suffix":""},{"dropping-particle":"","family":"Baş","given":"Can Emre","non-dropping-particle":"","parse-names":false,"suffix":""},{"dropping-particle":"","family":"Ayhan","given":"Egemen","non-dropping-particle":"","parse-names":false,"suffix":""}],"container-title":"Physiotherapy Theory and Practice","id":"ITEM-2","issued":{"date-parts":[["2022"]]},"page":"DOI:10.1080/09593985.2022.2073574","publisher":"Taylor &amp; Francis","title":"Early active movement with relative motion flexion splint for the management of zone 1-2 flexor tendon repairs: Case series","type":"article-journal","volume":"Online"},"uris":["http://www.mendeley.com/documents/?uuid=43f249d0-02d1-47b4-8e03-3521fb1925c0"]},{"id":"ITEM-3","itemData":{"DOI":"10.1177/17589983221089654","ISSN":"1758-9983","author":[{"dropping-particle":"","family":"Newington","given":"Lisa","non-dropping-particle":"","parse-names":false,"suffix":""},{"dropping-particle":"","family":"Lane","given":"Jennifer CE","non-dropping-particle":"","parse-names":false,"suffix":""},{"dropping-particle":"","family":"Holmes","given":"David GW","non-dropping-particle":"","parse-names":false,"suffix":""},{"dropping-particle":"","family":"Gardiner","given":"Matthew D","non-dropping-particle":"","parse-names":false,"suffix":""}],"container-title":"Hand Therapy","id":"ITEM-3","issue":"2","issued":{"date-parts":[["2022"]]},"page":"49-57","title":"Variation in patient information and rehabilitation regimens after flexor tendon repair in the United Kingdom","type":"article-journal","volume":"27"},"uris":["http://www.mendeley.com/documents/?uuid=b9b7ccd9-6e63-4996-a1c9-267b01ae6bd6"]}],"mendeley":{"formattedCitation":"(8,10,20)","plainTextFormattedCitation":"(8,10,20)","previouslyFormattedCitation":"(8,10,20)"},"properties":{"noteIndex":0},"schema":"https://github.com/citation-style-language/schema/raw/master/csl-citation.json"}</w:instrText>
      </w:r>
      <w:r w:rsidR="00D8418D" w:rsidRPr="00D8418D">
        <w:rPr>
          <w:rFonts w:ascii="Calibri" w:eastAsia="Calibri" w:hAnsi="Calibri" w:cs="Calibri"/>
          <w:color w:val="000000" w:themeColor="text1"/>
        </w:rPr>
        <w:fldChar w:fldCharType="separate"/>
      </w:r>
      <w:r w:rsidR="002D5ADE" w:rsidRPr="002D5ADE">
        <w:rPr>
          <w:rFonts w:ascii="Calibri" w:eastAsia="Calibri" w:hAnsi="Calibri" w:cs="Calibri"/>
          <w:noProof/>
          <w:color w:val="000000" w:themeColor="text1"/>
        </w:rPr>
        <w:t>(8,10,20)</w:t>
      </w:r>
      <w:r w:rsidR="00D8418D" w:rsidRPr="00D8418D">
        <w:rPr>
          <w:rFonts w:ascii="Calibri" w:eastAsia="Calibri" w:hAnsi="Calibri" w:cs="Calibri"/>
          <w:color w:val="000000" w:themeColor="text1"/>
        </w:rPr>
        <w:fldChar w:fldCharType="end"/>
      </w:r>
      <w:r w:rsidR="00D27C64">
        <w:rPr>
          <w:rFonts w:ascii="Calibri" w:eastAsia="Calibri" w:hAnsi="Calibri" w:cs="Calibri"/>
          <w:color w:val="000000" w:themeColor="text1"/>
        </w:rPr>
        <w:t xml:space="preserve">. This fits with the available evidence endorsing early active mobilization </w:t>
      </w:r>
      <w:r w:rsidR="00D27C64">
        <w:rPr>
          <w:rFonts w:ascii="Calibri" w:eastAsia="Calibri" w:hAnsi="Calibri" w:cs="Calibri"/>
          <w:color w:val="000000" w:themeColor="text1"/>
        </w:rPr>
        <w:fldChar w:fldCharType="begin" w:fldLock="1"/>
      </w:r>
      <w:r w:rsidR="00A50831">
        <w:rPr>
          <w:rFonts w:ascii="Calibri" w:eastAsia="Calibri" w:hAnsi="Calibri" w:cs="Calibri"/>
          <w:color w:val="000000" w:themeColor="text1"/>
        </w:rPr>
        <w:instrText>ADDIN CSL_CITATION {"citationItems":[{"id":"ITEM-1","itemData":{"DOI":"10.1002/14651858.CD012479.pub2","ISSN":"14651858","PMID":"33434949","abstract":"Background: Various rehabilitation treatments may be offered following surgery for flexor tendon injuries of the hand. Rehabilitation often includes a combination of an exercise regimen and an orthosis, plus other rehabilitation treatments, usually delivered together. The effectiveness of these interventions remains unclear. Objectives: To assess the effects (benefits and harms) of different rehabilitation interventions after surgery for flexor tendon injuries of the hand. Search methods: We searched the Cochrane Central Register of Controlled Trials, the Cochrane Bone, Joint and Muscle Trauma Group Specialised Register, MEDLINE, Embase, two additional databases and two international trials registries, unrestricted by language. The last date of searches was 11 August 2020. We checked the reference lists of included studies and relevant systematic reviews. Selection criteria: We included randomised controlled trials (RCTs) and quasi-RCTs that compared any postoperative rehabilitation intervention with no intervention, control, placebo, or another postoperative rehabilitation intervention in individuals who have had surgery for flexor tendon injuries of the hand. Trials comparing different mobilisation regimens either with another mobilisation regimen or with a control were the main comparisons of interest. Our main outcomes of interest were patient-reported function, active range of motion of the fingers, and number of participants experiencing an adverse event. Data collection and analysis: Two review authors independently selected trials for inclusion, extracted data, assessed risk of bias and assessed the quality of the body of evidence for primary outcomes using the GRADE approach, according to standard Cochrane methodology. Main results: We included 16 RCTs and one quasi-RCT, with a total of 1108 participants, mainly adults. Overall, the participants were aged between 7 and 72 years, and 74% were male. Studies mainly focused on flexor tendon injuries in zone II. The 17 studies were heterogeneous with respect to the types of rehabilitation treatments provided, intensity, duration of treatment and the treatment setting. Each trial tested one of 14 comparisons, eight of which were of different exercise regimens. The other trials examined the timing of return to unrestricted functional activities after surgery (one study); the use of external devices applied to the participant to facilitate mobilisation, such as an exoskeleton (one study) or continuous …","author":[{"dropping-particle":"","family":"Peters","given":"Susan E.","non-dropping-particle":"","parse-names":false,"suffix":""},{"dropping-particle":"","family":"Jha","given":"Bhavana","non-dropping-particle":"","parse-names":false,"suffix":""},{"dropping-particle":"","family":"Ross","given":"Mark","non-dropping-particle":"","parse-names":false,"suffix":""}],"container-title":"Cochrane Database of Systematic Reviews","id":"ITEM-1","issued":{"date-parts":[["2021"]]},"page":"CD012479","title":"Rehabilitation following surgery for flexor tendon injuries of the hand","type":"article-journal","volume":"1"},"uris":["http://www.mendeley.com/documents/?uuid=b15d80aa-aebd-45b3-9684-378ee0241ae7"]},{"id":"ITEM-2","itemData":{"DOI":"10.1097/GOX.0000000000003278","ISBN":"0000000000","ISSN":"21697574","abstract":"Background: This population-based study aimed to define how time to hand therapy following isolated zone II flexor tendon repairs impacts complications and secondary procedures. Methods: Insurance claims from the Truven MarketScan Databases were used to evaluate outcomes after isolated zone II flexor tendon repairs between January 2009 and October 2015. Cohorts differing in time to hand therapy were compared to evaluate the impact on complications, reoperation, and number of therapy sessions. Secondary outcomes analyzed how the number of therapy sessions affected rates of reoperation. Results: Hand therapy was identified in 82% of patients (N = 2867) following tendon reconstruction. Therapy initiation occurred within 1 week, 1-4 weeks, and after 4 weeks in 56%, 35%, and 9% of patients, respectively. Univariate analysis showed no difference in non-tendinous complications (27%, 30%, 29%; P = 0.29) or tendon rupture rates (13%, 13%, 10%; P = 0.42) within 90 days between cohorts. Multivariable analysis showed no difference in rates of tenolysis (6.3%, 6%, 4.4%; P &gt; 0.01). In the early initiation cohort, &gt;23 hand therapy sessions were associated with the highest rates of tenolysis (19%). Conclusions: Despite being a common fear of hand surgeons, early initiation of hand therapy was not associated with increased tendon rupture rates. Although delayed therapy is a concern for tendon scarring, it did not confer a higher risk of tenolysis. Complication rates do not appear to correlate with timing of hand therapy. Therefore, hand surgeons should promote early mobility following isolated flexor tendon injuries given the known functional outcome benefits.","author":[{"dropping-particle":"","family":"Johnson","given":"Shepard P.","non-dropping-particle":"","parse-names":false,"suffix":""},{"dropping-particle":"","family":"Kelley","given":"Brian P.","non-dropping-particle":"","parse-names":false,"suffix":""},{"dropping-particle":"","family":"Waljee","given":"Jennifer F.","non-dropping-particle":"","parse-names":false,"suffix":""},{"dropping-particle":"","family":"Chung","given":"Kevin C.","non-dropping-particle":"","parse-names":false,"suffix":""}],"container-title":"Plastic and Reconstructive Surgery - Global Open","id":"ITEM-2","issued":{"date-parts":[["2020"]]},"page":"e3278","title":"Effect of Time to Hand Therapy following Zone II Flexor Tendon Repair","type":"article-journal","volume":"8"},"uris":["http://www.mendeley.com/documents/?uuid=7b02b1c7-41d1-4417-af0b-d983d931b9fa"]}],"mendeley":{"formattedCitation":"(11,38)","plainTextFormattedCitation":"(11,38)","previouslyFormattedCitation":"(11,38)"},"properties":{"noteIndex":0},"schema":"https://github.com/citation-style-language/schema/raw/master/csl-citation.json"}</w:instrText>
      </w:r>
      <w:r w:rsidR="00D27C64">
        <w:rPr>
          <w:rFonts w:ascii="Calibri" w:eastAsia="Calibri" w:hAnsi="Calibri" w:cs="Calibri"/>
          <w:color w:val="000000" w:themeColor="text1"/>
        </w:rPr>
        <w:fldChar w:fldCharType="separate"/>
      </w:r>
      <w:r w:rsidR="00D06ED5" w:rsidRPr="00D06ED5">
        <w:rPr>
          <w:rFonts w:ascii="Calibri" w:eastAsia="Calibri" w:hAnsi="Calibri" w:cs="Calibri"/>
          <w:noProof/>
          <w:color w:val="000000" w:themeColor="text1"/>
        </w:rPr>
        <w:t>(11,38)</w:t>
      </w:r>
      <w:r w:rsidR="00D27C64">
        <w:rPr>
          <w:rFonts w:ascii="Calibri" w:eastAsia="Calibri" w:hAnsi="Calibri" w:cs="Calibri"/>
          <w:color w:val="000000" w:themeColor="text1"/>
        </w:rPr>
        <w:fldChar w:fldCharType="end"/>
      </w:r>
      <w:r w:rsidR="00D27C64">
        <w:rPr>
          <w:rFonts w:ascii="Calibri" w:eastAsia="Calibri" w:hAnsi="Calibri" w:cs="Calibri"/>
          <w:color w:val="000000" w:themeColor="text1"/>
        </w:rPr>
        <w:t>.</w:t>
      </w:r>
      <w:r w:rsidR="00B50213">
        <w:rPr>
          <w:rFonts w:ascii="Calibri" w:eastAsia="Calibri" w:hAnsi="Calibri" w:cs="Calibri"/>
          <w:color w:val="000000" w:themeColor="text1"/>
        </w:rPr>
        <w:t xml:space="preserve"> </w:t>
      </w:r>
      <w:proofErr w:type="spellStart"/>
      <w:r w:rsidR="00B50213">
        <w:rPr>
          <w:rFonts w:ascii="Calibri" w:eastAsia="Calibri" w:hAnsi="Calibri" w:cs="Calibri"/>
          <w:color w:val="000000" w:themeColor="text1"/>
        </w:rPr>
        <w:t>RMF</w:t>
      </w:r>
      <w:proofErr w:type="spellEnd"/>
      <w:r w:rsidR="00B50213">
        <w:rPr>
          <w:rFonts w:ascii="Calibri" w:eastAsia="Calibri" w:hAnsi="Calibri" w:cs="Calibri"/>
          <w:color w:val="000000" w:themeColor="text1"/>
        </w:rPr>
        <w:t xml:space="preserve"> was used as both the primary rehabilitation strategy </w:t>
      </w:r>
      <w:r w:rsidR="00B50213">
        <w:rPr>
          <w:rFonts w:ascii="Calibri" w:eastAsia="Calibri" w:hAnsi="Calibri" w:cs="Calibri"/>
          <w:color w:val="000000" w:themeColor="text1"/>
        </w:rPr>
        <w:fldChar w:fldCharType="begin" w:fldLock="1"/>
      </w:r>
      <w:r w:rsidR="002E1436">
        <w:rPr>
          <w:rFonts w:ascii="Calibri" w:eastAsia="Calibri" w:hAnsi="Calibri" w:cs="Calibri"/>
          <w:color w:val="000000" w:themeColor="text1"/>
        </w:rPr>
        <w:instrText>ADDIN CSL_CITATION {"citationItems":[{"id":"ITEM-1","itemData":{"DOI":"10.1016/j.jht.2019.05.002","ISSN":"0894-1130","author":[{"dropping-particle":"","family":"Henry","given":"Steven L","non-dropping-particle":"","parse-names":false,"suffix":""},{"dropping-particle":"","family":"Howell","given":"Julianne W","non-dropping-particle":"","parse-names":false,"suffix":""}],"container-title":"Journal of Hand Therapy","id":"ITEM-1","issue":"3","issued":{"date-parts":[["2020"]]},"page":"296-304","publisher":"Elsevier Inc","title":"Use of a relative motion flexion orthosis for postoperative management of zone I/II flexor digitorum profundus repair: A retrospective consecutive case series","type":"article-journal","volume":"33"},"uris":["http://www.mendeley.com/documents/?uuid=8cf4242d-792a-4604-a722-3df7e36780c9"]},{"id":"ITEM-2","itemData":{"DOI":"10.1177/17589983221089654","ISSN":"1758-9983","author":[{"dropping-particle":"","family":"Newington","given":"Lisa","non-dropping-particle":"","parse-names":false,"suffix":""},{"dropping-particle":"","family":"Lane","given":"Jennifer CE","non-dropping-particle":"","parse-names":false,"suffix":""},{"dropping-particle":"","family":"Holmes","given":"David GW","non-dropping-particle":"","parse-names":false,"suffix":""},{"dropping-particle":"","family":"Gardiner","given":"Matthew D","non-dropping-particle":"","parse-names":false,"suffix":""}],"container-title":"Hand Therapy","id":"ITEM-2","issue":"2","issued":{"date-parts":[["2022"]]},"page":"49-57","title":"Variation in patient information and rehabilitation regimens after flexor tendon repair in the United Kingdom","type":"article-journal","volume":"27"},"uris":["http://www.mendeley.com/documents/?uuid=b9b7ccd9-6e63-4996-a1c9-267b01ae6bd6"]}],"mendeley":{"formattedCitation":"(8,20)","plainTextFormattedCitation":"(8,20)","previouslyFormattedCitation":"(8,20)"},"properties":{"noteIndex":0},"schema":"https://github.com/citation-style-language/schema/raw/master/csl-citation.json"}</w:instrText>
      </w:r>
      <w:r w:rsidR="00B50213">
        <w:rPr>
          <w:rFonts w:ascii="Calibri" w:eastAsia="Calibri" w:hAnsi="Calibri" w:cs="Calibri"/>
          <w:color w:val="000000" w:themeColor="text1"/>
        </w:rPr>
        <w:fldChar w:fldCharType="separate"/>
      </w:r>
      <w:r w:rsidR="002D5ADE" w:rsidRPr="002D5ADE">
        <w:rPr>
          <w:rFonts w:ascii="Calibri" w:eastAsia="Calibri" w:hAnsi="Calibri" w:cs="Calibri"/>
          <w:noProof/>
          <w:color w:val="000000" w:themeColor="text1"/>
        </w:rPr>
        <w:t>(8,20)</w:t>
      </w:r>
      <w:r w:rsidR="00B50213">
        <w:rPr>
          <w:rFonts w:ascii="Calibri" w:eastAsia="Calibri" w:hAnsi="Calibri" w:cs="Calibri"/>
          <w:color w:val="000000" w:themeColor="text1"/>
        </w:rPr>
        <w:fldChar w:fldCharType="end"/>
      </w:r>
      <w:r w:rsidR="00B50213">
        <w:rPr>
          <w:rFonts w:ascii="Calibri" w:eastAsia="Calibri" w:hAnsi="Calibri" w:cs="Calibri"/>
          <w:color w:val="000000" w:themeColor="text1"/>
        </w:rPr>
        <w:t xml:space="preserve"> and </w:t>
      </w:r>
      <w:r w:rsidR="00DF67CD">
        <w:rPr>
          <w:rFonts w:ascii="Calibri" w:eastAsia="Calibri" w:hAnsi="Calibri" w:cs="Calibri"/>
          <w:color w:val="000000" w:themeColor="text1"/>
        </w:rPr>
        <w:t xml:space="preserve">as </w:t>
      </w:r>
      <w:r w:rsidR="00B50213">
        <w:rPr>
          <w:rFonts w:ascii="Calibri" w:eastAsia="Calibri" w:hAnsi="Calibri" w:cs="Calibri"/>
          <w:color w:val="000000" w:themeColor="text1"/>
        </w:rPr>
        <w:t>an adjunct to a traditional long dorsal</w:t>
      </w:r>
      <w:r w:rsidR="004F31EA">
        <w:rPr>
          <w:rFonts w:ascii="Calibri" w:eastAsia="Calibri" w:hAnsi="Calibri" w:cs="Calibri"/>
          <w:color w:val="000000" w:themeColor="text1"/>
        </w:rPr>
        <w:t>-</w:t>
      </w:r>
      <w:r w:rsidR="00B50213">
        <w:rPr>
          <w:rFonts w:ascii="Calibri" w:eastAsia="Calibri" w:hAnsi="Calibri" w:cs="Calibri"/>
          <w:color w:val="000000" w:themeColor="text1"/>
        </w:rPr>
        <w:t xml:space="preserve">blocking </w:t>
      </w:r>
      <w:proofErr w:type="spellStart"/>
      <w:r w:rsidR="006A15C0">
        <w:rPr>
          <w:rFonts w:ascii="Calibri" w:eastAsia="Calibri" w:hAnsi="Calibri" w:cs="Calibri"/>
          <w:color w:val="000000" w:themeColor="text1"/>
        </w:rPr>
        <w:t>WHFO</w:t>
      </w:r>
      <w:proofErr w:type="spellEnd"/>
      <w:r w:rsidR="006A15C0">
        <w:rPr>
          <w:rFonts w:ascii="Calibri" w:eastAsia="Calibri" w:hAnsi="Calibri" w:cs="Calibri"/>
          <w:color w:val="000000" w:themeColor="text1"/>
        </w:rPr>
        <w:t xml:space="preserve"> </w:t>
      </w:r>
      <w:r w:rsidR="00B50213">
        <w:rPr>
          <w:rFonts w:ascii="Calibri" w:eastAsia="Calibri" w:hAnsi="Calibri" w:cs="Calibri"/>
          <w:color w:val="000000" w:themeColor="text1"/>
        </w:rPr>
        <w:t xml:space="preserve">and controlled early active </w:t>
      </w:r>
      <w:r w:rsidR="00B50213">
        <w:rPr>
          <w:rFonts w:ascii="Calibri" w:eastAsia="Calibri" w:hAnsi="Calibri" w:cs="Calibri"/>
          <w:color w:val="000000" w:themeColor="text1"/>
        </w:rPr>
        <w:lastRenderedPageBreak/>
        <w:t xml:space="preserve">motion regime </w:t>
      </w:r>
      <w:r w:rsidR="00B50213">
        <w:rPr>
          <w:rFonts w:ascii="Calibri" w:eastAsia="Calibri" w:hAnsi="Calibri" w:cs="Calibri"/>
          <w:color w:val="000000" w:themeColor="text1"/>
        </w:rPr>
        <w:fldChar w:fldCharType="begin" w:fldLock="1"/>
      </w:r>
      <w:r w:rsidR="0043414D">
        <w:rPr>
          <w:rFonts w:ascii="Calibri" w:eastAsia="Calibri" w:hAnsi="Calibri" w:cs="Calibri"/>
          <w:color w:val="000000" w:themeColor="text1"/>
        </w:rPr>
        <w:instrText>ADDIN CSL_CITATION {"citationItems":[{"id":"ITEM-1","itemData":{"DOI":"10.1080/09593985.2022.2073574","author":[{"dropping-particle":"","family":"Öksüz","given":"Çiğdem","non-dropping-particle":"","parse-names":false,"suffix":""},{"dropping-particle":"","family":"Arslan","given":"Özge Buket","non-dropping-particle":"","parse-names":false,"suffix":""},{"dropping-particle":"","family":"Baş","given":"Can Emre","non-dropping-particle":"","parse-names":false,"suffix":""},{"dropping-particle":"","family":"Ayhan","given":"Egemen","non-dropping-particle":"","parse-names":false,"suffix":""}],"container-title":"Physiotherapy Theory and Practice","id":"ITEM-1","issued":{"date-parts":[["2022"]]},"page":"DOI:10.1080/09593985.2022.2073574","publisher":"Taylor &amp; Francis","title":"Early active movement with relative motion flexion splint for the management of zone 1-2 flexor tendon repairs: Case series","type":"article-journal","volume":"Online"},"uris":["http://www.mendeley.com/documents/?uuid=43f249d0-02d1-47b4-8e03-3521fb1925c0"]}],"mendeley":{"formattedCitation":"(10)","plainTextFormattedCitation":"(10)","previouslyFormattedCitation":"(10)"},"properties":{"noteIndex":0},"schema":"https://github.com/citation-style-language/schema/raw/master/csl-citation.json"}</w:instrText>
      </w:r>
      <w:r w:rsidR="00B50213">
        <w:rPr>
          <w:rFonts w:ascii="Calibri" w:eastAsia="Calibri" w:hAnsi="Calibri" w:cs="Calibri"/>
          <w:color w:val="000000" w:themeColor="text1"/>
        </w:rPr>
        <w:fldChar w:fldCharType="separate"/>
      </w:r>
      <w:r w:rsidR="00B50213" w:rsidRPr="00B50213">
        <w:rPr>
          <w:rFonts w:ascii="Calibri" w:eastAsia="Calibri" w:hAnsi="Calibri" w:cs="Calibri"/>
          <w:noProof/>
          <w:color w:val="000000" w:themeColor="text1"/>
        </w:rPr>
        <w:t>(10)</w:t>
      </w:r>
      <w:r w:rsidR="00B50213">
        <w:rPr>
          <w:rFonts w:ascii="Calibri" w:eastAsia="Calibri" w:hAnsi="Calibri" w:cs="Calibri"/>
          <w:color w:val="000000" w:themeColor="text1"/>
        </w:rPr>
        <w:fldChar w:fldCharType="end"/>
      </w:r>
      <w:r w:rsidR="00B50213">
        <w:rPr>
          <w:rFonts w:ascii="Calibri" w:eastAsia="Calibri" w:hAnsi="Calibri" w:cs="Calibri"/>
          <w:color w:val="000000" w:themeColor="text1"/>
        </w:rPr>
        <w:t>.</w:t>
      </w:r>
      <w:r w:rsidR="004F31EA">
        <w:rPr>
          <w:rFonts w:ascii="Calibri" w:eastAsia="Calibri" w:hAnsi="Calibri" w:cs="Calibri"/>
          <w:color w:val="000000" w:themeColor="text1"/>
        </w:rPr>
        <w:t xml:space="preserve"> </w:t>
      </w:r>
      <w:r w:rsidR="008450CA" w:rsidRPr="002E2E16">
        <w:rPr>
          <w:rFonts w:ascii="Calibri" w:eastAsia="Calibri" w:hAnsi="Calibri" w:cs="Calibri"/>
          <w:color w:val="000000" w:themeColor="text1"/>
        </w:rPr>
        <w:t xml:space="preserve">We follow the former strategy and suggest that the finger-based </w:t>
      </w:r>
      <w:proofErr w:type="spellStart"/>
      <w:r w:rsidR="008450CA" w:rsidRPr="002E2E16">
        <w:rPr>
          <w:rFonts w:ascii="Calibri" w:eastAsia="Calibri" w:hAnsi="Calibri" w:cs="Calibri"/>
          <w:color w:val="000000" w:themeColor="text1"/>
        </w:rPr>
        <w:t>RMF</w:t>
      </w:r>
      <w:proofErr w:type="spellEnd"/>
      <w:r w:rsidR="008450CA" w:rsidRPr="002E2E16">
        <w:rPr>
          <w:rFonts w:ascii="Calibri" w:eastAsia="Calibri" w:hAnsi="Calibri" w:cs="Calibri"/>
          <w:color w:val="000000" w:themeColor="text1"/>
        </w:rPr>
        <w:t xml:space="preserve"> orthosis and separate WHO may be appropriate from the initial appointment, without need for an additional dorsal-blocking </w:t>
      </w:r>
      <w:proofErr w:type="spellStart"/>
      <w:r w:rsidR="008450CA" w:rsidRPr="002E2E16">
        <w:rPr>
          <w:rFonts w:ascii="Calibri" w:eastAsia="Calibri" w:hAnsi="Calibri" w:cs="Calibri"/>
          <w:color w:val="000000" w:themeColor="text1"/>
        </w:rPr>
        <w:t>WHFO</w:t>
      </w:r>
      <w:proofErr w:type="spellEnd"/>
      <w:r w:rsidR="008450CA">
        <w:rPr>
          <w:rFonts w:ascii="Calibri" w:eastAsia="Calibri" w:hAnsi="Calibri" w:cs="Calibri"/>
          <w:color w:val="000000" w:themeColor="text1"/>
        </w:rPr>
        <w:t>.</w:t>
      </w:r>
      <w:r w:rsidR="008450CA" w:rsidRPr="008450CA" w:rsidDel="008450CA">
        <w:rPr>
          <w:rFonts w:ascii="Calibri" w:eastAsia="Calibri" w:hAnsi="Calibri" w:cs="Calibri"/>
          <w:color w:val="000000" w:themeColor="text1"/>
        </w:rPr>
        <w:t xml:space="preserve"> </w:t>
      </w:r>
    </w:p>
    <w:p w14:paraId="68433BDB" w14:textId="77777777" w:rsidR="004F31EA" w:rsidRPr="00D8418D" w:rsidRDefault="004F31EA" w:rsidP="00950475">
      <w:pPr>
        <w:spacing w:line="480" w:lineRule="auto"/>
        <w:rPr>
          <w:rFonts w:ascii="Calibri" w:eastAsia="Calibri" w:hAnsi="Calibri" w:cs="Calibri"/>
          <w:color w:val="000000" w:themeColor="text1"/>
        </w:rPr>
      </w:pPr>
    </w:p>
    <w:p w14:paraId="42CE97EA" w14:textId="1D32F793" w:rsidR="00A557F2" w:rsidRPr="00B20FF5" w:rsidRDefault="00A557F2" w:rsidP="00B20FF5">
      <w:pPr>
        <w:pStyle w:val="Heading2"/>
        <w:spacing w:line="480" w:lineRule="auto"/>
        <w:rPr>
          <w:rFonts w:ascii="Calibri Light" w:hAnsi="Calibri Light" w:cs="Calibri Light"/>
          <w:b w:val="0"/>
          <w:bCs/>
          <w:color w:val="365F91" w:themeColor="accent1" w:themeShade="BF"/>
          <w:sz w:val="32"/>
          <w:szCs w:val="32"/>
        </w:rPr>
      </w:pPr>
      <w:r w:rsidRPr="00B20FF5">
        <w:rPr>
          <w:rFonts w:ascii="Calibri Light" w:hAnsi="Calibri Light" w:cs="Calibri Light"/>
          <w:b w:val="0"/>
          <w:bCs/>
          <w:color w:val="365F91" w:themeColor="accent1" w:themeShade="BF"/>
          <w:sz w:val="32"/>
          <w:szCs w:val="32"/>
        </w:rPr>
        <w:t xml:space="preserve">Relative motion flexion orthosis fabrication </w:t>
      </w:r>
    </w:p>
    <w:p w14:paraId="5402E407" w14:textId="37FFA5B6" w:rsidR="00F22A15" w:rsidRDefault="002F7A0B" w:rsidP="00950475">
      <w:pPr>
        <w:spacing w:line="480" w:lineRule="auto"/>
        <w:rPr>
          <w:rFonts w:ascii="Calibri" w:eastAsia="Calibri" w:hAnsi="Calibri" w:cs="Calibri"/>
        </w:rPr>
      </w:pPr>
      <w:r w:rsidRPr="00A02F33">
        <w:rPr>
          <w:rFonts w:ascii="Calibri" w:eastAsia="Calibri" w:hAnsi="Calibri" w:cs="Calibri"/>
        </w:rPr>
        <w:t xml:space="preserve">A typical relative motion </w:t>
      </w:r>
      <w:r w:rsidR="00D561AE" w:rsidRPr="00A02F33">
        <w:rPr>
          <w:rFonts w:ascii="Calibri" w:eastAsia="Calibri" w:hAnsi="Calibri" w:cs="Calibri"/>
        </w:rPr>
        <w:t>orthosis</w:t>
      </w:r>
      <w:r w:rsidRPr="00A02F33">
        <w:rPr>
          <w:rFonts w:ascii="Calibri" w:eastAsia="Calibri" w:hAnsi="Calibri" w:cs="Calibri"/>
        </w:rPr>
        <w:t xml:space="preserve"> requires </w:t>
      </w:r>
      <w:r w:rsidR="00E85A17" w:rsidRPr="00A02F33">
        <w:rPr>
          <w:rFonts w:ascii="Calibri" w:eastAsia="Calibri" w:hAnsi="Calibri" w:cs="Calibri"/>
        </w:rPr>
        <w:t xml:space="preserve">a strip of </w:t>
      </w:r>
      <w:r w:rsidR="00D561AE" w:rsidRPr="00A02F33">
        <w:rPr>
          <w:rFonts w:ascii="Calibri" w:eastAsia="Calibri" w:hAnsi="Calibri" w:cs="Calibri"/>
        </w:rPr>
        <w:t>material</w:t>
      </w:r>
      <w:r w:rsidR="00E85A17" w:rsidRPr="00A02F33">
        <w:rPr>
          <w:rFonts w:ascii="Calibri" w:eastAsia="Calibri" w:hAnsi="Calibri" w:cs="Calibri"/>
        </w:rPr>
        <w:t xml:space="preserve"> that is </w:t>
      </w:r>
      <w:r w:rsidRPr="00A02F33">
        <w:rPr>
          <w:rFonts w:ascii="Calibri" w:eastAsia="Calibri" w:hAnsi="Calibri" w:cs="Calibri"/>
        </w:rPr>
        <w:t>approximately</w:t>
      </w:r>
      <w:r w:rsidR="00E85A17" w:rsidRPr="00A02F33">
        <w:rPr>
          <w:rFonts w:ascii="Calibri" w:eastAsia="Calibri" w:hAnsi="Calibri" w:cs="Calibri"/>
        </w:rPr>
        <w:t xml:space="preserve"> 240mm by 25mm. This could be a single layer of </w:t>
      </w:r>
      <w:r w:rsidRPr="00A02F33">
        <w:rPr>
          <w:rFonts w:ascii="Calibri" w:eastAsia="Calibri" w:hAnsi="Calibri" w:cs="Calibri"/>
        </w:rPr>
        <w:t>3.2mm</w:t>
      </w:r>
      <w:r w:rsidR="00E85A17" w:rsidRPr="00A02F33">
        <w:rPr>
          <w:rFonts w:ascii="Calibri" w:eastAsia="Calibri" w:hAnsi="Calibri" w:cs="Calibri"/>
        </w:rPr>
        <w:t xml:space="preserve"> low-temperature</w:t>
      </w:r>
      <w:r w:rsidRPr="00A02F33">
        <w:rPr>
          <w:rFonts w:ascii="Calibri" w:eastAsia="Calibri" w:hAnsi="Calibri" w:cs="Calibri"/>
        </w:rPr>
        <w:t xml:space="preserve"> thermoplastic or equivalent, with double layers used for thinner materials. </w:t>
      </w:r>
      <w:proofErr w:type="spellStart"/>
      <w:r w:rsidR="0037492B" w:rsidRPr="00A02F33">
        <w:rPr>
          <w:rFonts w:ascii="Calibri" w:eastAsia="Calibri" w:hAnsi="Calibri" w:cs="Calibri"/>
        </w:rPr>
        <w:t>RMF</w:t>
      </w:r>
      <w:proofErr w:type="spellEnd"/>
      <w:r w:rsidR="0037492B" w:rsidRPr="00A02F33">
        <w:rPr>
          <w:rFonts w:ascii="Calibri" w:eastAsia="Calibri" w:hAnsi="Calibri" w:cs="Calibri"/>
        </w:rPr>
        <w:t xml:space="preserve"> orthoses use less </w:t>
      </w:r>
      <w:r w:rsidR="003253FF" w:rsidRPr="00A02F33">
        <w:rPr>
          <w:rFonts w:ascii="Calibri" w:eastAsia="Calibri" w:hAnsi="Calibri" w:cs="Calibri"/>
        </w:rPr>
        <w:t>material</w:t>
      </w:r>
      <w:r w:rsidR="00454B8F" w:rsidRPr="00A02F33">
        <w:rPr>
          <w:rFonts w:ascii="Calibri" w:eastAsia="Calibri" w:hAnsi="Calibri" w:cs="Calibri"/>
        </w:rPr>
        <w:t xml:space="preserve"> and require less time to fabricate</w:t>
      </w:r>
      <w:r w:rsidR="0037492B" w:rsidRPr="00A02F33">
        <w:rPr>
          <w:rFonts w:ascii="Calibri" w:eastAsia="Calibri" w:hAnsi="Calibri" w:cs="Calibri"/>
        </w:rPr>
        <w:t xml:space="preserve"> than other flexor tendon orthoses, which</w:t>
      </w:r>
      <w:r w:rsidR="003253FF" w:rsidRPr="00A02F33">
        <w:rPr>
          <w:rFonts w:ascii="Calibri" w:eastAsia="Calibri" w:hAnsi="Calibri" w:cs="Calibri"/>
        </w:rPr>
        <w:t xml:space="preserve"> has potential environmental and economic benefits</w:t>
      </w:r>
      <w:r w:rsidR="0033731F">
        <w:rPr>
          <w:rFonts w:ascii="Calibri" w:eastAsia="Calibri" w:hAnsi="Calibri" w:cs="Calibri"/>
        </w:rPr>
        <w:t xml:space="preserve"> </w:t>
      </w:r>
      <w:r w:rsidR="0033731F">
        <w:rPr>
          <w:rFonts w:ascii="Calibri" w:eastAsia="Calibri" w:hAnsi="Calibri" w:cs="Calibri"/>
        </w:rPr>
        <w:fldChar w:fldCharType="begin" w:fldLock="1"/>
      </w:r>
      <w:r w:rsidR="00A50831">
        <w:rPr>
          <w:rFonts w:ascii="Calibri" w:eastAsia="Calibri" w:hAnsi="Calibri" w:cs="Calibri"/>
        </w:rPr>
        <w:instrText>ADDIN CSL_CITATION {"citationItems":[{"id":"ITEM-1","itemData":{"DOI":"10.1016/j.jht.2019.12.016","ISSN":"1545004X","PMID":"32165056","abstract":"Study Design: Electronic Web-based survey. Introduction: Therapists participating in an international survey selected relative motion extension (RME) as the “most used” approach for the postoperative management of zones V and VI extensor tendon repairs. A subgroup of respondents identified RME as their preferred approach and were asked about their routine RME practices. Purpose of the Study: The purpose of this study was to capture data from routine RME users about their practices and compare this with the RME evidence. Methods: An English-language survey was distributed to 36 International Federation of Societies for Hand Therapy full-member countries. Participation required therapists to have postsurgically managed at least one extensor tendon repair within the previous year. Those who selected RME as their “most used” approach were asked to identify which variation of the RME approach they favored: RME plus (with wrist orthosis), RME only, or “both” RME plus and RME only, and then were directed to additional questions related to their choice. Results: Respondents from 28 International Federation of Societies for Hand Therapy full-member countries completed the survey. RME users (N = 368; 41.5% of sample) contributed to this secondary data. Respondents favored the RME variation “RME plus” (47%), followed by “both” (44%), then “RME only” (9%) with most managing single digit/simple injuries (n = 287, 81%) versus multiple digit/complex injuries (n = 96, 27%), and partial repairs (n = 278, 79%). Discussion: Practices not aligning with limited level II-IV evidence includes half of RME only users not adding/substituting an overnight orthosis; use of RME plus versus RME only for both repairs of independent extensor tendons and repairs proximal to the juncturae tendinum; fabrication of three not four-finger orthotic design; and restricting use to only repairs of one or two fingers. Conclusions: RME plus and RME only are used interchangeably depending on surgeon preferences and patient/tendon factors. Compared with RME plus, from this survey, it appears that the RME only approach yields similar uncomplicated, early return of motion and hand function.","author":[{"dropping-particle":"","family":"Hirth","given":"Melissa J.","non-dropping-particle":"","parse-names":false,"suffix":""},{"dropping-particle":"","family":"Howell","given":"Julianne W.","non-dropping-particle":"","parse-names":false,"suffix":""},{"dropping-particle":"","family":"Brown","given":"Ted","non-dropping-particle":"","parse-names":false,"suffix":""},{"dropping-particle":"","family":"O'Brien","given":"Lisa","non-dropping-particle":"","parse-names":false,"suffix":""}],"container-title":"Journal of Hand Therapy","id":"ITEM-1","issue":"1","issued":{"date-parts":[["2021"]]},"page":"76-89","publisher":"Elsevier","title":"Relative motion extension management of zones V and VI extensor tendon repairs: Does international practice align with the current evidence?","type":"article-journal","volume":"34"},"uris":["http://www.mendeley.com/documents/?uuid=43873f90-75f2-4063-8e88-cc554b58b9b9"]}],"mendeley":{"formattedCitation":"(39)","plainTextFormattedCitation":"(39)","previouslyFormattedCitation":"(39)"},"properties":{"noteIndex":0},"schema":"https://github.com/citation-style-language/schema/raw/master/csl-citation.json"}</w:instrText>
      </w:r>
      <w:r w:rsidR="0033731F">
        <w:rPr>
          <w:rFonts w:ascii="Calibri" w:eastAsia="Calibri" w:hAnsi="Calibri" w:cs="Calibri"/>
        </w:rPr>
        <w:fldChar w:fldCharType="separate"/>
      </w:r>
      <w:r w:rsidR="00D06ED5" w:rsidRPr="00D06ED5">
        <w:rPr>
          <w:rFonts w:ascii="Calibri" w:eastAsia="Calibri" w:hAnsi="Calibri" w:cs="Calibri"/>
          <w:noProof/>
        </w:rPr>
        <w:t>(39)</w:t>
      </w:r>
      <w:r w:rsidR="0033731F">
        <w:rPr>
          <w:rFonts w:ascii="Calibri" w:eastAsia="Calibri" w:hAnsi="Calibri" w:cs="Calibri"/>
        </w:rPr>
        <w:fldChar w:fldCharType="end"/>
      </w:r>
      <w:r w:rsidR="0037492B" w:rsidRPr="00A02F33">
        <w:rPr>
          <w:rFonts w:ascii="Calibri" w:eastAsia="Calibri" w:hAnsi="Calibri" w:cs="Calibri"/>
        </w:rPr>
        <w:t>. I</w:t>
      </w:r>
      <w:r w:rsidR="003253FF" w:rsidRPr="00A02F33">
        <w:rPr>
          <w:rFonts w:ascii="Calibri" w:eastAsia="Calibri" w:hAnsi="Calibri" w:cs="Calibri"/>
        </w:rPr>
        <w:t xml:space="preserve">n practice, </w:t>
      </w:r>
      <w:r w:rsidR="00A02F33">
        <w:rPr>
          <w:rFonts w:ascii="Calibri" w:eastAsia="Calibri" w:hAnsi="Calibri" w:cs="Calibri"/>
        </w:rPr>
        <w:t xml:space="preserve">the </w:t>
      </w:r>
      <w:proofErr w:type="spellStart"/>
      <w:r w:rsidR="00A02F33">
        <w:rPr>
          <w:rFonts w:ascii="Calibri" w:eastAsia="Calibri" w:hAnsi="Calibri" w:cs="Calibri"/>
        </w:rPr>
        <w:t>RMF</w:t>
      </w:r>
      <w:proofErr w:type="spellEnd"/>
      <w:r w:rsidR="00A02F33">
        <w:rPr>
          <w:rFonts w:ascii="Calibri" w:eastAsia="Calibri" w:hAnsi="Calibri" w:cs="Calibri"/>
        </w:rPr>
        <w:t xml:space="preserve"> </w:t>
      </w:r>
      <w:r w:rsidR="003253FF" w:rsidRPr="00A02F33">
        <w:rPr>
          <w:rFonts w:ascii="Calibri" w:eastAsia="Calibri" w:hAnsi="Calibri" w:cs="Calibri"/>
        </w:rPr>
        <w:t xml:space="preserve">orthosis can </w:t>
      </w:r>
      <w:r w:rsidR="0037492B" w:rsidRPr="00A02F33">
        <w:rPr>
          <w:rFonts w:ascii="Calibri" w:eastAsia="Calibri" w:hAnsi="Calibri" w:cs="Calibri"/>
        </w:rPr>
        <w:t xml:space="preserve">often </w:t>
      </w:r>
      <w:r w:rsidR="003253FF" w:rsidRPr="00A02F33">
        <w:rPr>
          <w:rFonts w:ascii="Calibri" w:eastAsia="Calibri" w:hAnsi="Calibri" w:cs="Calibri"/>
        </w:rPr>
        <w:t xml:space="preserve">be </w:t>
      </w:r>
      <w:r w:rsidR="0037492B" w:rsidRPr="00A02F33">
        <w:rPr>
          <w:rFonts w:ascii="Calibri" w:eastAsia="Calibri" w:hAnsi="Calibri" w:cs="Calibri"/>
        </w:rPr>
        <w:t xml:space="preserve">made using </w:t>
      </w:r>
      <w:r w:rsidR="00E85A17" w:rsidRPr="00A02F33">
        <w:rPr>
          <w:rFonts w:ascii="Calibri" w:eastAsia="Calibri" w:hAnsi="Calibri" w:cs="Calibri"/>
        </w:rPr>
        <w:t>off-cut</w:t>
      </w:r>
      <w:r w:rsidR="003253FF" w:rsidRPr="00A02F33">
        <w:rPr>
          <w:rFonts w:ascii="Calibri" w:eastAsia="Calibri" w:hAnsi="Calibri" w:cs="Calibri"/>
        </w:rPr>
        <w:t>s from the fabricat</w:t>
      </w:r>
      <w:r w:rsidR="0037492B" w:rsidRPr="00A02F33">
        <w:rPr>
          <w:rFonts w:ascii="Calibri" w:eastAsia="Calibri" w:hAnsi="Calibri" w:cs="Calibri"/>
        </w:rPr>
        <w:t>ion</w:t>
      </w:r>
      <w:r w:rsidR="003253FF" w:rsidRPr="00A02F33">
        <w:rPr>
          <w:rFonts w:ascii="Calibri" w:eastAsia="Calibri" w:hAnsi="Calibri" w:cs="Calibri"/>
        </w:rPr>
        <w:t xml:space="preserve"> of </w:t>
      </w:r>
      <w:r w:rsidR="0037492B" w:rsidRPr="00A02F33">
        <w:rPr>
          <w:rFonts w:ascii="Calibri" w:eastAsia="Calibri" w:hAnsi="Calibri" w:cs="Calibri"/>
        </w:rPr>
        <w:t>other</w:t>
      </w:r>
      <w:r w:rsidR="003253FF" w:rsidRPr="00A02F33">
        <w:rPr>
          <w:rFonts w:ascii="Calibri" w:eastAsia="Calibri" w:hAnsi="Calibri" w:cs="Calibri"/>
        </w:rPr>
        <w:t xml:space="preserve"> orthoses. </w:t>
      </w:r>
      <w:r w:rsidR="0037492B" w:rsidRPr="00A02F33">
        <w:rPr>
          <w:rFonts w:ascii="Calibri" w:eastAsia="Calibri" w:hAnsi="Calibri" w:cs="Calibri"/>
        </w:rPr>
        <w:t xml:space="preserve">It is important to </w:t>
      </w:r>
      <w:proofErr w:type="gramStart"/>
      <w:r w:rsidR="0037492B" w:rsidRPr="00A02F33">
        <w:rPr>
          <w:rFonts w:ascii="Calibri" w:eastAsia="Calibri" w:hAnsi="Calibri" w:cs="Calibri"/>
        </w:rPr>
        <w:t>note,</w:t>
      </w:r>
      <w:proofErr w:type="gramEnd"/>
      <w:r w:rsidR="0037492B" w:rsidRPr="00A02F33">
        <w:rPr>
          <w:rFonts w:ascii="Calibri" w:eastAsia="Calibri" w:hAnsi="Calibri" w:cs="Calibri"/>
        </w:rPr>
        <w:t xml:space="preserve"> that f</w:t>
      </w:r>
      <w:r w:rsidR="003253FF" w:rsidRPr="00A02F33">
        <w:rPr>
          <w:rFonts w:ascii="Calibri" w:eastAsia="Calibri" w:hAnsi="Calibri" w:cs="Calibri"/>
        </w:rPr>
        <w:t xml:space="preserve">or both the </w:t>
      </w:r>
      <w:proofErr w:type="spellStart"/>
      <w:r w:rsidR="003253FF" w:rsidRPr="00A02F33">
        <w:rPr>
          <w:rFonts w:ascii="Calibri" w:eastAsia="Calibri" w:hAnsi="Calibri" w:cs="Calibri"/>
        </w:rPr>
        <w:t>RME</w:t>
      </w:r>
      <w:proofErr w:type="spellEnd"/>
      <w:r w:rsidR="003253FF" w:rsidRPr="00A02F33">
        <w:rPr>
          <w:rFonts w:ascii="Calibri" w:eastAsia="Calibri" w:hAnsi="Calibri" w:cs="Calibri"/>
        </w:rPr>
        <w:t xml:space="preserve"> and </w:t>
      </w:r>
      <w:proofErr w:type="spellStart"/>
      <w:r w:rsidR="003253FF" w:rsidRPr="00A02F33">
        <w:rPr>
          <w:rFonts w:ascii="Calibri" w:eastAsia="Calibri" w:hAnsi="Calibri" w:cs="Calibri"/>
        </w:rPr>
        <w:t>RMF</w:t>
      </w:r>
      <w:proofErr w:type="spellEnd"/>
      <w:r w:rsidR="003253FF" w:rsidRPr="00A02F33">
        <w:rPr>
          <w:rFonts w:ascii="Calibri" w:eastAsia="Calibri" w:hAnsi="Calibri" w:cs="Calibri"/>
        </w:rPr>
        <w:t xml:space="preserve"> orthoses, there is a tradeoff between thickness/rigidity and comfort. </w:t>
      </w:r>
      <w:r w:rsidR="0037492B" w:rsidRPr="00A02F33">
        <w:rPr>
          <w:rFonts w:ascii="Calibri" w:eastAsia="Calibri" w:hAnsi="Calibri" w:cs="Calibri"/>
        </w:rPr>
        <w:t>C</w:t>
      </w:r>
      <w:r w:rsidR="003253FF" w:rsidRPr="00A02F33">
        <w:rPr>
          <w:rFonts w:ascii="Calibri" w:eastAsia="Calibri" w:hAnsi="Calibri" w:cs="Calibri"/>
        </w:rPr>
        <w:t>areful customization is necessary to provide adequate protection,</w:t>
      </w:r>
      <w:r w:rsidR="0037492B" w:rsidRPr="00A02F33">
        <w:rPr>
          <w:rFonts w:ascii="Calibri" w:eastAsia="Calibri" w:hAnsi="Calibri" w:cs="Calibri"/>
        </w:rPr>
        <w:t xml:space="preserve"> enable sufficient proximal interphalangeal (PIP) joint movement</w:t>
      </w:r>
      <w:r w:rsidR="00023FEF" w:rsidRPr="00A02F33">
        <w:rPr>
          <w:rFonts w:ascii="Calibri" w:eastAsia="Calibri" w:hAnsi="Calibri" w:cs="Calibri"/>
        </w:rPr>
        <w:t>,</w:t>
      </w:r>
      <w:r w:rsidR="0037492B" w:rsidRPr="00A02F33">
        <w:rPr>
          <w:rFonts w:ascii="Calibri" w:eastAsia="Calibri" w:hAnsi="Calibri" w:cs="Calibri"/>
        </w:rPr>
        <w:t xml:space="preserve"> and </w:t>
      </w:r>
      <w:r w:rsidR="003253FF" w:rsidRPr="00A02F33">
        <w:rPr>
          <w:rFonts w:ascii="Calibri" w:eastAsia="Calibri" w:hAnsi="Calibri" w:cs="Calibri"/>
        </w:rPr>
        <w:t>avoid skin irritation.</w:t>
      </w:r>
      <w:r w:rsidR="00023FEF" w:rsidRPr="00A02F33">
        <w:rPr>
          <w:rFonts w:ascii="Calibri" w:eastAsia="Calibri" w:hAnsi="Calibri" w:cs="Calibri"/>
        </w:rPr>
        <w:t xml:space="preserve"> The </w:t>
      </w:r>
      <w:proofErr w:type="spellStart"/>
      <w:r w:rsidR="00023FEF" w:rsidRPr="00A02F33">
        <w:rPr>
          <w:rFonts w:ascii="Calibri" w:eastAsia="Calibri" w:hAnsi="Calibri" w:cs="Calibri"/>
        </w:rPr>
        <w:t>RMF</w:t>
      </w:r>
      <w:proofErr w:type="spellEnd"/>
      <w:r w:rsidR="00023FEF" w:rsidRPr="00A02F33">
        <w:rPr>
          <w:rFonts w:ascii="Calibri" w:eastAsia="Calibri" w:hAnsi="Calibri" w:cs="Calibri"/>
        </w:rPr>
        <w:t xml:space="preserve"> orthosis design also needs to consider the </w:t>
      </w:r>
      <w:r w:rsidR="0033731F">
        <w:rPr>
          <w:rFonts w:ascii="Calibri" w:eastAsia="Calibri" w:hAnsi="Calibri" w:cs="Calibri"/>
        </w:rPr>
        <w:t>location</w:t>
      </w:r>
      <w:r w:rsidR="0033731F" w:rsidRPr="00A02F33">
        <w:rPr>
          <w:rFonts w:ascii="Calibri" w:eastAsia="Calibri" w:hAnsi="Calibri" w:cs="Calibri"/>
        </w:rPr>
        <w:t xml:space="preserve"> </w:t>
      </w:r>
      <w:r w:rsidR="00023FEF" w:rsidRPr="00A02F33">
        <w:rPr>
          <w:rFonts w:ascii="Calibri" w:eastAsia="Calibri" w:hAnsi="Calibri" w:cs="Calibri"/>
        </w:rPr>
        <w:t xml:space="preserve">of the wound and any dressing requirements. This may be a particular issue for zone II flexor tendon repairs, especially in the index and small fingers where the </w:t>
      </w:r>
      <w:r w:rsidR="00A02F33">
        <w:rPr>
          <w:rFonts w:ascii="Calibri" w:eastAsia="Calibri" w:hAnsi="Calibri" w:cs="Calibri"/>
        </w:rPr>
        <w:t xml:space="preserve">thermoplastic </w:t>
      </w:r>
      <w:r w:rsidR="00023FEF" w:rsidRPr="00A02F33">
        <w:rPr>
          <w:rFonts w:ascii="Calibri" w:eastAsia="Calibri" w:hAnsi="Calibri" w:cs="Calibri"/>
        </w:rPr>
        <w:t>loops circumferentially around these digits. Henry and Howell describe using open</w:t>
      </w:r>
      <w:r w:rsidR="00A12185">
        <w:rPr>
          <w:rFonts w:ascii="Calibri" w:eastAsia="Calibri" w:hAnsi="Calibri" w:cs="Calibri"/>
        </w:rPr>
        <w:t xml:space="preserve"> </w:t>
      </w:r>
      <w:r w:rsidR="00023FEF" w:rsidRPr="00A02F33">
        <w:rPr>
          <w:rFonts w:ascii="Calibri" w:eastAsia="Calibri" w:hAnsi="Calibri" w:cs="Calibri"/>
        </w:rPr>
        <w:t xml:space="preserve">loop designs in these scenarios </w:t>
      </w:r>
      <w:r w:rsidR="00023FEF" w:rsidRPr="00A02F33">
        <w:rPr>
          <w:rFonts w:ascii="Calibri" w:eastAsia="Calibri" w:hAnsi="Calibri" w:cs="Calibri"/>
        </w:rPr>
        <w:fldChar w:fldCharType="begin" w:fldLock="1"/>
      </w:r>
      <w:r w:rsidR="003770A3" w:rsidRPr="00A02F33">
        <w:rPr>
          <w:rFonts w:ascii="Calibri" w:eastAsia="Calibri" w:hAnsi="Calibri" w:cs="Calibri"/>
        </w:rPr>
        <w:instrText>ADDIN CSL_CITATION {"citationItems":[{"id":"ITEM-1","itemData":{"DOI":"10.1016/j.jht.2019.05.002","ISSN":"0894-1130","author":[{"dropping-particle":"","family":"Henry","given":"Steven L","non-dropping-particle":"","parse-names":false,"suffix":""},{"dropping-particle":"","family":"Howell","given":"Julianne W","non-dropping-particle":"","parse-names":false,"suffix":""}],"container-title":"Journal of Hand Therapy","id":"ITEM-1","issue":"3","issued":{"date-parts":[["2020"]]},"page":"296-304","publisher":"Elsevier Inc","title":"Use of a relative motion flexion orthosis for postoperative management of zone I/II flexor digitorum profundus repair: A retrospective consecutive case series","type":"article-journal","volume":"33"},"uris":["http://www.mendeley.com/documents/?uuid=8cf4242d-792a-4604-a722-3df7e36780c9"]}],"mendeley":{"formattedCitation":"(8)","plainTextFormattedCitation":"(8)","previouslyFormattedCitation":"(8)"},"properties":{"noteIndex":0},"schema":"https://github.com/citation-style-language/schema/raw/master/csl-citation.json"}</w:instrText>
      </w:r>
      <w:r w:rsidR="00023FEF" w:rsidRPr="00A02F33">
        <w:rPr>
          <w:rFonts w:ascii="Calibri" w:eastAsia="Calibri" w:hAnsi="Calibri" w:cs="Calibri"/>
        </w:rPr>
        <w:fldChar w:fldCharType="separate"/>
      </w:r>
      <w:r w:rsidR="00327939" w:rsidRPr="00A02F33">
        <w:rPr>
          <w:rFonts w:ascii="Calibri" w:eastAsia="Calibri" w:hAnsi="Calibri" w:cs="Calibri"/>
          <w:noProof/>
        </w:rPr>
        <w:t>(8)</w:t>
      </w:r>
      <w:r w:rsidR="00023FEF" w:rsidRPr="00A02F33">
        <w:rPr>
          <w:rFonts w:ascii="Calibri" w:eastAsia="Calibri" w:hAnsi="Calibri" w:cs="Calibri"/>
        </w:rPr>
        <w:fldChar w:fldCharType="end"/>
      </w:r>
      <w:r w:rsidR="005F2DFD">
        <w:rPr>
          <w:rFonts w:ascii="Calibri" w:eastAsia="Calibri" w:hAnsi="Calibri" w:cs="Calibri"/>
        </w:rPr>
        <w:t>, and we have found these useful in practice</w:t>
      </w:r>
      <w:r w:rsidR="00023FEF" w:rsidRPr="00A02F33">
        <w:rPr>
          <w:rFonts w:ascii="Calibri" w:eastAsia="Calibri" w:hAnsi="Calibri" w:cs="Calibri"/>
        </w:rPr>
        <w:t xml:space="preserve"> (</w:t>
      </w:r>
      <w:r w:rsidR="00432EF5">
        <w:rPr>
          <w:rFonts w:ascii="Calibri" w:eastAsia="Calibri" w:hAnsi="Calibri" w:cs="Calibri"/>
        </w:rPr>
        <w:t xml:space="preserve">Figure </w:t>
      </w:r>
      <w:r w:rsidR="00661CE9">
        <w:rPr>
          <w:rFonts w:ascii="Calibri" w:eastAsia="Calibri" w:hAnsi="Calibri" w:cs="Calibri"/>
        </w:rPr>
        <w:t>3</w:t>
      </w:r>
      <w:r w:rsidR="00432EF5">
        <w:rPr>
          <w:rFonts w:ascii="Calibri" w:eastAsia="Calibri" w:hAnsi="Calibri" w:cs="Calibri"/>
        </w:rPr>
        <w:t xml:space="preserve">). </w:t>
      </w:r>
    </w:p>
    <w:p w14:paraId="21A0314E" w14:textId="77777777" w:rsidR="00432EF5" w:rsidRDefault="00432EF5" w:rsidP="00950475">
      <w:pPr>
        <w:spacing w:line="480" w:lineRule="auto"/>
        <w:rPr>
          <w:rFonts w:ascii="Calibri" w:eastAsia="Calibri" w:hAnsi="Calibri" w:cs="Calibri"/>
        </w:rPr>
      </w:pPr>
    </w:p>
    <w:p w14:paraId="5FA7A4AF" w14:textId="4A24ED58" w:rsidR="001A21C3" w:rsidRPr="00A02F33" w:rsidRDefault="001A21C3" w:rsidP="00950475">
      <w:pPr>
        <w:spacing w:line="480" w:lineRule="auto"/>
        <w:rPr>
          <w:rFonts w:ascii="Calibri" w:eastAsia="Calibri" w:hAnsi="Calibri" w:cs="Calibri"/>
        </w:rPr>
      </w:pPr>
      <w:r w:rsidRPr="00A02F33">
        <w:rPr>
          <w:rFonts w:ascii="Calibri" w:eastAsia="Calibri" w:hAnsi="Calibri" w:cs="Calibri"/>
        </w:rPr>
        <w:lastRenderedPageBreak/>
        <w:t>For the wrist component, over-the-counter orthoses can achieve the desired position.</w:t>
      </w:r>
      <w:r w:rsidR="00E64BDE" w:rsidRPr="00A02F33">
        <w:rPr>
          <w:rFonts w:ascii="Calibri" w:eastAsia="Calibri" w:hAnsi="Calibri" w:cs="Calibri"/>
        </w:rPr>
        <w:t xml:space="preserve"> </w:t>
      </w:r>
      <w:r w:rsidRPr="00A02F33">
        <w:rPr>
          <w:rFonts w:ascii="Calibri" w:eastAsia="Calibri" w:hAnsi="Calibri" w:cs="Calibri"/>
        </w:rPr>
        <w:t>Again</w:t>
      </w:r>
      <w:r w:rsidR="00E64BDE" w:rsidRPr="00A02F33">
        <w:rPr>
          <w:rFonts w:ascii="Calibri" w:eastAsia="Calibri" w:hAnsi="Calibri" w:cs="Calibri"/>
        </w:rPr>
        <w:t>,</w:t>
      </w:r>
      <w:r w:rsidRPr="00A02F33">
        <w:rPr>
          <w:rFonts w:ascii="Calibri" w:eastAsia="Calibri" w:hAnsi="Calibri" w:cs="Calibri"/>
        </w:rPr>
        <w:t xml:space="preserve"> this reduces </w:t>
      </w:r>
      <w:proofErr w:type="gramStart"/>
      <w:r w:rsidRPr="00A02F33">
        <w:rPr>
          <w:rFonts w:ascii="Calibri" w:eastAsia="Calibri" w:hAnsi="Calibri" w:cs="Calibri"/>
        </w:rPr>
        <w:t>therapist</w:t>
      </w:r>
      <w:proofErr w:type="gramEnd"/>
      <w:r w:rsidRPr="00A02F33">
        <w:rPr>
          <w:rFonts w:ascii="Calibri" w:eastAsia="Calibri" w:hAnsi="Calibri" w:cs="Calibri"/>
        </w:rPr>
        <w:t xml:space="preserve"> time and cost. </w:t>
      </w:r>
      <w:r w:rsidR="00725B59" w:rsidRPr="00A02F33">
        <w:rPr>
          <w:rFonts w:ascii="Calibri" w:eastAsia="Calibri" w:hAnsi="Calibri" w:cs="Calibri"/>
        </w:rPr>
        <w:t>Alternatively, a custom-made thermoplastic orthosis could be fabricated in the desired wrist position.</w:t>
      </w:r>
      <w:r w:rsidR="00A02F33" w:rsidRPr="00A02F33">
        <w:rPr>
          <w:rFonts w:ascii="Calibri" w:eastAsia="Calibri" w:hAnsi="Calibri" w:cs="Calibri"/>
        </w:rPr>
        <w:t xml:space="preserve"> </w:t>
      </w:r>
    </w:p>
    <w:p w14:paraId="7FE2CA01" w14:textId="0350CFD8" w:rsidR="005F2DFD" w:rsidRDefault="005F2DFD">
      <w:pPr>
        <w:rPr>
          <w:rFonts w:ascii="Calibri" w:eastAsia="Calibri" w:hAnsi="Calibri" w:cs="Calibri"/>
          <w:color w:val="00B050"/>
        </w:rPr>
      </w:pPr>
    </w:p>
    <w:p w14:paraId="4E4250EF" w14:textId="5E741FD2" w:rsidR="00F92259" w:rsidRDefault="00F92259">
      <w:pPr>
        <w:rPr>
          <w:rFonts w:ascii="Calibri" w:eastAsia="Calibri" w:hAnsi="Calibri" w:cs="Calibri"/>
          <w:color w:val="00B050"/>
        </w:rPr>
      </w:pPr>
    </w:p>
    <w:p w14:paraId="27F59B33" w14:textId="77777777" w:rsidR="00F92259" w:rsidRDefault="00F92259">
      <w:pPr>
        <w:rPr>
          <w:rFonts w:ascii="Calibri" w:eastAsia="Calibri" w:hAnsi="Calibri" w:cs="Calibri"/>
          <w:color w:val="00B05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7"/>
        <w:gridCol w:w="3933"/>
      </w:tblGrid>
      <w:tr w:rsidR="00432EF5" w14:paraId="5D5D43EC" w14:textId="77777777" w:rsidTr="00B20FF5">
        <w:tc>
          <w:tcPr>
            <w:tcW w:w="4707" w:type="dxa"/>
            <w:vAlign w:val="center"/>
          </w:tcPr>
          <w:p w14:paraId="14D4F236" w14:textId="77777777" w:rsidR="00432EF5" w:rsidRDefault="00432EF5" w:rsidP="00950475">
            <w:pPr>
              <w:spacing w:line="480" w:lineRule="auto"/>
              <w:jc w:val="center"/>
              <w:rPr>
                <w:rFonts w:ascii="Calibri" w:eastAsia="Calibri" w:hAnsi="Calibri" w:cs="Calibri"/>
                <w:noProof/>
                <w:color w:val="00B050"/>
              </w:rPr>
            </w:pPr>
          </w:p>
          <w:p w14:paraId="42A30410" w14:textId="3C293B4E" w:rsidR="00432EF5" w:rsidRDefault="00432EF5" w:rsidP="00950475">
            <w:pPr>
              <w:spacing w:line="480" w:lineRule="auto"/>
              <w:jc w:val="center"/>
              <w:rPr>
                <w:rFonts w:ascii="Calibri" w:eastAsia="Calibri" w:hAnsi="Calibri" w:cs="Calibri"/>
                <w:color w:val="00B050"/>
              </w:rPr>
            </w:pPr>
            <w:r>
              <w:rPr>
                <w:rFonts w:ascii="Calibri" w:eastAsia="Calibri" w:hAnsi="Calibri" w:cs="Calibri"/>
                <w:noProof/>
                <w:color w:val="00B050"/>
              </w:rPr>
              <w:drawing>
                <wp:inline distT="0" distB="0" distL="0" distR="0" wp14:anchorId="26A1ACB3" wp14:editId="218310D3">
                  <wp:extent cx="1651996" cy="3038797"/>
                  <wp:effectExtent l="0" t="7620" r="0" b="0"/>
                  <wp:docPr id="3" name="Picture 3" descr="A picture containing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hain&#10;&#10;Description automatically generated"/>
                          <pic:cNvPicPr/>
                        </pic:nvPicPr>
                        <pic:blipFill rotWithShape="1">
                          <a:blip r:embed="rId11" cstate="print">
                            <a:extLst>
                              <a:ext uri="{28A0092B-C50C-407E-A947-70E740481C1C}">
                                <a14:useLocalDpi xmlns:a14="http://schemas.microsoft.com/office/drawing/2010/main" val="0"/>
                              </a:ext>
                            </a:extLst>
                          </a:blip>
                          <a:srcRect l="23978" t="5883" r="22389" b="20125"/>
                          <a:stretch/>
                        </pic:blipFill>
                        <pic:spPr bwMode="auto">
                          <a:xfrm rot="16200000">
                            <a:off x="0" y="0"/>
                            <a:ext cx="1654617" cy="3043618"/>
                          </a:xfrm>
                          <a:prstGeom prst="rect">
                            <a:avLst/>
                          </a:prstGeom>
                          <a:ln>
                            <a:noFill/>
                          </a:ln>
                          <a:extLst>
                            <a:ext uri="{53640926-AAD7-44D8-BBD7-CCE9431645EC}">
                              <a14:shadowObscured xmlns:a14="http://schemas.microsoft.com/office/drawing/2010/main"/>
                            </a:ext>
                          </a:extLst>
                        </pic:spPr>
                      </pic:pic>
                    </a:graphicData>
                  </a:graphic>
                </wp:inline>
              </w:drawing>
            </w:r>
          </w:p>
        </w:tc>
        <w:tc>
          <w:tcPr>
            <w:tcW w:w="3933" w:type="dxa"/>
          </w:tcPr>
          <w:p w14:paraId="5188DE25" w14:textId="77777777" w:rsidR="00432EF5" w:rsidRDefault="00432EF5" w:rsidP="00950475">
            <w:pPr>
              <w:spacing w:line="480" w:lineRule="auto"/>
              <w:rPr>
                <w:rFonts w:ascii="Calibri" w:eastAsia="Calibri" w:hAnsi="Calibri" w:cs="Calibri"/>
                <w:noProof/>
                <w:color w:val="00B050"/>
              </w:rPr>
            </w:pPr>
          </w:p>
          <w:p w14:paraId="02DFC38A" w14:textId="67520B50" w:rsidR="00432EF5" w:rsidRDefault="00432EF5" w:rsidP="00950475">
            <w:pPr>
              <w:spacing w:line="480" w:lineRule="auto"/>
              <w:rPr>
                <w:rFonts w:ascii="Calibri" w:eastAsia="Calibri" w:hAnsi="Calibri" w:cs="Calibri"/>
                <w:color w:val="00B050"/>
              </w:rPr>
            </w:pPr>
            <w:r>
              <w:rPr>
                <w:rFonts w:ascii="Calibri" w:eastAsia="Calibri" w:hAnsi="Calibri" w:cs="Calibri"/>
                <w:noProof/>
                <w:color w:val="00B050"/>
              </w:rPr>
              <w:drawing>
                <wp:inline distT="0" distB="0" distL="0" distR="0" wp14:anchorId="6A5F1E9F" wp14:editId="0527EA3E">
                  <wp:extent cx="2508885" cy="2338086"/>
                  <wp:effectExtent l="0" t="0" r="571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2" cstate="print">
                            <a:extLst>
                              <a:ext uri="{28A0092B-C50C-407E-A947-70E740481C1C}">
                                <a14:useLocalDpi xmlns:a14="http://schemas.microsoft.com/office/drawing/2010/main" val="0"/>
                              </a:ext>
                            </a:extLst>
                          </a:blip>
                          <a:srcRect l="6873" t="21582" b="13327"/>
                          <a:stretch/>
                        </pic:blipFill>
                        <pic:spPr bwMode="auto">
                          <a:xfrm>
                            <a:off x="0" y="0"/>
                            <a:ext cx="2513152" cy="23420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29BE30C0" w14:textId="0060FCB6" w:rsidR="00432EF5" w:rsidRDefault="00432EF5" w:rsidP="00950475">
      <w:pPr>
        <w:spacing w:line="480" w:lineRule="auto"/>
        <w:rPr>
          <w:rFonts w:ascii="Calibri" w:eastAsia="Calibri" w:hAnsi="Calibri" w:cs="Calibri"/>
          <w:color w:val="00B050"/>
        </w:rPr>
      </w:pPr>
    </w:p>
    <w:p w14:paraId="3FFF3282" w14:textId="28008966" w:rsidR="00A12185" w:rsidRDefault="00A12185" w:rsidP="00950475">
      <w:pPr>
        <w:spacing w:line="480" w:lineRule="auto"/>
        <w:rPr>
          <w:rFonts w:ascii="Calibri" w:eastAsia="Calibri" w:hAnsi="Calibri" w:cs="Calibri"/>
        </w:rPr>
      </w:pPr>
      <w:r>
        <w:rPr>
          <w:rFonts w:ascii="Calibri" w:eastAsia="Calibri" w:hAnsi="Calibri" w:cs="Calibri"/>
          <w:b/>
          <w:bCs/>
        </w:rPr>
        <w:t xml:space="preserve">Figure </w:t>
      </w:r>
      <w:r w:rsidR="00661CE9">
        <w:rPr>
          <w:rFonts w:ascii="Calibri" w:eastAsia="Calibri" w:hAnsi="Calibri" w:cs="Calibri"/>
          <w:b/>
          <w:bCs/>
        </w:rPr>
        <w:t>3</w:t>
      </w:r>
      <w:r>
        <w:rPr>
          <w:rFonts w:ascii="Calibri" w:eastAsia="Calibri" w:hAnsi="Calibri" w:cs="Calibri"/>
          <w:b/>
          <w:bCs/>
        </w:rPr>
        <w:t xml:space="preserve">. </w:t>
      </w:r>
      <w:r>
        <w:rPr>
          <w:rFonts w:ascii="Calibri" w:eastAsia="Calibri" w:hAnsi="Calibri" w:cs="Calibri"/>
        </w:rPr>
        <w:t>Relative motion flexion orthosis showing an open loop design for a small finger zone II repair.</w:t>
      </w:r>
    </w:p>
    <w:p w14:paraId="30DE867A" w14:textId="64798989" w:rsidR="00245FF6" w:rsidRDefault="00245FF6" w:rsidP="00950475">
      <w:pPr>
        <w:spacing w:line="480" w:lineRule="auto"/>
        <w:rPr>
          <w:rFonts w:ascii="Calibri" w:eastAsia="Calibri" w:hAnsi="Calibri" w:cs="Calibri"/>
        </w:rPr>
      </w:pPr>
      <w:r>
        <w:rPr>
          <w:rFonts w:ascii="Calibri" w:eastAsia="Calibri" w:hAnsi="Calibri" w:cs="Calibri"/>
        </w:rPr>
        <w:t xml:space="preserve">Images </w:t>
      </w:r>
      <w:r w:rsidRPr="00CE562B">
        <w:rPr>
          <w:rFonts w:ascii="Calibri" w:eastAsia="Calibri" w:hAnsi="Calibri" w:cs="Calibri"/>
          <w:highlight w:val="black"/>
        </w:rPr>
        <w:t>– Emma Bamford</w:t>
      </w:r>
      <w:r w:rsidR="00DF67CD" w:rsidRPr="00CE562B">
        <w:rPr>
          <w:rFonts w:ascii="Calibri" w:eastAsia="Calibri" w:hAnsi="Calibri" w:cs="Calibri"/>
          <w:highlight w:val="black"/>
        </w:rPr>
        <w:t xml:space="preserve">, </w:t>
      </w:r>
      <w:proofErr w:type="spellStart"/>
      <w:r w:rsidR="00DF67CD" w:rsidRPr="00CE562B">
        <w:rPr>
          <w:rFonts w:ascii="Calibri" w:eastAsia="Calibri" w:hAnsi="Calibri" w:cs="Calibri"/>
          <w:highlight w:val="black"/>
        </w:rPr>
        <w:t>Pulvertaft</w:t>
      </w:r>
      <w:proofErr w:type="spellEnd"/>
      <w:r w:rsidR="00DF67CD" w:rsidRPr="00CE562B">
        <w:rPr>
          <w:rFonts w:ascii="Calibri" w:eastAsia="Calibri" w:hAnsi="Calibri" w:cs="Calibri"/>
          <w:highlight w:val="black"/>
        </w:rPr>
        <w:t xml:space="preserve"> Hand Centre, UK</w:t>
      </w:r>
      <w:r w:rsidR="00DF67CD">
        <w:rPr>
          <w:rFonts w:ascii="Calibri" w:eastAsia="Calibri" w:hAnsi="Calibri" w:cs="Calibri"/>
        </w:rPr>
        <w:t>.</w:t>
      </w:r>
    </w:p>
    <w:p w14:paraId="35584E79" w14:textId="77777777" w:rsidR="00B20FF5" w:rsidRPr="00A12185" w:rsidRDefault="00B20FF5" w:rsidP="00950475">
      <w:pPr>
        <w:spacing w:line="480" w:lineRule="auto"/>
        <w:rPr>
          <w:rFonts w:ascii="Calibri" w:eastAsia="Calibri" w:hAnsi="Calibri" w:cs="Calibri"/>
        </w:rPr>
      </w:pPr>
    </w:p>
    <w:p w14:paraId="7056222D" w14:textId="4C80B541" w:rsidR="00A557F2" w:rsidRPr="00B20FF5" w:rsidRDefault="00650F08" w:rsidP="00950475">
      <w:pPr>
        <w:pStyle w:val="Heading2"/>
        <w:spacing w:line="480" w:lineRule="auto"/>
        <w:rPr>
          <w:rFonts w:ascii="Calibri Light" w:hAnsi="Calibri Light" w:cs="Calibri Light"/>
          <w:b w:val="0"/>
          <w:bCs/>
          <w:color w:val="365F91" w:themeColor="accent1" w:themeShade="BF"/>
          <w:sz w:val="32"/>
          <w:szCs w:val="32"/>
        </w:rPr>
      </w:pPr>
      <w:r w:rsidRPr="00B20FF5">
        <w:rPr>
          <w:rFonts w:ascii="Calibri Light" w:hAnsi="Calibri Light" w:cs="Calibri Light"/>
          <w:b w:val="0"/>
          <w:bCs/>
          <w:color w:val="365F91" w:themeColor="accent1" w:themeShade="BF"/>
          <w:sz w:val="32"/>
          <w:szCs w:val="32"/>
        </w:rPr>
        <w:t xml:space="preserve">Exploration of current therapy practice </w:t>
      </w:r>
      <w:r w:rsidR="00EB5A30" w:rsidRPr="00B20FF5">
        <w:rPr>
          <w:rFonts w:ascii="Calibri Light" w:hAnsi="Calibri Light" w:cs="Calibri Light"/>
          <w:b w:val="0"/>
          <w:bCs/>
          <w:color w:val="365F91" w:themeColor="accent1" w:themeShade="BF"/>
          <w:sz w:val="32"/>
          <w:szCs w:val="32"/>
        </w:rPr>
        <w:t xml:space="preserve">and clinical outcomes </w:t>
      </w:r>
    </w:p>
    <w:p w14:paraId="3128CDBF" w14:textId="7B3030B3" w:rsidR="00A339FF" w:rsidRPr="005A6177" w:rsidRDefault="00992562" w:rsidP="00950475">
      <w:pPr>
        <w:spacing w:line="480" w:lineRule="auto"/>
        <w:rPr>
          <w:rFonts w:asciiTheme="majorHAnsi" w:eastAsia="Arial" w:hAnsiTheme="majorHAnsi" w:cstheme="majorHAnsi"/>
        </w:rPr>
      </w:pPr>
      <w:r w:rsidRPr="005A6177">
        <w:rPr>
          <w:rFonts w:asciiTheme="majorHAnsi" w:eastAsia="Arial" w:hAnsiTheme="majorHAnsi" w:cstheme="majorHAnsi"/>
        </w:rPr>
        <w:t xml:space="preserve">A </w:t>
      </w:r>
      <w:r w:rsidR="00027629" w:rsidRPr="005A6177">
        <w:rPr>
          <w:rFonts w:asciiTheme="majorHAnsi" w:eastAsia="Arial" w:hAnsiTheme="majorHAnsi" w:cstheme="majorHAnsi"/>
        </w:rPr>
        <w:t xml:space="preserve">scoping </w:t>
      </w:r>
      <w:r w:rsidR="00A339FF" w:rsidRPr="005A6177">
        <w:rPr>
          <w:rFonts w:asciiTheme="majorHAnsi" w:eastAsia="Arial" w:hAnsiTheme="majorHAnsi" w:cstheme="majorHAnsi"/>
        </w:rPr>
        <w:t xml:space="preserve">survey carried out by the </w:t>
      </w:r>
      <w:proofErr w:type="spellStart"/>
      <w:r w:rsidR="00A339FF" w:rsidRPr="0053657D">
        <w:rPr>
          <w:rFonts w:asciiTheme="majorHAnsi" w:eastAsia="Arial" w:hAnsiTheme="majorHAnsi" w:cstheme="majorHAnsi"/>
          <w:highlight w:val="black"/>
        </w:rPr>
        <w:t>Pulvertaft</w:t>
      </w:r>
      <w:proofErr w:type="spellEnd"/>
      <w:r w:rsidR="00A339FF" w:rsidRPr="0053657D">
        <w:rPr>
          <w:rFonts w:asciiTheme="majorHAnsi" w:eastAsia="Arial" w:hAnsiTheme="majorHAnsi" w:cstheme="majorHAnsi"/>
          <w:highlight w:val="black"/>
        </w:rPr>
        <w:t xml:space="preserve"> Hand Centre</w:t>
      </w:r>
      <w:r w:rsidR="00A339FF" w:rsidRPr="005A6177">
        <w:rPr>
          <w:rFonts w:asciiTheme="majorHAnsi" w:eastAsia="Arial" w:hAnsiTheme="majorHAnsi" w:cstheme="majorHAnsi"/>
        </w:rPr>
        <w:t xml:space="preserve"> </w:t>
      </w:r>
      <w:r w:rsidR="00027629" w:rsidRPr="005A6177">
        <w:rPr>
          <w:rFonts w:asciiTheme="majorHAnsi" w:eastAsia="Arial" w:hAnsiTheme="majorHAnsi" w:cstheme="majorHAnsi"/>
        </w:rPr>
        <w:t xml:space="preserve">(UK) </w:t>
      </w:r>
      <w:r w:rsidR="00A339FF" w:rsidRPr="005A6177">
        <w:rPr>
          <w:rFonts w:asciiTheme="majorHAnsi" w:eastAsia="Arial" w:hAnsiTheme="majorHAnsi" w:cstheme="majorHAnsi"/>
        </w:rPr>
        <w:t>in 2019, suggested tha</w:t>
      </w:r>
      <w:r w:rsidR="00867035">
        <w:rPr>
          <w:rFonts w:asciiTheme="majorHAnsi" w:eastAsia="Arial" w:hAnsiTheme="majorHAnsi" w:cstheme="majorHAnsi"/>
        </w:rPr>
        <w:t>t t</w:t>
      </w:r>
      <w:r w:rsidR="00A339FF" w:rsidRPr="005A6177">
        <w:rPr>
          <w:rFonts w:asciiTheme="majorHAnsi" w:eastAsia="Arial" w:hAnsiTheme="majorHAnsi" w:cstheme="majorHAnsi"/>
        </w:rPr>
        <w:t>h</w:t>
      </w:r>
      <w:r w:rsidR="00027629" w:rsidRPr="005A6177">
        <w:rPr>
          <w:rFonts w:asciiTheme="majorHAnsi" w:eastAsia="Arial" w:hAnsiTheme="majorHAnsi" w:cstheme="majorHAnsi"/>
        </w:rPr>
        <w:t xml:space="preserve">e </w:t>
      </w:r>
      <w:proofErr w:type="spellStart"/>
      <w:r w:rsidR="00027629" w:rsidRPr="005A6177">
        <w:rPr>
          <w:rFonts w:asciiTheme="majorHAnsi" w:eastAsia="Arial" w:hAnsiTheme="majorHAnsi" w:cstheme="majorHAnsi"/>
        </w:rPr>
        <w:t>RMF</w:t>
      </w:r>
      <w:proofErr w:type="spellEnd"/>
      <w:r w:rsidR="00027629" w:rsidRPr="005A6177">
        <w:rPr>
          <w:rFonts w:asciiTheme="majorHAnsi" w:eastAsia="Arial" w:hAnsiTheme="majorHAnsi" w:cstheme="majorHAnsi"/>
        </w:rPr>
        <w:t xml:space="preserve"> orthosis had not been routinely </w:t>
      </w:r>
      <w:r w:rsidR="00A339FF" w:rsidRPr="005A6177">
        <w:rPr>
          <w:rFonts w:asciiTheme="majorHAnsi" w:eastAsia="Arial" w:hAnsiTheme="majorHAnsi" w:cstheme="majorHAnsi"/>
        </w:rPr>
        <w:t xml:space="preserve">adopted </w:t>
      </w:r>
      <w:r w:rsidR="00487408">
        <w:rPr>
          <w:rFonts w:asciiTheme="majorHAnsi" w:eastAsia="Arial" w:hAnsiTheme="majorHAnsi" w:cstheme="majorHAnsi"/>
        </w:rPr>
        <w:t xml:space="preserve">in </w:t>
      </w:r>
      <w:r w:rsidR="00A339FF" w:rsidRPr="005A6177">
        <w:rPr>
          <w:rFonts w:asciiTheme="majorHAnsi" w:eastAsia="Arial" w:hAnsiTheme="majorHAnsi" w:cstheme="majorHAnsi"/>
        </w:rPr>
        <w:t>clinical practice.</w:t>
      </w:r>
      <w:r w:rsidR="00027629" w:rsidRPr="005A6177">
        <w:rPr>
          <w:rFonts w:asciiTheme="majorHAnsi" w:eastAsia="Arial" w:hAnsiTheme="majorHAnsi" w:cstheme="majorHAnsi"/>
        </w:rPr>
        <w:t xml:space="preserve"> Twenty-four hand therapy departments responded </w:t>
      </w:r>
      <w:proofErr w:type="gramStart"/>
      <w:r w:rsidR="00027629" w:rsidRPr="005A6177">
        <w:rPr>
          <w:rFonts w:asciiTheme="majorHAnsi" w:eastAsia="Arial" w:hAnsiTheme="majorHAnsi" w:cstheme="majorHAnsi"/>
        </w:rPr>
        <w:t>from</w:t>
      </w:r>
      <w:proofErr w:type="gramEnd"/>
      <w:r w:rsidR="00027629" w:rsidRPr="005A6177">
        <w:rPr>
          <w:rFonts w:asciiTheme="majorHAnsi" w:eastAsia="Arial" w:hAnsiTheme="majorHAnsi" w:cstheme="majorHAnsi"/>
        </w:rPr>
        <w:t xml:space="preserve"> 64 invitations (38% response rate). </w:t>
      </w:r>
      <w:r w:rsidR="00A339FF" w:rsidRPr="005A6177">
        <w:rPr>
          <w:rFonts w:asciiTheme="majorHAnsi" w:eastAsia="Arial" w:hAnsiTheme="majorHAnsi" w:cstheme="majorHAnsi"/>
        </w:rPr>
        <w:t xml:space="preserve">For zone </w:t>
      </w:r>
      <w:r w:rsidR="00487408">
        <w:rPr>
          <w:rFonts w:asciiTheme="majorHAnsi" w:eastAsia="Arial" w:hAnsiTheme="majorHAnsi" w:cstheme="majorHAnsi"/>
        </w:rPr>
        <w:t xml:space="preserve">II </w:t>
      </w:r>
      <w:r w:rsidR="00487408">
        <w:rPr>
          <w:rFonts w:asciiTheme="majorHAnsi" w:eastAsia="Arial" w:hAnsiTheme="majorHAnsi" w:cstheme="majorHAnsi"/>
        </w:rPr>
        <w:lastRenderedPageBreak/>
        <w:t xml:space="preserve">flexor tendon </w:t>
      </w:r>
      <w:r w:rsidR="00A339FF" w:rsidRPr="005A6177">
        <w:rPr>
          <w:rFonts w:asciiTheme="majorHAnsi" w:eastAsia="Arial" w:hAnsiTheme="majorHAnsi" w:cstheme="majorHAnsi"/>
        </w:rPr>
        <w:t>repair</w:t>
      </w:r>
      <w:r w:rsidR="00027629" w:rsidRPr="005A6177">
        <w:rPr>
          <w:rFonts w:asciiTheme="majorHAnsi" w:eastAsia="Arial" w:hAnsiTheme="majorHAnsi" w:cstheme="majorHAnsi"/>
        </w:rPr>
        <w:t>s</w:t>
      </w:r>
      <w:r w:rsidR="00A339FF" w:rsidRPr="005A6177">
        <w:rPr>
          <w:rFonts w:asciiTheme="majorHAnsi" w:eastAsia="Arial" w:hAnsiTheme="majorHAnsi" w:cstheme="majorHAnsi"/>
        </w:rPr>
        <w:t xml:space="preserve">, </w:t>
      </w:r>
      <w:r w:rsidR="005A6177" w:rsidRPr="005A6177">
        <w:rPr>
          <w:rFonts w:asciiTheme="majorHAnsi" w:eastAsia="Arial" w:hAnsiTheme="majorHAnsi" w:cstheme="majorHAnsi"/>
        </w:rPr>
        <w:t xml:space="preserve">therapy departments </w:t>
      </w:r>
      <w:r w:rsidR="00487408">
        <w:rPr>
          <w:rFonts w:asciiTheme="majorHAnsi" w:eastAsia="Arial" w:hAnsiTheme="majorHAnsi" w:cstheme="majorHAnsi"/>
        </w:rPr>
        <w:t xml:space="preserve">predominately </w:t>
      </w:r>
      <w:r w:rsidR="00027629" w:rsidRPr="005A6177">
        <w:rPr>
          <w:rFonts w:asciiTheme="majorHAnsi" w:eastAsia="Arial" w:hAnsiTheme="majorHAnsi" w:cstheme="majorHAnsi"/>
          <w:color w:val="000000"/>
        </w:rPr>
        <w:t>advocated</w:t>
      </w:r>
      <w:r w:rsidR="005A6177" w:rsidRPr="005A6177">
        <w:rPr>
          <w:rFonts w:asciiTheme="majorHAnsi" w:eastAsia="Arial" w:hAnsiTheme="majorHAnsi" w:cstheme="majorHAnsi"/>
          <w:color w:val="000000"/>
        </w:rPr>
        <w:t xml:space="preserve"> a </w:t>
      </w:r>
      <w:r w:rsidR="00A339FF" w:rsidRPr="005A6177">
        <w:rPr>
          <w:rFonts w:asciiTheme="majorHAnsi" w:eastAsia="Arial" w:hAnsiTheme="majorHAnsi" w:cstheme="majorHAnsi"/>
          <w:color w:val="000000"/>
        </w:rPr>
        <w:t xml:space="preserve">controlled </w:t>
      </w:r>
      <w:r w:rsidR="0033731F">
        <w:rPr>
          <w:rFonts w:asciiTheme="majorHAnsi" w:eastAsia="Arial" w:hAnsiTheme="majorHAnsi" w:cstheme="majorHAnsi"/>
          <w:color w:val="000000"/>
        </w:rPr>
        <w:t xml:space="preserve">early </w:t>
      </w:r>
      <w:r w:rsidR="00A339FF" w:rsidRPr="005A6177">
        <w:rPr>
          <w:rFonts w:asciiTheme="majorHAnsi" w:eastAsia="Arial" w:hAnsiTheme="majorHAnsi" w:cstheme="majorHAnsi"/>
          <w:color w:val="000000"/>
        </w:rPr>
        <w:t xml:space="preserve">active motion </w:t>
      </w:r>
      <w:r w:rsidR="0033731F">
        <w:rPr>
          <w:rFonts w:asciiTheme="majorHAnsi" w:eastAsia="Arial" w:hAnsiTheme="majorHAnsi" w:cstheme="majorHAnsi"/>
          <w:color w:val="000000"/>
        </w:rPr>
        <w:t xml:space="preserve">approach </w:t>
      </w:r>
      <w:r w:rsidR="00A339FF" w:rsidRPr="005A6177">
        <w:rPr>
          <w:rFonts w:asciiTheme="majorHAnsi" w:eastAsia="Arial" w:hAnsiTheme="majorHAnsi" w:cstheme="majorHAnsi"/>
          <w:color w:val="000000"/>
        </w:rPr>
        <w:t xml:space="preserve">with </w:t>
      </w:r>
      <w:r w:rsidR="005A6177" w:rsidRPr="005A6177">
        <w:rPr>
          <w:rFonts w:asciiTheme="majorHAnsi" w:eastAsia="Arial" w:hAnsiTheme="majorHAnsi" w:cstheme="majorHAnsi"/>
          <w:color w:val="000000"/>
        </w:rPr>
        <w:t xml:space="preserve">either </w:t>
      </w:r>
      <w:r w:rsidR="00EE4519">
        <w:rPr>
          <w:rFonts w:asciiTheme="majorHAnsi" w:eastAsia="Arial" w:hAnsiTheme="majorHAnsi" w:cstheme="majorHAnsi"/>
          <w:color w:val="000000"/>
        </w:rPr>
        <w:t>a long dorsal-blocking</w:t>
      </w:r>
      <w:r w:rsidR="00A339FF" w:rsidRPr="005A6177">
        <w:rPr>
          <w:rFonts w:asciiTheme="majorHAnsi" w:eastAsia="Arial" w:hAnsiTheme="majorHAnsi" w:cstheme="majorHAnsi"/>
          <w:color w:val="000000"/>
        </w:rPr>
        <w:t xml:space="preserve"> </w:t>
      </w:r>
      <w:proofErr w:type="spellStart"/>
      <w:r w:rsidR="0033731F">
        <w:rPr>
          <w:rFonts w:asciiTheme="majorHAnsi" w:eastAsia="Arial" w:hAnsiTheme="majorHAnsi" w:cstheme="majorHAnsi"/>
          <w:color w:val="000000"/>
        </w:rPr>
        <w:t>WHFO</w:t>
      </w:r>
      <w:proofErr w:type="spellEnd"/>
      <w:r w:rsidR="00A339FF" w:rsidRPr="007F45D7">
        <w:rPr>
          <w:rFonts w:asciiTheme="majorHAnsi" w:eastAsia="Arial" w:hAnsiTheme="majorHAnsi" w:cstheme="majorHAnsi"/>
          <w:color w:val="000000"/>
        </w:rPr>
        <w:t xml:space="preserve"> (52%)</w:t>
      </w:r>
      <w:r w:rsidR="005A6177" w:rsidRPr="007F45D7">
        <w:rPr>
          <w:rFonts w:asciiTheme="majorHAnsi" w:eastAsia="Arial" w:hAnsiTheme="majorHAnsi" w:cstheme="majorHAnsi"/>
          <w:color w:val="000000"/>
        </w:rPr>
        <w:t xml:space="preserve"> or the </w:t>
      </w:r>
      <w:r w:rsidR="00A339FF" w:rsidRPr="007F45D7">
        <w:rPr>
          <w:rFonts w:asciiTheme="majorHAnsi" w:eastAsia="Arial" w:hAnsiTheme="majorHAnsi" w:cstheme="majorHAnsi"/>
          <w:color w:val="000000"/>
        </w:rPr>
        <w:t>Manchester short splint (44%)</w:t>
      </w:r>
      <w:r w:rsidR="00F92259">
        <w:rPr>
          <w:rFonts w:asciiTheme="majorHAnsi" w:eastAsia="Arial" w:hAnsiTheme="majorHAnsi" w:cstheme="majorHAnsi"/>
          <w:color w:val="000000"/>
        </w:rPr>
        <w:t>.</w:t>
      </w:r>
      <w:r w:rsidR="007F45D7">
        <w:rPr>
          <w:rFonts w:asciiTheme="majorHAnsi" w:eastAsia="Arial" w:hAnsiTheme="majorHAnsi" w:cstheme="majorHAnsi"/>
          <w:color w:val="000000"/>
        </w:rPr>
        <w:t xml:space="preserve"> The remaining </w:t>
      </w:r>
      <w:r w:rsidR="006021AA">
        <w:rPr>
          <w:rFonts w:asciiTheme="majorHAnsi" w:eastAsia="Arial" w:hAnsiTheme="majorHAnsi" w:cstheme="majorHAnsi"/>
          <w:color w:val="000000"/>
        </w:rPr>
        <w:t>approaches</w:t>
      </w:r>
      <w:r w:rsidR="007F45D7">
        <w:rPr>
          <w:rFonts w:asciiTheme="majorHAnsi" w:eastAsia="Arial" w:hAnsiTheme="majorHAnsi" w:cstheme="majorHAnsi"/>
          <w:color w:val="000000"/>
        </w:rPr>
        <w:t xml:space="preserve"> involved immobilization (4%)</w:t>
      </w:r>
      <w:r w:rsidR="00A339FF" w:rsidRPr="007F45D7">
        <w:rPr>
          <w:rFonts w:asciiTheme="majorHAnsi" w:eastAsia="Arial" w:hAnsiTheme="majorHAnsi" w:cstheme="majorHAnsi"/>
          <w:color w:val="000000"/>
        </w:rPr>
        <w:t xml:space="preserve">. For </w:t>
      </w:r>
      <w:r w:rsidR="00487408" w:rsidRPr="007F45D7">
        <w:rPr>
          <w:rFonts w:asciiTheme="majorHAnsi" w:eastAsia="Arial" w:hAnsiTheme="majorHAnsi" w:cstheme="majorHAnsi"/>
          <w:color w:val="000000"/>
        </w:rPr>
        <w:t>z</w:t>
      </w:r>
      <w:r w:rsidR="00A339FF" w:rsidRPr="007F45D7">
        <w:rPr>
          <w:rFonts w:asciiTheme="majorHAnsi" w:eastAsia="Arial" w:hAnsiTheme="majorHAnsi" w:cstheme="majorHAnsi"/>
          <w:color w:val="000000"/>
        </w:rPr>
        <w:t xml:space="preserve">one </w:t>
      </w:r>
      <w:r w:rsidR="00487408" w:rsidRPr="007F45D7">
        <w:rPr>
          <w:rFonts w:asciiTheme="majorHAnsi" w:eastAsia="Arial" w:hAnsiTheme="majorHAnsi" w:cstheme="majorHAnsi"/>
          <w:color w:val="000000"/>
        </w:rPr>
        <w:t>III repairs</w:t>
      </w:r>
      <w:r w:rsidR="005A6177" w:rsidRPr="007F45D7">
        <w:rPr>
          <w:rFonts w:asciiTheme="majorHAnsi" w:eastAsia="Arial" w:hAnsiTheme="majorHAnsi" w:cstheme="majorHAnsi"/>
          <w:color w:val="000000"/>
        </w:rPr>
        <w:t xml:space="preserve">, </w:t>
      </w:r>
      <w:r w:rsidR="00EE4519" w:rsidRPr="007F45D7">
        <w:rPr>
          <w:rFonts w:asciiTheme="majorHAnsi" w:eastAsia="Arial" w:hAnsiTheme="majorHAnsi" w:cstheme="majorHAnsi"/>
          <w:color w:val="000000"/>
        </w:rPr>
        <w:t xml:space="preserve">84% recommended using the long dorsal-blocking </w:t>
      </w:r>
      <w:proofErr w:type="spellStart"/>
      <w:r w:rsidR="00F553C4">
        <w:rPr>
          <w:rFonts w:asciiTheme="majorHAnsi" w:eastAsia="Arial" w:hAnsiTheme="majorHAnsi" w:cstheme="majorHAnsi"/>
          <w:color w:val="000000"/>
        </w:rPr>
        <w:t>WHFO</w:t>
      </w:r>
      <w:proofErr w:type="spellEnd"/>
      <w:r w:rsidR="00EE4519" w:rsidRPr="007F45D7">
        <w:rPr>
          <w:rFonts w:asciiTheme="majorHAnsi" w:eastAsia="Arial" w:hAnsiTheme="majorHAnsi" w:cstheme="majorHAnsi"/>
          <w:color w:val="000000"/>
        </w:rPr>
        <w:t>, compared with 16% for the Manchester short splint</w:t>
      </w:r>
      <w:r w:rsidR="00487408" w:rsidRPr="007F45D7">
        <w:rPr>
          <w:rFonts w:asciiTheme="majorHAnsi" w:eastAsia="Arial" w:hAnsiTheme="majorHAnsi" w:cstheme="majorHAnsi"/>
          <w:color w:val="000000"/>
        </w:rPr>
        <w:t>.</w:t>
      </w:r>
      <w:r w:rsidR="007F45D7">
        <w:rPr>
          <w:rFonts w:asciiTheme="majorHAnsi" w:eastAsia="Arial" w:hAnsiTheme="majorHAnsi" w:cstheme="majorHAnsi"/>
          <w:color w:val="000000"/>
        </w:rPr>
        <w:t xml:space="preserve"> </w:t>
      </w:r>
      <w:r w:rsidR="00796DD6">
        <w:rPr>
          <w:rFonts w:asciiTheme="majorHAnsi" w:eastAsia="Arial" w:hAnsiTheme="majorHAnsi" w:cstheme="majorHAnsi"/>
          <w:color w:val="000000"/>
        </w:rPr>
        <w:t xml:space="preserve">None of the departments reported using </w:t>
      </w:r>
      <w:proofErr w:type="gramStart"/>
      <w:r w:rsidR="00796DD6">
        <w:rPr>
          <w:rFonts w:asciiTheme="majorHAnsi" w:eastAsia="Arial" w:hAnsiTheme="majorHAnsi" w:cstheme="majorHAnsi"/>
          <w:color w:val="000000"/>
        </w:rPr>
        <w:t xml:space="preserve">a </w:t>
      </w:r>
      <w:proofErr w:type="spellStart"/>
      <w:r w:rsidR="00796DD6">
        <w:rPr>
          <w:rFonts w:asciiTheme="majorHAnsi" w:eastAsia="Arial" w:hAnsiTheme="majorHAnsi" w:cstheme="majorHAnsi"/>
          <w:color w:val="000000"/>
        </w:rPr>
        <w:t>RMF</w:t>
      </w:r>
      <w:proofErr w:type="spellEnd"/>
      <w:proofErr w:type="gramEnd"/>
      <w:r w:rsidR="00796DD6">
        <w:rPr>
          <w:rFonts w:asciiTheme="majorHAnsi" w:eastAsia="Arial" w:hAnsiTheme="majorHAnsi" w:cstheme="majorHAnsi"/>
          <w:color w:val="000000"/>
        </w:rPr>
        <w:t xml:space="preserve"> approach.</w:t>
      </w:r>
    </w:p>
    <w:p w14:paraId="6055C325" w14:textId="77777777" w:rsidR="00A339FF" w:rsidRDefault="00A339FF" w:rsidP="00950475">
      <w:pPr>
        <w:spacing w:line="480" w:lineRule="auto"/>
        <w:rPr>
          <w:rFonts w:asciiTheme="majorHAnsi" w:eastAsia="Arial" w:hAnsiTheme="majorHAnsi" w:cstheme="majorHAnsi"/>
        </w:rPr>
      </w:pPr>
    </w:p>
    <w:p w14:paraId="4C4BA20A" w14:textId="0DD21DBF" w:rsidR="00AB7574" w:rsidRDefault="000F0B15" w:rsidP="00950475">
      <w:pPr>
        <w:spacing w:line="480" w:lineRule="auto"/>
        <w:rPr>
          <w:rFonts w:asciiTheme="majorHAnsi" w:eastAsia="Arial" w:hAnsiTheme="majorHAnsi" w:cstheme="majorHAnsi"/>
        </w:rPr>
      </w:pPr>
      <w:r>
        <w:rPr>
          <w:rFonts w:asciiTheme="majorHAnsi" w:eastAsia="Arial" w:hAnsiTheme="majorHAnsi" w:cstheme="majorHAnsi"/>
        </w:rPr>
        <w:t>T</w:t>
      </w:r>
      <w:r w:rsidR="00487408">
        <w:rPr>
          <w:rFonts w:asciiTheme="majorHAnsi" w:eastAsia="Arial" w:hAnsiTheme="majorHAnsi" w:cstheme="majorHAnsi"/>
        </w:rPr>
        <w:t xml:space="preserve">he hand therapy team at </w:t>
      </w:r>
      <w:proofErr w:type="spellStart"/>
      <w:r w:rsidR="00487408" w:rsidRPr="0053657D">
        <w:rPr>
          <w:rFonts w:asciiTheme="majorHAnsi" w:eastAsia="Arial" w:hAnsiTheme="majorHAnsi" w:cstheme="majorHAnsi"/>
          <w:highlight w:val="black"/>
        </w:rPr>
        <w:t>Pulvertaft</w:t>
      </w:r>
      <w:proofErr w:type="spellEnd"/>
      <w:r w:rsidR="00487408" w:rsidRPr="0053657D">
        <w:rPr>
          <w:rFonts w:asciiTheme="majorHAnsi" w:eastAsia="Arial" w:hAnsiTheme="majorHAnsi" w:cstheme="majorHAnsi"/>
          <w:highlight w:val="black"/>
        </w:rPr>
        <w:t xml:space="preserve"> Hand Centre</w:t>
      </w:r>
      <w:r>
        <w:rPr>
          <w:rFonts w:asciiTheme="majorHAnsi" w:eastAsia="Arial" w:hAnsiTheme="majorHAnsi" w:cstheme="majorHAnsi"/>
        </w:rPr>
        <w:t xml:space="preserve"> </w:t>
      </w:r>
      <w:r w:rsidR="00487408">
        <w:rPr>
          <w:rFonts w:asciiTheme="majorHAnsi" w:eastAsia="Arial" w:hAnsiTheme="majorHAnsi" w:cstheme="majorHAnsi"/>
        </w:rPr>
        <w:t xml:space="preserve">have experience of using </w:t>
      </w:r>
      <w:proofErr w:type="spellStart"/>
      <w:r w:rsidR="00487408">
        <w:rPr>
          <w:rFonts w:asciiTheme="majorHAnsi" w:eastAsia="Arial" w:hAnsiTheme="majorHAnsi" w:cstheme="majorHAnsi"/>
        </w:rPr>
        <w:t>RMF</w:t>
      </w:r>
      <w:proofErr w:type="spellEnd"/>
      <w:r w:rsidR="00487408">
        <w:rPr>
          <w:rFonts w:asciiTheme="majorHAnsi" w:eastAsia="Arial" w:hAnsiTheme="majorHAnsi" w:cstheme="majorHAnsi"/>
        </w:rPr>
        <w:t xml:space="preserve"> as the primary orthotic strategy after</w:t>
      </w:r>
      <w:r w:rsidR="00EE4519">
        <w:rPr>
          <w:rFonts w:asciiTheme="majorHAnsi" w:eastAsia="Arial" w:hAnsiTheme="majorHAnsi" w:cstheme="majorHAnsi"/>
        </w:rPr>
        <w:t xml:space="preserve"> zone I and II</w:t>
      </w:r>
      <w:r w:rsidR="00487408">
        <w:rPr>
          <w:rFonts w:asciiTheme="majorHAnsi" w:eastAsia="Arial" w:hAnsiTheme="majorHAnsi" w:cstheme="majorHAnsi"/>
        </w:rPr>
        <w:t xml:space="preserve"> flexor tendon repair.</w:t>
      </w:r>
      <w:r>
        <w:rPr>
          <w:rFonts w:asciiTheme="majorHAnsi" w:eastAsia="Arial" w:hAnsiTheme="majorHAnsi" w:cstheme="majorHAnsi"/>
        </w:rPr>
        <w:t xml:space="preserve"> To supplement the retrospective data published by Henry and Howell </w:t>
      </w:r>
      <w:r>
        <w:rPr>
          <w:rFonts w:asciiTheme="majorHAnsi" w:eastAsia="Arial" w:hAnsiTheme="majorHAnsi" w:cstheme="majorHAnsi"/>
        </w:rPr>
        <w:fldChar w:fldCharType="begin" w:fldLock="1"/>
      </w:r>
      <w:r w:rsidR="00383412">
        <w:rPr>
          <w:rFonts w:asciiTheme="majorHAnsi" w:eastAsia="Arial" w:hAnsiTheme="majorHAnsi" w:cstheme="majorHAnsi"/>
        </w:rPr>
        <w:instrText>ADDIN CSL_CITATION {"citationItems":[{"id":"ITEM-1","itemData":{"DOI":"10.1016/j.jht.2019.05.002","ISSN":"0894-1130","author":[{"dropping-particle":"","family":"Henry","given":"Steven L","non-dropping-particle":"","parse-names":false,"suffix":""},{"dropping-particle":"","family":"Howell","given":"Julianne W","non-dropping-particle":"","parse-names":false,"suffix":""}],"container-title":"Journal of Hand Therapy","id":"ITEM-1","issue":"3","issued":{"date-parts":[["2020"]]},"page":"296-304","publisher":"Elsevier Inc","title":"Use of a relative motion flexion orthosis for postoperative management of zone I/II flexor digitorum profundus repair: A retrospective consecutive case series","type":"article-journal","volume":"33"},"uris":["http://www.mendeley.com/documents/?uuid=8cf4242d-792a-4604-a722-3df7e36780c9"]}],"mendeley":{"formattedCitation":"(8)","plainTextFormattedCitation":"(8)","previouslyFormattedCitation":"(8)"},"properties":{"noteIndex":0},"schema":"https://github.com/citation-style-language/schema/raw/master/csl-citation.json"}</w:instrText>
      </w:r>
      <w:r>
        <w:rPr>
          <w:rFonts w:asciiTheme="majorHAnsi" w:eastAsia="Arial" w:hAnsiTheme="majorHAnsi" w:cstheme="majorHAnsi"/>
        </w:rPr>
        <w:fldChar w:fldCharType="separate"/>
      </w:r>
      <w:r w:rsidRPr="000F0B15">
        <w:rPr>
          <w:rFonts w:asciiTheme="majorHAnsi" w:eastAsia="Arial" w:hAnsiTheme="majorHAnsi" w:cstheme="majorHAnsi"/>
          <w:noProof/>
        </w:rPr>
        <w:t>(8)</w:t>
      </w:r>
      <w:r>
        <w:rPr>
          <w:rFonts w:asciiTheme="majorHAnsi" w:eastAsia="Arial" w:hAnsiTheme="majorHAnsi" w:cstheme="majorHAnsi"/>
        </w:rPr>
        <w:fldChar w:fldCharType="end"/>
      </w:r>
      <w:r>
        <w:rPr>
          <w:rFonts w:asciiTheme="majorHAnsi" w:eastAsia="Arial" w:hAnsiTheme="majorHAnsi" w:cstheme="majorHAnsi"/>
        </w:rPr>
        <w:t>, w</w:t>
      </w:r>
      <w:r w:rsidR="00D7093E" w:rsidRPr="00DF1C69">
        <w:rPr>
          <w:rFonts w:asciiTheme="majorHAnsi" w:eastAsia="Arial" w:hAnsiTheme="majorHAnsi" w:cstheme="majorHAnsi"/>
        </w:rPr>
        <w:t xml:space="preserve">e present the findings of a </w:t>
      </w:r>
      <w:r w:rsidR="002D36D1">
        <w:rPr>
          <w:rFonts w:asciiTheme="majorHAnsi" w:eastAsia="Arial" w:hAnsiTheme="majorHAnsi" w:cstheme="majorHAnsi"/>
        </w:rPr>
        <w:t xml:space="preserve">sequentially recruited </w:t>
      </w:r>
      <w:r w:rsidR="00D7093E" w:rsidRPr="00DF1C69">
        <w:rPr>
          <w:rFonts w:asciiTheme="majorHAnsi" w:eastAsia="Arial" w:hAnsiTheme="majorHAnsi" w:cstheme="majorHAnsi"/>
        </w:rPr>
        <w:t xml:space="preserve">prospective </w:t>
      </w:r>
      <w:r>
        <w:rPr>
          <w:rFonts w:asciiTheme="majorHAnsi" w:eastAsia="Arial" w:hAnsiTheme="majorHAnsi" w:cstheme="majorHAnsi"/>
        </w:rPr>
        <w:t>case series of</w:t>
      </w:r>
      <w:r w:rsidR="00D7093E" w:rsidRPr="00DF1C69">
        <w:rPr>
          <w:rFonts w:asciiTheme="majorHAnsi" w:eastAsia="Arial" w:hAnsiTheme="majorHAnsi" w:cstheme="majorHAnsi"/>
        </w:rPr>
        <w:t xml:space="preserve"> </w:t>
      </w:r>
      <w:r w:rsidR="00D052EE">
        <w:rPr>
          <w:rFonts w:asciiTheme="majorHAnsi" w:eastAsia="Arial" w:hAnsiTheme="majorHAnsi" w:cstheme="majorHAnsi"/>
        </w:rPr>
        <w:t>18</w:t>
      </w:r>
      <w:r w:rsidR="00D7093E" w:rsidRPr="00DF1C69">
        <w:rPr>
          <w:rFonts w:asciiTheme="majorHAnsi" w:eastAsia="Arial" w:hAnsiTheme="majorHAnsi" w:cstheme="majorHAnsi"/>
        </w:rPr>
        <w:t xml:space="preserve"> patients who underwent FDP </w:t>
      </w:r>
      <w:r w:rsidR="00B4090F">
        <w:rPr>
          <w:rFonts w:asciiTheme="majorHAnsi" w:eastAsia="Arial" w:hAnsiTheme="majorHAnsi" w:cstheme="majorHAnsi"/>
        </w:rPr>
        <w:t>repair</w:t>
      </w:r>
      <w:r w:rsidR="00E149F7">
        <w:rPr>
          <w:rFonts w:asciiTheme="majorHAnsi" w:eastAsia="Arial" w:hAnsiTheme="majorHAnsi" w:cstheme="majorHAnsi"/>
        </w:rPr>
        <w:t xml:space="preserve"> between June 2020 and January 2022</w:t>
      </w:r>
      <w:r w:rsidR="006F081A">
        <w:rPr>
          <w:rFonts w:asciiTheme="majorHAnsi" w:eastAsia="Arial" w:hAnsiTheme="majorHAnsi" w:cstheme="majorHAnsi"/>
        </w:rPr>
        <w:t xml:space="preserve">. </w:t>
      </w:r>
      <w:r w:rsidR="006240A4">
        <w:rPr>
          <w:rFonts w:asciiTheme="majorHAnsi" w:eastAsia="Arial" w:hAnsiTheme="majorHAnsi" w:cstheme="majorHAnsi"/>
        </w:rPr>
        <w:t xml:space="preserve">Inclusion criteria </w:t>
      </w:r>
      <w:proofErr w:type="gramStart"/>
      <w:r w:rsidR="006240A4">
        <w:rPr>
          <w:rFonts w:asciiTheme="majorHAnsi" w:eastAsia="Arial" w:hAnsiTheme="majorHAnsi" w:cstheme="majorHAnsi"/>
        </w:rPr>
        <w:t>were:</w:t>
      </w:r>
      <w:proofErr w:type="gramEnd"/>
      <w:r w:rsidR="006240A4">
        <w:rPr>
          <w:rFonts w:asciiTheme="majorHAnsi" w:eastAsia="Arial" w:hAnsiTheme="majorHAnsi" w:cstheme="majorHAnsi"/>
        </w:rPr>
        <w:t xml:space="preserve"> single digit flexor tendon repairs in zone I or II; and surgeon approval to use the </w:t>
      </w:r>
      <w:proofErr w:type="spellStart"/>
      <w:r w:rsidR="006240A4">
        <w:rPr>
          <w:rFonts w:asciiTheme="majorHAnsi" w:eastAsia="Arial" w:hAnsiTheme="majorHAnsi" w:cstheme="majorHAnsi"/>
        </w:rPr>
        <w:t>RMF</w:t>
      </w:r>
      <w:proofErr w:type="spellEnd"/>
      <w:r w:rsidR="006240A4">
        <w:rPr>
          <w:rFonts w:asciiTheme="majorHAnsi" w:eastAsia="Arial" w:hAnsiTheme="majorHAnsi" w:cstheme="majorHAnsi"/>
        </w:rPr>
        <w:t xml:space="preserve"> o</w:t>
      </w:r>
      <w:r w:rsidR="003F552D">
        <w:rPr>
          <w:rFonts w:asciiTheme="majorHAnsi" w:eastAsia="Arial" w:hAnsiTheme="majorHAnsi" w:cstheme="majorHAnsi"/>
        </w:rPr>
        <w:t>r</w:t>
      </w:r>
      <w:r w:rsidR="006240A4">
        <w:rPr>
          <w:rFonts w:asciiTheme="majorHAnsi" w:eastAsia="Arial" w:hAnsiTheme="majorHAnsi" w:cstheme="majorHAnsi"/>
        </w:rPr>
        <w:t>thosis</w:t>
      </w:r>
      <w:r w:rsidR="003F552D">
        <w:rPr>
          <w:rFonts w:asciiTheme="majorHAnsi" w:eastAsia="Arial" w:hAnsiTheme="majorHAnsi" w:cstheme="majorHAnsi"/>
        </w:rPr>
        <w:t xml:space="preserve">. The latter was </w:t>
      </w:r>
      <w:r w:rsidR="006240A4">
        <w:rPr>
          <w:rFonts w:asciiTheme="majorHAnsi" w:eastAsia="Arial" w:hAnsiTheme="majorHAnsi" w:cstheme="majorHAnsi"/>
        </w:rPr>
        <w:t>primarily based on confidence in the strength of their repair</w:t>
      </w:r>
      <w:r w:rsidR="003F552D">
        <w:rPr>
          <w:rFonts w:asciiTheme="majorHAnsi" w:eastAsia="Arial" w:hAnsiTheme="majorHAnsi" w:cstheme="majorHAnsi"/>
        </w:rPr>
        <w:t xml:space="preserve"> and willingness to trial the </w:t>
      </w:r>
      <w:proofErr w:type="spellStart"/>
      <w:r w:rsidR="003F552D">
        <w:rPr>
          <w:rFonts w:asciiTheme="majorHAnsi" w:eastAsia="Arial" w:hAnsiTheme="majorHAnsi" w:cstheme="majorHAnsi"/>
        </w:rPr>
        <w:t>RMF</w:t>
      </w:r>
      <w:proofErr w:type="spellEnd"/>
      <w:r w:rsidR="003F552D">
        <w:rPr>
          <w:rFonts w:asciiTheme="majorHAnsi" w:eastAsia="Arial" w:hAnsiTheme="majorHAnsi" w:cstheme="majorHAnsi"/>
        </w:rPr>
        <w:t xml:space="preserve"> approach, which had not previously been used within the department</w:t>
      </w:r>
      <w:r w:rsidR="006240A4">
        <w:rPr>
          <w:rFonts w:asciiTheme="majorHAnsi" w:eastAsia="Arial" w:hAnsiTheme="majorHAnsi" w:cstheme="majorHAnsi"/>
        </w:rPr>
        <w:t xml:space="preserve">. </w:t>
      </w:r>
      <w:r w:rsidR="00B82D70">
        <w:rPr>
          <w:rFonts w:asciiTheme="majorHAnsi" w:eastAsia="Arial" w:hAnsiTheme="majorHAnsi" w:cstheme="majorHAnsi"/>
        </w:rPr>
        <w:t>Individuals</w:t>
      </w:r>
      <w:r w:rsidR="006F081A">
        <w:rPr>
          <w:rFonts w:asciiTheme="majorHAnsi" w:eastAsia="Arial" w:hAnsiTheme="majorHAnsi" w:cstheme="majorHAnsi"/>
        </w:rPr>
        <w:t xml:space="preserve"> with </w:t>
      </w:r>
      <w:r w:rsidR="00D7093E" w:rsidRPr="00DF1C69">
        <w:rPr>
          <w:rFonts w:asciiTheme="majorHAnsi" w:eastAsia="Arial" w:hAnsiTheme="majorHAnsi" w:cstheme="majorHAnsi"/>
        </w:rPr>
        <w:t>associat</w:t>
      </w:r>
      <w:r w:rsidR="00DF1C69">
        <w:rPr>
          <w:rFonts w:asciiTheme="majorHAnsi" w:eastAsia="Arial" w:hAnsiTheme="majorHAnsi" w:cstheme="majorHAnsi"/>
        </w:rPr>
        <w:t>ed</w:t>
      </w:r>
      <w:r w:rsidR="00D7093E" w:rsidRPr="00DF1C69">
        <w:rPr>
          <w:rFonts w:asciiTheme="majorHAnsi" w:eastAsia="Arial" w:hAnsiTheme="majorHAnsi" w:cstheme="majorHAnsi"/>
        </w:rPr>
        <w:t xml:space="preserve"> FDS and digital nerve repairs</w:t>
      </w:r>
      <w:r w:rsidR="006F081A">
        <w:rPr>
          <w:rFonts w:asciiTheme="majorHAnsi" w:eastAsia="Arial" w:hAnsiTheme="majorHAnsi" w:cstheme="majorHAnsi"/>
        </w:rPr>
        <w:t xml:space="preserve"> were not purposively excluded, however none </w:t>
      </w:r>
      <w:proofErr w:type="gramStart"/>
      <w:r w:rsidR="006F081A">
        <w:rPr>
          <w:rFonts w:asciiTheme="majorHAnsi" w:eastAsia="Arial" w:hAnsiTheme="majorHAnsi" w:cstheme="majorHAnsi"/>
        </w:rPr>
        <w:t>presented</w:t>
      </w:r>
      <w:proofErr w:type="gramEnd"/>
      <w:r w:rsidR="006F081A">
        <w:rPr>
          <w:rFonts w:asciiTheme="majorHAnsi" w:eastAsia="Arial" w:hAnsiTheme="majorHAnsi" w:cstheme="majorHAnsi"/>
        </w:rPr>
        <w:t xml:space="preserve"> during the period of data collection</w:t>
      </w:r>
      <w:r w:rsidR="00D7093E" w:rsidRPr="00DF1C69">
        <w:rPr>
          <w:rFonts w:asciiTheme="majorHAnsi" w:eastAsia="Arial" w:hAnsiTheme="majorHAnsi" w:cstheme="majorHAnsi"/>
        </w:rPr>
        <w:t xml:space="preserve">. Patients were recruited </w:t>
      </w:r>
      <w:r w:rsidR="00863844">
        <w:rPr>
          <w:rFonts w:asciiTheme="majorHAnsi" w:eastAsia="Arial" w:hAnsiTheme="majorHAnsi" w:cstheme="majorHAnsi"/>
        </w:rPr>
        <w:t xml:space="preserve">with </w:t>
      </w:r>
      <w:r w:rsidR="009531A4">
        <w:rPr>
          <w:rFonts w:asciiTheme="majorHAnsi" w:eastAsia="Arial" w:hAnsiTheme="majorHAnsi" w:cstheme="majorHAnsi"/>
        </w:rPr>
        <w:t>local approval (</w:t>
      </w:r>
      <w:r w:rsidR="009531A4" w:rsidRPr="0053657D">
        <w:rPr>
          <w:rFonts w:asciiTheme="majorHAnsi" w:eastAsia="Arial" w:hAnsiTheme="majorHAnsi" w:cstheme="majorHAnsi"/>
          <w:highlight w:val="black"/>
        </w:rPr>
        <w:t>University Hospitals of Derby and Burton Clinical Audit Department</w:t>
      </w:r>
      <w:r w:rsidR="009531A4">
        <w:rPr>
          <w:rFonts w:asciiTheme="majorHAnsi" w:eastAsia="Arial" w:hAnsiTheme="majorHAnsi" w:cstheme="majorHAnsi"/>
        </w:rPr>
        <w:t>)</w:t>
      </w:r>
      <w:r w:rsidR="00EE4519">
        <w:rPr>
          <w:rFonts w:asciiTheme="majorHAnsi" w:eastAsia="Arial" w:hAnsiTheme="majorHAnsi" w:cstheme="majorHAnsi"/>
        </w:rPr>
        <w:t xml:space="preserve"> as part of an ongoing service evaluation using routinely collected data</w:t>
      </w:r>
      <w:r w:rsidR="00661CE9">
        <w:rPr>
          <w:rFonts w:asciiTheme="majorHAnsi" w:eastAsia="Arial" w:hAnsiTheme="majorHAnsi" w:cstheme="majorHAnsi"/>
        </w:rPr>
        <w:t>.</w:t>
      </w:r>
    </w:p>
    <w:p w14:paraId="17CE374A" w14:textId="5D2BD026" w:rsidR="009531A4" w:rsidRDefault="009531A4" w:rsidP="00950475">
      <w:pPr>
        <w:spacing w:line="480" w:lineRule="auto"/>
        <w:rPr>
          <w:rFonts w:asciiTheme="majorHAnsi" w:eastAsia="Arial" w:hAnsiTheme="majorHAnsi" w:cstheme="majorHAnsi"/>
        </w:rPr>
      </w:pPr>
    </w:p>
    <w:p w14:paraId="74DD1978" w14:textId="144D44CC" w:rsidR="009531A4" w:rsidRPr="00DF1C69" w:rsidRDefault="009531A4" w:rsidP="00950475">
      <w:pPr>
        <w:spacing w:line="480" w:lineRule="auto"/>
        <w:rPr>
          <w:rFonts w:asciiTheme="majorHAnsi" w:eastAsia="Arial" w:hAnsiTheme="majorHAnsi" w:cstheme="majorHAnsi"/>
        </w:rPr>
      </w:pPr>
      <w:r>
        <w:rPr>
          <w:rFonts w:asciiTheme="majorHAnsi" w:eastAsia="Arial" w:hAnsiTheme="majorHAnsi" w:cstheme="majorHAnsi"/>
        </w:rPr>
        <w:t xml:space="preserve">Tendons repairs were either </w:t>
      </w:r>
      <w:r w:rsidR="00EE4519">
        <w:rPr>
          <w:rFonts w:asciiTheme="majorHAnsi" w:eastAsia="Arial" w:hAnsiTheme="majorHAnsi" w:cstheme="majorHAnsi"/>
        </w:rPr>
        <w:t>four</w:t>
      </w:r>
      <w:r>
        <w:rPr>
          <w:rFonts w:asciiTheme="majorHAnsi" w:eastAsia="Arial" w:hAnsiTheme="majorHAnsi" w:cstheme="majorHAnsi"/>
        </w:rPr>
        <w:t xml:space="preserve"> or </w:t>
      </w:r>
      <w:r w:rsidR="00EE4519">
        <w:rPr>
          <w:rFonts w:asciiTheme="majorHAnsi" w:eastAsia="Arial" w:hAnsiTheme="majorHAnsi" w:cstheme="majorHAnsi"/>
        </w:rPr>
        <w:t>six</w:t>
      </w:r>
      <w:r>
        <w:rPr>
          <w:rFonts w:asciiTheme="majorHAnsi" w:eastAsia="Arial" w:hAnsiTheme="majorHAnsi" w:cstheme="majorHAnsi"/>
        </w:rPr>
        <w:t>-strand and surgery was predominantly under general anesthetic</w:t>
      </w:r>
      <w:r w:rsidR="00EE4519">
        <w:rPr>
          <w:rFonts w:asciiTheme="majorHAnsi" w:eastAsia="Arial" w:hAnsiTheme="majorHAnsi" w:cstheme="majorHAnsi"/>
        </w:rPr>
        <w:t>, as this is the local practice</w:t>
      </w:r>
      <w:r>
        <w:rPr>
          <w:rFonts w:asciiTheme="majorHAnsi" w:eastAsia="Arial" w:hAnsiTheme="majorHAnsi" w:cstheme="majorHAnsi"/>
        </w:rPr>
        <w:t xml:space="preserve">. </w:t>
      </w:r>
    </w:p>
    <w:p w14:paraId="222AD0CC" w14:textId="77777777" w:rsidR="00EE4519" w:rsidRDefault="00EE4519" w:rsidP="00950475">
      <w:pPr>
        <w:spacing w:line="480" w:lineRule="auto"/>
        <w:rPr>
          <w:rFonts w:asciiTheme="majorHAnsi" w:eastAsia="Arial" w:hAnsiTheme="majorHAnsi" w:cstheme="majorHAnsi"/>
          <w:color w:val="000000"/>
          <w:highlight w:val="white"/>
        </w:rPr>
      </w:pPr>
    </w:p>
    <w:p w14:paraId="62DAA599" w14:textId="7BBD3213" w:rsidR="00B913B1" w:rsidRDefault="00DF1C69" w:rsidP="00950475">
      <w:pPr>
        <w:spacing w:line="480" w:lineRule="auto"/>
        <w:rPr>
          <w:rFonts w:asciiTheme="majorHAnsi" w:eastAsia="Arial" w:hAnsiTheme="majorHAnsi" w:cstheme="majorHAnsi"/>
          <w:color w:val="000000"/>
          <w:highlight w:val="white"/>
        </w:rPr>
      </w:pPr>
      <w:r>
        <w:rPr>
          <w:rFonts w:asciiTheme="majorHAnsi" w:eastAsia="Arial" w:hAnsiTheme="majorHAnsi" w:cstheme="majorHAnsi"/>
          <w:color w:val="000000"/>
          <w:highlight w:val="white"/>
        </w:rPr>
        <w:t>All p</w:t>
      </w:r>
      <w:r w:rsidR="00D7093E" w:rsidRPr="00DF1C69">
        <w:rPr>
          <w:rFonts w:asciiTheme="majorHAnsi" w:eastAsia="Arial" w:hAnsiTheme="majorHAnsi" w:cstheme="majorHAnsi"/>
          <w:color w:val="000000"/>
          <w:highlight w:val="white"/>
        </w:rPr>
        <w:t xml:space="preserve">atients were provided with a custom-made </w:t>
      </w:r>
      <w:r>
        <w:rPr>
          <w:rFonts w:asciiTheme="majorHAnsi" w:eastAsia="Arial" w:hAnsiTheme="majorHAnsi" w:cstheme="majorHAnsi"/>
          <w:color w:val="000000"/>
          <w:highlight w:val="white"/>
        </w:rPr>
        <w:t>finger-</w:t>
      </w:r>
      <w:r w:rsidR="00D7093E" w:rsidRPr="00DF1C69">
        <w:rPr>
          <w:rFonts w:asciiTheme="majorHAnsi" w:eastAsia="Arial" w:hAnsiTheme="majorHAnsi" w:cstheme="majorHAnsi"/>
          <w:color w:val="000000"/>
          <w:highlight w:val="white"/>
        </w:rPr>
        <w:t xml:space="preserve">based </w:t>
      </w:r>
      <w:proofErr w:type="spellStart"/>
      <w:r>
        <w:rPr>
          <w:rFonts w:asciiTheme="majorHAnsi" w:eastAsia="Arial" w:hAnsiTheme="majorHAnsi" w:cstheme="majorHAnsi"/>
          <w:color w:val="000000"/>
          <w:highlight w:val="white"/>
        </w:rPr>
        <w:t>RMF</w:t>
      </w:r>
      <w:proofErr w:type="spellEnd"/>
      <w:r w:rsidR="00D7093E" w:rsidRPr="00DF1C69">
        <w:rPr>
          <w:rFonts w:asciiTheme="majorHAnsi" w:eastAsia="Arial" w:hAnsiTheme="majorHAnsi" w:cstheme="majorHAnsi"/>
          <w:color w:val="000000"/>
          <w:highlight w:val="white"/>
        </w:rPr>
        <w:t xml:space="preserve"> </w:t>
      </w:r>
      <w:r>
        <w:rPr>
          <w:rFonts w:asciiTheme="majorHAnsi" w:eastAsia="Arial" w:hAnsiTheme="majorHAnsi" w:cstheme="majorHAnsi"/>
          <w:color w:val="000000"/>
          <w:highlight w:val="white"/>
        </w:rPr>
        <w:t>orthosis</w:t>
      </w:r>
      <w:r w:rsidR="00D7093E" w:rsidRPr="00DF1C69">
        <w:rPr>
          <w:rFonts w:asciiTheme="majorHAnsi" w:eastAsia="Arial" w:hAnsiTheme="majorHAnsi" w:cstheme="majorHAnsi"/>
          <w:color w:val="000000"/>
          <w:highlight w:val="white"/>
        </w:rPr>
        <w:t xml:space="preserve">, with the affected </w:t>
      </w:r>
      <w:proofErr w:type="spellStart"/>
      <w:r w:rsidR="00D7093E" w:rsidRPr="00DF1C69">
        <w:rPr>
          <w:rFonts w:asciiTheme="majorHAnsi" w:eastAsia="Arial" w:hAnsiTheme="majorHAnsi" w:cstheme="majorHAnsi"/>
          <w:color w:val="000000"/>
          <w:highlight w:val="white"/>
        </w:rPr>
        <w:t>MCP</w:t>
      </w:r>
      <w:proofErr w:type="spellEnd"/>
      <w:r>
        <w:rPr>
          <w:rFonts w:asciiTheme="majorHAnsi" w:eastAsia="Arial" w:hAnsiTheme="majorHAnsi" w:cstheme="majorHAnsi"/>
          <w:color w:val="000000"/>
          <w:highlight w:val="white"/>
        </w:rPr>
        <w:t xml:space="preserve"> joint positioned in </w:t>
      </w:r>
      <w:r w:rsidR="00D7093E" w:rsidRPr="007F45D7">
        <w:rPr>
          <w:rFonts w:asciiTheme="majorHAnsi" w:eastAsia="Arial" w:hAnsiTheme="majorHAnsi" w:cstheme="majorHAnsi"/>
          <w:color w:val="000000"/>
        </w:rPr>
        <w:t>30</w:t>
      </w:r>
      <w:r w:rsidR="00D7093E" w:rsidRPr="007F45D7">
        <w:rPr>
          <w:rFonts w:asciiTheme="majorHAnsi" w:eastAsia="Symbol" w:hAnsiTheme="majorHAnsi" w:cstheme="majorHAnsi"/>
          <w:color w:val="000000"/>
        </w:rPr>
        <w:t>°</w:t>
      </w:r>
      <w:r w:rsidR="00D7093E" w:rsidRPr="007F45D7">
        <w:rPr>
          <w:rFonts w:asciiTheme="majorHAnsi" w:eastAsia="Arial" w:hAnsiTheme="majorHAnsi" w:cstheme="majorHAnsi"/>
          <w:color w:val="000000"/>
        </w:rPr>
        <w:t xml:space="preserve"> </w:t>
      </w:r>
      <w:r w:rsidR="00F553C4">
        <w:rPr>
          <w:rFonts w:asciiTheme="majorHAnsi" w:eastAsia="Arial" w:hAnsiTheme="majorHAnsi" w:cstheme="majorHAnsi"/>
          <w:color w:val="000000"/>
        </w:rPr>
        <w:t>more</w:t>
      </w:r>
      <w:r w:rsidRPr="007F45D7">
        <w:rPr>
          <w:rFonts w:asciiTheme="majorHAnsi" w:eastAsia="Arial" w:hAnsiTheme="majorHAnsi" w:cstheme="majorHAnsi"/>
          <w:color w:val="000000"/>
        </w:rPr>
        <w:t xml:space="preserve"> </w:t>
      </w:r>
      <w:r>
        <w:rPr>
          <w:rFonts w:asciiTheme="majorHAnsi" w:eastAsia="Arial" w:hAnsiTheme="majorHAnsi" w:cstheme="majorHAnsi"/>
          <w:color w:val="000000"/>
          <w:highlight w:val="white"/>
        </w:rPr>
        <w:t xml:space="preserve">flexion, and </w:t>
      </w:r>
      <w:r w:rsidR="00D7093E" w:rsidRPr="00DF1C69">
        <w:rPr>
          <w:rFonts w:asciiTheme="majorHAnsi" w:eastAsia="Arial" w:hAnsiTheme="majorHAnsi" w:cstheme="majorHAnsi"/>
          <w:color w:val="000000"/>
          <w:highlight w:val="white"/>
        </w:rPr>
        <w:t>a</w:t>
      </w:r>
      <w:r w:rsidR="00F844B2">
        <w:rPr>
          <w:rFonts w:asciiTheme="majorHAnsi" w:eastAsia="Arial" w:hAnsiTheme="majorHAnsi" w:cstheme="majorHAnsi"/>
          <w:color w:val="000000"/>
          <w:highlight w:val="white"/>
        </w:rPr>
        <w:t xml:space="preserve"> </w:t>
      </w:r>
      <w:proofErr w:type="gramStart"/>
      <w:r w:rsidR="00F844B2">
        <w:rPr>
          <w:rFonts w:asciiTheme="majorHAnsi" w:eastAsia="Arial" w:hAnsiTheme="majorHAnsi" w:cstheme="majorHAnsi"/>
          <w:color w:val="000000"/>
          <w:highlight w:val="white"/>
        </w:rPr>
        <w:t>pre-fabricated</w:t>
      </w:r>
      <w:proofErr w:type="gramEnd"/>
      <w:r w:rsidR="00F844B2">
        <w:rPr>
          <w:rFonts w:asciiTheme="majorHAnsi" w:eastAsia="Arial" w:hAnsiTheme="majorHAnsi" w:cstheme="majorHAnsi"/>
          <w:color w:val="000000"/>
          <w:highlight w:val="white"/>
        </w:rPr>
        <w:t xml:space="preserve"> </w:t>
      </w:r>
      <w:r w:rsidR="00D7093E" w:rsidRPr="00DF1C69">
        <w:rPr>
          <w:rFonts w:asciiTheme="majorHAnsi" w:eastAsia="Arial" w:hAnsiTheme="majorHAnsi" w:cstheme="majorHAnsi"/>
          <w:color w:val="000000"/>
          <w:highlight w:val="white"/>
        </w:rPr>
        <w:t>wrist</w:t>
      </w:r>
      <w:r w:rsidR="00F553C4">
        <w:rPr>
          <w:rFonts w:asciiTheme="majorHAnsi" w:eastAsia="Arial" w:hAnsiTheme="majorHAnsi" w:cstheme="majorHAnsi"/>
          <w:color w:val="000000"/>
          <w:highlight w:val="white"/>
        </w:rPr>
        <w:t>-hand</w:t>
      </w:r>
      <w:r w:rsidR="00D7093E" w:rsidRPr="00DF1C69">
        <w:rPr>
          <w:rFonts w:asciiTheme="majorHAnsi" w:eastAsia="Arial" w:hAnsiTheme="majorHAnsi" w:cstheme="majorHAnsi"/>
          <w:color w:val="000000"/>
          <w:highlight w:val="white"/>
        </w:rPr>
        <w:t xml:space="preserve"> </w:t>
      </w:r>
      <w:r>
        <w:rPr>
          <w:rFonts w:asciiTheme="majorHAnsi" w:eastAsia="Arial" w:hAnsiTheme="majorHAnsi" w:cstheme="majorHAnsi"/>
          <w:color w:val="000000"/>
          <w:highlight w:val="white"/>
        </w:rPr>
        <w:t>orthosis</w:t>
      </w:r>
      <w:r w:rsidR="00F553C4">
        <w:rPr>
          <w:rFonts w:asciiTheme="majorHAnsi" w:eastAsia="Arial" w:hAnsiTheme="majorHAnsi" w:cstheme="majorHAnsi"/>
          <w:color w:val="000000"/>
          <w:highlight w:val="white"/>
        </w:rPr>
        <w:t xml:space="preserve"> (WHO)</w:t>
      </w:r>
      <w:r>
        <w:rPr>
          <w:rFonts w:asciiTheme="majorHAnsi" w:eastAsia="Arial" w:hAnsiTheme="majorHAnsi" w:cstheme="majorHAnsi"/>
          <w:color w:val="000000"/>
          <w:highlight w:val="white"/>
        </w:rPr>
        <w:t xml:space="preserve"> </w:t>
      </w:r>
      <w:r w:rsidR="00D7093E" w:rsidRPr="00DF1C69">
        <w:rPr>
          <w:rFonts w:asciiTheme="majorHAnsi" w:eastAsia="Arial" w:hAnsiTheme="majorHAnsi" w:cstheme="majorHAnsi"/>
          <w:color w:val="000000"/>
          <w:highlight w:val="white"/>
        </w:rPr>
        <w:t>in approximately 15</w:t>
      </w:r>
      <w:r w:rsidR="00D7093E" w:rsidRPr="00DF1C69">
        <w:rPr>
          <w:rFonts w:asciiTheme="majorHAnsi" w:eastAsia="Symbol" w:hAnsiTheme="majorHAnsi" w:cstheme="majorHAnsi"/>
          <w:color w:val="000000"/>
          <w:highlight w:val="white"/>
        </w:rPr>
        <w:t>°</w:t>
      </w:r>
      <w:r w:rsidR="00D7093E" w:rsidRPr="00DF1C69">
        <w:rPr>
          <w:rFonts w:asciiTheme="majorHAnsi" w:eastAsia="Arial" w:hAnsiTheme="majorHAnsi" w:cstheme="majorHAnsi"/>
          <w:color w:val="000000"/>
          <w:highlight w:val="white"/>
        </w:rPr>
        <w:t xml:space="preserve"> </w:t>
      </w:r>
      <w:r>
        <w:rPr>
          <w:rFonts w:asciiTheme="majorHAnsi" w:eastAsia="Arial" w:hAnsiTheme="majorHAnsi" w:cstheme="majorHAnsi"/>
          <w:color w:val="000000"/>
          <w:highlight w:val="white"/>
        </w:rPr>
        <w:t>wrist</w:t>
      </w:r>
      <w:r w:rsidR="00D7093E" w:rsidRPr="00DF1C69">
        <w:rPr>
          <w:rFonts w:asciiTheme="majorHAnsi" w:eastAsia="Arial" w:hAnsiTheme="majorHAnsi" w:cstheme="majorHAnsi"/>
          <w:color w:val="000000"/>
          <w:highlight w:val="white"/>
        </w:rPr>
        <w:t xml:space="preserve"> </w:t>
      </w:r>
      <w:r w:rsidR="00D7093E" w:rsidRPr="007F45D7">
        <w:rPr>
          <w:rFonts w:asciiTheme="majorHAnsi" w:eastAsia="Arial" w:hAnsiTheme="majorHAnsi" w:cstheme="majorHAnsi"/>
          <w:color w:val="000000"/>
        </w:rPr>
        <w:t>extension (</w:t>
      </w:r>
      <w:r w:rsidR="00A12185" w:rsidRPr="007F45D7">
        <w:rPr>
          <w:rFonts w:asciiTheme="majorHAnsi" w:eastAsia="Arial" w:hAnsiTheme="majorHAnsi" w:cstheme="majorHAnsi"/>
          <w:color w:val="000000"/>
        </w:rPr>
        <w:t>Figure 1</w:t>
      </w:r>
      <w:r w:rsidR="00661CE9">
        <w:rPr>
          <w:rFonts w:asciiTheme="majorHAnsi" w:eastAsia="Arial" w:hAnsiTheme="majorHAnsi" w:cstheme="majorHAnsi"/>
          <w:color w:val="000000"/>
        </w:rPr>
        <w:t xml:space="preserve"> and 2</w:t>
      </w:r>
      <w:r w:rsidR="00D7093E" w:rsidRPr="007F45D7">
        <w:rPr>
          <w:rFonts w:asciiTheme="majorHAnsi" w:eastAsia="Arial" w:hAnsiTheme="majorHAnsi" w:cstheme="majorHAnsi"/>
          <w:color w:val="000000"/>
        </w:rPr>
        <w:t xml:space="preserve">). </w:t>
      </w:r>
      <w:r w:rsidR="00F844B2" w:rsidRPr="007F45D7">
        <w:rPr>
          <w:rFonts w:asciiTheme="majorHAnsi" w:eastAsia="Arial" w:hAnsiTheme="majorHAnsi" w:cstheme="majorHAnsi"/>
          <w:color w:val="000000"/>
        </w:rPr>
        <w:t xml:space="preserve">Hand therapy </w:t>
      </w:r>
      <w:r w:rsidR="007F3854" w:rsidRPr="007F45D7">
        <w:rPr>
          <w:rFonts w:asciiTheme="majorHAnsi" w:eastAsia="Arial" w:hAnsiTheme="majorHAnsi" w:cstheme="majorHAnsi"/>
          <w:color w:val="000000"/>
        </w:rPr>
        <w:t xml:space="preserve">commenced within seven days of surgery. </w:t>
      </w:r>
      <w:r>
        <w:rPr>
          <w:rFonts w:asciiTheme="majorHAnsi" w:eastAsia="Arial" w:hAnsiTheme="majorHAnsi" w:cstheme="majorHAnsi"/>
          <w:color w:val="000000"/>
          <w:highlight w:val="white"/>
        </w:rPr>
        <w:t>P</w:t>
      </w:r>
      <w:r w:rsidR="00D7093E" w:rsidRPr="00DF1C69">
        <w:rPr>
          <w:rFonts w:asciiTheme="majorHAnsi" w:eastAsia="Arial" w:hAnsiTheme="majorHAnsi" w:cstheme="majorHAnsi"/>
          <w:color w:val="000000"/>
          <w:highlight w:val="white"/>
        </w:rPr>
        <w:t xml:space="preserve">atients were instructed to </w:t>
      </w:r>
      <w:proofErr w:type="gramStart"/>
      <w:r w:rsidR="00D7093E" w:rsidRPr="00DF1C69">
        <w:rPr>
          <w:rFonts w:asciiTheme="majorHAnsi" w:eastAsia="Arial" w:hAnsiTheme="majorHAnsi" w:cstheme="majorHAnsi"/>
          <w:color w:val="000000"/>
          <w:highlight w:val="white"/>
        </w:rPr>
        <w:t xml:space="preserve">wear the </w:t>
      </w:r>
      <w:proofErr w:type="spellStart"/>
      <w:r>
        <w:rPr>
          <w:rFonts w:asciiTheme="majorHAnsi" w:eastAsia="Arial" w:hAnsiTheme="majorHAnsi" w:cstheme="majorHAnsi"/>
          <w:color w:val="000000"/>
          <w:highlight w:val="white"/>
        </w:rPr>
        <w:t>RMF</w:t>
      </w:r>
      <w:proofErr w:type="spellEnd"/>
      <w:r>
        <w:rPr>
          <w:rFonts w:asciiTheme="majorHAnsi" w:eastAsia="Arial" w:hAnsiTheme="majorHAnsi" w:cstheme="majorHAnsi"/>
          <w:color w:val="000000"/>
          <w:highlight w:val="white"/>
        </w:rPr>
        <w:t xml:space="preserve"> orthosis</w:t>
      </w:r>
      <w:r w:rsidR="00D7093E" w:rsidRPr="00DF1C69">
        <w:rPr>
          <w:rFonts w:asciiTheme="majorHAnsi" w:eastAsia="Arial" w:hAnsiTheme="majorHAnsi" w:cstheme="majorHAnsi"/>
          <w:color w:val="000000"/>
          <w:highlight w:val="white"/>
        </w:rPr>
        <w:t xml:space="preserve"> at all times</w:t>
      </w:r>
      <w:proofErr w:type="gramEnd"/>
      <w:r w:rsidR="00D7093E" w:rsidRPr="00DF1C69">
        <w:rPr>
          <w:rFonts w:asciiTheme="majorHAnsi" w:eastAsia="Arial" w:hAnsiTheme="majorHAnsi" w:cstheme="majorHAnsi"/>
          <w:color w:val="000000"/>
          <w:highlight w:val="white"/>
        </w:rPr>
        <w:t xml:space="preserve"> for a </w:t>
      </w:r>
      <w:r w:rsidR="00D7093E" w:rsidRPr="00DF1C69">
        <w:rPr>
          <w:rFonts w:asciiTheme="majorHAnsi" w:eastAsia="Arial" w:hAnsiTheme="majorHAnsi" w:cstheme="majorHAnsi"/>
          <w:highlight w:val="white"/>
        </w:rPr>
        <w:t xml:space="preserve">total of </w:t>
      </w:r>
      <w:r>
        <w:rPr>
          <w:rFonts w:asciiTheme="majorHAnsi" w:eastAsia="Arial" w:hAnsiTheme="majorHAnsi" w:cstheme="majorHAnsi"/>
          <w:highlight w:val="white"/>
        </w:rPr>
        <w:t>five</w:t>
      </w:r>
      <w:r w:rsidR="00D7093E" w:rsidRPr="00DF1C69">
        <w:rPr>
          <w:rFonts w:asciiTheme="majorHAnsi" w:eastAsia="Arial" w:hAnsiTheme="majorHAnsi" w:cstheme="majorHAnsi"/>
          <w:highlight w:val="white"/>
        </w:rPr>
        <w:t xml:space="preserve"> weeks</w:t>
      </w:r>
      <w:r w:rsidR="00D7093E" w:rsidRPr="00DF1C69">
        <w:rPr>
          <w:rFonts w:asciiTheme="majorHAnsi" w:eastAsia="Arial" w:hAnsiTheme="majorHAnsi" w:cstheme="majorHAnsi"/>
          <w:color w:val="000000"/>
          <w:highlight w:val="white"/>
        </w:rPr>
        <w:t xml:space="preserve"> and then at night and </w:t>
      </w:r>
      <w:r w:rsidR="007F1B20">
        <w:rPr>
          <w:rFonts w:asciiTheme="majorHAnsi" w:eastAsia="Arial" w:hAnsiTheme="majorHAnsi" w:cstheme="majorHAnsi"/>
          <w:color w:val="000000"/>
          <w:highlight w:val="white"/>
        </w:rPr>
        <w:t xml:space="preserve">during </w:t>
      </w:r>
      <w:r w:rsidR="00D7093E" w:rsidRPr="00DF1C69">
        <w:rPr>
          <w:rFonts w:asciiTheme="majorHAnsi" w:eastAsia="Arial" w:hAnsiTheme="majorHAnsi" w:cstheme="majorHAnsi"/>
          <w:color w:val="000000"/>
          <w:highlight w:val="white"/>
        </w:rPr>
        <w:t>vulnerable situations for a further week</w:t>
      </w:r>
      <w:r>
        <w:rPr>
          <w:rFonts w:asciiTheme="majorHAnsi" w:eastAsia="Arial" w:hAnsiTheme="majorHAnsi" w:cstheme="majorHAnsi"/>
          <w:color w:val="000000"/>
          <w:highlight w:val="white"/>
        </w:rPr>
        <w:t xml:space="preserve">. The </w:t>
      </w:r>
      <w:r w:rsidR="00F553C4">
        <w:rPr>
          <w:rFonts w:asciiTheme="majorHAnsi" w:eastAsia="Arial" w:hAnsiTheme="majorHAnsi" w:cstheme="majorHAnsi"/>
          <w:color w:val="000000"/>
          <w:highlight w:val="white"/>
        </w:rPr>
        <w:t>WHO</w:t>
      </w:r>
      <w:r>
        <w:rPr>
          <w:rFonts w:asciiTheme="majorHAnsi" w:eastAsia="Arial" w:hAnsiTheme="majorHAnsi" w:cstheme="majorHAnsi"/>
          <w:color w:val="000000"/>
          <w:highlight w:val="white"/>
        </w:rPr>
        <w:t xml:space="preserve"> was worn fulltime for </w:t>
      </w:r>
      <w:r w:rsidR="00232C54">
        <w:rPr>
          <w:rFonts w:asciiTheme="majorHAnsi" w:eastAsia="Arial" w:hAnsiTheme="majorHAnsi" w:cstheme="majorHAnsi"/>
          <w:color w:val="000000"/>
          <w:highlight w:val="white"/>
        </w:rPr>
        <w:t>three weeks, although removed for</w:t>
      </w:r>
      <w:r w:rsidR="00B4090F">
        <w:rPr>
          <w:rFonts w:asciiTheme="majorHAnsi" w:eastAsia="Arial" w:hAnsiTheme="majorHAnsi" w:cstheme="majorHAnsi"/>
          <w:color w:val="000000"/>
          <w:highlight w:val="white"/>
        </w:rPr>
        <w:t xml:space="preserve"> tenodesis</w:t>
      </w:r>
      <w:r w:rsidR="00232C54">
        <w:rPr>
          <w:rFonts w:asciiTheme="majorHAnsi" w:eastAsia="Arial" w:hAnsiTheme="majorHAnsi" w:cstheme="majorHAnsi"/>
          <w:color w:val="000000"/>
          <w:highlight w:val="white"/>
        </w:rPr>
        <w:t xml:space="preserve"> exercises, and then worn at night and for protection for </w:t>
      </w:r>
      <w:r w:rsidR="0090316C">
        <w:rPr>
          <w:rFonts w:asciiTheme="majorHAnsi" w:eastAsia="Arial" w:hAnsiTheme="majorHAnsi" w:cstheme="majorHAnsi"/>
          <w:color w:val="000000"/>
          <w:highlight w:val="white"/>
        </w:rPr>
        <w:t>a</w:t>
      </w:r>
      <w:r w:rsidR="00232C54">
        <w:rPr>
          <w:rFonts w:asciiTheme="majorHAnsi" w:eastAsia="Arial" w:hAnsiTheme="majorHAnsi" w:cstheme="majorHAnsi"/>
          <w:color w:val="000000"/>
          <w:highlight w:val="white"/>
        </w:rPr>
        <w:t xml:space="preserve"> further three weeks.</w:t>
      </w:r>
      <w:r w:rsidR="00B913B1">
        <w:rPr>
          <w:rFonts w:asciiTheme="majorHAnsi" w:eastAsia="Arial" w:hAnsiTheme="majorHAnsi" w:cstheme="majorHAnsi"/>
          <w:color w:val="000000"/>
          <w:highlight w:val="white"/>
        </w:rPr>
        <w:t xml:space="preserve"> Th</w:t>
      </w:r>
      <w:r w:rsidR="00E978D5">
        <w:rPr>
          <w:rFonts w:asciiTheme="majorHAnsi" w:eastAsia="Arial" w:hAnsiTheme="majorHAnsi" w:cstheme="majorHAnsi"/>
          <w:color w:val="000000"/>
          <w:highlight w:val="white"/>
        </w:rPr>
        <w:t xml:space="preserve">ese timescales were shorter than those reported by Henry and Howell, who advised </w:t>
      </w:r>
      <w:proofErr w:type="spellStart"/>
      <w:r w:rsidR="00E978D5">
        <w:rPr>
          <w:rFonts w:asciiTheme="majorHAnsi" w:eastAsia="Arial" w:hAnsiTheme="majorHAnsi" w:cstheme="majorHAnsi"/>
          <w:color w:val="000000"/>
          <w:highlight w:val="white"/>
        </w:rPr>
        <w:t>RMF</w:t>
      </w:r>
      <w:proofErr w:type="spellEnd"/>
      <w:r w:rsidR="00E978D5">
        <w:rPr>
          <w:rFonts w:asciiTheme="majorHAnsi" w:eastAsia="Arial" w:hAnsiTheme="majorHAnsi" w:cstheme="majorHAnsi"/>
          <w:color w:val="000000"/>
          <w:highlight w:val="white"/>
        </w:rPr>
        <w:t xml:space="preserve"> orthosis wear for 8-10 weeks after surgery </w:t>
      </w:r>
      <w:r w:rsidR="00E978D5">
        <w:rPr>
          <w:rFonts w:asciiTheme="majorHAnsi" w:eastAsia="Arial" w:hAnsiTheme="majorHAnsi" w:cstheme="majorHAnsi"/>
          <w:color w:val="000000"/>
          <w:highlight w:val="white"/>
        </w:rPr>
        <w:fldChar w:fldCharType="begin" w:fldLock="1"/>
      </w:r>
      <w:r w:rsidR="00B8058E">
        <w:rPr>
          <w:rFonts w:asciiTheme="majorHAnsi" w:eastAsia="Arial" w:hAnsiTheme="majorHAnsi" w:cstheme="majorHAnsi"/>
          <w:color w:val="000000"/>
          <w:highlight w:val="white"/>
        </w:rPr>
        <w:instrText>ADDIN CSL_CITATION {"citationItems":[{"id":"ITEM-1","itemData":{"DOI":"10.1016/j.jht.2019.05.002","ISSN":"0894-1130","author":[{"dropping-particle":"","family":"Henry","given":"Steven L","non-dropping-particle":"","parse-names":false,"suffix":""},{"dropping-particle":"","family":"Howell","given":"Julianne W","non-dropping-particle":"","parse-names":false,"suffix":""}],"container-title":"Journal of Hand Therapy","id":"ITEM-1","issue":"3","issued":{"date-parts":[["2020"]]},"page":"296-304","publisher":"Elsevier Inc","title":"Use of a relative motion flexion orthosis for postoperative management of zone I/II flexor digitorum profundus repair: A retrospective consecutive case series","type":"article-journal","volume":"33"},"uris":["http://www.mendeley.com/documents/?uuid=8cf4242d-792a-4604-a722-3df7e36780c9"]}],"mendeley":{"formattedCitation":"(8)","plainTextFormattedCitation":"(8)","previouslyFormattedCitation":"(8)"},"properties":{"noteIndex":0},"schema":"https://github.com/citation-style-language/schema/raw/master/csl-citation.json"}</w:instrText>
      </w:r>
      <w:r w:rsidR="00E978D5">
        <w:rPr>
          <w:rFonts w:asciiTheme="majorHAnsi" w:eastAsia="Arial" w:hAnsiTheme="majorHAnsi" w:cstheme="majorHAnsi"/>
          <w:color w:val="000000"/>
          <w:highlight w:val="white"/>
        </w:rPr>
        <w:fldChar w:fldCharType="separate"/>
      </w:r>
      <w:r w:rsidR="00E978D5" w:rsidRPr="00E978D5">
        <w:rPr>
          <w:rFonts w:asciiTheme="majorHAnsi" w:eastAsia="Arial" w:hAnsiTheme="majorHAnsi" w:cstheme="majorHAnsi"/>
          <w:noProof/>
          <w:color w:val="000000"/>
          <w:highlight w:val="white"/>
        </w:rPr>
        <w:t>(8)</w:t>
      </w:r>
      <w:r w:rsidR="00E978D5">
        <w:rPr>
          <w:rFonts w:asciiTheme="majorHAnsi" w:eastAsia="Arial" w:hAnsiTheme="majorHAnsi" w:cstheme="majorHAnsi"/>
          <w:color w:val="000000"/>
          <w:highlight w:val="white"/>
        </w:rPr>
        <w:fldChar w:fldCharType="end"/>
      </w:r>
      <w:r w:rsidR="00E978D5">
        <w:rPr>
          <w:rFonts w:asciiTheme="majorHAnsi" w:eastAsia="Arial" w:hAnsiTheme="majorHAnsi" w:cstheme="majorHAnsi"/>
          <w:color w:val="000000"/>
          <w:highlight w:val="white"/>
        </w:rPr>
        <w:t xml:space="preserve">. </w:t>
      </w:r>
      <w:r w:rsidR="00E94138">
        <w:rPr>
          <w:rFonts w:asciiTheme="majorHAnsi" w:eastAsia="Arial" w:hAnsiTheme="majorHAnsi" w:cstheme="majorHAnsi"/>
          <w:color w:val="000000"/>
          <w:highlight w:val="white"/>
        </w:rPr>
        <w:t xml:space="preserve">This was a deliberate strategy to create equivalence with other flexor tendon rehabilitation </w:t>
      </w:r>
      <w:r w:rsidR="006021AA">
        <w:rPr>
          <w:rFonts w:asciiTheme="majorHAnsi" w:eastAsia="Arial" w:hAnsiTheme="majorHAnsi" w:cstheme="majorHAnsi"/>
          <w:color w:val="000000"/>
          <w:highlight w:val="white"/>
        </w:rPr>
        <w:t>approaches</w:t>
      </w:r>
      <w:r w:rsidR="002702D4">
        <w:rPr>
          <w:rFonts w:asciiTheme="majorHAnsi" w:eastAsia="Arial" w:hAnsiTheme="majorHAnsi" w:cstheme="majorHAnsi"/>
          <w:color w:val="000000"/>
          <w:highlight w:val="white"/>
        </w:rPr>
        <w:t>.</w:t>
      </w:r>
      <w:r w:rsidR="00E978D5">
        <w:rPr>
          <w:rFonts w:asciiTheme="majorHAnsi" w:eastAsia="Arial" w:hAnsiTheme="majorHAnsi" w:cstheme="majorHAnsi"/>
          <w:color w:val="000000"/>
          <w:highlight w:val="white"/>
        </w:rPr>
        <w:t xml:space="preserve"> </w:t>
      </w:r>
    </w:p>
    <w:p w14:paraId="0663074B" w14:textId="77777777" w:rsidR="00D7093E" w:rsidRDefault="00D7093E" w:rsidP="00950475">
      <w:pPr>
        <w:spacing w:line="480" w:lineRule="auto"/>
        <w:rPr>
          <w:rFonts w:ascii="Arial" w:eastAsia="Arial" w:hAnsi="Arial" w:cs="Arial"/>
          <w:color w:val="000000"/>
          <w:highlight w:val="white"/>
        </w:rPr>
      </w:pPr>
    </w:p>
    <w:p w14:paraId="16C9D230" w14:textId="4DE8C10E" w:rsidR="002E1436" w:rsidRDefault="00B4090F" w:rsidP="00CE562B">
      <w:pPr>
        <w:spacing w:line="480" w:lineRule="auto"/>
        <w:rPr>
          <w:rFonts w:asciiTheme="majorHAnsi" w:eastAsia="Arial" w:hAnsiTheme="majorHAnsi" w:cstheme="majorHAnsi"/>
        </w:rPr>
      </w:pPr>
      <w:r w:rsidRPr="00F73C5E">
        <w:rPr>
          <w:rFonts w:asciiTheme="majorHAnsi" w:eastAsia="Arial" w:hAnsiTheme="majorHAnsi" w:cstheme="majorHAnsi"/>
        </w:rPr>
        <w:t>P</w:t>
      </w:r>
      <w:r w:rsidR="00232C54" w:rsidRPr="00F73C5E">
        <w:rPr>
          <w:rFonts w:asciiTheme="majorHAnsi" w:eastAsia="Arial" w:hAnsiTheme="majorHAnsi" w:cstheme="majorHAnsi"/>
        </w:rPr>
        <w:t xml:space="preserve">atients were provided with a home exercise program </w:t>
      </w:r>
      <w:r w:rsidR="002702D4" w:rsidRPr="00F73C5E">
        <w:rPr>
          <w:rFonts w:asciiTheme="majorHAnsi" w:eastAsia="Arial" w:hAnsiTheme="majorHAnsi" w:cstheme="majorHAnsi"/>
        </w:rPr>
        <w:t xml:space="preserve">to perform hourly </w:t>
      </w:r>
      <w:r w:rsidR="0090316C" w:rsidRPr="00F73C5E">
        <w:rPr>
          <w:rFonts w:asciiTheme="majorHAnsi" w:eastAsia="Arial" w:hAnsiTheme="majorHAnsi" w:cstheme="majorHAnsi"/>
        </w:rPr>
        <w:t>during waking hours</w:t>
      </w:r>
      <w:r w:rsidR="00232C54" w:rsidRPr="00F73C5E">
        <w:rPr>
          <w:rFonts w:asciiTheme="majorHAnsi" w:eastAsia="Arial" w:hAnsiTheme="majorHAnsi" w:cstheme="majorHAnsi"/>
        </w:rPr>
        <w:t>.</w:t>
      </w:r>
      <w:r w:rsidR="00232C54" w:rsidRPr="00232C54">
        <w:rPr>
          <w:rFonts w:asciiTheme="majorHAnsi" w:eastAsia="Arial" w:hAnsiTheme="majorHAnsi" w:cstheme="majorHAnsi"/>
        </w:rPr>
        <w:t xml:space="preserve"> </w:t>
      </w:r>
      <w:r w:rsidR="00B82D70">
        <w:rPr>
          <w:rFonts w:asciiTheme="majorHAnsi" w:eastAsia="Arial" w:hAnsiTheme="majorHAnsi" w:cstheme="majorHAnsi"/>
        </w:rPr>
        <w:t>T</w:t>
      </w:r>
      <w:r w:rsidR="00232C54" w:rsidRPr="00232C54">
        <w:rPr>
          <w:rFonts w:asciiTheme="majorHAnsi" w:eastAsia="Arial" w:hAnsiTheme="majorHAnsi" w:cstheme="majorHAnsi"/>
        </w:rPr>
        <w:t>he specific program was personalized</w:t>
      </w:r>
      <w:r w:rsidR="00232C54">
        <w:rPr>
          <w:rFonts w:asciiTheme="majorHAnsi" w:eastAsia="Arial" w:hAnsiTheme="majorHAnsi" w:cstheme="majorHAnsi"/>
        </w:rPr>
        <w:t xml:space="preserve"> based</w:t>
      </w:r>
      <w:r w:rsidR="00232C54" w:rsidRPr="00232C54">
        <w:rPr>
          <w:rFonts w:asciiTheme="majorHAnsi" w:eastAsia="Arial" w:hAnsiTheme="majorHAnsi" w:cstheme="majorHAnsi"/>
        </w:rPr>
        <w:t xml:space="preserve"> on the needs of the individual, </w:t>
      </w:r>
      <w:r w:rsidR="00B82D70">
        <w:rPr>
          <w:rFonts w:asciiTheme="majorHAnsi" w:eastAsia="Arial" w:hAnsiTheme="majorHAnsi" w:cstheme="majorHAnsi"/>
        </w:rPr>
        <w:t xml:space="preserve">however </w:t>
      </w:r>
      <w:r w:rsidR="00232C54" w:rsidRPr="00232C54">
        <w:rPr>
          <w:rFonts w:asciiTheme="majorHAnsi" w:eastAsia="Arial" w:hAnsiTheme="majorHAnsi" w:cstheme="majorHAnsi"/>
        </w:rPr>
        <w:t xml:space="preserve">the program generally comprised passive composite flexion of all digits, active </w:t>
      </w:r>
      <w:r w:rsidR="00232C54">
        <w:rPr>
          <w:rFonts w:asciiTheme="majorHAnsi" w:eastAsia="Arial" w:hAnsiTheme="majorHAnsi" w:cstheme="majorHAnsi"/>
        </w:rPr>
        <w:t>IP joint</w:t>
      </w:r>
      <w:r w:rsidR="00232C54" w:rsidRPr="00232C54">
        <w:rPr>
          <w:rFonts w:asciiTheme="majorHAnsi" w:eastAsia="Arial" w:hAnsiTheme="majorHAnsi" w:cstheme="majorHAnsi"/>
        </w:rPr>
        <w:t xml:space="preserve"> extension with the </w:t>
      </w:r>
      <w:proofErr w:type="spellStart"/>
      <w:r w:rsidR="00232C54" w:rsidRPr="00232C54">
        <w:rPr>
          <w:rFonts w:asciiTheme="majorHAnsi" w:eastAsia="Arial" w:hAnsiTheme="majorHAnsi" w:cstheme="majorHAnsi"/>
        </w:rPr>
        <w:t>MCP</w:t>
      </w:r>
      <w:proofErr w:type="spellEnd"/>
      <w:r w:rsidR="00232C54">
        <w:rPr>
          <w:rFonts w:asciiTheme="majorHAnsi" w:eastAsia="Arial" w:hAnsiTheme="majorHAnsi" w:cstheme="majorHAnsi"/>
        </w:rPr>
        <w:t xml:space="preserve"> joints </w:t>
      </w:r>
      <w:r w:rsidR="00232C54" w:rsidRPr="00232C54">
        <w:rPr>
          <w:rFonts w:asciiTheme="majorHAnsi" w:eastAsia="Arial" w:hAnsiTheme="majorHAnsi" w:cstheme="majorHAnsi"/>
        </w:rPr>
        <w:t>held in maximum flexion, gentle (</w:t>
      </w:r>
      <w:r w:rsidR="00232C54">
        <w:rPr>
          <w:rFonts w:asciiTheme="majorHAnsi" w:eastAsia="Arial" w:hAnsiTheme="majorHAnsi" w:cstheme="majorHAnsi"/>
        </w:rPr>
        <w:t>~</w:t>
      </w:r>
      <w:r w:rsidR="00232C54" w:rsidRPr="00232C54">
        <w:rPr>
          <w:rFonts w:asciiTheme="majorHAnsi" w:eastAsia="Arial" w:hAnsiTheme="majorHAnsi" w:cstheme="majorHAnsi"/>
        </w:rPr>
        <w:t>50% effort) active composite flexion and active wrist/finger tenodesis</w:t>
      </w:r>
      <w:r w:rsidR="007F1B20">
        <w:rPr>
          <w:rFonts w:asciiTheme="majorHAnsi" w:eastAsia="Arial" w:hAnsiTheme="majorHAnsi" w:cstheme="majorHAnsi"/>
        </w:rPr>
        <w:t xml:space="preserve">. </w:t>
      </w:r>
      <w:r w:rsidR="00232C54">
        <w:rPr>
          <w:rFonts w:asciiTheme="majorHAnsi" w:eastAsia="Arial" w:hAnsiTheme="majorHAnsi" w:cstheme="majorHAnsi"/>
        </w:rPr>
        <w:t xml:space="preserve">Outcomes </w:t>
      </w:r>
      <w:r w:rsidR="00E149F7">
        <w:rPr>
          <w:rFonts w:asciiTheme="majorHAnsi" w:eastAsia="Arial" w:hAnsiTheme="majorHAnsi" w:cstheme="majorHAnsi"/>
        </w:rPr>
        <w:t>were assessed 12 weeks after surgery</w:t>
      </w:r>
      <w:r w:rsidR="00E6218F">
        <w:rPr>
          <w:rFonts w:asciiTheme="majorHAnsi" w:eastAsia="Arial" w:hAnsiTheme="majorHAnsi" w:cstheme="majorHAnsi"/>
        </w:rPr>
        <w:t>,</w:t>
      </w:r>
      <w:r w:rsidR="00E149F7">
        <w:rPr>
          <w:rFonts w:asciiTheme="majorHAnsi" w:eastAsia="Arial" w:hAnsiTheme="majorHAnsi" w:cstheme="majorHAnsi"/>
        </w:rPr>
        <w:t xml:space="preserve"> or on final appointment if discharged prior to this</w:t>
      </w:r>
      <w:r w:rsidR="00A12185">
        <w:rPr>
          <w:rFonts w:asciiTheme="majorHAnsi" w:eastAsia="Arial" w:hAnsiTheme="majorHAnsi" w:cstheme="majorHAnsi"/>
        </w:rPr>
        <w:t xml:space="preserve"> (Table 1)</w:t>
      </w:r>
      <w:r w:rsidR="00E149F7">
        <w:rPr>
          <w:rFonts w:asciiTheme="majorHAnsi" w:eastAsia="Arial" w:hAnsiTheme="majorHAnsi" w:cstheme="majorHAnsi"/>
        </w:rPr>
        <w:t>.</w:t>
      </w:r>
      <w:r w:rsidR="002702D4">
        <w:rPr>
          <w:rFonts w:asciiTheme="majorHAnsi" w:eastAsia="Arial" w:hAnsiTheme="majorHAnsi" w:cstheme="majorHAnsi"/>
        </w:rPr>
        <w:t xml:space="preserve"> </w:t>
      </w:r>
      <w:r w:rsidR="00A339FF">
        <w:rPr>
          <w:rFonts w:asciiTheme="majorHAnsi" w:eastAsia="Arial" w:hAnsiTheme="majorHAnsi" w:cstheme="majorHAnsi"/>
        </w:rPr>
        <w:t xml:space="preserve">Unfortunately, </w:t>
      </w:r>
      <w:r w:rsidR="00315C1E">
        <w:rPr>
          <w:rFonts w:asciiTheme="majorHAnsi" w:eastAsia="Arial" w:hAnsiTheme="majorHAnsi" w:cstheme="majorHAnsi"/>
        </w:rPr>
        <w:t>two</w:t>
      </w:r>
      <w:r w:rsidR="00A339FF">
        <w:rPr>
          <w:rFonts w:asciiTheme="majorHAnsi" w:eastAsia="Arial" w:hAnsiTheme="majorHAnsi" w:cstheme="majorHAnsi"/>
        </w:rPr>
        <w:t xml:space="preserve"> patients were lost to follow-up after three weeks and therefore </w:t>
      </w:r>
      <w:r w:rsidR="001D31AF">
        <w:rPr>
          <w:rFonts w:asciiTheme="majorHAnsi" w:eastAsia="Arial" w:hAnsiTheme="majorHAnsi" w:cstheme="majorHAnsi"/>
        </w:rPr>
        <w:t>their</w:t>
      </w:r>
      <w:r w:rsidR="00A339FF">
        <w:rPr>
          <w:rFonts w:asciiTheme="majorHAnsi" w:eastAsia="Arial" w:hAnsiTheme="majorHAnsi" w:cstheme="majorHAnsi"/>
        </w:rPr>
        <w:t xml:space="preserve"> outcome data </w:t>
      </w:r>
      <w:proofErr w:type="gramStart"/>
      <w:r w:rsidR="00A339FF">
        <w:rPr>
          <w:rFonts w:asciiTheme="majorHAnsi" w:eastAsia="Arial" w:hAnsiTheme="majorHAnsi" w:cstheme="majorHAnsi"/>
        </w:rPr>
        <w:t>are</w:t>
      </w:r>
      <w:proofErr w:type="gramEnd"/>
      <w:r w:rsidR="00A339FF">
        <w:rPr>
          <w:rFonts w:asciiTheme="majorHAnsi" w:eastAsia="Arial" w:hAnsiTheme="majorHAnsi" w:cstheme="majorHAnsi"/>
        </w:rPr>
        <w:t xml:space="preserve"> </w:t>
      </w:r>
      <w:r w:rsidR="001D31AF">
        <w:rPr>
          <w:rFonts w:asciiTheme="majorHAnsi" w:eastAsia="Arial" w:hAnsiTheme="majorHAnsi" w:cstheme="majorHAnsi"/>
        </w:rPr>
        <w:t xml:space="preserve">not </w:t>
      </w:r>
      <w:r w:rsidR="00A339FF">
        <w:rPr>
          <w:rFonts w:asciiTheme="majorHAnsi" w:eastAsia="Arial" w:hAnsiTheme="majorHAnsi" w:cstheme="majorHAnsi"/>
        </w:rPr>
        <w:t xml:space="preserve">available. </w:t>
      </w:r>
      <w:r w:rsidR="002702D4">
        <w:rPr>
          <w:rFonts w:asciiTheme="majorHAnsi" w:eastAsia="Arial" w:hAnsiTheme="majorHAnsi" w:cstheme="majorHAnsi"/>
        </w:rPr>
        <w:t xml:space="preserve">Loss to follow-up is </w:t>
      </w:r>
      <w:r w:rsidR="00A339FF">
        <w:rPr>
          <w:rFonts w:asciiTheme="majorHAnsi" w:eastAsia="Arial" w:hAnsiTheme="majorHAnsi" w:cstheme="majorHAnsi"/>
        </w:rPr>
        <w:t>a common issue</w:t>
      </w:r>
      <w:r w:rsidR="002702D4">
        <w:rPr>
          <w:rFonts w:asciiTheme="majorHAnsi" w:eastAsia="Arial" w:hAnsiTheme="majorHAnsi" w:cstheme="majorHAnsi"/>
        </w:rPr>
        <w:t xml:space="preserve"> after</w:t>
      </w:r>
      <w:r w:rsidR="00A339FF">
        <w:rPr>
          <w:rFonts w:asciiTheme="majorHAnsi" w:eastAsia="Arial" w:hAnsiTheme="majorHAnsi" w:cstheme="majorHAnsi"/>
        </w:rPr>
        <w:t xml:space="preserve"> flexor tendon repair</w:t>
      </w:r>
      <w:r w:rsidR="00856F10">
        <w:rPr>
          <w:rFonts w:asciiTheme="majorHAnsi" w:eastAsia="Arial" w:hAnsiTheme="majorHAnsi" w:cstheme="majorHAnsi"/>
        </w:rPr>
        <w:t xml:space="preserve"> </w:t>
      </w:r>
      <w:r w:rsidR="00856F10">
        <w:rPr>
          <w:rFonts w:asciiTheme="majorHAnsi" w:eastAsia="Arial" w:hAnsiTheme="majorHAnsi" w:cstheme="majorHAnsi"/>
        </w:rPr>
        <w:fldChar w:fldCharType="begin" w:fldLock="1"/>
      </w:r>
      <w:r w:rsidR="002E1436">
        <w:rPr>
          <w:rFonts w:asciiTheme="majorHAnsi" w:eastAsia="Arial" w:hAnsiTheme="majorHAnsi" w:cstheme="majorHAnsi"/>
        </w:rPr>
        <w:instrText>ADDIN CSL_CITATION {"citationItems":[{"id":"ITEM-1","itemData":{"DOI":"10.1177/1758998314533306","ISSN":"17589991","abstract":"Introduction: The results of patients with primary zone II flexor tendon repairs rehabilitated using a traditional forearm-based splint were audited and compared with those who were managed in the Manchester short splint. Method: The short splint was fabricated to permit maximal wrist flexion and up to 45° of wrist extension with a block to 30° of metacarpophalangeal joint extension. A rehabilitation regimen consisting of early combined passive flexion exercises and active motion was employed. In 2011, 62 patients (76 digits) with a mean age of 34 years (range 14–58) were rehabilitated using the forearm-based splint (group A). In 2012, 40 patients (45 digits) with a mean age of 31 years (range 15–71) were rehabilitated using the Manchester short splint (group B). Results: Group B had significantly less flexion contracture at their proximal interphalangeal joints than group A at 6 weeks (median 15° versus 28°; p=0.003) and 12 weeks (median 6° versus 18°; p=0.024) postoperatively. At the final review, group B had a significantly greater arc of flexion at their distal interphalangeal joints (median 59° versus 30°; p&lt;0.001) and a greater proportion of patients with excellent/good Strickland’s grades. There were three (3.9%) ruptures in group A and two (4.4%) ruptures in group B (p&gt;0.999). Conclusion: The use of a shorter splint would appear to enhance the outcomes whilst preserving repair integrity.","author":[{"dropping-particle":"","family":"Peck","given":"F. H.","non-dropping-particle":"","parse-names":false,"suffix":""},{"dropping-particle":"","family":"Roe","given":"A. E.","non-dropping-particle":"","parse-names":false,"suffix":""},{"dropping-particle":"","family":"Ng","given":"C. Y.","non-dropping-particle":"","parse-names":false,"suffix":""},{"dropping-particle":"","family":"Duff","given":"C.","non-dropping-particle":"","parse-names":false,"suffix":""},{"dropping-particle":"","family":"McGrouther","given":"D. A.","non-dropping-particle":"","parse-names":false,"suffix":""},{"dropping-particle":"","family":"Lees","given":"V. C.","non-dropping-particle":"","parse-names":false,"suffix":""}],"container-title":"Hand Therapy","id":"ITEM-1","issue":"2","issued":{"date-parts":[["2014"]]},"page":"47-53","title":"The Manchester short splint: A change to splinting practice in the rehabilitation of zone II flexor tendon repairs","type":"article-journal","volume":"19"},"uris":["http://www.mendeley.com/documents/?uuid=1569637a-93e3-42dc-b7a3-4ce4e7c7ac9c"]}],"mendeley":{"formattedCitation":"(17)","plainTextFormattedCitation":"(17)","previouslyFormattedCitation":"(17)"},"properties":{"noteIndex":0},"schema":"https://github.com/citation-style-language/schema/raw/master/csl-citation.json"}</w:instrText>
      </w:r>
      <w:r w:rsidR="00856F10">
        <w:rPr>
          <w:rFonts w:asciiTheme="majorHAnsi" w:eastAsia="Arial" w:hAnsiTheme="majorHAnsi" w:cstheme="majorHAnsi"/>
        </w:rPr>
        <w:fldChar w:fldCharType="separate"/>
      </w:r>
      <w:r w:rsidR="002D5ADE" w:rsidRPr="002D5ADE">
        <w:rPr>
          <w:rFonts w:asciiTheme="majorHAnsi" w:eastAsia="Arial" w:hAnsiTheme="majorHAnsi" w:cstheme="majorHAnsi"/>
          <w:noProof/>
        </w:rPr>
        <w:t>(17)</w:t>
      </w:r>
      <w:r w:rsidR="00856F10">
        <w:rPr>
          <w:rFonts w:asciiTheme="majorHAnsi" w:eastAsia="Arial" w:hAnsiTheme="majorHAnsi" w:cstheme="majorHAnsi"/>
        </w:rPr>
        <w:fldChar w:fldCharType="end"/>
      </w:r>
      <w:r w:rsidR="00772BA1">
        <w:rPr>
          <w:rFonts w:asciiTheme="majorHAnsi" w:eastAsia="Arial" w:hAnsiTheme="majorHAnsi" w:cstheme="majorHAnsi"/>
        </w:rPr>
        <w:t>,</w:t>
      </w:r>
      <w:r w:rsidR="002702D4">
        <w:rPr>
          <w:rFonts w:asciiTheme="majorHAnsi" w:eastAsia="Arial" w:hAnsiTheme="majorHAnsi" w:cstheme="majorHAnsi"/>
        </w:rPr>
        <w:t xml:space="preserve"> and</w:t>
      </w:r>
      <w:r w:rsidR="00772BA1">
        <w:rPr>
          <w:rFonts w:asciiTheme="majorHAnsi" w:eastAsia="Arial" w:hAnsiTheme="majorHAnsi" w:cstheme="majorHAnsi"/>
        </w:rPr>
        <w:t xml:space="preserve"> affects studies using routinely collected data a</w:t>
      </w:r>
      <w:r w:rsidR="00F844B2">
        <w:rPr>
          <w:rFonts w:asciiTheme="majorHAnsi" w:eastAsia="Arial" w:hAnsiTheme="majorHAnsi" w:cstheme="majorHAnsi"/>
        </w:rPr>
        <w:t>s well as</w:t>
      </w:r>
      <w:r w:rsidR="00772BA1">
        <w:rPr>
          <w:rFonts w:asciiTheme="majorHAnsi" w:eastAsia="Arial" w:hAnsiTheme="majorHAnsi" w:cstheme="majorHAnsi"/>
        </w:rPr>
        <w:t xml:space="preserve"> interventional </w:t>
      </w:r>
      <w:r w:rsidR="00772BA1">
        <w:rPr>
          <w:rFonts w:asciiTheme="majorHAnsi" w:eastAsia="Arial" w:hAnsiTheme="majorHAnsi" w:cstheme="majorHAnsi"/>
        </w:rPr>
        <w:lastRenderedPageBreak/>
        <w:t xml:space="preserve">research. </w:t>
      </w:r>
      <w:r w:rsidR="002702D4">
        <w:rPr>
          <w:rFonts w:asciiTheme="majorHAnsi" w:eastAsia="Arial" w:hAnsiTheme="majorHAnsi" w:cstheme="majorHAnsi"/>
        </w:rPr>
        <w:t xml:space="preserve">Electronic data collection and virtual range of motion assessments could potentially improve outcome data collection for this </w:t>
      </w:r>
      <w:r w:rsidR="002702D4" w:rsidRPr="001D31AF">
        <w:rPr>
          <w:rFonts w:asciiTheme="majorHAnsi" w:eastAsia="Arial" w:hAnsiTheme="majorHAnsi" w:cstheme="majorHAnsi"/>
        </w:rPr>
        <w:t>population</w:t>
      </w:r>
      <w:r w:rsidR="002E1436" w:rsidRPr="001D31AF">
        <w:rPr>
          <w:rFonts w:asciiTheme="majorHAnsi" w:eastAsia="Arial" w:hAnsiTheme="majorHAnsi" w:cstheme="majorHAnsi"/>
        </w:rPr>
        <w:t xml:space="preserve"> </w:t>
      </w:r>
      <w:r w:rsidR="002E1436" w:rsidRPr="001D31AF">
        <w:rPr>
          <w:rFonts w:asciiTheme="majorHAnsi" w:eastAsia="Arial" w:hAnsiTheme="majorHAnsi" w:cstheme="majorHAnsi"/>
        </w:rPr>
        <w:fldChar w:fldCharType="begin" w:fldLock="1"/>
      </w:r>
      <w:r w:rsidR="00A50831">
        <w:rPr>
          <w:rFonts w:asciiTheme="majorHAnsi" w:eastAsia="Arial" w:hAnsiTheme="majorHAnsi" w:cstheme="majorHAnsi"/>
        </w:rPr>
        <w:instrText>ADDIN CSL_CITATION {"citationItems":[{"id":"ITEM-1","itemData":{"author":[{"dropping-particle":"","family":"Johnson","given":"Dane","non-dropping-particle":"","parse-names":false,"suffix":""},{"dropping-particle":"","family":"Barradas","given":"Rodrigo","non-dropping-particle":"","parse-names":false,"suffix":""},{"dropping-particle":"","family":"Newington","given":"Lisa","non-dropping-particle":"","parse-names":false,"suffix":""}],"container-title":"Journal of Hand Sugery [Eur]","id":"ITEM-1","issued":{"date-parts":[["2022"]]},"title":"Inter-rater and intra-rater reliability of finger goniometry measured from screenshots taken via video consultation","type":"article-journal","volume":"In press"},"uris":["http://www.mendeley.com/documents/?uuid=f2da321f-a45d-48e7-a55f-75ce104cadf9"]}],"mendeley":{"formattedCitation":"(40)","plainTextFormattedCitation":"(40)","previouslyFormattedCitation":"(40)"},"properties":{"noteIndex":0},"schema":"https://github.com/citation-style-language/schema/raw/master/csl-citation.json"}</w:instrText>
      </w:r>
      <w:r w:rsidR="002E1436" w:rsidRPr="001D31AF">
        <w:rPr>
          <w:rFonts w:asciiTheme="majorHAnsi" w:eastAsia="Arial" w:hAnsiTheme="majorHAnsi" w:cstheme="majorHAnsi"/>
        </w:rPr>
        <w:fldChar w:fldCharType="separate"/>
      </w:r>
      <w:r w:rsidR="00D06ED5" w:rsidRPr="00D06ED5">
        <w:rPr>
          <w:rFonts w:asciiTheme="majorHAnsi" w:eastAsia="Arial" w:hAnsiTheme="majorHAnsi" w:cstheme="majorHAnsi"/>
          <w:noProof/>
        </w:rPr>
        <w:t>(40)</w:t>
      </w:r>
      <w:r w:rsidR="002E1436" w:rsidRPr="001D31AF">
        <w:rPr>
          <w:rFonts w:asciiTheme="majorHAnsi" w:eastAsia="Arial" w:hAnsiTheme="majorHAnsi" w:cstheme="majorHAnsi"/>
        </w:rPr>
        <w:fldChar w:fldCharType="end"/>
      </w:r>
      <w:r w:rsidR="002702D4" w:rsidRPr="001D31AF">
        <w:rPr>
          <w:rFonts w:asciiTheme="majorHAnsi" w:eastAsia="Arial" w:hAnsiTheme="majorHAnsi" w:cstheme="majorHAnsi"/>
        </w:rPr>
        <w:t>.</w:t>
      </w:r>
    </w:p>
    <w:p w14:paraId="5127587C" w14:textId="1EA76491" w:rsidR="00B20FF5" w:rsidRPr="00CE562B" w:rsidRDefault="002702D4" w:rsidP="00CE562B">
      <w:pPr>
        <w:spacing w:line="480" w:lineRule="auto"/>
        <w:rPr>
          <w:rFonts w:asciiTheme="majorHAnsi" w:eastAsia="Arial" w:hAnsiTheme="majorHAnsi" w:cstheme="majorHAnsi"/>
        </w:rPr>
      </w:pPr>
      <w:r>
        <w:rPr>
          <w:rFonts w:asciiTheme="majorHAnsi" w:eastAsia="Arial" w:hAnsiTheme="majorHAnsi" w:cstheme="majorHAnsi"/>
        </w:rPr>
        <w:t xml:space="preserve"> </w:t>
      </w:r>
      <w:r w:rsidR="00B20FF5">
        <w:rPr>
          <w:rFonts w:asciiTheme="majorHAnsi" w:eastAsia="Arial" w:hAnsiTheme="majorHAnsi" w:cstheme="majorHAnsi"/>
          <w:b/>
          <w:bCs/>
        </w:rPr>
        <w:br w:type="page"/>
      </w:r>
    </w:p>
    <w:p w14:paraId="6CD8C6C4" w14:textId="6C9002B6" w:rsidR="00232C54" w:rsidRDefault="00772BA1" w:rsidP="00950475">
      <w:pPr>
        <w:spacing w:line="480" w:lineRule="auto"/>
        <w:rPr>
          <w:rFonts w:asciiTheme="majorHAnsi" w:eastAsia="Arial" w:hAnsiTheme="majorHAnsi" w:cstheme="majorHAnsi"/>
        </w:rPr>
      </w:pPr>
      <w:r w:rsidRPr="00A12185">
        <w:rPr>
          <w:rFonts w:asciiTheme="majorHAnsi" w:eastAsia="Arial" w:hAnsiTheme="majorHAnsi" w:cstheme="majorHAnsi"/>
          <w:b/>
          <w:bCs/>
        </w:rPr>
        <w:lastRenderedPageBreak/>
        <w:t xml:space="preserve">Table </w:t>
      </w:r>
      <w:r w:rsidR="00A12185" w:rsidRPr="00A12185">
        <w:rPr>
          <w:rFonts w:asciiTheme="majorHAnsi" w:eastAsia="Arial" w:hAnsiTheme="majorHAnsi" w:cstheme="majorHAnsi"/>
          <w:b/>
          <w:bCs/>
        </w:rPr>
        <w:t>1</w:t>
      </w:r>
      <w:r w:rsidRPr="00A12185">
        <w:rPr>
          <w:rFonts w:asciiTheme="majorHAnsi" w:eastAsia="Arial" w:hAnsiTheme="majorHAnsi" w:cstheme="majorHAnsi"/>
          <w:b/>
          <w:bCs/>
        </w:rPr>
        <w:t>.</w:t>
      </w:r>
      <w:r>
        <w:rPr>
          <w:rFonts w:asciiTheme="majorHAnsi" w:eastAsia="Arial" w:hAnsiTheme="majorHAnsi" w:cstheme="majorHAnsi"/>
        </w:rPr>
        <w:t xml:space="preserve"> </w:t>
      </w:r>
      <w:r w:rsidR="005951DB">
        <w:rPr>
          <w:rFonts w:asciiTheme="majorHAnsi" w:eastAsia="Arial" w:hAnsiTheme="majorHAnsi" w:cstheme="majorHAnsi"/>
        </w:rPr>
        <w:t xml:space="preserve">Clinical outcomes ≤ 12 weeks after </w:t>
      </w:r>
      <w:r w:rsidR="00B20FF5">
        <w:rPr>
          <w:rFonts w:asciiTheme="majorHAnsi" w:eastAsia="Arial" w:hAnsiTheme="majorHAnsi" w:cstheme="majorHAnsi"/>
        </w:rPr>
        <w:t>zone I/II f</w:t>
      </w:r>
      <w:r>
        <w:rPr>
          <w:rFonts w:asciiTheme="majorHAnsi" w:eastAsia="Arial" w:hAnsiTheme="majorHAnsi" w:cstheme="majorHAnsi"/>
        </w:rPr>
        <w:t xml:space="preserve">lexor digitorum </w:t>
      </w:r>
      <w:proofErr w:type="spellStart"/>
      <w:r>
        <w:rPr>
          <w:rFonts w:asciiTheme="majorHAnsi" w:eastAsia="Arial" w:hAnsiTheme="majorHAnsi" w:cstheme="majorHAnsi"/>
        </w:rPr>
        <w:t>profundus</w:t>
      </w:r>
      <w:proofErr w:type="spellEnd"/>
      <w:r>
        <w:rPr>
          <w:rFonts w:asciiTheme="majorHAnsi" w:eastAsia="Arial" w:hAnsiTheme="majorHAnsi" w:cstheme="majorHAnsi"/>
        </w:rPr>
        <w:t xml:space="preserve"> repair</w:t>
      </w:r>
      <w:r w:rsidR="0057036F">
        <w:rPr>
          <w:rFonts w:asciiTheme="majorHAnsi" w:eastAsia="Arial" w:hAnsiTheme="majorHAnsi" w:cstheme="majorHAnsi"/>
        </w:rPr>
        <w:t xml:space="preserve"> and relative motion flexion rehabilitation</w:t>
      </w:r>
    </w:p>
    <w:p w14:paraId="6065BCB3" w14:textId="3A05047B" w:rsidR="00B4090F" w:rsidRDefault="00B4090F" w:rsidP="00950475">
      <w:pPr>
        <w:spacing w:line="480" w:lineRule="auto"/>
        <w:rPr>
          <w:rFonts w:asciiTheme="majorHAnsi" w:eastAsia="Arial" w:hAnsiTheme="majorHAnsi" w:cstheme="majorHAnsi"/>
        </w:rPr>
      </w:pPr>
    </w:p>
    <w:tbl>
      <w:tblPr>
        <w:tblW w:w="983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709"/>
        <w:gridCol w:w="709"/>
        <w:gridCol w:w="709"/>
        <w:gridCol w:w="567"/>
        <w:gridCol w:w="1134"/>
        <w:gridCol w:w="720"/>
        <w:gridCol w:w="708"/>
        <w:gridCol w:w="993"/>
        <w:gridCol w:w="1134"/>
        <w:gridCol w:w="1417"/>
        <w:gridCol w:w="609"/>
      </w:tblGrid>
      <w:tr w:rsidR="001A37E3" w:rsidRPr="00B4090F" w14:paraId="358A877C" w14:textId="77777777" w:rsidTr="00CE562B">
        <w:tc>
          <w:tcPr>
            <w:tcW w:w="426" w:type="dxa"/>
            <w:vAlign w:val="center"/>
          </w:tcPr>
          <w:p w14:paraId="64EF3429" w14:textId="77777777" w:rsidR="001A37E3" w:rsidRPr="009A2DD9" w:rsidRDefault="001A37E3" w:rsidP="00950475">
            <w:pPr>
              <w:spacing w:line="480" w:lineRule="auto"/>
              <w:jc w:val="center"/>
              <w:rPr>
                <w:rFonts w:asciiTheme="majorHAnsi" w:eastAsia="Arial" w:hAnsiTheme="majorHAnsi" w:cstheme="majorHAnsi"/>
                <w:b/>
                <w:bCs/>
                <w:color w:val="000000"/>
                <w:sz w:val="16"/>
                <w:szCs w:val="16"/>
                <w:highlight w:val="white"/>
              </w:rPr>
            </w:pPr>
          </w:p>
        </w:tc>
        <w:tc>
          <w:tcPr>
            <w:tcW w:w="709" w:type="dxa"/>
          </w:tcPr>
          <w:p w14:paraId="47B102A7" w14:textId="77777777" w:rsidR="001A37E3" w:rsidRPr="009A2DD9" w:rsidRDefault="001A37E3" w:rsidP="00EF117B">
            <w:pPr>
              <w:spacing w:line="480" w:lineRule="auto"/>
              <w:jc w:val="center"/>
              <w:rPr>
                <w:rFonts w:asciiTheme="majorHAnsi" w:eastAsia="Arial" w:hAnsiTheme="majorHAnsi" w:cstheme="majorHAnsi"/>
                <w:b/>
                <w:bCs/>
                <w:color w:val="000000"/>
                <w:sz w:val="16"/>
                <w:szCs w:val="16"/>
                <w:highlight w:val="white"/>
              </w:rPr>
            </w:pPr>
            <w:r w:rsidRPr="009A2DD9">
              <w:rPr>
                <w:rFonts w:asciiTheme="majorHAnsi" w:eastAsia="Arial" w:hAnsiTheme="majorHAnsi" w:cstheme="majorHAnsi"/>
                <w:b/>
                <w:bCs/>
                <w:color w:val="000000"/>
                <w:sz w:val="16"/>
                <w:szCs w:val="16"/>
                <w:highlight w:val="white"/>
              </w:rPr>
              <w:t>Sex</w:t>
            </w:r>
          </w:p>
        </w:tc>
        <w:tc>
          <w:tcPr>
            <w:tcW w:w="709" w:type="dxa"/>
          </w:tcPr>
          <w:p w14:paraId="6CBFA0E0" w14:textId="0950D78C" w:rsidR="001A37E3" w:rsidRPr="009A2DD9" w:rsidRDefault="001A37E3" w:rsidP="00EF117B">
            <w:pPr>
              <w:spacing w:line="480" w:lineRule="auto"/>
              <w:jc w:val="center"/>
              <w:rPr>
                <w:rFonts w:asciiTheme="majorHAnsi" w:eastAsia="Arial" w:hAnsiTheme="majorHAnsi" w:cstheme="majorHAnsi"/>
                <w:b/>
                <w:bCs/>
                <w:color w:val="000000"/>
                <w:sz w:val="16"/>
                <w:szCs w:val="16"/>
                <w:highlight w:val="white"/>
              </w:rPr>
            </w:pPr>
            <w:r w:rsidRPr="009A2DD9">
              <w:rPr>
                <w:rFonts w:asciiTheme="majorHAnsi" w:eastAsia="Arial" w:hAnsiTheme="majorHAnsi" w:cstheme="majorHAnsi"/>
                <w:b/>
                <w:bCs/>
                <w:color w:val="000000"/>
                <w:sz w:val="16"/>
                <w:szCs w:val="16"/>
                <w:highlight w:val="white"/>
              </w:rPr>
              <w:t>Age</w:t>
            </w:r>
            <w:r>
              <w:rPr>
                <w:rFonts w:asciiTheme="majorHAnsi" w:eastAsia="Arial" w:hAnsiTheme="majorHAnsi" w:cstheme="majorHAnsi"/>
                <w:b/>
                <w:bCs/>
                <w:color w:val="000000"/>
                <w:sz w:val="16"/>
                <w:szCs w:val="16"/>
                <w:highlight w:val="white"/>
              </w:rPr>
              <w:t xml:space="preserve"> (years)</w:t>
            </w:r>
          </w:p>
        </w:tc>
        <w:tc>
          <w:tcPr>
            <w:tcW w:w="709" w:type="dxa"/>
          </w:tcPr>
          <w:p w14:paraId="0E8B93E9" w14:textId="187D78BD" w:rsidR="001A37E3" w:rsidRPr="009A2DD9" w:rsidRDefault="001A37E3" w:rsidP="00EF117B">
            <w:pPr>
              <w:spacing w:line="480" w:lineRule="auto"/>
              <w:jc w:val="center"/>
              <w:rPr>
                <w:rFonts w:asciiTheme="majorHAnsi" w:eastAsia="Arial" w:hAnsiTheme="majorHAnsi" w:cstheme="majorHAnsi"/>
                <w:b/>
                <w:bCs/>
                <w:color w:val="000000"/>
                <w:sz w:val="16"/>
                <w:szCs w:val="16"/>
                <w:highlight w:val="white"/>
              </w:rPr>
            </w:pPr>
            <w:r>
              <w:rPr>
                <w:rFonts w:asciiTheme="majorHAnsi" w:eastAsia="Arial" w:hAnsiTheme="majorHAnsi" w:cstheme="majorHAnsi"/>
                <w:b/>
                <w:bCs/>
                <w:color w:val="000000"/>
                <w:sz w:val="16"/>
                <w:szCs w:val="16"/>
                <w:highlight w:val="white"/>
              </w:rPr>
              <w:t>Finger</w:t>
            </w:r>
          </w:p>
        </w:tc>
        <w:tc>
          <w:tcPr>
            <w:tcW w:w="567" w:type="dxa"/>
          </w:tcPr>
          <w:p w14:paraId="1BB5FFBA" w14:textId="3E4A7337" w:rsidR="001A37E3" w:rsidRPr="009A2DD9" w:rsidRDefault="001A37E3" w:rsidP="00EF117B">
            <w:pPr>
              <w:spacing w:line="480" w:lineRule="auto"/>
              <w:jc w:val="center"/>
              <w:rPr>
                <w:rFonts w:asciiTheme="majorHAnsi" w:eastAsia="Arial" w:hAnsiTheme="majorHAnsi" w:cstheme="majorHAnsi"/>
                <w:b/>
                <w:bCs/>
                <w:color w:val="000000"/>
                <w:sz w:val="16"/>
                <w:szCs w:val="16"/>
                <w:highlight w:val="white"/>
              </w:rPr>
            </w:pPr>
            <w:r w:rsidRPr="009A2DD9">
              <w:rPr>
                <w:rFonts w:asciiTheme="majorHAnsi" w:eastAsia="Arial" w:hAnsiTheme="majorHAnsi" w:cstheme="majorHAnsi"/>
                <w:b/>
                <w:bCs/>
                <w:color w:val="000000"/>
                <w:sz w:val="16"/>
                <w:szCs w:val="16"/>
                <w:highlight w:val="white"/>
              </w:rPr>
              <w:t>Zone</w:t>
            </w:r>
          </w:p>
        </w:tc>
        <w:tc>
          <w:tcPr>
            <w:tcW w:w="1134" w:type="dxa"/>
          </w:tcPr>
          <w:p w14:paraId="683C900D" w14:textId="4338DEEE" w:rsidR="001A37E3" w:rsidRPr="009A2DD9" w:rsidRDefault="001A37E3" w:rsidP="00EF117B">
            <w:pPr>
              <w:spacing w:line="480" w:lineRule="auto"/>
              <w:jc w:val="center"/>
              <w:rPr>
                <w:rFonts w:asciiTheme="majorHAnsi" w:eastAsia="Arial" w:hAnsiTheme="majorHAnsi" w:cstheme="majorHAnsi"/>
                <w:b/>
                <w:bCs/>
                <w:color w:val="000000"/>
                <w:sz w:val="16"/>
                <w:szCs w:val="16"/>
                <w:highlight w:val="white"/>
              </w:rPr>
            </w:pPr>
            <w:r>
              <w:rPr>
                <w:rFonts w:asciiTheme="majorHAnsi" w:eastAsia="Arial" w:hAnsiTheme="majorHAnsi" w:cstheme="majorHAnsi"/>
                <w:b/>
                <w:bCs/>
                <w:color w:val="000000"/>
                <w:sz w:val="16"/>
                <w:szCs w:val="16"/>
                <w:highlight w:val="white"/>
              </w:rPr>
              <w:t>Mechanism of injury</w:t>
            </w:r>
          </w:p>
        </w:tc>
        <w:tc>
          <w:tcPr>
            <w:tcW w:w="720" w:type="dxa"/>
          </w:tcPr>
          <w:p w14:paraId="3020513F" w14:textId="2ABF0801" w:rsidR="001A37E3" w:rsidRPr="009A2DD9" w:rsidRDefault="001A37E3" w:rsidP="00EF117B">
            <w:pPr>
              <w:spacing w:line="480" w:lineRule="auto"/>
              <w:jc w:val="center"/>
              <w:rPr>
                <w:rFonts w:asciiTheme="majorHAnsi" w:eastAsia="Arial" w:hAnsiTheme="majorHAnsi" w:cstheme="majorHAnsi"/>
                <w:b/>
                <w:bCs/>
                <w:color w:val="000000"/>
                <w:sz w:val="16"/>
                <w:szCs w:val="16"/>
                <w:highlight w:val="white"/>
              </w:rPr>
            </w:pPr>
            <w:proofErr w:type="spellStart"/>
            <w:r w:rsidRPr="009A2DD9">
              <w:rPr>
                <w:rFonts w:asciiTheme="majorHAnsi" w:eastAsia="Arial" w:hAnsiTheme="majorHAnsi" w:cstheme="majorHAnsi"/>
                <w:b/>
                <w:bCs/>
                <w:color w:val="000000"/>
                <w:sz w:val="16"/>
                <w:szCs w:val="16"/>
                <w:highlight w:val="white"/>
              </w:rPr>
              <w:t>PIP</w:t>
            </w:r>
            <w:r>
              <w:rPr>
                <w:rFonts w:asciiTheme="majorHAnsi" w:eastAsia="Arial" w:hAnsiTheme="majorHAnsi" w:cstheme="majorHAnsi"/>
                <w:b/>
                <w:bCs/>
                <w:color w:val="000000"/>
                <w:sz w:val="16"/>
                <w:szCs w:val="16"/>
                <w:highlight w:val="white"/>
              </w:rPr>
              <w:t>J</w:t>
            </w:r>
            <w:proofErr w:type="spellEnd"/>
            <w:r w:rsidRPr="009A2DD9">
              <w:rPr>
                <w:rFonts w:asciiTheme="majorHAnsi" w:eastAsia="Arial" w:hAnsiTheme="majorHAnsi" w:cstheme="majorHAnsi"/>
                <w:b/>
                <w:bCs/>
                <w:color w:val="000000"/>
                <w:sz w:val="16"/>
                <w:szCs w:val="16"/>
                <w:highlight w:val="white"/>
              </w:rPr>
              <w:t xml:space="preserve"> </w:t>
            </w:r>
            <w:r>
              <w:rPr>
                <w:rFonts w:asciiTheme="majorHAnsi" w:eastAsia="Arial" w:hAnsiTheme="majorHAnsi" w:cstheme="majorHAnsi"/>
                <w:b/>
                <w:bCs/>
                <w:color w:val="000000"/>
                <w:sz w:val="16"/>
                <w:szCs w:val="16"/>
                <w:highlight w:val="white"/>
              </w:rPr>
              <w:t>A</w:t>
            </w:r>
            <w:r w:rsidRPr="009A2DD9">
              <w:rPr>
                <w:rFonts w:asciiTheme="majorHAnsi" w:eastAsia="Arial" w:hAnsiTheme="majorHAnsi" w:cstheme="majorHAnsi"/>
                <w:b/>
                <w:bCs/>
                <w:color w:val="000000"/>
                <w:sz w:val="16"/>
                <w:szCs w:val="16"/>
                <w:highlight w:val="white"/>
              </w:rPr>
              <w:t>ROM</w:t>
            </w:r>
          </w:p>
        </w:tc>
        <w:tc>
          <w:tcPr>
            <w:tcW w:w="708" w:type="dxa"/>
          </w:tcPr>
          <w:p w14:paraId="62D9AD16" w14:textId="7DA2DC49" w:rsidR="001A37E3" w:rsidRPr="009A2DD9" w:rsidRDefault="001A37E3" w:rsidP="00EF117B">
            <w:pPr>
              <w:spacing w:line="480" w:lineRule="auto"/>
              <w:jc w:val="center"/>
              <w:rPr>
                <w:rFonts w:asciiTheme="majorHAnsi" w:eastAsia="Arial" w:hAnsiTheme="majorHAnsi" w:cstheme="majorHAnsi"/>
                <w:b/>
                <w:bCs/>
                <w:color w:val="000000"/>
                <w:sz w:val="16"/>
                <w:szCs w:val="16"/>
                <w:highlight w:val="white"/>
              </w:rPr>
            </w:pPr>
            <w:proofErr w:type="spellStart"/>
            <w:r w:rsidRPr="009A2DD9">
              <w:rPr>
                <w:rFonts w:asciiTheme="majorHAnsi" w:eastAsia="Arial" w:hAnsiTheme="majorHAnsi" w:cstheme="majorHAnsi"/>
                <w:b/>
                <w:bCs/>
                <w:color w:val="000000"/>
                <w:sz w:val="16"/>
                <w:szCs w:val="16"/>
                <w:highlight w:val="white"/>
              </w:rPr>
              <w:t>DIP</w:t>
            </w:r>
            <w:r>
              <w:rPr>
                <w:rFonts w:asciiTheme="majorHAnsi" w:eastAsia="Arial" w:hAnsiTheme="majorHAnsi" w:cstheme="majorHAnsi"/>
                <w:b/>
                <w:bCs/>
                <w:color w:val="000000"/>
                <w:sz w:val="16"/>
                <w:szCs w:val="16"/>
                <w:highlight w:val="white"/>
              </w:rPr>
              <w:t>J</w:t>
            </w:r>
            <w:proofErr w:type="spellEnd"/>
            <w:r w:rsidRPr="009A2DD9">
              <w:rPr>
                <w:rFonts w:asciiTheme="majorHAnsi" w:eastAsia="Arial" w:hAnsiTheme="majorHAnsi" w:cstheme="majorHAnsi"/>
                <w:b/>
                <w:bCs/>
                <w:color w:val="000000"/>
                <w:sz w:val="16"/>
                <w:szCs w:val="16"/>
                <w:highlight w:val="white"/>
              </w:rPr>
              <w:t xml:space="preserve"> </w:t>
            </w:r>
            <w:r>
              <w:rPr>
                <w:rFonts w:asciiTheme="majorHAnsi" w:eastAsia="Arial" w:hAnsiTheme="majorHAnsi" w:cstheme="majorHAnsi"/>
                <w:b/>
                <w:bCs/>
                <w:color w:val="000000"/>
                <w:sz w:val="16"/>
                <w:szCs w:val="16"/>
                <w:highlight w:val="white"/>
              </w:rPr>
              <w:t>A</w:t>
            </w:r>
            <w:r w:rsidRPr="009A2DD9">
              <w:rPr>
                <w:rFonts w:asciiTheme="majorHAnsi" w:eastAsia="Arial" w:hAnsiTheme="majorHAnsi" w:cstheme="majorHAnsi"/>
                <w:b/>
                <w:bCs/>
                <w:color w:val="000000"/>
                <w:sz w:val="16"/>
                <w:szCs w:val="16"/>
                <w:highlight w:val="white"/>
              </w:rPr>
              <w:t>ROM</w:t>
            </w:r>
          </w:p>
        </w:tc>
        <w:tc>
          <w:tcPr>
            <w:tcW w:w="993" w:type="dxa"/>
          </w:tcPr>
          <w:p w14:paraId="53D1FE9B" w14:textId="1C706C3B" w:rsidR="001A37E3" w:rsidRPr="009A2DD9" w:rsidRDefault="001A37E3" w:rsidP="00EF117B">
            <w:pPr>
              <w:spacing w:line="480" w:lineRule="auto"/>
              <w:jc w:val="center"/>
              <w:rPr>
                <w:rFonts w:asciiTheme="majorHAnsi" w:eastAsia="Arial" w:hAnsiTheme="majorHAnsi" w:cstheme="majorHAnsi"/>
                <w:b/>
                <w:bCs/>
                <w:color w:val="000000"/>
                <w:sz w:val="16"/>
                <w:szCs w:val="16"/>
                <w:highlight w:val="white"/>
              </w:rPr>
            </w:pPr>
            <w:r>
              <w:rPr>
                <w:rFonts w:asciiTheme="majorHAnsi" w:eastAsia="Arial" w:hAnsiTheme="majorHAnsi" w:cstheme="majorHAnsi"/>
                <w:b/>
                <w:bCs/>
                <w:color w:val="000000"/>
                <w:sz w:val="16"/>
                <w:szCs w:val="16"/>
                <w:highlight w:val="white"/>
              </w:rPr>
              <w:t>Total active motion (</w:t>
            </w:r>
            <w:r w:rsidRPr="009A2DD9">
              <w:rPr>
                <w:rFonts w:asciiTheme="majorHAnsi" w:eastAsia="Arial" w:hAnsiTheme="majorHAnsi" w:cstheme="majorHAnsi"/>
                <w:b/>
                <w:bCs/>
                <w:color w:val="000000"/>
                <w:sz w:val="16"/>
                <w:szCs w:val="16"/>
                <w:highlight w:val="white"/>
              </w:rPr>
              <w:t>%</w:t>
            </w:r>
            <w:r>
              <w:rPr>
                <w:rFonts w:asciiTheme="majorHAnsi" w:eastAsia="Arial" w:hAnsiTheme="majorHAnsi" w:cstheme="majorHAnsi"/>
                <w:b/>
                <w:bCs/>
                <w:color w:val="000000"/>
                <w:sz w:val="16"/>
                <w:szCs w:val="16"/>
                <w:highlight w:val="white"/>
              </w:rPr>
              <w:t>)</w:t>
            </w:r>
          </w:p>
        </w:tc>
        <w:tc>
          <w:tcPr>
            <w:tcW w:w="1134" w:type="dxa"/>
          </w:tcPr>
          <w:p w14:paraId="3A216370" w14:textId="4932DF0B" w:rsidR="001A37E3" w:rsidRPr="009A2DD9" w:rsidRDefault="001A37E3" w:rsidP="00EF117B">
            <w:pPr>
              <w:spacing w:line="480" w:lineRule="auto"/>
              <w:jc w:val="center"/>
              <w:rPr>
                <w:rFonts w:asciiTheme="majorHAnsi" w:eastAsia="Arial" w:hAnsiTheme="majorHAnsi" w:cstheme="majorHAnsi"/>
                <w:b/>
                <w:bCs/>
                <w:color w:val="000000"/>
                <w:sz w:val="16"/>
                <w:szCs w:val="16"/>
                <w:highlight w:val="white"/>
              </w:rPr>
            </w:pPr>
            <w:r w:rsidRPr="009A2DD9">
              <w:rPr>
                <w:rFonts w:asciiTheme="majorHAnsi" w:eastAsia="Arial" w:hAnsiTheme="majorHAnsi" w:cstheme="majorHAnsi"/>
                <w:b/>
                <w:bCs/>
                <w:color w:val="000000"/>
                <w:sz w:val="16"/>
                <w:szCs w:val="16"/>
                <w:highlight w:val="white"/>
              </w:rPr>
              <w:t>Strickland Classification</w:t>
            </w:r>
          </w:p>
        </w:tc>
        <w:tc>
          <w:tcPr>
            <w:tcW w:w="1417" w:type="dxa"/>
          </w:tcPr>
          <w:p w14:paraId="00C7C76F" w14:textId="585277AB" w:rsidR="001A37E3" w:rsidRDefault="001A37E3" w:rsidP="00EF117B">
            <w:pPr>
              <w:spacing w:line="480" w:lineRule="auto"/>
              <w:jc w:val="center"/>
              <w:rPr>
                <w:rFonts w:asciiTheme="majorHAnsi" w:eastAsia="Arial" w:hAnsiTheme="majorHAnsi" w:cstheme="majorHAnsi"/>
                <w:b/>
                <w:bCs/>
                <w:color w:val="000000"/>
                <w:sz w:val="16"/>
                <w:szCs w:val="16"/>
                <w:highlight w:val="white"/>
              </w:rPr>
            </w:pPr>
            <w:r w:rsidRPr="009A2DD9">
              <w:rPr>
                <w:rFonts w:asciiTheme="majorHAnsi" w:eastAsia="Arial" w:hAnsiTheme="majorHAnsi" w:cstheme="majorHAnsi"/>
                <w:b/>
                <w:bCs/>
                <w:color w:val="000000"/>
                <w:sz w:val="16"/>
                <w:szCs w:val="16"/>
                <w:highlight w:val="white"/>
              </w:rPr>
              <w:t xml:space="preserve">Grip </w:t>
            </w:r>
            <w:r>
              <w:rPr>
                <w:rFonts w:asciiTheme="majorHAnsi" w:eastAsia="Arial" w:hAnsiTheme="majorHAnsi" w:cstheme="majorHAnsi"/>
                <w:b/>
                <w:bCs/>
                <w:color w:val="000000"/>
                <w:sz w:val="16"/>
                <w:szCs w:val="16"/>
                <w:highlight w:val="white"/>
              </w:rPr>
              <w:t>strength</w:t>
            </w:r>
          </w:p>
          <w:p w14:paraId="2DF0A571" w14:textId="3FA38F93" w:rsidR="001A37E3" w:rsidRPr="009A2DD9" w:rsidRDefault="001A37E3" w:rsidP="00EF117B">
            <w:pPr>
              <w:spacing w:line="480" w:lineRule="auto"/>
              <w:jc w:val="center"/>
              <w:rPr>
                <w:rFonts w:asciiTheme="majorHAnsi" w:eastAsia="Arial" w:hAnsiTheme="majorHAnsi" w:cstheme="majorHAnsi"/>
                <w:b/>
                <w:bCs/>
                <w:color w:val="000000"/>
                <w:sz w:val="16"/>
                <w:szCs w:val="16"/>
                <w:highlight w:val="white"/>
              </w:rPr>
            </w:pPr>
            <w:r>
              <w:rPr>
                <w:rFonts w:asciiTheme="majorHAnsi" w:eastAsia="Arial" w:hAnsiTheme="majorHAnsi" w:cstheme="majorHAnsi"/>
                <w:b/>
                <w:bCs/>
                <w:color w:val="000000"/>
                <w:sz w:val="16"/>
                <w:szCs w:val="16"/>
                <w:highlight w:val="white"/>
              </w:rPr>
              <w:t>(% of unaffected side)</w:t>
            </w:r>
          </w:p>
        </w:tc>
        <w:tc>
          <w:tcPr>
            <w:tcW w:w="609" w:type="dxa"/>
          </w:tcPr>
          <w:p w14:paraId="0407AD28" w14:textId="3715116E" w:rsidR="001A37E3" w:rsidRPr="00F844B2" w:rsidRDefault="001A37E3" w:rsidP="00EF117B">
            <w:pPr>
              <w:spacing w:line="480" w:lineRule="auto"/>
              <w:jc w:val="center"/>
              <w:rPr>
                <w:rFonts w:asciiTheme="majorHAnsi" w:eastAsia="Arial" w:hAnsiTheme="majorHAnsi" w:cstheme="majorHAnsi"/>
                <w:b/>
                <w:bCs/>
                <w:color w:val="000000"/>
                <w:sz w:val="16"/>
                <w:szCs w:val="16"/>
              </w:rPr>
            </w:pPr>
            <w:r w:rsidRPr="00F844B2">
              <w:rPr>
                <w:rFonts w:asciiTheme="majorHAnsi" w:eastAsia="Arial" w:hAnsiTheme="majorHAnsi" w:cstheme="majorHAnsi"/>
                <w:b/>
                <w:bCs/>
                <w:color w:val="000000"/>
                <w:sz w:val="16"/>
                <w:szCs w:val="16"/>
              </w:rPr>
              <w:t>Quick DASH</w:t>
            </w:r>
          </w:p>
        </w:tc>
      </w:tr>
      <w:tr w:rsidR="001A37E3" w:rsidRPr="00B4090F" w14:paraId="16839ED2" w14:textId="77777777" w:rsidTr="00CE562B">
        <w:tc>
          <w:tcPr>
            <w:tcW w:w="426" w:type="dxa"/>
          </w:tcPr>
          <w:p w14:paraId="72F7EF9D" w14:textId="3FE69685"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highlight w:val="white"/>
              </w:rPr>
              <w:t>1</w:t>
            </w:r>
          </w:p>
        </w:tc>
        <w:tc>
          <w:tcPr>
            <w:tcW w:w="709" w:type="dxa"/>
          </w:tcPr>
          <w:p w14:paraId="2CB04915" w14:textId="452D97B7"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Male</w:t>
            </w:r>
          </w:p>
        </w:tc>
        <w:tc>
          <w:tcPr>
            <w:tcW w:w="709" w:type="dxa"/>
          </w:tcPr>
          <w:p w14:paraId="01F0659A" w14:textId="153A05DE"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75</w:t>
            </w:r>
          </w:p>
        </w:tc>
        <w:tc>
          <w:tcPr>
            <w:tcW w:w="709" w:type="dxa"/>
          </w:tcPr>
          <w:p w14:paraId="7E76768B" w14:textId="406BBC04" w:rsidR="001A37E3"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Middle</w:t>
            </w:r>
          </w:p>
        </w:tc>
        <w:tc>
          <w:tcPr>
            <w:tcW w:w="567" w:type="dxa"/>
          </w:tcPr>
          <w:p w14:paraId="21AEBC25" w14:textId="0018ABD1" w:rsidR="001A37E3"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I</w:t>
            </w:r>
          </w:p>
        </w:tc>
        <w:tc>
          <w:tcPr>
            <w:tcW w:w="1134" w:type="dxa"/>
          </w:tcPr>
          <w:p w14:paraId="223F941D" w14:textId="220BB98E" w:rsidR="001A37E3"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Saw</w:t>
            </w:r>
          </w:p>
        </w:tc>
        <w:tc>
          <w:tcPr>
            <w:tcW w:w="720" w:type="dxa"/>
          </w:tcPr>
          <w:p w14:paraId="47749568" w14:textId="766F2DDE"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14 / 70</w:t>
            </w:r>
          </w:p>
        </w:tc>
        <w:tc>
          <w:tcPr>
            <w:tcW w:w="708" w:type="dxa"/>
          </w:tcPr>
          <w:p w14:paraId="5E9498F0" w14:textId="56D7C5F8" w:rsidR="001A37E3" w:rsidRPr="00B4090F" w:rsidRDefault="001A37E3" w:rsidP="00950475">
            <w:pPr>
              <w:spacing w:line="480" w:lineRule="auto"/>
              <w:jc w:val="center"/>
              <w:rPr>
                <w:rFonts w:asciiTheme="majorHAnsi" w:hAnsiTheme="majorHAnsi" w:cstheme="majorHAnsi"/>
                <w:color w:val="000000"/>
                <w:sz w:val="16"/>
                <w:szCs w:val="16"/>
              </w:rPr>
            </w:pPr>
            <w:r>
              <w:rPr>
                <w:rFonts w:asciiTheme="majorHAnsi" w:hAnsiTheme="majorHAnsi" w:cstheme="majorHAnsi"/>
                <w:color w:val="000000"/>
                <w:sz w:val="16"/>
                <w:szCs w:val="16"/>
              </w:rPr>
              <w:t>0 / 4</w:t>
            </w:r>
          </w:p>
        </w:tc>
        <w:tc>
          <w:tcPr>
            <w:tcW w:w="993" w:type="dxa"/>
          </w:tcPr>
          <w:p w14:paraId="05BC0715" w14:textId="1D750EFC" w:rsidR="001A37E3" w:rsidRPr="00B4090F" w:rsidRDefault="001A37E3" w:rsidP="00950475">
            <w:pPr>
              <w:spacing w:line="480" w:lineRule="auto"/>
              <w:jc w:val="center"/>
              <w:rPr>
                <w:rFonts w:asciiTheme="majorHAnsi" w:hAnsiTheme="majorHAnsi" w:cstheme="majorHAnsi"/>
                <w:color w:val="000000"/>
                <w:sz w:val="16"/>
                <w:szCs w:val="16"/>
              </w:rPr>
            </w:pPr>
            <w:r>
              <w:rPr>
                <w:rFonts w:asciiTheme="majorHAnsi" w:hAnsiTheme="majorHAnsi" w:cstheme="majorHAnsi"/>
                <w:color w:val="000000"/>
                <w:sz w:val="16"/>
                <w:szCs w:val="16"/>
              </w:rPr>
              <w:t>34</w:t>
            </w:r>
          </w:p>
        </w:tc>
        <w:tc>
          <w:tcPr>
            <w:tcW w:w="1134" w:type="dxa"/>
          </w:tcPr>
          <w:p w14:paraId="19686694" w14:textId="0E2E067B"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Poor</w:t>
            </w:r>
          </w:p>
        </w:tc>
        <w:tc>
          <w:tcPr>
            <w:tcW w:w="1417" w:type="dxa"/>
          </w:tcPr>
          <w:p w14:paraId="55340D36" w14:textId="33BD90C7" w:rsidR="001A37E3"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highlight w:val="white"/>
              </w:rPr>
              <w:t>NR</w:t>
            </w:r>
          </w:p>
        </w:tc>
        <w:tc>
          <w:tcPr>
            <w:tcW w:w="609" w:type="dxa"/>
          </w:tcPr>
          <w:p w14:paraId="48EBBB77" w14:textId="2A9E45E1"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highlight w:val="white"/>
              </w:rPr>
              <w:t>NR</w:t>
            </w:r>
          </w:p>
        </w:tc>
      </w:tr>
      <w:tr w:rsidR="001A37E3" w:rsidRPr="00B4090F" w14:paraId="27A571A2" w14:textId="77777777" w:rsidTr="00CE562B">
        <w:tc>
          <w:tcPr>
            <w:tcW w:w="426" w:type="dxa"/>
          </w:tcPr>
          <w:p w14:paraId="1C82F15F" w14:textId="0C29318E"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highlight w:val="white"/>
              </w:rPr>
              <w:t>2</w:t>
            </w:r>
          </w:p>
        </w:tc>
        <w:tc>
          <w:tcPr>
            <w:tcW w:w="709" w:type="dxa"/>
          </w:tcPr>
          <w:p w14:paraId="667295B6" w14:textId="55B3B3E9"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Female</w:t>
            </w:r>
          </w:p>
        </w:tc>
        <w:tc>
          <w:tcPr>
            <w:tcW w:w="709" w:type="dxa"/>
          </w:tcPr>
          <w:p w14:paraId="54E65CE7" w14:textId="18BB5896"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49</w:t>
            </w:r>
          </w:p>
        </w:tc>
        <w:tc>
          <w:tcPr>
            <w:tcW w:w="709" w:type="dxa"/>
          </w:tcPr>
          <w:p w14:paraId="2486F870" w14:textId="12180713" w:rsidR="001A37E3"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Small</w:t>
            </w:r>
          </w:p>
        </w:tc>
        <w:tc>
          <w:tcPr>
            <w:tcW w:w="567" w:type="dxa"/>
          </w:tcPr>
          <w:p w14:paraId="68F5B774" w14:textId="7365DCFB" w:rsidR="001A37E3"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II</w:t>
            </w:r>
          </w:p>
        </w:tc>
        <w:tc>
          <w:tcPr>
            <w:tcW w:w="1134" w:type="dxa"/>
          </w:tcPr>
          <w:p w14:paraId="39388920" w14:textId="231273A4" w:rsidR="001A37E3"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Knife</w:t>
            </w:r>
          </w:p>
        </w:tc>
        <w:tc>
          <w:tcPr>
            <w:tcW w:w="720" w:type="dxa"/>
          </w:tcPr>
          <w:p w14:paraId="358BC405" w14:textId="7C21D6C0"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4 / 72</w:t>
            </w:r>
          </w:p>
        </w:tc>
        <w:tc>
          <w:tcPr>
            <w:tcW w:w="708" w:type="dxa"/>
          </w:tcPr>
          <w:p w14:paraId="4DEBB65A" w14:textId="04EE9F02" w:rsidR="001A37E3" w:rsidRPr="00B4090F" w:rsidRDefault="001A37E3" w:rsidP="00950475">
            <w:pPr>
              <w:spacing w:line="480" w:lineRule="auto"/>
              <w:jc w:val="center"/>
              <w:rPr>
                <w:rFonts w:asciiTheme="majorHAnsi" w:hAnsiTheme="majorHAnsi" w:cstheme="majorHAnsi"/>
                <w:color w:val="000000"/>
                <w:sz w:val="16"/>
                <w:szCs w:val="16"/>
              </w:rPr>
            </w:pPr>
            <w:r>
              <w:rPr>
                <w:rFonts w:asciiTheme="majorHAnsi" w:hAnsiTheme="majorHAnsi" w:cstheme="majorHAnsi"/>
                <w:color w:val="000000"/>
                <w:sz w:val="16"/>
                <w:szCs w:val="16"/>
              </w:rPr>
              <w:t>0 / 60</w:t>
            </w:r>
          </w:p>
        </w:tc>
        <w:tc>
          <w:tcPr>
            <w:tcW w:w="993" w:type="dxa"/>
          </w:tcPr>
          <w:p w14:paraId="66BF7FEC" w14:textId="09042E22" w:rsidR="001A37E3" w:rsidRPr="00B4090F" w:rsidRDefault="001A37E3" w:rsidP="00950475">
            <w:pPr>
              <w:spacing w:line="480" w:lineRule="auto"/>
              <w:jc w:val="center"/>
              <w:rPr>
                <w:rFonts w:asciiTheme="majorHAnsi" w:hAnsiTheme="majorHAnsi" w:cstheme="majorHAnsi"/>
                <w:color w:val="000000"/>
                <w:sz w:val="16"/>
                <w:szCs w:val="16"/>
              </w:rPr>
            </w:pPr>
            <w:r>
              <w:rPr>
                <w:rFonts w:asciiTheme="majorHAnsi" w:hAnsiTheme="majorHAnsi" w:cstheme="majorHAnsi"/>
                <w:color w:val="000000"/>
                <w:sz w:val="16"/>
                <w:szCs w:val="16"/>
              </w:rPr>
              <w:t>73</w:t>
            </w:r>
          </w:p>
        </w:tc>
        <w:tc>
          <w:tcPr>
            <w:tcW w:w="1134" w:type="dxa"/>
          </w:tcPr>
          <w:p w14:paraId="5B9B69C8" w14:textId="2427E1B8"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Good</w:t>
            </w:r>
          </w:p>
        </w:tc>
        <w:tc>
          <w:tcPr>
            <w:tcW w:w="1417" w:type="dxa"/>
          </w:tcPr>
          <w:p w14:paraId="743610D1" w14:textId="1C917352" w:rsidR="001A37E3"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highlight w:val="white"/>
              </w:rPr>
              <w:t>85.1</w:t>
            </w:r>
          </w:p>
        </w:tc>
        <w:tc>
          <w:tcPr>
            <w:tcW w:w="609" w:type="dxa"/>
          </w:tcPr>
          <w:p w14:paraId="59302918" w14:textId="25D77ABA"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highlight w:val="white"/>
              </w:rPr>
              <w:t>4.5</w:t>
            </w:r>
          </w:p>
        </w:tc>
      </w:tr>
      <w:tr w:rsidR="001A37E3" w:rsidRPr="00B4090F" w14:paraId="789982EC" w14:textId="77777777" w:rsidTr="00CE562B">
        <w:tc>
          <w:tcPr>
            <w:tcW w:w="426" w:type="dxa"/>
          </w:tcPr>
          <w:p w14:paraId="1E7C837B" w14:textId="235EC1C5"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highlight w:val="white"/>
              </w:rPr>
              <w:t>3</w:t>
            </w:r>
          </w:p>
        </w:tc>
        <w:tc>
          <w:tcPr>
            <w:tcW w:w="709" w:type="dxa"/>
          </w:tcPr>
          <w:p w14:paraId="29CCBA96"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rPr>
              <w:t>Male</w:t>
            </w:r>
          </w:p>
        </w:tc>
        <w:tc>
          <w:tcPr>
            <w:tcW w:w="709" w:type="dxa"/>
          </w:tcPr>
          <w:p w14:paraId="2E1EC91C"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rPr>
              <w:t>26</w:t>
            </w:r>
          </w:p>
        </w:tc>
        <w:tc>
          <w:tcPr>
            <w:tcW w:w="709" w:type="dxa"/>
          </w:tcPr>
          <w:p w14:paraId="6E160EFC"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rPr>
              <w:t>Small</w:t>
            </w:r>
          </w:p>
        </w:tc>
        <w:tc>
          <w:tcPr>
            <w:tcW w:w="567" w:type="dxa"/>
          </w:tcPr>
          <w:p w14:paraId="5F49D540"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I</w:t>
            </w:r>
          </w:p>
        </w:tc>
        <w:tc>
          <w:tcPr>
            <w:tcW w:w="1134" w:type="dxa"/>
          </w:tcPr>
          <w:p w14:paraId="6CA5D5E8" w14:textId="563ED8F8" w:rsidR="001A37E3" w:rsidRPr="00B4090F" w:rsidRDefault="0053657D"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Sharp metal</w:t>
            </w:r>
          </w:p>
        </w:tc>
        <w:tc>
          <w:tcPr>
            <w:tcW w:w="720" w:type="dxa"/>
          </w:tcPr>
          <w:p w14:paraId="2E86F442" w14:textId="48F15064"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rPr>
              <w:t>0</w:t>
            </w:r>
            <w:r>
              <w:rPr>
                <w:rFonts w:asciiTheme="majorHAnsi" w:eastAsia="Arial" w:hAnsiTheme="majorHAnsi" w:cstheme="majorHAnsi"/>
                <w:color w:val="000000"/>
                <w:sz w:val="16"/>
                <w:szCs w:val="16"/>
              </w:rPr>
              <w:t xml:space="preserve"> </w:t>
            </w:r>
            <w:r w:rsidRPr="00B4090F">
              <w:rPr>
                <w:rFonts w:asciiTheme="majorHAnsi" w:eastAsia="Arial" w:hAnsiTheme="majorHAnsi" w:cstheme="majorHAnsi"/>
                <w:color w:val="000000"/>
                <w:sz w:val="16"/>
                <w:szCs w:val="16"/>
              </w:rPr>
              <w:t>/</w:t>
            </w:r>
            <w:r>
              <w:rPr>
                <w:rFonts w:asciiTheme="majorHAnsi" w:eastAsia="Arial" w:hAnsiTheme="majorHAnsi" w:cstheme="majorHAnsi"/>
                <w:color w:val="000000"/>
                <w:sz w:val="16"/>
                <w:szCs w:val="16"/>
              </w:rPr>
              <w:t xml:space="preserve"> </w:t>
            </w:r>
            <w:r w:rsidRPr="00B4090F">
              <w:rPr>
                <w:rFonts w:asciiTheme="majorHAnsi" w:eastAsia="Arial" w:hAnsiTheme="majorHAnsi" w:cstheme="majorHAnsi"/>
                <w:color w:val="000000"/>
                <w:sz w:val="16"/>
                <w:szCs w:val="16"/>
              </w:rPr>
              <w:t>90</w:t>
            </w:r>
          </w:p>
        </w:tc>
        <w:tc>
          <w:tcPr>
            <w:tcW w:w="708" w:type="dxa"/>
          </w:tcPr>
          <w:p w14:paraId="0A55530F" w14:textId="2809747F"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hAnsiTheme="majorHAnsi" w:cstheme="majorHAnsi"/>
                <w:color w:val="000000"/>
                <w:sz w:val="16"/>
                <w:szCs w:val="16"/>
              </w:rPr>
              <w:t>0</w:t>
            </w:r>
            <w:r>
              <w:rPr>
                <w:rFonts w:asciiTheme="majorHAnsi" w:hAnsiTheme="majorHAnsi" w:cstheme="majorHAnsi"/>
                <w:color w:val="000000"/>
                <w:sz w:val="16"/>
                <w:szCs w:val="16"/>
              </w:rPr>
              <w:t xml:space="preserve"> </w:t>
            </w:r>
            <w:r w:rsidRPr="00B4090F">
              <w:rPr>
                <w:rFonts w:asciiTheme="majorHAnsi" w:hAnsiTheme="majorHAnsi" w:cstheme="majorHAnsi"/>
                <w:color w:val="000000"/>
                <w:sz w:val="16"/>
                <w:szCs w:val="16"/>
              </w:rPr>
              <w:t>/</w:t>
            </w:r>
            <w:r>
              <w:rPr>
                <w:rFonts w:asciiTheme="majorHAnsi" w:hAnsiTheme="majorHAnsi" w:cstheme="majorHAnsi"/>
                <w:color w:val="000000"/>
                <w:sz w:val="16"/>
                <w:szCs w:val="16"/>
              </w:rPr>
              <w:t xml:space="preserve"> </w:t>
            </w:r>
            <w:r w:rsidRPr="00B4090F">
              <w:rPr>
                <w:rFonts w:asciiTheme="majorHAnsi" w:hAnsiTheme="majorHAnsi" w:cstheme="majorHAnsi"/>
                <w:color w:val="000000"/>
                <w:sz w:val="16"/>
                <w:szCs w:val="16"/>
              </w:rPr>
              <w:t>54</w:t>
            </w:r>
          </w:p>
        </w:tc>
        <w:tc>
          <w:tcPr>
            <w:tcW w:w="993" w:type="dxa"/>
          </w:tcPr>
          <w:p w14:paraId="06601A14" w14:textId="21C77025"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hAnsiTheme="majorHAnsi" w:cstheme="majorHAnsi"/>
                <w:color w:val="000000"/>
                <w:sz w:val="16"/>
                <w:szCs w:val="16"/>
              </w:rPr>
              <w:t>82</w:t>
            </w:r>
          </w:p>
        </w:tc>
        <w:tc>
          <w:tcPr>
            <w:tcW w:w="1134" w:type="dxa"/>
          </w:tcPr>
          <w:p w14:paraId="2FD52A83"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sidRPr="00B4090F">
              <w:rPr>
                <w:rFonts w:asciiTheme="majorHAnsi" w:eastAsia="Arial" w:hAnsiTheme="majorHAnsi" w:cstheme="majorHAnsi"/>
                <w:color w:val="000000"/>
                <w:sz w:val="16"/>
                <w:szCs w:val="16"/>
              </w:rPr>
              <w:t>Good</w:t>
            </w:r>
          </w:p>
        </w:tc>
        <w:tc>
          <w:tcPr>
            <w:tcW w:w="1417" w:type="dxa"/>
          </w:tcPr>
          <w:p w14:paraId="1FCCB4BD" w14:textId="6F2E672A"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highlight w:val="white"/>
              </w:rPr>
              <w:t>NR</w:t>
            </w:r>
          </w:p>
        </w:tc>
        <w:tc>
          <w:tcPr>
            <w:tcW w:w="609" w:type="dxa"/>
          </w:tcPr>
          <w:p w14:paraId="0B3E85A3"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highlight w:val="white"/>
              </w:rPr>
              <w:t>9.1</w:t>
            </w:r>
          </w:p>
        </w:tc>
      </w:tr>
      <w:tr w:rsidR="001A37E3" w:rsidRPr="00B4090F" w14:paraId="76DD4631" w14:textId="77777777" w:rsidTr="00CE562B">
        <w:tc>
          <w:tcPr>
            <w:tcW w:w="426" w:type="dxa"/>
          </w:tcPr>
          <w:p w14:paraId="3440873B" w14:textId="053C6A5A"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992562">
              <w:rPr>
                <w:rFonts w:asciiTheme="majorHAnsi" w:eastAsia="Arial" w:hAnsiTheme="majorHAnsi" w:cstheme="majorHAnsi"/>
                <w:color w:val="000000"/>
                <w:sz w:val="16"/>
                <w:szCs w:val="16"/>
                <w:highlight w:val="white"/>
              </w:rPr>
              <w:t>4</w:t>
            </w:r>
          </w:p>
        </w:tc>
        <w:tc>
          <w:tcPr>
            <w:tcW w:w="709" w:type="dxa"/>
          </w:tcPr>
          <w:p w14:paraId="2A90A0B3"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rPr>
              <w:t>Female</w:t>
            </w:r>
          </w:p>
        </w:tc>
        <w:tc>
          <w:tcPr>
            <w:tcW w:w="709" w:type="dxa"/>
          </w:tcPr>
          <w:p w14:paraId="0971CAB2"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rPr>
              <w:t>34</w:t>
            </w:r>
          </w:p>
        </w:tc>
        <w:tc>
          <w:tcPr>
            <w:tcW w:w="709" w:type="dxa"/>
          </w:tcPr>
          <w:p w14:paraId="6D79D611"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rPr>
              <w:t>Small</w:t>
            </w:r>
          </w:p>
        </w:tc>
        <w:tc>
          <w:tcPr>
            <w:tcW w:w="567" w:type="dxa"/>
          </w:tcPr>
          <w:p w14:paraId="76164E59"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I</w:t>
            </w:r>
          </w:p>
        </w:tc>
        <w:tc>
          <w:tcPr>
            <w:tcW w:w="1134" w:type="dxa"/>
          </w:tcPr>
          <w:p w14:paraId="36694170" w14:textId="6A508C9A"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Knife</w:t>
            </w:r>
          </w:p>
        </w:tc>
        <w:tc>
          <w:tcPr>
            <w:tcW w:w="720" w:type="dxa"/>
            <w:tcBorders>
              <w:right w:val="single" w:sz="4" w:space="0" w:color="auto"/>
            </w:tcBorders>
          </w:tcPr>
          <w:p w14:paraId="50C8960E" w14:textId="310C0D5C"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rPr>
              <w:t>0</w:t>
            </w:r>
            <w:r>
              <w:rPr>
                <w:rFonts w:asciiTheme="majorHAnsi" w:eastAsia="Arial" w:hAnsiTheme="majorHAnsi" w:cstheme="majorHAnsi"/>
                <w:color w:val="000000"/>
                <w:sz w:val="16"/>
                <w:szCs w:val="16"/>
              </w:rPr>
              <w:t xml:space="preserve"> </w:t>
            </w:r>
            <w:r w:rsidRPr="00B4090F">
              <w:rPr>
                <w:rFonts w:asciiTheme="majorHAnsi" w:eastAsia="Arial" w:hAnsiTheme="majorHAnsi" w:cstheme="majorHAnsi"/>
                <w:color w:val="000000"/>
                <w:sz w:val="16"/>
                <w:szCs w:val="16"/>
              </w:rPr>
              <w:t>/</w:t>
            </w:r>
            <w:r>
              <w:rPr>
                <w:rFonts w:asciiTheme="majorHAnsi" w:eastAsia="Arial" w:hAnsiTheme="majorHAnsi" w:cstheme="majorHAnsi"/>
                <w:color w:val="000000"/>
                <w:sz w:val="16"/>
                <w:szCs w:val="16"/>
              </w:rPr>
              <w:t xml:space="preserve"> </w:t>
            </w:r>
            <w:r w:rsidRPr="00B4090F">
              <w:rPr>
                <w:rFonts w:asciiTheme="majorHAnsi" w:eastAsia="Arial" w:hAnsiTheme="majorHAnsi" w:cstheme="majorHAnsi"/>
                <w:color w:val="000000"/>
                <w:sz w:val="16"/>
                <w:szCs w:val="16"/>
              </w:rPr>
              <w:t>100</w:t>
            </w:r>
          </w:p>
        </w:tc>
        <w:tc>
          <w:tcPr>
            <w:tcW w:w="708" w:type="dxa"/>
            <w:tcBorders>
              <w:left w:val="single" w:sz="4" w:space="0" w:color="auto"/>
              <w:right w:val="single" w:sz="4" w:space="0" w:color="auto"/>
            </w:tcBorders>
          </w:tcPr>
          <w:p w14:paraId="3A317C51" w14:textId="22F8CAA3"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hAnsiTheme="majorHAnsi" w:cstheme="majorHAnsi"/>
                <w:color w:val="000000"/>
                <w:sz w:val="16"/>
                <w:szCs w:val="16"/>
              </w:rPr>
              <w:t>0</w:t>
            </w:r>
            <w:r>
              <w:rPr>
                <w:rFonts w:asciiTheme="majorHAnsi" w:hAnsiTheme="majorHAnsi" w:cstheme="majorHAnsi"/>
                <w:color w:val="000000"/>
                <w:sz w:val="16"/>
                <w:szCs w:val="16"/>
              </w:rPr>
              <w:t xml:space="preserve"> </w:t>
            </w:r>
            <w:r w:rsidRPr="00B4090F">
              <w:rPr>
                <w:rFonts w:asciiTheme="majorHAnsi" w:hAnsiTheme="majorHAnsi" w:cstheme="majorHAnsi"/>
                <w:color w:val="000000"/>
                <w:sz w:val="16"/>
                <w:szCs w:val="16"/>
              </w:rPr>
              <w:t>/</w:t>
            </w:r>
            <w:r>
              <w:rPr>
                <w:rFonts w:asciiTheme="majorHAnsi" w:hAnsiTheme="majorHAnsi" w:cstheme="majorHAnsi"/>
                <w:color w:val="000000"/>
                <w:sz w:val="16"/>
                <w:szCs w:val="16"/>
              </w:rPr>
              <w:t xml:space="preserve"> </w:t>
            </w:r>
            <w:r w:rsidRPr="00B4090F">
              <w:rPr>
                <w:rFonts w:asciiTheme="majorHAnsi" w:hAnsiTheme="majorHAnsi" w:cstheme="majorHAnsi"/>
                <w:color w:val="000000"/>
                <w:sz w:val="16"/>
                <w:szCs w:val="16"/>
              </w:rPr>
              <w:t>38</w:t>
            </w:r>
          </w:p>
        </w:tc>
        <w:tc>
          <w:tcPr>
            <w:tcW w:w="993" w:type="dxa"/>
            <w:tcBorders>
              <w:left w:val="single" w:sz="4" w:space="0" w:color="auto"/>
              <w:right w:val="single" w:sz="4" w:space="0" w:color="auto"/>
            </w:tcBorders>
          </w:tcPr>
          <w:p w14:paraId="177AF21D" w14:textId="0BA51CD0"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hAnsiTheme="majorHAnsi" w:cstheme="majorHAnsi"/>
                <w:color w:val="000000"/>
                <w:sz w:val="16"/>
                <w:szCs w:val="16"/>
              </w:rPr>
              <w:t>79</w:t>
            </w:r>
          </w:p>
        </w:tc>
        <w:tc>
          <w:tcPr>
            <w:tcW w:w="1134" w:type="dxa"/>
            <w:tcBorders>
              <w:left w:val="single" w:sz="4" w:space="0" w:color="auto"/>
              <w:right w:val="single" w:sz="4" w:space="0" w:color="auto"/>
            </w:tcBorders>
          </w:tcPr>
          <w:p w14:paraId="62A70F56"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sidRPr="00B4090F">
              <w:rPr>
                <w:rFonts w:asciiTheme="majorHAnsi" w:eastAsia="Arial" w:hAnsiTheme="majorHAnsi" w:cstheme="majorHAnsi"/>
                <w:color w:val="000000"/>
                <w:sz w:val="16"/>
                <w:szCs w:val="16"/>
              </w:rPr>
              <w:t>Good</w:t>
            </w:r>
          </w:p>
        </w:tc>
        <w:tc>
          <w:tcPr>
            <w:tcW w:w="1417" w:type="dxa"/>
            <w:tcBorders>
              <w:left w:val="single" w:sz="4" w:space="0" w:color="auto"/>
              <w:right w:val="single" w:sz="4" w:space="0" w:color="auto"/>
            </w:tcBorders>
          </w:tcPr>
          <w:p w14:paraId="3E04370D" w14:textId="1301D5F3"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highlight w:val="white"/>
              </w:rPr>
              <w:t>84.1</w:t>
            </w:r>
          </w:p>
        </w:tc>
        <w:tc>
          <w:tcPr>
            <w:tcW w:w="609" w:type="dxa"/>
            <w:tcBorders>
              <w:left w:val="single" w:sz="4" w:space="0" w:color="auto"/>
            </w:tcBorders>
          </w:tcPr>
          <w:p w14:paraId="42C0BB46" w14:textId="53F8A19D"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highlight w:val="white"/>
              </w:rPr>
              <w:t>9.0</w:t>
            </w:r>
          </w:p>
        </w:tc>
      </w:tr>
      <w:tr w:rsidR="001A37E3" w:rsidRPr="00B4090F" w14:paraId="0FA291CB" w14:textId="4E6FDC2B" w:rsidTr="00CE562B">
        <w:tc>
          <w:tcPr>
            <w:tcW w:w="426" w:type="dxa"/>
          </w:tcPr>
          <w:p w14:paraId="21DAB6DF" w14:textId="79C8B29E"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992562">
              <w:rPr>
                <w:rFonts w:asciiTheme="majorHAnsi" w:eastAsia="Arial" w:hAnsiTheme="majorHAnsi" w:cstheme="majorHAnsi"/>
                <w:color w:val="000000"/>
                <w:sz w:val="16"/>
                <w:szCs w:val="16"/>
                <w:highlight w:val="white"/>
              </w:rPr>
              <w:t>5</w:t>
            </w:r>
          </w:p>
        </w:tc>
        <w:tc>
          <w:tcPr>
            <w:tcW w:w="709" w:type="dxa"/>
          </w:tcPr>
          <w:p w14:paraId="5EA6403B"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rPr>
              <w:t>Female</w:t>
            </w:r>
          </w:p>
        </w:tc>
        <w:tc>
          <w:tcPr>
            <w:tcW w:w="709" w:type="dxa"/>
          </w:tcPr>
          <w:p w14:paraId="2AFB129E"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rPr>
              <w:t>38</w:t>
            </w:r>
          </w:p>
        </w:tc>
        <w:tc>
          <w:tcPr>
            <w:tcW w:w="709" w:type="dxa"/>
          </w:tcPr>
          <w:p w14:paraId="7D06028C"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rPr>
              <w:t>Small</w:t>
            </w:r>
          </w:p>
        </w:tc>
        <w:tc>
          <w:tcPr>
            <w:tcW w:w="567" w:type="dxa"/>
          </w:tcPr>
          <w:p w14:paraId="6A9CBC2D"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II</w:t>
            </w:r>
          </w:p>
        </w:tc>
        <w:tc>
          <w:tcPr>
            <w:tcW w:w="1134" w:type="dxa"/>
          </w:tcPr>
          <w:p w14:paraId="46305F9F" w14:textId="1B28BAA8" w:rsidR="001A37E3"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Knife</w:t>
            </w:r>
          </w:p>
        </w:tc>
        <w:tc>
          <w:tcPr>
            <w:tcW w:w="720" w:type="dxa"/>
            <w:tcBorders>
              <w:right w:val="single" w:sz="4" w:space="0" w:color="auto"/>
            </w:tcBorders>
          </w:tcPr>
          <w:p w14:paraId="19EC0C5A" w14:textId="7F00364F"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rPr>
              <w:t>NR</w:t>
            </w:r>
          </w:p>
        </w:tc>
        <w:tc>
          <w:tcPr>
            <w:tcW w:w="708" w:type="dxa"/>
            <w:tcBorders>
              <w:left w:val="single" w:sz="4" w:space="0" w:color="auto"/>
              <w:right w:val="single" w:sz="4" w:space="0" w:color="auto"/>
            </w:tcBorders>
          </w:tcPr>
          <w:p w14:paraId="42441788" w14:textId="506486AB"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rPr>
              <w:t>NR</w:t>
            </w:r>
          </w:p>
        </w:tc>
        <w:tc>
          <w:tcPr>
            <w:tcW w:w="993" w:type="dxa"/>
            <w:tcBorders>
              <w:left w:val="single" w:sz="4" w:space="0" w:color="auto"/>
              <w:right w:val="single" w:sz="4" w:space="0" w:color="auto"/>
            </w:tcBorders>
          </w:tcPr>
          <w:p w14:paraId="46DF2615" w14:textId="3B8F2F74"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rPr>
              <w:t>NR</w:t>
            </w:r>
          </w:p>
        </w:tc>
        <w:tc>
          <w:tcPr>
            <w:tcW w:w="1134" w:type="dxa"/>
            <w:tcBorders>
              <w:left w:val="single" w:sz="4" w:space="0" w:color="auto"/>
              <w:right w:val="single" w:sz="4" w:space="0" w:color="auto"/>
            </w:tcBorders>
          </w:tcPr>
          <w:p w14:paraId="1543F348" w14:textId="7F1C4D1A"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rPr>
              <w:t>NR</w:t>
            </w:r>
          </w:p>
        </w:tc>
        <w:tc>
          <w:tcPr>
            <w:tcW w:w="1417" w:type="dxa"/>
            <w:tcBorders>
              <w:left w:val="single" w:sz="4" w:space="0" w:color="auto"/>
              <w:right w:val="single" w:sz="4" w:space="0" w:color="auto"/>
            </w:tcBorders>
          </w:tcPr>
          <w:p w14:paraId="6B9D027E" w14:textId="7BC6E816"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rPr>
              <w:t>NR</w:t>
            </w:r>
          </w:p>
        </w:tc>
        <w:tc>
          <w:tcPr>
            <w:tcW w:w="609" w:type="dxa"/>
            <w:tcBorders>
              <w:left w:val="single" w:sz="4" w:space="0" w:color="auto"/>
            </w:tcBorders>
          </w:tcPr>
          <w:p w14:paraId="345E3703" w14:textId="18C287C2"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rPr>
              <w:t>NR</w:t>
            </w:r>
          </w:p>
        </w:tc>
      </w:tr>
      <w:tr w:rsidR="001A37E3" w:rsidRPr="00B4090F" w14:paraId="6B21CA1E" w14:textId="7F1E63CE" w:rsidTr="00CE562B">
        <w:tc>
          <w:tcPr>
            <w:tcW w:w="426" w:type="dxa"/>
          </w:tcPr>
          <w:p w14:paraId="6ABFDBF4" w14:textId="237952E2" w:rsidR="001A37E3" w:rsidRPr="00992562" w:rsidRDefault="001A37E3" w:rsidP="00950475">
            <w:pPr>
              <w:spacing w:line="480" w:lineRule="auto"/>
              <w:jc w:val="center"/>
              <w:rPr>
                <w:rFonts w:asciiTheme="majorHAnsi" w:eastAsia="Arial" w:hAnsiTheme="majorHAnsi" w:cstheme="majorHAnsi"/>
                <w:color w:val="000000"/>
                <w:sz w:val="16"/>
                <w:szCs w:val="16"/>
                <w:highlight w:val="white"/>
              </w:rPr>
            </w:pPr>
            <w:r w:rsidRPr="00992562">
              <w:rPr>
                <w:rFonts w:asciiTheme="majorHAnsi" w:eastAsia="Arial" w:hAnsiTheme="majorHAnsi" w:cstheme="majorHAnsi"/>
                <w:color w:val="000000"/>
                <w:sz w:val="16"/>
                <w:szCs w:val="16"/>
                <w:highlight w:val="white"/>
              </w:rPr>
              <w:t>6</w:t>
            </w:r>
          </w:p>
        </w:tc>
        <w:tc>
          <w:tcPr>
            <w:tcW w:w="709" w:type="dxa"/>
          </w:tcPr>
          <w:p w14:paraId="5D661D38" w14:textId="3A9214A7" w:rsidR="001A37E3" w:rsidRPr="00992562" w:rsidRDefault="001A37E3" w:rsidP="00950475">
            <w:pPr>
              <w:spacing w:line="480" w:lineRule="auto"/>
              <w:jc w:val="center"/>
              <w:rPr>
                <w:rFonts w:asciiTheme="majorHAnsi" w:eastAsia="Arial" w:hAnsiTheme="majorHAnsi" w:cstheme="majorHAnsi"/>
                <w:color w:val="000000"/>
                <w:sz w:val="16"/>
                <w:szCs w:val="16"/>
                <w:highlight w:val="white"/>
              </w:rPr>
            </w:pPr>
            <w:r w:rsidRPr="00992562">
              <w:rPr>
                <w:rFonts w:asciiTheme="majorHAnsi" w:eastAsia="Arial" w:hAnsiTheme="majorHAnsi" w:cstheme="majorHAnsi"/>
                <w:color w:val="000000"/>
                <w:sz w:val="16"/>
                <w:szCs w:val="16"/>
              </w:rPr>
              <w:t>Male</w:t>
            </w:r>
            <w:r>
              <w:rPr>
                <w:rFonts w:asciiTheme="majorHAnsi" w:eastAsia="Arial" w:hAnsiTheme="majorHAnsi" w:cstheme="majorHAnsi"/>
                <w:color w:val="000000"/>
                <w:sz w:val="16"/>
                <w:szCs w:val="16"/>
              </w:rPr>
              <w:t xml:space="preserve"> *</w:t>
            </w:r>
          </w:p>
        </w:tc>
        <w:tc>
          <w:tcPr>
            <w:tcW w:w="709" w:type="dxa"/>
          </w:tcPr>
          <w:p w14:paraId="317BD7AB" w14:textId="77777777" w:rsidR="001A37E3" w:rsidRPr="00992562" w:rsidRDefault="001A37E3" w:rsidP="00950475">
            <w:pPr>
              <w:spacing w:line="480" w:lineRule="auto"/>
              <w:jc w:val="center"/>
              <w:rPr>
                <w:rFonts w:asciiTheme="majorHAnsi" w:eastAsia="Arial" w:hAnsiTheme="majorHAnsi" w:cstheme="majorHAnsi"/>
                <w:color w:val="000000"/>
                <w:sz w:val="16"/>
                <w:szCs w:val="16"/>
                <w:highlight w:val="white"/>
              </w:rPr>
            </w:pPr>
            <w:r w:rsidRPr="00992562">
              <w:rPr>
                <w:rFonts w:asciiTheme="majorHAnsi" w:eastAsia="Arial" w:hAnsiTheme="majorHAnsi" w:cstheme="majorHAnsi"/>
                <w:color w:val="000000"/>
                <w:sz w:val="16"/>
                <w:szCs w:val="16"/>
              </w:rPr>
              <w:t>60</w:t>
            </w:r>
          </w:p>
        </w:tc>
        <w:tc>
          <w:tcPr>
            <w:tcW w:w="709" w:type="dxa"/>
          </w:tcPr>
          <w:p w14:paraId="770D8B4B"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rPr>
              <w:t>Small</w:t>
            </w:r>
          </w:p>
        </w:tc>
        <w:tc>
          <w:tcPr>
            <w:tcW w:w="567" w:type="dxa"/>
          </w:tcPr>
          <w:p w14:paraId="5DA5A3B8"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I</w:t>
            </w:r>
          </w:p>
        </w:tc>
        <w:tc>
          <w:tcPr>
            <w:tcW w:w="1134" w:type="dxa"/>
          </w:tcPr>
          <w:p w14:paraId="1D6D482B" w14:textId="3D7FDCC2" w:rsidR="001A37E3" w:rsidRDefault="001A37E3" w:rsidP="00950475">
            <w:pPr>
              <w:spacing w:line="480" w:lineRule="auto"/>
              <w:jc w:val="center"/>
              <w:rPr>
                <w:rFonts w:asciiTheme="majorHAnsi" w:hAnsiTheme="majorHAnsi" w:cstheme="majorHAnsi"/>
                <w:color w:val="000000"/>
                <w:sz w:val="16"/>
                <w:szCs w:val="16"/>
              </w:rPr>
            </w:pPr>
            <w:r>
              <w:rPr>
                <w:rFonts w:asciiTheme="majorHAnsi" w:hAnsiTheme="majorHAnsi" w:cstheme="majorHAnsi"/>
                <w:color w:val="000000"/>
                <w:sz w:val="16"/>
                <w:szCs w:val="16"/>
              </w:rPr>
              <w:t>Knife</w:t>
            </w:r>
          </w:p>
        </w:tc>
        <w:tc>
          <w:tcPr>
            <w:tcW w:w="720" w:type="dxa"/>
            <w:tcBorders>
              <w:right w:val="single" w:sz="4" w:space="0" w:color="auto"/>
            </w:tcBorders>
          </w:tcPr>
          <w:p w14:paraId="3686C434" w14:textId="48D13865"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hAnsiTheme="majorHAnsi" w:cstheme="majorHAnsi"/>
                <w:color w:val="000000"/>
                <w:sz w:val="16"/>
                <w:szCs w:val="16"/>
              </w:rPr>
              <w:t>NA</w:t>
            </w:r>
          </w:p>
        </w:tc>
        <w:tc>
          <w:tcPr>
            <w:tcW w:w="708" w:type="dxa"/>
            <w:tcBorders>
              <w:left w:val="single" w:sz="4" w:space="0" w:color="auto"/>
              <w:right w:val="single" w:sz="4" w:space="0" w:color="auto"/>
            </w:tcBorders>
          </w:tcPr>
          <w:p w14:paraId="685A59DF" w14:textId="3F6997F3"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highlight w:val="white"/>
              </w:rPr>
              <w:t>NA</w:t>
            </w:r>
          </w:p>
        </w:tc>
        <w:tc>
          <w:tcPr>
            <w:tcW w:w="993" w:type="dxa"/>
            <w:tcBorders>
              <w:left w:val="single" w:sz="4" w:space="0" w:color="auto"/>
              <w:right w:val="single" w:sz="4" w:space="0" w:color="auto"/>
            </w:tcBorders>
          </w:tcPr>
          <w:p w14:paraId="305214A4" w14:textId="34322AE8"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highlight w:val="white"/>
              </w:rPr>
              <w:t>NA</w:t>
            </w:r>
          </w:p>
        </w:tc>
        <w:tc>
          <w:tcPr>
            <w:tcW w:w="1134" w:type="dxa"/>
            <w:tcBorders>
              <w:left w:val="single" w:sz="4" w:space="0" w:color="auto"/>
              <w:right w:val="single" w:sz="4" w:space="0" w:color="auto"/>
            </w:tcBorders>
          </w:tcPr>
          <w:p w14:paraId="2027F830" w14:textId="03A4D81B"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highlight w:val="white"/>
              </w:rPr>
              <w:t>NA</w:t>
            </w:r>
          </w:p>
        </w:tc>
        <w:tc>
          <w:tcPr>
            <w:tcW w:w="1417" w:type="dxa"/>
            <w:tcBorders>
              <w:left w:val="single" w:sz="4" w:space="0" w:color="auto"/>
              <w:right w:val="single" w:sz="4" w:space="0" w:color="auto"/>
            </w:tcBorders>
          </w:tcPr>
          <w:p w14:paraId="19C72E66" w14:textId="660344C5"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highlight w:val="white"/>
              </w:rPr>
              <w:t>NA</w:t>
            </w:r>
          </w:p>
        </w:tc>
        <w:tc>
          <w:tcPr>
            <w:tcW w:w="609" w:type="dxa"/>
            <w:tcBorders>
              <w:left w:val="single" w:sz="4" w:space="0" w:color="auto"/>
            </w:tcBorders>
          </w:tcPr>
          <w:p w14:paraId="4BE7D1D8" w14:textId="267225EA"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highlight w:val="white"/>
              </w:rPr>
              <w:t>NA</w:t>
            </w:r>
          </w:p>
        </w:tc>
      </w:tr>
      <w:tr w:rsidR="001A37E3" w:rsidRPr="00B4090F" w14:paraId="602E6197" w14:textId="77777777" w:rsidTr="00CE562B">
        <w:tc>
          <w:tcPr>
            <w:tcW w:w="426" w:type="dxa"/>
          </w:tcPr>
          <w:p w14:paraId="0A53C8D4" w14:textId="006D68C5" w:rsidR="001A37E3" w:rsidRPr="00992562" w:rsidRDefault="001A37E3" w:rsidP="00950475">
            <w:pPr>
              <w:spacing w:line="480" w:lineRule="auto"/>
              <w:jc w:val="center"/>
              <w:rPr>
                <w:rFonts w:asciiTheme="majorHAnsi" w:eastAsia="Arial" w:hAnsiTheme="majorHAnsi" w:cstheme="majorHAnsi"/>
                <w:color w:val="000000"/>
                <w:sz w:val="16"/>
                <w:szCs w:val="16"/>
                <w:highlight w:val="white"/>
              </w:rPr>
            </w:pPr>
            <w:r w:rsidRPr="00992562">
              <w:rPr>
                <w:rFonts w:asciiTheme="majorHAnsi" w:eastAsia="Arial" w:hAnsiTheme="majorHAnsi" w:cstheme="majorHAnsi"/>
                <w:color w:val="000000"/>
                <w:sz w:val="16"/>
                <w:szCs w:val="16"/>
                <w:highlight w:val="white"/>
              </w:rPr>
              <w:t>7</w:t>
            </w:r>
          </w:p>
        </w:tc>
        <w:tc>
          <w:tcPr>
            <w:tcW w:w="709" w:type="dxa"/>
          </w:tcPr>
          <w:p w14:paraId="4B4C1E18" w14:textId="77777777" w:rsidR="001A37E3" w:rsidRPr="00992562" w:rsidRDefault="001A37E3" w:rsidP="00950475">
            <w:pPr>
              <w:spacing w:line="480" w:lineRule="auto"/>
              <w:jc w:val="center"/>
              <w:rPr>
                <w:rFonts w:asciiTheme="majorHAnsi" w:eastAsia="Arial" w:hAnsiTheme="majorHAnsi" w:cstheme="majorHAnsi"/>
                <w:color w:val="000000"/>
                <w:sz w:val="16"/>
                <w:szCs w:val="16"/>
                <w:highlight w:val="white"/>
              </w:rPr>
            </w:pPr>
            <w:r w:rsidRPr="00992562">
              <w:rPr>
                <w:rFonts w:asciiTheme="majorHAnsi" w:eastAsia="Arial" w:hAnsiTheme="majorHAnsi" w:cstheme="majorHAnsi"/>
                <w:color w:val="000000"/>
                <w:sz w:val="16"/>
                <w:szCs w:val="16"/>
              </w:rPr>
              <w:t>Male</w:t>
            </w:r>
          </w:p>
        </w:tc>
        <w:tc>
          <w:tcPr>
            <w:tcW w:w="709" w:type="dxa"/>
          </w:tcPr>
          <w:p w14:paraId="422B5795"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rPr>
              <w:t>41</w:t>
            </w:r>
          </w:p>
        </w:tc>
        <w:tc>
          <w:tcPr>
            <w:tcW w:w="709" w:type="dxa"/>
          </w:tcPr>
          <w:p w14:paraId="13CBD94E"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rPr>
              <w:t>Index</w:t>
            </w:r>
          </w:p>
        </w:tc>
        <w:tc>
          <w:tcPr>
            <w:tcW w:w="567" w:type="dxa"/>
          </w:tcPr>
          <w:p w14:paraId="0E5C4793"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I</w:t>
            </w:r>
          </w:p>
        </w:tc>
        <w:tc>
          <w:tcPr>
            <w:tcW w:w="1134" w:type="dxa"/>
          </w:tcPr>
          <w:p w14:paraId="4E2A13B2" w14:textId="355596A5"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Saw</w:t>
            </w:r>
          </w:p>
        </w:tc>
        <w:tc>
          <w:tcPr>
            <w:tcW w:w="720" w:type="dxa"/>
            <w:tcBorders>
              <w:right w:val="single" w:sz="4" w:space="0" w:color="auto"/>
            </w:tcBorders>
          </w:tcPr>
          <w:p w14:paraId="05329BC3" w14:textId="04766C6C"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rPr>
              <w:t>0</w:t>
            </w:r>
            <w:r>
              <w:rPr>
                <w:rFonts w:asciiTheme="majorHAnsi" w:eastAsia="Arial" w:hAnsiTheme="majorHAnsi" w:cstheme="majorHAnsi"/>
                <w:color w:val="000000"/>
                <w:sz w:val="16"/>
                <w:szCs w:val="16"/>
              </w:rPr>
              <w:t xml:space="preserve"> </w:t>
            </w:r>
            <w:r w:rsidRPr="00B4090F">
              <w:rPr>
                <w:rFonts w:asciiTheme="majorHAnsi" w:eastAsia="Arial" w:hAnsiTheme="majorHAnsi" w:cstheme="majorHAnsi"/>
                <w:color w:val="000000"/>
                <w:sz w:val="16"/>
                <w:szCs w:val="16"/>
              </w:rPr>
              <w:t>/</w:t>
            </w:r>
            <w:r>
              <w:rPr>
                <w:rFonts w:asciiTheme="majorHAnsi" w:eastAsia="Arial" w:hAnsiTheme="majorHAnsi" w:cstheme="majorHAnsi"/>
                <w:color w:val="000000"/>
                <w:sz w:val="16"/>
                <w:szCs w:val="16"/>
              </w:rPr>
              <w:t xml:space="preserve"> </w:t>
            </w:r>
            <w:r w:rsidRPr="00B4090F">
              <w:rPr>
                <w:rFonts w:asciiTheme="majorHAnsi" w:eastAsia="Arial" w:hAnsiTheme="majorHAnsi" w:cstheme="majorHAnsi"/>
                <w:color w:val="000000"/>
                <w:sz w:val="16"/>
                <w:szCs w:val="16"/>
              </w:rPr>
              <w:t>82</w:t>
            </w:r>
          </w:p>
        </w:tc>
        <w:tc>
          <w:tcPr>
            <w:tcW w:w="708" w:type="dxa"/>
            <w:tcBorders>
              <w:left w:val="single" w:sz="4" w:space="0" w:color="auto"/>
            </w:tcBorders>
          </w:tcPr>
          <w:p w14:paraId="018E34A7" w14:textId="57829C6E"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hAnsiTheme="majorHAnsi" w:cstheme="majorHAnsi"/>
                <w:color w:val="000000"/>
                <w:sz w:val="16"/>
                <w:szCs w:val="16"/>
              </w:rPr>
              <w:t>18</w:t>
            </w:r>
            <w:r>
              <w:rPr>
                <w:rFonts w:asciiTheme="majorHAnsi" w:hAnsiTheme="majorHAnsi" w:cstheme="majorHAnsi"/>
                <w:color w:val="000000"/>
                <w:sz w:val="16"/>
                <w:szCs w:val="16"/>
              </w:rPr>
              <w:t xml:space="preserve"> </w:t>
            </w:r>
            <w:r w:rsidRPr="00B4090F">
              <w:rPr>
                <w:rFonts w:asciiTheme="majorHAnsi" w:hAnsiTheme="majorHAnsi" w:cstheme="majorHAnsi"/>
                <w:color w:val="000000"/>
                <w:sz w:val="16"/>
                <w:szCs w:val="16"/>
              </w:rPr>
              <w:t>/</w:t>
            </w:r>
            <w:r>
              <w:rPr>
                <w:rFonts w:asciiTheme="majorHAnsi" w:hAnsiTheme="majorHAnsi" w:cstheme="majorHAnsi"/>
                <w:color w:val="000000"/>
                <w:sz w:val="16"/>
                <w:szCs w:val="16"/>
              </w:rPr>
              <w:t xml:space="preserve"> </w:t>
            </w:r>
            <w:r w:rsidRPr="00B4090F">
              <w:rPr>
                <w:rFonts w:asciiTheme="majorHAnsi" w:hAnsiTheme="majorHAnsi" w:cstheme="majorHAnsi"/>
                <w:color w:val="000000"/>
                <w:sz w:val="16"/>
                <w:szCs w:val="16"/>
              </w:rPr>
              <w:t>36</w:t>
            </w:r>
          </w:p>
        </w:tc>
        <w:tc>
          <w:tcPr>
            <w:tcW w:w="993" w:type="dxa"/>
          </w:tcPr>
          <w:p w14:paraId="47868F9C" w14:textId="7DE19F21"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hAnsiTheme="majorHAnsi" w:cstheme="majorHAnsi"/>
                <w:color w:val="000000"/>
                <w:sz w:val="16"/>
                <w:szCs w:val="16"/>
              </w:rPr>
              <w:t>57</w:t>
            </w:r>
          </w:p>
        </w:tc>
        <w:tc>
          <w:tcPr>
            <w:tcW w:w="1134" w:type="dxa"/>
          </w:tcPr>
          <w:p w14:paraId="10401C35"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sidRPr="00B4090F">
              <w:rPr>
                <w:rFonts w:asciiTheme="majorHAnsi" w:eastAsia="Arial" w:hAnsiTheme="majorHAnsi" w:cstheme="majorHAnsi"/>
                <w:color w:val="000000"/>
                <w:sz w:val="16"/>
                <w:szCs w:val="16"/>
              </w:rPr>
              <w:t>Fair</w:t>
            </w:r>
          </w:p>
        </w:tc>
        <w:tc>
          <w:tcPr>
            <w:tcW w:w="1417" w:type="dxa"/>
          </w:tcPr>
          <w:p w14:paraId="0686D59B" w14:textId="4CFAB929"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highlight w:val="white"/>
              </w:rPr>
              <w:t>NR</w:t>
            </w:r>
          </w:p>
        </w:tc>
        <w:tc>
          <w:tcPr>
            <w:tcW w:w="609" w:type="dxa"/>
          </w:tcPr>
          <w:p w14:paraId="7DBD3F32" w14:textId="585E207F"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highlight w:val="white"/>
              </w:rPr>
              <w:t>NR</w:t>
            </w:r>
          </w:p>
        </w:tc>
      </w:tr>
      <w:tr w:rsidR="001A37E3" w:rsidRPr="00B4090F" w14:paraId="08222105" w14:textId="77777777" w:rsidTr="00CE562B">
        <w:tc>
          <w:tcPr>
            <w:tcW w:w="426" w:type="dxa"/>
          </w:tcPr>
          <w:p w14:paraId="6E62C494" w14:textId="0058F7AE" w:rsidR="001A37E3" w:rsidRPr="00992562" w:rsidRDefault="001A37E3" w:rsidP="00950475">
            <w:pPr>
              <w:spacing w:line="480" w:lineRule="auto"/>
              <w:jc w:val="center"/>
              <w:rPr>
                <w:rFonts w:asciiTheme="majorHAnsi" w:eastAsia="Arial" w:hAnsiTheme="majorHAnsi" w:cstheme="majorHAnsi"/>
                <w:color w:val="000000"/>
                <w:sz w:val="16"/>
                <w:szCs w:val="16"/>
                <w:highlight w:val="white"/>
              </w:rPr>
            </w:pPr>
            <w:r w:rsidRPr="00992562">
              <w:rPr>
                <w:rFonts w:asciiTheme="majorHAnsi" w:eastAsia="Arial" w:hAnsiTheme="majorHAnsi" w:cstheme="majorHAnsi"/>
                <w:color w:val="000000"/>
                <w:sz w:val="16"/>
                <w:szCs w:val="16"/>
                <w:highlight w:val="white"/>
              </w:rPr>
              <w:t>8</w:t>
            </w:r>
          </w:p>
        </w:tc>
        <w:tc>
          <w:tcPr>
            <w:tcW w:w="709" w:type="dxa"/>
          </w:tcPr>
          <w:p w14:paraId="5E1C6317" w14:textId="77777777" w:rsidR="001A37E3" w:rsidRPr="00992562" w:rsidRDefault="001A37E3" w:rsidP="00950475">
            <w:pPr>
              <w:spacing w:line="480" w:lineRule="auto"/>
              <w:jc w:val="center"/>
              <w:rPr>
                <w:rFonts w:asciiTheme="majorHAnsi" w:eastAsia="Arial" w:hAnsiTheme="majorHAnsi" w:cstheme="majorHAnsi"/>
                <w:color w:val="000000"/>
                <w:sz w:val="16"/>
                <w:szCs w:val="16"/>
                <w:highlight w:val="white"/>
              </w:rPr>
            </w:pPr>
            <w:r w:rsidRPr="00992562">
              <w:rPr>
                <w:rFonts w:asciiTheme="majorHAnsi" w:eastAsia="Arial" w:hAnsiTheme="majorHAnsi" w:cstheme="majorHAnsi"/>
                <w:color w:val="000000"/>
                <w:sz w:val="16"/>
                <w:szCs w:val="16"/>
              </w:rPr>
              <w:t>Male</w:t>
            </w:r>
          </w:p>
        </w:tc>
        <w:tc>
          <w:tcPr>
            <w:tcW w:w="709" w:type="dxa"/>
          </w:tcPr>
          <w:p w14:paraId="021256FB"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rPr>
              <w:t>60</w:t>
            </w:r>
          </w:p>
        </w:tc>
        <w:tc>
          <w:tcPr>
            <w:tcW w:w="709" w:type="dxa"/>
          </w:tcPr>
          <w:p w14:paraId="149F84B2"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rPr>
              <w:t>Small</w:t>
            </w:r>
          </w:p>
        </w:tc>
        <w:tc>
          <w:tcPr>
            <w:tcW w:w="567" w:type="dxa"/>
          </w:tcPr>
          <w:p w14:paraId="46B26C45"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rPr>
              <w:t>II</w:t>
            </w:r>
          </w:p>
        </w:tc>
        <w:tc>
          <w:tcPr>
            <w:tcW w:w="1134" w:type="dxa"/>
          </w:tcPr>
          <w:p w14:paraId="72EE39D8" w14:textId="10B08EFF"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Knife</w:t>
            </w:r>
          </w:p>
        </w:tc>
        <w:tc>
          <w:tcPr>
            <w:tcW w:w="720" w:type="dxa"/>
          </w:tcPr>
          <w:p w14:paraId="45F0681C" w14:textId="3F4270CD"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rPr>
              <w:t>4</w:t>
            </w:r>
            <w:r>
              <w:rPr>
                <w:rFonts w:asciiTheme="majorHAnsi" w:eastAsia="Arial" w:hAnsiTheme="majorHAnsi" w:cstheme="majorHAnsi"/>
                <w:color w:val="000000"/>
                <w:sz w:val="16"/>
                <w:szCs w:val="16"/>
              </w:rPr>
              <w:t xml:space="preserve"> </w:t>
            </w:r>
            <w:r w:rsidRPr="00B4090F">
              <w:rPr>
                <w:rFonts w:asciiTheme="majorHAnsi" w:eastAsia="Arial" w:hAnsiTheme="majorHAnsi" w:cstheme="majorHAnsi"/>
                <w:color w:val="000000"/>
                <w:sz w:val="16"/>
                <w:szCs w:val="16"/>
              </w:rPr>
              <w:t>/</w:t>
            </w:r>
            <w:r>
              <w:rPr>
                <w:rFonts w:asciiTheme="majorHAnsi" w:eastAsia="Arial" w:hAnsiTheme="majorHAnsi" w:cstheme="majorHAnsi"/>
                <w:color w:val="000000"/>
                <w:sz w:val="16"/>
                <w:szCs w:val="16"/>
              </w:rPr>
              <w:t xml:space="preserve"> </w:t>
            </w:r>
            <w:r w:rsidRPr="00B4090F">
              <w:rPr>
                <w:rFonts w:asciiTheme="majorHAnsi" w:eastAsia="Arial" w:hAnsiTheme="majorHAnsi" w:cstheme="majorHAnsi"/>
                <w:color w:val="000000"/>
                <w:sz w:val="16"/>
                <w:szCs w:val="16"/>
              </w:rPr>
              <w:t>70</w:t>
            </w:r>
          </w:p>
        </w:tc>
        <w:tc>
          <w:tcPr>
            <w:tcW w:w="708" w:type="dxa"/>
          </w:tcPr>
          <w:p w14:paraId="32D6DA3B" w14:textId="5920C500"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hAnsiTheme="majorHAnsi" w:cstheme="majorHAnsi"/>
                <w:color w:val="000000"/>
                <w:sz w:val="16"/>
                <w:szCs w:val="16"/>
              </w:rPr>
              <w:t>0</w:t>
            </w:r>
            <w:r>
              <w:rPr>
                <w:rFonts w:asciiTheme="majorHAnsi" w:hAnsiTheme="majorHAnsi" w:cstheme="majorHAnsi"/>
                <w:color w:val="000000"/>
                <w:sz w:val="16"/>
                <w:szCs w:val="16"/>
              </w:rPr>
              <w:t xml:space="preserve"> </w:t>
            </w:r>
            <w:r w:rsidRPr="00B4090F">
              <w:rPr>
                <w:rFonts w:asciiTheme="majorHAnsi" w:hAnsiTheme="majorHAnsi" w:cstheme="majorHAnsi"/>
                <w:color w:val="000000"/>
                <w:sz w:val="16"/>
                <w:szCs w:val="16"/>
              </w:rPr>
              <w:t>/</w:t>
            </w:r>
            <w:r>
              <w:rPr>
                <w:rFonts w:asciiTheme="majorHAnsi" w:hAnsiTheme="majorHAnsi" w:cstheme="majorHAnsi"/>
                <w:color w:val="000000"/>
                <w:sz w:val="16"/>
                <w:szCs w:val="16"/>
              </w:rPr>
              <w:t xml:space="preserve"> </w:t>
            </w:r>
            <w:r w:rsidRPr="00B4090F">
              <w:rPr>
                <w:rFonts w:asciiTheme="majorHAnsi" w:hAnsiTheme="majorHAnsi" w:cstheme="majorHAnsi"/>
                <w:color w:val="000000"/>
                <w:sz w:val="16"/>
                <w:szCs w:val="16"/>
              </w:rPr>
              <w:t>10</w:t>
            </w:r>
          </w:p>
        </w:tc>
        <w:tc>
          <w:tcPr>
            <w:tcW w:w="993" w:type="dxa"/>
          </w:tcPr>
          <w:p w14:paraId="777EDE06" w14:textId="34DDD0D4"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hAnsiTheme="majorHAnsi" w:cstheme="majorHAnsi"/>
                <w:color w:val="000000"/>
                <w:sz w:val="16"/>
                <w:szCs w:val="16"/>
              </w:rPr>
              <w:t>43</w:t>
            </w:r>
          </w:p>
        </w:tc>
        <w:tc>
          <w:tcPr>
            <w:tcW w:w="1134" w:type="dxa"/>
          </w:tcPr>
          <w:p w14:paraId="59188F27"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sidRPr="00B4090F">
              <w:rPr>
                <w:rFonts w:asciiTheme="majorHAnsi" w:eastAsia="Arial" w:hAnsiTheme="majorHAnsi" w:cstheme="majorHAnsi"/>
                <w:color w:val="000000"/>
                <w:sz w:val="16"/>
                <w:szCs w:val="16"/>
              </w:rPr>
              <w:t>Poor</w:t>
            </w:r>
          </w:p>
        </w:tc>
        <w:tc>
          <w:tcPr>
            <w:tcW w:w="1417" w:type="dxa"/>
          </w:tcPr>
          <w:p w14:paraId="1E38B87E" w14:textId="74B37773"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highlight w:val="white"/>
              </w:rPr>
              <w:t>NR</w:t>
            </w:r>
          </w:p>
        </w:tc>
        <w:tc>
          <w:tcPr>
            <w:tcW w:w="609" w:type="dxa"/>
          </w:tcPr>
          <w:p w14:paraId="010A6DC7" w14:textId="593D9DBE"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highlight w:val="white"/>
              </w:rPr>
              <w:t>NR</w:t>
            </w:r>
          </w:p>
        </w:tc>
      </w:tr>
      <w:tr w:rsidR="001A37E3" w:rsidRPr="00B4090F" w14:paraId="14E27CFD" w14:textId="77777777" w:rsidTr="00CE562B">
        <w:tc>
          <w:tcPr>
            <w:tcW w:w="426" w:type="dxa"/>
          </w:tcPr>
          <w:p w14:paraId="2059795D" w14:textId="702284D5" w:rsidR="001A37E3" w:rsidRPr="00992562" w:rsidRDefault="001A37E3" w:rsidP="00950475">
            <w:pPr>
              <w:spacing w:line="480" w:lineRule="auto"/>
              <w:jc w:val="center"/>
              <w:rPr>
                <w:rFonts w:asciiTheme="majorHAnsi" w:eastAsia="Arial" w:hAnsiTheme="majorHAnsi" w:cstheme="majorHAnsi"/>
                <w:color w:val="000000"/>
                <w:sz w:val="16"/>
                <w:szCs w:val="16"/>
                <w:highlight w:val="white"/>
              </w:rPr>
            </w:pPr>
            <w:r w:rsidRPr="00992562">
              <w:rPr>
                <w:rFonts w:asciiTheme="majorHAnsi" w:eastAsia="Arial" w:hAnsiTheme="majorHAnsi" w:cstheme="majorHAnsi"/>
                <w:color w:val="000000"/>
                <w:sz w:val="16"/>
                <w:szCs w:val="16"/>
                <w:highlight w:val="white"/>
              </w:rPr>
              <w:t>9</w:t>
            </w:r>
          </w:p>
        </w:tc>
        <w:tc>
          <w:tcPr>
            <w:tcW w:w="709" w:type="dxa"/>
          </w:tcPr>
          <w:p w14:paraId="23919AC6" w14:textId="77777777" w:rsidR="001A37E3" w:rsidRPr="00992562" w:rsidRDefault="001A37E3" w:rsidP="00950475">
            <w:pPr>
              <w:spacing w:line="480" w:lineRule="auto"/>
              <w:jc w:val="center"/>
              <w:rPr>
                <w:rFonts w:asciiTheme="majorHAnsi" w:eastAsia="Arial" w:hAnsiTheme="majorHAnsi" w:cstheme="majorHAnsi"/>
                <w:color w:val="000000"/>
                <w:sz w:val="16"/>
                <w:szCs w:val="16"/>
                <w:highlight w:val="white"/>
              </w:rPr>
            </w:pPr>
            <w:r w:rsidRPr="00992562">
              <w:rPr>
                <w:rFonts w:asciiTheme="majorHAnsi" w:eastAsia="Arial" w:hAnsiTheme="majorHAnsi" w:cstheme="majorHAnsi"/>
                <w:color w:val="000000"/>
                <w:sz w:val="16"/>
                <w:szCs w:val="16"/>
              </w:rPr>
              <w:t>Male</w:t>
            </w:r>
          </w:p>
        </w:tc>
        <w:tc>
          <w:tcPr>
            <w:tcW w:w="709" w:type="dxa"/>
          </w:tcPr>
          <w:p w14:paraId="23EB5FAE"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rPr>
              <w:t>34</w:t>
            </w:r>
          </w:p>
        </w:tc>
        <w:tc>
          <w:tcPr>
            <w:tcW w:w="709" w:type="dxa"/>
          </w:tcPr>
          <w:p w14:paraId="17C26BD2"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rPr>
              <w:t>Index</w:t>
            </w:r>
          </w:p>
        </w:tc>
        <w:tc>
          <w:tcPr>
            <w:tcW w:w="567" w:type="dxa"/>
          </w:tcPr>
          <w:p w14:paraId="18AF0BB4"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I</w:t>
            </w:r>
          </w:p>
        </w:tc>
        <w:tc>
          <w:tcPr>
            <w:tcW w:w="1134" w:type="dxa"/>
          </w:tcPr>
          <w:p w14:paraId="5676F01E" w14:textId="0361FB74"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Knife</w:t>
            </w:r>
          </w:p>
        </w:tc>
        <w:tc>
          <w:tcPr>
            <w:tcW w:w="720" w:type="dxa"/>
          </w:tcPr>
          <w:p w14:paraId="0E60C143" w14:textId="382DF759"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rPr>
              <w:t>0</w:t>
            </w:r>
            <w:r>
              <w:rPr>
                <w:rFonts w:asciiTheme="majorHAnsi" w:eastAsia="Arial" w:hAnsiTheme="majorHAnsi" w:cstheme="majorHAnsi"/>
                <w:color w:val="000000"/>
                <w:sz w:val="16"/>
                <w:szCs w:val="16"/>
              </w:rPr>
              <w:t xml:space="preserve"> </w:t>
            </w:r>
            <w:r w:rsidRPr="00B4090F">
              <w:rPr>
                <w:rFonts w:asciiTheme="majorHAnsi" w:eastAsia="Arial" w:hAnsiTheme="majorHAnsi" w:cstheme="majorHAnsi"/>
                <w:color w:val="000000"/>
                <w:sz w:val="16"/>
                <w:szCs w:val="16"/>
              </w:rPr>
              <w:t>/</w:t>
            </w:r>
            <w:r>
              <w:rPr>
                <w:rFonts w:asciiTheme="majorHAnsi" w:eastAsia="Arial" w:hAnsiTheme="majorHAnsi" w:cstheme="majorHAnsi"/>
                <w:color w:val="000000"/>
                <w:sz w:val="16"/>
                <w:szCs w:val="16"/>
              </w:rPr>
              <w:t xml:space="preserve"> </w:t>
            </w:r>
            <w:r w:rsidRPr="00B4090F">
              <w:rPr>
                <w:rFonts w:asciiTheme="majorHAnsi" w:eastAsia="Arial" w:hAnsiTheme="majorHAnsi" w:cstheme="majorHAnsi"/>
                <w:color w:val="000000"/>
                <w:sz w:val="16"/>
                <w:szCs w:val="16"/>
              </w:rPr>
              <w:t>90</w:t>
            </w:r>
          </w:p>
        </w:tc>
        <w:tc>
          <w:tcPr>
            <w:tcW w:w="708" w:type="dxa"/>
          </w:tcPr>
          <w:p w14:paraId="30E2E066" w14:textId="01D72223"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hAnsiTheme="majorHAnsi" w:cstheme="majorHAnsi"/>
                <w:color w:val="000000"/>
                <w:sz w:val="16"/>
                <w:szCs w:val="16"/>
              </w:rPr>
              <w:t>0</w:t>
            </w:r>
            <w:r>
              <w:rPr>
                <w:rFonts w:asciiTheme="majorHAnsi" w:hAnsiTheme="majorHAnsi" w:cstheme="majorHAnsi"/>
                <w:color w:val="000000"/>
                <w:sz w:val="16"/>
                <w:szCs w:val="16"/>
              </w:rPr>
              <w:t xml:space="preserve"> </w:t>
            </w:r>
            <w:r w:rsidRPr="00B4090F">
              <w:rPr>
                <w:rFonts w:asciiTheme="majorHAnsi" w:hAnsiTheme="majorHAnsi" w:cstheme="majorHAnsi"/>
                <w:color w:val="000000"/>
                <w:sz w:val="16"/>
                <w:szCs w:val="16"/>
              </w:rPr>
              <w:t>/</w:t>
            </w:r>
            <w:r>
              <w:rPr>
                <w:rFonts w:asciiTheme="majorHAnsi" w:hAnsiTheme="majorHAnsi" w:cstheme="majorHAnsi"/>
                <w:color w:val="000000"/>
                <w:sz w:val="16"/>
                <w:szCs w:val="16"/>
              </w:rPr>
              <w:t xml:space="preserve"> </w:t>
            </w:r>
            <w:r w:rsidRPr="00B4090F">
              <w:rPr>
                <w:rFonts w:asciiTheme="majorHAnsi" w:hAnsiTheme="majorHAnsi" w:cstheme="majorHAnsi"/>
                <w:color w:val="000000"/>
                <w:sz w:val="16"/>
                <w:szCs w:val="16"/>
              </w:rPr>
              <w:t>42</w:t>
            </w:r>
          </w:p>
        </w:tc>
        <w:tc>
          <w:tcPr>
            <w:tcW w:w="993" w:type="dxa"/>
          </w:tcPr>
          <w:p w14:paraId="0AC77BF7" w14:textId="2853037C"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hAnsiTheme="majorHAnsi" w:cstheme="majorHAnsi"/>
                <w:color w:val="000000"/>
                <w:sz w:val="16"/>
                <w:szCs w:val="16"/>
              </w:rPr>
              <w:t>75</w:t>
            </w:r>
          </w:p>
        </w:tc>
        <w:tc>
          <w:tcPr>
            <w:tcW w:w="1134" w:type="dxa"/>
          </w:tcPr>
          <w:p w14:paraId="21EB78D4"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sidRPr="00B4090F">
              <w:rPr>
                <w:rFonts w:asciiTheme="majorHAnsi" w:eastAsia="Arial" w:hAnsiTheme="majorHAnsi" w:cstheme="majorHAnsi"/>
                <w:color w:val="000000"/>
                <w:sz w:val="16"/>
                <w:szCs w:val="16"/>
              </w:rPr>
              <w:t>Good</w:t>
            </w:r>
          </w:p>
        </w:tc>
        <w:tc>
          <w:tcPr>
            <w:tcW w:w="1417" w:type="dxa"/>
          </w:tcPr>
          <w:p w14:paraId="618720C9" w14:textId="487997DB"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highlight w:val="white"/>
              </w:rPr>
              <w:t>79.7</w:t>
            </w:r>
          </w:p>
        </w:tc>
        <w:tc>
          <w:tcPr>
            <w:tcW w:w="609" w:type="dxa"/>
          </w:tcPr>
          <w:p w14:paraId="1801B752"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highlight w:val="white"/>
              </w:rPr>
              <w:t>20.5</w:t>
            </w:r>
          </w:p>
        </w:tc>
      </w:tr>
      <w:tr w:rsidR="001A37E3" w:rsidRPr="00B4090F" w14:paraId="356C8375" w14:textId="77777777" w:rsidTr="00CE562B">
        <w:tc>
          <w:tcPr>
            <w:tcW w:w="426" w:type="dxa"/>
          </w:tcPr>
          <w:p w14:paraId="4FE1B23A" w14:textId="774ED4AD" w:rsidR="001A37E3" w:rsidRPr="00992562" w:rsidRDefault="001A37E3" w:rsidP="00950475">
            <w:pPr>
              <w:spacing w:line="480" w:lineRule="auto"/>
              <w:jc w:val="center"/>
              <w:rPr>
                <w:rFonts w:asciiTheme="majorHAnsi" w:eastAsia="Arial" w:hAnsiTheme="majorHAnsi" w:cstheme="majorHAnsi"/>
                <w:color w:val="000000"/>
                <w:sz w:val="16"/>
                <w:szCs w:val="16"/>
                <w:highlight w:val="white"/>
              </w:rPr>
            </w:pPr>
            <w:r w:rsidRPr="00992562">
              <w:rPr>
                <w:rFonts w:asciiTheme="majorHAnsi" w:eastAsia="Arial" w:hAnsiTheme="majorHAnsi" w:cstheme="majorHAnsi"/>
                <w:color w:val="000000"/>
                <w:sz w:val="16"/>
                <w:szCs w:val="16"/>
                <w:highlight w:val="white"/>
              </w:rPr>
              <w:t>10</w:t>
            </w:r>
          </w:p>
        </w:tc>
        <w:tc>
          <w:tcPr>
            <w:tcW w:w="709" w:type="dxa"/>
          </w:tcPr>
          <w:p w14:paraId="207F3D61" w14:textId="36EF280E" w:rsidR="001A37E3" w:rsidRPr="00992562" w:rsidRDefault="001A37E3" w:rsidP="00950475">
            <w:pPr>
              <w:spacing w:line="480" w:lineRule="auto"/>
              <w:jc w:val="center"/>
              <w:rPr>
                <w:rFonts w:asciiTheme="majorHAnsi" w:eastAsia="Arial" w:hAnsiTheme="majorHAnsi" w:cstheme="majorHAnsi"/>
                <w:color w:val="000000"/>
                <w:sz w:val="16"/>
                <w:szCs w:val="16"/>
                <w:highlight w:val="white"/>
              </w:rPr>
            </w:pPr>
            <w:r w:rsidRPr="00992562">
              <w:rPr>
                <w:rFonts w:asciiTheme="majorHAnsi" w:eastAsia="Arial" w:hAnsiTheme="majorHAnsi" w:cstheme="majorHAnsi"/>
                <w:color w:val="000000"/>
                <w:sz w:val="16"/>
                <w:szCs w:val="16"/>
              </w:rPr>
              <w:t>Male</w:t>
            </w:r>
            <w:r w:rsidR="00382D54">
              <w:rPr>
                <w:rFonts w:asciiTheme="majorHAnsi" w:eastAsia="Arial" w:hAnsiTheme="majorHAnsi" w:cstheme="majorHAnsi"/>
                <w:color w:val="000000"/>
                <w:sz w:val="16"/>
                <w:szCs w:val="16"/>
              </w:rPr>
              <w:t xml:space="preserve"> ~</w:t>
            </w:r>
          </w:p>
        </w:tc>
        <w:tc>
          <w:tcPr>
            <w:tcW w:w="709" w:type="dxa"/>
          </w:tcPr>
          <w:p w14:paraId="4C6271B4"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rPr>
              <w:t>50</w:t>
            </w:r>
          </w:p>
        </w:tc>
        <w:tc>
          <w:tcPr>
            <w:tcW w:w="709" w:type="dxa"/>
          </w:tcPr>
          <w:p w14:paraId="77B0DA75"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rPr>
              <w:t>Small</w:t>
            </w:r>
          </w:p>
        </w:tc>
        <w:tc>
          <w:tcPr>
            <w:tcW w:w="567" w:type="dxa"/>
          </w:tcPr>
          <w:p w14:paraId="56B9B310"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II</w:t>
            </w:r>
          </w:p>
        </w:tc>
        <w:tc>
          <w:tcPr>
            <w:tcW w:w="1134" w:type="dxa"/>
          </w:tcPr>
          <w:p w14:paraId="44CDFB34" w14:textId="4C583543" w:rsidR="001A37E3"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Sharp metal</w:t>
            </w:r>
          </w:p>
        </w:tc>
        <w:tc>
          <w:tcPr>
            <w:tcW w:w="720" w:type="dxa"/>
          </w:tcPr>
          <w:p w14:paraId="2D1750B2" w14:textId="2BE6801F"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rPr>
              <w:t xml:space="preserve">16 </w:t>
            </w:r>
            <w:r w:rsidRPr="00B4090F">
              <w:rPr>
                <w:rFonts w:asciiTheme="majorHAnsi" w:eastAsia="Arial" w:hAnsiTheme="majorHAnsi" w:cstheme="majorHAnsi"/>
                <w:color w:val="000000"/>
                <w:sz w:val="16"/>
                <w:szCs w:val="16"/>
              </w:rPr>
              <w:t>/</w:t>
            </w:r>
            <w:r>
              <w:rPr>
                <w:rFonts w:asciiTheme="majorHAnsi" w:eastAsia="Arial" w:hAnsiTheme="majorHAnsi" w:cstheme="majorHAnsi"/>
                <w:color w:val="000000"/>
                <w:sz w:val="16"/>
                <w:szCs w:val="16"/>
              </w:rPr>
              <w:t xml:space="preserve"> </w:t>
            </w:r>
            <w:r w:rsidRPr="00B4090F">
              <w:rPr>
                <w:rFonts w:asciiTheme="majorHAnsi" w:eastAsia="Arial" w:hAnsiTheme="majorHAnsi" w:cstheme="majorHAnsi"/>
                <w:color w:val="000000"/>
                <w:sz w:val="16"/>
                <w:szCs w:val="16"/>
              </w:rPr>
              <w:t>3</w:t>
            </w:r>
            <w:r>
              <w:rPr>
                <w:rFonts w:asciiTheme="majorHAnsi" w:eastAsia="Arial" w:hAnsiTheme="majorHAnsi" w:cstheme="majorHAnsi"/>
                <w:color w:val="000000"/>
                <w:sz w:val="16"/>
                <w:szCs w:val="16"/>
              </w:rPr>
              <w:t>0</w:t>
            </w:r>
          </w:p>
        </w:tc>
        <w:tc>
          <w:tcPr>
            <w:tcW w:w="708" w:type="dxa"/>
          </w:tcPr>
          <w:p w14:paraId="727F7502" w14:textId="06CC1669"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hAnsiTheme="majorHAnsi" w:cstheme="majorHAnsi"/>
                <w:color w:val="000000"/>
                <w:sz w:val="16"/>
                <w:szCs w:val="16"/>
              </w:rPr>
              <w:t>0</w:t>
            </w:r>
            <w:r>
              <w:rPr>
                <w:rFonts w:asciiTheme="majorHAnsi" w:hAnsiTheme="majorHAnsi" w:cstheme="majorHAnsi"/>
                <w:color w:val="000000"/>
                <w:sz w:val="16"/>
                <w:szCs w:val="16"/>
              </w:rPr>
              <w:t xml:space="preserve"> </w:t>
            </w:r>
            <w:r w:rsidRPr="00B4090F">
              <w:rPr>
                <w:rFonts w:asciiTheme="majorHAnsi" w:hAnsiTheme="majorHAnsi" w:cstheme="majorHAnsi"/>
                <w:color w:val="000000"/>
                <w:sz w:val="16"/>
                <w:szCs w:val="16"/>
              </w:rPr>
              <w:t>/</w:t>
            </w:r>
            <w:r>
              <w:rPr>
                <w:rFonts w:asciiTheme="majorHAnsi" w:hAnsiTheme="majorHAnsi" w:cstheme="majorHAnsi"/>
                <w:color w:val="000000"/>
                <w:sz w:val="16"/>
                <w:szCs w:val="16"/>
              </w:rPr>
              <w:t xml:space="preserve"> 4</w:t>
            </w:r>
          </w:p>
        </w:tc>
        <w:tc>
          <w:tcPr>
            <w:tcW w:w="993" w:type="dxa"/>
          </w:tcPr>
          <w:p w14:paraId="1EB8BE59" w14:textId="29F4A955"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hAnsiTheme="majorHAnsi" w:cstheme="majorHAnsi"/>
                <w:color w:val="000000"/>
                <w:sz w:val="16"/>
                <w:szCs w:val="16"/>
              </w:rPr>
              <w:t>10</w:t>
            </w:r>
          </w:p>
        </w:tc>
        <w:tc>
          <w:tcPr>
            <w:tcW w:w="1134" w:type="dxa"/>
          </w:tcPr>
          <w:p w14:paraId="306B101C"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sidRPr="00B4090F">
              <w:rPr>
                <w:rFonts w:asciiTheme="majorHAnsi" w:eastAsia="Arial" w:hAnsiTheme="majorHAnsi" w:cstheme="majorHAnsi"/>
                <w:color w:val="000000"/>
                <w:sz w:val="16"/>
                <w:szCs w:val="16"/>
              </w:rPr>
              <w:t>Poor</w:t>
            </w:r>
          </w:p>
        </w:tc>
        <w:tc>
          <w:tcPr>
            <w:tcW w:w="1417" w:type="dxa"/>
          </w:tcPr>
          <w:p w14:paraId="1655C95B" w14:textId="2A10EBE9"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highlight w:val="white"/>
              </w:rPr>
              <w:t>20.</w:t>
            </w:r>
            <w:r>
              <w:rPr>
                <w:rFonts w:asciiTheme="majorHAnsi" w:eastAsia="Arial" w:hAnsiTheme="majorHAnsi" w:cstheme="majorHAnsi"/>
                <w:color w:val="000000"/>
                <w:sz w:val="16"/>
                <w:szCs w:val="16"/>
                <w:highlight w:val="white"/>
              </w:rPr>
              <w:t>8</w:t>
            </w:r>
          </w:p>
        </w:tc>
        <w:tc>
          <w:tcPr>
            <w:tcW w:w="609" w:type="dxa"/>
          </w:tcPr>
          <w:p w14:paraId="741A70F6" w14:textId="69E7550E"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highlight w:val="white"/>
              </w:rPr>
              <w:t>48</w:t>
            </w:r>
          </w:p>
        </w:tc>
      </w:tr>
      <w:tr w:rsidR="001A37E3" w:rsidRPr="00B4090F" w14:paraId="779475C6" w14:textId="77777777" w:rsidTr="00CE562B">
        <w:tc>
          <w:tcPr>
            <w:tcW w:w="426" w:type="dxa"/>
          </w:tcPr>
          <w:p w14:paraId="1EFBDD2C" w14:textId="2641D794" w:rsidR="001A37E3" w:rsidRPr="00992562" w:rsidRDefault="001A37E3" w:rsidP="00950475">
            <w:pPr>
              <w:spacing w:line="480" w:lineRule="auto"/>
              <w:jc w:val="center"/>
              <w:rPr>
                <w:rFonts w:asciiTheme="majorHAnsi" w:eastAsia="Arial" w:hAnsiTheme="majorHAnsi" w:cstheme="majorHAnsi"/>
                <w:color w:val="000000"/>
                <w:sz w:val="16"/>
                <w:szCs w:val="16"/>
                <w:highlight w:val="white"/>
              </w:rPr>
            </w:pPr>
            <w:r w:rsidRPr="00992562">
              <w:rPr>
                <w:rFonts w:asciiTheme="majorHAnsi" w:eastAsia="Arial" w:hAnsiTheme="majorHAnsi" w:cstheme="majorHAnsi"/>
                <w:color w:val="000000"/>
                <w:sz w:val="16"/>
                <w:szCs w:val="16"/>
                <w:highlight w:val="white"/>
              </w:rPr>
              <w:t>11</w:t>
            </w:r>
          </w:p>
        </w:tc>
        <w:tc>
          <w:tcPr>
            <w:tcW w:w="709" w:type="dxa"/>
          </w:tcPr>
          <w:p w14:paraId="3F60A744" w14:textId="77777777" w:rsidR="001A37E3" w:rsidRPr="00992562" w:rsidRDefault="001A37E3" w:rsidP="00950475">
            <w:pPr>
              <w:spacing w:line="480" w:lineRule="auto"/>
              <w:jc w:val="center"/>
              <w:rPr>
                <w:rFonts w:asciiTheme="majorHAnsi" w:eastAsia="Arial" w:hAnsiTheme="majorHAnsi" w:cstheme="majorHAnsi"/>
                <w:color w:val="000000"/>
                <w:sz w:val="16"/>
                <w:szCs w:val="16"/>
                <w:highlight w:val="white"/>
              </w:rPr>
            </w:pPr>
            <w:r w:rsidRPr="00992562">
              <w:rPr>
                <w:rFonts w:asciiTheme="majorHAnsi" w:eastAsia="Arial" w:hAnsiTheme="majorHAnsi" w:cstheme="majorHAnsi"/>
                <w:color w:val="000000"/>
                <w:sz w:val="16"/>
                <w:szCs w:val="16"/>
              </w:rPr>
              <w:t>Male</w:t>
            </w:r>
          </w:p>
        </w:tc>
        <w:tc>
          <w:tcPr>
            <w:tcW w:w="709" w:type="dxa"/>
          </w:tcPr>
          <w:p w14:paraId="79FDC413"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rPr>
              <w:t>64</w:t>
            </w:r>
          </w:p>
        </w:tc>
        <w:tc>
          <w:tcPr>
            <w:tcW w:w="709" w:type="dxa"/>
          </w:tcPr>
          <w:p w14:paraId="17580E15" w14:textId="4438AF71"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rPr>
              <w:t>Middle</w:t>
            </w:r>
          </w:p>
        </w:tc>
        <w:tc>
          <w:tcPr>
            <w:tcW w:w="567" w:type="dxa"/>
          </w:tcPr>
          <w:p w14:paraId="2820F4CD"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I</w:t>
            </w:r>
          </w:p>
        </w:tc>
        <w:tc>
          <w:tcPr>
            <w:tcW w:w="1134" w:type="dxa"/>
          </w:tcPr>
          <w:p w14:paraId="610087F9" w14:textId="4B2AA336"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Ceramic</w:t>
            </w:r>
          </w:p>
        </w:tc>
        <w:tc>
          <w:tcPr>
            <w:tcW w:w="720" w:type="dxa"/>
          </w:tcPr>
          <w:p w14:paraId="135C26A8" w14:textId="2D2AE0D8"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rPr>
              <w:t>12</w:t>
            </w:r>
            <w:r>
              <w:rPr>
                <w:rFonts w:asciiTheme="majorHAnsi" w:eastAsia="Arial" w:hAnsiTheme="majorHAnsi" w:cstheme="majorHAnsi"/>
                <w:color w:val="000000"/>
                <w:sz w:val="16"/>
                <w:szCs w:val="16"/>
              </w:rPr>
              <w:t xml:space="preserve"> </w:t>
            </w:r>
            <w:r w:rsidRPr="00B4090F">
              <w:rPr>
                <w:rFonts w:asciiTheme="majorHAnsi" w:eastAsia="Arial" w:hAnsiTheme="majorHAnsi" w:cstheme="majorHAnsi"/>
                <w:color w:val="000000"/>
                <w:sz w:val="16"/>
                <w:szCs w:val="16"/>
              </w:rPr>
              <w:t>/</w:t>
            </w:r>
            <w:r>
              <w:rPr>
                <w:rFonts w:asciiTheme="majorHAnsi" w:eastAsia="Arial" w:hAnsiTheme="majorHAnsi" w:cstheme="majorHAnsi"/>
                <w:color w:val="000000"/>
                <w:sz w:val="16"/>
                <w:szCs w:val="16"/>
              </w:rPr>
              <w:t xml:space="preserve"> </w:t>
            </w:r>
            <w:r w:rsidRPr="00B4090F">
              <w:rPr>
                <w:rFonts w:asciiTheme="majorHAnsi" w:eastAsia="Arial" w:hAnsiTheme="majorHAnsi" w:cstheme="majorHAnsi"/>
                <w:color w:val="000000"/>
                <w:sz w:val="16"/>
                <w:szCs w:val="16"/>
              </w:rPr>
              <w:t>96</w:t>
            </w:r>
          </w:p>
        </w:tc>
        <w:tc>
          <w:tcPr>
            <w:tcW w:w="708" w:type="dxa"/>
          </w:tcPr>
          <w:p w14:paraId="5143A7C3" w14:textId="40B36238"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hAnsiTheme="majorHAnsi" w:cstheme="majorHAnsi"/>
                <w:color w:val="000000"/>
                <w:sz w:val="16"/>
                <w:szCs w:val="16"/>
              </w:rPr>
              <w:t>0</w:t>
            </w:r>
            <w:r>
              <w:rPr>
                <w:rFonts w:asciiTheme="majorHAnsi" w:hAnsiTheme="majorHAnsi" w:cstheme="majorHAnsi"/>
                <w:color w:val="000000"/>
                <w:sz w:val="16"/>
                <w:szCs w:val="16"/>
              </w:rPr>
              <w:t xml:space="preserve"> </w:t>
            </w:r>
            <w:r w:rsidRPr="00B4090F">
              <w:rPr>
                <w:rFonts w:asciiTheme="majorHAnsi" w:hAnsiTheme="majorHAnsi" w:cstheme="majorHAnsi"/>
                <w:color w:val="000000"/>
                <w:sz w:val="16"/>
                <w:szCs w:val="16"/>
              </w:rPr>
              <w:t>/</w:t>
            </w:r>
            <w:r>
              <w:rPr>
                <w:rFonts w:asciiTheme="majorHAnsi" w:hAnsiTheme="majorHAnsi" w:cstheme="majorHAnsi"/>
                <w:color w:val="000000"/>
                <w:sz w:val="16"/>
                <w:szCs w:val="16"/>
              </w:rPr>
              <w:t xml:space="preserve"> </w:t>
            </w:r>
            <w:r w:rsidRPr="00B4090F">
              <w:rPr>
                <w:rFonts w:asciiTheme="majorHAnsi" w:hAnsiTheme="majorHAnsi" w:cstheme="majorHAnsi"/>
                <w:color w:val="000000"/>
                <w:sz w:val="16"/>
                <w:szCs w:val="16"/>
              </w:rPr>
              <w:t>34</w:t>
            </w:r>
          </w:p>
        </w:tc>
        <w:tc>
          <w:tcPr>
            <w:tcW w:w="993" w:type="dxa"/>
          </w:tcPr>
          <w:p w14:paraId="2B87CE8A" w14:textId="011714BB"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hAnsiTheme="majorHAnsi" w:cstheme="majorHAnsi"/>
                <w:color w:val="000000"/>
                <w:sz w:val="16"/>
                <w:szCs w:val="16"/>
              </w:rPr>
              <w:t>67</w:t>
            </w:r>
          </w:p>
        </w:tc>
        <w:tc>
          <w:tcPr>
            <w:tcW w:w="1134" w:type="dxa"/>
          </w:tcPr>
          <w:p w14:paraId="140B50CA"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sidRPr="00B4090F">
              <w:rPr>
                <w:rFonts w:asciiTheme="majorHAnsi" w:eastAsia="Arial" w:hAnsiTheme="majorHAnsi" w:cstheme="majorHAnsi"/>
                <w:color w:val="000000"/>
                <w:sz w:val="16"/>
                <w:szCs w:val="16"/>
              </w:rPr>
              <w:t>Fair</w:t>
            </w:r>
          </w:p>
        </w:tc>
        <w:tc>
          <w:tcPr>
            <w:tcW w:w="1417" w:type="dxa"/>
          </w:tcPr>
          <w:p w14:paraId="112701E5" w14:textId="4D6C5608"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highlight w:val="white"/>
              </w:rPr>
              <w:t>NR</w:t>
            </w:r>
          </w:p>
        </w:tc>
        <w:tc>
          <w:tcPr>
            <w:tcW w:w="609" w:type="dxa"/>
          </w:tcPr>
          <w:p w14:paraId="20805DA0" w14:textId="77E94CE8"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highlight w:val="white"/>
              </w:rPr>
              <w:t>NR</w:t>
            </w:r>
          </w:p>
        </w:tc>
      </w:tr>
      <w:tr w:rsidR="001A37E3" w:rsidRPr="00B4090F" w14:paraId="38421756" w14:textId="77777777" w:rsidTr="00CE562B">
        <w:tc>
          <w:tcPr>
            <w:tcW w:w="426" w:type="dxa"/>
          </w:tcPr>
          <w:p w14:paraId="1577250B" w14:textId="46F7FD71" w:rsidR="001A37E3" w:rsidRPr="00992562"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highlight w:val="white"/>
              </w:rPr>
              <w:t>1</w:t>
            </w:r>
            <w:r>
              <w:rPr>
                <w:rFonts w:asciiTheme="majorHAnsi" w:eastAsia="Arial" w:hAnsiTheme="majorHAnsi" w:cstheme="majorHAnsi"/>
                <w:color w:val="000000"/>
                <w:sz w:val="16"/>
                <w:szCs w:val="16"/>
                <w:highlight w:val="white"/>
              </w:rPr>
              <w:t>2</w:t>
            </w:r>
          </w:p>
        </w:tc>
        <w:tc>
          <w:tcPr>
            <w:tcW w:w="709" w:type="dxa"/>
          </w:tcPr>
          <w:p w14:paraId="16D4D112" w14:textId="77777777" w:rsidR="001A37E3" w:rsidRPr="00992562" w:rsidRDefault="001A37E3" w:rsidP="00950475">
            <w:pPr>
              <w:spacing w:line="480" w:lineRule="auto"/>
              <w:jc w:val="center"/>
              <w:rPr>
                <w:rFonts w:asciiTheme="majorHAnsi" w:eastAsia="Arial" w:hAnsiTheme="majorHAnsi" w:cstheme="majorHAnsi"/>
                <w:color w:val="000000"/>
                <w:sz w:val="16"/>
                <w:szCs w:val="16"/>
                <w:highlight w:val="white"/>
              </w:rPr>
            </w:pPr>
            <w:r w:rsidRPr="00992562">
              <w:rPr>
                <w:rFonts w:asciiTheme="majorHAnsi" w:eastAsia="Arial" w:hAnsiTheme="majorHAnsi" w:cstheme="majorHAnsi"/>
                <w:color w:val="000000"/>
                <w:sz w:val="16"/>
                <w:szCs w:val="16"/>
              </w:rPr>
              <w:t>Male</w:t>
            </w:r>
          </w:p>
        </w:tc>
        <w:tc>
          <w:tcPr>
            <w:tcW w:w="709" w:type="dxa"/>
          </w:tcPr>
          <w:p w14:paraId="7D654A3F"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sidRPr="00B4090F">
              <w:rPr>
                <w:rFonts w:asciiTheme="majorHAnsi" w:eastAsia="Arial" w:hAnsiTheme="majorHAnsi" w:cstheme="majorHAnsi"/>
                <w:color w:val="000000"/>
                <w:sz w:val="16"/>
                <w:szCs w:val="16"/>
              </w:rPr>
              <w:t>39</w:t>
            </w:r>
          </w:p>
        </w:tc>
        <w:tc>
          <w:tcPr>
            <w:tcW w:w="709" w:type="dxa"/>
          </w:tcPr>
          <w:p w14:paraId="31DE4142" w14:textId="539D9670"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Middle</w:t>
            </w:r>
          </w:p>
        </w:tc>
        <w:tc>
          <w:tcPr>
            <w:tcW w:w="567" w:type="dxa"/>
          </w:tcPr>
          <w:p w14:paraId="367A49E2"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I</w:t>
            </w:r>
          </w:p>
        </w:tc>
        <w:tc>
          <w:tcPr>
            <w:tcW w:w="1134" w:type="dxa"/>
          </w:tcPr>
          <w:p w14:paraId="35B949BD" w14:textId="7CACE86D"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Knife</w:t>
            </w:r>
          </w:p>
        </w:tc>
        <w:tc>
          <w:tcPr>
            <w:tcW w:w="720" w:type="dxa"/>
            <w:tcBorders>
              <w:right w:val="single" w:sz="4" w:space="0" w:color="auto"/>
            </w:tcBorders>
          </w:tcPr>
          <w:p w14:paraId="0C7132D4" w14:textId="6C6D3C90" w:rsidR="001A37E3" w:rsidRPr="00B4090F" w:rsidRDefault="001A37E3" w:rsidP="00950475">
            <w:pPr>
              <w:spacing w:line="480" w:lineRule="auto"/>
              <w:jc w:val="center"/>
              <w:rPr>
                <w:rFonts w:asciiTheme="majorHAnsi" w:eastAsia="Arial" w:hAnsiTheme="majorHAnsi" w:cstheme="majorHAnsi"/>
                <w:color w:val="000000"/>
                <w:sz w:val="16"/>
                <w:szCs w:val="16"/>
              </w:rPr>
            </w:pPr>
            <w:r w:rsidRPr="00B4090F">
              <w:rPr>
                <w:rFonts w:asciiTheme="majorHAnsi" w:eastAsia="Arial" w:hAnsiTheme="majorHAnsi" w:cstheme="majorHAnsi"/>
                <w:color w:val="000000"/>
                <w:sz w:val="16"/>
                <w:szCs w:val="16"/>
              </w:rPr>
              <w:t>0</w:t>
            </w:r>
            <w:r>
              <w:rPr>
                <w:rFonts w:asciiTheme="majorHAnsi" w:eastAsia="Arial" w:hAnsiTheme="majorHAnsi" w:cstheme="majorHAnsi"/>
                <w:color w:val="000000"/>
                <w:sz w:val="16"/>
                <w:szCs w:val="16"/>
              </w:rPr>
              <w:t xml:space="preserve"> </w:t>
            </w:r>
            <w:r w:rsidRPr="00B4090F">
              <w:rPr>
                <w:rFonts w:asciiTheme="majorHAnsi" w:eastAsia="Arial" w:hAnsiTheme="majorHAnsi" w:cstheme="majorHAnsi"/>
                <w:color w:val="000000"/>
                <w:sz w:val="16"/>
                <w:szCs w:val="16"/>
              </w:rPr>
              <w:t>/</w:t>
            </w:r>
            <w:r>
              <w:rPr>
                <w:rFonts w:asciiTheme="majorHAnsi" w:eastAsia="Arial" w:hAnsiTheme="majorHAnsi" w:cstheme="majorHAnsi"/>
                <w:color w:val="000000"/>
                <w:sz w:val="16"/>
                <w:szCs w:val="16"/>
              </w:rPr>
              <w:t xml:space="preserve"> </w:t>
            </w:r>
            <w:r w:rsidRPr="00B4090F">
              <w:rPr>
                <w:rFonts w:asciiTheme="majorHAnsi" w:eastAsia="Arial" w:hAnsiTheme="majorHAnsi" w:cstheme="majorHAnsi"/>
                <w:color w:val="000000"/>
                <w:sz w:val="16"/>
                <w:szCs w:val="16"/>
              </w:rPr>
              <w:t>100</w:t>
            </w:r>
          </w:p>
        </w:tc>
        <w:tc>
          <w:tcPr>
            <w:tcW w:w="708" w:type="dxa"/>
            <w:tcBorders>
              <w:left w:val="single" w:sz="4" w:space="0" w:color="auto"/>
              <w:right w:val="single" w:sz="4" w:space="0" w:color="auto"/>
            </w:tcBorders>
          </w:tcPr>
          <w:p w14:paraId="6DB7ACAE" w14:textId="72C707EA" w:rsidR="001A37E3" w:rsidRPr="00B4090F" w:rsidRDefault="001A37E3" w:rsidP="00950475">
            <w:pPr>
              <w:spacing w:line="480" w:lineRule="auto"/>
              <w:jc w:val="center"/>
              <w:rPr>
                <w:rFonts w:asciiTheme="majorHAnsi" w:eastAsia="Arial" w:hAnsiTheme="majorHAnsi" w:cstheme="majorHAnsi"/>
                <w:color w:val="000000"/>
                <w:sz w:val="16"/>
                <w:szCs w:val="16"/>
              </w:rPr>
            </w:pPr>
            <w:r w:rsidRPr="00B4090F">
              <w:rPr>
                <w:rFonts w:asciiTheme="majorHAnsi" w:hAnsiTheme="majorHAnsi" w:cstheme="majorHAnsi"/>
                <w:color w:val="000000"/>
                <w:sz w:val="16"/>
                <w:szCs w:val="16"/>
              </w:rPr>
              <w:t>0</w:t>
            </w:r>
            <w:r>
              <w:rPr>
                <w:rFonts w:asciiTheme="majorHAnsi" w:hAnsiTheme="majorHAnsi" w:cstheme="majorHAnsi"/>
                <w:color w:val="000000"/>
                <w:sz w:val="16"/>
                <w:szCs w:val="16"/>
              </w:rPr>
              <w:t xml:space="preserve"> </w:t>
            </w:r>
            <w:r w:rsidRPr="00B4090F">
              <w:rPr>
                <w:rFonts w:asciiTheme="majorHAnsi" w:hAnsiTheme="majorHAnsi" w:cstheme="majorHAnsi"/>
                <w:color w:val="000000"/>
                <w:sz w:val="16"/>
                <w:szCs w:val="16"/>
              </w:rPr>
              <w:t>/</w:t>
            </w:r>
            <w:r>
              <w:rPr>
                <w:rFonts w:asciiTheme="majorHAnsi" w:hAnsiTheme="majorHAnsi" w:cstheme="majorHAnsi"/>
                <w:color w:val="000000"/>
                <w:sz w:val="16"/>
                <w:szCs w:val="16"/>
              </w:rPr>
              <w:t xml:space="preserve"> </w:t>
            </w:r>
            <w:r w:rsidRPr="00B4090F">
              <w:rPr>
                <w:rFonts w:asciiTheme="majorHAnsi" w:hAnsiTheme="majorHAnsi" w:cstheme="majorHAnsi"/>
                <w:color w:val="000000"/>
                <w:sz w:val="16"/>
                <w:szCs w:val="16"/>
              </w:rPr>
              <w:t>84</w:t>
            </w:r>
          </w:p>
        </w:tc>
        <w:tc>
          <w:tcPr>
            <w:tcW w:w="993" w:type="dxa"/>
            <w:tcBorders>
              <w:left w:val="single" w:sz="4" w:space="0" w:color="auto"/>
              <w:right w:val="single" w:sz="4" w:space="0" w:color="auto"/>
            </w:tcBorders>
          </w:tcPr>
          <w:p w14:paraId="3A687BDC" w14:textId="13F122F5"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hAnsiTheme="majorHAnsi" w:cstheme="majorHAnsi"/>
                <w:color w:val="000000"/>
                <w:sz w:val="16"/>
                <w:szCs w:val="16"/>
              </w:rPr>
              <w:t>105</w:t>
            </w:r>
          </w:p>
        </w:tc>
        <w:tc>
          <w:tcPr>
            <w:tcW w:w="1134" w:type="dxa"/>
            <w:tcBorders>
              <w:left w:val="single" w:sz="4" w:space="0" w:color="auto"/>
              <w:right w:val="single" w:sz="4" w:space="0" w:color="auto"/>
            </w:tcBorders>
          </w:tcPr>
          <w:p w14:paraId="55646915" w14:textId="4DAF6076" w:rsidR="001A37E3" w:rsidRPr="00B4090F" w:rsidRDefault="001A37E3" w:rsidP="00950475">
            <w:pPr>
              <w:spacing w:line="480" w:lineRule="auto"/>
              <w:jc w:val="center"/>
              <w:rPr>
                <w:rFonts w:asciiTheme="majorHAnsi" w:eastAsia="Arial" w:hAnsiTheme="majorHAnsi" w:cstheme="majorHAnsi"/>
                <w:color w:val="000000"/>
                <w:sz w:val="16"/>
                <w:szCs w:val="16"/>
              </w:rPr>
            </w:pPr>
            <w:r w:rsidRPr="00B4090F">
              <w:rPr>
                <w:rFonts w:asciiTheme="majorHAnsi" w:eastAsia="Arial" w:hAnsiTheme="majorHAnsi" w:cstheme="majorHAnsi"/>
                <w:color w:val="000000"/>
                <w:sz w:val="16"/>
                <w:szCs w:val="16"/>
              </w:rPr>
              <w:t>Excellent</w:t>
            </w:r>
          </w:p>
        </w:tc>
        <w:tc>
          <w:tcPr>
            <w:tcW w:w="1417" w:type="dxa"/>
            <w:tcBorders>
              <w:left w:val="single" w:sz="4" w:space="0" w:color="auto"/>
            </w:tcBorders>
          </w:tcPr>
          <w:p w14:paraId="08203362" w14:textId="25D25526"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highlight w:val="white"/>
              </w:rPr>
              <w:t>NR</w:t>
            </w:r>
          </w:p>
        </w:tc>
        <w:tc>
          <w:tcPr>
            <w:tcW w:w="609" w:type="dxa"/>
          </w:tcPr>
          <w:p w14:paraId="565FE787" w14:textId="14D7853B"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highlight w:val="white"/>
              </w:rPr>
              <w:t>NR</w:t>
            </w:r>
          </w:p>
        </w:tc>
      </w:tr>
      <w:tr w:rsidR="001A37E3" w:rsidRPr="00B4090F" w14:paraId="3E7B55E0" w14:textId="193AA8E0" w:rsidTr="00CE562B">
        <w:tc>
          <w:tcPr>
            <w:tcW w:w="426" w:type="dxa"/>
          </w:tcPr>
          <w:p w14:paraId="5A860A4B" w14:textId="32C2A621" w:rsidR="001A37E3" w:rsidRPr="00992562"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highlight w:val="white"/>
              </w:rPr>
              <w:t>1</w:t>
            </w:r>
            <w:r>
              <w:rPr>
                <w:rFonts w:asciiTheme="majorHAnsi" w:eastAsia="Arial" w:hAnsiTheme="majorHAnsi" w:cstheme="majorHAnsi"/>
                <w:color w:val="000000"/>
                <w:sz w:val="16"/>
                <w:szCs w:val="16"/>
                <w:highlight w:val="white"/>
              </w:rPr>
              <w:t>3</w:t>
            </w:r>
          </w:p>
        </w:tc>
        <w:tc>
          <w:tcPr>
            <w:tcW w:w="709" w:type="dxa"/>
          </w:tcPr>
          <w:p w14:paraId="6345C718" w14:textId="0CD4B947" w:rsidR="001A37E3" w:rsidRPr="00992562" w:rsidRDefault="001A37E3" w:rsidP="00950475">
            <w:pPr>
              <w:spacing w:line="480" w:lineRule="auto"/>
              <w:jc w:val="center"/>
              <w:rPr>
                <w:rFonts w:asciiTheme="majorHAnsi" w:eastAsia="Arial" w:hAnsiTheme="majorHAnsi" w:cstheme="majorHAnsi"/>
                <w:color w:val="000000"/>
                <w:sz w:val="16"/>
                <w:szCs w:val="16"/>
                <w:highlight w:val="white"/>
              </w:rPr>
            </w:pPr>
            <w:r w:rsidRPr="00992562">
              <w:rPr>
                <w:rFonts w:asciiTheme="majorHAnsi" w:eastAsia="Arial" w:hAnsiTheme="majorHAnsi" w:cstheme="majorHAnsi"/>
                <w:color w:val="000000"/>
                <w:sz w:val="16"/>
                <w:szCs w:val="16"/>
              </w:rPr>
              <w:t>Male</w:t>
            </w:r>
            <w:r>
              <w:rPr>
                <w:rFonts w:asciiTheme="majorHAnsi" w:eastAsia="Arial" w:hAnsiTheme="majorHAnsi" w:cstheme="majorHAnsi"/>
                <w:color w:val="000000"/>
                <w:sz w:val="16"/>
                <w:szCs w:val="16"/>
              </w:rPr>
              <w:t xml:space="preserve"> *</w:t>
            </w:r>
          </w:p>
        </w:tc>
        <w:tc>
          <w:tcPr>
            <w:tcW w:w="709" w:type="dxa"/>
          </w:tcPr>
          <w:p w14:paraId="06F3DA7C"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sidRPr="00B4090F">
              <w:rPr>
                <w:rFonts w:asciiTheme="majorHAnsi" w:eastAsia="Arial" w:hAnsiTheme="majorHAnsi" w:cstheme="majorHAnsi"/>
                <w:color w:val="000000"/>
                <w:sz w:val="16"/>
                <w:szCs w:val="16"/>
              </w:rPr>
              <w:t>30</w:t>
            </w:r>
          </w:p>
        </w:tc>
        <w:tc>
          <w:tcPr>
            <w:tcW w:w="709" w:type="dxa"/>
          </w:tcPr>
          <w:p w14:paraId="541176B3" w14:textId="4F7F4A58" w:rsidR="001A37E3" w:rsidRPr="00B4090F" w:rsidRDefault="001A37E3" w:rsidP="00950475">
            <w:pPr>
              <w:spacing w:line="480" w:lineRule="auto"/>
              <w:jc w:val="center"/>
              <w:rPr>
                <w:rFonts w:asciiTheme="majorHAnsi" w:eastAsia="Arial" w:hAnsiTheme="majorHAnsi" w:cstheme="majorHAnsi"/>
                <w:color w:val="000000"/>
                <w:sz w:val="16"/>
                <w:szCs w:val="16"/>
              </w:rPr>
            </w:pPr>
            <w:r w:rsidRPr="00B4090F">
              <w:rPr>
                <w:rFonts w:asciiTheme="majorHAnsi" w:eastAsia="Arial" w:hAnsiTheme="majorHAnsi" w:cstheme="majorHAnsi"/>
                <w:color w:val="000000"/>
                <w:sz w:val="16"/>
                <w:szCs w:val="16"/>
              </w:rPr>
              <w:t>I</w:t>
            </w:r>
            <w:r>
              <w:rPr>
                <w:rFonts w:asciiTheme="majorHAnsi" w:eastAsia="Arial" w:hAnsiTheme="majorHAnsi" w:cstheme="majorHAnsi"/>
                <w:color w:val="000000"/>
                <w:sz w:val="16"/>
                <w:szCs w:val="16"/>
              </w:rPr>
              <w:t>ndex</w:t>
            </w:r>
          </w:p>
        </w:tc>
        <w:tc>
          <w:tcPr>
            <w:tcW w:w="567" w:type="dxa"/>
          </w:tcPr>
          <w:p w14:paraId="3D039EF3"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II</w:t>
            </w:r>
          </w:p>
        </w:tc>
        <w:tc>
          <w:tcPr>
            <w:tcW w:w="1134" w:type="dxa"/>
          </w:tcPr>
          <w:p w14:paraId="0383E9A1" w14:textId="1C34421E" w:rsidR="001A37E3"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S</w:t>
            </w:r>
            <w:r w:rsidR="0053657D">
              <w:rPr>
                <w:rFonts w:asciiTheme="majorHAnsi" w:eastAsia="Arial" w:hAnsiTheme="majorHAnsi" w:cstheme="majorHAnsi"/>
                <w:color w:val="000000"/>
                <w:sz w:val="16"/>
                <w:szCs w:val="16"/>
              </w:rPr>
              <w:t>harp metal</w:t>
            </w:r>
          </w:p>
        </w:tc>
        <w:tc>
          <w:tcPr>
            <w:tcW w:w="720" w:type="dxa"/>
            <w:tcBorders>
              <w:right w:val="single" w:sz="4" w:space="0" w:color="auto"/>
            </w:tcBorders>
          </w:tcPr>
          <w:p w14:paraId="4EF595A9" w14:textId="204EA104"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NA</w:t>
            </w:r>
          </w:p>
        </w:tc>
        <w:tc>
          <w:tcPr>
            <w:tcW w:w="708" w:type="dxa"/>
            <w:tcBorders>
              <w:left w:val="single" w:sz="4" w:space="0" w:color="auto"/>
              <w:right w:val="single" w:sz="4" w:space="0" w:color="auto"/>
            </w:tcBorders>
          </w:tcPr>
          <w:p w14:paraId="0A68C28E" w14:textId="04254E83"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highlight w:val="white"/>
              </w:rPr>
              <w:t>NA</w:t>
            </w:r>
          </w:p>
        </w:tc>
        <w:tc>
          <w:tcPr>
            <w:tcW w:w="993" w:type="dxa"/>
            <w:tcBorders>
              <w:left w:val="single" w:sz="4" w:space="0" w:color="auto"/>
              <w:right w:val="single" w:sz="4" w:space="0" w:color="auto"/>
            </w:tcBorders>
          </w:tcPr>
          <w:p w14:paraId="44035E8B" w14:textId="2641BC87"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highlight w:val="white"/>
              </w:rPr>
              <w:t>NA</w:t>
            </w:r>
          </w:p>
        </w:tc>
        <w:tc>
          <w:tcPr>
            <w:tcW w:w="1134" w:type="dxa"/>
            <w:tcBorders>
              <w:left w:val="single" w:sz="4" w:space="0" w:color="auto"/>
              <w:right w:val="single" w:sz="4" w:space="0" w:color="auto"/>
            </w:tcBorders>
          </w:tcPr>
          <w:p w14:paraId="2ED6E1D6" w14:textId="42EA3EB7"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highlight w:val="white"/>
              </w:rPr>
              <w:t>NA</w:t>
            </w:r>
          </w:p>
        </w:tc>
        <w:tc>
          <w:tcPr>
            <w:tcW w:w="1417" w:type="dxa"/>
            <w:tcBorders>
              <w:left w:val="single" w:sz="4" w:space="0" w:color="auto"/>
              <w:right w:val="single" w:sz="4" w:space="0" w:color="auto"/>
            </w:tcBorders>
          </w:tcPr>
          <w:p w14:paraId="782DB9F3" w14:textId="2F74CABF"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highlight w:val="white"/>
              </w:rPr>
              <w:t>NA</w:t>
            </w:r>
          </w:p>
        </w:tc>
        <w:tc>
          <w:tcPr>
            <w:tcW w:w="609" w:type="dxa"/>
            <w:tcBorders>
              <w:left w:val="single" w:sz="4" w:space="0" w:color="auto"/>
            </w:tcBorders>
          </w:tcPr>
          <w:p w14:paraId="7A6D497A" w14:textId="2E92DA2E"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highlight w:val="white"/>
              </w:rPr>
              <w:t>NA</w:t>
            </w:r>
          </w:p>
        </w:tc>
      </w:tr>
      <w:tr w:rsidR="001A37E3" w:rsidRPr="00B4090F" w14:paraId="6E803873" w14:textId="77777777" w:rsidTr="00CE562B">
        <w:tc>
          <w:tcPr>
            <w:tcW w:w="426" w:type="dxa"/>
          </w:tcPr>
          <w:p w14:paraId="1C9A5848" w14:textId="706BFDCD"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highlight w:val="white"/>
              </w:rPr>
              <w:t>1</w:t>
            </w:r>
            <w:r>
              <w:rPr>
                <w:rFonts w:asciiTheme="majorHAnsi" w:eastAsia="Arial" w:hAnsiTheme="majorHAnsi" w:cstheme="majorHAnsi"/>
                <w:color w:val="000000"/>
                <w:sz w:val="16"/>
                <w:szCs w:val="16"/>
                <w:highlight w:val="white"/>
              </w:rPr>
              <w:t>4</w:t>
            </w:r>
          </w:p>
        </w:tc>
        <w:tc>
          <w:tcPr>
            <w:tcW w:w="709" w:type="dxa"/>
          </w:tcPr>
          <w:p w14:paraId="683976D4"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rPr>
              <w:t>Male</w:t>
            </w:r>
          </w:p>
        </w:tc>
        <w:tc>
          <w:tcPr>
            <w:tcW w:w="709" w:type="dxa"/>
          </w:tcPr>
          <w:p w14:paraId="7F909773"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sidRPr="00B4090F">
              <w:rPr>
                <w:rFonts w:asciiTheme="majorHAnsi" w:eastAsia="Arial" w:hAnsiTheme="majorHAnsi" w:cstheme="majorHAnsi"/>
                <w:color w:val="000000"/>
                <w:sz w:val="16"/>
                <w:szCs w:val="16"/>
              </w:rPr>
              <w:t>40</w:t>
            </w:r>
          </w:p>
        </w:tc>
        <w:tc>
          <w:tcPr>
            <w:tcW w:w="709" w:type="dxa"/>
          </w:tcPr>
          <w:p w14:paraId="690F2151" w14:textId="5B7438D6"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Middle</w:t>
            </w:r>
          </w:p>
        </w:tc>
        <w:tc>
          <w:tcPr>
            <w:tcW w:w="567" w:type="dxa"/>
          </w:tcPr>
          <w:p w14:paraId="047E1B16"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II</w:t>
            </w:r>
          </w:p>
        </w:tc>
        <w:tc>
          <w:tcPr>
            <w:tcW w:w="1134" w:type="dxa"/>
          </w:tcPr>
          <w:p w14:paraId="694DC67D" w14:textId="2103D97E"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Crush</w:t>
            </w:r>
          </w:p>
        </w:tc>
        <w:tc>
          <w:tcPr>
            <w:tcW w:w="720" w:type="dxa"/>
            <w:tcBorders>
              <w:right w:val="single" w:sz="4" w:space="0" w:color="auto"/>
            </w:tcBorders>
          </w:tcPr>
          <w:p w14:paraId="74E1DBBA" w14:textId="76A66A6D" w:rsidR="001A37E3" w:rsidRPr="00B4090F" w:rsidRDefault="001A37E3" w:rsidP="00950475">
            <w:pPr>
              <w:spacing w:line="480" w:lineRule="auto"/>
              <w:jc w:val="center"/>
              <w:rPr>
                <w:rFonts w:asciiTheme="majorHAnsi" w:eastAsia="Arial" w:hAnsiTheme="majorHAnsi" w:cstheme="majorHAnsi"/>
                <w:color w:val="000000"/>
                <w:sz w:val="16"/>
                <w:szCs w:val="16"/>
              </w:rPr>
            </w:pPr>
            <w:r w:rsidRPr="00B4090F">
              <w:rPr>
                <w:rFonts w:asciiTheme="majorHAnsi" w:eastAsia="Arial" w:hAnsiTheme="majorHAnsi" w:cstheme="majorHAnsi"/>
                <w:color w:val="000000"/>
                <w:sz w:val="16"/>
                <w:szCs w:val="16"/>
              </w:rPr>
              <w:t>12</w:t>
            </w:r>
            <w:r>
              <w:rPr>
                <w:rFonts w:asciiTheme="majorHAnsi" w:eastAsia="Arial" w:hAnsiTheme="majorHAnsi" w:cstheme="majorHAnsi"/>
                <w:color w:val="000000"/>
                <w:sz w:val="16"/>
                <w:szCs w:val="16"/>
              </w:rPr>
              <w:t xml:space="preserve"> </w:t>
            </w:r>
            <w:r w:rsidRPr="00B4090F">
              <w:rPr>
                <w:rFonts w:asciiTheme="majorHAnsi" w:eastAsia="Arial" w:hAnsiTheme="majorHAnsi" w:cstheme="majorHAnsi"/>
                <w:color w:val="000000"/>
                <w:sz w:val="16"/>
                <w:szCs w:val="16"/>
              </w:rPr>
              <w:t>/</w:t>
            </w:r>
            <w:r>
              <w:rPr>
                <w:rFonts w:asciiTheme="majorHAnsi" w:eastAsia="Arial" w:hAnsiTheme="majorHAnsi" w:cstheme="majorHAnsi"/>
                <w:color w:val="000000"/>
                <w:sz w:val="16"/>
                <w:szCs w:val="16"/>
              </w:rPr>
              <w:t xml:space="preserve"> </w:t>
            </w:r>
            <w:r w:rsidRPr="00B4090F">
              <w:rPr>
                <w:rFonts w:asciiTheme="majorHAnsi" w:eastAsia="Arial" w:hAnsiTheme="majorHAnsi" w:cstheme="majorHAnsi"/>
                <w:color w:val="000000"/>
                <w:sz w:val="16"/>
                <w:szCs w:val="16"/>
              </w:rPr>
              <w:t>72</w:t>
            </w:r>
          </w:p>
        </w:tc>
        <w:tc>
          <w:tcPr>
            <w:tcW w:w="708" w:type="dxa"/>
            <w:tcBorders>
              <w:left w:val="single" w:sz="4" w:space="0" w:color="auto"/>
              <w:right w:val="single" w:sz="4" w:space="0" w:color="auto"/>
            </w:tcBorders>
          </w:tcPr>
          <w:p w14:paraId="17B76C61" w14:textId="64920005" w:rsidR="001A37E3" w:rsidRPr="00B4090F" w:rsidRDefault="001A37E3" w:rsidP="00950475">
            <w:pPr>
              <w:spacing w:line="480" w:lineRule="auto"/>
              <w:jc w:val="center"/>
              <w:rPr>
                <w:rFonts w:asciiTheme="majorHAnsi" w:hAnsiTheme="majorHAnsi" w:cstheme="majorHAnsi"/>
                <w:color w:val="000000"/>
                <w:sz w:val="16"/>
                <w:szCs w:val="16"/>
              </w:rPr>
            </w:pPr>
            <w:r w:rsidRPr="00B4090F">
              <w:rPr>
                <w:rFonts w:asciiTheme="majorHAnsi" w:hAnsiTheme="majorHAnsi" w:cstheme="majorHAnsi"/>
                <w:color w:val="000000"/>
                <w:sz w:val="16"/>
                <w:szCs w:val="16"/>
              </w:rPr>
              <w:t>0</w:t>
            </w:r>
            <w:r>
              <w:rPr>
                <w:rFonts w:asciiTheme="majorHAnsi" w:hAnsiTheme="majorHAnsi" w:cstheme="majorHAnsi"/>
                <w:color w:val="000000"/>
                <w:sz w:val="16"/>
                <w:szCs w:val="16"/>
              </w:rPr>
              <w:t xml:space="preserve"> </w:t>
            </w:r>
            <w:r w:rsidRPr="00B4090F">
              <w:rPr>
                <w:rFonts w:asciiTheme="majorHAnsi" w:hAnsiTheme="majorHAnsi" w:cstheme="majorHAnsi"/>
                <w:color w:val="000000"/>
                <w:sz w:val="16"/>
                <w:szCs w:val="16"/>
              </w:rPr>
              <w:t>/</w:t>
            </w:r>
            <w:r>
              <w:rPr>
                <w:rFonts w:asciiTheme="majorHAnsi" w:hAnsiTheme="majorHAnsi" w:cstheme="majorHAnsi"/>
                <w:color w:val="000000"/>
                <w:sz w:val="16"/>
                <w:szCs w:val="16"/>
              </w:rPr>
              <w:t xml:space="preserve"> </w:t>
            </w:r>
            <w:r w:rsidRPr="00B4090F">
              <w:rPr>
                <w:rFonts w:asciiTheme="majorHAnsi" w:hAnsiTheme="majorHAnsi" w:cstheme="majorHAnsi"/>
                <w:color w:val="000000"/>
                <w:sz w:val="16"/>
                <w:szCs w:val="16"/>
              </w:rPr>
              <w:t>28</w:t>
            </w:r>
          </w:p>
        </w:tc>
        <w:tc>
          <w:tcPr>
            <w:tcW w:w="993" w:type="dxa"/>
            <w:tcBorders>
              <w:left w:val="single" w:sz="4" w:space="0" w:color="auto"/>
              <w:right w:val="single" w:sz="4" w:space="0" w:color="auto"/>
            </w:tcBorders>
          </w:tcPr>
          <w:p w14:paraId="72C577D0" w14:textId="280523C1"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hAnsiTheme="majorHAnsi" w:cstheme="majorHAnsi"/>
                <w:color w:val="000000"/>
                <w:sz w:val="16"/>
                <w:szCs w:val="16"/>
              </w:rPr>
              <w:t>50</w:t>
            </w:r>
          </w:p>
        </w:tc>
        <w:tc>
          <w:tcPr>
            <w:tcW w:w="1134" w:type="dxa"/>
            <w:tcBorders>
              <w:left w:val="single" w:sz="4" w:space="0" w:color="auto"/>
              <w:right w:val="single" w:sz="4" w:space="0" w:color="auto"/>
            </w:tcBorders>
          </w:tcPr>
          <w:p w14:paraId="1C9257B5"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sidRPr="00B4090F">
              <w:rPr>
                <w:rFonts w:asciiTheme="majorHAnsi" w:eastAsia="Arial" w:hAnsiTheme="majorHAnsi" w:cstheme="majorHAnsi"/>
                <w:color w:val="000000"/>
                <w:sz w:val="16"/>
                <w:szCs w:val="16"/>
              </w:rPr>
              <w:t>Fair</w:t>
            </w:r>
          </w:p>
        </w:tc>
        <w:tc>
          <w:tcPr>
            <w:tcW w:w="1417" w:type="dxa"/>
            <w:tcBorders>
              <w:left w:val="single" w:sz="4" w:space="0" w:color="auto"/>
              <w:right w:val="single" w:sz="4" w:space="0" w:color="auto"/>
            </w:tcBorders>
          </w:tcPr>
          <w:p w14:paraId="353B7905" w14:textId="5D488463"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highlight w:val="white"/>
              </w:rPr>
              <w:t>NR</w:t>
            </w:r>
          </w:p>
        </w:tc>
        <w:tc>
          <w:tcPr>
            <w:tcW w:w="609" w:type="dxa"/>
            <w:tcBorders>
              <w:left w:val="single" w:sz="4" w:space="0" w:color="auto"/>
            </w:tcBorders>
          </w:tcPr>
          <w:p w14:paraId="459E8C7C" w14:textId="53BDD0FD"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highlight w:val="white"/>
              </w:rPr>
              <w:t>NR</w:t>
            </w:r>
          </w:p>
        </w:tc>
      </w:tr>
      <w:tr w:rsidR="001A37E3" w:rsidRPr="00B4090F" w14:paraId="1B489DD6" w14:textId="5182126F" w:rsidTr="00CE562B">
        <w:tc>
          <w:tcPr>
            <w:tcW w:w="426" w:type="dxa"/>
          </w:tcPr>
          <w:p w14:paraId="480297F3" w14:textId="79F49C0D"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highlight w:val="white"/>
              </w:rPr>
              <w:t>1</w:t>
            </w:r>
            <w:r>
              <w:rPr>
                <w:rFonts w:asciiTheme="majorHAnsi" w:eastAsia="Arial" w:hAnsiTheme="majorHAnsi" w:cstheme="majorHAnsi"/>
                <w:color w:val="000000"/>
                <w:sz w:val="16"/>
                <w:szCs w:val="16"/>
                <w:highlight w:val="white"/>
              </w:rPr>
              <w:t>5</w:t>
            </w:r>
          </w:p>
        </w:tc>
        <w:tc>
          <w:tcPr>
            <w:tcW w:w="709" w:type="dxa"/>
          </w:tcPr>
          <w:p w14:paraId="268C2F01"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rPr>
              <w:t>Male</w:t>
            </w:r>
          </w:p>
        </w:tc>
        <w:tc>
          <w:tcPr>
            <w:tcW w:w="709" w:type="dxa"/>
          </w:tcPr>
          <w:p w14:paraId="6AF3F827"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sidRPr="00B4090F">
              <w:rPr>
                <w:rFonts w:asciiTheme="majorHAnsi" w:eastAsia="Arial" w:hAnsiTheme="majorHAnsi" w:cstheme="majorHAnsi"/>
                <w:color w:val="000000"/>
                <w:sz w:val="16"/>
                <w:szCs w:val="16"/>
              </w:rPr>
              <w:t>29</w:t>
            </w:r>
          </w:p>
        </w:tc>
        <w:tc>
          <w:tcPr>
            <w:tcW w:w="709" w:type="dxa"/>
          </w:tcPr>
          <w:p w14:paraId="2C83D240" w14:textId="39DD2ECF"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Index</w:t>
            </w:r>
          </w:p>
        </w:tc>
        <w:tc>
          <w:tcPr>
            <w:tcW w:w="567" w:type="dxa"/>
          </w:tcPr>
          <w:p w14:paraId="5825B23F"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I</w:t>
            </w:r>
          </w:p>
        </w:tc>
        <w:tc>
          <w:tcPr>
            <w:tcW w:w="1134" w:type="dxa"/>
          </w:tcPr>
          <w:p w14:paraId="7DAEC916" w14:textId="480857EF" w:rsidR="001A37E3"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Knife</w:t>
            </w:r>
          </w:p>
        </w:tc>
        <w:tc>
          <w:tcPr>
            <w:tcW w:w="720" w:type="dxa"/>
            <w:tcBorders>
              <w:right w:val="single" w:sz="4" w:space="0" w:color="auto"/>
            </w:tcBorders>
          </w:tcPr>
          <w:p w14:paraId="3934024A" w14:textId="67C4A304"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NR</w:t>
            </w:r>
          </w:p>
        </w:tc>
        <w:tc>
          <w:tcPr>
            <w:tcW w:w="708" w:type="dxa"/>
            <w:tcBorders>
              <w:left w:val="single" w:sz="4" w:space="0" w:color="auto"/>
              <w:right w:val="single" w:sz="4" w:space="0" w:color="auto"/>
            </w:tcBorders>
          </w:tcPr>
          <w:p w14:paraId="0E91CEDE" w14:textId="64ACC5F2"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NR</w:t>
            </w:r>
          </w:p>
        </w:tc>
        <w:tc>
          <w:tcPr>
            <w:tcW w:w="993" w:type="dxa"/>
            <w:tcBorders>
              <w:left w:val="single" w:sz="4" w:space="0" w:color="auto"/>
              <w:right w:val="single" w:sz="4" w:space="0" w:color="auto"/>
            </w:tcBorders>
          </w:tcPr>
          <w:p w14:paraId="76194793" w14:textId="4C0B32E8"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NR</w:t>
            </w:r>
          </w:p>
        </w:tc>
        <w:tc>
          <w:tcPr>
            <w:tcW w:w="1134" w:type="dxa"/>
            <w:tcBorders>
              <w:left w:val="single" w:sz="4" w:space="0" w:color="auto"/>
              <w:right w:val="single" w:sz="4" w:space="0" w:color="auto"/>
            </w:tcBorders>
          </w:tcPr>
          <w:p w14:paraId="695588D0" w14:textId="5332C2AF"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NR</w:t>
            </w:r>
          </w:p>
        </w:tc>
        <w:tc>
          <w:tcPr>
            <w:tcW w:w="1417" w:type="dxa"/>
            <w:tcBorders>
              <w:left w:val="single" w:sz="4" w:space="0" w:color="auto"/>
              <w:right w:val="single" w:sz="4" w:space="0" w:color="auto"/>
            </w:tcBorders>
          </w:tcPr>
          <w:p w14:paraId="2539BB5D" w14:textId="5D639162"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NR</w:t>
            </w:r>
          </w:p>
        </w:tc>
        <w:tc>
          <w:tcPr>
            <w:tcW w:w="609" w:type="dxa"/>
            <w:tcBorders>
              <w:left w:val="single" w:sz="4" w:space="0" w:color="auto"/>
            </w:tcBorders>
          </w:tcPr>
          <w:p w14:paraId="060A1441" w14:textId="4FCD4653"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NR</w:t>
            </w:r>
          </w:p>
        </w:tc>
      </w:tr>
      <w:tr w:rsidR="001A37E3" w:rsidRPr="00B4090F" w14:paraId="128D16D0" w14:textId="56CFA44C" w:rsidTr="00CE562B">
        <w:tc>
          <w:tcPr>
            <w:tcW w:w="426" w:type="dxa"/>
          </w:tcPr>
          <w:p w14:paraId="4BDBE31F" w14:textId="0FE53D86"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highlight w:val="white"/>
              </w:rPr>
              <w:t>16</w:t>
            </w:r>
          </w:p>
        </w:tc>
        <w:tc>
          <w:tcPr>
            <w:tcW w:w="709" w:type="dxa"/>
          </w:tcPr>
          <w:p w14:paraId="4DA507EF"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rPr>
              <w:t>Male</w:t>
            </w:r>
          </w:p>
        </w:tc>
        <w:tc>
          <w:tcPr>
            <w:tcW w:w="709" w:type="dxa"/>
          </w:tcPr>
          <w:p w14:paraId="4F2E3656"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sidRPr="00B4090F">
              <w:rPr>
                <w:rFonts w:asciiTheme="majorHAnsi" w:eastAsia="Arial" w:hAnsiTheme="majorHAnsi" w:cstheme="majorHAnsi"/>
                <w:color w:val="000000"/>
                <w:sz w:val="16"/>
                <w:szCs w:val="16"/>
              </w:rPr>
              <w:t>62</w:t>
            </w:r>
          </w:p>
        </w:tc>
        <w:tc>
          <w:tcPr>
            <w:tcW w:w="709" w:type="dxa"/>
          </w:tcPr>
          <w:p w14:paraId="3AE76B44" w14:textId="06A2E37D"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Small</w:t>
            </w:r>
          </w:p>
        </w:tc>
        <w:tc>
          <w:tcPr>
            <w:tcW w:w="567" w:type="dxa"/>
          </w:tcPr>
          <w:p w14:paraId="5B0AEA5D"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I</w:t>
            </w:r>
          </w:p>
        </w:tc>
        <w:tc>
          <w:tcPr>
            <w:tcW w:w="1134" w:type="dxa"/>
          </w:tcPr>
          <w:p w14:paraId="07B2A1E7" w14:textId="1CA1D51E" w:rsidR="001A37E3" w:rsidRDefault="0031411C"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Knife</w:t>
            </w:r>
          </w:p>
        </w:tc>
        <w:tc>
          <w:tcPr>
            <w:tcW w:w="720" w:type="dxa"/>
            <w:tcBorders>
              <w:right w:val="single" w:sz="4" w:space="0" w:color="auto"/>
            </w:tcBorders>
          </w:tcPr>
          <w:p w14:paraId="4CCDE9BF" w14:textId="35653BC4" w:rsidR="001A37E3" w:rsidRPr="009A2DD9" w:rsidRDefault="001A37E3" w:rsidP="00950475">
            <w:pPr>
              <w:spacing w:line="480" w:lineRule="auto"/>
              <w:jc w:val="center"/>
              <w:rPr>
                <w:rFonts w:asciiTheme="majorHAnsi" w:eastAsia="Arial" w:hAnsiTheme="majorHAnsi" w:cstheme="majorHAnsi"/>
                <w:color w:val="000000"/>
                <w:sz w:val="16"/>
                <w:szCs w:val="16"/>
                <w:highlight w:val="yellow"/>
              </w:rPr>
            </w:pPr>
            <w:r>
              <w:rPr>
                <w:rFonts w:asciiTheme="majorHAnsi" w:eastAsia="Arial" w:hAnsiTheme="majorHAnsi" w:cstheme="majorHAnsi"/>
                <w:color w:val="000000"/>
                <w:sz w:val="16"/>
                <w:szCs w:val="16"/>
              </w:rPr>
              <w:t>12 / 70</w:t>
            </w:r>
          </w:p>
        </w:tc>
        <w:tc>
          <w:tcPr>
            <w:tcW w:w="708" w:type="dxa"/>
            <w:tcBorders>
              <w:left w:val="single" w:sz="4" w:space="0" w:color="auto"/>
              <w:right w:val="single" w:sz="4" w:space="0" w:color="auto"/>
            </w:tcBorders>
          </w:tcPr>
          <w:p w14:paraId="4FC62BEA" w14:textId="0D92804A" w:rsidR="001A37E3" w:rsidRPr="009A2DD9" w:rsidRDefault="001A37E3" w:rsidP="00950475">
            <w:pPr>
              <w:spacing w:line="480" w:lineRule="auto"/>
              <w:jc w:val="center"/>
              <w:rPr>
                <w:rFonts w:asciiTheme="majorHAnsi" w:eastAsia="Arial" w:hAnsiTheme="majorHAnsi" w:cstheme="majorHAnsi"/>
                <w:color w:val="000000"/>
                <w:sz w:val="16"/>
                <w:szCs w:val="16"/>
                <w:highlight w:val="yellow"/>
              </w:rPr>
            </w:pPr>
            <w:r>
              <w:rPr>
                <w:rFonts w:asciiTheme="majorHAnsi" w:eastAsia="Arial" w:hAnsiTheme="majorHAnsi" w:cstheme="majorHAnsi"/>
                <w:color w:val="000000"/>
                <w:sz w:val="16"/>
                <w:szCs w:val="16"/>
              </w:rPr>
              <w:t>0 / 10</w:t>
            </w:r>
          </w:p>
        </w:tc>
        <w:tc>
          <w:tcPr>
            <w:tcW w:w="993" w:type="dxa"/>
            <w:tcBorders>
              <w:left w:val="single" w:sz="4" w:space="0" w:color="auto"/>
              <w:right w:val="single" w:sz="4" w:space="0" w:color="auto"/>
            </w:tcBorders>
          </w:tcPr>
          <w:p w14:paraId="0D889015" w14:textId="692E24A9" w:rsidR="001A37E3" w:rsidRPr="009A2DD9" w:rsidRDefault="001A37E3" w:rsidP="00950475">
            <w:pPr>
              <w:spacing w:line="480" w:lineRule="auto"/>
              <w:jc w:val="center"/>
              <w:rPr>
                <w:rFonts w:asciiTheme="majorHAnsi" w:eastAsia="Arial" w:hAnsiTheme="majorHAnsi" w:cstheme="majorHAnsi"/>
                <w:color w:val="000000"/>
                <w:sz w:val="16"/>
                <w:szCs w:val="16"/>
                <w:highlight w:val="yellow"/>
              </w:rPr>
            </w:pPr>
            <w:r>
              <w:rPr>
                <w:rFonts w:asciiTheme="majorHAnsi" w:eastAsia="Arial" w:hAnsiTheme="majorHAnsi" w:cstheme="majorHAnsi"/>
                <w:color w:val="000000"/>
                <w:sz w:val="16"/>
                <w:szCs w:val="16"/>
              </w:rPr>
              <w:t>39</w:t>
            </w:r>
          </w:p>
        </w:tc>
        <w:tc>
          <w:tcPr>
            <w:tcW w:w="1134" w:type="dxa"/>
            <w:tcBorders>
              <w:left w:val="single" w:sz="4" w:space="0" w:color="auto"/>
              <w:right w:val="single" w:sz="4" w:space="0" w:color="auto"/>
            </w:tcBorders>
          </w:tcPr>
          <w:p w14:paraId="12B88CE7" w14:textId="0B15916E" w:rsidR="001A37E3" w:rsidRPr="009A2DD9" w:rsidRDefault="001A37E3" w:rsidP="00950475">
            <w:pPr>
              <w:spacing w:line="480" w:lineRule="auto"/>
              <w:jc w:val="center"/>
              <w:rPr>
                <w:rFonts w:asciiTheme="majorHAnsi" w:eastAsia="Arial" w:hAnsiTheme="majorHAnsi" w:cstheme="majorHAnsi"/>
                <w:color w:val="000000"/>
                <w:sz w:val="16"/>
                <w:szCs w:val="16"/>
                <w:highlight w:val="yellow"/>
              </w:rPr>
            </w:pPr>
            <w:r>
              <w:rPr>
                <w:rFonts w:asciiTheme="majorHAnsi" w:eastAsia="Arial" w:hAnsiTheme="majorHAnsi" w:cstheme="majorHAnsi"/>
                <w:color w:val="000000"/>
                <w:sz w:val="16"/>
                <w:szCs w:val="16"/>
              </w:rPr>
              <w:t>Poor</w:t>
            </w:r>
          </w:p>
        </w:tc>
        <w:tc>
          <w:tcPr>
            <w:tcW w:w="1417" w:type="dxa"/>
            <w:tcBorders>
              <w:left w:val="single" w:sz="4" w:space="0" w:color="auto"/>
              <w:right w:val="single" w:sz="4" w:space="0" w:color="auto"/>
            </w:tcBorders>
          </w:tcPr>
          <w:p w14:paraId="320B35F1" w14:textId="7115BD2E" w:rsidR="001A37E3" w:rsidRPr="009A2DD9" w:rsidRDefault="001A37E3" w:rsidP="00950475">
            <w:pPr>
              <w:spacing w:line="480" w:lineRule="auto"/>
              <w:jc w:val="center"/>
              <w:rPr>
                <w:rFonts w:asciiTheme="majorHAnsi" w:eastAsia="Arial" w:hAnsiTheme="majorHAnsi" w:cstheme="majorHAnsi"/>
                <w:color w:val="000000"/>
                <w:sz w:val="16"/>
                <w:szCs w:val="16"/>
                <w:highlight w:val="yellow"/>
              </w:rPr>
            </w:pPr>
            <w:r>
              <w:rPr>
                <w:rFonts w:asciiTheme="majorHAnsi" w:eastAsia="Arial" w:hAnsiTheme="majorHAnsi" w:cstheme="majorHAnsi"/>
                <w:color w:val="000000"/>
                <w:sz w:val="16"/>
                <w:szCs w:val="16"/>
              </w:rPr>
              <w:t>88.1</w:t>
            </w:r>
          </w:p>
        </w:tc>
        <w:tc>
          <w:tcPr>
            <w:tcW w:w="609" w:type="dxa"/>
            <w:tcBorders>
              <w:left w:val="single" w:sz="4" w:space="0" w:color="auto"/>
            </w:tcBorders>
          </w:tcPr>
          <w:p w14:paraId="76DEDF62" w14:textId="4504784B" w:rsidR="001A37E3" w:rsidRPr="009A2DD9" w:rsidRDefault="001A37E3" w:rsidP="00950475">
            <w:pPr>
              <w:spacing w:line="480" w:lineRule="auto"/>
              <w:jc w:val="center"/>
              <w:rPr>
                <w:rFonts w:asciiTheme="majorHAnsi" w:eastAsia="Arial" w:hAnsiTheme="majorHAnsi" w:cstheme="majorHAnsi"/>
                <w:color w:val="000000"/>
                <w:sz w:val="16"/>
                <w:szCs w:val="16"/>
                <w:highlight w:val="yellow"/>
              </w:rPr>
            </w:pPr>
            <w:r>
              <w:rPr>
                <w:rFonts w:asciiTheme="majorHAnsi" w:eastAsia="Arial" w:hAnsiTheme="majorHAnsi" w:cstheme="majorHAnsi"/>
                <w:color w:val="000000"/>
                <w:sz w:val="16"/>
                <w:szCs w:val="16"/>
              </w:rPr>
              <w:t>NR</w:t>
            </w:r>
          </w:p>
        </w:tc>
      </w:tr>
      <w:tr w:rsidR="001A37E3" w:rsidRPr="00B4090F" w14:paraId="4BC7AEED" w14:textId="34EAED12" w:rsidTr="00CE562B">
        <w:tc>
          <w:tcPr>
            <w:tcW w:w="426" w:type="dxa"/>
          </w:tcPr>
          <w:p w14:paraId="49B0D58C" w14:textId="137451E2"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highlight w:val="white"/>
              </w:rPr>
              <w:t>17</w:t>
            </w:r>
          </w:p>
        </w:tc>
        <w:tc>
          <w:tcPr>
            <w:tcW w:w="709" w:type="dxa"/>
          </w:tcPr>
          <w:p w14:paraId="1FFD273D" w14:textId="77777777" w:rsidR="001A37E3" w:rsidRPr="00B4090F" w:rsidRDefault="001A37E3" w:rsidP="00950475">
            <w:pPr>
              <w:spacing w:line="480" w:lineRule="auto"/>
              <w:jc w:val="center"/>
              <w:rPr>
                <w:rFonts w:asciiTheme="majorHAnsi" w:eastAsia="Arial" w:hAnsiTheme="majorHAnsi" w:cstheme="majorHAnsi"/>
                <w:color w:val="000000"/>
                <w:sz w:val="16"/>
                <w:szCs w:val="16"/>
                <w:highlight w:val="white"/>
              </w:rPr>
            </w:pPr>
            <w:r w:rsidRPr="00B4090F">
              <w:rPr>
                <w:rFonts w:asciiTheme="majorHAnsi" w:eastAsia="Arial" w:hAnsiTheme="majorHAnsi" w:cstheme="majorHAnsi"/>
                <w:color w:val="000000"/>
                <w:sz w:val="16"/>
                <w:szCs w:val="16"/>
              </w:rPr>
              <w:t>Male</w:t>
            </w:r>
          </w:p>
        </w:tc>
        <w:tc>
          <w:tcPr>
            <w:tcW w:w="709" w:type="dxa"/>
          </w:tcPr>
          <w:p w14:paraId="4DD71EA9"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sidRPr="00B4090F">
              <w:rPr>
                <w:rFonts w:asciiTheme="majorHAnsi" w:eastAsia="Arial" w:hAnsiTheme="majorHAnsi" w:cstheme="majorHAnsi"/>
                <w:color w:val="000000"/>
                <w:sz w:val="16"/>
                <w:szCs w:val="16"/>
              </w:rPr>
              <w:t>51</w:t>
            </w:r>
          </w:p>
        </w:tc>
        <w:tc>
          <w:tcPr>
            <w:tcW w:w="709" w:type="dxa"/>
          </w:tcPr>
          <w:p w14:paraId="50C00885" w14:textId="40B04B6E"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Index</w:t>
            </w:r>
          </w:p>
        </w:tc>
        <w:tc>
          <w:tcPr>
            <w:tcW w:w="567" w:type="dxa"/>
          </w:tcPr>
          <w:p w14:paraId="7213A8F6" w14:textId="77777777"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I</w:t>
            </w:r>
          </w:p>
        </w:tc>
        <w:tc>
          <w:tcPr>
            <w:tcW w:w="1134" w:type="dxa"/>
          </w:tcPr>
          <w:p w14:paraId="0BD1B17B" w14:textId="32A4CA62" w:rsidR="001A37E3" w:rsidRDefault="0031411C"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Knife</w:t>
            </w:r>
          </w:p>
        </w:tc>
        <w:tc>
          <w:tcPr>
            <w:tcW w:w="720" w:type="dxa"/>
            <w:tcBorders>
              <w:right w:val="single" w:sz="4" w:space="0" w:color="auto"/>
            </w:tcBorders>
          </w:tcPr>
          <w:p w14:paraId="7745CC9E" w14:textId="6AF9CA45"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0 / 84</w:t>
            </w:r>
          </w:p>
        </w:tc>
        <w:tc>
          <w:tcPr>
            <w:tcW w:w="708" w:type="dxa"/>
            <w:tcBorders>
              <w:left w:val="single" w:sz="4" w:space="0" w:color="auto"/>
              <w:right w:val="single" w:sz="4" w:space="0" w:color="auto"/>
            </w:tcBorders>
          </w:tcPr>
          <w:p w14:paraId="68535126" w14:textId="79E79005"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2 / 40</w:t>
            </w:r>
          </w:p>
        </w:tc>
        <w:tc>
          <w:tcPr>
            <w:tcW w:w="993" w:type="dxa"/>
            <w:tcBorders>
              <w:left w:val="single" w:sz="4" w:space="0" w:color="auto"/>
              <w:right w:val="single" w:sz="4" w:space="0" w:color="auto"/>
            </w:tcBorders>
          </w:tcPr>
          <w:p w14:paraId="386EEE49" w14:textId="07309E8A"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70</w:t>
            </w:r>
          </w:p>
        </w:tc>
        <w:tc>
          <w:tcPr>
            <w:tcW w:w="1134" w:type="dxa"/>
            <w:tcBorders>
              <w:left w:val="single" w:sz="4" w:space="0" w:color="auto"/>
              <w:right w:val="single" w:sz="4" w:space="0" w:color="auto"/>
            </w:tcBorders>
          </w:tcPr>
          <w:p w14:paraId="575CD8FA" w14:textId="6C2500FB"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Good</w:t>
            </w:r>
          </w:p>
        </w:tc>
        <w:tc>
          <w:tcPr>
            <w:tcW w:w="1417" w:type="dxa"/>
            <w:tcBorders>
              <w:left w:val="single" w:sz="4" w:space="0" w:color="auto"/>
              <w:right w:val="single" w:sz="4" w:space="0" w:color="auto"/>
            </w:tcBorders>
          </w:tcPr>
          <w:p w14:paraId="2DCFC410" w14:textId="370A5E4D"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73.4</w:t>
            </w:r>
          </w:p>
        </w:tc>
        <w:tc>
          <w:tcPr>
            <w:tcW w:w="609" w:type="dxa"/>
            <w:tcBorders>
              <w:left w:val="single" w:sz="4" w:space="0" w:color="auto"/>
            </w:tcBorders>
          </w:tcPr>
          <w:p w14:paraId="33958935" w14:textId="3413771E"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NR</w:t>
            </w:r>
          </w:p>
        </w:tc>
      </w:tr>
      <w:tr w:rsidR="001A37E3" w:rsidRPr="00B4090F" w14:paraId="07359A1D" w14:textId="77777777" w:rsidTr="00CE562B">
        <w:tc>
          <w:tcPr>
            <w:tcW w:w="426" w:type="dxa"/>
          </w:tcPr>
          <w:p w14:paraId="4B7CADC6" w14:textId="1CA5CA0B" w:rsidR="001A37E3" w:rsidRDefault="001A37E3" w:rsidP="00950475">
            <w:pPr>
              <w:spacing w:line="480" w:lineRule="auto"/>
              <w:jc w:val="center"/>
              <w:rPr>
                <w:rFonts w:asciiTheme="majorHAnsi" w:eastAsia="Arial" w:hAnsiTheme="majorHAnsi" w:cstheme="majorHAnsi"/>
                <w:color w:val="000000"/>
                <w:sz w:val="16"/>
                <w:szCs w:val="16"/>
                <w:highlight w:val="white"/>
              </w:rPr>
            </w:pPr>
            <w:r>
              <w:rPr>
                <w:rFonts w:asciiTheme="majorHAnsi" w:eastAsia="Arial" w:hAnsiTheme="majorHAnsi" w:cstheme="majorHAnsi"/>
                <w:color w:val="000000"/>
                <w:sz w:val="16"/>
                <w:szCs w:val="16"/>
                <w:highlight w:val="white"/>
              </w:rPr>
              <w:t>18</w:t>
            </w:r>
          </w:p>
        </w:tc>
        <w:tc>
          <w:tcPr>
            <w:tcW w:w="709" w:type="dxa"/>
          </w:tcPr>
          <w:p w14:paraId="092370C1" w14:textId="6C57386B"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Male</w:t>
            </w:r>
          </w:p>
        </w:tc>
        <w:tc>
          <w:tcPr>
            <w:tcW w:w="709" w:type="dxa"/>
          </w:tcPr>
          <w:p w14:paraId="2FA95E34" w14:textId="7D413033" w:rsidR="001A37E3" w:rsidRPr="00B4090F"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53</w:t>
            </w:r>
          </w:p>
        </w:tc>
        <w:tc>
          <w:tcPr>
            <w:tcW w:w="709" w:type="dxa"/>
          </w:tcPr>
          <w:p w14:paraId="0F8FAC50" w14:textId="2C5D28FA" w:rsidR="001A37E3"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Index</w:t>
            </w:r>
          </w:p>
        </w:tc>
        <w:tc>
          <w:tcPr>
            <w:tcW w:w="567" w:type="dxa"/>
          </w:tcPr>
          <w:p w14:paraId="15D22E1D" w14:textId="64BDC24F" w:rsidR="001A37E3"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II</w:t>
            </w:r>
          </w:p>
        </w:tc>
        <w:tc>
          <w:tcPr>
            <w:tcW w:w="1134" w:type="dxa"/>
          </w:tcPr>
          <w:p w14:paraId="3A29D04B" w14:textId="3805F7C1" w:rsidR="001A37E3" w:rsidRDefault="0031411C"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Knife</w:t>
            </w:r>
          </w:p>
        </w:tc>
        <w:tc>
          <w:tcPr>
            <w:tcW w:w="720" w:type="dxa"/>
            <w:tcBorders>
              <w:right w:val="single" w:sz="4" w:space="0" w:color="auto"/>
            </w:tcBorders>
          </w:tcPr>
          <w:p w14:paraId="3B3FD917" w14:textId="06926B44" w:rsidR="001A37E3"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0 / 88</w:t>
            </w:r>
          </w:p>
        </w:tc>
        <w:tc>
          <w:tcPr>
            <w:tcW w:w="708" w:type="dxa"/>
            <w:tcBorders>
              <w:left w:val="single" w:sz="4" w:space="0" w:color="auto"/>
              <w:right w:val="single" w:sz="4" w:space="0" w:color="auto"/>
            </w:tcBorders>
          </w:tcPr>
          <w:p w14:paraId="1B7816EF" w14:textId="4B15291E" w:rsidR="001A37E3"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0/80</w:t>
            </w:r>
          </w:p>
        </w:tc>
        <w:tc>
          <w:tcPr>
            <w:tcW w:w="993" w:type="dxa"/>
            <w:tcBorders>
              <w:left w:val="single" w:sz="4" w:space="0" w:color="auto"/>
              <w:right w:val="single" w:sz="4" w:space="0" w:color="auto"/>
            </w:tcBorders>
          </w:tcPr>
          <w:p w14:paraId="69147E8D" w14:textId="2CE6F327" w:rsidR="001A37E3"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96</w:t>
            </w:r>
          </w:p>
        </w:tc>
        <w:tc>
          <w:tcPr>
            <w:tcW w:w="1134" w:type="dxa"/>
            <w:tcBorders>
              <w:left w:val="single" w:sz="4" w:space="0" w:color="auto"/>
              <w:right w:val="single" w:sz="4" w:space="0" w:color="auto"/>
            </w:tcBorders>
          </w:tcPr>
          <w:p w14:paraId="5247DC1C" w14:textId="70B75F14" w:rsidR="001A37E3"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Excellent</w:t>
            </w:r>
          </w:p>
        </w:tc>
        <w:tc>
          <w:tcPr>
            <w:tcW w:w="1417" w:type="dxa"/>
            <w:tcBorders>
              <w:left w:val="single" w:sz="4" w:space="0" w:color="auto"/>
              <w:right w:val="single" w:sz="4" w:space="0" w:color="auto"/>
            </w:tcBorders>
          </w:tcPr>
          <w:p w14:paraId="29D405CD" w14:textId="0E6FAF2D" w:rsidR="001A37E3"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NR</w:t>
            </w:r>
          </w:p>
        </w:tc>
        <w:tc>
          <w:tcPr>
            <w:tcW w:w="609" w:type="dxa"/>
            <w:tcBorders>
              <w:left w:val="single" w:sz="4" w:space="0" w:color="auto"/>
            </w:tcBorders>
          </w:tcPr>
          <w:p w14:paraId="45EF44F7" w14:textId="0C0B1628" w:rsidR="001A37E3" w:rsidRDefault="001A37E3" w:rsidP="00950475">
            <w:pPr>
              <w:spacing w:line="480" w:lineRule="auto"/>
              <w:jc w:val="center"/>
              <w:rPr>
                <w:rFonts w:asciiTheme="majorHAnsi" w:eastAsia="Arial" w:hAnsiTheme="majorHAnsi" w:cstheme="majorHAnsi"/>
                <w:color w:val="000000"/>
                <w:sz w:val="16"/>
                <w:szCs w:val="16"/>
              </w:rPr>
            </w:pPr>
            <w:r>
              <w:rPr>
                <w:rFonts w:asciiTheme="majorHAnsi" w:eastAsia="Arial" w:hAnsiTheme="majorHAnsi" w:cstheme="majorHAnsi"/>
                <w:color w:val="000000"/>
                <w:sz w:val="16"/>
                <w:szCs w:val="16"/>
              </w:rPr>
              <w:t>27.3</w:t>
            </w:r>
          </w:p>
        </w:tc>
      </w:tr>
    </w:tbl>
    <w:p w14:paraId="33150385" w14:textId="2FDBE338" w:rsidR="00F844B2" w:rsidRDefault="00F844B2" w:rsidP="00950475">
      <w:pPr>
        <w:spacing w:line="480" w:lineRule="auto"/>
        <w:jc w:val="center"/>
        <w:rPr>
          <w:rFonts w:asciiTheme="majorHAnsi" w:eastAsia="Arial" w:hAnsiTheme="majorHAnsi" w:cstheme="majorHAnsi"/>
        </w:rPr>
      </w:pPr>
    </w:p>
    <w:p w14:paraId="5B77BF7B" w14:textId="0C18BB11" w:rsidR="0057036F" w:rsidRDefault="00EA428C" w:rsidP="0057036F">
      <w:pPr>
        <w:spacing w:line="480" w:lineRule="auto"/>
        <w:rPr>
          <w:rFonts w:asciiTheme="majorHAnsi" w:eastAsia="Arial" w:hAnsiTheme="majorHAnsi" w:cstheme="majorHAnsi"/>
        </w:rPr>
      </w:pPr>
      <w:r>
        <w:rPr>
          <w:rFonts w:asciiTheme="majorHAnsi" w:eastAsia="Arial" w:hAnsiTheme="majorHAnsi" w:cstheme="majorHAnsi"/>
        </w:rPr>
        <w:t xml:space="preserve">AROM active range of movement; </w:t>
      </w:r>
      <w:r w:rsidR="00201131" w:rsidRPr="00EA428C">
        <w:rPr>
          <w:rFonts w:asciiTheme="majorHAnsi" w:eastAsia="Arial" w:hAnsiTheme="majorHAnsi" w:cstheme="majorHAnsi"/>
        </w:rPr>
        <w:t>DASH Disabilities of the Arm, Shoulder and Hand</w:t>
      </w:r>
      <w:r w:rsidR="00315C1E" w:rsidRPr="00EA428C">
        <w:rPr>
          <w:rFonts w:asciiTheme="majorHAnsi" w:eastAsia="Arial" w:hAnsiTheme="majorHAnsi" w:cstheme="majorHAnsi"/>
        </w:rPr>
        <w:t>;</w:t>
      </w:r>
      <w:r w:rsidR="00201131" w:rsidRPr="00EA428C">
        <w:rPr>
          <w:rFonts w:asciiTheme="majorHAnsi" w:eastAsia="Arial" w:hAnsiTheme="majorHAnsi" w:cstheme="majorHAnsi"/>
        </w:rPr>
        <w:t xml:space="preserve"> </w:t>
      </w:r>
      <w:proofErr w:type="spellStart"/>
      <w:r w:rsidRPr="00EA428C">
        <w:rPr>
          <w:rFonts w:asciiTheme="majorHAnsi" w:eastAsia="Arial" w:hAnsiTheme="majorHAnsi" w:cstheme="majorHAnsi"/>
        </w:rPr>
        <w:t>DIP</w:t>
      </w:r>
      <w:r w:rsidR="00F553C4">
        <w:rPr>
          <w:rFonts w:asciiTheme="majorHAnsi" w:eastAsia="Arial" w:hAnsiTheme="majorHAnsi" w:cstheme="majorHAnsi"/>
        </w:rPr>
        <w:t>J</w:t>
      </w:r>
      <w:proofErr w:type="spellEnd"/>
      <w:r w:rsidRPr="00EA428C">
        <w:rPr>
          <w:rFonts w:asciiTheme="majorHAnsi" w:eastAsia="Arial" w:hAnsiTheme="majorHAnsi" w:cstheme="majorHAnsi"/>
        </w:rPr>
        <w:t xml:space="preserve"> distal interphalangeal joint; </w:t>
      </w:r>
      <w:proofErr w:type="spellStart"/>
      <w:r w:rsidR="0050612E" w:rsidRPr="00EA428C">
        <w:rPr>
          <w:rFonts w:asciiTheme="majorHAnsi" w:eastAsia="Arial" w:hAnsiTheme="majorHAnsi" w:cstheme="majorHAnsi"/>
        </w:rPr>
        <w:t>PIP</w:t>
      </w:r>
      <w:r w:rsidR="00F553C4">
        <w:rPr>
          <w:rFonts w:asciiTheme="majorHAnsi" w:eastAsia="Arial" w:hAnsiTheme="majorHAnsi" w:cstheme="majorHAnsi"/>
        </w:rPr>
        <w:t>J</w:t>
      </w:r>
      <w:proofErr w:type="spellEnd"/>
      <w:r w:rsidR="0050612E" w:rsidRPr="00EA428C">
        <w:rPr>
          <w:rFonts w:asciiTheme="majorHAnsi" w:eastAsia="Arial" w:hAnsiTheme="majorHAnsi" w:cstheme="majorHAnsi"/>
        </w:rPr>
        <w:t xml:space="preserve"> proximal interphalangeal joint</w:t>
      </w:r>
      <w:r w:rsidR="00315C1E" w:rsidRPr="00EA428C">
        <w:rPr>
          <w:rFonts w:asciiTheme="majorHAnsi" w:eastAsia="Arial" w:hAnsiTheme="majorHAnsi" w:cstheme="majorHAnsi"/>
        </w:rPr>
        <w:t>;</w:t>
      </w:r>
      <w:r w:rsidRPr="00EA428C">
        <w:rPr>
          <w:rFonts w:asciiTheme="majorHAnsi" w:eastAsia="Arial" w:hAnsiTheme="majorHAnsi" w:cstheme="majorHAnsi"/>
        </w:rPr>
        <w:t xml:space="preserve"> NA not applicable; NR not reported;</w:t>
      </w:r>
      <w:r>
        <w:rPr>
          <w:rFonts w:asciiTheme="majorHAnsi" w:eastAsia="Arial" w:hAnsiTheme="majorHAnsi" w:cstheme="majorHAnsi"/>
        </w:rPr>
        <w:t xml:space="preserve"> Strickland Classification: </w:t>
      </w:r>
      <w:r w:rsidR="00047F9D" w:rsidRPr="00047F9D">
        <w:rPr>
          <w:rFonts w:asciiTheme="majorHAnsi" w:eastAsia="Arial" w:hAnsiTheme="majorHAnsi" w:cstheme="majorHAnsi"/>
        </w:rPr>
        <w:t>&lt;50% poor, 50-69% fair, 70-84% good, 85-100% excellent</w:t>
      </w:r>
      <w:r w:rsidR="00047F9D">
        <w:rPr>
          <w:rFonts w:asciiTheme="majorHAnsi" w:eastAsia="Arial" w:hAnsiTheme="majorHAnsi" w:cstheme="majorHAnsi"/>
        </w:rPr>
        <w:t xml:space="preserve"> </w:t>
      </w:r>
      <w:r w:rsidR="00047F9D">
        <w:rPr>
          <w:rFonts w:asciiTheme="majorHAnsi" w:eastAsia="Arial" w:hAnsiTheme="majorHAnsi" w:cstheme="majorHAnsi"/>
        </w:rPr>
        <w:fldChar w:fldCharType="begin" w:fldLock="1"/>
      </w:r>
      <w:r w:rsidR="002E1436">
        <w:rPr>
          <w:rFonts w:asciiTheme="majorHAnsi" w:eastAsia="Arial" w:hAnsiTheme="majorHAnsi" w:cstheme="majorHAnsi"/>
        </w:rPr>
        <w:instrText>ADDIN CSL_CITATION {"citationItems":[{"id":"ITEM-1","itemData":{"DOI":"10.1016/S0363-5023(80)80101-8","ISSN":"03635023","PMID":"7430595","abstract":"The performance of 50 consecutive digits in 37 patients was analyzed following flexor tendon repair in Zone 11. Twenty-five digits were managed by 3 1/2 weeks of immobilization followed by a program of gradually increased motion; 25 other digits by intermittent passive motion initiated within the first 5 days with active flexion commenced at 4 1/2 weeks. Results were graded according to the percentage of return of motion at the proximal and distal interphalangeal joints. There were four ruptures in the immobilization group with no excellent results, 12% being rated good, 28%fair, and 11% poor. In the digits managed by early mobilization there were 36% excellent, 20% good, 16% fair, 24% poor; there was one rupture in this group. Early passive motion appeared to be an effective technique to improve the results of flexor tendon repairs in this area. © 1980, American Society for Surgery of the Hand. All rights reserved.","author":[{"dropping-particle":"","family":"Strickland","given":"James W.","non-dropping-particle":"","parse-names":false,"suffix":""},{"dropping-particle":"","family":"Glogovac","given":"S. Vic","non-dropping-particle":"","parse-names":false,"suffix":""}],"container-title":"Journal of Hand Surgery","id":"ITEM-1","issue":"6","issued":{"date-parts":[["1980"]]},"page":"537-543","publisher":"American Society for Surgery of the Hand","title":"Digital function following flexor tendon repair in Zone II: A comparison of immobilization and controlled passive motion techniques","type":"article-journal","volume":"5"},"uris":["http://www.mendeley.com/documents/?uuid=5c1d69f7-0aec-4e0e-ac59-0bf7da35a9a2"]}],"mendeley":{"formattedCitation":"(19)","plainTextFormattedCitation":"(19)","previouslyFormattedCitation":"(19)"},"properties":{"noteIndex":0},"schema":"https://github.com/citation-style-language/schema/raw/master/csl-citation.json"}</w:instrText>
      </w:r>
      <w:r w:rsidR="00047F9D">
        <w:rPr>
          <w:rFonts w:asciiTheme="majorHAnsi" w:eastAsia="Arial" w:hAnsiTheme="majorHAnsi" w:cstheme="majorHAnsi"/>
        </w:rPr>
        <w:fldChar w:fldCharType="separate"/>
      </w:r>
      <w:r w:rsidR="002D5ADE" w:rsidRPr="002D5ADE">
        <w:rPr>
          <w:rFonts w:asciiTheme="majorHAnsi" w:eastAsia="Arial" w:hAnsiTheme="majorHAnsi" w:cstheme="majorHAnsi"/>
          <w:noProof/>
        </w:rPr>
        <w:t>(19)</w:t>
      </w:r>
      <w:r w:rsidR="00047F9D">
        <w:rPr>
          <w:rFonts w:asciiTheme="majorHAnsi" w:eastAsia="Arial" w:hAnsiTheme="majorHAnsi" w:cstheme="majorHAnsi"/>
        </w:rPr>
        <w:fldChar w:fldCharType="end"/>
      </w:r>
      <w:r w:rsidR="00047F9D">
        <w:rPr>
          <w:rFonts w:asciiTheme="majorHAnsi" w:eastAsia="Arial" w:hAnsiTheme="majorHAnsi" w:cstheme="majorHAnsi"/>
        </w:rPr>
        <w:t xml:space="preserve">; </w:t>
      </w:r>
      <w:r w:rsidR="00315C1E">
        <w:rPr>
          <w:rFonts w:asciiTheme="majorHAnsi" w:eastAsia="Arial" w:hAnsiTheme="majorHAnsi" w:cstheme="majorHAnsi"/>
        </w:rPr>
        <w:t xml:space="preserve">* </w:t>
      </w:r>
      <w:r>
        <w:rPr>
          <w:rFonts w:asciiTheme="majorHAnsi" w:eastAsia="Arial" w:hAnsiTheme="majorHAnsi" w:cstheme="majorHAnsi"/>
        </w:rPr>
        <w:t>tendon rupture</w:t>
      </w:r>
      <w:r w:rsidR="00382D54">
        <w:rPr>
          <w:rFonts w:asciiTheme="majorHAnsi" w:eastAsia="Arial" w:hAnsiTheme="majorHAnsi" w:cstheme="majorHAnsi"/>
        </w:rPr>
        <w:t xml:space="preserve">; ~ subsequent </w:t>
      </w:r>
      <w:proofErr w:type="spellStart"/>
      <w:r w:rsidR="00382D54">
        <w:rPr>
          <w:rFonts w:asciiTheme="majorHAnsi" w:eastAsia="Arial" w:hAnsiTheme="majorHAnsi" w:cstheme="majorHAnsi"/>
        </w:rPr>
        <w:t>tenolysis</w:t>
      </w:r>
      <w:proofErr w:type="spellEnd"/>
      <w:r w:rsidR="00382D54">
        <w:rPr>
          <w:rFonts w:asciiTheme="majorHAnsi" w:eastAsia="Arial" w:hAnsiTheme="majorHAnsi" w:cstheme="majorHAnsi"/>
        </w:rPr>
        <w:t xml:space="preserve"> procedure</w:t>
      </w:r>
      <w:r w:rsidR="00946585">
        <w:rPr>
          <w:rFonts w:asciiTheme="majorHAnsi" w:eastAsia="Arial" w:hAnsiTheme="majorHAnsi" w:cstheme="majorHAnsi"/>
        </w:rPr>
        <w:t>.</w:t>
      </w:r>
      <w:r w:rsidR="0057036F">
        <w:rPr>
          <w:rFonts w:asciiTheme="majorHAnsi" w:eastAsia="Arial" w:hAnsiTheme="majorHAnsi" w:cstheme="majorHAnsi"/>
        </w:rPr>
        <w:br w:type="page"/>
      </w:r>
    </w:p>
    <w:p w14:paraId="551A0879" w14:textId="72BB6ADC" w:rsidR="005F7BB5" w:rsidRDefault="002702D4" w:rsidP="00950475">
      <w:pPr>
        <w:spacing w:line="480" w:lineRule="auto"/>
        <w:rPr>
          <w:rFonts w:asciiTheme="majorHAnsi" w:eastAsia="Arial" w:hAnsiTheme="majorHAnsi" w:cstheme="majorHAnsi"/>
        </w:rPr>
      </w:pPr>
      <w:r>
        <w:rPr>
          <w:rFonts w:asciiTheme="majorHAnsi" w:eastAsia="Arial" w:hAnsiTheme="majorHAnsi" w:cstheme="majorHAnsi"/>
        </w:rPr>
        <w:lastRenderedPageBreak/>
        <w:t xml:space="preserve">In this cohort, </w:t>
      </w:r>
      <w:r w:rsidR="00D838CC">
        <w:rPr>
          <w:rFonts w:asciiTheme="majorHAnsi" w:eastAsia="Arial" w:hAnsiTheme="majorHAnsi" w:cstheme="majorHAnsi"/>
        </w:rPr>
        <w:t xml:space="preserve">three patients experienced surgical complications </w:t>
      </w:r>
      <w:r w:rsidR="00D838CC">
        <w:rPr>
          <w:rFonts w:asciiTheme="majorHAnsi" w:eastAsia="Arial" w:hAnsiTheme="majorHAnsi" w:cstheme="majorHAnsi"/>
        </w:rPr>
        <w:fldChar w:fldCharType="begin" w:fldLock="1"/>
      </w:r>
      <w:r w:rsidR="00A50831">
        <w:rPr>
          <w:rFonts w:asciiTheme="majorHAnsi" w:eastAsia="Arial" w:hAnsiTheme="majorHAnsi" w:cstheme="majorHAnsi"/>
        </w:rPr>
        <w:instrText>ADDIN CSL_CITATION {"citationItems":[{"id":"ITEM-1","itemData":{"author":[{"dropping-particle":"","family":"Dy","given":"CJ","non-dropping-particle":"","parse-names":false,"suffix":""},{"dropping-particle":"","family":"Hernandez-Soria","given":"A","non-dropping-particle":"","parse-names":false,"suffix":""},{"dropping-particle":"","family":"Ma","given":"Y","non-dropping-particle":"","parse-names":false,"suffix":""},{"dropping-particle":"","family":"Roberts","given":"TR","non-dropping-particle":"","parse-names":false,"suffix":""},{"dropping-particle":"","family":"Daluiski","given":"A","non-dropping-particle":"","parse-names":false,"suffix":""}],"container-title":"Journal of Hand Sugery [Am]","id":"ITEM-1","issue":"3","issued":{"date-parts":[["2012"]]},"page":"543-51","title":"Complications after flexor tendon repair: a systematic review and meta-analysis","type":"article-journal","volume":"37"},"uris":["http://www.mendeley.com/documents/?uuid=beade4f6-91ef-4aea-a92b-40fdd6099743"]}],"mendeley":{"formattedCitation":"(41)","plainTextFormattedCitation":"(41)","previouslyFormattedCitation":"(41)"},"properties":{"noteIndex":0},"schema":"https://github.com/citation-style-language/schema/raw/master/csl-citation.json"}</w:instrText>
      </w:r>
      <w:r w:rsidR="00D838CC">
        <w:rPr>
          <w:rFonts w:asciiTheme="majorHAnsi" w:eastAsia="Arial" w:hAnsiTheme="majorHAnsi" w:cstheme="majorHAnsi"/>
        </w:rPr>
        <w:fldChar w:fldCharType="separate"/>
      </w:r>
      <w:r w:rsidR="00D06ED5" w:rsidRPr="00D06ED5">
        <w:rPr>
          <w:rFonts w:asciiTheme="majorHAnsi" w:eastAsia="Arial" w:hAnsiTheme="majorHAnsi" w:cstheme="majorHAnsi"/>
          <w:noProof/>
        </w:rPr>
        <w:t>(41)</w:t>
      </w:r>
      <w:r w:rsidR="00D838CC">
        <w:rPr>
          <w:rFonts w:asciiTheme="majorHAnsi" w:eastAsia="Arial" w:hAnsiTheme="majorHAnsi" w:cstheme="majorHAnsi"/>
        </w:rPr>
        <w:fldChar w:fldCharType="end"/>
      </w:r>
      <w:r w:rsidR="00D838CC">
        <w:rPr>
          <w:rFonts w:asciiTheme="majorHAnsi" w:eastAsia="Arial" w:hAnsiTheme="majorHAnsi" w:cstheme="majorHAnsi"/>
        </w:rPr>
        <w:t xml:space="preserve">: </w:t>
      </w:r>
      <w:r>
        <w:rPr>
          <w:rFonts w:asciiTheme="majorHAnsi" w:eastAsia="Arial" w:hAnsiTheme="majorHAnsi" w:cstheme="majorHAnsi"/>
        </w:rPr>
        <w:t>t</w:t>
      </w:r>
      <w:r w:rsidR="0050612E">
        <w:rPr>
          <w:rFonts w:asciiTheme="majorHAnsi" w:eastAsia="Arial" w:hAnsiTheme="majorHAnsi" w:cstheme="majorHAnsi"/>
        </w:rPr>
        <w:t xml:space="preserve">wo patients experienced tendon rupture and one proceeded to require </w:t>
      </w:r>
      <w:proofErr w:type="spellStart"/>
      <w:r w:rsidR="0050612E">
        <w:rPr>
          <w:rFonts w:asciiTheme="majorHAnsi" w:eastAsia="Arial" w:hAnsiTheme="majorHAnsi" w:cstheme="majorHAnsi"/>
        </w:rPr>
        <w:t>tenolysis</w:t>
      </w:r>
      <w:proofErr w:type="spellEnd"/>
      <w:r w:rsidR="00FC2821">
        <w:rPr>
          <w:rFonts w:asciiTheme="majorHAnsi" w:eastAsia="Arial" w:hAnsiTheme="majorHAnsi" w:cstheme="majorHAnsi"/>
        </w:rPr>
        <w:t xml:space="preserve">. The </w:t>
      </w:r>
      <w:r w:rsidR="00EB5A30">
        <w:rPr>
          <w:rFonts w:asciiTheme="majorHAnsi" w:eastAsia="Arial" w:hAnsiTheme="majorHAnsi" w:cstheme="majorHAnsi"/>
        </w:rPr>
        <w:t>ruptures</w:t>
      </w:r>
      <w:r w:rsidR="0050612E">
        <w:rPr>
          <w:rFonts w:asciiTheme="majorHAnsi" w:eastAsia="Arial" w:hAnsiTheme="majorHAnsi" w:cstheme="majorHAnsi"/>
        </w:rPr>
        <w:t xml:space="preserve"> occurred in index and small fingers</w:t>
      </w:r>
      <w:r w:rsidR="00C71173">
        <w:rPr>
          <w:rFonts w:asciiTheme="majorHAnsi" w:eastAsia="Arial" w:hAnsiTheme="majorHAnsi" w:cstheme="majorHAnsi"/>
        </w:rPr>
        <w:t xml:space="preserve">. The index finger rupture occurred three weeks after surgery, </w:t>
      </w:r>
      <w:r w:rsidR="00FC2821">
        <w:rPr>
          <w:rFonts w:asciiTheme="majorHAnsi" w:eastAsia="Arial" w:hAnsiTheme="majorHAnsi" w:cstheme="majorHAnsi"/>
        </w:rPr>
        <w:t>potentially</w:t>
      </w:r>
      <w:r w:rsidR="0050612E">
        <w:rPr>
          <w:rFonts w:asciiTheme="majorHAnsi" w:eastAsia="Arial" w:hAnsiTheme="majorHAnsi" w:cstheme="majorHAnsi"/>
        </w:rPr>
        <w:t xml:space="preserve"> due to removal of the </w:t>
      </w:r>
      <w:proofErr w:type="spellStart"/>
      <w:r w:rsidR="0050612E">
        <w:rPr>
          <w:rFonts w:asciiTheme="majorHAnsi" w:eastAsia="Arial" w:hAnsiTheme="majorHAnsi" w:cstheme="majorHAnsi"/>
        </w:rPr>
        <w:t>RMF</w:t>
      </w:r>
      <w:proofErr w:type="spellEnd"/>
      <w:r w:rsidR="0050612E">
        <w:rPr>
          <w:rFonts w:asciiTheme="majorHAnsi" w:eastAsia="Arial" w:hAnsiTheme="majorHAnsi" w:cstheme="majorHAnsi"/>
        </w:rPr>
        <w:t xml:space="preserve"> orthosis at night</w:t>
      </w:r>
      <w:r w:rsidR="007C77E4">
        <w:rPr>
          <w:rFonts w:asciiTheme="majorHAnsi" w:eastAsia="Arial" w:hAnsiTheme="majorHAnsi" w:cstheme="majorHAnsi"/>
        </w:rPr>
        <w:t>, which highlights</w:t>
      </w:r>
      <w:r w:rsidR="00C71173">
        <w:rPr>
          <w:rFonts w:asciiTheme="majorHAnsi" w:eastAsia="Arial" w:hAnsiTheme="majorHAnsi" w:cstheme="majorHAnsi"/>
        </w:rPr>
        <w:t xml:space="preserve"> the importance of continued orthosis wear.</w:t>
      </w:r>
      <w:r w:rsidR="00F92259">
        <w:rPr>
          <w:rFonts w:asciiTheme="majorHAnsi" w:eastAsia="Arial" w:hAnsiTheme="majorHAnsi" w:cstheme="majorHAnsi"/>
        </w:rPr>
        <w:t xml:space="preserve"> T</w:t>
      </w:r>
      <w:r w:rsidR="00BF47EA">
        <w:rPr>
          <w:rFonts w:asciiTheme="majorHAnsi" w:eastAsia="Arial" w:hAnsiTheme="majorHAnsi" w:cstheme="majorHAnsi"/>
        </w:rPr>
        <w:t>he cause of the second rupture was un</w:t>
      </w:r>
      <w:r w:rsidR="0050612E">
        <w:rPr>
          <w:rFonts w:asciiTheme="majorHAnsi" w:eastAsia="Arial" w:hAnsiTheme="majorHAnsi" w:cstheme="majorHAnsi"/>
        </w:rPr>
        <w:t>known</w:t>
      </w:r>
      <w:r w:rsidR="00BF47EA">
        <w:rPr>
          <w:rFonts w:asciiTheme="majorHAnsi" w:eastAsia="Arial" w:hAnsiTheme="majorHAnsi" w:cstheme="majorHAnsi"/>
        </w:rPr>
        <w:t xml:space="preserve"> and occurred approximately </w:t>
      </w:r>
      <w:r w:rsidR="00F92259">
        <w:rPr>
          <w:rFonts w:asciiTheme="majorHAnsi" w:eastAsia="Arial" w:hAnsiTheme="majorHAnsi" w:cstheme="majorHAnsi"/>
        </w:rPr>
        <w:t>two</w:t>
      </w:r>
      <w:r w:rsidR="00BF47EA">
        <w:rPr>
          <w:rFonts w:asciiTheme="majorHAnsi" w:eastAsia="Arial" w:hAnsiTheme="majorHAnsi" w:cstheme="majorHAnsi"/>
        </w:rPr>
        <w:t xml:space="preserve"> weeks after surgery</w:t>
      </w:r>
      <w:r w:rsidR="0050612E">
        <w:rPr>
          <w:rFonts w:asciiTheme="majorHAnsi" w:eastAsia="Arial" w:hAnsiTheme="majorHAnsi" w:cstheme="majorHAnsi"/>
        </w:rPr>
        <w:t xml:space="preserve">. </w:t>
      </w:r>
      <w:r w:rsidR="00856F10">
        <w:rPr>
          <w:rFonts w:asciiTheme="majorHAnsi" w:eastAsia="Arial" w:hAnsiTheme="majorHAnsi" w:cstheme="majorHAnsi"/>
        </w:rPr>
        <w:t>The position o</w:t>
      </w:r>
      <w:r w:rsidR="00FC2821">
        <w:rPr>
          <w:rFonts w:asciiTheme="majorHAnsi" w:eastAsia="Arial" w:hAnsiTheme="majorHAnsi" w:cstheme="majorHAnsi"/>
        </w:rPr>
        <w:t>f</w:t>
      </w:r>
      <w:r w:rsidR="00BE7EDB">
        <w:rPr>
          <w:rFonts w:asciiTheme="majorHAnsi" w:eastAsia="Arial" w:hAnsiTheme="majorHAnsi" w:cstheme="majorHAnsi"/>
        </w:rPr>
        <w:t xml:space="preserve"> </w:t>
      </w:r>
      <w:proofErr w:type="spellStart"/>
      <w:r w:rsidR="00BE7EDB">
        <w:rPr>
          <w:rFonts w:asciiTheme="majorHAnsi" w:eastAsia="Arial" w:hAnsiTheme="majorHAnsi" w:cstheme="majorHAnsi"/>
        </w:rPr>
        <w:t>MCP</w:t>
      </w:r>
      <w:proofErr w:type="spellEnd"/>
      <w:r w:rsidR="00BE7EDB">
        <w:rPr>
          <w:rFonts w:asciiTheme="majorHAnsi" w:eastAsia="Arial" w:hAnsiTheme="majorHAnsi" w:cstheme="majorHAnsi"/>
        </w:rPr>
        <w:t xml:space="preserve"> joint differential </w:t>
      </w:r>
      <w:r w:rsidR="00856F10">
        <w:rPr>
          <w:rFonts w:asciiTheme="majorHAnsi" w:eastAsia="Arial" w:hAnsiTheme="majorHAnsi" w:cstheme="majorHAnsi"/>
        </w:rPr>
        <w:t xml:space="preserve">flexion </w:t>
      </w:r>
      <w:r w:rsidR="00FC2821">
        <w:rPr>
          <w:rFonts w:asciiTheme="majorHAnsi" w:eastAsia="Arial" w:hAnsiTheme="majorHAnsi" w:cstheme="majorHAnsi"/>
        </w:rPr>
        <w:t xml:space="preserve">for the small finger requires consideration, due to </w:t>
      </w:r>
      <w:r w:rsidR="003A4CBD">
        <w:rPr>
          <w:rFonts w:asciiTheme="majorHAnsi" w:eastAsia="Arial" w:hAnsiTheme="majorHAnsi" w:cstheme="majorHAnsi"/>
        </w:rPr>
        <w:t xml:space="preserve">the </w:t>
      </w:r>
      <w:r w:rsidR="00FC2821">
        <w:rPr>
          <w:rFonts w:asciiTheme="majorHAnsi" w:eastAsia="Arial" w:hAnsiTheme="majorHAnsi" w:cstheme="majorHAnsi"/>
        </w:rPr>
        <w:t>increased</w:t>
      </w:r>
      <w:r w:rsidR="00992562">
        <w:rPr>
          <w:rFonts w:asciiTheme="majorHAnsi" w:eastAsia="Arial" w:hAnsiTheme="majorHAnsi" w:cstheme="majorHAnsi"/>
        </w:rPr>
        <w:t xml:space="preserve"> mobility of the</w:t>
      </w:r>
      <w:r w:rsidR="00FC2821">
        <w:rPr>
          <w:rFonts w:asciiTheme="majorHAnsi" w:eastAsia="Arial" w:hAnsiTheme="majorHAnsi" w:cstheme="majorHAnsi"/>
        </w:rPr>
        <w:t xml:space="preserve"> </w:t>
      </w:r>
      <w:proofErr w:type="spellStart"/>
      <w:r w:rsidR="00FC2821">
        <w:rPr>
          <w:rFonts w:asciiTheme="majorHAnsi" w:eastAsia="Arial" w:hAnsiTheme="majorHAnsi" w:cstheme="majorHAnsi"/>
        </w:rPr>
        <w:t>MCP</w:t>
      </w:r>
      <w:proofErr w:type="spellEnd"/>
      <w:r w:rsidR="00992562">
        <w:rPr>
          <w:rFonts w:asciiTheme="majorHAnsi" w:eastAsia="Arial" w:hAnsiTheme="majorHAnsi" w:cstheme="majorHAnsi"/>
        </w:rPr>
        <w:t xml:space="preserve"> and carpometacarpal</w:t>
      </w:r>
      <w:r w:rsidR="00FC2821">
        <w:rPr>
          <w:rFonts w:asciiTheme="majorHAnsi" w:eastAsia="Arial" w:hAnsiTheme="majorHAnsi" w:cstheme="majorHAnsi"/>
        </w:rPr>
        <w:t xml:space="preserve"> joint</w:t>
      </w:r>
      <w:r w:rsidR="00992562">
        <w:rPr>
          <w:rFonts w:asciiTheme="majorHAnsi" w:eastAsia="Arial" w:hAnsiTheme="majorHAnsi" w:cstheme="majorHAnsi"/>
        </w:rPr>
        <w:t>s</w:t>
      </w:r>
      <w:r w:rsidR="003A4CBD">
        <w:rPr>
          <w:rFonts w:asciiTheme="majorHAnsi" w:eastAsia="Arial" w:hAnsiTheme="majorHAnsi" w:cstheme="majorHAnsi"/>
        </w:rPr>
        <w:t xml:space="preserve">. </w:t>
      </w:r>
      <w:r w:rsidR="00992562">
        <w:rPr>
          <w:rFonts w:asciiTheme="majorHAnsi" w:eastAsia="Arial" w:hAnsiTheme="majorHAnsi" w:cstheme="majorHAnsi"/>
        </w:rPr>
        <w:t>In addition, the small finger may be more vulnerable to accidental catching during function.</w:t>
      </w:r>
    </w:p>
    <w:p w14:paraId="1009BAA8" w14:textId="77777777" w:rsidR="005F7BB5" w:rsidRDefault="005F7BB5" w:rsidP="00950475">
      <w:pPr>
        <w:spacing w:line="480" w:lineRule="auto"/>
        <w:rPr>
          <w:rFonts w:asciiTheme="majorHAnsi" w:eastAsia="Arial" w:hAnsiTheme="majorHAnsi" w:cstheme="majorHAnsi"/>
        </w:rPr>
      </w:pPr>
    </w:p>
    <w:p w14:paraId="297C4BC6" w14:textId="06C55ACB" w:rsidR="00E6218F" w:rsidRDefault="005F7BB5" w:rsidP="00950475">
      <w:pPr>
        <w:spacing w:line="480" w:lineRule="auto"/>
        <w:rPr>
          <w:rFonts w:asciiTheme="majorHAnsi" w:eastAsia="Arial" w:hAnsiTheme="majorHAnsi" w:cstheme="majorHAnsi"/>
        </w:rPr>
      </w:pPr>
      <w:r>
        <w:rPr>
          <w:rFonts w:asciiTheme="majorHAnsi" w:eastAsia="Arial" w:hAnsiTheme="majorHAnsi" w:cstheme="majorHAnsi"/>
        </w:rPr>
        <w:t xml:space="preserve">Rupture after tendon repair is always a concern for hand </w:t>
      </w:r>
      <w:r w:rsidR="002702D4">
        <w:rPr>
          <w:rFonts w:asciiTheme="majorHAnsi" w:eastAsia="Arial" w:hAnsiTheme="majorHAnsi" w:cstheme="majorHAnsi"/>
        </w:rPr>
        <w:t>surgeons and hand therapists</w:t>
      </w:r>
      <w:r>
        <w:rPr>
          <w:rFonts w:asciiTheme="majorHAnsi" w:eastAsia="Arial" w:hAnsiTheme="majorHAnsi" w:cstheme="majorHAnsi"/>
        </w:rPr>
        <w:t xml:space="preserve">. </w:t>
      </w:r>
      <w:r w:rsidR="00C00F55">
        <w:rPr>
          <w:rFonts w:asciiTheme="majorHAnsi" w:eastAsia="Arial" w:hAnsiTheme="majorHAnsi" w:cstheme="majorHAnsi"/>
        </w:rPr>
        <w:t xml:space="preserve">A review of patients with acute repair rupture following zone I and II flexor tendon repairs suggested that half of ruptures “followed acts of stupidity” </w:t>
      </w:r>
      <w:r w:rsidR="00C00F55">
        <w:rPr>
          <w:rFonts w:asciiTheme="majorHAnsi" w:eastAsia="Arial" w:hAnsiTheme="majorHAnsi" w:cstheme="majorHAnsi"/>
        </w:rPr>
        <w:fldChar w:fldCharType="begin" w:fldLock="1"/>
      </w:r>
      <w:r w:rsidR="0043414D">
        <w:rPr>
          <w:rFonts w:asciiTheme="majorHAnsi" w:eastAsia="Arial" w:hAnsiTheme="majorHAnsi" w:cstheme="majorHAnsi"/>
        </w:rPr>
        <w:instrText>ADDIN CSL_CITATION {"citationItems":[{"id":"ITEM-1","itemData":{"DOI":"10.1054/jhsb.1998.0212","ISSN":"02667681","PMID":"10433435","abstract":"Five hundred and eight patients with 840 acute complete flexor tendon injuries in 605 fingers in zones 1 and 2 underwent surgery and postoperative mobilization in a controlled or early active motion (active flexion-active extension) regimen over a period of 7.5 years. Sixty-eight patients with 79 finger flexor divisions who did not complete the rehabilitation programme were excluded. Of the 440 patients with 728 complete tendon divisions in 526 fingers included in the study, 23 patients ruptured 28 tendon repair(s) in 23 fingers, an overall rupture rate of 4%. One hundred and twenty-nine fingers with zone 1 injuries had a rupture rate of 5%. Three hundred and ninety-seven fingers with zone 2 injuries had a rupture rate of 4%. This study analyses the 23 patients with flexor tendon rupture(s) to identify causative factors. In approximately half of these patients, tendon rupture followed acts of stupidity. The implications of this are discussed. There was no significant relationship between tendon rupture and the age or sex of the patients, smoking or delay between injury and tendon repair and there was no particular prevalence of zone 2C level injuries among the fingers in which tendon rupture occurred.","author":[{"dropping-particle":"","family":"Harris","given":"S. B.","non-dropping-particle":"","parse-names":false,"suffix":""},{"dropping-particle":"","family":"Harris","given":"D.","non-dropping-particle":"","parse-names":false,"suffix":""},{"dropping-particle":"","family":"Foster","given":"A. J.","non-dropping-particle":"","parse-names":false,"suffix":""},{"dropping-particle":"","family":"Elliot","given":"D.","non-dropping-particle":"","parse-names":false,"suffix":""}],"container-title":"Journal of Hand Surgery [Br]","id":"ITEM-1","issue":"3","issued":{"date-parts":[["1999"]]},"page":"275-280","title":"The aetiology of acute rupture of flexor tendon repairs in zones 1 and 2 ofthe fingers during early mobilization","type":"article-journal","volume":"24 B"},"uris":["http://www.mendeley.com/documents/?uuid=4bf50238-f5c3-4c42-826d-2d4291a10ae1"]}],"mendeley":{"formattedCitation":"(42)","plainTextFormattedCitation":"(42)","previouslyFormattedCitation":"(42)"},"properties":{"noteIndex":0},"schema":"https://github.com/citation-style-language/schema/raw/master/csl-citation.json"}</w:instrText>
      </w:r>
      <w:r w:rsidR="00C00F55">
        <w:rPr>
          <w:rFonts w:asciiTheme="majorHAnsi" w:eastAsia="Arial" w:hAnsiTheme="majorHAnsi" w:cstheme="majorHAnsi"/>
        </w:rPr>
        <w:fldChar w:fldCharType="separate"/>
      </w:r>
      <w:r w:rsidR="00D06ED5" w:rsidRPr="00D06ED5">
        <w:rPr>
          <w:rFonts w:asciiTheme="majorHAnsi" w:eastAsia="Arial" w:hAnsiTheme="majorHAnsi" w:cstheme="majorHAnsi"/>
          <w:noProof/>
        </w:rPr>
        <w:t>(42)</w:t>
      </w:r>
      <w:r w:rsidR="00C00F55">
        <w:rPr>
          <w:rFonts w:asciiTheme="majorHAnsi" w:eastAsia="Arial" w:hAnsiTheme="majorHAnsi" w:cstheme="majorHAnsi"/>
        </w:rPr>
        <w:fldChar w:fldCharType="end"/>
      </w:r>
      <w:r w:rsidR="00C00F55">
        <w:rPr>
          <w:rFonts w:asciiTheme="majorHAnsi" w:eastAsia="Arial" w:hAnsiTheme="majorHAnsi" w:cstheme="majorHAnsi"/>
        </w:rPr>
        <w:t xml:space="preserve"> p275</w:t>
      </w:r>
      <w:r w:rsidR="00D11B01">
        <w:rPr>
          <w:rFonts w:asciiTheme="majorHAnsi" w:eastAsia="Arial" w:hAnsiTheme="majorHAnsi" w:cstheme="majorHAnsi"/>
        </w:rPr>
        <w:t xml:space="preserve">. While the article makes uncomfortable reading due to the paternalistic </w:t>
      </w:r>
      <w:r w:rsidR="00D51484">
        <w:rPr>
          <w:rFonts w:asciiTheme="majorHAnsi" w:eastAsia="Arial" w:hAnsiTheme="majorHAnsi" w:cstheme="majorHAnsi"/>
        </w:rPr>
        <w:t>narrative</w:t>
      </w:r>
      <w:r w:rsidR="00D11B01">
        <w:rPr>
          <w:rFonts w:asciiTheme="majorHAnsi" w:eastAsia="Arial" w:hAnsiTheme="majorHAnsi" w:cstheme="majorHAnsi"/>
        </w:rPr>
        <w:t>, it does raise important points regarding information sharing, and what constitutes safe functional hand use.</w:t>
      </w:r>
      <w:r w:rsidR="00A74D7E">
        <w:rPr>
          <w:rFonts w:asciiTheme="majorHAnsi" w:eastAsia="Arial" w:hAnsiTheme="majorHAnsi" w:cstheme="majorHAnsi"/>
        </w:rPr>
        <w:t xml:space="preserve"> Used appropriately,</w:t>
      </w:r>
      <w:r w:rsidR="00D11B01">
        <w:rPr>
          <w:rFonts w:asciiTheme="majorHAnsi" w:eastAsia="Arial" w:hAnsiTheme="majorHAnsi" w:cstheme="majorHAnsi"/>
        </w:rPr>
        <w:t xml:space="preserve"> </w:t>
      </w:r>
      <w:proofErr w:type="spellStart"/>
      <w:r w:rsidR="009A5299">
        <w:rPr>
          <w:rFonts w:asciiTheme="majorHAnsi" w:eastAsia="Arial" w:hAnsiTheme="majorHAnsi" w:cstheme="majorHAnsi"/>
        </w:rPr>
        <w:t>RMF</w:t>
      </w:r>
      <w:proofErr w:type="spellEnd"/>
      <w:r w:rsidR="009A5299">
        <w:rPr>
          <w:rFonts w:asciiTheme="majorHAnsi" w:eastAsia="Arial" w:hAnsiTheme="majorHAnsi" w:cstheme="majorHAnsi"/>
        </w:rPr>
        <w:t xml:space="preserve"> orthoses may be a tool </w:t>
      </w:r>
      <w:r w:rsidR="00A74D7E">
        <w:rPr>
          <w:rFonts w:asciiTheme="majorHAnsi" w:eastAsia="Arial" w:hAnsiTheme="majorHAnsi" w:cstheme="majorHAnsi"/>
        </w:rPr>
        <w:t>to</w:t>
      </w:r>
      <w:r w:rsidR="009A5299">
        <w:rPr>
          <w:rFonts w:asciiTheme="majorHAnsi" w:eastAsia="Arial" w:hAnsiTheme="majorHAnsi" w:cstheme="majorHAnsi"/>
        </w:rPr>
        <w:t xml:space="preserve"> facilitate regular finger motion and tendon </w:t>
      </w:r>
      <w:proofErr w:type="gramStart"/>
      <w:r w:rsidR="009A5299">
        <w:rPr>
          <w:rFonts w:asciiTheme="majorHAnsi" w:eastAsia="Arial" w:hAnsiTheme="majorHAnsi" w:cstheme="majorHAnsi"/>
        </w:rPr>
        <w:t>gliding, and</w:t>
      </w:r>
      <w:proofErr w:type="gramEnd"/>
      <w:r w:rsidR="009A5299">
        <w:rPr>
          <w:rFonts w:asciiTheme="majorHAnsi" w:eastAsia="Arial" w:hAnsiTheme="majorHAnsi" w:cstheme="majorHAnsi"/>
        </w:rPr>
        <w:t xml:space="preserve"> could potentially reduce the incidence of tendon adhesions and secondary surgeries. </w:t>
      </w:r>
      <w:r w:rsidR="00245FF6">
        <w:rPr>
          <w:rFonts w:asciiTheme="majorHAnsi" w:eastAsia="Arial" w:hAnsiTheme="majorHAnsi" w:cstheme="majorHAnsi"/>
        </w:rPr>
        <w:t xml:space="preserve">Our impression is that patients are less likely to remove their </w:t>
      </w:r>
      <w:r w:rsidR="00D51484">
        <w:rPr>
          <w:rFonts w:asciiTheme="majorHAnsi" w:eastAsia="Arial" w:hAnsiTheme="majorHAnsi" w:cstheme="majorHAnsi"/>
        </w:rPr>
        <w:t>orthosis</w:t>
      </w:r>
      <w:r w:rsidR="00A74D7E">
        <w:rPr>
          <w:rFonts w:asciiTheme="majorHAnsi" w:eastAsia="Arial" w:hAnsiTheme="majorHAnsi" w:cstheme="majorHAnsi"/>
        </w:rPr>
        <w:t>, and more likely to mobilize their fingers</w:t>
      </w:r>
      <w:r w:rsidR="00A6359A">
        <w:rPr>
          <w:rFonts w:asciiTheme="majorHAnsi" w:eastAsia="Arial" w:hAnsiTheme="majorHAnsi" w:cstheme="majorHAnsi"/>
        </w:rPr>
        <w:t>,</w:t>
      </w:r>
      <w:r w:rsidR="00D51484">
        <w:rPr>
          <w:rFonts w:asciiTheme="majorHAnsi" w:eastAsia="Arial" w:hAnsiTheme="majorHAnsi" w:cstheme="majorHAnsi"/>
        </w:rPr>
        <w:t xml:space="preserve"> if they are aware of the </w:t>
      </w:r>
      <w:r w:rsidR="00A74D7E">
        <w:rPr>
          <w:rFonts w:asciiTheme="majorHAnsi" w:eastAsia="Arial" w:hAnsiTheme="majorHAnsi" w:cstheme="majorHAnsi"/>
        </w:rPr>
        <w:t xml:space="preserve">balance of </w:t>
      </w:r>
      <w:r w:rsidR="00D51484">
        <w:rPr>
          <w:rFonts w:asciiTheme="majorHAnsi" w:eastAsia="Arial" w:hAnsiTheme="majorHAnsi" w:cstheme="majorHAnsi"/>
        </w:rPr>
        <w:t xml:space="preserve">risks of </w:t>
      </w:r>
      <w:r w:rsidR="00A6359A">
        <w:rPr>
          <w:rFonts w:asciiTheme="majorHAnsi" w:eastAsia="Arial" w:hAnsiTheme="majorHAnsi" w:cstheme="majorHAnsi"/>
        </w:rPr>
        <w:t xml:space="preserve">tendon </w:t>
      </w:r>
      <w:r w:rsidR="00D51484">
        <w:rPr>
          <w:rFonts w:asciiTheme="majorHAnsi" w:eastAsia="Arial" w:hAnsiTheme="majorHAnsi" w:cstheme="majorHAnsi"/>
        </w:rPr>
        <w:t>rupture</w:t>
      </w:r>
      <w:r w:rsidR="00A74D7E">
        <w:rPr>
          <w:rFonts w:asciiTheme="majorHAnsi" w:eastAsia="Arial" w:hAnsiTheme="majorHAnsi" w:cstheme="majorHAnsi"/>
        </w:rPr>
        <w:t xml:space="preserve"> or</w:t>
      </w:r>
      <w:r w:rsidR="00A6359A">
        <w:rPr>
          <w:rFonts w:asciiTheme="majorHAnsi" w:eastAsia="Arial" w:hAnsiTheme="majorHAnsi" w:cstheme="majorHAnsi"/>
        </w:rPr>
        <w:t xml:space="preserve"> </w:t>
      </w:r>
      <w:r w:rsidR="00A74D7E">
        <w:rPr>
          <w:rFonts w:asciiTheme="majorHAnsi" w:eastAsia="Arial" w:hAnsiTheme="majorHAnsi" w:cstheme="majorHAnsi"/>
        </w:rPr>
        <w:t>adhesions. This requires</w:t>
      </w:r>
      <w:r w:rsidR="00D51484">
        <w:rPr>
          <w:rFonts w:asciiTheme="majorHAnsi" w:eastAsia="Arial" w:hAnsiTheme="majorHAnsi" w:cstheme="majorHAnsi"/>
        </w:rPr>
        <w:t xml:space="preserve"> personalized advice about safe functional hand use. </w:t>
      </w:r>
      <w:r w:rsidR="009A5299">
        <w:rPr>
          <w:rFonts w:asciiTheme="majorHAnsi" w:eastAsia="Arial" w:hAnsiTheme="majorHAnsi" w:cstheme="majorHAnsi"/>
        </w:rPr>
        <w:t xml:space="preserve"> </w:t>
      </w:r>
    </w:p>
    <w:p w14:paraId="613EB5CC" w14:textId="3DD14381" w:rsidR="003A4CBD" w:rsidRDefault="003A4CBD" w:rsidP="00950475">
      <w:pPr>
        <w:spacing w:line="480" w:lineRule="auto"/>
        <w:rPr>
          <w:rFonts w:asciiTheme="majorHAnsi" w:eastAsia="Arial" w:hAnsiTheme="majorHAnsi" w:cstheme="majorHAnsi"/>
        </w:rPr>
      </w:pPr>
    </w:p>
    <w:p w14:paraId="740F2D9F" w14:textId="27EC51D1" w:rsidR="00FF5D22" w:rsidRDefault="005B6A27" w:rsidP="00950475">
      <w:pPr>
        <w:spacing w:line="480" w:lineRule="auto"/>
        <w:rPr>
          <w:rFonts w:asciiTheme="majorHAnsi" w:eastAsia="Arial" w:hAnsiTheme="majorHAnsi" w:cstheme="majorHAnsi"/>
        </w:rPr>
      </w:pPr>
      <w:r>
        <w:rPr>
          <w:rFonts w:asciiTheme="majorHAnsi" w:eastAsia="Arial" w:hAnsiTheme="majorHAnsi" w:cstheme="majorHAnsi"/>
        </w:rPr>
        <w:lastRenderedPageBreak/>
        <w:t xml:space="preserve">The </w:t>
      </w:r>
      <w:r w:rsidR="00BF47EA">
        <w:rPr>
          <w:rFonts w:asciiTheme="majorHAnsi" w:eastAsia="Arial" w:hAnsiTheme="majorHAnsi" w:cstheme="majorHAnsi"/>
        </w:rPr>
        <w:t xml:space="preserve">clinical </w:t>
      </w:r>
      <w:r>
        <w:rPr>
          <w:rFonts w:asciiTheme="majorHAnsi" w:eastAsia="Arial" w:hAnsiTheme="majorHAnsi" w:cstheme="majorHAnsi"/>
        </w:rPr>
        <w:t>o</w:t>
      </w:r>
      <w:r w:rsidR="003A4CBD">
        <w:rPr>
          <w:rFonts w:asciiTheme="majorHAnsi" w:eastAsia="Arial" w:hAnsiTheme="majorHAnsi" w:cstheme="majorHAnsi"/>
        </w:rPr>
        <w:t>utcomes</w:t>
      </w:r>
      <w:r w:rsidR="00BF47EA">
        <w:rPr>
          <w:rFonts w:asciiTheme="majorHAnsi" w:eastAsia="Arial" w:hAnsiTheme="majorHAnsi" w:cstheme="majorHAnsi"/>
        </w:rPr>
        <w:t xml:space="preserve"> reported in this prospective case series</w:t>
      </w:r>
      <w:r w:rsidR="003A4CBD">
        <w:rPr>
          <w:rFonts w:asciiTheme="majorHAnsi" w:eastAsia="Arial" w:hAnsiTheme="majorHAnsi" w:cstheme="majorHAnsi"/>
        </w:rPr>
        <w:t xml:space="preserve"> were </w:t>
      </w:r>
      <w:r w:rsidR="00624FB6">
        <w:rPr>
          <w:rFonts w:asciiTheme="majorHAnsi" w:eastAsia="Arial" w:hAnsiTheme="majorHAnsi" w:cstheme="majorHAnsi"/>
        </w:rPr>
        <w:t xml:space="preserve">inferior to </w:t>
      </w:r>
      <w:r w:rsidR="003A4CBD">
        <w:rPr>
          <w:rFonts w:asciiTheme="majorHAnsi" w:eastAsia="Arial" w:hAnsiTheme="majorHAnsi" w:cstheme="majorHAnsi"/>
        </w:rPr>
        <w:t xml:space="preserve">those previously </w:t>
      </w:r>
      <w:r w:rsidR="00624FB6">
        <w:rPr>
          <w:rFonts w:asciiTheme="majorHAnsi" w:eastAsia="Arial" w:hAnsiTheme="majorHAnsi" w:cstheme="majorHAnsi"/>
        </w:rPr>
        <w:t>published</w:t>
      </w:r>
      <w:r w:rsidR="003A4CBD">
        <w:rPr>
          <w:rFonts w:asciiTheme="majorHAnsi" w:eastAsia="Arial" w:hAnsiTheme="majorHAnsi" w:cstheme="majorHAnsi"/>
        </w:rPr>
        <w:t xml:space="preserve"> </w:t>
      </w:r>
      <w:r>
        <w:rPr>
          <w:rFonts w:asciiTheme="majorHAnsi" w:eastAsia="Arial" w:hAnsiTheme="majorHAnsi" w:cstheme="majorHAnsi"/>
        </w:rPr>
        <w:t>by Henry and Howell, who had</w:t>
      </w:r>
      <w:r w:rsidR="003F27D2">
        <w:rPr>
          <w:rFonts w:asciiTheme="majorHAnsi" w:eastAsia="Arial" w:hAnsiTheme="majorHAnsi" w:cstheme="majorHAnsi"/>
        </w:rPr>
        <w:t xml:space="preserve"> retrospective </w:t>
      </w:r>
      <w:r>
        <w:rPr>
          <w:rFonts w:asciiTheme="majorHAnsi" w:eastAsia="Arial" w:hAnsiTheme="majorHAnsi" w:cstheme="majorHAnsi"/>
        </w:rPr>
        <w:t xml:space="preserve">data for eight patients. </w:t>
      </w:r>
      <w:r w:rsidR="00624FB6">
        <w:rPr>
          <w:rFonts w:asciiTheme="majorHAnsi" w:eastAsia="Arial" w:hAnsiTheme="majorHAnsi" w:cstheme="majorHAnsi"/>
        </w:rPr>
        <w:t xml:space="preserve">Henry and Howell </w:t>
      </w:r>
      <w:r w:rsidR="006C5374">
        <w:rPr>
          <w:rFonts w:asciiTheme="majorHAnsi" w:eastAsia="Arial" w:hAnsiTheme="majorHAnsi" w:cstheme="majorHAnsi"/>
        </w:rPr>
        <w:t>reported no ruptures or secondary surgeries</w:t>
      </w:r>
      <w:r w:rsidR="00624FB6">
        <w:rPr>
          <w:rFonts w:asciiTheme="majorHAnsi" w:eastAsia="Arial" w:hAnsiTheme="majorHAnsi" w:cstheme="majorHAnsi"/>
        </w:rPr>
        <w:t>,</w:t>
      </w:r>
      <w:r w:rsidR="006C5374">
        <w:rPr>
          <w:rFonts w:asciiTheme="majorHAnsi" w:eastAsia="Arial" w:hAnsiTheme="majorHAnsi" w:cstheme="majorHAnsi"/>
        </w:rPr>
        <w:t xml:space="preserve"> and</w:t>
      </w:r>
      <w:r w:rsidR="00624FB6">
        <w:rPr>
          <w:rFonts w:asciiTheme="majorHAnsi" w:eastAsia="Arial" w:hAnsiTheme="majorHAnsi" w:cstheme="majorHAnsi"/>
        </w:rPr>
        <w:t xml:space="preserve"> </w:t>
      </w:r>
      <w:r w:rsidR="006C5374">
        <w:rPr>
          <w:rFonts w:asciiTheme="majorHAnsi" w:eastAsia="Arial" w:hAnsiTheme="majorHAnsi" w:cstheme="majorHAnsi"/>
        </w:rPr>
        <w:t xml:space="preserve">mean grip strength </w:t>
      </w:r>
      <w:r w:rsidR="00624FB6">
        <w:rPr>
          <w:rFonts w:asciiTheme="majorHAnsi" w:eastAsia="Arial" w:hAnsiTheme="majorHAnsi" w:cstheme="majorHAnsi"/>
        </w:rPr>
        <w:t>was</w:t>
      </w:r>
      <w:r w:rsidR="006C5374">
        <w:rPr>
          <w:rFonts w:asciiTheme="majorHAnsi" w:eastAsia="Arial" w:hAnsiTheme="majorHAnsi" w:cstheme="majorHAnsi"/>
        </w:rPr>
        <w:t xml:space="preserve"> 90% of the unaffected side </w:t>
      </w:r>
      <w:r w:rsidR="006C5374">
        <w:rPr>
          <w:rFonts w:asciiTheme="majorHAnsi" w:eastAsia="Arial" w:hAnsiTheme="majorHAnsi" w:cstheme="majorHAnsi"/>
        </w:rPr>
        <w:fldChar w:fldCharType="begin" w:fldLock="1"/>
      </w:r>
      <w:r w:rsidR="00201131">
        <w:rPr>
          <w:rFonts w:asciiTheme="majorHAnsi" w:eastAsia="Arial" w:hAnsiTheme="majorHAnsi" w:cstheme="majorHAnsi"/>
        </w:rPr>
        <w:instrText>ADDIN CSL_CITATION {"citationItems":[{"id":"ITEM-1","itemData":{"DOI":"10.1016/j.jht.2019.05.002","ISSN":"0894-1130","author":[{"dropping-particle":"","family":"Henry","given":"Steven L","non-dropping-particle":"","parse-names":false,"suffix":""},{"dropping-particle":"","family":"Howell","given":"Julianne W","non-dropping-particle":"","parse-names":false,"suffix":""}],"container-title":"Journal of Hand Therapy","id":"ITEM-1","issue":"3","issued":{"date-parts":[["2020"]]},"page":"296-304","publisher":"Elsevier Inc","title":"Use of a relative motion flexion orthosis for postoperative management of zone I/II flexor digitorum profundus repair: A retrospective consecutive case series","type":"article-journal","volume":"33"},"uris":["http://www.mendeley.com/documents/?uuid=8cf4242d-792a-4604-a722-3df7e36780c9"]}],"mendeley":{"formattedCitation":"(8)","plainTextFormattedCitation":"(8)","previouslyFormattedCitation":"(8)"},"properties":{"noteIndex":0},"schema":"https://github.com/citation-style-language/schema/raw/master/csl-citation.json"}</w:instrText>
      </w:r>
      <w:r w:rsidR="006C5374">
        <w:rPr>
          <w:rFonts w:asciiTheme="majorHAnsi" w:eastAsia="Arial" w:hAnsiTheme="majorHAnsi" w:cstheme="majorHAnsi"/>
        </w:rPr>
        <w:fldChar w:fldCharType="separate"/>
      </w:r>
      <w:r w:rsidR="006C5374" w:rsidRPr="006C5374">
        <w:rPr>
          <w:rFonts w:asciiTheme="majorHAnsi" w:eastAsia="Arial" w:hAnsiTheme="majorHAnsi" w:cstheme="majorHAnsi"/>
          <w:noProof/>
        </w:rPr>
        <w:t>(8)</w:t>
      </w:r>
      <w:r w:rsidR="006C5374">
        <w:rPr>
          <w:rFonts w:asciiTheme="majorHAnsi" w:eastAsia="Arial" w:hAnsiTheme="majorHAnsi" w:cstheme="majorHAnsi"/>
        </w:rPr>
        <w:fldChar w:fldCharType="end"/>
      </w:r>
      <w:r w:rsidR="00624FB6">
        <w:rPr>
          <w:rFonts w:asciiTheme="majorHAnsi" w:eastAsia="Arial" w:hAnsiTheme="majorHAnsi" w:cstheme="majorHAnsi"/>
        </w:rPr>
        <w:t xml:space="preserve">. This compares with 72% </w:t>
      </w:r>
      <w:r w:rsidR="006C5374">
        <w:rPr>
          <w:rFonts w:asciiTheme="majorHAnsi" w:eastAsia="Arial" w:hAnsiTheme="majorHAnsi" w:cstheme="majorHAnsi"/>
        </w:rPr>
        <w:t xml:space="preserve">for the </w:t>
      </w:r>
      <w:r w:rsidR="00624FB6">
        <w:rPr>
          <w:rFonts w:asciiTheme="majorHAnsi" w:eastAsia="Arial" w:hAnsiTheme="majorHAnsi" w:cstheme="majorHAnsi"/>
        </w:rPr>
        <w:t>six</w:t>
      </w:r>
      <w:r w:rsidR="006C5374">
        <w:rPr>
          <w:rFonts w:asciiTheme="majorHAnsi" w:eastAsia="Arial" w:hAnsiTheme="majorHAnsi" w:cstheme="majorHAnsi"/>
        </w:rPr>
        <w:t xml:space="preserve"> pa</w:t>
      </w:r>
      <w:r w:rsidR="00624FB6">
        <w:rPr>
          <w:rFonts w:asciiTheme="majorHAnsi" w:eastAsia="Arial" w:hAnsiTheme="majorHAnsi" w:cstheme="majorHAnsi"/>
        </w:rPr>
        <w:t>tients with grip strength data</w:t>
      </w:r>
      <w:r w:rsidR="006C5374">
        <w:rPr>
          <w:rFonts w:asciiTheme="majorHAnsi" w:eastAsia="Arial" w:hAnsiTheme="majorHAnsi" w:cstheme="majorHAnsi"/>
        </w:rPr>
        <w:t xml:space="preserve"> in the current evaluation. Furthermore</w:t>
      </w:r>
      <w:r w:rsidR="005A1A3A">
        <w:rPr>
          <w:rFonts w:asciiTheme="majorHAnsi" w:eastAsia="Arial" w:hAnsiTheme="majorHAnsi" w:cstheme="majorHAnsi"/>
        </w:rPr>
        <w:t>,</w:t>
      </w:r>
      <w:r w:rsidR="006C5374">
        <w:rPr>
          <w:rFonts w:asciiTheme="majorHAnsi" w:eastAsia="Arial" w:hAnsiTheme="majorHAnsi" w:cstheme="majorHAnsi"/>
        </w:rPr>
        <w:t xml:space="preserve"> 63% of Henry and Howell’s participants achieved excellent or good </w:t>
      </w:r>
      <w:r w:rsidR="007E325B">
        <w:rPr>
          <w:rFonts w:asciiTheme="majorHAnsi" w:eastAsia="Arial" w:hAnsiTheme="majorHAnsi" w:cstheme="majorHAnsi"/>
        </w:rPr>
        <w:t xml:space="preserve">Strickland </w:t>
      </w:r>
      <w:r w:rsidR="006C5374">
        <w:rPr>
          <w:rFonts w:asciiTheme="majorHAnsi" w:eastAsia="Arial" w:hAnsiTheme="majorHAnsi" w:cstheme="majorHAnsi"/>
        </w:rPr>
        <w:t>range of movement classifications</w:t>
      </w:r>
      <w:r w:rsidR="00201131">
        <w:rPr>
          <w:rFonts w:asciiTheme="majorHAnsi" w:eastAsia="Arial" w:hAnsiTheme="majorHAnsi" w:cstheme="majorHAnsi"/>
        </w:rPr>
        <w:t xml:space="preserve"> </w:t>
      </w:r>
      <w:r w:rsidR="00201131">
        <w:rPr>
          <w:rFonts w:asciiTheme="majorHAnsi" w:eastAsia="Arial" w:hAnsiTheme="majorHAnsi" w:cstheme="majorHAnsi"/>
        </w:rPr>
        <w:fldChar w:fldCharType="begin" w:fldLock="1"/>
      </w:r>
      <w:r w:rsidR="002E1436">
        <w:rPr>
          <w:rFonts w:asciiTheme="majorHAnsi" w:eastAsia="Arial" w:hAnsiTheme="majorHAnsi" w:cstheme="majorHAnsi"/>
        </w:rPr>
        <w:instrText>ADDIN CSL_CITATION {"citationItems":[{"id":"ITEM-1","itemData":{"DOI":"10.1016/S0363-5023(80)80101-8","ISSN":"03635023","PMID":"7430595","abstract":"The performance of 50 consecutive digits in 37 patients was analyzed following flexor tendon repair in Zone 11. Twenty-five digits were managed by 3 1/2 weeks of immobilization followed by a program of gradually increased motion; 25 other digits by intermittent passive motion initiated within the first 5 days with active flexion commenced at 4 1/2 weeks. Results were graded according to the percentage of return of motion at the proximal and distal interphalangeal joints. There were four ruptures in the immobilization group with no excellent results, 12% being rated good, 28%fair, and 11% poor. In the digits managed by early mobilization there were 36% excellent, 20% good, 16% fair, 24% poor; there was one rupture in this group. Early passive motion appeared to be an effective technique to improve the results of flexor tendon repairs in this area. © 1980, American Society for Surgery of the Hand. All rights reserved.","author":[{"dropping-particle":"","family":"Strickland","given":"James W.","non-dropping-particle":"","parse-names":false,"suffix":""},{"dropping-particle":"","family":"Glogovac","given":"S. Vic","non-dropping-particle":"","parse-names":false,"suffix":""}],"container-title":"Journal of Hand Surgery","id":"ITEM-1","issue":"6","issued":{"date-parts":[["1980"]]},"page":"537-543","publisher":"American Society for Surgery of the Hand","title":"Digital function following flexor tendon repair in Zone II: A comparison of immobilization and controlled passive motion techniques","type":"article-journal","volume":"5"},"uris":["http://www.mendeley.com/documents/?uuid=5c1d69f7-0aec-4e0e-ac59-0bf7da35a9a2"]}],"mendeley":{"formattedCitation":"(19)","plainTextFormattedCitation":"(19)","previouslyFormattedCitation":"(19)"},"properties":{"noteIndex":0},"schema":"https://github.com/citation-style-language/schema/raw/master/csl-citation.json"}</w:instrText>
      </w:r>
      <w:r w:rsidR="00201131">
        <w:rPr>
          <w:rFonts w:asciiTheme="majorHAnsi" w:eastAsia="Arial" w:hAnsiTheme="majorHAnsi" w:cstheme="majorHAnsi"/>
        </w:rPr>
        <w:fldChar w:fldCharType="separate"/>
      </w:r>
      <w:r w:rsidR="002D5ADE" w:rsidRPr="002D5ADE">
        <w:rPr>
          <w:rFonts w:asciiTheme="majorHAnsi" w:eastAsia="Arial" w:hAnsiTheme="majorHAnsi" w:cstheme="majorHAnsi"/>
          <w:noProof/>
        </w:rPr>
        <w:t>(19)</w:t>
      </w:r>
      <w:r w:rsidR="00201131">
        <w:rPr>
          <w:rFonts w:asciiTheme="majorHAnsi" w:eastAsia="Arial" w:hAnsiTheme="majorHAnsi" w:cstheme="majorHAnsi"/>
        </w:rPr>
        <w:fldChar w:fldCharType="end"/>
      </w:r>
      <w:r w:rsidR="006C5374">
        <w:rPr>
          <w:rFonts w:asciiTheme="majorHAnsi" w:eastAsia="Arial" w:hAnsiTheme="majorHAnsi" w:cstheme="majorHAnsi"/>
        </w:rPr>
        <w:t xml:space="preserve">, compared with </w:t>
      </w:r>
      <w:r w:rsidR="00E0664E">
        <w:rPr>
          <w:rFonts w:asciiTheme="majorHAnsi" w:eastAsia="Arial" w:hAnsiTheme="majorHAnsi" w:cstheme="majorHAnsi"/>
        </w:rPr>
        <w:t>39</w:t>
      </w:r>
      <w:r w:rsidR="00201131">
        <w:rPr>
          <w:rFonts w:asciiTheme="majorHAnsi" w:eastAsia="Arial" w:hAnsiTheme="majorHAnsi" w:cstheme="majorHAnsi"/>
        </w:rPr>
        <w:t>% in the current evaluation.</w:t>
      </w:r>
      <w:r w:rsidR="004E6B3A">
        <w:rPr>
          <w:rFonts w:asciiTheme="majorHAnsi" w:eastAsia="Arial" w:hAnsiTheme="majorHAnsi" w:cstheme="majorHAnsi"/>
        </w:rPr>
        <w:t xml:space="preserve"> </w:t>
      </w:r>
      <w:bookmarkStart w:id="3" w:name="_Hlk117353575"/>
      <w:r w:rsidR="00020342">
        <w:rPr>
          <w:rFonts w:asciiTheme="majorHAnsi" w:eastAsia="Arial" w:hAnsiTheme="majorHAnsi" w:cstheme="majorHAnsi"/>
        </w:rPr>
        <w:t>Notably</w:t>
      </w:r>
      <w:r w:rsidR="0097234D">
        <w:rPr>
          <w:rFonts w:asciiTheme="majorHAnsi" w:eastAsia="Arial" w:hAnsiTheme="majorHAnsi" w:cstheme="majorHAnsi"/>
        </w:rPr>
        <w:t xml:space="preserve">, </w:t>
      </w:r>
      <w:r w:rsidR="00020342">
        <w:rPr>
          <w:rFonts w:asciiTheme="majorHAnsi" w:eastAsia="Arial" w:hAnsiTheme="majorHAnsi" w:cstheme="majorHAnsi"/>
        </w:rPr>
        <w:t xml:space="preserve">five patients </w:t>
      </w:r>
      <w:r w:rsidR="005A1A3A">
        <w:rPr>
          <w:rFonts w:asciiTheme="majorHAnsi" w:eastAsia="Arial" w:hAnsiTheme="majorHAnsi" w:cstheme="majorHAnsi"/>
        </w:rPr>
        <w:t xml:space="preserve">(36%) </w:t>
      </w:r>
      <w:r w:rsidR="00020342">
        <w:rPr>
          <w:rFonts w:asciiTheme="majorHAnsi" w:eastAsia="Arial" w:hAnsiTheme="majorHAnsi" w:cstheme="majorHAnsi"/>
        </w:rPr>
        <w:t xml:space="preserve">in the current evaluation </w:t>
      </w:r>
      <w:r w:rsidR="00AE0E12">
        <w:rPr>
          <w:rFonts w:asciiTheme="majorHAnsi" w:eastAsia="Arial" w:hAnsiTheme="majorHAnsi" w:cstheme="majorHAnsi"/>
        </w:rPr>
        <w:t>had</w:t>
      </w:r>
      <w:r w:rsidR="00020342">
        <w:rPr>
          <w:rFonts w:asciiTheme="majorHAnsi" w:eastAsia="Arial" w:hAnsiTheme="majorHAnsi" w:cstheme="majorHAnsi"/>
        </w:rPr>
        <w:t xml:space="preserve"> </w:t>
      </w:r>
      <w:r w:rsidR="005A1A3A">
        <w:rPr>
          <w:rFonts w:asciiTheme="majorHAnsi" w:eastAsia="Arial" w:hAnsiTheme="majorHAnsi" w:cstheme="majorHAnsi"/>
        </w:rPr>
        <w:t>&gt;</w:t>
      </w:r>
      <w:r w:rsidR="00020342">
        <w:rPr>
          <w:rFonts w:asciiTheme="majorHAnsi" w:eastAsia="Arial" w:hAnsiTheme="majorHAnsi" w:cstheme="majorHAnsi"/>
        </w:rPr>
        <w:t>5</w:t>
      </w:r>
      <w:r w:rsidR="00020342">
        <w:rPr>
          <w:rFonts w:ascii="Abadi" w:eastAsia="Arial" w:hAnsi="Abadi" w:cstheme="majorHAnsi"/>
        </w:rPr>
        <w:t>°</w:t>
      </w:r>
      <w:r w:rsidR="00020342">
        <w:rPr>
          <w:rFonts w:asciiTheme="majorHAnsi" w:eastAsia="Arial" w:hAnsiTheme="majorHAnsi" w:cstheme="majorHAnsi"/>
        </w:rPr>
        <w:t xml:space="preserve"> degrees extension deficit at the </w:t>
      </w:r>
      <w:r w:rsidR="0097234D">
        <w:rPr>
          <w:rFonts w:asciiTheme="majorHAnsi" w:eastAsia="Arial" w:hAnsiTheme="majorHAnsi" w:cstheme="majorHAnsi"/>
        </w:rPr>
        <w:t>PIP joint</w:t>
      </w:r>
      <w:r w:rsidR="005A1A3A">
        <w:rPr>
          <w:rFonts w:asciiTheme="majorHAnsi" w:eastAsia="Arial" w:hAnsiTheme="majorHAnsi" w:cstheme="majorHAnsi"/>
        </w:rPr>
        <w:t>, while all patients achieved full extension in the</w:t>
      </w:r>
      <w:r w:rsidR="005A1A3A" w:rsidRPr="001D31AF">
        <w:rPr>
          <w:rFonts w:asciiTheme="majorHAnsi" w:eastAsia="Arial" w:hAnsiTheme="majorHAnsi" w:cstheme="majorHAnsi"/>
        </w:rPr>
        <w:t xml:space="preserve"> series reported by Henry and Howell.</w:t>
      </w:r>
      <w:r w:rsidR="00577722" w:rsidRPr="001D31AF">
        <w:rPr>
          <w:rFonts w:asciiTheme="majorHAnsi" w:eastAsia="Arial" w:hAnsiTheme="majorHAnsi" w:cstheme="majorHAnsi"/>
        </w:rPr>
        <w:t xml:space="preserve"> </w:t>
      </w:r>
      <w:r w:rsidR="005A1A3A" w:rsidRPr="001D31AF">
        <w:rPr>
          <w:rFonts w:asciiTheme="majorHAnsi" w:eastAsia="Arial" w:hAnsiTheme="majorHAnsi" w:cstheme="majorHAnsi"/>
        </w:rPr>
        <w:t xml:space="preserve">The </w:t>
      </w:r>
      <w:r w:rsidR="00AE0E12" w:rsidRPr="001D31AF">
        <w:rPr>
          <w:rFonts w:asciiTheme="majorHAnsi" w:eastAsia="Arial" w:hAnsiTheme="majorHAnsi" w:cstheme="majorHAnsi"/>
        </w:rPr>
        <w:t xml:space="preserve">presence of PIP joint </w:t>
      </w:r>
      <w:r w:rsidR="005A1A3A" w:rsidRPr="001D31AF">
        <w:rPr>
          <w:rFonts w:asciiTheme="majorHAnsi" w:eastAsia="Arial" w:hAnsiTheme="majorHAnsi" w:cstheme="majorHAnsi"/>
        </w:rPr>
        <w:t>extension deficits reported</w:t>
      </w:r>
      <w:r w:rsidR="00AE0E12" w:rsidRPr="001D31AF">
        <w:rPr>
          <w:rFonts w:asciiTheme="majorHAnsi" w:eastAsia="Arial" w:hAnsiTheme="majorHAnsi" w:cstheme="majorHAnsi"/>
        </w:rPr>
        <w:t xml:space="preserve"> </w:t>
      </w:r>
      <w:r w:rsidR="005A1A3A" w:rsidRPr="001D31AF">
        <w:rPr>
          <w:rFonts w:asciiTheme="majorHAnsi" w:eastAsia="Arial" w:hAnsiTheme="majorHAnsi" w:cstheme="majorHAnsi"/>
        </w:rPr>
        <w:t xml:space="preserve">in the current </w:t>
      </w:r>
      <w:r w:rsidR="00AE0E12" w:rsidRPr="001D31AF">
        <w:rPr>
          <w:rFonts w:asciiTheme="majorHAnsi" w:eastAsia="Arial" w:hAnsiTheme="majorHAnsi" w:cstheme="majorHAnsi"/>
        </w:rPr>
        <w:t xml:space="preserve">evaluation are interesting given the hypothesized </w:t>
      </w:r>
      <w:r w:rsidR="00362226" w:rsidRPr="001D31AF">
        <w:rPr>
          <w:rFonts w:asciiTheme="majorHAnsi" w:eastAsia="Arial" w:hAnsiTheme="majorHAnsi" w:cstheme="majorHAnsi"/>
        </w:rPr>
        <w:t>benefit</w:t>
      </w:r>
      <w:r w:rsidR="00AE0E12" w:rsidRPr="001D31AF">
        <w:rPr>
          <w:rFonts w:asciiTheme="majorHAnsi" w:eastAsia="Arial" w:hAnsiTheme="majorHAnsi" w:cstheme="majorHAnsi"/>
        </w:rPr>
        <w:t xml:space="preserve"> of </w:t>
      </w:r>
      <w:proofErr w:type="spellStart"/>
      <w:r w:rsidR="00AE0E12" w:rsidRPr="001D31AF">
        <w:rPr>
          <w:rFonts w:asciiTheme="majorHAnsi" w:eastAsia="Arial" w:hAnsiTheme="majorHAnsi" w:cstheme="majorHAnsi"/>
        </w:rPr>
        <w:t>RMF</w:t>
      </w:r>
      <w:proofErr w:type="spellEnd"/>
      <w:r w:rsidR="00AE0E12" w:rsidRPr="001D31AF">
        <w:rPr>
          <w:rFonts w:asciiTheme="majorHAnsi" w:eastAsia="Arial" w:hAnsiTheme="majorHAnsi" w:cstheme="majorHAnsi"/>
        </w:rPr>
        <w:t xml:space="preserve"> orthoses </w:t>
      </w:r>
      <w:r w:rsidR="00362226" w:rsidRPr="001D31AF">
        <w:rPr>
          <w:rFonts w:asciiTheme="majorHAnsi" w:eastAsia="Arial" w:hAnsiTheme="majorHAnsi" w:cstheme="majorHAnsi"/>
        </w:rPr>
        <w:t>i</w:t>
      </w:r>
      <w:r w:rsidR="00AE0E12" w:rsidRPr="001D31AF">
        <w:rPr>
          <w:rFonts w:asciiTheme="majorHAnsi" w:eastAsia="Arial" w:hAnsiTheme="majorHAnsi" w:cstheme="majorHAnsi"/>
        </w:rPr>
        <w:t>n optimizing IP joint extension</w:t>
      </w:r>
      <w:r w:rsidR="00AE0E12">
        <w:rPr>
          <w:rFonts w:ascii="Abadi" w:eastAsia="Arial" w:hAnsi="Abadi" w:cstheme="majorHAnsi"/>
        </w:rPr>
        <w:t xml:space="preserve">. </w:t>
      </w:r>
      <w:bookmarkEnd w:id="3"/>
      <w:r w:rsidR="004E6B3A">
        <w:rPr>
          <w:rFonts w:asciiTheme="majorHAnsi" w:eastAsia="Arial" w:hAnsiTheme="majorHAnsi" w:cstheme="majorHAnsi"/>
        </w:rPr>
        <w:t xml:space="preserve">However, </w:t>
      </w:r>
      <w:r w:rsidR="007F3854">
        <w:rPr>
          <w:rFonts w:asciiTheme="majorHAnsi" w:eastAsia="Arial" w:hAnsiTheme="majorHAnsi" w:cstheme="majorHAnsi"/>
        </w:rPr>
        <w:t>direct comparison</w:t>
      </w:r>
      <w:r w:rsidR="00AE0E12">
        <w:rPr>
          <w:rFonts w:asciiTheme="majorHAnsi" w:eastAsia="Arial" w:hAnsiTheme="majorHAnsi" w:cstheme="majorHAnsi"/>
        </w:rPr>
        <w:t xml:space="preserve"> between the two patient populations</w:t>
      </w:r>
      <w:r w:rsidR="007F3854">
        <w:rPr>
          <w:rFonts w:asciiTheme="majorHAnsi" w:eastAsia="Arial" w:hAnsiTheme="majorHAnsi" w:cstheme="majorHAnsi"/>
        </w:rPr>
        <w:t xml:space="preserve"> is </w:t>
      </w:r>
      <w:r w:rsidR="004E6B3A">
        <w:rPr>
          <w:rFonts w:asciiTheme="majorHAnsi" w:eastAsia="Arial" w:hAnsiTheme="majorHAnsi" w:cstheme="majorHAnsi"/>
        </w:rPr>
        <w:t xml:space="preserve">not appropriate due to the </w:t>
      </w:r>
      <w:r w:rsidR="00AE0E12">
        <w:rPr>
          <w:rFonts w:asciiTheme="majorHAnsi" w:eastAsia="Arial" w:hAnsiTheme="majorHAnsi" w:cstheme="majorHAnsi"/>
        </w:rPr>
        <w:t>marked</w:t>
      </w:r>
      <w:r w:rsidR="00201131">
        <w:rPr>
          <w:rFonts w:asciiTheme="majorHAnsi" w:eastAsia="Arial" w:hAnsiTheme="majorHAnsi" w:cstheme="majorHAnsi"/>
        </w:rPr>
        <w:t xml:space="preserve"> difference</w:t>
      </w:r>
      <w:r w:rsidR="007F3854">
        <w:rPr>
          <w:rFonts w:asciiTheme="majorHAnsi" w:eastAsia="Arial" w:hAnsiTheme="majorHAnsi" w:cstheme="majorHAnsi"/>
        </w:rPr>
        <w:t>s in the</w:t>
      </w:r>
      <w:r w:rsidR="00201131">
        <w:rPr>
          <w:rFonts w:asciiTheme="majorHAnsi" w:eastAsia="Arial" w:hAnsiTheme="majorHAnsi" w:cstheme="majorHAnsi"/>
        </w:rPr>
        <w:t xml:space="preserve"> </w:t>
      </w:r>
      <w:r w:rsidR="004E6B3A">
        <w:rPr>
          <w:rFonts w:asciiTheme="majorHAnsi" w:eastAsia="Arial" w:hAnsiTheme="majorHAnsi" w:cstheme="majorHAnsi"/>
        </w:rPr>
        <w:t>timing</w:t>
      </w:r>
      <w:r w:rsidR="00201131">
        <w:rPr>
          <w:rFonts w:asciiTheme="majorHAnsi" w:eastAsia="Arial" w:hAnsiTheme="majorHAnsi" w:cstheme="majorHAnsi"/>
        </w:rPr>
        <w:t xml:space="preserve"> of data collection</w:t>
      </w:r>
      <w:r w:rsidR="004E6B3A">
        <w:rPr>
          <w:rFonts w:asciiTheme="majorHAnsi" w:eastAsia="Arial" w:hAnsiTheme="majorHAnsi" w:cstheme="majorHAnsi"/>
        </w:rPr>
        <w:t>. A</w:t>
      </w:r>
      <w:r w:rsidR="00201131">
        <w:rPr>
          <w:rFonts w:asciiTheme="majorHAnsi" w:eastAsia="Arial" w:hAnsiTheme="majorHAnsi" w:cstheme="majorHAnsi"/>
        </w:rPr>
        <w:t>ll data in the current evaluation</w:t>
      </w:r>
      <w:r w:rsidR="004E6B3A">
        <w:rPr>
          <w:rFonts w:asciiTheme="majorHAnsi" w:eastAsia="Arial" w:hAnsiTheme="majorHAnsi" w:cstheme="majorHAnsi"/>
        </w:rPr>
        <w:t xml:space="preserve"> was</w:t>
      </w:r>
      <w:r w:rsidR="00201131">
        <w:rPr>
          <w:rFonts w:asciiTheme="majorHAnsi" w:eastAsia="Arial" w:hAnsiTheme="majorHAnsi" w:cstheme="majorHAnsi"/>
        </w:rPr>
        <w:t xml:space="preserve"> collected ≤12 weeks after surgery, compared with </w:t>
      </w:r>
      <w:r w:rsidR="007F1B20">
        <w:rPr>
          <w:rFonts w:asciiTheme="majorHAnsi" w:eastAsia="Arial" w:hAnsiTheme="majorHAnsi" w:cstheme="majorHAnsi"/>
        </w:rPr>
        <w:t>five</w:t>
      </w:r>
      <w:r w:rsidR="00B913B1">
        <w:rPr>
          <w:rFonts w:asciiTheme="majorHAnsi" w:eastAsia="Arial" w:hAnsiTheme="majorHAnsi" w:cstheme="majorHAnsi"/>
        </w:rPr>
        <w:t xml:space="preserve"> months </w:t>
      </w:r>
      <w:r w:rsidR="007F1B20">
        <w:rPr>
          <w:rFonts w:asciiTheme="majorHAnsi" w:eastAsia="Arial" w:hAnsiTheme="majorHAnsi" w:cstheme="majorHAnsi"/>
        </w:rPr>
        <w:t>to six</w:t>
      </w:r>
      <w:r w:rsidR="00B913B1">
        <w:rPr>
          <w:rFonts w:asciiTheme="majorHAnsi" w:eastAsia="Arial" w:hAnsiTheme="majorHAnsi" w:cstheme="majorHAnsi"/>
        </w:rPr>
        <w:t xml:space="preserve"> years </w:t>
      </w:r>
      <w:r w:rsidR="00201131">
        <w:rPr>
          <w:rFonts w:asciiTheme="majorHAnsi" w:eastAsia="Arial" w:hAnsiTheme="majorHAnsi" w:cstheme="majorHAnsi"/>
        </w:rPr>
        <w:t>after surgery in the study by Henry and Howell</w:t>
      </w:r>
      <w:r w:rsidR="00B913B1">
        <w:rPr>
          <w:rFonts w:asciiTheme="majorHAnsi" w:eastAsia="Arial" w:hAnsiTheme="majorHAnsi" w:cstheme="majorHAnsi"/>
        </w:rPr>
        <w:t xml:space="preserve"> </w:t>
      </w:r>
      <w:r w:rsidR="00B913B1">
        <w:rPr>
          <w:rFonts w:asciiTheme="majorHAnsi" w:eastAsia="Arial" w:hAnsiTheme="majorHAnsi" w:cstheme="majorHAnsi"/>
        </w:rPr>
        <w:fldChar w:fldCharType="begin" w:fldLock="1"/>
      </w:r>
      <w:r w:rsidR="00E978D5">
        <w:rPr>
          <w:rFonts w:asciiTheme="majorHAnsi" w:eastAsia="Arial" w:hAnsiTheme="majorHAnsi" w:cstheme="majorHAnsi"/>
        </w:rPr>
        <w:instrText>ADDIN CSL_CITATION {"citationItems":[{"id":"ITEM-1","itemData":{"DOI":"10.1016/j.jht.2019.05.002","ISSN":"0894-1130","author":[{"dropping-particle":"","family":"Henry","given":"Steven L","non-dropping-particle":"","parse-names":false,"suffix":""},{"dropping-particle":"","family":"Howell","given":"Julianne W","non-dropping-particle":"","parse-names":false,"suffix":""}],"container-title":"Journal of Hand Therapy","id":"ITEM-1","issue":"3","issued":{"date-parts":[["2020"]]},"page":"296-304","publisher":"Elsevier Inc","title":"Use of a relative motion flexion orthosis for postoperative management of zone I/II flexor digitorum profundus repair: A retrospective consecutive case series","type":"article-journal","volume":"33"},"uris":["http://www.mendeley.com/documents/?uuid=8cf4242d-792a-4604-a722-3df7e36780c9"]}],"mendeley":{"formattedCitation":"(8)","plainTextFormattedCitation":"(8)","previouslyFormattedCitation":"(8)"},"properties":{"noteIndex":0},"schema":"https://github.com/citation-style-language/schema/raw/master/csl-citation.json"}</w:instrText>
      </w:r>
      <w:r w:rsidR="00B913B1">
        <w:rPr>
          <w:rFonts w:asciiTheme="majorHAnsi" w:eastAsia="Arial" w:hAnsiTheme="majorHAnsi" w:cstheme="majorHAnsi"/>
        </w:rPr>
        <w:fldChar w:fldCharType="separate"/>
      </w:r>
      <w:r w:rsidR="00B913B1" w:rsidRPr="00B913B1">
        <w:rPr>
          <w:rFonts w:asciiTheme="majorHAnsi" w:eastAsia="Arial" w:hAnsiTheme="majorHAnsi" w:cstheme="majorHAnsi"/>
          <w:noProof/>
        </w:rPr>
        <w:t>(8)</w:t>
      </w:r>
      <w:r w:rsidR="00B913B1">
        <w:rPr>
          <w:rFonts w:asciiTheme="majorHAnsi" w:eastAsia="Arial" w:hAnsiTheme="majorHAnsi" w:cstheme="majorHAnsi"/>
        </w:rPr>
        <w:fldChar w:fldCharType="end"/>
      </w:r>
      <w:r w:rsidR="00201131">
        <w:rPr>
          <w:rFonts w:asciiTheme="majorHAnsi" w:eastAsia="Arial" w:hAnsiTheme="majorHAnsi" w:cstheme="majorHAnsi"/>
        </w:rPr>
        <w:t xml:space="preserve">. </w:t>
      </w:r>
      <w:r w:rsidR="00B84ECD">
        <w:rPr>
          <w:rFonts w:asciiTheme="majorHAnsi" w:eastAsia="Arial" w:hAnsiTheme="majorHAnsi" w:cstheme="majorHAnsi"/>
        </w:rPr>
        <w:t xml:space="preserve">Furthermore, differences in cohort demographics, such as the mechanism </w:t>
      </w:r>
      <w:r w:rsidR="00FB7A6D">
        <w:rPr>
          <w:rFonts w:asciiTheme="majorHAnsi" w:eastAsia="Arial" w:hAnsiTheme="majorHAnsi" w:cstheme="majorHAnsi"/>
        </w:rPr>
        <w:t>and</w:t>
      </w:r>
      <w:r w:rsidR="00B84ECD">
        <w:rPr>
          <w:rFonts w:asciiTheme="majorHAnsi" w:eastAsia="Arial" w:hAnsiTheme="majorHAnsi" w:cstheme="majorHAnsi"/>
        </w:rPr>
        <w:t xml:space="preserve"> complexity of injury</w:t>
      </w:r>
      <w:r w:rsidR="00302607">
        <w:rPr>
          <w:rFonts w:asciiTheme="majorHAnsi" w:eastAsia="Arial" w:hAnsiTheme="majorHAnsi" w:cstheme="majorHAnsi"/>
        </w:rPr>
        <w:t>, age, and occupation</w:t>
      </w:r>
      <w:r w:rsidR="001D31AF">
        <w:rPr>
          <w:rFonts w:asciiTheme="majorHAnsi" w:eastAsia="Arial" w:hAnsiTheme="majorHAnsi" w:cstheme="majorHAnsi"/>
        </w:rPr>
        <w:t>,</w:t>
      </w:r>
      <w:r w:rsidR="00302607">
        <w:rPr>
          <w:rFonts w:asciiTheme="majorHAnsi" w:eastAsia="Arial" w:hAnsiTheme="majorHAnsi" w:cstheme="majorHAnsi"/>
        </w:rPr>
        <w:t xml:space="preserve"> may all have an impact on outcomes</w:t>
      </w:r>
      <w:r w:rsidR="004D5FC9">
        <w:rPr>
          <w:rFonts w:asciiTheme="majorHAnsi" w:eastAsia="Arial" w:hAnsiTheme="majorHAnsi" w:cstheme="majorHAnsi"/>
        </w:rPr>
        <w:t xml:space="preserve"> </w:t>
      </w:r>
      <w:r w:rsidR="004D5FC9">
        <w:rPr>
          <w:rFonts w:asciiTheme="majorHAnsi" w:eastAsia="Arial" w:hAnsiTheme="majorHAnsi" w:cstheme="majorHAnsi"/>
        </w:rPr>
        <w:fldChar w:fldCharType="begin" w:fldLock="1"/>
      </w:r>
      <w:r w:rsidR="00A50831">
        <w:rPr>
          <w:rFonts w:asciiTheme="majorHAnsi" w:eastAsia="Arial" w:hAnsiTheme="majorHAnsi" w:cstheme="majorHAnsi"/>
        </w:rPr>
        <w:instrText>ADDIN CSL_CITATION {"citationItems":[{"id":"ITEM-1","itemData":{"DOI":"10.1111/ans.17398","ISSN":"14452197","PMID":"34854200","abstract":"Background: Current evidence for flexor tendon repair management and outcomes performed at peripheral centres is unclear. Most studies are based on evidence from specialist hand centres. This study evaluated a peripheral hospital in New Zealand; where all flexor tendon repairs were performed by a generalist Orthopaedic service. The purpose of the study was to benchmark management and outcomes from a peripheral hospital in comparison to international standards. Methods: A retrospective single-centre consecutive case series of Zones I and II flexor tendon repairs was extracted between 1 January 2014 and 1 January 2018. Medical records were used to evaluate management and outcomes of repairs. Hand therapy notes were used to evaluate rehabilitation protocols provided. The primary objective was to measure re-rupture and re-operation rates. Secondary objectives included auditing operative management and hand therapy compliance. Results: Forty-six patients (76 tendon repairs) were included in our final analysis. Mean follow up time to last clinical appointment was 11.8 weeks, and to last patient episode was 4.9 years. Most patients received timely surgery with a four-core repair using 3–0 or larger suture. All hand therapy followed a controlled active motion protocol. The re-operation rate was 19.6% (P = &lt;0.05) and the re-rupture rate was 8.7% (P = 0.28). Conclusions: Most flexor tendon injuries at this peripheral centre were managed according to international standards. However, high complication rates including re-operation and re-rupture occurred. Due to a lack of local comparison studies, confounding factors cannot be excluded as a contributor for these results.","author":[{"dropping-particle":"","family":"Zhou","given":"Yuxuan","non-dropping-particle":"","parse-names":false,"suffix":""},{"dropping-particle":"","family":"Krishna","given":"Sanjeev","non-dropping-particle":"","parse-names":false,"suffix":""},{"dropping-particle":"","family":"Sharplin","given":"Paul Kenneth","non-dropping-particle":"","parse-names":false,"suffix":""}],"container-title":"ANZ Journal of Surgery","id":"ITEM-1","issue":"7-8","issued":{"date-parts":[["2022"]]},"page":"1668-1674","title":"Management and outcomes of flexor tendon repairs at a peripheral hospital: a New Zealand case series study","type":"article-journal","volume":"92"},"uris":["http://www.mendeley.com/documents/?uuid=0663d15c-a6b7-4811-a979-2ba9ca6d515f"]}],"mendeley":{"formattedCitation":"(43)","plainTextFormattedCitation":"(43)","previouslyFormattedCitation":"(43)"},"properties":{"noteIndex":0},"schema":"https://github.com/citation-style-language/schema/raw/master/csl-citation.json"}</w:instrText>
      </w:r>
      <w:r w:rsidR="004D5FC9">
        <w:rPr>
          <w:rFonts w:asciiTheme="majorHAnsi" w:eastAsia="Arial" w:hAnsiTheme="majorHAnsi" w:cstheme="majorHAnsi"/>
        </w:rPr>
        <w:fldChar w:fldCharType="separate"/>
      </w:r>
      <w:r w:rsidR="00D06ED5" w:rsidRPr="00D06ED5">
        <w:rPr>
          <w:rFonts w:asciiTheme="majorHAnsi" w:eastAsia="Arial" w:hAnsiTheme="majorHAnsi" w:cstheme="majorHAnsi"/>
          <w:noProof/>
        </w:rPr>
        <w:t>(43)</w:t>
      </w:r>
      <w:r w:rsidR="004D5FC9">
        <w:rPr>
          <w:rFonts w:asciiTheme="majorHAnsi" w:eastAsia="Arial" w:hAnsiTheme="majorHAnsi" w:cstheme="majorHAnsi"/>
        </w:rPr>
        <w:fldChar w:fldCharType="end"/>
      </w:r>
      <w:r w:rsidR="00302607">
        <w:rPr>
          <w:rFonts w:asciiTheme="majorHAnsi" w:eastAsia="Arial" w:hAnsiTheme="majorHAnsi" w:cstheme="majorHAnsi"/>
        </w:rPr>
        <w:t xml:space="preserve">. </w:t>
      </w:r>
    </w:p>
    <w:p w14:paraId="7B3E9D6D" w14:textId="2C2A57E8" w:rsidR="00F10750" w:rsidRDefault="00F10750" w:rsidP="00950475">
      <w:pPr>
        <w:spacing w:line="480" w:lineRule="auto"/>
        <w:rPr>
          <w:rFonts w:asciiTheme="majorHAnsi" w:eastAsia="Arial" w:hAnsiTheme="majorHAnsi" w:cstheme="majorHAnsi"/>
        </w:rPr>
      </w:pPr>
    </w:p>
    <w:p w14:paraId="6F7B3C1D" w14:textId="2A97E3D4" w:rsidR="00F10750" w:rsidRPr="00F10750" w:rsidRDefault="00F10750" w:rsidP="00950475">
      <w:pPr>
        <w:spacing w:line="480" w:lineRule="auto"/>
        <w:rPr>
          <w:rFonts w:asciiTheme="majorHAnsi" w:eastAsia="Arial" w:hAnsiTheme="majorHAnsi" w:cstheme="majorHAnsi"/>
        </w:rPr>
      </w:pPr>
      <w:r>
        <w:rPr>
          <w:rFonts w:asciiTheme="majorHAnsi" w:eastAsia="Arial" w:hAnsiTheme="majorHAnsi" w:cstheme="majorHAnsi"/>
        </w:rPr>
        <w:t xml:space="preserve">An additional study was presented at the International Federation </w:t>
      </w:r>
      <w:r w:rsidR="00351855">
        <w:rPr>
          <w:rFonts w:asciiTheme="majorHAnsi" w:eastAsia="Arial" w:hAnsiTheme="majorHAnsi" w:cstheme="majorHAnsi"/>
        </w:rPr>
        <w:t xml:space="preserve">of </w:t>
      </w:r>
      <w:r>
        <w:rPr>
          <w:rFonts w:asciiTheme="majorHAnsi" w:eastAsia="Arial" w:hAnsiTheme="majorHAnsi" w:cstheme="majorHAnsi"/>
        </w:rPr>
        <w:t xml:space="preserve">Societies </w:t>
      </w:r>
      <w:r w:rsidR="00351855">
        <w:rPr>
          <w:rFonts w:asciiTheme="majorHAnsi" w:eastAsia="Arial" w:hAnsiTheme="majorHAnsi" w:cstheme="majorHAnsi"/>
        </w:rPr>
        <w:t>for</w:t>
      </w:r>
      <w:r>
        <w:rPr>
          <w:rFonts w:asciiTheme="majorHAnsi" w:eastAsia="Arial" w:hAnsiTheme="majorHAnsi" w:cstheme="majorHAnsi"/>
        </w:rPr>
        <w:t xml:space="preserve"> Hand Therapy 2022 Congress. Hauri </w:t>
      </w:r>
      <w:r>
        <w:rPr>
          <w:rFonts w:asciiTheme="majorHAnsi" w:eastAsia="Arial" w:hAnsiTheme="majorHAnsi" w:cstheme="majorHAnsi"/>
          <w:i/>
          <w:iCs/>
        </w:rPr>
        <w:t xml:space="preserve">et al. </w:t>
      </w:r>
      <w:r>
        <w:rPr>
          <w:rFonts w:asciiTheme="majorHAnsi" w:eastAsia="Arial" w:hAnsiTheme="majorHAnsi" w:cstheme="majorHAnsi"/>
        </w:rPr>
        <w:t xml:space="preserve">compared outcomes for eight patients using </w:t>
      </w:r>
      <w:r w:rsidR="00BE7EDB">
        <w:rPr>
          <w:rFonts w:asciiTheme="majorHAnsi" w:eastAsia="Arial" w:hAnsiTheme="majorHAnsi" w:cstheme="majorHAnsi"/>
        </w:rPr>
        <w:t xml:space="preserve">the Manchester </w:t>
      </w:r>
      <w:r w:rsidR="00716CDE">
        <w:rPr>
          <w:rFonts w:asciiTheme="majorHAnsi" w:eastAsia="Arial" w:hAnsiTheme="majorHAnsi" w:cstheme="majorHAnsi"/>
        </w:rPr>
        <w:t>s</w:t>
      </w:r>
      <w:r w:rsidR="00BE7EDB">
        <w:rPr>
          <w:rFonts w:asciiTheme="majorHAnsi" w:eastAsia="Arial" w:hAnsiTheme="majorHAnsi" w:cstheme="majorHAnsi"/>
        </w:rPr>
        <w:t>hort</w:t>
      </w:r>
      <w:r w:rsidR="00716CDE">
        <w:rPr>
          <w:rFonts w:asciiTheme="majorHAnsi" w:eastAsia="Arial" w:hAnsiTheme="majorHAnsi" w:cstheme="majorHAnsi"/>
        </w:rPr>
        <w:t xml:space="preserve"> splint</w:t>
      </w:r>
      <w:r>
        <w:rPr>
          <w:rFonts w:asciiTheme="majorHAnsi" w:eastAsia="Arial" w:hAnsiTheme="majorHAnsi" w:cstheme="majorHAnsi"/>
        </w:rPr>
        <w:t xml:space="preserve">, three using the </w:t>
      </w:r>
      <w:proofErr w:type="spellStart"/>
      <w:r>
        <w:rPr>
          <w:rFonts w:asciiTheme="majorHAnsi" w:eastAsia="Arial" w:hAnsiTheme="majorHAnsi" w:cstheme="majorHAnsi"/>
        </w:rPr>
        <w:t>RMF</w:t>
      </w:r>
      <w:proofErr w:type="spellEnd"/>
      <w:r>
        <w:rPr>
          <w:rFonts w:asciiTheme="majorHAnsi" w:eastAsia="Arial" w:hAnsiTheme="majorHAnsi" w:cstheme="majorHAnsi"/>
        </w:rPr>
        <w:t xml:space="preserve"> orthosis and eight using a</w:t>
      </w:r>
      <w:r w:rsidR="00716CDE">
        <w:rPr>
          <w:rFonts w:asciiTheme="majorHAnsi" w:eastAsia="Arial" w:hAnsiTheme="majorHAnsi" w:cstheme="majorHAnsi"/>
        </w:rPr>
        <w:t xml:space="preserve"> dorsal-blocking</w:t>
      </w:r>
      <w:r>
        <w:rPr>
          <w:rFonts w:asciiTheme="majorHAnsi" w:eastAsia="Arial" w:hAnsiTheme="majorHAnsi" w:cstheme="majorHAnsi"/>
        </w:rPr>
        <w:t xml:space="preserve"> </w:t>
      </w:r>
      <w:proofErr w:type="spellStart"/>
      <w:r w:rsidR="00716CDE">
        <w:rPr>
          <w:rFonts w:asciiTheme="majorHAnsi" w:eastAsia="Arial" w:hAnsiTheme="majorHAnsi" w:cstheme="majorHAnsi"/>
        </w:rPr>
        <w:t>WHFO</w:t>
      </w:r>
      <w:proofErr w:type="spellEnd"/>
      <w:r w:rsidR="00716CDE">
        <w:rPr>
          <w:rFonts w:asciiTheme="majorHAnsi" w:eastAsia="Arial" w:hAnsiTheme="majorHAnsi" w:cstheme="majorHAnsi"/>
        </w:rPr>
        <w:t xml:space="preserve"> </w:t>
      </w:r>
      <w:r w:rsidR="00262117">
        <w:rPr>
          <w:rFonts w:asciiTheme="majorHAnsi" w:eastAsia="Arial" w:hAnsiTheme="majorHAnsi" w:cstheme="majorHAnsi"/>
        </w:rPr>
        <w:fldChar w:fldCharType="begin" w:fldLock="1"/>
      </w:r>
      <w:r w:rsidR="0043414D">
        <w:rPr>
          <w:rFonts w:asciiTheme="majorHAnsi" w:eastAsia="Arial" w:hAnsiTheme="majorHAnsi" w:cstheme="majorHAnsi"/>
        </w:rPr>
        <w:instrText>ADDIN CSL_CITATION {"citationItems":[{"id":"ITEM-1","itemData":{"author":[{"dropping-particle":"","family":"Hauri","given":"T","non-dropping-particle":"","parse-names":false,"suffix":""},{"dropping-particle":"","family":"Vogelin","given":"E","non-dropping-particle":"","parse-names":false,"suffix":""},{"dropping-particle":"","family":"Tobler","given":"B","non-dropping-particle":"","parse-names":false,"suffix":""}],"container-title":"Journal of Hand Surgery [Eur]","id":"ITEM-1","issue":"Suppl 1","issued":{"date-parts":[["2022"]]},"page":"S102","title":"First results of patients after flexor tendon injuries in zone I and II treated with the “Manchester Short Splint” and “Relative Motion Flexion” compared to the “Controlled Active Motion” protocol","type":"article-journal","volume":"47"},"uris":["http://www.mendeley.com/documents/?uuid=576bc8af-4edb-41b9-a694-127bbe4976ab"]}],"mendeley":{"formattedCitation":"(44)","plainTextFormattedCitation":"(44)","previouslyFormattedCitation":"(44)"},"properties":{"noteIndex":0},"schema":"https://github.com/citation-style-language/schema/raw/master/csl-citation.json"}</w:instrText>
      </w:r>
      <w:r w:rsidR="00262117">
        <w:rPr>
          <w:rFonts w:asciiTheme="majorHAnsi" w:eastAsia="Arial" w:hAnsiTheme="majorHAnsi" w:cstheme="majorHAnsi"/>
        </w:rPr>
        <w:fldChar w:fldCharType="separate"/>
      </w:r>
      <w:r w:rsidR="00D06ED5" w:rsidRPr="00D06ED5">
        <w:rPr>
          <w:rFonts w:asciiTheme="majorHAnsi" w:eastAsia="Arial" w:hAnsiTheme="majorHAnsi" w:cstheme="majorHAnsi"/>
          <w:noProof/>
        </w:rPr>
        <w:t>(44)</w:t>
      </w:r>
      <w:r w:rsidR="00262117">
        <w:rPr>
          <w:rFonts w:asciiTheme="majorHAnsi" w:eastAsia="Arial" w:hAnsiTheme="majorHAnsi" w:cstheme="majorHAnsi"/>
        </w:rPr>
        <w:fldChar w:fldCharType="end"/>
      </w:r>
      <w:r>
        <w:rPr>
          <w:rFonts w:asciiTheme="majorHAnsi" w:eastAsia="Arial" w:hAnsiTheme="majorHAnsi" w:cstheme="majorHAnsi"/>
        </w:rPr>
        <w:t xml:space="preserve">. </w:t>
      </w:r>
      <w:r w:rsidR="00E83401">
        <w:rPr>
          <w:rFonts w:asciiTheme="majorHAnsi" w:eastAsia="Arial" w:hAnsiTheme="majorHAnsi" w:cstheme="majorHAnsi"/>
        </w:rPr>
        <w:t>The</w:t>
      </w:r>
      <w:r w:rsidR="00351855">
        <w:rPr>
          <w:rFonts w:asciiTheme="majorHAnsi" w:eastAsia="Arial" w:hAnsiTheme="majorHAnsi" w:cstheme="majorHAnsi"/>
        </w:rPr>
        <w:t>re were</w:t>
      </w:r>
      <w:r w:rsidR="001B2270">
        <w:rPr>
          <w:rFonts w:asciiTheme="majorHAnsi" w:eastAsia="Arial" w:hAnsiTheme="majorHAnsi" w:cstheme="majorHAnsi"/>
        </w:rPr>
        <w:t xml:space="preserve"> </w:t>
      </w:r>
      <w:r w:rsidR="00E83401">
        <w:rPr>
          <w:rFonts w:asciiTheme="majorHAnsi" w:eastAsia="Arial" w:hAnsiTheme="majorHAnsi" w:cstheme="majorHAnsi"/>
        </w:rPr>
        <w:t>equivalent</w:t>
      </w:r>
      <w:r w:rsidR="001B2270">
        <w:rPr>
          <w:rFonts w:asciiTheme="majorHAnsi" w:eastAsia="Arial" w:hAnsiTheme="majorHAnsi" w:cstheme="majorHAnsi"/>
        </w:rPr>
        <w:t xml:space="preserve"> functional</w:t>
      </w:r>
      <w:r w:rsidR="00E83401">
        <w:rPr>
          <w:rFonts w:asciiTheme="majorHAnsi" w:eastAsia="Arial" w:hAnsiTheme="majorHAnsi" w:cstheme="majorHAnsi"/>
        </w:rPr>
        <w:t xml:space="preserve"> outcomes</w:t>
      </w:r>
      <w:r w:rsidR="001B2270">
        <w:rPr>
          <w:rFonts w:asciiTheme="majorHAnsi" w:eastAsia="Arial" w:hAnsiTheme="majorHAnsi" w:cstheme="majorHAnsi"/>
        </w:rPr>
        <w:t xml:space="preserve"> and no ruptures</w:t>
      </w:r>
      <w:r w:rsidR="00E83401">
        <w:rPr>
          <w:rFonts w:asciiTheme="majorHAnsi" w:eastAsia="Arial" w:hAnsiTheme="majorHAnsi" w:cstheme="majorHAnsi"/>
        </w:rPr>
        <w:t xml:space="preserve">. Interestingly, </w:t>
      </w:r>
      <w:r w:rsidR="00E83401">
        <w:rPr>
          <w:rFonts w:asciiTheme="majorHAnsi" w:eastAsia="Arial" w:hAnsiTheme="majorHAnsi" w:cstheme="majorHAnsi"/>
        </w:rPr>
        <w:lastRenderedPageBreak/>
        <w:t xml:space="preserve">the </w:t>
      </w:r>
      <w:proofErr w:type="spellStart"/>
      <w:r w:rsidR="00E83401">
        <w:rPr>
          <w:rFonts w:asciiTheme="majorHAnsi" w:eastAsia="Arial" w:hAnsiTheme="majorHAnsi" w:cstheme="majorHAnsi"/>
        </w:rPr>
        <w:t>RMF</w:t>
      </w:r>
      <w:proofErr w:type="spellEnd"/>
      <w:r w:rsidR="00E83401">
        <w:rPr>
          <w:rFonts w:asciiTheme="majorHAnsi" w:eastAsia="Arial" w:hAnsiTheme="majorHAnsi" w:cstheme="majorHAnsi"/>
        </w:rPr>
        <w:t xml:space="preserve"> group reported greater satisfaction recorded at 13 weeks after surgery (8.5/10 compared with 7/10 for the short orthosis and 6.6/10 for the long</w:t>
      </w:r>
      <w:r w:rsidR="00716CDE">
        <w:rPr>
          <w:rFonts w:asciiTheme="majorHAnsi" w:eastAsia="Arial" w:hAnsiTheme="majorHAnsi" w:cstheme="majorHAnsi"/>
        </w:rPr>
        <w:t>er</w:t>
      </w:r>
      <w:r w:rsidR="00E83401">
        <w:rPr>
          <w:rFonts w:asciiTheme="majorHAnsi" w:eastAsia="Arial" w:hAnsiTheme="majorHAnsi" w:cstheme="majorHAnsi"/>
        </w:rPr>
        <w:t xml:space="preserve"> orthosis)</w:t>
      </w:r>
      <w:r w:rsidR="00051851">
        <w:rPr>
          <w:rFonts w:asciiTheme="majorHAnsi" w:eastAsia="Arial" w:hAnsiTheme="majorHAnsi" w:cstheme="majorHAnsi"/>
        </w:rPr>
        <w:t xml:space="preserve"> </w:t>
      </w:r>
      <w:r w:rsidR="00051851">
        <w:rPr>
          <w:rFonts w:asciiTheme="majorHAnsi" w:eastAsia="Arial" w:hAnsiTheme="majorHAnsi" w:cstheme="majorHAnsi"/>
        </w:rPr>
        <w:fldChar w:fldCharType="begin" w:fldLock="1"/>
      </w:r>
      <w:r w:rsidR="0043414D">
        <w:rPr>
          <w:rFonts w:asciiTheme="majorHAnsi" w:eastAsia="Arial" w:hAnsiTheme="majorHAnsi" w:cstheme="majorHAnsi"/>
        </w:rPr>
        <w:instrText>ADDIN CSL_CITATION {"citationItems":[{"id":"ITEM-1","itemData":{"author":[{"dropping-particle":"","family":"Hauri","given":"T","non-dropping-particle":"","parse-names":false,"suffix":""},{"dropping-particle":"","family":"Vogelin","given":"E","non-dropping-particle":"","parse-names":false,"suffix":""},{"dropping-particle":"","family":"Tobler","given":"B","non-dropping-particle":"","parse-names":false,"suffix":""}],"container-title":"Journal of Hand Surgery [Eur]","id":"ITEM-1","issue":"Suppl 1","issued":{"date-parts":[["2022"]]},"page":"S102","title":"First results of patients after flexor tendon injuries in zone I and II treated with the “Manchester Short Splint” and “Relative Motion Flexion” compared to the “Controlled Active Motion” protocol","type":"article-journal","volume":"47"},"uris":["http://www.mendeley.com/documents/?uuid=576bc8af-4edb-41b9-a694-127bbe4976ab"]}],"mendeley":{"formattedCitation":"(44)","plainTextFormattedCitation":"(44)","previouslyFormattedCitation":"(44)"},"properties":{"noteIndex":0},"schema":"https://github.com/citation-style-language/schema/raw/master/csl-citation.json"}</w:instrText>
      </w:r>
      <w:r w:rsidR="00051851">
        <w:rPr>
          <w:rFonts w:asciiTheme="majorHAnsi" w:eastAsia="Arial" w:hAnsiTheme="majorHAnsi" w:cstheme="majorHAnsi"/>
        </w:rPr>
        <w:fldChar w:fldCharType="separate"/>
      </w:r>
      <w:r w:rsidR="00D06ED5" w:rsidRPr="00D06ED5">
        <w:rPr>
          <w:rFonts w:asciiTheme="majorHAnsi" w:eastAsia="Arial" w:hAnsiTheme="majorHAnsi" w:cstheme="majorHAnsi"/>
          <w:noProof/>
        </w:rPr>
        <w:t>(44)</w:t>
      </w:r>
      <w:r w:rsidR="00051851">
        <w:rPr>
          <w:rFonts w:asciiTheme="majorHAnsi" w:eastAsia="Arial" w:hAnsiTheme="majorHAnsi" w:cstheme="majorHAnsi"/>
        </w:rPr>
        <w:fldChar w:fldCharType="end"/>
      </w:r>
      <w:r w:rsidR="00E83401">
        <w:rPr>
          <w:rFonts w:asciiTheme="majorHAnsi" w:eastAsia="Arial" w:hAnsiTheme="majorHAnsi" w:cstheme="majorHAnsi"/>
        </w:rPr>
        <w:t xml:space="preserve">. </w:t>
      </w:r>
      <w:r>
        <w:rPr>
          <w:rFonts w:asciiTheme="majorHAnsi" w:eastAsia="Arial" w:hAnsiTheme="majorHAnsi" w:cstheme="majorHAnsi"/>
        </w:rPr>
        <w:t xml:space="preserve"> </w:t>
      </w:r>
    </w:p>
    <w:p w14:paraId="4900FEDE" w14:textId="463E6B9B" w:rsidR="00A51635" w:rsidRDefault="00A51635" w:rsidP="00950475">
      <w:pPr>
        <w:spacing w:line="480" w:lineRule="auto"/>
        <w:rPr>
          <w:rFonts w:asciiTheme="majorHAnsi" w:eastAsia="Arial" w:hAnsiTheme="majorHAnsi" w:cstheme="majorHAnsi"/>
        </w:rPr>
      </w:pPr>
    </w:p>
    <w:p w14:paraId="338E5537" w14:textId="6E9821EC" w:rsidR="00C638B9" w:rsidRDefault="00A51635" w:rsidP="00950475">
      <w:pPr>
        <w:spacing w:line="480" w:lineRule="auto"/>
        <w:rPr>
          <w:rFonts w:asciiTheme="majorHAnsi" w:eastAsia="Arial" w:hAnsiTheme="majorHAnsi" w:cstheme="majorHAnsi"/>
        </w:rPr>
      </w:pPr>
      <w:r>
        <w:rPr>
          <w:rFonts w:asciiTheme="majorHAnsi" w:eastAsia="Arial" w:hAnsiTheme="majorHAnsi" w:cstheme="majorHAnsi"/>
        </w:rPr>
        <w:t xml:space="preserve">The small </w:t>
      </w:r>
      <w:r w:rsidR="00764ED1">
        <w:rPr>
          <w:rFonts w:asciiTheme="majorHAnsi" w:eastAsia="Arial" w:hAnsiTheme="majorHAnsi" w:cstheme="majorHAnsi"/>
        </w:rPr>
        <w:t xml:space="preserve">sample sizes </w:t>
      </w:r>
      <w:r>
        <w:rPr>
          <w:rFonts w:asciiTheme="majorHAnsi" w:eastAsia="Arial" w:hAnsiTheme="majorHAnsi" w:cstheme="majorHAnsi"/>
        </w:rPr>
        <w:t>and</w:t>
      </w:r>
      <w:r w:rsidR="00764ED1">
        <w:rPr>
          <w:rFonts w:asciiTheme="majorHAnsi" w:eastAsia="Arial" w:hAnsiTheme="majorHAnsi" w:cstheme="majorHAnsi"/>
        </w:rPr>
        <w:t xml:space="preserve"> high rates of</w:t>
      </w:r>
      <w:r>
        <w:rPr>
          <w:rFonts w:asciiTheme="majorHAnsi" w:eastAsia="Arial" w:hAnsiTheme="majorHAnsi" w:cstheme="majorHAnsi"/>
        </w:rPr>
        <w:t xml:space="preserve"> missing data </w:t>
      </w:r>
      <w:r w:rsidR="00764ED1">
        <w:rPr>
          <w:rFonts w:asciiTheme="majorHAnsi" w:eastAsia="Arial" w:hAnsiTheme="majorHAnsi" w:cstheme="majorHAnsi"/>
        </w:rPr>
        <w:t>in the</w:t>
      </w:r>
      <w:r>
        <w:rPr>
          <w:rFonts w:asciiTheme="majorHAnsi" w:eastAsia="Arial" w:hAnsiTheme="majorHAnsi" w:cstheme="majorHAnsi"/>
        </w:rPr>
        <w:t xml:space="preserve"> existing </w:t>
      </w:r>
      <w:proofErr w:type="spellStart"/>
      <w:r>
        <w:rPr>
          <w:rFonts w:asciiTheme="majorHAnsi" w:eastAsia="Arial" w:hAnsiTheme="majorHAnsi" w:cstheme="majorHAnsi"/>
        </w:rPr>
        <w:t>RMF</w:t>
      </w:r>
      <w:proofErr w:type="spellEnd"/>
      <w:r>
        <w:rPr>
          <w:rFonts w:asciiTheme="majorHAnsi" w:eastAsia="Arial" w:hAnsiTheme="majorHAnsi" w:cstheme="majorHAnsi"/>
        </w:rPr>
        <w:t xml:space="preserve"> studies make it inappropriate to establish definitive clinical guidance based on the available </w:t>
      </w:r>
      <w:r w:rsidR="00764ED1">
        <w:rPr>
          <w:rFonts w:asciiTheme="majorHAnsi" w:eastAsia="Arial" w:hAnsiTheme="majorHAnsi" w:cstheme="majorHAnsi"/>
        </w:rPr>
        <w:t>evidence. We welcome strategies to consistently collect patient reported outcome measures and ensure documenta</w:t>
      </w:r>
      <w:r w:rsidR="005C2016">
        <w:rPr>
          <w:rFonts w:asciiTheme="majorHAnsi" w:eastAsia="Arial" w:hAnsiTheme="majorHAnsi" w:cstheme="majorHAnsi"/>
        </w:rPr>
        <w:t>tion</w:t>
      </w:r>
      <w:r w:rsidR="00764ED1">
        <w:rPr>
          <w:rFonts w:asciiTheme="majorHAnsi" w:eastAsia="Arial" w:hAnsiTheme="majorHAnsi" w:cstheme="majorHAnsi"/>
        </w:rPr>
        <w:t xml:space="preserve"> of contra-lateral movement and strength assessments</w:t>
      </w:r>
      <w:r w:rsidR="00E16456">
        <w:rPr>
          <w:rFonts w:asciiTheme="majorHAnsi" w:eastAsia="Arial" w:hAnsiTheme="majorHAnsi" w:cstheme="majorHAnsi"/>
        </w:rPr>
        <w:t xml:space="preserve">, such as </w:t>
      </w:r>
      <w:r w:rsidR="00F47212">
        <w:rPr>
          <w:rFonts w:asciiTheme="majorHAnsi" w:eastAsia="Arial" w:hAnsiTheme="majorHAnsi" w:cstheme="majorHAnsi"/>
        </w:rPr>
        <w:t>the</w:t>
      </w:r>
      <w:r w:rsidR="001D31AF">
        <w:rPr>
          <w:rFonts w:asciiTheme="majorHAnsi" w:eastAsia="Arial" w:hAnsiTheme="majorHAnsi" w:cstheme="majorHAnsi"/>
        </w:rPr>
        <w:t xml:space="preserve"> electronic system reported by </w:t>
      </w:r>
      <w:r w:rsidR="00E16456">
        <w:rPr>
          <w:rFonts w:asciiTheme="majorHAnsi" w:eastAsia="Arial" w:hAnsiTheme="majorHAnsi" w:cstheme="majorHAnsi"/>
        </w:rPr>
        <w:t xml:space="preserve">Selles et al. </w:t>
      </w:r>
      <w:r w:rsidR="00E16456">
        <w:rPr>
          <w:rFonts w:asciiTheme="majorHAnsi" w:eastAsia="Arial" w:hAnsiTheme="majorHAnsi" w:cstheme="majorHAnsi"/>
        </w:rPr>
        <w:fldChar w:fldCharType="begin" w:fldLock="1"/>
      </w:r>
      <w:r w:rsidR="00A50831">
        <w:rPr>
          <w:rFonts w:asciiTheme="majorHAnsi" w:eastAsia="Arial" w:hAnsiTheme="majorHAnsi" w:cstheme="majorHAnsi"/>
        </w:rPr>
        <w:instrText>ADDIN CSL_CITATION {"citationItems":[{"id":"ITEM-1","itemData":{"DOI":"10.1097/PRS.0000000000007008","ISBN":"0000000000","ISSN":"00321052","PMID":"32740587","abstract":"Routine measurement of outcome of clinical care is increasingly considered important, but implementation in practice is challenging. This article describes (1) how the authors created and implemented a routine outcome measurement cohort of patients with hand and wrist conditions and (2) how these data are used to improve the quality of care and facilitate scientific research. Starting in 2011, routine outcome measurement was implemented at all practice sites (currently 22) of a specialized treatment center for hand and wrist conditions across The Netherlands. The authors developed five \"measurement tracks,\"including measurements administered at predetermined time points covering all hand and wrist disorders and treatments. An online system automatically distributes measurements among patients, which can be accessed by health care professionals. Using this system, the total number of yearly assigned tracks increased up to over 16,500 in 2018, adding up to 85,000 tracks in 52,000 patients in total. All surgeons, therapists, and other staff have direct access to individual patient data and patients have access to their treatment information using a secure patient portal. The data serve as a basis for studies on, among others, comparative effectiveness, prediction modeling, and clinimetric analyses. In conclusion, the authors present the design and successful implementation of a routine outcome measurement system that was made feasible using a highly automated data collection infrastructure, tightly linked to the patient journey and the workflow of health care professionals. The system serves not only as a tool to improve care but also as a basis for scientific research studies.","author":[{"dropping-particle":"","family":"Selles","given":"Ruud W.","non-dropping-particle":"","parse-names":false,"suffix":""},{"dropping-particle":"","family":"Wouters","given":"Robbert M.","non-dropping-particle":"","parse-names":false,"suffix":""},{"dropping-particle":"","family":"Poelstra","given":"Ralph","non-dropping-particle":"","parse-names":false,"suffix":""},{"dropping-particle":"","family":"Oest","given":"Mark J.W.","non-dropping-particle":"Van Der","parse-names":false,"suffix":""},{"dropping-particle":"","family":"Porsius","given":"Jarry T.","non-dropping-particle":"","parse-names":false,"suffix":""},{"dropping-particle":"","family":"Hovius","given":"Steven E.R.","non-dropping-particle":"","parse-names":false,"suffix":""},{"dropping-particle":"","family":"Moojen","given":"Thybout M.","non-dropping-particle":"","parse-names":false,"suffix":""},{"dropping-particle":"","family":"Kooij","given":"Yara","non-dropping-particle":"Van","parse-names":false,"suffix":""},{"dropping-particle":"","family":"Pennehouat","given":"Pierre Yves","non-dropping-particle":"","parse-names":false,"suffix":""},{"dropping-particle":"","family":"Huis","given":"Rob","non-dropping-particle":"Van","parse-names":false,"suffix":""},{"dropping-particle":"","family":"Vermeulen","given":"Guus M.","non-dropping-particle":"","parse-names":false,"suffix":""},{"dropping-particle":"","family":"Feitz","given":"Reinier","non-dropping-particle":"","parse-names":false,"suffix":""},{"dropping-particle":"","family":"Slijper","given":"Harm P.","non-dropping-particle":"","parse-names":false,"suffix":""}],"container-title":"Plastic and Reconstructive Surgery","id":"ITEM-1","issue":"2","issued":{"date-parts":[["2020"]]},"page":"343-354","title":"Routine Health Outcome Measurement: Development, Design, and Implementation of the Hand and Wrist Cohort","type":"article-journal","volume":"146"},"uris":["http://www.mendeley.com/documents/?uuid=8931ebb6-fd68-4f1a-bb5f-e047f0938a3d"]}],"mendeley":{"formattedCitation":"(45)","plainTextFormattedCitation":"(45)","previouslyFormattedCitation":"(45)"},"properties":{"noteIndex":0},"schema":"https://github.com/citation-style-language/schema/raw/master/csl-citation.json"}</w:instrText>
      </w:r>
      <w:r w:rsidR="00E16456">
        <w:rPr>
          <w:rFonts w:asciiTheme="majorHAnsi" w:eastAsia="Arial" w:hAnsiTheme="majorHAnsi" w:cstheme="majorHAnsi"/>
        </w:rPr>
        <w:fldChar w:fldCharType="separate"/>
      </w:r>
      <w:r w:rsidR="00D06ED5" w:rsidRPr="00D06ED5">
        <w:rPr>
          <w:rFonts w:asciiTheme="majorHAnsi" w:eastAsia="Arial" w:hAnsiTheme="majorHAnsi" w:cstheme="majorHAnsi"/>
          <w:noProof/>
        </w:rPr>
        <w:t>(45)</w:t>
      </w:r>
      <w:r w:rsidR="00E16456">
        <w:rPr>
          <w:rFonts w:asciiTheme="majorHAnsi" w:eastAsia="Arial" w:hAnsiTheme="majorHAnsi" w:cstheme="majorHAnsi"/>
        </w:rPr>
        <w:fldChar w:fldCharType="end"/>
      </w:r>
      <w:r w:rsidR="00764ED1">
        <w:rPr>
          <w:rFonts w:asciiTheme="majorHAnsi" w:eastAsia="Arial" w:hAnsiTheme="majorHAnsi" w:cstheme="majorHAnsi"/>
        </w:rPr>
        <w:t xml:space="preserve">. </w:t>
      </w:r>
    </w:p>
    <w:p w14:paraId="59AF9924" w14:textId="6E92D348" w:rsidR="005951DB" w:rsidRPr="0057036F" w:rsidRDefault="005951DB" w:rsidP="00950475">
      <w:pPr>
        <w:pStyle w:val="Heading2"/>
        <w:spacing w:line="480" w:lineRule="auto"/>
        <w:rPr>
          <w:rFonts w:ascii="Calibri Light" w:hAnsi="Calibri Light" w:cs="Calibri Light"/>
          <w:b w:val="0"/>
          <w:bCs/>
          <w:color w:val="365F91" w:themeColor="accent1" w:themeShade="BF"/>
          <w:sz w:val="32"/>
          <w:szCs w:val="32"/>
        </w:rPr>
      </w:pPr>
      <w:r w:rsidRPr="0057036F">
        <w:rPr>
          <w:rFonts w:ascii="Calibri Light" w:hAnsi="Calibri Light" w:cs="Calibri Light"/>
          <w:b w:val="0"/>
          <w:bCs/>
          <w:color w:val="365F91" w:themeColor="accent1" w:themeShade="BF"/>
          <w:sz w:val="32"/>
          <w:szCs w:val="32"/>
        </w:rPr>
        <w:t xml:space="preserve">Conclusions </w:t>
      </w:r>
      <w:r w:rsidR="00C71173" w:rsidRPr="0057036F">
        <w:rPr>
          <w:rFonts w:ascii="Calibri Light" w:hAnsi="Calibri Light" w:cs="Calibri Light"/>
          <w:b w:val="0"/>
          <w:bCs/>
          <w:color w:val="365F91" w:themeColor="accent1" w:themeShade="BF"/>
          <w:sz w:val="32"/>
          <w:szCs w:val="32"/>
        </w:rPr>
        <w:t>and future research</w:t>
      </w:r>
    </w:p>
    <w:p w14:paraId="23125D1C" w14:textId="3F90D708" w:rsidR="00F109B9" w:rsidRDefault="007C77E4" w:rsidP="00950475">
      <w:pPr>
        <w:spacing w:line="480" w:lineRule="auto"/>
        <w:rPr>
          <w:rFonts w:asciiTheme="majorHAnsi" w:hAnsiTheme="majorHAnsi" w:cstheme="majorHAnsi"/>
        </w:rPr>
      </w:pPr>
      <w:proofErr w:type="spellStart"/>
      <w:r>
        <w:rPr>
          <w:rFonts w:asciiTheme="majorHAnsi" w:hAnsiTheme="majorHAnsi" w:cstheme="majorHAnsi"/>
        </w:rPr>
        <w:t>RMF</w:t>
      </w:r>
      <w:proofErr w:type="spellEnd"/>
      <w:r>
        <w:rPr>
          <w:rFonts w:asciiTheme="majorHAnsi" w:hAnsiTheme="majorHAnsi" w:cstheme="majorHAnsi"/>
        </w:rPr>
        <w:t xml:space="preserve"> orthoses</w:t>
      </w:r>
      <w:r w:rsidR="00716CDE">
        <w:rPr>
          <w:rFonts w:asciiTheme="majorHAnsi" w:hAnsiTheme="majorHAnsi" w:cstheme="majorHAnsi"/>
        </w:rPr>
        <w:t xml:space="preserve"> with early active mobilization</w:t>
      </w:r>
      <w:r w:rsidR="00047F9D">
        <w:rPr>
          <w:rFonts w:asciiTheme="majorHAnsi" w:hAnsiTheme="majorHAnsi" w:cstheme="majorHAnsi"/>
        </w:rPr>
        <w:t xml:space="preserve"> are a</w:t>
      </w:r>
      <w:r w:rsidR="00C3061C">
        <w:rPr>
          <w:rFonts w:asciiTheme="majorHAnsi" w:hAnsiTheme="majorHAnsi" w:cstheme="majorHAnsi"/>
        </w:rPr>
        <w:t xml:space="preserve"> rehabilitation</w:t>
      </w:r>
      <w:r w:rsidR="00047F9D">
        <w:rPr>
          <w:rFonts w:asciiTheme="majorHAnsi" w:hAnsiTheme="majorHAnsi" w:cstheme="majorHAnsi"/>
        </w:rPr>
        <w:t xml:space="preserve"> option following zone I and II flexor tendon repairs. The proposed benefits include earl</w:t>
      </w:r>
      <w:r w:rsidR="00C3061C">
        <w:rPr>
          <w:rFonts w:asciiTheme="majorHAnsi" w:hAnsiTheme="majorHAnsi" w:cstheme="majorHAnsi"/>
        </w:rPr>
        <w:t>y functional hand use, reduced tendon adhesions and joint contractures, and smaller, less costly orthoses. We have discussed the kinesiological rationale, which centers on both the quadriga effect of shared muscle bellies and patterns of co-activation and inhibition during functional movement</w:t>
      </w:r>
      <w:r w:rsidR="009B495F">
        <w:rPr>
          <w:rFonts w:asciiTheme="majorHAnsi" w:hAnsiTheme="majorHAnsi" w:cstheme="majorHAnsi"/>
        </w:rPr>
        <w:t xml:space="preserve">. </w:t>
      </w:r>
    </w:p>
    <w:p w14:paraId="10C00F30" w14:textId="77777777" w:rsidR="00F109B9" w:rsidRDefault="00F109B9" w:rsidP="00950475">
      <w:pPr>
        <w:spacing w:line="480" w:lineRule="auto"/>
        <w:rPr>
          <w:rFonts w:asciiTheme="majorHAnsi" w:hAnsiTheme="majorHAnsi" w:cstheme="majorHAnsi"/>
        </w:rPr>
      </w:pPr>
    </w:p>
    <w:p w14:paraId="0A20EBBD" w14:textId="7E1BF0A0" w:rsidR="00C638B9" w:rsidRPr="00BC3782" w:rsidRDefault="009B495F" w:rsidP="00077B67">
      <w:pPr>
        <w:spacing w:line="480" w:lineRule="auto"/>
        <w:rPr>
          <w:rFonts w:asciiTheme="majorHAnsi" w:hAnsiTheme="majorHAnsi" w:cstheme="majorHAnsi"/>
        </w:rPr>
      </w:pPr>
      <w:r>
        <w:rPr>
          <w:rFonts w:asciiTheme="majorHAnsi" w:hAnsiTheme="majorHAnsi" w:cstheme="majorHAnsi"/>
        </w:rPr>
        <w:t>There is currently no high-quality</w:t>
      </w:r>
      <w:r w:rsidR="00A51635">
        <w:rPr>
          <w:rFonts w:asciiTheme="majorHAnsi" w:hAnsiTheme="majorHAnsi" w:cstheme="majorHAnsi"/>
        </w:rPr>
        <w:t>, appropriately powered</w:t>
      </w:r>
      <w:r>
        <w:rPr>
          <w:rFonts w:asciiTheme="majorHAnsi" w:hAnsiTheme="majorHAnsi" w:cstheme="majorHAnsi"/>
        </w:rPr>
        <w:t xml:space="preserve"> research assessing</w:t>
      </w:r>
      <w:r w:rsidR="00A51635">
        <w:rPr>
          <w:rFonts w:asciiTheme="majorHAnsi" w:hAnsiTheme="majorHAnsi" w:cstheme="majorHAnsi"/>
        </w:rPr>
        <w:t xml:space="preserve"> c</w:t>
      </w:r>
      <w:r>
        <w:rPr>
          <w:rFonts w:asciiTheme="majorHAnsi" w:hAnsiTheme="majorHAnsi" w:cstheme="majorHAnsi"/>
        </w:rPr>
        <w:t>linical and</w:t>
      </w:r>
      <w:r w:rsidR="00A51635">
        <w:rPr>
          <w:rFonts w:asciiTheme="majorHAnsi" w:hAnsiTheme="majorHAnsi" w:cstheme="majorHAnsi"/>
        </w:rPr>
        <w:t xml:space="preserve"> patient reported outcomes after flexor tendon rehabilitation using an </w:t>
      </w:r>
      <w:proofErr w:type="spellStart"/>
      <w:r w:rsidR="00A51635">
        <w:rPr>
          <w:rFonts w:asciiTheme="majorHAnsi" w:hAnsiTheme="majorHAnsi" w:cstheme="majorHAnsi"/>
        </w:rPr>
        <w:t>RMF</w:t>
      </w:r>
      <w:proofErr w:type="spellEnd"/>
      <w:r w:rsidR="00A51635">
        <w:rPr>
          <w:rFonts w:asciiTheme="majorHAnsi" w:hAnsiTheme="majorHAnsi" w:cstheme="majorHAnsi"/>
        </w:rPr>
        <w:t xml:space="preserve"> orthosis</w:t>
      </w:r>
      <w:r w:rsidR="00F109B9">
        <w:rPr>
          <w:rFonts w:asciiTheme="majorHAnsi" w:hAnsiTheme="majorHAnsi" w:cstheme="majorHAnsi"/>
        </w:rPr>
        <w:t xml:space="preserve">. </w:t>
      </w:r>
      <w:r w:rsidR="00A51635">
        <w:rPr>
          <w:rFonts w:asciiTheme="majorHAnsi" w:hAnsiTheme="majorHAnsi" w:cstheme="majorHAnsi"/>
        </w:rPr>
        <w:t>We are comfortable using this rehabilitation</w:t>
      </w:r>
      <w:r w:rsidR="00F109B9">
        <w:rPr>
          <w:rFonts w:asciiTheme="majorHAnsi" w:hAnsiTheme="majorHAnsi" w:cstheme="majorHAnsi"/>
        </w:rPr>
        <w:t xml:space="preserve"> strategy </w:t>
      </w:r>
      <w:r w:rsidR="00A51635">
        <w:rPr>
          <w:rFonts w:asciiTheme="majorHAnsi" w:hAnsiTheme="majorHAnsi" w:cstheme="majorHAnsi"/>
        </w:rPr>
        <w:t xml:space="preserve">as part of </w:t>
      </w:r>
      <w:r w:rsidR="003243C9">
        <w:rPr>
          <w:rFonts w:asciiTheme="majorHAnsi" w:hAnsiTheme="majorHAnsi" w:cstheme="majorHAnsi"/>
        </w:rPr>
        <w:t xml:space="preserve">a </w:t>
      </w:r>
      <w:r w:rsidR="00A51635">
        <w:rPr>
          <w:rFonts w:asciiTheme="majorHAnsi" w:hAnsiTheme="majorHAnsi" w:cstheme="majorHAnsi"/>
        </w:rPr>
        <w:t>shared decision-making process</w:t>
      </w:r>
      <w:r w:rsidR="00F109B9">
        <w:rPr>
          <w:rFonts w:asciiTheme="majorHAnsi" w:hAnsiTheme="majorHAnsi" w:cstheme="majorHAnsi"/>
        </w:rPr>
        <w:t xml:space="preserve"> with our patients</w:t>
      </w:r>
      <w:r w:rsidR="004F278D">
        <w:rPr>
          <w:rFonts w:asciiTheme="majorHAnsi" w:hAnsiTheme="majorHAnsi" w:cstheme="majorHAnsi"/>
        </w:rPr>
        <w:t xml:space="preserve"> </w:t>
      </w:r>
      <w:r w:rsidR="004F278D">
        <w:rPr>
          <w:rFonts w:asciiTheme="majorHAnsi" w:hAnsiTheme="majorHAnsi" w:cstheme="majorHAnsi"/>
        </w:rPr>
        <w:fldChar w:fldCharType="begin" w:fldLock="1"/>
      </w:r>
      <w:r w:rsidR="00A50831">
        <w:rPr>
          <w:rFonts w:asciiTheme="majorHAnsi" w:hAnsiTheme="majorHAnsi" w:cstheme="majorHAnsi"/>
        </w:rPr>
        <w:instrText>ADDIN CSL_CITATION {"citationItems":[{"id":"ITEM-1","itemData":{"DOI":"10.1016/j.msksp.2021.102434","ISSN":"24687812","PMID":"34376367","abstract":"Musculoskeletal rehabilitation, including physiotherapy, needs to move towards a broader biopsychosocial understanding of musculoskeletal conditions and the delivery of high-value care for people with persistent pain conditions, in which a patient-centered approach is a key feature. However, it has been reported that clinicians experience difficulties with integrating patient-centered care principles into their clinical practice. Based on a focused symposium about patient-centered care for patients with musculoskeletal conditions, held during the online 2021 World Physiotherapy Congress, the purpose of this article is to share key elements of the content of this symposium with a wider audience, aimed at enabling clinicians to enhance patient-centeredness in their current practice. These key elements include establishing meaningful connections, deciding together and self-management support. Moreover, challenges on patient-centered care in low/middle income countries will be discussed and recommendations to implement patient-centered care in clinical practice will be provided.","author":[{"dropping-particle":"","family":"Hutting","given":"Nathan","non-dropping-particle":"","parse-names":false,"suffix":""},{"dropping-particle":"","family":"Caneiro","given":"J. P.","non-dropping-particle":"","parse-names":false,"suffix":""},{"dropping-particle":"","family":"Ong'wen","given":"Otieno Martin","non-dropping-particle":"","parse-names":false,"suffix":""},{"dropping-particle":"","family":"Miciak","given":"Maxi","non-dropping-particle":"","parse-names":false,"suffix":""},{"dropping-particle":"","family":"Roberts","given":"Lisa","non-dropping-particle":"","parse-names":false,"suffix":""}],"container-title":"Musculoskeletal Science and Practice","id":"ITEM-1","issued":{"date-parts":[["2022"]]},"page":"102434","publisher":"Elsevier Ltd","title":"Patient-centered care in musculoskeletal practice: Key elements to support clinicians to focus on the person","type":"article-journal","volume":"57"},"uris":["http://www.mendeley.com/documents/?uuid=c574d607-dce4-457a-8a2f-283939e77612"]}],"mendeley":{"formattedCitation":"(46)","plainTextFormattedCitation":"(46)","previouslyFormattedCitation":"(46)"},"properties":{"noteIndex":0},"schema":"https://github.com/citation-style-language/schema/raw/master/csl-citation.json"}</w:instrText>
      </w:r>
      <w:r w:rsidR="004F278D">
        <w:rPr>
          <w:rFonts w:asciiTheme="majorHAnsi" w:hAnsiTheme="majorHAnsi" w:cstheme="majorHAnsi"/>
        </w:rPr>
        <w:fldChar w:fldCharType="separate"/>
      </w:r>
      <w:r w:rsidR="00D06ED5" w:rsidRPr="00D06ED5">
        <w:rPr>
          <w:rFonts w:asciiTheme="majorHAnsi" w:hAnsiTheme="majorHAnsi" w:cstheme="majorHAnsi"/>
          <w:noProof/>
        </w:rPr>
        <w:t>(46)</w:t>
      </w:r>
      <w:r w:rsidR="004F278D">
        <w:rPr>
          <w:rFonts w:asciiTheme="majorHAnsi" w:hAnsiTheme="majorHAnsi" w:cstheme="majorHAnsi"/>
        </w:rPr>
        <w:fldChar w:fldCharType="end"/>
      </w:r>
      <w:r w:rsidR="00F109B9">
        <w:rPr>
          <w:rFonts w:asciiTheme="majorHAnsi" w:hAnsiTheme="majorHAnsi" w:cstheme="majorHAnsi"/>
        </w:rPr>
        <w:t>, particularly give</w:t>
      </w:r>
      <w:r w:rsidR="003243C9">
        <w:rPr>
          <w:rFonts w:asciiTheme="majorHAnsi" w:hAnsiTheme="majorHAnsi" w:cstheme="majorHAnsi"/>
        </w:rPr>
        <w:t>n</w:t>
      </w:r>
      <w:r w:rsidR="00F109B9">
        <w:rPr>
          <w:rFonts w:asciiTheme="majorHAnsi" w:hAnsiTheme="majorHAnsi" w:cstheme="majorHAnsi"/>
        </w:rPr>
        <w:t xml:space="preserve"> the limited evidence for any particular </w:t>
      </w:r>
      <w:r w:rsidR="009317B3">
        <w:rPr>
          <w:rFonts w:asciiTheme="majorHAnsi" w:hAnsiTheme="majorHAnsi" w:cstheme="majorHAnsi"/>
        </w:rPr>
        <w:t xml:space="preserve">flexor tendon </w:t>
      </w:r>
      <w:r w:rsidR="00F109B9">
        <w:rPr>
          <w:rFonts w:asciiTheme="majorHAnsi" w:hAnsiTheme="majorHAnsi" w:cstheme="majorHAnsi"/>
        </w:rPr>
        <w:t xml:space="preserve">rehabilitation </w:t>
      </w:r>
      <w:r w:rsidR="00716CDE">
        <w:rPr>
          <w:rFonts w:asciiTheme="majorHAnsi" w:hAnsiTheme="majorHAnsi" w:cstheme="majorHAnsi"/>
        </w:rPr>
        <w:t>approach</w:t>
      </w:r>
      <w:r w:rsidR="00F109B9">
        <w:rPr>
          <w:rFonts w:asciiTheme="majorHAnsi" w:hAnsiTheme="majorHAnsi" w:cstheme="majorHAnsi"/>
        </w:rPr>
        <w:t xml:space="preserve"> </w:t>
      </w:r>
      <w:r w:rsidR="00F109B9">
        <w:rPr>
          <w:rFonts w:asciiTheme="majorHAnsi" w:hAnsiTheme="majorHAnsi" w:cstheme="majorHAnsi"/>
        </w:rPr>
        <w:fldChar w:fldCharType="begin" w:fldLock="1"/>
      </w:r>
      <w:r w:rsidR="00B913B1">
        <w:rPr>
          <w:rFonts w:asciiTheme="majorHAnsi" w:hAnsiTheme="majorHAnsi" w:cstheme="majorHAnsi"/>
        </w:rPr>
        <w:instrText>ADDIN CSL_CITATION {"citationItems":[{"id":"ITEM-1","itemData":{"DOI":"10.1002/14651858.CD012479.pub2","ISSN":"14651858","PMID":"33434949","abstract":"Background: Various rehabilitation treatments may be offered following surgery for flexor tendon injuries of the hand. Rehabilitation often includes a combination of an exercise regimen and an orthosis, plus other rehabilitation treatments, usually delivered together. The effectiveness of these interventions remains unclear. Objectives: To assess the effects (benefits and harms) of different rehabilitation interventions after surgery for flexor tendon injuries of the hand. Search methods: We searched the Cochrane Central Register of Controlled Trials, the Cochrane Bone, Joint and Muscle Trauma Group Specialised Register, MEDLINE, Embase, two additional databases and two international trials registries, unrestricted by language. The last date of searches was 11 August 2020. We checked the reference lists of included studies and relevant systematic reviews. Selection criteria: We included randomised controlled trials (RCTs) and quasi-RCTs that compared any postoperative rehabilitation intervention with no intervention, control, placebo, or another postoperative rehabilitation intervention in individuals who have had surgery for flexor tendon injuries of the hand. Trials comparing different mobilisation regimens either with another mobilisation regimen or with a control were the main comparisons of interest. Our main outcomes of interest were patient-reported function, active range of motion of the fingers, and number of participants experiencing an adverse event. Data collection and analysis: Two review authors independently selected trials for inclusion, extracted data, assessed risk of bias and assessed the quality of the body of evidence for primary outcomes using the GRADE approach, according to standard Cochrane methodology. Main results: We included 16 RCTs and one quasi-RCT, with a total of 1108 participants, mainly adults. Overall, the participants were aged between 7 and 72 years, and 74% were male. Studies mainly focused on flexor tendon injuries in zone II. The 17 studies were heterogeneous with respect to the types of rehabilitation treatments provided, intensity, duration of treatment and the treatment setting. Each trial tested one of 14 comparisons, eight of which were of different exercise regimens. The other trials examined the timing of return to unrestricted functional activities after surgery (one study); the use of external devices applied to the participant to facilitate mobilisation, such as an exoskeleton (one study) or continuous …","author":[{"dropping-particle":"","family":"Peters","given":"Susan E.","non-dropping-particle":"","parse-names":false,"suffix":""},{"dropping-particle":"","family":"Jha","given":"Bhavana","non-dropping-particle":"","parse-names":false,"suffix":""},{"dropping-particle":"","family":"Ross","given":"Mark","non-dropping-particle":"","parse-names":false,"suffix":""}],"container-title":"Cochrane Database of Systematic Reviews","id":"ITEM-1","issued":{"date-parts":[["2021"]]},"page":"CD012479","title":"Rehabilitation following surgery for flexor tendon injuries of the hand","type":"article-journal","volume":"1"},"uris":["http://www.mendeley.com/documents/?uuid=b15d80aa-aebd-45b3-9684-378ee0241ae7"]}],"mendeley":{"formattedCitation":"(11)","plainTextFormattedCitation":"(11)","previouslyFormattedCitation":"(11)"},"properties":{"noteIndex":0},"schema":"https://github.com/citation-style-language/schema/raw/master/csl-citation.json"}</w:instrText>
      </w:r>
      <w:r w:rsidR="00F109B9">
        <w:rPr>
          <w:rFonts w:asciiTheme="majorHAnsi" w:hAnsiTheme="majorHAnsi" w:cstheme="majorHAnsi"/>
        </w:rPr>
        <w:fldChar w:fldCharType="separate"/>
      </w:r>
      <w:r w:rsidR="00F109B9" w:rsidRPr="00F109B9">
        <w:rPr>
          <w:rFonts w:asciiTheme="majorHAnsi" w:hAnsiTheme="majorHAnsi" w:cstheme="majorHAnsi"/>
          <w:noProof/>
        </w:rPr>
        <w:t>(11)</w:t>
      </w:r>
      <w:r w:rsidR="00F109B9">
        <w:rPr>
          <w:rFonts w:asciiTheme="majorHAnsi" w:hAnsiTheme="majorHAnsi" w:cstheme="majorHAnsi"/>
        </w:rPr>
        <w:fldChar w:fldCharType="end"/>
      </w:r>
      <w:r w:rsidR="009317B3">
        <w:rPr>
          <w:rFonts w:asciiTheme="majorHAnsi" w:hAnsiTheme="majorHAnsi" w:cstheme="majorHAnsi"/>
        </w:rPr>
        <w:t>. To address th</w:t>
      </w:r>
      <w:r w:rsidR="00846237">
        <w:rPr>
          <w:rFonts w:asciiTheme="majorHAnsi" w:hAnsiTheme="majorHAnsi" w:cstheme="majorHAnsi"/>
        </w:rPr>
        <w:t>is</w:t>
      </w:r>
      <w:r w:rsidR="009317B3">
        <w:rPr>
          <w:rFonts w:asciiTheme="majorHAnsi" w:hAnsiTheme="majorHAnsi" w:cstheme="majorHAnsi"/>
        </w:rPr>
        <w:t xml:space="preserve"> lack of evidence, a </w:t>
      </w:r>
      <w:r w:rsidR="00127723">
        <w:rPr>
          <w:rFonts w:asciiTheme="majorHAnsi" w:hAnsiTheme="majorHAnsi" w:cstheme="majorHAnsi"/>
        </w:rPr>
        <w:t xml:space="preserve">UK-based </w:t>
      </w:r>
      <w:r w:rsidR="00A825E4" w:rsidRPr="0084014C">
        <w:rPr>
          <w:rFonts w:asciiTheme="majorHAnsi" w:hAnsiTheme="majorHAnsi" w:cstheme="majorHAnsi"/>
          <w:color w:val="000000" w:themeColor="text1"/>
        </w:rPr>
        <w:lastRenderedPageBreak/>
        <w:t>multi-center randomized controlled trial</w:t>
      </w:r>
      <w:r w:rsidR="009317B3">
        <w:rPr>
          <w:rFonts w:asciiTheme="majorHAnsi" w:hAnsiTheme="majorHAnsi" w:cstheme="majorHAnsi"/>
          <w:color w:val="000000" w:themeColor="text1"/>
        </w:rPr>
        <w:t xml:space="preserve"> has been established to compare </w:t>
      </w:r>
      <w:r w:rsidR="00A825E4" w:rsidRPr="0084014C">
        <w:rPr>
          <w:rFonts w:asciiTheme="majorHAnsi" w:hAnsiTheme="majorHAnsi" w:cstheme="majorHAnsi"/>
          <w:color w:val="000000" w:themeColor="text1"/>
        </w:rPr>
        <w:t>three different orthoses after zone I or II flexor tendon repair</w:t>
      </w:r>
      <w:r w:rsidR="009317B3">
        <w:rPr>
          <w:rFonts w:asciiTheme="majorHAnsi" w:hAnsiTheme="majorHAnsi" w:cstheme="majorHAnsi"/>
          <w:color w:val="000000" w:themeColor="text1"/>
        </w:rPr>
        <w:t xml:space="preserve">: </w:t>
      </w:r>
      <w:r w:rsidR="009317B3" w:rsidRPr="0084014C">
        <w:rPr>
          <w:rFonts w:asciiTheme="majorHAnsi" w:hAnsiTheme="majorHAnsi" w:cstheme="majorHAnsi"/>
          <w:color w:val="000000" w:themeColor="text1"/>
        </w:rPr>
        <w:t>long dorsal-blocking</w:t>
      </w:r>
      <w:r w:rsidR="00716CDE">
        <w:rPr>
          <w:rFonts w:asciiTheme="majorHAnsi" w:hAnsiTheme="majorHAnsi" w:cstheme="majorHAnsi"/>
          <w:color w:val="000000" w:themeColor="text1"/>
        </w:rPr>
        <w:t xml:space="preserve"> (</w:t>
      </w:r>
      <w:proofErr w:type="spellStart"/>
      <w:r w:rsidR="00716CDE">
        <w:rPr>
          <w:rFonts w:asciiTheme="majorHAnsi" w:hAnsiTheme="majorHAnsi" w:cstheme="majorHAnsi"/>
          <w:color w:val="000000" w:themeColor="text1"/>
        </w:rPr>
        <w:t>WHFO</w:t>
      </w:r>
      <w:proofErr w:type="spellEnd"/>
      <w:r w:rsidR="00716CDE">
        <w:rPr>
          <w:rFonts w:asciiTheme="majorHAnsi" w:hAnsiTheme="majorHAnsi" w:cstheme="majorHAnsi"/>
          <w:color w:val="000000" w:themeColor="text1"/>
        </w:rPr>
        <w:t>)</w:t>
      </w:r>
      <w:r w:rsidR="009317B3" w:rsidRPr="0084014C">
        <w:rPr>
          <w:rFonts w:asciiTheme="majorHAnsi" w:hAnsiTheme="majorHAnsi" w:cstheme="majorHAnsi"/>
          <w:color w:val="000000" w:themeColor="text1"/>
        </w:rPr>
        <w:t xml:space="preserve">, </w:t>
      </w:r>
      <w:r w:rsidR="009317B3">
        <w:rPr>
          <w:rFonts w:asciiTheme="majorHAnsi" w:hAnsiTheme="majorHAnsi" w:cstheme="majorHAnsi"/>
          <w:color w:val="000000" w:themeColor="text1"/>
        </w:rPr>
        <w:t>s</w:t>
      </w:r>
      <w:r w:rsidR="009317B3" w:rsidRPr="0084014C">
        <w:rPr>
          <w:rFonts w:asciiTheme="majorHAnsi" w:hAnsiTheme="majorHAnsi" w:cstheme="majorHAnsi"/>
          <w:color w:val="000000" w:themeColor="text1"/>
        </w:rPr>
        <w:t>hort dorsal-blocking (Manchester short splint)</w:t>
      </w:r>
      <w:r w:rsidR="007F1B20">
        <w:rPr>
          <w:rFonts w:asciiTheme="majorHAnsi" w:hAnsiTheme="majorHAnsi" w:cstheme="majorHAnsi"/>
          <w:color w:val="000000" w:themeColor="text1"/>
        </w:rPr>
        <w:t>,</w:t>
      </w:r>
      <w:r w:rsidR="009317B3" w:rsidRPr="0084014C">
        <w:rPr>
          <w:rFonts w:asciiTheme="majorHAnsi" w:hAnsiTheme="majorHAnsi" w:cstheme="majorHAnsi"/>
          <w:color w:val="000000" w:themeColor="text1"/>
        </w:rPr>
        <w:t xml:space="preserve"> and </w:t>
      </w:r>
      <w:proofErr w:type="spellStart"/>
      <w:r w:rsidR="009317B3" w:rsidRPr="0084014C">
        <w:rPr>
          <w:rFonts w:asciiTheme="majorHAnsi" w:hAnsiTheme="majorHAnsi" w:cstheme="majorHAnsi"/>
          <w:color w:val="000000" w:themeColor="text1"/>
        </w:rPr>
        <w:t>RMF</w:t>
      </w:r>
      <w:proofErr w:type="spellEnd"/>
      <w:r w:rsidR="009317B3">
        <w:rPr>
          <w:rFonts w:asciiTheme="majorHAnsi" w:hAnsiTheme="majorHAnsi" w:cstheme="majorHAnsi"/>
          <w:color w:val="000000" w:themeColor="text1"/>
        </w:rPr>
        <w:t xml:space="preserve"> including the </w:t>
      </w:r>
      <w:r w:rsidR="009317B3" w:rsidRPr="0084014C">
        <w:rPr>
          <w:rFonts w:asciiTheme="majorHAnsi" w:hAnsiTheme="majorHAnsi" w:cstheme="majorHAnsi"/>
          <w:color w:val="000000" w:themeColor="text1"/>
        </w:rPr>
        <w:t>wrist component</w:t>
      </w:r>
      <w:r w:rsidR="00857C36">
        <w:rPr>
          <w:rFonts w:asciiTheme="majorHAnsi" w:hAnsiTheme="majorHAnsi" w:cstheme="majorHAnsi"/>
          <w:color w:val="000000" w:themeColor="text1"/>
        </w:rPr>
        <w:t xml:space="preserve"> </w:t>
      </w:r>
      <w:r w:rsidR="00857C36">
        <w:rPr>
          <w:rFonts w:asciiTheme="majorHAnsi" w:hAnsiTheme="majorHAnsi" w:cstheme="majorHAnsi"/>
          <w:color w:val="000000" w:themeColor="text1"/>
        </w:rPr>
        <w:fldChar w:fldCharType="begin" w:fldLock="1"/>
      </w:r>
      <w:r w:rsidR="00A50831">
        <w:rPr>
          <w:rFonts w:asciiTheme="majorHAnsi" w:hAnsiTheme="majorHAnsi" w:cstheme="majorHAnsi"/>
          <w:color w:val="000000" w:themeColor="text1"/>
        </w:rPr>
        <w:instrText>ADDIN CSL_CITATION {"citationItems":[{"id":"ITEM-1","itemData":{"URL":"https://fundingawards.nihr.ac.uk/award/NIHR133582","accessed":{"date-parts":[["2022","6","1"]]},"author":[{"dropping-particle":"","family":"Bamford","given":"E","non-dropping-particle":"","parse-names":false,"suffix":""},{"dropping-particle":"","family":"Drummond","given":"Avril","non-dropping-particle":"","parse-names":false,"suffix":""},{"dropping-particle":"","family":"Selby","given":"A","non-dropping-particle":"","parse-names":false,"suffix":""},{"dropping-particle":"","family":"Thokala","given":"P","non-dropping-particle":"","parse-names":false,"suffix":""},{"dropping-particle":"","family":"Beale","given":"S","non-dropping-particle":"","parse-names":false,"suffix":""},{"dropping-particle":"","family":"Johnson","given":"N","non-dropping-particle":"","parse-names":false,"suffix":""},{"dropping-particle":"","family":"Hind","given":"D","non-dropping-particle":"","parse-names":false,"suffix":""},{"dropping-particle":"","family":"Dias","given":"J","non-dropping-particle":"","parse-names":false,"suffix":""},{"dropping-particle":"","family":"Walters","given":"S","non-dropping-particle":"","parse-names":false,"suffix":""}],"id":"ITEM-1","issued":{"date-parts":[["2022"]]},"title":"Prospective randomised controlled trial comparing three splints for finger flexor tendon repairs (FIRST)","type":"webpage"},"uris":["http://www.mendeley.com/documents/?uuid=558c1ff6-b83a-4a8c-8b85-5de64d361ca1"]}],"mendeley":{"formattedCitation":"(47)","plainTextFormattedCitation":"(47)","previouslyFormattedCitation":"(47)"},"properties":{"noteIndex":0},"schema":"https://github.com/citation-style-language/schema/raw/master/csl-citation.json"}</w:instrText>
      </w:r>
      <w:r w:rsidR="00857C36">
        <w:rPr>
          <w:rFonts w:asciiTheme="majorHAnsi" w:hAnsiTheme="majorHAnsi" w:cstheme="majorHAnsi"/>
          <w:color w:val="000000" w:themeColor="text1"/>
        </w:rPr>
        <w:fldChar w:fldCharType="separate"/>
      </w:r>
      <w:r w:rsidR="00D06ED5" w:rsidRPr="00D06ED5">
        <w:rPr>
          <w:rFonts w:asciiTheme="majorHAnsi" w:hAnsiTheme="majorHAnsi" w:cstheme="majorHAnsi"/>
          <w:noProof/>
          <w:color w:val="000000" w:themeColor="text1"/>
        </w:rPr>
        <w:t>(47)</w:t>
      </w:r>
      <w:r w:rsidR="00857C36">
        <w:rPr>
          <w:rFonts w:asciiTheme="majorHAnsi" w:hAnsiTheme="majorHAnsi" w:cstheme="majorHAnsi"/>
          <w:color w:val="000000" w:themeColor="text1"/>
        </w:rPr>
        <w:fldChar w:fldCharType="end"/>
      </w:r>
      <w:r w:rsidR="009317B3">
        <w:rPr>
          <w:rFonts w:asciiTheme="majorHAnsi" w:hAnsiTheme="majorHAnsi" w:cstheme="majorHAnsi"/>
          <w:color w:val="000000" w:themeColor="text1"/>
        </w:rPr>
        <w:t xml:space="preserve">. The trial </w:t>
      </w:r>
      <w:r w:rsidR="001D31AF">
        <w:rPr>
          <w:rFonts w:asciiTheme="majorHAnsi" w:hAnsiTheme="majorHAnsi" w:cstheme="majorHAnsi"/>
          <w:color w:val="000000" w:themeColor="text1"/>
        </w:rPr>
        <w:t xml:space="preserve">commenced </w:t>
      </w:r>
      <w:r w:rsidR="00127723">
        <w:rPr>
          <w:rFonts w:asciiTheme="majorHAnsi" w:hAnsiTheme="majorHAnsi" w:cstheme="majorHAnsi"/>
          <w:color w:val="000000" w:themeColor="text1"/>
        </w:rPr>
        <w:t>in Fall 2022,</w:t>
      </w:r>
      <w:r w:rsidR="00857C36">
        <w:rPr>
          <w:rFonts w:asciiTheme="majorHAnsi" w:hAnsiTheme="majorHAnsi" w:cstheme="majorHAnsi"/>
          <w:color w:val="000000" w:themeColor="text1"/>
        </w:rPr>
        <w:t xml:space="preserve"> with an anticipated end date of June 2025.</w:t>
      </w:r>
      <w:r w:rsidR="00C638B9">
        <w:rPr>
          <w:rFonts w:ascii="Calibri Light" w:hAnsi="Calibri Light" w:cs="Calibri Light"/>
          <w:b/>
          <w:bCs/>
          <w:color w:val="365F91" w:themeColor="accent1" w:themeShade="BF"/>
          <w:sz w:val="32"/>
          <w:szCs w:val="32"/>
        </w:rPr>
        <w:br w:type="page"/>
      </w:r>
    </w:p>
    <w:p w14:paraId="67C94D34" w14:textId="7667E09D" w:rsidR="007C7DE6" w:rsidRPr="0057036F" w:rsidRDefault="00B57D12" w:rsidP="0057036F">
      <w:pPr>
        <w:pStyle w:val="Heading2"/>
        <w:spacing w:line="480" w:lineRule="auto"/>
        <w:rPr>
          <w:rFonts w:ascii="Calibri Light" w:hAnsi="Calibri Light" w:cs="Calibri Light"/>
          <w:b w:val="0"/>
          <w:bCs/>
          <w:color w:val="365F91" w:themeColor="accent1" w:themeShade="BF"/>
          <w:sz w:val="32"/>
          <w:szCs w:val="32"/>
        </w:rPr>
      </w:pPr>
      <w:r w:rsidRPr="0057036F">
        <w:rPr>
          <w:rFonts w:ascii="Calibri Light" w:hAnsi="Calibri Light" w:cs="Calibri Light"/>
          <w:b w:val="0"/>
          <w:bCs/>
          <w:color w:val="365F91" w:themeColor="accent1" w:themeShade="BF"/>
          <w:sz w:val="32"/>
          <w:szCs w:val="32"/>
        </w:rPr>
        <w:lastRenderedPageBreak/>
        <w:t>References</w:t>
      </w:r>
    </w:p>
    <w:p w14:paraId="70570837" w14:textId="21634B61" w:rsidR="0043414D" w:rsidRPr="0043414D" w:rsidRDefault="0007699F" w:rsidP="0043414D">
      <w:pPr>
        <w:widowControl w:val="0"/>
        <w:autoSpaceDE w:val="0"/>
        <w:autoSpaceDN w:val="0"/>
        <w:adjustRightInd w:val="0"/>
        <w:spacing w:line="480" w:lineRule="auto"/>
        <w:ind w:left="640" w:hanging="640"/>
        <w:rPr>
          <w:rFonts w:ascii="Calibri" w:hAnsi="Calibri" w:cs="Calibri"/>
          <w:noProof/>
        </w:rPr>
      </w:pPr>
      <w:r w:rsidRPr="0057036F">
        <w:rPr>
          <w:rFonts w:ascii="Calibri" w:eastAsia="Calibri" w:hAnsi="Calibri" w:cs="Calibri"/>
          <w:color w:val="000000"/>
        </w:rPr>
        <w:fldChar w:fldCharType="begin" w:fldLock="1"/>
      </w:r>
      <w:r w:rsidRPr="0057036F">
        <w:rPr>
          <w:rFonts w:ascii="Calibri" w:eastAsia="Calibri" w:hAnsi="Calibri" w:cs="Calibri"/>
          <w:color w:val="000000"/>
        </w:rPr>
        <w:instrText xml:space="preserve">ADDIN Mendeley Bibliography CSL_BIBLIOGRAPHY </w:instrText>
      </w:r>
      <w:r w:rsidRPr="0057036F">
        <w:rPr>
          <w:rFonts w:ascii="Calibri" w:eastAsia="Calibri" w:hAnsi="Calibri" w:cs="Calibri"/>
          <w:color w:val="000000"/>
        </w:rPr>
        <w:fldChar w:fldCharType="separate"/>
      </w:r>
      <w:r w:rsidR="0043414D" w:rsidRPr="0043414D">
        <w:rPr>
          <w:rFonts w:ascii="Calibri" w:hAnsi="Calibri" w:cs="Calibri"/>
          <w:noProof/>
        </w:rPr>
        <w:t xml:space="preserve">1. </w:t>
      </w:r>
      <w:r w:rsidR="0043414D" w:rsidRPr="0043414D">
        <w:rPr>
          <w:rFonts w:ascii="Calibri" w:hAnsi="Calibri" w:cs="Calibri"/>
          <w:noProof/>
        </w:rPr>
        <w:tab/>
        <w:t xml:space="preserve">Merritt WH, Howell J, Tune R, Saunders S, Hardy M. Achieving immediate active motion by using relative motion splinting after long extensor repair and sagittal band ruptures with tendon subluxation. Oper Tech Plast Reconstr Surg. 2000;7(1):31–7. </w:t>
      </w:r>
    </w:p>
    <w:p w14:paraId="55E3091C"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2. </w:t>
      </w:r>
      <w:r w:rsidRPr="0043414D">
        <w:rPr>
          <w:rFonts w:ascii="Calibri" w:hAnsi="Calibri" w:cs="Calibri"/>
          <w:noProof/>
        </w:rPr>
        <w:tab/>
        <w:t xml:space="preserve">Hirth MJ, Howell JW, O’Brien L. Relative motion orthoses in the management of various hand conditions: A scoping review. J Hand Ther. 2016;29(4):405–32. </w:t>
      </w:r>
    </w:p>
    <w:p w14:paraId="01E15D01"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3. </w:t>
      </w:r>
      <w:r w:rsidRPr="0043414D">
        <w:rPr>
          <w:rFonts w:ascii="Calibri" w:hAnsi="Calibri" w:cs="Calibri"/>
          <w:noProof/>
        </w:rPr>
        <w:tab/>
        <w:t xml:space="preserve">Hirth MJ, Howell JW, Feehan LM, Brown T, O’Brien L. Postoperative hand therapy management of zones V and VI extensor tendon repairs of the fingers: An international inquiry of current practice. J Hand Ther. 2021;34(1):58–75. </w:t>
      </w:r>
    </w:p>
    <w:p w14:paraId="3DB99D12"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4. </w:t>
      </w:r>
      <w:r w:rsidRPr="0043414D">
        <w:rPr>
          <w:rFonts w:ascii="Calibri" w:hAnsi="Calibri" w:cs="Calibri"/>
          <w:noProof/>
        </w:rPr>
        <w:tab/>
        <w:t xml:space="preserve">Hirth MJ, Bennett K, Mah E, Farrow HC, Cavallo A V., Ritz M, et al. Early return to work and improved range of motion with modified relative motion splinting: A retrospective comparison with immobilization splinting for zones V and VI extensor tendon repairs. Hand Ther. 2011;16(4):86–94. </w:t>
      </w:r>
    </w:p>
    <w:p w14:paraId="14CB8DBE"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5. </w:t>
      </w:r>
      <w:r w:rsidRPr="0043414D">
        <w:rPr>
          <w:rFonts w:ascii="Calibri" w:hAnsi="Calibri" w:cs="Calibri"/>
          <w:noProof/>
        </w:rPr>
        <w:tab/>
        <w:t xml:space="preserve">Howell JW, Merritt WH, Robinson SJ. Immediate controlled active motion following zone 4-7 extensor tendon repair. J Hand Ther. 2005;18(2):182–90. </w:t>
      </w:r>
    </w:p>
    <w:p w14:paraId="6009601A"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6. </w:t>
      </w:r>
      <w:r w:rsidRPr="0043414D">
        <w:rPr>
          <w:rFonts w:ascii="Calibri" w:hAnsi="Calibri" w:cs="Calibri"/>
          <w:noProof/>
        </w:rPr>
        <w:tab/>
        <w:t xml:space="preserve">Burns MC, Derby B, Neumeister MW. Wyndell Merritt immediate controlled active motion (ICAM) protocol following extensor tendon repairs in zone IV-VII: Review of literature, orthosis design, and case study-a multimedia article. Hand. 2013;8(1):17–22. </w:t>
      </w:r>
    </w:p>
    <w:p w14:paraId="62B8BA7B"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7. </w:t>
      </w:r>
      <w:r w:rsidRPr="0043414D">
        <w:rPr>
          <w:rFonts w:ascii="Calibri" w:hAnsi="Calibri" w:cs="Calibri"/>
          <w:noProof/>
        </w:rPr>
        <w:tab/>
        <w:t xml:space="preserve">Merritt WH. Relative motion splint: Active motion after extensor tendon injury and repair. J Hand Surg Am. 2014;39(6):1187–94. </w:t>
      </w:r>
    </w:p>
    <w:p w14:paraId="63D6F63F"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lastRenderedPageBreak/>
        <w:t xml:space="preserve">8. </w:t>
      </w:r>
      <w:r w:rsidRPr="0043414D">
        <w:rPr>
          <w:rFonts w:ascii="Calibri" w:hAnsi="Calibri" w:cs="Calibri"/>
          <w:noProof/>
        </w:rPr>
        <w:tab/>
        <w:t xml:space="preserve">Henry SL, Howell JW. Use of a relative motion flexion orthosis for postoperative management of zone I/II flexor digitorum profundus repair: A retrospective consecutive case series. J Hand Ther. 2020;33(3):296–304. </w:t>
      </w:r>
    </w:p>
    <w:p w14:paraId="48B1A880"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9. </w:t>
      </w:r>
      <w:r w:rsidRPr="0043414D">
        <w:rPr>
          <w:rFonts w:ascii="Calibri" w:hAnsi="Calibri" w:cs="Calibri"/>
          <w:noProof/>
        </w:rPr>
        <w:tab/>
        <w:t xml:space="preserve">Newington L, Ross R, Howell JW. Relative motion flexion splinting for the rehabilitation of flexor tendon repairs: A systematic review. Hand Ther. 2021;26(3):102–12. </w:t>
      </w:r>
    </w:p>
    <w:p w14:paraId="629A19A1"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10. </w:t>
      </w:r>
      <w:r w:rsidRPr="0043414D">
        <w:rPr>
          <w:rFonts w:ascii="Calibri" w:hAnsi="Calibri" w:cs="Calibri"/>
          <w:noProof/>
        </w:rPr>
        <w:tab/>
        <w:t xml:space="preserve">Öksüz Ç, Arslan ÖB, Baş CE, Ayhan E. Early active movement with relative motion flexion splint for the management of zone 1-2 flexor tendon repairs: Case series. Physiother Theory Pract. 2022;Online:DOI:10.1080/09593985.2022.2073574. </w:t>
      </w:r>
    </w:p>
    <w:p w14:paraId="4CD61B3E"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11. </w:t>
      </w:r>
      <w:r w:rsidRPr="0043414D">
        <w:rPr>
          <w:rFonts w:ascii="Calibri" w:hAnsi="Calibri" w:cs="Calibri"/>
          <w:noProof/>
        </w:rPr>
        <w:tab/>
        <w:t xml:space="preserve">Peters SE, Jha B, Ross M. Rehabilitation following surgery for flexor tendon injuries of the hand. Cochrane Database Syst Rev. 2021;1:CD012479. </w:t>
      </w:r>
    </w:p>
    <w:p w14:paraId="4CDFE6A0"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12. </w:t>
      </w:r>
      <w:r w:rsidRPr="0043414D">
        <w:rPr>
          <w:rFonts w:ascii="Calibri" w:hAnsi="Calibri" w:cs="Calibri"/>
          <w:noProof/>
        </w:rPr>
        <w:tab/>
        <w:t xml:space="preserve">Merritt WH, Howell JW. Relative motion orthoses: The concepts and application to hand therapy management of finger extensor tendon zone III and VII repairs, acute and chronic Boutonniere deformity, and sagittal band injury. In: Skirven T, Osterman A, Fedorczyk J, Amadio P, Feldscher S, Shin E, editors. Rehabilitation of the Hand and Upper Extremity. 7th ed. Philadelphia: Elsevier; 2021. p. 1496–510. </w:t>
      </w:r>
    </w:p>
    <w:p w14:paraId="449F5E71"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13. </w:t>
      </w:r>
      <w:r w:rsidRPr="0043414D">
        <w:rPr>
          <w:rFonts w:ascii="Calibri" w:hAnsi="Calibri" w:cs="Calibri"/>
          <w:noProof/>
        </w:rPr>
        <w:tab/>
        <w:t xml:space="preserve">Sharma J V., Liang NJ, Owen JR, Wayne JS, Isaacs JE. Analysis of Relative Motion Splint in the Treatment of Zone VI Extensor Tendon Injuries. J Hand Surg Am. 2006;31(7):1118–22. </w:t>
      </w:r>
    </w:p>
    <w:p w14:paraId="30F6F87B"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14. </w:t>
      </w:r>
      <w:r w:rsidRPr="0043414D">
        <w:rPr>
          <w:rFonts w:ascii="Calibri" w:hAnsi="Calibri" w:cs="Calibri"/>
          <w:noProof/>
        </w:rPr>
        <w:tab/>
        <w:t xml:space="preserve">Chung B, Chiu DTW, Thanik V. Relative Motion Flexion Splinting for Flexor Tendon Lacerations: Proof of Concept. Hand. 2019;14(2):193–6. </w:t>
      </w:r>
    </w:p>
    <w:p w14:paraId="0DA761F3"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15. </w:t>
      </w:r>
      <w:r w:rsidRPr="0043414D">
        <w:rPr>
          <w:rFonts w:ascii="Calibri" w:hAnsi="Calibri" w:cs="Calibri"/>
          <w:noProof/>
        </w:rPr>
        <w:tab/>
        <w:t xml:space="preserve">Howell JW, Peck F. Rehabilitation of flexor and extensor tendon injuries in the </w:t>
      </w:r>
      <w:r w:rsidRPr="0043414D">
        <w:rPr>
          <w:rFonts w:ascii="Calibri" w:hAnsi="Calibri" w:cs="Calibri"/>
          <w:noProof/>
        </w:rPr>
        <w:lastRenderedPageBreak/>
        <w:t xml:space="preserve">hand: Current updates. Injury. 2013;44(3):397–402. </w:t>
      </w:r>
    </w:p>
    <w:p w14:paraId="696563E4"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16. </w:t>
      </w:r>
      <w:r w:rsidRPr="0043414D">
        <w:rPr>
          <w:rFonts w:ascii="Calibri" w:hAnsi="Calibri" w:cs="Calibri"/>
          <w:noProof/>
        </w:rPr>
        <w:tab/>
        <w:t xml:space="preserve">Merritt WH, Jarrell K. A Paradigm Shift in Managing Acute and Chronic Boutonniere Deformity: Anatomic Rationale and Early Clinical Results for the Relative Motion Concept Permitting Immediate Active Motion and Hand Use. Ann Plast Surg. 2020;84(Suppl 2):S141–50. </w:t>
      </w:r>
    </w:p>
    <w:p w14:paraId="71B62001"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17. </w:t>
      </w:r>
      <w:r w:rsidRPr="0043414D">
        <w:rPr>
          <w:rFonts w:ascii="Calibri" w:hAnsi="Calibri" w:cs="Calibri"/>
          <w:noProof/>
        </w:rPr>
        <w:tab/>
        <w:t xml:space="preserve">Peck FH, Roe AE, Ng CY, Duff C, McGrouther DA, Lees VC. The Manchester short splint: A change to splinting practice in the rehabilitation of zone II flexor tendon repairs. Hand Ther. 2014;19(2):47–53. </w:t>
      </w:r>
    </w:p>
    <w:p w14:paraId="72F6C211"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18. </w:t>
      </w:r>
      <w:r w:rsidRPr="0043414D">
        <w:rPr>
          <w:rFonts w:ascii="Calibri" w:hAnsi="Calibri" w:cs="Calibri"/>
          <w:noProof/>
        </w:rPr>
        <w:tab/>
        <w:t xml:space="preserve">Higgins A, Lalonde DH. Flexor tendon repair postoperative rehabilitation: The Saint John protocol. Plast Reconstr Surg - Glob Open. 2016;4(11):1–3. </w:t>
      </w:r>
    </w:p>
    <w:p w14:paraId="7F80022E"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19. </w:t>
      </w:r>
      <w:r w:rsidRPr="0043414D">
        <w:rPr>
          <w:rFonts w:ascii="Calibri" w:hAnsi="Calibri" w:cs="Calibri"/>
          <w:noProof/>
        </w:rPr>
        <w:tab/>
        <w:t xml:space="preserve">Strickland JW, Glogovac SV. Digital function following flexor tendon repair in Zone II: A comparison of immobilization and controlled passive motion techniques. J Hand Surg Am. 1980;5(6):537–43. </w:t>
      </w:r>
    </w:p>
    <w:p w14:paraId="6CE0903A"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20. </w:t>
      </w:r>
      <w:r w:rsidRPr="0043414D">
        <w:rPr>
          <w:rFonts w:ascii="Calibri" w:hAnsi="Calibri" w:cs="Calibri"/>
          <w:noProof/>
        </w:rPr>
        <w:tab/>
        <w:t xml:space="preserve">Newington L, Lane JC, Holmes DG, Gardiner MD. Variation in patient information and rehabilitation regimens after flexor tendon repair in the United Kingdom. Hand Ther. 2022;27(2):49–57. </w:t>
      </w:r>
    </w:p>
    <w:p w14:paraId="7E09E219"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21. </w:t>
      </w:r>
      <w:r w:rsidRPr="0043414D">
        <w:rPr>
          <w:rFonts w:ascii="Calibri" w:hAnsi="Calibri" w:cs="Calibri"/>
          <w:noProof/>
        </w:rPr>
        <w:tab/>
        <w:t xml:space="preserve">Savage R, Pritchard MG, Thomas M, Newcombe RG. Differential splintage for flexor tendon rehabilitation: An experimental study of its effect on finger flexion strength. J Hand Surg Am. 2005;30(2):168–74. </w:t>
      </w:r>
    </w:p>
    <w:p w14:paraId="5C33E1FA"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22. </w:t>
      </w:r>
      <w:r w:rsidRPr="0043414D">
        <w:rPr>
          <w:rFonts w:ascii="Calibri" w:hAnsi="Calibri" w:cs="Calibri"/>
          <w:noProof/>
        </w:rPr>
        <w:tab/>
        <w:t xml:space="preserve">Tubiana R, Thomine J-M, Mackin E. The arches of the hand. In: Examination of the Hand and Wrist. 2nd ed. Martin Dunitz Ltd; 1998. p. 9–15. </w:t>
      </w:r>
    </w:p>
    <w:p w14:paraId="4D710844"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23. </w:t>
      </w:r>
      <w:r w:rsidRPr="0043414D">
        <w:rPr>
          <w:rFonts w:ascii="Calibri" w:hAnsi="Calibri" w:cs="Calibri"/>
          <w:noProof/>
        </w:rPr>
        <w:tab/>
        <w:t xml:space="preserve">Howell JW, Hirth M. Relative motion orthoses. In: Jacobs M, Austin N, editors. </w:t>
      </w:r>
      <w:r w:rsidRPr="0043414D">
        <w:rPr>
          <w:rFonts w:ascii="Calibri" w:hAnsi="Calibri" w:cs="Calibri"/>
          <w:noProof/>
        </w:rPr>
        <w:lastRenderedPageBreak/>
        <w:t xml:space="preserve">Orthotic intervention for the hand and upper extremity. 3rd ed. Wolters Kluwer; 2021. p. 138–49. </w:t>
      </w:r>
    </w:p>
    <w:p w14:paraId="0456E762"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24. </w:t>
      </w:r>
      <w:r w:rsidRPr="0043414D">
        <w:rPr>
          <w:rFonts w:ascii="Calibri" w:hAnsi="Calibri" w:cs="Calibri"/>
          <w:noProof/>
        </w:rPr>
        <w:tab/>
        <w:t>Howell JW, Hirth MJ. Relative motion flexion splints in the management of finger flexor tendon repairs: an update [Internet]. Vol. 127, Fingerprint: Australian Hand Therapy Association. 2021 [cited 2022 Oct 25]. p. 24–8. Available from: https://issuu.com/ahta/docs/ahta_fingerprint_-_june_2021_v8_wr</w:t>
      </w:r>
    </w:p>
    <w:p w14:paraId="14F74371"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25. </w:t>
      </w:r>
      <w:r w:rsidRPr="0043414D">
        <w:rPr>
          <w:rFonts w:ascii="Calibri" w:hAnsi="Calibri" w:cs="Calibri"/>
          <w:noProof/>
        </w:rPr>
        <w:tab/>
        <w:t xml:space="preserve">Savage R. The influence of wrist position on the minimum force required for active movement of the interphalangeal joints. J Hand Surg [Br]. 1988;13(3):262–8. </w:t>
      </w:r>
    </w:p>
    <w:p w14:paraId="6CE2F94D"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26. </w:t>
      </w:r>
      <w:r w:rsidRPr="0043414D">
        <w:rPr>
          <w:rFonts w:ascii="Calibri" w:hAnsi="Calibri" w:cs="Calibri"/>
          <w:noProof/>
        </w:rPr>
        <w:tab/>
        <w:t xml:space="preserve">Collocott SJF, Kelly E, Foster M, Myhr H, Wang A, Ellis RF. A randomized clinical trial comparing early active motion programs: Earlier hand function, TAM, and orthotic satisfaction with a relative motion extension program for zones V and VI extensor tendon repairs. J Hand Ther. 2019;33(1):13–24. </w:t>
      </w:r>
    </w:p>
    <w:p w14:paraId="5A82E21A"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27. </w:t>
      </w:r>
      <w:r w:rsidRPr="0043414D">
        <w:rPr>
          <w:rFonts w:ascii="Calibri" w:hAnsi="Calibri" w:cs="Calibri"/>
          <w:noProof/>
        </w:rPr>
        <w:tab/>
        <w:t xml:space="preserve">Tang JB. Rehabilitation after flexor tendon repair and others: a safe and efficient protocol. J Hand Surg Eur Vol. 2021;46(8):813–7. </w:t>
      </w:r>
    </w:p>
    <w:p w14:paraId="6A28E545"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28. </w:t>
      </w:r>
      <w:r w:rsidRPr="0043414D">
        <w:rPr>
          <w:rFonts w:ascii="Calibri" w:hAnsi="Calibri" w:cs="Calibri"/>
          <w:noProof/>
        </w:rPr>
        <w:tab/>
        <w:t xml:space="preserve">Salmons S. Muscles. In: Williams P, editor. Gray’s Anatomy: The anatomical basis of medicine and surgery. 38th ed. Churchill Livingstone; 1995. p. 848. </w:t>
      </w:r>
    </w:p>
    <w:p w14:paraId="3DF08280"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29. </w:t>
      </w:r>
      <w:r w:rsidRPr="0043414D">
        <w:rPr>
          <w:rFonts w:ascii="Calibri" w:hAnsi="Calibri" w:cs="Calibri"/>
          <w:noProof/>
        </w:rPr>
        <w:tab/>
        <w:t xml:space="preserve">van Duinen H, Yu WS, Gandevia SC. Limited ability to extend the digits of the human hand independently with extensor digitorum. J Physiol. 2009;587(20):4799–810. </w:t>
      </w:r>
    </w:p>
    <w:p w14:paraId="4ECB3AB2"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30. </w:t>
      </w:r>
      <w:r w:rsidRPr="0043414D">
        <w:rPr>
          <w:rFonts w:ascii="Calibri" w:hAnsi="Calibri" w:cs="Calibri"/>
          <w:noProof/>
        </w:rPr>
        <w:tab/>
        <w:t xml:space="preserve">Reilly KT, Schieber MH. Incomplete functional subdivision of the human multitendoned finger muscle flexor digitorum profundus: An electromyographic </w:t>
      </w:r>
      <w:r w:rsidRPr="0043414D">
        <w:rPr>
          <w:rFonts w:ascii="Calibri" w:hAnsi="Calibri" w:cs="Calibri"/>
          <w:noProof/>
        </w:rPr>
        <w:lastRenderedPageBreak/>
        <w:t xml:space="preserve">study. J Neurophysiol. 2003;90(4):2560–70. </w:t>
      </w:r>
    </w:p>
    <w:p w14:paraId="6597A277"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31. </w:t>
      </w:r>
      <w:r w:rsidRPr="0043414D">
        <w:rPr>
          <w:rFonts w:ascii="Calibri" w:hAnsi="Calibri" w:cs="Calibri"/>
          <w:noProof/>
        </w:rPr>
        <w:tab/>
        <w:t xml:space="preserve">Tang JB, Lalonde D, Harhaus L, Sadek AF, Moriya K, Pan ZJ. Flexor tendon repair: recent changes and current methods. J Hand Surg [Eur]. 2022;47(1):31–9. </w:t>
      </w:r>
    </w:p>
    <w:p w14:paraId="0540AD57"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32. </w:t>
      </w:r>
      <w:r w:rsidRPr="0043414D">
        <w:rPr>
          <w:rFonts w:ascii="Calibri" w:hAnsi="Calibri" w:cs="Calibri"/>
          <w:noProof/>
        </w:rPr>
        <w:tab/>
        <w:t xml:space="preserve">Tobler-Ammann B, Beckmann-Fries V, Calcagni M, Kampfen A, Schrepfer L, Vogelin E. Outcomes after zone 3 primary finger flexor tendon repair: a retrospective matched case-control study with zone 2. J Hand Surg [Eur]. 2022;47(Suppl 1):S64-65. </w:t>
      </w:r>
    </w:p>
    <w:p w14:paraId="1D468A9F"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33. </w:t>
      </w:r>
      <w:r w:rsidRPr="0043414D">
        <w:rPr>
          <w:rFonts w:ascii="Calibri" w:hAnsi="Calibri" w:cs="Calibri"/>
          <w:noProof/>
        </w:rPr>
        <w:tab/>
        <w:t xml:space="preserve">Ayhan E, Tuna Z, Oksuz C. Getting better results in flexor tendon surgery and therapy. Plast Reconstr Surg - Glob Open. 2021;9:e3432. </w:t>
      </w:r>
    </w:p>
    <w:p w14:paraId="3640A917"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34. </w:t>
      </w:r>
      <w:r w:rsidRPr="0043414D">
        <w:rPr>
          <w:rFonts w:ascii="Calibri" w:hAnsi="Calibri" w:cs="Calibri"/>
          <w:noProof/>
        </w:rPr>
        <w:tab/>
        <w:t>British Society for Surgery of the Hand. Lacerations with flexor tendon involvement [Internet]. 2014 [cited 2021 Oct 12]. Available from: https://www.bssh.ac.uk/_userfiles/pages/files/professionals/Trauma standards/3 Flexor tendon final.pdf</w:t>
      </w:r>
    </w:p>
    <w:p w14:paraId="69A39B17"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35. </w:t>
      </w:r>
      <w:r w:rsidRPr="0043414D">
        <w:rPr>
          <w:rFonts w:ascii="Calibri" w:hAnsi="Calibri" w:cs="Calibri"/>
          <w:noProof/>
        </w:rPr>
        <w:tab/>
        <w:t xml:space="preserve">Tang JB. Recent evolutions in flexor tendon repairs and rehabilitation. J Hand Surg [Eur]. 2018;43(5):469–73. </w:t>
      </w:r>
    </w:p>
    <w:p w14:paraId="4481A2FD"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36. </w:t>
      </w:r>
      <w:r w:rsidRPr="0043414D">
        <w:rPr>
          <w:rFonts w:ascii="Calibri" w:hAnsi="Calibri" w:cs="Calibri"/>
          <w:noProof/>
        </w:rPr>
        <w:tab/>
        <w:t xml:space="preserve">Tang JB. New developments are improving flexor tendon repair. Plast Reconstr Surg. 2018;141(6):1427–37. </w:t>
      </w:r>
    </w:p>
    <w:p w14:paraId="3C569163"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37. </w:t>
      </w:r>
      <w:r w:rsidRPr="0043414D">
        <w:rPr>
          <w:rFonts w:ascii="Calibri" w:hAnsi="Calibri" w:cs="Calibri"/>
          <w:noProof/>
        </w:rPr>
        <w:tab/>
        <w:t xml:space="preserve">Lalonde DH. Latest Advances in Wide Awake Hand Surgery. Hand Clin. 2019;35(1):1–6. </w:t>
      </w:r>
    </w:p>
    <w:p w14:paraId="601455C2"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38. </w:t>
      </w:r>
      <w:r w:rsidRPr="0043414D">
        <w:rPr>
          <w:rFonts w:ascii="Calibri" w:hAnsi="Calibri" w:cs="Calibri"/>
          <w:noProof/>
        </w:rPr>
        <w:tab/>
        <w:t xml:space="preserve">Johnson SP, Kelley BP, Waljee JF, Chung KC. Effect of Time to Hand Therapy following Zone II Flexor Tendon Repair. Plast Reconstr Surg - Glob Open. 2020;8:e3278. </w:t>
      </w:r>
    </w:p>
    <w:p w14:paraId="072AE8AB"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lastRenderedPageBreak/>
        <w:t xml:space="preserve">39. </w:t>
      </w:r>
      <w:r w:rsidRPr="0043414D">
        <w:rPr>
          <w:rFonts w:ascii="Calibri" w:hAnsi="Calibri" w:cs="Calibri"/>
          <w:noProof/>
        </w:rPr>
        <w:tab/>
        <w:t xml:space="preserve">Hirth MJ, Howell JW, Brown T, O’Brien L. Relative motion extension management of zones V and VI extensor tendon repairs: Does international practice align with the current evidence? J Hand Ther. 2021;34(1):76–89. </w:t>
      </w:r>
    </w:p>
    <w:p w14:paraId="142C9EE6"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40. </w:t>
      </w:r>
      <w:r w:rsidRPr="0043414D">
        <w:rPr>
          <w:rFonts w:ascii="Calibri" w:hAnsi="Calibri" w:cs="Calibri"/>
          <w:noProof/>
        </w:rPr>
        <w:tab/>
        <w:t xml:space="preserve">Johnson D, Barradas R, Newington L. Inter-rater and intra-rater reliability of finger goniometry measured from screenshots taken via video consultation. J Hand Sugery [Eur]. 2022;In press. </w:t>
      </w:r>
    </w:p>
    <w:p w14:paraId="0ED88891"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41. </w:t>
      </w:r>
      <w:r w:rsidRPr="0043414D">
        <w:rPr>
          <w:rFonts w:ascii="Calibri" w:hAnsi="Calibri" w:cs="Calibri"/>
          <w:noProof/>
        </w:rPr>
        <w:tab/>
        <w:t xml:space="preserve">Dy C, Hernandez-Soria A, Ma Y, Roberts T, Daluiski A. Complications after flexor tendon repair: a systematic review and meta-analysis. J Hand Sugery [Am]. 2012;37(3):543–51. </w:t>
      </w:r>
    </w:p>
    <w:p w14:paraId="23FBE032"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42. </w:t>
      </w:r>
      <w:r w:rsidRPr="0043414D">
        <w:rPr>
          <w:rFonts w:ascii="Calibri" w:hAnsi="Calibri" w:cs="Calibri"/>
          <w:noProof/>
        </w:rPr>
        <w:tab/>
        <w:t xml:space="preserve">Harris SB, Harris D, Foster AJ, Elliot D. The aetiology of acute rupture of flexor tendon repairs in zones 1 and 2 ofthe fingers during early mobilization. J Hand Surg [Br]. 1999;24 B(3):275–80. </w:t>
      </w:r>
    </w:p>
    <w:p w14:paraId="10D49683"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43. </w:t>
      </w:r>
      <w:r w:rsidRPr="0043414D">
        <w:rPr>
          <w:rFonts w:ascii="Calibri" w:hAnsi="Calibri" w:cs="Calibri"/>
          <w:noProof/>
        </w:rPr>
        <w:tab/>
        <w:t xml:space="preserve">Zhou Y, Krishna S, Sharplin PK. Management and outcomes of flexor tendon repairs at a peripheral hospital: a New Zealand case series study. ANZ J Surg. 2022;92(7–8):1668–74. </w:t>
      </w:r>
    </w:p>
    <w:p w14:paraId="469EE9D8"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44. </w:t>
      </w:r>
      <w:r w:rsidRPr="0043414D">
        <w:rPr>
          <w:rFonts w:ascii="Calibri" w:hAnsi="Calibri" w:cs="Calibri"/>
          <w:noProof/>
        </w:rPr>
        <w:tab/>
        <w:t xml:space="preserve">Hauri T, Vogelin E, Tobler B. First results of patients after flexor tendon injuries in zone I and II treated with the “Manchester Short Splint” and “Relative Motion Flexion” compared to the “Controlled Active Motion” protocol. J Hand Surg [Eur]. 2022;47(Suppl 1):S102. </w:t>
      </w:r>
    </w:p>
    <w:p w14:paraId="597DDD88"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45. </w:t>
      </w:r>
      <w:r w:rsidRPr="0043414D">
        <w:rPr>
          <w:rFonts w:ascii="Calibri" w:hAnsi="Calibri" w:cs="Calibri"/>
          <w:noProof/>
        </w:rPr>
        <w:tab/>
        <w:t xml:space="preserve">Selles RW, Wouters RM, Poelstra R, Van Der Oest MJW, Porsius JT, Hovius SER, et al. Routine Health Outcome Measurement: Development, Design, and Implementation of the Hand and Wrist Cohort. Plast Reconstr Surg. </w:t>
      </w:r>
      <w:r w:rsidRPr="0043414D">
        <w:rPr>
          <w:rFonts w:ascii="Calibri" w:hAnsi="Calibri" w:cs="Calibri"/>
          <w:noProof/>
        </w:rPr>
        <w:lastRenderedPageBreak/>
        <w:t xml:space="preserve">2020;146(2):343–54. </w:t>
      </w:r>
    </w:p>
    <w:p w14:paraId="4CA890FC"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46. </w:t>
      </w:r>
      <w:r w:rsidRPr="0043414D">
        <w:rPr>
          <w:rFonts w:ascii="Calibri" w:hAnsi="Calibri" w:cs="Calibri"/>
          <w:noProof/>
        </w:rPr>
        <w:tab/>
        <w:t xml:space="preserve">Hutting N, Caneiro JP, Ong’wen OM, Miciak M, Roberts L. Patient-centered care in musculoskeletal practice: Key elements to support clinicians to focus on the person. Musculoskelet Sci Pract. 2022;57:102434. </w:t>
      </w:r>
    </w:p>
    <w:p w14:paraId="79CEE092" w14:textId="77777777" w:rsidR="0043414D" w:rsidRPr="0043414D" w:rsidRDefault="0043414D" w:rsidP="0043414D">
      <w:pPr>
        <w:widowControl w:val="0"/>
        <w:autoSpaceDE w:val="0"/>
        <w:autoSpaceDN w:val="0"/>
        <w:adjustRightInd w:val="0"/>
        <w:spacing w:line="480" w:lineRule="auto"/>
        <w:ind w:left="640" w:hanging="640"/>
        <w:rPr>
          <w:rFonts w:ascii="Calibri" w:hAnsi="Calibri" w:cs="Calibri"/>
          <w:noProof/>
        </w:rPr>
      </w:pPr>
      <w:r w:rsidRPr="0043414D">
        <w:rPr>
          <w:rFonts w:ascii="Calibri" w:hAnsi="Calibri" w:cs="Calibri"/>
          <w:noProof/>
        </w:rPr>
        <w:t xml:space="preserve">47. </w:t>
      </w:r>
      <w:r w:rsidRPr="0043414D">
        <w:rPr>
          <w:rFonts w:ascii="Calibri" w:hAnsi="Calibri" w:cs="Calibri"/>
          <w:noProof/>
        </w:rPr>
        <w:tab/>
        <w:t>Bamford E, Drummond A, Selby A, Thokala P, Beale S, Johnson N, et al. Prospective randomised controlled trial comparing three splints for finger flexor tendon repairs (FIRST) [Internet]. 2022 [cited 2022 Jun 1]. Available from: https://fundingawards.nihr.ac.uk/award/NIHR133582</w:t>
      </w:r>
    </w:p>
    <w:p w14:paraId="5781B2D0" w14:textId="31BEA5D1" w:rsidR="0007699F" w:rsidRDefault="0007699F" w:rsidP="000564C3">
      <w:pPr>
        <w:widowControl w:val="0"/>
        <w:autoSpaceDE w:val="0"/>
        <w:autoSpaceDN w:val="0"/>
        <w:adjustRightInd w:val="0"/>
        <w:spacing w:line="480" w:lineRule="auto"/>
        <w:ind w:left="640" w:hanging="640"/>
        <w:rPr>
          <w:rFonts w:ascii="Calibri" w:eastAsia="Calibri" w:hAnsi="Calibri" w:cs="Calibri"/>
          <w:color w:val="000000"/>
          <w:sz w:val="20"/>
          <w:szCs w:val="20"/>
        </w:rPr>
      </w:pPr>
      <w:r w:rsidRPr="0057036F">
        <w:rPr>
          <w:rFonts w:ascii="Calibri" w:eastAsia="Calibri" w:hAnsi="Calibri" w:cs="Calibri"/>
          <w:color w:val="000000"/>
        </w:rPr>
        <w:fldChar w:fldCharType="end"/>
      </w:r>
    </w:p>
    <w:sectPr w:rsidR="0007699F" w:rsidSect="00253BD0">
      <w:footerReference w:type="even" r:id="rId13"/>
      <w:footerReference w:type="default" r:id="rId14"/>
      <w:pgSz w:w="12240" w:h="15840"/>
      <w:pgMar w:top="1440" w:right="1800" w:bottom="1440" w:left="1800" w:header="720" w:footer="720" w:gutter="0"/>
      <w:lnNumType w:countBy="1" w:restart="continuou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6AD93" w14:textId="77777777" w:rsidR="00EF6B28" w:rsidRDefault="00EF6B28">
      <w:r>
        <w:separator/>
      </w:r>
    </w:p>
  </w:endnote>
  <w:endnote w:type="continuationSeparator" w:id="0">
    <w:p w14:paraId="52920631" w14:textId="77777777" w:rsidR="00EF6B28" w:rsidRDefault="00EF6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badi">
    <w:altName w:val="Calibri"/>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BD328" w14:textId="77777777" w:rsidR="00F22A15" w:rsidRDefault="00FB652A">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000000">
      <w:rPr>
        <w:color w:val="000000"/>
      </w:rPr>
      <w:fldChar w:fldCharType="separate"/>
    </w:r>
    <w:r>
      <w:rPr>
        <w:color w:val="000000"/>
      </w:rPr>
      <w:fldChar w:fldCharType="end"/>
    </w:r>
  </w:p>
  <w:p w14:paraId="039084C5" w14:textId="77777777" w:rsidR="00F22A15" w:rsidRDefault="00F22A15">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845CE" w14:textId="77777777" w:rsidR="00F22A15" w:rsidRDefault="00FB652A">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E83DED">
      <w:rPr>
        <w:noProof/>
        <w:color w:val="000000"/>
      </w:rPr>
      <w:t>1</w:t>
    </w:r>
    <w:r>
      <w:rPr>
        <w:color w:val="000000"/>
      </w:rPr>
      <w:fldChar w:fldCharType="end"/>
    </w:r>
  </w:p>
  <w:p w14:paraId="105AC854" w14:textId="77777777" w:rsidR="00F22A15" w:rsidRDefault="00F22A15">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D4CAA" w14:textId="77777777" w:rsidR="00EF6B28" w:rsidRDefault="00EF6B28">
      <w:r>
        <w:separator/>
      </w:r>
    </w:p>
  </w:footnote>
  <w:footnote w:type="continuationSeparator" w:id="0">
    <w:p w14:paraId="7C0EE945" w14:textId="77777777" w:rsidR="00EF6B28" w:rsidRDefault="00EF6B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41C7"/>
    <w:multiLevelType w:val="multilevel"/>
    <w:tmpl w:val="43406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0F6AF2"/>
    <w:multiLevelType w:val="hybridMultilevel"/>
    <w:tmpl w:val="3474D812"/>
    <w:lvl w:ilvl="0" w:tplc="ED7C63C6">
      <w:numFmt w:val="bullet"/>
      <w:lvlText w:val="-"/>
      <w:lvlJc w:val="left"/>
      <w:pPr>
        <w:ind w:left="720" w:hanging="360"/>
      </w:pPr>
      <w:rPr>
        <w:rFonts w:ascii="Calibri" w:eastAsia="Cambr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347104"/>
    <w:multiLevelType w:val="multilevel"/>
    <w:tmpl w:val="E1506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1F088D"/>
    <w:multiLevelType w:val="hybridMultilevel"/>
    <w:tmpl w:val="5D644ACC"/>
    <w:lvl w:ilvl="0" w:tplc="49B2C9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97139366">
    <w:abstractNumId w:val="0"/>
  </w:num>
  <w:num w:numId="2" w16cid:durableId="1701858547">
    <w:abstractNumId w:val="2"/>
  </w:num>
  <w:num w:numId="3" w16cid:durableId="1855682647">
    <w:abstractNumId w:val="1"/>
  </w:num>
  <w:num w:numId="4" w16cid:durableId="1243485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A15"/>
    <w:rsid w:val="0000136B"/>
    <w:rsid w:val="000014AE"/>
    <w:rsid w:val="00005E66"/>
    <w:rsid w:val="00007206"/>
    <w:rsid w:val="00011A07"/>
    <w:rsid w:val="000130CA"/>
    <w:rsid w:val="00013AD8"/>
    <w:rsid w:val="00015645"/>
    <w:rsid w:val="000165F5"/>
    <w:rsid w:val="00020342"/>
    <w:rsid w:val="00023FEF"/>
    <w:rsid w:val="00027629"/>
    <w:rsid w:val="00027FDA"/>
    <w:rsid w:val="00040416"/>
    <w:rsid w:val="00047F9D"/>
    <w:rsid w:val="00051851"/>
    <w:rsid w:val="00053E34"/>
    <w:rsid w:val="000564C3"/>
    <w:rsid w:val="00056E62"/>
    <w:rsid w:val="00060B1B"/>
    <w:rsid w:val="00060E0E"/>
    <w:rsid w:val="0006637A"/>
    <w:rsid w:val="000675CB"/>
    <w:rsid w:val="00072435"/>
    <w:rsid w:val="0007699F"/>
    <w:rsid w:val="00077B67"/>
    <w:rsid w:val="000A1A80"/>
    <w:rsid w:val="000A1D6B"/>
    <w:rsid w:val="000A55F5"/>
    <w:rsid w:val="000B3539"/>
    <w:rsid w:val="000B3D6F"/>
    <w:rsid w:val="000E0C53"/>
    <w:rsid w:val="000E7E0A"/>
    <w:rsid w:val="000F0B15"/>
    <w:rsid w:val="000F44B4"/>
    <w:rsid w:val="000F5003"/>
    <w:rsid w:val="000F7D90"/>
    <w:rsid w:val="00100407"/>
    <w:rsid w:val="001013D2"/>
    <w:rsid w:val="001036AA"/>
    <w:rsid w:val="0010799C"/>
    <w:rsid w:val="00117348"/>
    <w:rsid w:val="00127723"/>
    <w:rsid w:val="00130693"/>
    <w:rsid w:val="00133563"/>
    <w:rsid w:val="00133E1B"/>
    <w:rsid w:val="001440D0"/>
    <w:rsid w:val="00151981"/>
    <w:rsid w:val="001607C7"/>
    <w:rsid w:val="00170046"/>
    <w:rsid w:val="00182D62"/>
    <w:rsid w:val="001932C7"/>
    <w:rsid w:val="0019550E"/>
    <w:rsid w:val="001A21C3"/>
    <w:rsid w:val="001A37E3"/>
    <w:rsid w:val="001A54E5"/>
    <w:rsid w:val="001A7792"/>
    <w:rsid w:val="001B0196"/>
    <w:rsid w:val="001B14AC"/>
    <w:rsid w:val="001B2270"/>
    <w:rsid w:val="001B440A"/>
    <w:rsid w:val="001B447B"/>
    <w:rsid w:val="001C36E3"/>
    <w:rsid w:val="001C372A"/>
    <w:rsid w:val="001D31AF"/>
    <w:rsid w:val="001D49A2"/>
    <w:rsid w:val="001D5180"/>
    <w:rsid w:val="001E0337"/>
    <w:rsid w:val="001E0A37"/>
    <w:rsid w:val="001F07A6"/>
    <w:rsid w:val="00201131"/>
    <w:rsid w:val="00201FEB"/>
    <w:rsid w:val="00205C52"/>
    <w:rsid w:val="00226B4A"/>
    <w:rsid w:val="002272DB"/>
    <w:rsid w:val="00232C54"/>
    <w:rsid w:val="00233064"/>
    <w:rsid w:val="002377F4"/>
    <w:rsid w:val="00237F2B"/>
    <w:rsid w:val="002416E6"/>
    <w:rsid w:val="00245FF6"/>
    <w:rsid w:val="00253BD0"/>
    <w:rsid w:val="00262117"/>
    <w:rsid w:val="00264117"/>
    <w:rsid w:val="002702D4"/>
    <w:rsid w:val="002A6042"/>
    <w:rsid w:val="002B30D3"/>
    <w:rsid w:val="002B7E02"/>
    <w:rsid w:val="002C6E76"/>
    <w:rsid w:val="002C721B"/>
    <w:rsid w:val="002D36D1"/>
    <w:rsid w:val="002D4F4D"/>
    <w:rsid w:val="002D5ADE"/>
    <w:rsid w:val="002D6926"/>
    <w:rsid w:val="002E128A"/>
    <w:rsid w:val="002E1436"/>
    <w:rsid w:val="002E2E16"/>
    <w:rsid w:val="002F004A"/>
    <w:rsid w:val="002F02D4"/>
    <w:rsid w:val="002F7A0B"/>
    <w:rsid w:val="00302607"/>
    <w:rsid w:val="003032DC"/>
    <w:rsid w:val="00311B56"/>
    <w:rsid w:val="00312C6E"/>
    <w:rsid w:val="0031411C"/>
    <w:rsid w:val="00315C1E"/>
    <w:rsid w:val="003235B9"/>
    <w:rsid w:val="003243C9"/>
    <w:rsid w:val="003253FF"/>
    <w:rsid w:val="00327939"/>
    <w:rsid w:val="00333CC9"/>
    <w:rsid w:val="0033731F"/>
    <w:rsid w:val="00340CAF"/>
    <w:rsid w:val="00345587"/>
    <w:rsid w:val="00351855"/>
    <w:rsid w:val="00353F5E"/>
    <w:rsid w:val="00362226"/>
    <w:rsid w:val="0037492B"/>
    <w:rsid w:val="00374AE0"/>
    <w:rsid w:val="00375BBB"/>
    <w:rsid w:val="003770A3"/>
    <w:rsid w:val="00382D54"/>
    <w:rsid w:val="00383279"/>
    <w:rsid w:val="00383412"/>
    <w:rsid w:val="00384BCF"/>
    <w:rsid w:val="00394982"/>
    <w:rsid w:val="00397048"/>
    <w:rsid w:val="00397D00"/>
    <w:rsid w:val="003A40C6"/>
    <w:rsid w:val="003A4CBD"/>
    <w:rsid w:val="003A67F3"/>
    <w:rsid w:val="003B3309"/>
    <w:rsid w:val="003C696D"/>
    <w:rsid w:val="003D0F0B"/>
    <w:rsid w:val="003E76D2"/>
    <w:rsid w:val="003F27D2"/>
    <w:rsid w:val="003F552D"/>
    <w:rsid w:val="0040407A"/>
    <w:rsid w:val="00405D4F"/>
    <w:rsid w:val="00407596"/>
    <w:rsid w:val="0042528F"/>
    <w:rsid w:val="00432EF5"/>
    <w:rsid w:val="0043414D"/>
    <w:rsid w:val="00454B8F"/>
    <w:rsid w:val="0046265C"/>
    <w:rsid w:val="00472FDE"/>
    <w:rsid w:val="00473892"/>
    <w:rsid w:val="004777AA"/>
    <w:rsid w:val="0048023E"/>
    <w:rsid w:val="00480726"/>
    <w:rsid w:val="0048127E"/>
    <w:rsid w:val="00487408"/>
    <w:rsid w:val="004937A7"/>
    <w:rsid w:val="00494700"/>
    <w:rsid w:val="004A1524"/>
    <w:rsid w:val="004A2541"/>
    <w:rsid w:val="004B4BD3"/>
    <w:rsid w:val="004C04FF"/>
    <w:rsid w:val="004C09E7"/>
    <w:rsid w:val="004C21CD"/>
    <w:rsid w:val="004C2DC2"/>
    <w:rsid w:val="004D1425"/>
    <w:rsid w:val="004D5BB1"/>
    <w:rsid w:val="004D5FC9"/>
    <w:rsid w:val="004E4EAE"/>
    <w:rsid w:val="004E6B3A"/>
    <w:rsid w:val="004E6EFA"/>
    <w:rsid w:val="004F278D"/>
    <w:rsid w:val="004F31EA"/>
    <w:rsid w:val="0050612E"/>
    <w:rsid w:val="00524FFD"/>
    <w:rsid w:val="0053657D"/>
    <w:rsid w:val="0054707E"/>
    <w:rsid w:val="00553985"/>
    <w:rsid w:val="005607BB"/>
    <w:rsid w:val="005629AB"/>
    <w:rsid w:val="005665AA"/>
    <w:rsid w:val="005673E6"/>
    <w:rsid w:val="0057036F"/>
    <w:rsid w:val="00570C94"/>
    <w:rsid w:val="00577722"/>
    <w:rsid w:val="00585BB2"/>
    <w:rsid w:val="00592D9A"/>
    <w:rsid w:val="0059337D"/>
    <w:rsid w:val="005951DB"/>
    <w:rsid w:val="005A1A3A"/>
    <w:rsid w:val="005A1C61"/>
    <w:rsid w:val="005A6177"/>
    <w:rsid w:val="005A7A7F"/>
    <w:rsid w:val="005B0201"/>
    <w:rsid w:val="005B4A0A"/>
    <w:rsid w:val="005B6A27"/>
    <w:rsid w:val="005C2016"/>
    <w:rsid w:val="005C5585"/>
    <w:rsid w:val="005D159C"/>
    <w:rsid w:val="005D27EB"/>
    <w:rsid w:val="005D3F7D"/>
    <w:rsid w:val="005E3387"/>
    <w:rsid w:val="005E4569"/>
    <w:rsid w:val="005E6C73"/>
    <w:rsid w:val="005F09F5"/>
    <w:rsid w:val="005F2DFD"/>
    <w:rsid w:val="005F7BB5"/>
    <w:rsid w:val="00601E8A"/>
    <w:rsid w:val="006021AA"/>
    <w:rsid w:val="006032CE"/>
    <w:rsid w:val="00612490"/>
    <w:rsid w:val="006240A4"/>
    <w:rsid w:val="00624FB6"/>
    <w:rsid w:val="00641406"/>
    <w:rsid w:val="0064597C"/>
    <w:rsid w:val="00650F08"/>
    <w:rsid w:val="0065505D"/>
    <w:rsid w:val="00657E3F"/>
    <w:rsid w:val="00661CE9"/>
    <w:rsid w:val="00665732"/>
    <w:rsid w:val="006731F4"/>
    <w:rsid w:val="00677092"/>
    <w:rsid w:val="00680934"/>
    <w:rsid w:val="006877CE"/>
    <w:rsid w:val="006947B8"/>
    <w:rsid w:val="006A0154"/>
    <w:rsid w:val="006A15C0"/>
    <w:rsid w:val="006B2FD8"/>
    <w:rsid w:val="006C5374"/>
    <w:rsid w:val="006D35F2"/>
    <w:rsid w:val="006F081A"/>
    <w:rsid w:val="006F63C8"/>
    <w:rsid w:val="00703655"/>
    <w:rsid w:val="007117A0"/>
    <w:rsid w:val="00716CDE"/>
    <w:rsid w:val="00720716"/>
    <w:rsid w:val="00725B59"/>
    <w:rsid w:val="00726A0A"/>
    <w:rsid w:val="00732385"/>
    <w:rsid w:val="00743C6A"/>
    <w:rsid w:val="0075639E"/>
    <w:rsid w:val="00763C73"/>
    <w:rsid w:val="00764ED1"/>
    <w:rsid w:val="00772BA1"/>
    <w:rsid w:val="00775607"/>
    <w:rsid w:val="00776E8F"/>
    <w:rsid w:val="00783784"/>
    <w:rsid w:val="00785B78"/>
    <w:rsid w:val="00792373"/>
    <w:rsid w:val="00793308"/>
    <w:rsid w:val="00795BFC"/>
    <w:rsid w:val="00796CEB"/>
    <w:rsid w:val="00796DD6"/>
    <w:rsid w:val="00797E39"/>
    <w:rsid w:val="007A42F5"/>
    <w:rsid w:val="007A75B2"/>
    <w:rsid w:val="007B7C2D"/>
    <w:rsid w:val="007C77E4"/>
    <w:rsid w:val="007C7DE6"/>
    <w:rsid w:val="007E325B"/>
    <w:rsid w:val="007E4B46"/>
    <w:rsid w:val="007E5102"/>
    <w:rsid w:val="007F0EC7"/>
    <w:rsid w:val="007F1B20"/>
    <w:rsid w:val="007F3854"/>
    <w:rsid w:val="007F45D7"/>
    <w:rsid w:val="007F5D83"/>
    <w:rsid w:val="007F79BA"/>
    <w:rsid w:val="00804360"/>
    <w:rsid w:val="00805B51"/>
    <w:rsid w:val="00805FBB"/>
    <w:rsid w:val="008074F3"/>
    <w:rsid w:val="00807D6A"/>
    <w:rsid w:val="008125FF"/>
    <w:rsid w:val="00817B6F"/>
    <w:rsid w:val="00822845"/>
    <w:rsid w:val="00822981"/>
    <w:rsid w:val="00822F64"/>
    <w:rsid w:val="0084014C"/>
    <w:rsid w:val="00841359"/>
    <w:rsid w:val="008450CA"/>
    <w:rsid w:val="008459D3"/>
    <w:rsid w:val="00846237"/>
    <w:rsid w:val="00846868"/>
    <w:rsid w:val="00854631"/>
    <w:rsid w:val="00854AE8"/>
    <w:rsid w:val="00856F10"/>
    <w:rsid w:val="00857C36"/>
    <w:rsid w:val="008621FC"/>
    <w:rsid w:val="00863844"/>
    <w:rsid w:val="00863E48"/>
    <w:rsid w:val="00866AD3"/>
    <w:rsid w:val="00867035"/>
    <w:rsid w:val="00872A40"/>
    <w:rsid w:val="008732F8"/>
    <w:rsid w:val="00885704"/>
    <w:rsid w:val="008A023F"/>
    <w:rsid w:val="008A57E7"/>
    <w:rsid w:val="008A7B5C"/>
    <w:rsid w:val="008B6C00"/>
    <w:rsid w:val="008B721A"/>
    <w:rsid w:val="008C23B7"/>
    <w:rsid w:val="008D5F2F"/>
    <w:rsid w:val="0090316C"/>
    <w:rsid w:val="009065F8"/>
    <w:rsid w:val="00912442"/>
    <w:rsid w:val="00915849"/>
    <w:rsid w:val="00917199"/>
    <w:rsid w:val="00922FAB"/>
    <w:rsid w:val="0092682E"/>
    <w:rsid w:val="00927B4C"/>
    <w:rsid w:val="009317B3"/>
    <w:rsid w:val="00935AF0"/>
    <w:rsid w:val="009417B9"/>
    <w:rsid w:val="009440E8"/>
    <w:rsid w:val="009460B1"/>
    <w:rsid w:val="00946585"/>
    <w:rsid w:val="00950475"/>
    <w:rsid w:val="00951296"/>
    <w:rsid w:val="009531A4"/>
    <w:rsid w:val="00956DF3"/>
    <w:rsid w:val="0097234D"/>
    <w:rsid w:val="009901EB"/>
    <w:rsid w:val="0099043B"/>
    <w:rsid w:val="00991709"/>
    <w:rsid w:val="00992562"/>
    <w:rsid w:val="009A2DD9"/>
    <w:rsid w:val="009A5299"/>
    <w:rsid w:val="009B055E"/>
    <w:rsid w:val="009B36A4"/>
    <w:rsid w:val="009B495F"/>
    <w:rsid w:val="009C7486"/>
    <w:rsid w:val="009D0904"/>
    <w:rsid w:val="009D2B22"/>
    <w:rsid w:val="009D2BB9"/>
    <w:rsid w:val="009E2658"/>
    <w:rsid w:val="009E4364"/>
    <w:rsid w:val="009F480C"/>
    <w:rsid w:val="00A00141"/>
    <w:rsid w:val="00A01339"/>
    <w:rsid w:val="00A02F33"/>
    <w:rsid w:val="00A04B91"/>
    <w:rsid w:val="00A11055"/>
    <w:rsid w:val="00A12185"/>
    <w:rsid w:val="00A14632"/>
    <w:rsid w:val="00A15C7A"/>
    <w:rsid w:val="00A17E90"/>
    <w:rsid w:val="00A21A63"/>
    <w:rsid w:val="00A2444D"/>
    <w:rsid w:val="00A339FF"/>
    <w:rsid w:val="00A33F01"/>
    <w:rsid w:val="00A36DB6"/>
    <w:rsid w:val="00A40EB6"/>
    <w:rsid w:val="00A44E32"/>
    <w:rsid w:val="00A50831"/>
    <w:rsid w:val="00A51635"/>
    <w:rsid w:val="00A557F2"/>
    <w:rsid w:val="00A6359A"/>
    <w:rsid w:val="00A65114"/>
    <w:rsid w:val="00A652AD"/>
    <w:rsid w:val="00A74ADF"/>
    <w:rsid w:val="00A74D7E"/>
    <w:rsid w:val="00A759B0"/>
    <w:rsid w:val="00A825E4"/>
    <w:rsid w:val="00A8284F"/>
    <w:rsid w:val="00AA0AF6"/>
    <w:rsid w:val="00AA1091"/>
    <w:rsid w:val="00AB2697"/>
    <w:rsid w:val="00AB2C20"/>
    <w:rsid w:val="00AB2E59"/>
    <w:rsid w:val="00AB48A9"/>
    <w:rsid w:val="00AB7574"/>
    <w:rsid w:val="00AC029A"/>
    <w:rsid w:val="00AC3326"/>
    <w:rsid w:val="00AC778C"/>
    <w:rsid w:val="00AD3245"/>
    <w:rsid w:val="00AD34F8"/>
    <w:rsid w:val="00AE0E12"/>
    <w:rsid w:val="00AE68C3"/>
    <w:rsid w:val="00AF464E"/>
    <w:rsid w:val="00AF4C49"/>
    <w:rsid w:val="00AF553F"/>
    <w:rsid w:val="00B04FD2"/>
    <w:rsid w:val="00B14B34"/>
    <w:rsid w:val="00B20FF5"/>
    <w:rsid w:val="00B26348"/>
    <w:rsid w:val="00B31BBA"/>
    <w:rsid w:val="00B33A73"/>
    <w:rsid w:val="00B35973"/>
    <w:rsid w:val="00B4090F"/>
    <w:rsid w:val="00B40EBB"/>
    <w:rsid w:val="00B45E5E"/>
    <w:rsid w:val="00B50213"/>
    <w:rsid w:val="00B52D50"/>
    <w:rsid w:val="00B57D12"/>
    <w:rsid w:val="00B60B20"/>
    <w:rsid w:val="00B60F4C"/>
    <w:rsid w:val="00B63061"/>
    <w:rsid w:val="00B66BBC"/>
    <w:rsid w:val="00B7254F"/>
    <w:rsid w:val="00B749D7"/>
    <w:rsid w:val="00B753B8"/>
    <w:rsid w:val="00B757A5"/>
    <w:rsid w:val="00B77585"/>
    <w:rsid w:val="00B8058E"/>
    <w:rsid w:val="00B82780"/>
    <w:rsid w:val="00B82D70"/>
    <w:rsid w:val="00B84ECD"/>
    <w:rsid w:val="00B877F8"/>
    <w:rsid w:val="00B913B1"/>
    <w:rsid w:val="00B92AF9"/>
    <w:rsid w:val="00BA0E0F"/>
    <w:rsid w:val="00BA30BF"/>
    <w:rsid w:val="00BA4221"/>
    <w:rsid w:val="00BA69A3"/>
    <w:rsid w:val="00BA7E42"/>
    <w:rsid w:val="00BB18DC"/>
    <w:rsid w:val="00BB3619"/>
    <w:rsid w:val="00BC3782"/>
    <w:rsid w:val="00BC554C"/>
    <w:rsid w:val="00BD1E2C"/>
    <w:rsid w:val="00BD7112"/>
    <w:rsid w:val="00BE5A32"/>
    <w:rsid w:val="00BE7EDB"/>
    <w:rsid w:val="00BF27F2"/>
    <w:rsid w:val="00BF47EA"/>
    <w:rsid w:val="00BF6503"/>
    <w:rsid w:val="00C00F55"/>
    <w:rsid w:val="00C041A0"/>
    <w:rsid w:val="00C056A7"/>
    <w:rsid w:val="00C1003E"/>
    <w:rsid w:val="00C121DF"/>
    <w:rsid w:val="00C12E67"/>
    <w:rsid w:val="00C16012"/>
    <w:rsid w:val="00C21B2D"/>
    <w:rsid w:val="00C24806"/>
    <w:rsid w:val="00C248E8"/>
    <w:rsid w:val="00C249BB"/>
    <w:rsid w:val="00C2740E"/>
    <w:rsid w:val="00C3061C"/>
    <w:rsid w:val="00C53642"/>
    <w:rsid w:val="00C614A1"/>
    <w:rsid w:val="00C638B9"/>
    <w:rsid w:val="00C70DED"/>
    <w:rsid w:val="00C71173"/>
    <w:rsid w:val="00C71A0C"/>
    <w:rsid w:val="00C71E4B"/>
    <w:rsid w:val="00C720D1"/>
    <w:rsid w:val="00C754EE"/>
    <w:rsid w:val="00C81D2F"/>
    <w:rsid w:val="00C90784"/>
    <w:rsid w:val="00C91C4F"/>
    <w:rsid w:val="00C958D9"/>
    <w:rsid w:val="00C95C19"/>
    <w:rsid w:val="00C9719A"/>
    <w:rsid w:val="00CB2B85"/>
    <w:rsid w:val="00CB4DCA"/>
    <w:rsid w:val="00CC4372"/>
    <w:rsid w:val="00CC6FD3"/>
    <w:rsid w:val="00CD047E"/>
    <w:rsid w:val="00CD5361"/>
    <w:rsid w:val="00CE1BA2"/>
    <w:rsid w:val="00CE562B"/>
    <w:rsid w:val="00CE66D3"/>
    <w:rsid w:val="00CF090C"/>
    <w:rsid w:val="00D01BC0"/>
    <w:rsid w:val="00D052EE"/>
    <w:rsid w:val="00D06ED5"/>
    <w:rsid w:val="00D10BE2"/>
    <w:rsid w:val="00D11B01"/>
    <w:rsid w:val="00D15114"/>
    <w:rsid w:val="00D15E7D"/>
    <w:rsid w:val="00D20530"/>
    <w:rsid w:val="00D27C64"/>
    <w:rsid w:val="00D3083A"/>
    <w:rsid w:val="00D331DC"/>
    <w:rsid w:val="00D36746"/>
    <w:rsid w:val="00D42C86"/>
    <w:rsid w:val="00D44044"/>
    <w:rsid w:val="00D4490B"/>
    <w:rsid w:val="00D47787"/>
    <w:rsid w:val="00D502EE"/>
    <w:rsid w:val="00D513BA"/>
    <w:rsid w:val="00D51484"/>
    <w:rsid w:val="00D516CB"/>
    <w:rsid w:val="00D55C20"/>
    <w:rsid w:val="00D561AE"/>
    <w:rsid w:val="00D57292"/>
    <w:rsid w:val="00D62A9F"/>
    <w:rsid w:val="00D7093E"/>
    <w:rsid w:val="00D75D5A"/>
    <w:rsid w:val="00D80501"/>
    <w:rsid w:val="00D80C0E"/>
    <w:rsid w:val="00D83279"/>
    <w:rsid w:val="00D838CC"/>
    <w:rsid w:val="00D83C22"/>
    <w:rsid w:val="00D8418D"/>
    <w:rsid w:val="00D954DA"/>
    <w:rsid w:val="00DB10AA"/>
    <w:rsid w:val="00DB64EA"/>
    <w:rsid w:val="00DC17E3"/>
    <w:rsid w:val="00DC1CAC"/>
    <w:rsid w:val="00DC3426"/>
    <w:rsid w:val="00DD20E5"/>
    <w:rsid w:val="00DD348B"/>
    <w:rsid w:val="00DD6DA6"/>
    <w:rsid w:val="00DE3658"/>
    <w:rsid w:val="00DF1C69"/>
    <w:rsid w:val="00DF67CD"/>
    <w:rsid w:val="00DF6B8A"/>
    <w:rsid w:val="00E0032F"/>
    <w:rsid w:val="00E0664E"/>
    <w:rsid w:val="00E149F7"/>
    <w:rsid w:val="00E16456"/>
    <w:rsid w:val="00E24B9D"/>
    <w:rsid w:val="00E263CF"/>
    <w:rsid w:val="00E30A74"/>
    <w:rsid w:val="00E334B8"/>
    <w:rsid w:val="00E6218F"/>
    <w:rsid w:val="00E64BDE"/>
    <w:rsid w:val="00E66744"/>
    <w:rsid w:val="00E77217"/>
    <w:rsid w:val="00E8296B"/>
    <w:rsid w:val="00E83401"/>
    <w:rsid w:val="00E83DED"/>
    <w:rsid w:val="00E8581B"/>
    <w:rsid w:val="00E85A17"/>
    <w:rsid w:val="00E9160A"/>
    <w:rsid w:val="00E9253B"/>
    <w:rsid w:val="00E94138"/>
    <w:rsid w:val="00E94523"/>
    <w:rsid w:val="00E95379"/>
    <w:rsid w:val="00E95B32"/>
    <w:rsid w:val="00E978D5"/>
    <w:rsid w:val="00E97D5C"/>
    <w:rsid w:val="00EA428C"/>
    <w:rsid w:val="00EA6ADE"/>
    <w:rsid w:val="00EB336B"/>
    <w:rsid w:val="00EB5A30"/>
    <w:rsid w:val="00EB67B4"/>
    <w:rsid w:val="00EC0699"/>
    <w:rsid w:val="00EC225F"/>
    <w:rsid w:val="00ED2E9A"/>
    <w:rsid w:val="00EE1219"/>
    <w:rsid w:val="00EE4519"/>
    <w:rsid w:val="00EE731F"/>
    <w:rsid w:val="00EF117B"/>
    <w:rsid w:val="00EF160D"/>
    <w:rsid w:val="00EF6B28"/>
    <w:rsid w:val="00F05EB9"/>
    <w:rsid w:val="00F10750"/>
    <w:rsid w:val="00F10958"/>
    <w:rsid w:val="00F109B9"/>
    <w:rsid w:val="00F164E2"/>
    <w:rsid w:val="00F221C0"/>
    <w:rsid w:val="00F22A15"/>
    <w:rsid w:val="00F22F71"/>
    <w:rsid w:val="00F247BD"/>
    <w:rsid w:val="00F320AA"/>
    <w:rsid w:val="00F47212"/>
    <w:rsid w:val="00F553C4"/>
    <w:rsid w:val="00F64C61"/>
    <w:rsid w:val="00F70271"/>
    <w:rsid w:val="00F73C5E"/>
    <w:rsid w:val="00F75792"/>
    <w:rsid w:val="00F844B2"/>
    <w:rsid w:val="00F85413"/>
    <w:rsid w:val="00F86566"/>
    <w:rsid w:val="00F87D29"/>
    <w:rsid w:val="00F92259"/>
    <w:rsid w:val="00F95E66"/>
    <w:rsid w:val="00FA09FB"/>
    <w:rsid w:val="00FA235C"/>
    <w:rsid w:val="00FA6279"/>
    <w:rsid w:val="00FB6451"/>
    <w:rsid w:val="00FB652A"/>
    <w:rsid w:val="00FB7A6D"/>
    <w:rsid w:val="00FC2821"/>
    <w:rsid w:val="00FD086A"/>
    <w:rsid w:val="00FD0908"/>
    <w:rsid w:val="00FD32F2"/>
    <w:rsid w:val="00FD52AF"/>
    <w:rsid w:val="00FE04CF"/>
    <w:rsid w:val="00FE36C6"/>
    <w:rsid w:val="00FF3DAA"/>
    <w:rsid w:val="00FF5A57"/>
    <w:rsid w:val="00FF5D22"/>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6B4B"/>
  <w15:docId w15:val="{2A44EF1F-096E-4EE4-A85A-0B89472E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rFonts w:ascii="Times" w:eastAsia="Times" w:hAnsi="Times" w:cs="Times"/>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854AE8"/>
    <w:rPr>
      <w:sz w:val="16"/>
      <w:szCs w:val="16"/>
    </w:rPr>
  </w:style>
  <w:style w:type="paragraph" w:styleId="CommentText">
    <w:name w:val="annotation text"/>
    <w:basedOn w:val="Normal"/>
    <w:link w:val="CommentTextChar"/>
    <w:uiPriority w:val="99"/>
    <w:unhideWhenUsed/>
    <w:rsid w:val="00854AE8"/>
    <w:rPr>
      <w:sz w:val="20"/>
      <w:szCs w:val="20"/>
    </w:rPr>
  </w:style>
  <w:style w:type="character" w:customStyle="1" w:styleId="CommentTextChar">
    <w:name w:val="Comment Text Char"/>
    <w:basedOn w:val="DefaultParagraphFont"/>
    <w:link w:val="CommentText"/>
    <w:uiPriority w:val="99"/>
    <w:rsid w:val="00854AE8"/>
    <w:rPr>
      <w:sz w:val="20"/>
      <w:szCs w:val="20"/>
    </w:rPr>
  </w:style>
  <w:style w:type="paragraph" w:styleId="CommentSubject">
    <w:name w:val="annotation subject"/>
    <w:basedOn w:val="CommentText"/>
    <w:next w:val="CommentText"/>
    <w:link w:val="CommentSubjectChar"/>
    <w:uiPriority w:val="99"/>
    <w:semiHidden/>
    <w:unhideWhenUsed/>
    <w:rsid w:val="00854AE8"/>
    <w:rPr>
      <w:b/>
      <w:bCs/>
    </w:rPr>
  </w:style>
  <w:style w:type="character" w:customStyle="1" w:styleId="CommentSubjectChar">
    <w:name w:val="Comment Subject Char"/>
    <w:basedOn w:val="CommentTextChar"/>
    <w:link w:val="CommentSubject"/>
    <w:uiPriority w:val="99"/>
    <w:semiHidden/>
    <w:rsid w:val="00854AE8"/>
    <w:rPr>
      <w:b/>
      <w:bCs/>
      <w:sz w:val="20"/>
      <w:szCs w:val="20"/>
    </w:rPr>
  </w:style>
  <w:style w:type="character" w:styleId="Hyperlink">
    <w:name w:val="Hyperlink"/>
    <w:basedOn w:val="DefaultParagraphFont"/>
    <w:uiPriority w:val="99"/>
    <w:unhideWhenUsed/>
    <w:rsid w:val="002377F4"/>
    <w:rPr>
      <w:color w:val="0000FF" w:themeColor="hyperlink"/>
      <w:u w:val="single"/>
    </w:rPr>
  </w:style>
  <w:style w:type="character" w:styleId="UnresolvedMention">
    <w:name w:val="Unresolved Mention"/>
    <w:basedOn w:val="DefaultParagraphFont"/>
    <w:uiPriority w:val="99"/>
    <w:semiHidden/>
    <w:unhideWhenUsed/>
    <w:rsid w:val="002377F4"/>
    <w:rPr>
      <w:color w:val="605E5C"/>
      <w:shd w:val="clear" w:color="auto" w:fill="E1DFDD"/>
    </w:rPr>
  </w:style>
  <w:style w:type="character" w:customStyle="1" w:styleId="cf01">
    <w:name w:val="cf01"/>
    <w:basedOn w:val="DefaultParagraphFont"/>
    <w:rsid w:val="00703655"/>
    <w:rPr>
      <w:rFonts w:ascii="Segoe UI" w:hAnsi="Segoe UI" w:cs="Segoe UI" w:hint="default"/>
      <w:sz w:val="18"/>
      <w:szCs w:val="18"/>
    </w:rPr>
  </w:style>
  <w:style w:type="paragraph" w:customStyle="1" w:styleId="pf0">
    <w:name w:val="pf0"/>
    <w:basedOn w:val="Normal"/>
    <w:rsid w:val="00E77217"/>
    <w:pPr>
      <w:spacing w:before="100" w:beforeAutospacing="1" w:after="100" w:afterAutospacing="1"/>
    </w:pPr>
    <w:rPr>
      <w:rFonts w:ascii="Times New Roman" w:eastAsia="Times New Roman" w:hAnsi="Times New Roman" w:cs="Times New Roman"/>
      <w:lang w:val="en-GB"/>
    </w:rPr>
  </w:style>
  <w:style w:type="table" w:styleId="TableGrid">
    <w:name w:val="Table Grid"/>
    <w:basedOn w:val="TableNormal"/>
    <w:uiPriority w:val="39"/>
    <w:rsid w:val="00845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59D3"/>
    <w:pPr>
      <w:ind w:left="720"/>
      <w:contextualSpacing/>
    </w:pPr>
  </w:style>
  <w:style w:type="character" w:customStyle="1" w:styleId="cf11">
    <w:name w:val="cf11"/>
    <w:basedOn w:val="DefaultParagraphFont"/>
    <w:rsid w:val="00DC17E3"/>
    <w:rPr>
      <w:rFonts w:ascii="Segoe UI" w:hAnsi="Segoe UI" w:cs="Segoe UI" w:hint="default"/>
      <w:color w:val="222222"/>
      <w:sz w:val="18"/>
      <w:szCs w:val="18"/>
    </w:rPr>
  </w:style>
  <w:style w:type="paragraph" w:styleId="NormalWeb">
    <w:name w:val="Normal (Web)"/>
    <w:basedOn w:val="Normal"/>
    <w:uiPriority w:val="99"/>
    <w:semiHidden/>
    <w:unhideWhenUsed/>
    <w:rsid w:val="00D44044"/>
    <w:pPr>
      <w:spacing w:before="100" w:beforeAutospacing="1" w:after="100" w:afterAutospacing="1"/>
    </w:pPr>
    <w:rPr>
      <w:rFonts w:ascii="Times New Roman" w:eastAsia="Times New Roman" w:hAnsi="Times New Roman" w:cs="Times New Roman"/>
      <w:lang w:val="en-GB"/>
    </w:rPr>
  </w:style>
  <w:style w:type="character" w:styleId="LineNumber">
    <w:name w:val="line number"/>
    <w:basedOn w:val="DefaultParagraphFont"/>
    <w:uiPriority w:val="99"/>
    <w:semiHidden/>
    <w:unhideWhenUsed/>
    <w:rsid w:val="00253BD0"/>
  </w:style>
  <w:style w:type="paragraph" w:styleId="Revision">
    <w:name w:val="Revision"/>
    <w:hidden/>
    <w:uiPriority w:val="99"/>
    <w:semiHidden/>
    <w:rsid w:val="008B7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009576">
      <w:bodyDiv w:val="1"/>
      <w:marLeft w:val="0"/>
      <w:marRight w:val="0"/>
      <w:marTop w:val="0"/>
      <w:marBottom w:val="0"/>
      <w:divBdr>
        <w:top w:val="none" w:sz="0" w:space="0" w:color="auto"/>
        <w:left w:val="none" w:sz="0" w:space="0" w:color="auto"/>
        <w:bottom w:val="none" w:sz="0" w:space="0" w:color="auto"/>
        <w:right w:val="none" w:sz="0" w:space="0" w:color="auto"/>
      </w:divBdr>
    </w:div>
    <w:div w:id="291907699">
      <w:bodyDiv w:val="1"/>
      <w:marLeft w:val="0"/>
      <w:marRight w:val="0"/>
      <w:marTop w:val="0"/>
      <w:marBottom w:val="0"/>
      <w:divBdr>
        <w:top w:val="none" w:sz="0" w:space="0" w:color="auto"/>
        <w:left w:val="none" w:sz="0" w:space="0" w:color="auto"/>
        <w:bottom w:val="none" w:sz="0" w:space="0" w:color="auto"/>
        <w:right w:val="none" w:sz="0" w:space="0" w:color="auto"/>
      </w:divBdr>
      <w:divsChild>
        <w:div w:id="2027175127">
          <w:marLeft w:val="0"/>
          <w:marRight w:val="0"/>
          <w:marTop w:val="0"/>
          <w:marBottom w:val="0"/>
          <w:divBdr>
            <w:top w:val="none" w:sz="0" w:space="0" w:color="auto"/>
            <w:left w:val="none" w:sz="0" w:space="0" w:color="auto"/>
            <w:bottom w:val="none" w:sz="0" w:space="0" w:color="auto"/>
            <w:right w:val="none" w:sz="0" w:space="0" w:color="auto"/>
          </w:divBdr>
          <w:divsChild>
            <w:div w:id="494953986">
              <w:marLeft w:val="0"/>
              <w:marRight w:val="0"/>
              <w:marTop w:val="0"/>
              <w:marBottom w:val="0"/>
              <w:divBdr>
                <w:top w:val="none" w:sz="0" w:space="0" w:color="auto"/>
                <w:left w:val="none" w:sz="0" w:space="0" w:color="auto"/>
                <w:bottom w:val="none" w:sz="0" w:space="0" w:color="auto"/>
                <w:right w:val="none" w:sz="0" w:space="0" w:color="auto"/>
              </w:divBdr>
              <w:divsChild>
                <w:div w:id="786923389">
                  <w:marLeft w:val="0"/>
                  <w:marRight w:val="0"/>
                  <w:marTop w:val="0"/>
                  <w:marBottom w:val="0"/>
                  <w:divBdr>
                    <w:top w:val="none" w:sz="0" w:space="0" w:color="auto"/>
                    <w:left w:val="none" w:sz="0" w:space="0" w:color="auto"/>
                    <w:bottom w:val="none" w:sz="0" w:space="0" w:color="auto"/>
                    <w:right w:val="none" w:sz="0" w:space="0" w:color="auto"/>
                  </w:divBdr>
                  <w:divsChild>
                    <w:div w:id="966273692">
                      <w:marLeft w:val="0"/>
                      <w:marRight w:val="0"/>
                      <w:marTop w:val="0"/>
                      <w:marBottom w:val="0"/>
                      <w:divBdr>
                        <w:top w:val="none" w:sz="0" w:space="0" w:color="auto"/>
                        <w:left w:val="none" w:sz="0" w:space="0" w:color="auto"/>
                        <w:bottom w:val="none" w:sz="0" w:space="0" w:color="auto"/>
                        <w:right w:val="none" w:sz="0" w:space="0" w:color="auto"/>
                      </w:divBdr>
                      <w:divsChild>
                        <w:div w:id="284048023">
                          <w:marLeft w:val="0"/>
                          <w:marRight w:val="0"/>
                          <w:marTop w:val="0"/>
                          <w:marBottom w:val="0"/>
                          <w:divBdr>
                            <w:top w:val="none" w:sz="0" w:space="0" w:color="auto"/>
                            <w:left w:val="none" w:sz="0" w:space="0" w:color="auto"/>
                            <w:bottom w:val="none" w:sz="0" w:space="0" w:color="auto"/>
                            <w:right w:val="none" w:sz="0" w:space="0" w:color="auto"/>
                          </w:divBdr>
                        </w:div>
                      </w:divsChild>
                    </w:div>
                    <w:div w:id="1535845965">
                      <w:marLeft w:val="0"/>
                      <w:marRight w:val="0"/>
                      <w:marTop w:val="0"/>
                      <w:marBottom w:val="0"/>
                      <w:divBdr>
                        <w:top w:val="none" w:sz="0" w:space="0" w:color="auto"/>
                        <w:left w:val="none" w:sz="0" w:space="0" w:color="auto"/>
                        <w:bottom w:val="none" w:sz="0" w:space="0" w:color="auto"/>
                        <w:right w:val="none" w:sz="0" w:space="0" w:color="auto"/>
                      </w:divBdr>
                    </w:div>
                    <w:div w:id="1787194817">
                      <w:marLeft w:val="0"/>
                      <w:marRight w:val="0"/>
                      <w:marTop w:val="0"/>
                      <w:marBottom w:val="0"/>
                      <w:divBdr>
                        <w:top w:val="none" w:sz="0" w:space="0" w:color="auto"/>
                        <w:left w:val="none" w:sz="0" w:space="0" w:color="auto"/>
                        <w:bottom w:val="none" w:sz="0" w:space="0" w:color="auto"/>
                        <w:right w:val="none" w:sz="0" w:space="0" w:color="auto"/>
                      </w:divBdr>
                    </w:div>
                    <w:div w:id="1948123184">
                      <w:marLeft w:val="0"/>
                      <w:marRight w:val="0"/>
                      <w:marTop w:val="0"/>
                      <w:marBottom w:val="0"/>
                      <w:divBdr>
                        <w:top w:val="none" w:sz="0" w:space="0" w:color="auto"/>
                        <w:left w:val="none" w:sz="0" w:space="0" w:color="auto"/>
                        <w:bottom w:val="none" w:sz="0" w:space="0" w:color="auto"/>
                        <w:right w:val="none" w:sz="0" w:space="0" w:color="auto"/>
                      </w:divBdr>
                      <w:divsChild>
                        <w:div w:id="806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0053682">
      <w:bodyDiv w:val="1"/>
      <w:marLeft w:val="0"/>
      <w:marRight w:val="0"/>
      <w:marTop w:val="0"/>
      <w:marBottom w:val="0"/>
      <w:divBdr>
        <w:top w:val="none" w:sz="0" w:space="0" w:color="auto"/>
        <w:left w:val="none" w:sz="0" w:space="0" w:color="auto"/>
        <w:bottom w:val="none" w:sz="0" w:space="0" w:color="auto"/>
        <w:right w:val="none" w:sz="0" w:space="0" w:color="auto"/>
      </w:divBdr>
    </w:div>
    <w:div w:id="877203533">
      <w:bodyDiv w:val="1"/>
      <w:marLeft w:val="0"/>
      <w:marRight w:val="0"/>
      <w:marTop w:val="0"/>
      <w:marBottom w:val="0"/>
      <w:divBdr>
        <w:top w:val="none" w:sz="0" w:space="0" w:color="auto"/>
        <w:left w:val="none" w:sz="0" w:space="0" w:color="auto"/>
        <w:bottom w:val="none" w:sz="0" w:space="0" w:color="auto"/>
        <w:right w:val="none" w:sz="0" w:space="0" w:color="auto"/>
      </w:divBdr>
      <w:divsChild>
        <w:div w:id="24719209">
          <w:marLeft w:val="0"/>
          <w:marRight w:val="0"/>
          <w:marTop w:val="0"/>
          <w:marBottom w:val="0"/>
          <w:divBdr>
            <w:top w:val="none" w:sz="0" w:space="0" w:color="auto"/>
            <w:left w:val="none" w:sz="0" w:space="0" w:color="auto"/>
            <w:bottom w:val="none" w:sz="0" w:space="0" w:color="auto"/>
            <w:right w:val="none" w:sz="0" w:space="0" w:color="auto"/>
          </w:divBdr>
        </w:div>
        <w:div w:id="1926721978">
          <w:marLeft w:val="0"/>
          <w:marRight w:val="0"/>
          <w:marTop w:val="0"/>
          <w:marBottom w:val="0"/>
          <w:divBdr>
            <w:top w:val="none" w:sz="0" w:space="0" w:color="auto"/>
            <w:left w:val="none" w:sz="0" w:space="0" w:color="auto"/>
            <w:bottom w:val="none" w:sz="0" w:space="0" w:color="auto"/>
            <w:right w:val="none" w:sz="0" w:space="0" w:color="auto"/>
          </w:divBdr>
        </w:div>
        <w:div w:id="555747438">
          <w:marLeft w:val="0"/>
          <w:marRight w:val="0"/>
          <w:marTop w:val="0"/>
          <w:marBottom w:val="0"/>
          <w:divBdr>
            <w:top w:val="none" w:sz="0" w:space="0" w:color="auto"/>
            <w:left w:val="none" w:sz="0" w:space="0" w:color="auto"/>
            <w:bottom w:val="none" w:sz="0" w:space="0" w:color="auto"/>
            <w:right w:val="none" w:sz="0" w:space="0" w:color="auto"/>
          </w:divBdr>
        </w:div>
        <w:div w:id="1607150453">
          <w:marLeft w:val="0"/>
          <w:marRight w:val="0"/>
          <w:marTop w:val="0"/>
          <w:marBottom w:val="0"/>
          <w:divBdr>
            <w:top w:val="none" w:sz="0" w:space="0" w:color="auto"/>
            <w:left w:val="none" w:sz="0" w:space="0" w:color="auto"/>
            <w:bottom w:val="none" w:sz="0" w:space="0" w:color="auto"/>
            <w:right w:val="none" w:sz="0" w:space="0" w:color="auto"/>
          </w:divBdr>
        </w:div>
      </w:divsChild>
    </w:div>
    <w:div w:id="1773938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B0410-683C-4EAA-8D51-A60BE9B75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32</Pages>
  <Words>41174</Words>
  <Characters>234693</Characters>
  <Application>Microsoft Office Word</Application>
  <DocSecurity>0</DocSecurity>
  <Lines>1955</Lines>
  <Paragraphs>550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Newington</dc:creator>
  <cp:keywords/>
  <dc:description/>
  <cp:lastModifiedBy>Newington, Lisa A</cp:lastModifiedBy>
  <cp:revision>5</cp:revision>
  <cp:lastPrinted>2022-06-03T18:24:00Z</cp:lastPrinted>
  <dcterms:created xsi:type="dcterms:W3CDTF">2022-10-27T16:33:00Z</dcterms:created>
  <dcterms:modified xsi:type="dcterms:W3CDTF">2022-10-31T12:08:00Z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7089b7af-e511-37f1-a925-aacd33124dc2</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http://csl.mendeley.com/styles/568634651/apa-JCN</vt:lpwstr>
  </property>
  <property fmtid="{D5CDD505-2E9C-101B-9397-08002B2CF9AE}" pid="8" name="Mendeley Recent Style Name 1_1">
    <vt:lpwstr>American Psychological Association LN edit for JCN - Lisa Newington, PhD</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http://www.zotero.org/styles/bmc-health-services-research</vt:lpwstr>
  </property>
  <property fmtid="{D5CDD505-2E9C-101B-9397-08002B2CF9AE}" pid="12" name="Mendeley Recent Style Name 3_1">
    <vt:lpwstr>BMC Health Services Research</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http://www.zotero.org/styles/plos-one</vt:lpwstr>
  </property>
  <property fmtid="{D5CDD505-2E9C-101B-9397-08002B2CF9AE}" pid="22" name="Mendeley Recent Style Name 8_1">
    <vt:lpwstr>PLOS ONE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