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0BAB0" w14:textId="77777777" w:rsidR="00D7007E" w:rsidRPr="00FC25D8" w:rsidRDefault="00D7007E" w:rsidP="00395053">
      <w:pPr>
        <w:spacing w:after="0" w:line="480" w:lineRule="auto"/>
        <w:jc w:val="both"/>
        <w:rPr>
          <w:rFonts w:ascii="Times New Roman" w:hAnsi="Times New Roman" w:cs="Times New Roman"/>
          <w:sz w:val="24"/>
          <w:szCs w:val="24"/>
        </w:rPr>
      </w:pPr>
    </w:p>
    <w:p w14:paraId="68F32122" w14:textId="276D8011" w:rsidR="004219CC" w:rsidRDefault="004219CC" w:rsidP="00395053">
      <w:pPr>
        <w:spacing w:after="0" w:line="480" w:lineRule="auto"/>
        <w:jc w:val="both"/>
        <w:rPr>
          <w:rFonts w:ascii="Times New Roman" w:hAnsi="Times New Roman" w:cs="Times New Roman"/>
          <w:sz w:val="24"/>
          <w:szCs w:val="24"/>
        </w:rPr>
      </w:pPr>
    </w:p>
    <w:p w14:paraId="2ED6C7F8" w14:textId="3E3F377D" w:rsidR="00B149CC" w:rsidRDefault="00B149CC" w:rsidP="00395053">
      <w:pPr>
        <w:spacing w:after="0" w:line="480" w:lineRule="auto"/>
        <w:jc w:val="both"/>
        <w:rPr>
          <w:rFonts w:ascii="Times New Roman" w:hAnsi="Times New Roman" w:cs="Times New Roman"/>
          <w:sz w:val="24"/>
          <w:szCs w:val="24"/>
        </w:rPr>
      </w:pPr>
    </w:p>
    <w:p w14:paraId="1A4080F7" w14:textId="3F7CF1FD" w:rsidR="00B149CC" w:rsidRDefault="00B149CC" w:rsidP="00395053">
      <w:pPr>
        <w:spacing w:after="0" w:line="480" w:lineRule="auto"/>
        <w:jc w:val="both"/>
        <w:rPr>
          <w:rFonts w:ascii="Times New Roman" w:hAnsi="Times New Roman" w:cs="Times New Roman"/>
          <w:sz w:val="24"/>
          <w:szCs w:val="24"/>
        </w:rPr>
      </w:pPr>
    </w:p>
    <w:p w14:paraId="375C3A59" w14:textId="68201CB8" w:rsidR="00B149CC" w:rsidRDefault="00B149CC" w:rsidP="00395053">
      <w:pPr>
        <w:spacing w:after="0" w:line="480" w:lineRule="auto"/>
        <w:jc w:val="both"/>
        <w:rPr>
          <w:rFonts w:ascii="Times New Roman" w:hAnsi="Times New Roman" w:cs="Times New Roman"/>
          <w:sz w:val="24"/>
          <w:szCs w:val="24"/>
        </w:rPr>
      </w:pPr>
    </w:p>
    <w:p w14:paraId="524B12C8" w14:textId="77777777" w:rsidR="00F8492A" w:rsidRPr="00FC25D8" w:rsidRDefault="00F8492A" w:rsidP="00395053">
      <w:pPr>
        <w:spacing w:after="0" w:line="480" w:lineRule="auto"/>
        <w:jc w:val="both"/>
        <w:rPr>
          <w:rFonts w:ascii="Times New Roman" w:hAnsi="Times New Roman" w:cs="Times New Roman"/>
          <w:sz w:val="24"/>
          <w:szCs w:val="24"/>
        </w:rPr>
      </w:pPr>
    </w:p>
    <w:p w14:paraId="4C770169" w14:textId="75A041C5" w:rsidR="00F8492A" w:rsidRPr="00FC25D8" w:rsidRDefault="004A1263" w:rsidP="00395053">
      <w:pPr>
        <w:spacing w:after="0" w:line="480" w:lineRule="auto"/>
        <w:jc w:val="center"/>
        <w:rPr>
          <w:rFonts w:ascii="Times New Roman" w:hAnsi="Times New Roman" w:cs="Times New Roman"/>
          <w:sz w:val="24"/>
          <w:szCs w:val="24"/>
        </w:rPr>
      </w:pPr>
      <w:r w:rsidRPr="004A1263">
        <w:rPr>
          <w:rFonts w:ascii="Times New Roman" w:hAnsi="Times New Roman" w:cs="Times New Roman"/>
          <w:b/>
          <w:sz w:val="24"/>
          <w:szCs w:val="24"/>
        </w:rPr>
        <w:t>Potential formation of mutagenicity by low pressure-UV/H</w:t>
      </w:r>
      <w:r w:rsidRPr="004A1263">
        <w:rPr>
          <w:rFonts w:ascii="Times New Roman" w:hAnsi="Times New Roman" w:cs="Times New Roman"/>
          <w:b/>
          <w:sz w:val="24"/>
          <w:szCs w:val="24"/>
          <w:vertAlign w:val="subscript"/>
        </w:rPr>
        <w:t>2</w:t>
      </w:r>
      <w:r w:rsidRPr="004A1263">
        <w:rPr>
          <w:rFonts w:ascii="Times New Roman" w:hAnsi="Times New Roman" w:cs="Times New Roman"/>
          <w:b/>
          <w:sz w:val="24"/>
          <w:szCs w:val="24"/>
        </w:rPr>
        <w:t>O</w:t>
      </w:r>
      <w:r w:rsidRPr="004A1263">
        <w:rPr>
          <w:rFonts w:ascii="Times New Roman" w:hAnsi="Times New Roman" w:cs="Times New Roman"/>
          <w:b/>
          <w:sz w:val="24"/>
          <w:szCs w:val="24"/>
          <w:vertAlign w:val="subscript"/>
        </w:rPr>
        <w:t>2</w:t>
      </w:r>
      <w:r w:rsidRPr="004A1263">
        <w:rPr>
          <w:rFonts w:ascii="Times New Roman" w:hAnsi="Times New Roman" w:cs="Times New Roman"/>
          <w:b/>
          <w:sz w:val="24"/>
          <w:szCs w:val="24"/>
        </w:rPr>
        <w:t xml:space="preserve"> during the treatment of nitrate-rich source waters  </w:t>
      </w:r>
      <w:r w:rsidR="00D7007E" w:rsidRPr="00FC25D8">
        <w:rPr>
          <w:rFonts w:ascii="Times New Roman" w:hAnsi="Times New Roman" w:cs="Times New Roman"/>
          <w:sz w:val="24"/>
          <w:szCs w:val="24"/>
        </w:rPr>
        <w:br/>
      </w:r>
    </w:p>
    <w:p w14:paraId="4771BD66" w14:textId="5B4F4EB2" w:rsidR="004219CC" w:rsidRDefault="004219CC" w:rsidP="00395053">
      <w:pPr>
        <w:spacing w:after="0" w:line="480" w:lineRule="auto"/>
        <w:jc w:val="center"/>
        <w:rPr>
          <w:rFonts w:ascii="Times New Roman" w:hAnsi="Times New Roman" w:cs="Times New Roman"/>
          <w:sz w:val="24"/>
          <w:szCs w:val="24"/>
        </w:rPr>
      </w:pPr>
    </w:p>
    <w:p w14:paraId="0C8AEFB0" w14:textId="77777777" w:rsidR="00B149CC" w:rsidRPr="00FC25D8" w:rsidRDefault="00B149CC" w:rsidP="00395053">
      <w:pPr>
        <w:spacing w:after="0" w:line="480" w:lineRule="auto"/>
        <w:jc w:val="center"/>
        <w:rPr>
          <w:rFonts w:ascii="Times New Roman" w:hAnsi="Times New Roman" w:cs="Times New Roman"/>
          <w:sz w:val="24"/>
          <w:szCs w:val="24"/>
        </w:rPr>
      </w:pPr>
    </w:p>
    <w:p w14:paraId="2DCFEFE7" w14:textId="77777777" w:rsidR="00AE1D3B" w:rsidRPr="00AE1D3B" w:rsidRDefault="00D7007E" w:rsidP="00AE1D3B">
      <w:pPr>
        <w:spacing w:after="0" w:line="480" w:lineRule="auto"/>
        <w:jc w:val="center"/>
        <w:rPr>
          <w:rFonts w:ascii="Times New Roman" w:hAnsi="Times New Roman" w:cs="Times New Roman"/>
          <w:sz w:val="24"/>
          <w:szCs w:val="24"/>
        </w:rPr>
      </w:pPr>
      <w:r w:rsidRPr="00FC25D8">
        <w:rPr>
          <w:rFonts w:ascii="Times New Roman" w:hAnsi="Times New Roman" w:cs="Times New Roman"/>
          <w:sz w:val="24"/>
          <w:szCs w:val="24"/>
        </w:rPr>
        <w:br/>
      </w:r>
      <w:r w:rsidR="00AE1D3B" w:rsidRPr="00AE1D3B">
        <w:rPr>
          <w:rFonts w:ascii="Times New Roman" w:hAnsi="Times New Roman" w:cs="Times New Roman"/>
          <w:sz w:val="24"/>
          <w:szCs w:val="24"/>
        </w:rPr>
        <w:t>S. Semitsoglou-Tsiapou</w:t>
      </w:r>
      <w:r w:rsidR="00AE1D3B" w:rsidRPr="00AE1D3B">
        <w:rPr>
          <w:rFonts w:ascii="Times New Roman" w:hAnsi="Times New Roman" w:cs="Times New Roman"/>
          <w:sz w:val="24"/>
          <w:szCs w:val="24"/>
          <w:vertAlign w:val="superscript"/>
        </w:rPr>
        <w:t>a,b,†</w:t>
      </w:r>
      <w:r w:rsidR="00AE1D3B" w:rsidRPr="00AE1D3B">
        <w:rPr>
          <w:rFonts w:ascii="Times New Roman" w:hAnsi="Times New Roman" w:cs="Times New Roman"/>
          <w:sz w:val="24"/>
          <w:szCs w:val="24"/>
        </w:rPr>
        <w:t xml:space="preserve"> , M. R. Templeton</w:t>
      </w:r>
      <w:r w:rsidR="00AE1D3B" w:rsidRPr="00AE1D3B">
        <w:rPr>
          <w:rFonts w:ascii="Times New Roman" w:hAnsi="Times New Roman" w:cs="Times New Roman"/>
          <w:sz w:val="24"/>
          <w:szCs w:val="24"/>
          <w:vertAlign w:val="superscript"/>
        </w:rPr>
        <w:t>a</w:t>
      </w:r>
      <w:r w:rsidR="00AE1D3B" w:rsidRPr="00AE1D3B">
        <w:rPr>
          <w:rFonts w:ascii="Times New Roman" w:hAnsi="Times New Roman" w:cs="Times New Roman"/>
          <w:sz w:val="24"/>
          <w:szCs w:val="24"/>
        </w:rPr>
        <w:t>, N. J. D. Graham</w:t>
      </w:r>
      <w:r w:rsidR="00AE1D3B" w:rsidRPr="00AE1D3B">
        <w:rPr>
          <w:rFonts w:ascii="Times New Roman" w:hAnsi="Times New Roman" w:cs="Times New Roman"/>
          <w:sz w:val="24"/>
          <w:szCs w:val="24"/>
          <w:vertAlign w:val="superscript"/>
        </w:rPr>
        <w:t>a</w:t>
      </w:r>
      <w:r w:rsidR="00AE1D3B" w:rsidRPr="00AE1D3B">
        <w:rPr>
          <w:rFonts w:ascii="Times New Roman" w:hAnsi="Times New Roman" w:cs="Times New Roman"/>
          <w:sz w:val="24"/>
          <w:szCs w:val="24"/>
        </w:rPr>
        <w:t>, S. Mandal</w:t>
      </w:r>
      <w:r w:rsidR="00AE1D3B" w:rsidRPr="00AE1D3B">
        <w:rPr>
          <w:rFonts w:ascii="Times New Roman" w:hAnsi="Times New Roman" w:cs="Times New Roman"/>
          <w:sz w:val="24"/>
          <w:szCs w:val="24"/>
          <w:vertAlign w:val="superscript"/>
        </w:rPr>
        <w:t>c</w:t>
      </w:r>
      <w:r w:rsidR="00AE1D3B" w:rsidRPr="00AE1D3B">
        <w:rPr>
          <w:rFonts w:ascii="Times New Roman" w:hAnsi="Times New Roman" w:cs="Times New Roman"/>
          <w:sz w:val="24"/>
          <w:szCs w:val="24"/>
        </w:rPr>
        <w:t>, L. Hernández Leal</w:t>
      </w:r>
      <w:r w:rsidR="00AE1D3B" w:rsidRPr="00AE1D3B">
        <w:rPr>
          <w:rFonts w:ascii="Times New Roman" w:hAnsi="Times New Roman" w:cs="Times New Roman"/>
          <w:sz w:val="24"/>
          <w:szCs w:val="24"/>
          <w:vertAlign w:val="superscript"/>
        </w:rPr>
        <w:t>b</w:t>
      </w:r>
      <w:r w:rsidR="00AE1D3B" w:rsidRPr="00AE1D3B">
        <w:rPr>
          <w:rFonts w:ascii="Times New Roman" w:hAnsi="Times New Roman" w:cs="Times New Roman"/>
          <w:sz w:val="24"/>
          <w:szCs w:val="24"/>
        </w:rPr>
        <w:t xml:space="preserve"> and J. C. Kruithof</w:t>
      </w:r>
      <w:r w:rsidR="00AE1D3B" w:rsidRPr="00AE1D3B">
        <w:rPr>
          <w:rFonts w:ascii="Times New Roman" w:hAnsi="Times New Roman" w:cs="Times New Roman"/>
          <w:sz w:val="24"/>
          <w:szCs w:val="24"/>
          <w:vertAlign w:val="superscript"/>
        </w:rPr>
        <w:t>b</w:t>
      </w:r>
      <w:r w:rsidR="00AE1D3B" w:rsidRPr="00AE1D3B">
        <w:rPr>
          <w:rFonts w:ascii="Times New Roman" w:hAnsi="Times New Roman" w:cs="Times New Roman"/>
          <w:sz w:val="24"/>
          <w:szCs w:val="24"/>
        </w:rPr>
        <w:t xml:space="preserve"> </w:t>
      </w:r>
    </w:p>
    <w:p w14:paraId="3463EC36" w14:textId="3C088480" w:rsidR="00F8492A" w:rsidRPr="00FC25D8" w:rsidRDefault="00F8492A" w:rsidP="00395053">
      <w:pPr>
        <w:spacing w:after="0" w:line="480" w:lineRule="auto"/>
        <w:jc w:val="center"/>
        <w:rPr>
          <w:rFonts w:ascii="Times New Roman" w:hAnsi="Times New Roman" w:cs="Times New Roman"/>
          <w:sz w:val="24"/>
          <w:szCs w:val="24"/>
        </w:rPr>
      </w:pPr>
    </w:p>
    <w:p w14:paraId="33DF77C6" w14:textId="77777777" w:rsidR="004219CC" w:rsidRPr="00FC25D8" w:rsidRDefault="004219CC" w:rsidP="00F75E07">
      <w:pPr>
        <w:spacing w:after="0" w:line="480" w:lineRule="auto"/>
        <w:rPr>
          <w:rFonts w:ascii="Times New Roman" w:hAnsi="Times New Roman" w:cs="Times New Roman"/>
          <w:sz w:val="24"/>
          <w:szCs w:val="24"/>
        </w:rPr>
      </w:pPr>
    </w:p>
    <w:p w14:paraId="1F02AEA3" w14:textId="77777777" w:rsidR="00F8492A" w:rsidRPr="00FC25D8" w:rsidRDefault="00F8492A" w:rsidP="00395053">
      <w:pPr>
        <w:spacing w:after="0" w:line="480" w:lineRule="auto"/>
        <w:jc w:val="center"/>
        <w:rPr>
          <w:rFonts w:ascii="Times New Roman" w:hAnsi="Times New Roman" w:cs="Times New Roman"/>
          <w:sz w:val="24"/>
          <w:szCs w:val="24"/>
        </w:rPr>
      </w:pPr>
    </w:p>
    <w:p w14:paraId="7BDF6EB6" w14:textId="4623D7CC" w:rsidR="00AE1D3B" w:rsidRPr="00AE1D3B" w:rsidRDefault="00AE1D3B" w:rsidP="00AE1D3B">
      <w:pPr>
        <w:spacing w:after="0" w:line="480" w:lineRule="auto"/>
        <w:jc w:val="center"/>
        <w:rPr>
          <w:rFonts w:ascii="Times New Roman" w:hAnsi="Times New Roman" w:cs="Times New Roman"/>
          <w:sz w:val="24"/>
          <w:szCs w:val="24"/>
          <w:lang w:eastAsia="zh-CN"/>
        </w:rPr>
      </w:pPr>
      <w:r w:rsidRPr="00AE1D3B">
        <w:rPr>
          <w:rFonts w:ascii="Times New Roman" w:hAnsi="Times New Roman" w:cs="Times New Roman"/>
          <w:sz w:val="24"/>
          <w:szCs w:val="24"/>
          <w:lang w:eastAsia="zh-CN"/>
        </w:rPr>
        <w:t>a.</w:t>
      </w:r>
      <w:r>
        <w:rPr>
          <w:rFonts w:ascii="Times New Roman" w:hAnsi="Times New Roman" w:cs="Times New Roman"/>
          <w:sz w:val="24"/>
          <w:szCs w:val="24"/>
          <w:lang w:eastAsia="zh-CN"/>
        </w:rPr>
        <w:t xml:space="preserve"> </w:t>
      </w:r>
      <w:r w:rsidRPr="00AE1D3B">
        <w:rPr>
          <w:rFonts w:ascii="Times New Roman" w:hAnsi="Times New Roman" w:cs="Times New Roman"/>
          <w:sz w:val="24"/>
          <w:szCs w:val="24"/>
          <w:lang w:eastAsia="zh-CN"/>
        </w:rPr>
        <w:t>Department of Civil and Environmental Engineering, Imperial College London, South Kensington Campus, SW7 2AZ, London, UK.</w:t>
      </w:r>
    </w:p>
    <w:p w14:paraId="45A73760" w14:textId="6889F236" w:rsidR="00AE1D3B" w:rsidRPr="00AE1D3B" w:rsidRDefault="00AE1D3B" w:rsidP="00AE1D3B">
      <w:pPr>
        <w:spacing w:after="0" w:line="480" w:lineRule="auto"/>
        <w:jc w:val="center"/>
        <w:rPr>
          <w:rFonts w:ascii="Times New Roman" w:hAnsi="Times New Roman" w:cs="Times New Roman"/>
          <w:sz w:val="24"/>
          <w:szCs w:val="24"/>
          <w:lang w:eastAsia="zh-CN"/>
        </w:rPr>
      </w:pPr>
      <w:r w:rsidRPr="00AE1D3B">
        <w:rPr>
          <w:rFonts w:ascii="Times New Roman" w:hAnsi="Times New Roman" w:cs="Times New Roman"/>
          <w:sz w:val="24"/>
          <w:szCs w:val="24"/>
          <w:lang w:eastAsia="zh-CN"/>
        </w:rPr>
        <w:t>b.</w:t>
      </w:r>
      <w:r>
        <w:rPr>
          <w:rFonts w:ascii="Times New Roman" w:hAnsi="Times New Roman" w:cs="Times New Roman"/>
          <w:sz w:val="24"/>
          <w:szCs w:val="24"/>
          <w:lang w:eastAsia="zh-CN"/>
        </w:rPr>
        <w:t xml:space="preserve"> </w:t>
      </w:r>
      <w:r w:rsidRPr="00AE1D3B">
        <w:rPr>
          <w:rFonts w:ascii="Times New Roman" w:hAnsi="Times New Roman" w:cs="Times New Roman"/>
          <w:sz w:val="24"/>
          <w:szCs w:val="24"/>
          <w:lang w:eastAsia="zh-CN"/>
        </w:rPr>
        <w:t>Wetsus, European centre of excellence for sustainable water technology, P.O. Box 1113, 8900 CC, Leeuwarden, the Netherlands.</w:t>
      </w:r>
    </w:p>
    <w:p w14:paraId="3B043012" w14:textId="43E244B8" w:rsidR="00AE1D3B" w:rsidRPr="00AE1D3B" w:rsidRDefault="00AE1D3B" w:rsidP="00AE1D3B">
      <w:pPr>
        <w:spacing w:after="0" w:line="480" w:lineRule="auto"/>
        <w:jc w:val="center"/>
        <w:rPr>
          <w:rFonts w:ascii="Times New Roman" w:hAnsi="Times New Roman" w:cs="Times New Roman"/>
          <w:sz w:val="24"/>
          <w:szCs w:val="24"/>
          <w:lang w:eastAsia="zh-CN"/>
        </w:rPr>
      </w:pPr>
      <w:r w:rsidRPr="00AE1D3B">
        <w:rPr>
          <w:rFonts w:ascii="Times New Roman" w:hAnsi="Times New Roman" w:cs="Times New Roman"/>
          <w:sz w:val="24"/>
          <w:szCs w:val="24"/>
          <w:lang w:eastAsia="zh-CN"/>
        </w:rPr>
        <w:t>c.</w:t>
      </w:r>
      <w:r>
        <w:rPr>
          <w:rFonts w:ascii="Times New Roman" w:hAnsi="Times New Roman" w:cs="Times New Roman"/>
          <w:sz w:val="24"/>
          <w:szCs w:val="24"/>
          <w:lang w:eastAsia="zh-CN"/>
        </w:rPr>
        <w:t xml:space="preserve"> </w:t>
      </w:r>
      <w:r w:rsidRPr="00AE1D3B">
        <w:rPr>
          <w:rFonts w:ascii="Times New Roman" w:hAnsi="Times New Roman" w:cs="Times New Roman"/>
          <w:sz w:val="24"/>
          <w:szCs w:val="24"/>
          <w:lang w:eastAsia="zh-CN"/>
        </w:rPr>
        <w:t>Duisburg-Essen University, Universitätsstraße 2, 45117, Essen, Germany.</w:t>
      </w:r>
    </w:p>
    <w:p w14:paraId="3C375B3C" w14:textId="2AB50658" w:rsidR="00F468E5" w:rsidRPr="00FC25D8" w:rsidRDefault="00AE1D3B" w:rsidP="00AE1D3B">
      <w:pPr>
        <w:spacing w:after="0" w:line="480" w:lineRule="auto"/>
        <w:jc w:val="center"/>
        <w:rPr>
          <w:rFonts w:ascii="Times New Roman" w:hAnsi="Times New Roman" w:cs="Times New Roman"/>
          <w:sz w:val="24"/>
          <w:szCs w:val="24"/>
        </w:rPr>
      </w:pPr>
      <w:r w:rsidRPr="00AE1D3B">
        <w:rPr>
          <w:rFonts w:ascii="Times New Roman" w:hAnsi="Times New Roman" w:cs="Times New Roman"/>
          <w:sz w:val="24"/>
          <w:szCs w:val="24"/>
          <w:lang w:eastAsia="zh-CN"/>
        </w:rPr>
        <w:t>† Corresponding author: s.semitsoglou-tsiapou12@imperial.ac.uk, Oostergoweg 9, PO Box 1113, 8900 CC, Leeuwarden</w:t>
      </w:r>
    </w:p>
    <w:p w14:paraId="251CC4BF" w14:textId="1013D661" w:rsidR="00F75E07" w:rsidRDefault="00F75E07" w:rsidP="00395053">
      <w:pPr>
        <w:spacing w:after="0" w:line="480" w:lineRule="auto"/>
        <w:jc w:val="both"/>
        <w:rPr>
          <w:rFonts w:ascii="Times New Roman" w:hAnsi="Times New Roman" w:cs="Times New Roman"/>
          <w:i/>
          <w:sz w:val="24"/>
          <w:szCs w:val="24"/>
        </w:rPr>
      </w:pPr>
    </w:p>
    <w:sdt>
      <w:sdtPr>
        <w:rPr>
          <w:rFonts w:ascii="Times New Roman" w:hAnsi="Times New Roman" w:cs="Times New Roman"/>
          <w:b/>
          <w:sz w:val="24"/>
          <w:szCs w:val="24"/>
        </w:rPr>
        <w:id w:val="-251282593"/>
        <w:docPartObj>
          <w:docPartGallery w:val="Table of Contents"/>
          <w:docPartUnique/>
        </w:docPartObj>
      </w:sdtPr>
      <w:sdtEndPr>
        <w:rPr>
          <w:b w:val="0"/>
          <w:bCs/>
        </w:rPr>
      </w:sdtEndPr>
      <w:sdtContent>
        <w:p w14:paraId="32CC8C0E" w14:textId="77777777" w:rsidR="001D17AE" w:rsidRPr="001D17AE" w:rsidRDefault="001D17AE" w:rsidP="001D17AE">
          <w:pPr>
            <w:spacing w:after="0" w:line="480" w:lineRule="auto"/>
            <w:jc w:val="both"/>
            <w:rPr>
              <w:rFonts w:ascii="Times New Roman" w:hAnsi="Times New Roman" w:cs="Times New Roman"/>
              <w:b/>
              <w:sz w:val="24"/>
              <w:szCs w:val="24"/>
              <w:lang w:val="en-US"/>
            </w:rPr>
          </w:pPr>
          <w:r w:rsidRPr="001D17AE">
            <w:rPr>
              <w:rFonts w:ascii="Times New Roman" w:hAnsi="Times New Roman" w:cs="Times New Roman"/>
              <w:b/>
              <w:sz w:val="24"/>
              <w:szCs w:val="24"/>
            </w:rPr>
            <w:drawing>
              <wp:inline distT="0" distB="0" distL="0" distR="0" wp14:anchorId="7E3E9145" wp14:editId="415809AA">
                <wp:extent cx="2860925" cy="139091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1 - Copy.tif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0925" cy="1390917"/>
                        </a:xfrm>
                        <a:prstGeom prst="rect">
                          <a:avLst/>
                        </a:prstGeom>
                      </pic:spPr>
                    </pic:pic>
                  </a:graphicData>
                </a:graphic>
              </wp:inline>
            </w:drawing>
          </w:r>
        </w:p>
        <w:p w14:paraId="6C25B932" w14:textId="77777777" w:rsidR="001D17AE" w:rsidRPr="001D17AE" w:rsidRDefault="001D17AE" w:rsidP="001D17AE">
          <w:pPr>
            <w:spacing w:after="0" w:line="480" w:lineRule="auto"/>
            <w:jc w:val="both"/>
            <w:rPr>
              <w:rFonts w:ascii="Times New Roman" w:hAnsi="Times New Roman" w:cs="Times New Roman"/>
              <w:sz w:val="24"/>
              <w:szCs w:val="24"/>
            </w:rPr>
          </w:pPr>
          <w:r w:rsidRPr="001D17AE">
            <w:rPr>
              <w:rFonts w:ascii="Times New Roman" w:hAnsi="Times New Roman" w:cs="Times New Roman"/>
              <w:sz w:val="24"/>
              <w:szCs w:val="24"/>
            </w:rPr>
            <w:t>LP-UV/H</w:t>
          </w:r>
          <w:r w:rsidRPr="001D17AE">
            <w:rPr>
              <w:rFonts w:ascii="Times New Roman" w:hAnsi="Times New Roman" w:cs="Times New Roman"/>
              <w:sz w:val="24"/>
              <w:szCs w:val="24"/>
              <w:vertAlign w:val="subscript"/>
            </w:rPr>
            <w:t>2</w:t>
          </w:r>
          <w:r w:rsidRPr="001D17AE">
            <w:rPr>
              <w:rFonts w:ascii="Times New Roman" w:hAnsi="Times New Roman" w:cs="Times New Roman"/>
              <w:sz w:val="24"/>
              <w:szCs w:val="24"/>
            </w:rPr>
            <w:t>O</w:t>
          </w:r>
          <w:r w:rsidRPr="001D17AE">
            <w:rPr>
              <w:rFonts w:ascii="Times New Roman" w:hAnsi="Times New Roman" w:cs="Times New Roman"/>
              <w:sz w:val="24"/>
              <w:szCs w:val="24"/>
              <w:vertAlign w:val="subscript"/>
            </w:rPr>
            <w:t xml:space="preserve">2 </w:t>
          </w:r>
          <w:r w:rsidRPr="001D17AE">
            <w:rPr>
              <w:rFonts w:ascii="Times New Roman" w:hAnsi="Times New Roman" w:cs="Times New Roman"/>
              <w:sz w:val="24"/>
              <w:szCs w:val="24"/>
            </w:rPr>
            <w:t>treatment of NOM-containing synthetic waters led to nitrite, nitrophenol and measurable but not mutagenic Ames responses in the presence of nitrate, where the NOM type affected the response levels.</w:t>
          </w:r>
        </w:p>
      </w:sdtContent>
    </w:sdt>
    <w:p w14:paraId="7157DCFA" w14:textId="77777777" w:rsidR="001D17AE" w:rsidRDefault="001D17AE" w:rsidP="001B02F0">
      <w:pPr>
        <w:spacing w:after="0" w:line="480" w:lineRule="auto"/>
        <w:jc w:val="both"/>
        <w:rPr>
          <w:rFonts w:ascii="Times New Roman" w:hAnsi="Times New Roman" w:cs="Times New Roman"/>
          <w:sz w:val="24"/>
          <w:szCs w:val="24"/>
        </w:rPr>
      </w:pPr>
    </w:p>
    <w:p w14:paraId="44585E89" w14:textId="502D3505" w:rsidR="001B02F0" w:rsidRPr="001B02F0" w:rsidRDefault="001B02F0" w:rsidP="001B02F0">
      <w:pPr>
        <w:spacing w:after="0" w:line="480" w:lineRule="auto"/>
        <w:jc w:val="both"/>
        <w:rPr>
          <w:rFonts w:ascii="Times New Roman" w:hAnsi="Times New Roman" w:cs="Times New Roman"/>
          <w:b/>
          <w:sz w:val="24"/>
          <w:szCs w:val="24"/>
        </w:rPr>
      </w:pPr>
      <w:r w:rsidRPr="001B02F0">
        <w:rPr>
          <w:rFonts w:ascii="Times New Roman" w:hAnsi="Times New Roman" w:cs="Times New Roman"/>
          <w:b/>
          <w:sz w:val="24"/>
          <w:szCs w:val="24"/>
        </w:rPr>
        <w:t>Water Impact Statement</w:t>
      </w:r>
    </w:p>
    <w:p w14:paraId="0D2F74A8" w14:textId="0C2439E7" w:rsidR="001B02F0" w:rsidRDefault="001B02F0" w:rsidP="001B02F0">
      <w:pPr>
        <w:spacing w:after="0" w:line="480" w:lineRule="auto"/>
        <w:jc w:val="both"/>
        <w:rPr>
          <w:rFonts w:ascii="Times New Roman" w:hAnsi="Times New Roman" w:cs="Times New Roman"/>
          <w:sz w:val="24"/>
          <w:szCs w:val="24"/>
        </w:rPr>
      </w:pPr>
      <w:bookmarkStart w:id="0" w:name="_Hlk493692025"/>
      <w:r w:rsidRPr="001B02F0">
        <w:rPr>
          <w:rFonts w:ascii="Times New Roman" w:hAnsi="Times New Roman" w:cs="Times New Roman"/>
          <w:sz w:val="24"/>
          <w:szCs w:val="24"/>
        </w:rPr>
        <w:t xml:space="preserve">Despite the increasing application of UV advanced oxidation processes in water treatment, few studies have considered the potential formation of nitrated by-products and potential toxicity issues. This study showed that UV advanced oxidation of waters containing nitrate and natural organic matter can produce nitrite and nitrophenols, but measurable mutagenicity formation in </w:t>
      </w:r>
      <w:r w:rsidRPr="001B02F0">
        <w:rPr>
          <w:rFonts w:ascii="Times New Roman" w:hAnsi="Times New Roman" w:cs="Times New Roman"/>
          <w:i/>
          <w:sz w:val="24"/>
          <w:szCs w:val="24"/>
        </w:rPr>
        <w:t>Salmonella typhimurium</w:t>
      </w:r>
      <w:r w:rsidRPr="001B02F0">
        <w:rPr>
          <w:rFonts w:ascii="Times New Roman" w:hAnsi="Times New Roman" w:cs="Times New Roman"/>
          <w:sz w:val="24"/>
          <w:szCs w:val="24"/>
        </w:rPr>
        <w:t xml:space="preserve"> was not significant compared to standard thresholds.</w:t>
      </w:r>
    </w:p>
    <w:p w14:paraId="64CDF875" w14:textId="1ADA34BB" w:rsidR="002110C0" w:rsidRDefault="002110C0" w:rsidP="001B02F0">
      <w:pPr>
        <w:spacing w:after="0" w:line="480" w:lineRule="auto"/>
        <w:jc w:val="both"/>
        <w:rPr>
          <w:rFonts w:ascii="Times New Roman" w:hAnsi="Times New Roman" w:cs="Times New Roman"/>
          <w:sz w:val="24"/>
          <w:szCs w:val="24"/>
        </w:rPr>
      </w:pPr>
    </w:p>
    <w:p w14:paraId="19A9DF55"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b/>
          <w:sz w:val="24"/>
          <w:szCs w:val="24"/>
        </w:rPr>
        <w:t xml:space="preserve">Introduction </w:t>
      </w:r>
    </w:p>
    <w:p w14:paraId="24E96FE9"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Advanced oxidation processes (AOPs) have been increasingly incorporated for drinking water treatment applications, due to the rise of recalcitrant micro-pollutants in the water, and because of the effective non-selective degradation achieved</w:t>
      </w:r>
      <w:r w:rsidRPr="00E35850">
        <w:rPr>
          <w:rFonts w:ascii="Times New Roman" w:hAnsi="Times New Roman" w:cs="Times New Roman"/>
          <w:sz w:val="24"/>
          <w:szCs w:val="24"/>
          <w:vertAlign w:val="superscript"/>
        </w:rPr>
        <w:t>1</w:t>
      </w:r>
      <w:r w:rsidRPr="00E35850">
        <w:rPr>
          <w:rFonts w:ascii="Times New Roman" w:hAnsi="Times New Roman" w:cs="Times New Roman"/>
          <w:sz w:val="24"/>
          <w:szCs w:val="24"/>
        </w:rPr>
        <w:t>. More specifically, UV-based AOPs (e.g. UV/O</w:t>
      </w:r>
      <w:r w:rsidRPr="00E35850">
        <w:rPr>
          <w:rFonts w:ascii="Times New Roman" w:hAnsi="Times New Roman" w:cs="Times New Roman"/>
          <w:sz w:val="24"/>
          <w:szCs w:val="24"/>
          <w:vertAlign w:val="subscript"/>
        </w:rPr>
        <w:t>3</w:t>
      </w:r>
      <w:r w:rsidRPr="00E35850">
        <w:rPr>
          <w:rFonts w:ascii="Times New Roman" w:hAnsi="Times New Roman" w:cs="Times New Roman"/>
          <w:sz w:val="24"/>
          <w:szCs w:val="24"/>
        </w:rPr>
        <w:t>, UV/</w:t>
      </w:r>
      <w:r w:rsidRPr="00E35850">
        <w:rPr>
          <w:rFonts w:ascii="Times New Roman" w:hAnsi="Times New Roman" w:cs="Times New Roman"/>
          <w:bCs/>
          <w:sz w:val="24"/>
          <w:szCs w:val="24"/>
        </w:rPr>
        <w:t>H</w:t>
      </w:r>
      <w:r w:rsidRPr="00E35850">
        <w:rPr>
          <w:rFonts w:ascii="Times New Roman" w:hAnsi="Times New Roman" w:cs="Times New Roman"/>
          <w:bCs/>
          <w:sz w:val="24"/>
          <w:szCs w:val="24"/>
          <w:vertAlign w:val="subscript"/>
        </w:rPr>
        <w:t>2</w:t>
      </w:r>
      <w:r w:rsidRPr="00E35850">
        <w:rPr>
          <w:rFonts w:ascii="Times New Roman" w:hAnsi="Times New Roman" w:cs="Times New Roman"/>
          <w:bCs/>
          <w:sz w:val="24"/>
          <w:szCs w:val="24"/>
        </w:rPr>
        <w:t>O</w:t>
      </w:r>
      <w:r w:rsidRPr="00E35850">
        <w:rPr>
          <w:rFonts w:ascii="Times New Roman" w:hAnsi="Times New Roman" w:cs="Times New Roman"/>
          <w:bCs/>
          <w:sz w:val="24"/>
          <w:szCs w:val="24"/>
          <w:vertAlign w:val="subscript"/>
        </w:rPr>
        <w:t>2</w:t>
      </w:r>
      <w:r w:rsidRPr="00E35850">
        <w:rPr>
          <w:rFonts w:ascii="Times New Roman" w:hAnsi="Times New Roman" w:cs="Times New Roman"/>
          <w:sz w:val="24"/>
          <w:szCs w:val="24"/>
        </w:rPr>
        <w:t>, UV/TiO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UV/HOCl) have been widely applied in the past decade due to the combined effect of UV photolysis and hydroxyl radical oxidation for the degradation of organic micro-pollutants</w:t>
      </w:r>
      <w:r w:rsidRPr="00E35850">
        <w:rPr>
          <w:rFonts w:ascii="Times New Roman" w:hAnsi="Times New Roman" w:cs="Times New Roman"/>
          <w:sz w:val="24"/>
          <w:szCs w:val="24"/>
          <w:vertAlign w:val="superscript"/>
        </w:rPr>
        <w:t>2</w:t>
      </w:r>
      <w:r w:rsidRPr="00E35850">
        <w:rPr>
          <w:rFonts w:ascii="Times New Roman" w:hAnsi="Times New Roman" w:cs="Times New Roman"/>
          <w:sz w:val="24"/>
          <w:szCs w:val="24"/>
        </w:rPr>
        <w:t xml:space="preserve"> (as well as for disinfection purposes). AOPs have been shown to produce reaction products</w:t>
      </w:r>
      <w:r w:rsidRPr="00E35850">
        <w:rPr>
          <w:rFonts w:ascii="Times New Roman" w:hAnsi="Times New Roman" w:cs="Times New Roman"/>
          <w:sz w:val="24"/>
          <w:szCs w:val="24"/>
          <w:vertAlign w:val="superscript"/>
        </w:rPr>
        <w:t>3</w:t>
      </w:r>
      <w:r w:rsidRPr="00E35850">
        <w:rPr>
          <w:rFonts w:ascii="Times New Roman" w:hAnsi="Times New Roman" w:cs="Times New Roman"/>
          <w:sz w:val="24"/>
          <w:szCs w:val="24"/>
        </w:rPr>
        <w:t>, which depend greatly on the water matrix, the process and the conditions applied. This work has focused specifically on the application of the Low Pressure (LP)-UV/</w:t>
      </w:r>
      <w:r w:rsidRPr="00E35850">
        <w:rPr>
          <w:rFonts w:ascii="Times New Roman" w:hAnsi="Times New Roman" w:cs="Times New Roman"/>
          <w:bCs/>
          <w:sz w:val="24"/>
          <w:szCs w:val="24"/>
        </w:rPr>
        <w:t>H</w:t>
      </w:r>
      <w:r w:rsidRPr="00E35850">
        <w:rPr>
          <w:rFonts w:ascii="Times New Roman" w:hAnsi="Times New Roman" w:cs="Times New Roman"/>
          <w:bCs/>
          <w:sz w:val="24"/>
          <w:szCs w:val="24"/>
          <w:vertAlign w:val="subscript"/>
        </w:rPr>
        <w:t>2</w:t>
      </w:r>
      <w:r w:rsidRPr="00E35850">
        <w:rPr>
          <w:rFonts w:ascii="Times New Roman" w:hAnsi="Times New Roman" w:cs="Times New Roman"/>
          <w:bCs/>
          <w:sz w:val="24"/>
          <w:szCs w:val="24"/>
        </w:rPr>
        <w:t>O</w:t>
      </w:r>
      <w:r w:rsidRPr="00E35850">
        <w:rPr>
          <w:rFonts w:ascii="Times New Roman" w:hAnsi="Times New Roman" w:cs="Times New Roman"/>
          <w:bCs/>
          <w:sz w:val="24"/>
          <w:szCs w:val="24"/>
          <w:vertAlign w:val="subscript"/>
        </w:rPr>
        <w:t>2</w:t>
      </w:r>
      <w:r w:rsidRPr="00E35850">
        <w:rPr>
          <w:rFonts w:ascii="Times New Roman" w:hAnsi="Times New Roman" w:cs="Times New Roman"/>
          <w:bCs/>
          <w:sz w:val="24"/>
          <w:szCs w:val="24"/>
        </w:rPr>
        <w:t xml:space="preserve"> process. </w:t>
      </w:r>
      <w:r w:rsidRPr="00E35850">
        <w:rPr>
          <w:rFonts w:ascii="Times New Roman" w:hAnsi="Times New Roman" w:cs="Times New Roman"/>
          <w:sz w:val="24"/>
          <w:szCs w:val="24"/>
        </w:rPr>
        <w:t>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treatment is becoming popular since it has been shown in </w:t>
      </w:r>
      <w:r w:rsidRPr="00E35850">
        <w:rPr>
          <w:rFonts w:ascii="Times New Roman" w:hAnsi="Times New Roman" w:cs="Times New Roman"/>
          <w:sz w:val="24"/>
          <w:szCs w:val="24"/>
        </w:rPr>
        <w:lastRenderedPageBreak/>
        <w:t>numerous previous studies to successfully treat various organic contaminants, e.g. endocrine disrupting compounds (EDCs)</w:t>
      </w:r>
      <w:r w:rsidRPr="00E35850">
        <w:rPr>
          <w:rFonts w:ascii="Times New Roman" w:hAnsi="Times New Roman" w:cs="Times New Roman"/>
          <w:sz w:val="24"/>
          <w:szCs w:val="24"/>
          <w:vertAlign w:val="superscript"/>
        </w:rPr>
        <w:t>4</w:t>
      </w:r>
      <w:r w:rsidRPr="00E35850">
        <w:rPr>
          <w:rFonts w:ascii="Times New Roman" w:hAnsi="Times New Roman" w:cs="Times New Roman"/>
          <w:sz w:val="24"/>
          <w:szCs w:val="24"/>
        </w:rPr>
        <w:t>, polycyclic aromatic hydrocarbons (PAHs)</w:t>
      </w:r>
      <w:r w:rsidRPr="00E35850">
        <w:rPr>
          <w:rFonts w:ascii="Times New Roman" w:hAnsi="Times New Roman" w:cs="Times New Roman"/>
          <w:sz w:val="24"/>
          <w:szCs w:val="24"/>
          <w:vertAlign w:val="superscript"/>
        </w:rPr>
        <w:t>5-6</w:t>
      </w:r>
      <w:r w:rsidRPr="00E35850">
        <w:rPr>
          <w:rFonts w:ascii="Times New Roman" w:hAnsi="Times New Roman" w:cs="Times New Roman"/>
          <w:sz w:val="24"/>
          <w:szCs w:val="24"/>
        </w:rPr>
        <w:t>, pharmaceuticals</w:t>
      </w:r>
      <w:r w:rsidRPr="00E35850">
        <w:rPr>
          <w:rFonts w:ascii="Times New Roman" w:hAnsi="Times New Roman" w:cs="Times New Roman"/>
          <w:sz w:val="24"/>
          <w:szCs w:val="24"/>
          <w:vertAlign w:val="superscript"/>
        </w:rPr>
        <w:t>7</w:t>
      </w:r>
      <w:r w:rsidRPr="00E35850">
        <w:rPr>
          <w:rFonts w:ascii="Times New Roman" w:hAnsi="Times New Roman" w:cs="Times New Roman"/>
          <w:sz w:val="24"/>
          <w:szCs w:val="24"/>
        </w:rPr>
        <w:t xml:space="preserve"> and pesticides</w:t>
      </w:r>
      <w:r w:rsidRPr="00E35850">
        <w:rPr>
          <w:rFonts w:ascii="Times New Roman" w:hAnsi="Times New Roman" w:cs="Times New Roman"/>
          <w:sz w:val="24"/>
          <w:szCs w:val="24"/>
          <w:vertAlign w:val="superscript"/>
        </w:rPr>
        <w:t>8-9</w:t>
      </w:r>
      <w:r w:rsidRPr="00E35850">
        <w:rPr>
          <w:rFonts w:ascii="Times New Roman" w:hAnsi="Times New Roman" w:cs="Times New Roman"/>
          <w:sz w:val="24"/>
          <w:szCs w:val="24"/>
        </w:rPr>
        <w:t>. It is a promising technology due to the effective, non-selective degradation of micropollutants via OH-radical-assisted oxidation with an additional contribution of UV photolysis, while disinfection of the water takes place at the same time. Specifically, Low Pressure (LP) lamp applications exhibit advantages over Medium Pressure (MP) applications due to higher energy efficiency, longer lifetime, and minimum formation of by-products of concern, such as nitrite and bromate</w:t>
      </w:r>
      <w:r w:rsidRPr="00E35850">
        <w:rPr>
          <w:rFonts w:ascii="Times New Roman" w:hAnsi="Times New Roman" w:cs="Times New Roman"/>
          <w:sz w:val="24"/>
          <w:szCs w:val="24"/>
          <w:vertAlign w:val="superscript"/>
        </w:rPr>
        <w:t>10</w:t>
      </w:r>
      <w:r w:rsidRPr="00E35850">
        <w:rPr>
          <w:rFonts w:ascii="Times New Roman" w:hAnsi="Times New Roman" w:cs="Times New Roman"/>
          <w:sz w:val="24"/>
          <w:szCs w:val="24"/>
        </w:rPr>
        <w:t>.</w:t>
      </w:r>
    </w:p>
    <w:p w14:paraId="2A7701AE"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The formation of nitrogenous reaction products via the photolysis of nitrate, followed by a complex series of reactions, has been studied previously only to a limited extent</w:t>
      </w:r>
      <w:r w:rsidRPr="00E35850">
        <w:rPr>
          <w:rFonts w:ascii="Times New Roman" w:hAnsi="Times New Roman" w:cs="Times New Roman"/>
          <w:sz w:val="24"/>
          <w:szCs w:val="24"/>
          <w:vertAlign w:val="superscript"/>
        </w:rPr>
        <w:t>11</w:t>
      </w:r>
      <w:r w:rsidRPr="00E35850">
        <w:rPr>
          <w:rFonts w:ascii="Times New Roman" w:hAnsi="Times New Roman" w:cs="Times New Roman"/>
          <w:sz w:val="24"/>
          <w:szCs w:val="24"/>
        </w:rPr>
        <w:t>. In contrast, the photolysis of nitrate has been studied extensively, especially for medium pressure (MP)-UV wavelengths (</w:t>
      </w:r>
      <w:r w:rsidRPr="00E35850">
        <w:rPr>
          <w:rFonts w:ascii="Times New Roman" w:hAnsi="Times New Roman" w:cs="Times New Roman"/>
          <w:sz w:val="24"/>
          <w:szCs w:val="24"/>
          <w:lang w:val="el-GR"/>
        </w:rPr>
        <w:t>λ</w:t>
      </w:r>
      <w:r w:rsidRPr="00E35850">
        <w:rPr>
          <w:rFonts w:ascii="Times New Roman" w:hAnsi="Times New Roman" w:cs="Times New Roman"/>
          <w:sz w:val="24"/>
          <w:szCs w:val="24"/>
        </w:rPr>
        <w:t xml:space="preserve"> &lt; 240 nm) where its absorption is the highest, leading to peroxynitrite (OONO</w:t>
      </w:r>
      <w:r w:rsidRPr="00E35850">
        <w:rPr>
          <w:rFonts w:ascii="Times New Roman" w:hAnsi="Times New Roman" w:cs="Times New Roman"/>
          <w:sz w:val="24"/>
          <w:szCs w:val="24"/>
          <w:vertAlign w:val="superscript"/>
        </w:rPr>
        <w:t>-</w:t>
      </w:r>
      <w:r w:rsidRPr="00E35850">
        <w:rPr>
          <w:rFonts w:ascii="Times New Roman" w:hAnsi="Times New Roman" w:cs="Times New Roman"/>
          <w:sz w:val="24"/>
          <w:szCs w:val="24"/>
        </w:rPr>
        <w:t>) formation as the main intermediate species. Peroxynitrite decomposition leads to the production of nitro- and nitroso- radicals, with nitrate and nitrite as end products</w:t>
      </w:r>
      <w:r w:rsidRPr="00E35850">
        <w:rPr>
          <w:rFonts w:ascii="Times New Roman" w:hAnsi="Times New Roman" w:cs="Times New Roman"/>
          <w:sz w:val="24"/>
          <w:szCs w:val="24"/>
          <w:vertAlign w:val="superscript"/>
        </w:rPr>
        <w:t>12-13</w:t>
      </w:r>
      <w:r w:rsidRPr="00E35850">
        <w:rPr>
          <w:rFonts w:ascii="Times New Roman" w:hAnsi="Times New Roman" w:cs="Times New Roman"/>
          <w:sz w:val="24"/>
          <w:szCs w:val="24"/>
        </w:rPr>
        <w:t>. In the presence of an organic matrix, the incorporation of inorganic nitrogen into the organic matrix has been demonstrated</w:t>
      </w:r>
      <w:r w:rsidRPr="00E35850">
        <w:rPr>
          <w:rFonts w:ascii="Times New Roman" w:hAnsi="Times New Roman" w:cs="Times New Roman"/>
          <w:sz w:val="24"/>
          <w:szCs w:val="24"/>
          <w:vertAlign w:val="superscript"/>
        </w:rPr>
        <w:t>14</w:t>
      </w:r>
      <w:r w:rsidRPr="00E35850">
        <w:rPr>
          <w:rFonts w:ascii="Times New Roman" w:hAnsi="Times New Roman" w:cs="Times New Roman"/>
          <w:sz w:val="24"/>
          <w:szCs w:val="24"/>
        </w:rPr>
        <w:t>. The main mechanisms shown to take place during the photolysis of nitrate or nitrite in the presence of low molecular weight organic molecules, mainly aromatic substances such as benzene and phenol</w:t>
      </w:r>
      <w:r w:rsidRPr="00E35850">
        <w:rPr>
          <w:rFonts w:ascii="Times New Roman" w:hAnsi="Times New Roman" w:cs="Times New Roman"/>
          <w:sz w:val="24"/>
          <w:szCs w:val="24"/>
          <w:vertAlign w:val="superscript"/>
        </w:rPr>
        <w:t>15-18</w:t>
      </w:r>
      <w:r w:rsidRPr="00E35850">
        <w:rPr>
          <w:rFonts w:ascii="Times New Roman" w:hAnsi="Times New Roman" w:cs="Times New Roman"/>
          <w:sz w:val="24"/>
          <w:szCs w:val="24"/>
        </w:rPr>
        <w:t>, are hydroxylation, nitration and nitrosation, the latter being enhanced in the absence of oxygen</w:t>
      </w:r>
      <w:r w:rsidRPr="00E35850">
        <w:rPr>
          <w:rFonts w:ascii="Times New Roman" w:hAnsi="Times New Roman" w:cs="Times New Roman"/>
          <w:sz w:val="24"/>
          <w:szCs w:val="24"/>
          <w:vertAlign w:val="superscript"/>
        </w:rPr>
        <w:t>19</w:t>
      </w:r>
      <w:r w:rsidRPr="00E35850">
        <w:rPr>
          <w:rFonts w:ascii="Times New Roman" w:hAnsi="Times New Roman" w:cs="Times New Roman"/>
          <w:sz w:val="24"/>
          <w:szCs w:val="24"/>
        </w:rPr>
        <w:t>. In these studies, the formation of a variety of nitrated compounds was observed (e.g. 2-nitrophenol, 4-nitrophenol, 4-nitropyrocatechol, 4-nitrosophenol). Studies investigating the reaction product formation in NOM-nitrate rich water by 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treatment are few; Martijn et al.</w:t>
      </w:r>
      <w:r w:rsidRPr="00E35850">
        <w:rPr>
          <w:rFonts w:ascii="Times New Roman" w:hAnsi="Times New Roman" w:cs="Times New Roman"/>
          <w:sz w:val="24"/>
          <w:szCs w:val="24"/>
          <w:vertAlign w:val="superscript"/>
        </w:rPr>
        <w:t>17-18</w:t>
      </w:r>
      <w:r w:rsidRPr="00E35850">
        <w:rPr>
          <w:rFonts w:ascii="Times New Roman" w:hAnsi="Times New Roman" w:cs="Times New Roman"/>
          <w:sz w:val="24"/>
          <w:szCs w:val="24"/>
        </w:rPr>
        <w:t xml:space="preserve"> reported the formation of 2- and 4-nitrophenol and 4-nitrocatechol when irradiating phenol as surrogate for NOM in the presence of nitrate with MP-UV, whereas Kolkman et al.</w:t>
      </w:r>
      <w:r w:rsidRPr="00E35850">
        <w:rPr>
          <w:rFonts w:ascii="Times New Roman" w:hAnsi="Times New Roman" w:cs="Times New Roman"/>
          <w:sz w:val="24"/>
          <w:szCs w:val="24"/>
          <w:vertAlign w:val="superscript"/>
        </w:rPr>
        <w:t>20</w:t>
      </w:r>
      <w:r w:rsidRPr="00E35850">
        <w:rPr>
          <w:rFonts w:ascii="Times New Roman" w:hAnsi="Times New Roman" w:cs="Times New Roman"/>
          <w:sz w:val="24"/>
          <w:szCs w:val="24"/>
        </w:rPr>
        <w:t xml:space="preserve"> found a variety of nitrogen containing compounds by MP-UV photolysis and MP-UV/H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treatment of synthetic (nitrate-rich, with Pony Lake </w:t>
      </w:r>
      <w:r w:rsidRPr="00E35850">
        <w:rPr>
          <w:rFonts w:ascii="Times New Roman" w:hAnsi="Times New Roman" w:cs="Times New Roman"/>
          <w:sz w:val="24"/>
          <w:szCs w:val="24"/>
        </w:rPr>
        <w:lastRenderedPageBreak/>
        <w:t xml:space="preserve">NOM) and full-scale water samples, respectively, confirming the following three reaction products: 4-nitrophenol, 4-nitrocatechol, and 2-methoxy-4,6-dinitrophenol. </w:t>
      </w:r>
    </w:p>
    <w:p w14:paraId="3288475B" w14:textId="77777777" w:rsidR="00E35850" w:rsidRPr="00E35850" w:rsidRDefault="00E35850" w:rsidP="00E35850">
      <w:pPr>
        <w:spacing w:after="0" w:line="480" w:lineRule="auto"/>
        <w:jc w:val="both"/>
        <w:rPr>
          <w:rFonts w:ascii="Times New Roman" w:hAnsi="Times New Roman" w:cs="Times New Roman"/>
          <w:sz w:val="24"/>
          <w:szCs w:val="24"/>
        </w:rPr>
      </w:pPr>
      <w:r w:rsidRPr="00E35850">
        <w:rPr>
          <w:rFonts w:ascii="Times New Roman" w:hAnsi="Times New Roman" w:cs="Times New Roman"/>
          <w:sz w:val="24"/>
          <w:szCs w:val="24"/>
        </w:rPr>
        <w:t>Since some nitrated compounds are known to be toxic</w:t>
      </w:r>
      <w:r w:rsidRPr="00E35850">
        <w:rPr>
          <w:rFonts w:ascii="Times New Roman" w:hAnsi="Times New Roman" w:cs="Times New Roman"/>
          <w:sz w:val="24"/>
          <w:szCs w:val="24"/>
          <w:vertAlign w:val="superscript"/>
        </w:rPr>
        <w:t>21</w:t>
      </w:r>
      <w:r w:rsidRPr="00E35850">
        <w:rPr>
          <w:rFonts w:ascii="Times New Roman" w:hAnsi="Times New Roman" w:cs="Times New Roman"/>
          <w:sz w:val="24"/>
          <w:szCs w:val="24"/>
        </w:rPr>
        <w:t xml:space="preserve"> and as a result may pose a health risk in drinking water, it is critical that their presence and potential contribution to the water’s toxicity are investigated. For that reason, various bioassays have been developed, such as the Ames assay, which is widely used as a standard screening method for the detection of mutagenic compounds</w:t>
      </w:r>
      <w:r w:rsidRPr="00E35850">
        <w:rPr>
          <w:rFonts w:ascii="Times New Roman" w:hAnsi="Times New Roman" w:cs="Times New Roman"/>
          <w:sz w:val="24"/>
          <w:szCs w:val="24"/>
          <w:vertAlign w:val="superscript"/>
        </w:rPr>
        <w:t>22</w:t>
      </w:r>
      <w:r w:rsidRPr="00E35850">
        <w:rPr>
          <w:rFonts w:ascii="Times New Roman" w:hAnsi="Times New Roman" w:cs="Times New Roman"/>
          <w:sz w:val="24"/>
          <w:szCs w:val="24"/>
        </w:rPr>
        <w:t xml:space="preserve">. The Ames assay was selected, since regulators consider that, ‘‘a substance that is mutagenic in the </w:t>
      </w:r>
      <w:r w:rsidRPr="00E35850">
        <w:rPr>
          <w:rFonts w:ascii="Times New Roman" w:hAnsi="Times New Roman" w:cs="Times New Roman"/>
          <w:i/>
          <w:sz w:val="24"/>
          <w:szCs w:val="24"/>
        </w:rPr>
        <w:t>Salmonella typhimurium</w:t>
      </w:r>
      <w:r w:rsidRPr="00E35850">
        <w:rPr>
          <w:rFonts w:ascii="Times New Roman" w:hAnsi="Times New Roman" w:cs="Times New Roman"/>
          <w:sz w:val="24"/>
          <w:szCs w:val="24"/>
        </w:rPr>
        <w:t xml:space="preserve"> bacterium is more likely than not to be a carcinogen in laboratory animals, and thus, by extension, present a risk of cancer to humans’’ (U.S. Department of Health and Human Services, 2016)</w:t>
      </w:r>
      <w:r w:rsidRPr="00E35850">
        <w:rPr>
          <w:rFonts w:ascii="Times New Roman" w:hAnsi="Times New Roman" w:cs="Times New Roman"/>
          <w:sz w:val="24"/>
          <w:szCs w:val="24"/>
          <w:vertAlign w:val="superscript"/>
        </w:rPr>
        <w:t>23</w:t>
      </w:r>
      <w:r w:rsidRPr="00E35850">
        <w:rPr>
          <w:rFonts w:ascii="Times New Roman" w:hAnsi="Times New Roman" w:cs="Times New Roman"/>
          <w:sz w:val="24"/>
          <w:szCs w:val="24"/>
        </w:rPr>
        <w:t xml:space="preserve">. The test is advantageous in terms of its easy application, rapid generation of results and low cost, thus rendering it a useful tool for assessing potential carcinogenicity. It makes use of strains of the bacterium </w:t>
      </w:r>
      <w:r w:rsidRPr="00E35850">
        <w:rPr>
          <w:rFonts w:ascii="Times New Roman" w:hAnsi="Times New Roman" w:cs="Times New Roman"/>
          <w:i/>
          <w:sz w:val="24"/>
          <w:szCs w:val="24"/>
        </w:rPr>
        <w:t>Salmonella typhimurium</w:t>
      </w:r>
      <w:r w:rsidRPr="00E35850">
        <w:rPr>
          <w:rFonts w:ascii="Times New Roman" w:hAnsi="Times New Roman" w:cs="Times New Roman"/>
          <w:sz w:val="24"/>
          <w:szCs w:val="24"/>
        </w:rPr>
        <w:t xml:space="preserve"> that carry gene mutations that inhibit histidine synthesis; these mutations can be reversed in the presence of mutagenic chemical compounds. The Ames II assay used in this study is a modification of the standard Ames test; it uses a liquid microplate format and much smaller sample volumes are required</w:t>
      </w:r>
      <w:r w:rsidRPr="00E35850">
        <w:rPr>
          <w:rFonts w:ascii="Times New Roman" w:hAnsi="Times New Roman" w:cs="Times New Roman"/>
          <w:sz w:val="24"/>
          <w:szCs w:val="24"/>
          <w:vertAlign w:val="superscript"/>
        </w:rPr>
        <w:t>24</w:t>
      </w:r>
      <w:r w:rsidRPr="00E35850">
        <w:rPr>
          <w:rFonts w:ascii="Times New Roman" w:hAnsi="Times New Roman" w:cs="Times New Roman"/>
          <w:sz w:val="24"/>
          <w:szCs w:val="24"/>
        </w:rPr>
        <w:t xml:space="preserve">. There are two commonly applied </w:t>
      </w:r>
      <w:r w:rsidRPr="00E35850">
        <w:rPr>
          <w:rFonts w:ascii="Times New Roman" w:hAnsi="Times New Roman" w:cs="Times New Roman"/>
          <w:i/>
          <w:sz w:val="24"/>
          <w:szCs w:val="24"/>
        </w:rPr>
        <w:t xml:space="preserve">Salmonella typhimurium </w:t>
      </w:r>
      <w:r w:rsidRPr="00E35850">
        <w:rPr>
          <w:rFonts w:ascii="Times New Roman" w:hAnsi="Times New Roman" w:cs="Times New Roman"/>
          <w:sz w:val="24"/>
          <w:szCs w:val="24"/>
        </w:rPr>
        <w:t>strains, the frameshift strain TA98 and the base-pair detecting strain TA100. It has been shown by previous studies that the TA98 strain (and especially the TA98(-S9) combination, where (-S9) denotes the absence of a rat liver metabolic activation system) is most responsive in samples treated with oxidation processes</w:t>
      </w:r>
      <w:r w:rsidRPr="00E35850">
        <w:rPr>
          <w:rFonts w:ascii="Times New Roman" w:hAnsi="Times New Roman" w:cs="Times New Roman"/>
          <w:sz w:val="24"/>
          <w:szCs w:val="24"/>
          <w:vertAlign w:val="superscript"/>
        </w:rPr>
        <w:t>17,25-28</w:t>
      </w:r>
      <w:r w:rsidRPr="00E35850">
        <w:rPr>
          <w:rFonts w:ascii="Times New Roman" w:hAnsi="Times New Roman" w:cs="Times New Roman"/>
          <w:sz w:val="24"/>
          <w:szCs w:val="24"/>
        </w:rPr>
        <w:t>, whereas the TA100 strain (both with and without S9 addition) has exhibited positive responses in cases of chlorinated samples</w:t>
      </w:r>
      <w:r w:rsidRPr="00E35850">
        <w:rPr>
          <w:rFonts w:ascii="Times New Roman" w:hAnsi="Times New Roman" w:cs="Times New Roman"/>
          <w:sz w:val="24"/>
          <w:szCs w:val="24"/>
          <w:vertAlign w:val="superscript"/>
        </w:rPr>
        <w:t>29-32</w:t>
      </w:r>
      <w:r w:rsidRPr="00E35850">
        <w:rPr>
          <w:rFonts w:ascii="Times New Roman" w:hAnsi="Times New Roman" w:cs="Times New Roman"/>
          <w:sz w:val="24"/>
          <w:szCs w:val="24"/>
        </w:rPr>
        <w:t xml:space="preserve">. Therefore, in this study, the strain TA98, in the absence of a rat liver metabolic activation system (S9), was selected. </w:t>
      </w:r>
    </w:p>
    <w:p w14:paraId="31262B0D" w14:textId="3F817412" w:rsidR="00E35850" w:rsidRDefault="00E35850" w:rsidP="00E35850">
      <w:pPr>
        <w:spacing w:after="0" w:line="480" w:lineRule="auto"/>
        <w:jc w:val="both"/>
        <w:rPr>
          <w:rFonts w:ascii="Times New Roman" w:hAnsi="Times New Roman" w:cs="Times New Roman"/>
          <w:sz w:val="24"/>
          <w:szCs w:val="24"/>
        </w:rPr>
      </w:pPr>
      <w:r w:rsidRPr="00E35850">
        <w:rPr>
          <w:rFonts w:ascii="Times New Roman" w:hAnsi="Times New Roman" w:cs="Times New Roman"/>
          <w:sz w:val="24"/>
          <w:szCs w:val="24"/>
        </w:rPr>
        <w:t>The mutagenicity of MP-UV/H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-treated water has been investigated previously and showed a significant Ames assay response and the important role that the presence of nitrate played in </w:t>
      </w:r>
      <w:r w:rsidRPr="00E35850">
        <w:rPr>
          <w:rFonts w:ascii="Times New Roman" w:hAnsi="Times New Roman" w:cs="Times New Roman"/>
          <w:sz w:val="24"/>
          <w:szCs w:val="24"/>
        </w:rPr>
        <w:lastRenderedPageBreak/>
        <w:t>this response</w:t>
      </w:r>
      <w:r w:rsidRPr="00E35850">
        <w:rPr>
          <w:rFonts w:ascii="Times New Roman" w:hAnsi="Times New Roman" w:cs="Times New Roman"/>
          <w:sz w:val="24"/>
          <w:szCs w:val="24"/>
          <w:vertAlign w:val="superscript"/>
        </w:rPr>
        <w:t>17-18, 20, 27, 33</w:t>
      </w:r>
      <w:r w:rsidRPr="00E35850">
        <w:rPr>
          <w:rFonts w:ascii="Times New Roman" w:hAnsi="Times New Roman" w:cs="Times New Roman"/>
          <w:sz w:val="24"/>
          <w:szCs w:val="24"/>
        </w:rPr>
        <w:t xml:space="preserve"> with only one study giving negative Ames assay results where natural quartz sleeves with a cut-off of UV light&lt; 240 nm were utilized</w:t>
      </w:r>
      <w:r w:rsidRPr="00E35850">
        <w:rPr>
          <w:rFonts w:ascii="Times New Roman" w:hAnsi="Times New Roman" w:cs="Times New Roman"/>
          <w:sz w:val="24"/>
          <w:szCs w:val="24"/>
          <w:vertAlign w:val="superscript"/>
        </w:rPr>
        <w:t>34</w:t>
      </w:r>
      <w:r w:rsidRPr="00E35850">
        <w:rPr>
          <w:rFonts w:ascii="Times New Roman" w:hAnsi="Times New Roman" w:cs="Times New Roman"/>
          <w:sz w:val="24"/>
          <w:szCs w:val="24"/>
        </w:rPr>
        <w:t>. Martijn et al.</w:t>
      </w:r>
      <w:r w:rsidRPr="00E35850">
        <w:rPr>
          <w:rFonts w:ascii="Times New Roman" w:hAnsi="Times New Roman" w:cs="Times New Roman"/>
          <w:sz w:val="24"/>
          <w:szCs w:val="24"/>
          <w:vertAlign w:val="superscript"/>
        </w:rPr>
        <w:t>17-18</w:t>
      </w:r>
      <w:r w:rsidRPr="00E35850">
        <w:rPr>
          <w:rFonts w:ascii="Times New Roman" w:hAnsi="Times New Roman" w:cs="Times New Roman"/>
          <w:sz w:val="24"/>
          <w:szCs w:val="24"/>
        </w:rPr>
        <w:t xml:space="preserve"> showed in a preliminary risk assessment, by converting the Ames responses of full-scale water samples treated by MP-UV and MP-UV/H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into 4-nitroquinoline oxide (4-NQO) equivalent concentrations, that there is reason for concern and further investigation is required. Although in theory LP-UV and LP-UV/H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processes are expected to cause little, if any, mutagenicity formation, very few studies have examined this in detail, and these have suggested that LP-UV-based treatment did not cause any mutagenicity formation</w:t>
      </w:r>
      <w:r w:rsidRPr="00E35850">
        <w:rPr>
          <w:rFonts w:ascii="Times New Roman" w:hAnsi="Times New Roman" w:cs="Times New Roman"/>
          <w:sz w:val="24"/>
          <w:szCs w:val="24"/>
          <w:vertAlign w:val="superscript"/>
        </w:rPr>
        <w:t>33</w:t>
      </w:r>
      <w:r w:rsidRPr="00E35850">
        <w:rPr>
          <w:rFonts w:ascii="Times New Roman" w:hAnsi="Times New Roman" w:cs="Times New Roman"/>
          <w:sz w:val="24"/>
          <w:szCs w:val="24"/>
        </w:rPr>
        <w:t xml:space="preserve"> or a very weak response</w:t>
      </w:r>
      <w:r w:rsidRPr="00E35850">
        <w:rPr>
          <w:rFonts w:ascii="Times New Roman" w:hAnsi="Times New Roman" w:cs="Times New Roman"/>
          <w:sz w:val="24"/>
          <w:szCs w:val="24"/>
          <w:vertAlign w:val="superscript"/>
        </w:rPr>
        <w:t>35</w:t>
      </w:r>
      <w:r w:rsidRPr="00E35850">
        <w:rPr>
          <w:rFonts w:ascii="Times New Roman" w:hAnsi="Times New Roman" w:cs="Times New Roman"/>
          <w:sz w:val="24"/>
          <w:szCs w:val="24"/>
        </w:rPr>
        <w:t>. In order to provide further clarification of potential effects, this paper summarises the results of recent research which has evaluated: a) the formation of mutagenicity, nitrite and nitrophenol in laboratory tests using synthetic water containing NOM and nitrate, and b) the formation of mutagenicity in samples from a full-scale drinking water plant where LP-UV/H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treatment was applied.</w:t>
      </w:r>
    </w:p>
    <w:p w14:paraId="644EBE3D" w14:textId="77777777" w:rsidR="0021017A" w:rsidRPr="00E35850" w:rsidRDefault="0021017A" w:rsidP="00E35850">
      <w:pPr>
        <w:spacing w:after="0" w:line="480" w:lineRule="auto"/>
        <w:jc w:val="both"/>
        <w:rPr>
          <w:rFonts w:ascii="Times New Roman" w:hAnsi="Times New Roman" w:cs="Times New Roman"/>
          <w:b/>
          <w:sz w:val="24"/>
          <w:szCs w:val="24"/>
        </w:rPr>
      </w:pPr>
    </w:p>
    <w:p w14:paraId="204E6605"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b/>
          <w:sz w:val="24"/>
          <w:szCs w:val="24"/>
        </w:rPr>
        <w:t>Methods</w:t>
      </w:r>
    </w:p>
    <w:p w14:paraId="7AAC8E8D"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b/>
          <w:sz w:val="24"/>
          <w:szCs w:val="24"/>
        </w:rPr>
        <w:t>Chemicals</w:t>
      </w:r>
    </w:p>
    <w:p w14:paraId="48E5B507"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 xml:space="preserve">Sodium nitrate, hydrogen peroxide (30%), HPLC-grade acetone, ammonia (30%), methanol and ethyl acetate (99.9%) were supplied by VWR (the Netherlands). Acetonitrile was supplied by Merck (the Netherlands), formic acid (99%) by Boom (the Netherlands) and fenoprofen by Sigma-Aldrich (the Netherlands). Laboratory-grade water (LGW) was produced by a Milli-Q Advantage A10 system (Merck Millipore, Darmstadt, Germany). </w:t>
      </w:r>
    </w:p>
    <w:p w14:paraId="2F5EA67C"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 xml:space="preserve">Two types of reference natural organic matter were obtained from the IHSS (International Humic Substances Society) as dry solid extracts: Suwannee River NOM (2R101N) and Pony Lake NOM (1R109F). Suwannee River NOM is a widely used reference aquatic NOM, and Pony Lake NOM is a reference fulvic acid-containing NOM. The nitrogen content for </w:t>
      </w:r>
      <w:r w:rsidRPr="00E35850">
        <w:rPr>
          <w:rFonts w:ascii="Times New Roman" w:hAnsi="Times New Roman" w:cs="Times New Roman"/>
          <w:sz w:val="24"/>
          <w:szCs w:val="24"/>
        </w:rPr>
        <w:lastRenderedPageBreak/>
        <w:t>Suwannee River NOM was 1.27 % (w/w), whereas for Pony Lake NOM it was 6.51 % (w/w); the highest nitrogen content among the IHSS NOMs available. Their difference is reflected by the SUVA</w:t>
      </w:r>
      <w:r w:rsidRPr="00E35850">
        <w:rPr>
          <w:rFonts w:ascii="Times New Roman" w:hAnsi="Times New Roman" w:cs="Times New Roman"/>
          <w:sz w:val="24"/>
          <w:szCs w:val="24"/>
          <w:vertAlign w:val="subscript"/>
        </w:rPr>
        <w:t>254</w:t>
      </w:r>
      <w:r w:rsidRPr="00E35850">
        <w:rPr>
          <w:rFonts w:ascii="Times New Roman" w:hAnsi="Times New Roman" w:cs="Times New Roman"/>
          <w:sz w:val="24"/>
          <w:szCs w:val="24"/>
        </w:rPr>
        <w:t xml:space="preserve"> (SUVA</w:t>
      </w:r>
      <w:r w:rsidRPr="00E35850">
        <w:rPr>
          <w:rFonts w:ascii="Times New Roman" w:hAnsi="Times New Roman" w:cs="Times New Roman"/>
          <w:sz w:val="24"/>
          <w:szCs w:val="24"/>
          <w:vertAlign w:val="subscript"/>
        </w:rPr>
        <w:t>254</w:t>
      </w:r>
      <w:r w:rsidRPr="00E35850">
        <w:rPr>
          <w:rFonts w:ascii="Times New Roman" w:hAnsi="Times New Roman" w:cs="Times New Roman"/>
          <w:sz w:val="24"/>
          <w:szCs w:val="24"/>
        </w:rPr>
        <w:t>=Abs</w:t>
      </w:r>
      <w:r w:rsidRPr="00E35850">
        <w:rPr>
          <w:rFonts w:ascii="Times New Roman" w:hAnsi="Times New Roman" w:cs="Times New Roman"/>
          <w:sz w:val="24"/>
          <w:szCs w:val="24"/>
          <w:vertAlign w:val="subscript"/>
        </w:rPr>
        <w:t>254</w:t>
      </w:r>
      <w:r w:rsidRPr="00E35850">
        <w:rPr>
          <w:rFonts w:ascii="Times New Roman" w:hAnsi="Times New Roman" w:cs="Times New Roman"/>
          <w:sz w:val="24"/>
          <w:szCs w:val="24"/>
        </w:rPr>
        <w:t>/DOC) values obtained experimentally, 3.6 and 1.6 L mg</w:t>
      </w:r>
      <w:r w:rsidRPr="00E35850">
        <w:rPr>
          <w:rFonts w:ascii="Times New Roman" w:hAnsi="Times New Roman" w:cs="Times New Roman"/>
          <w:sz w:val="24"/>
          <w:szCs w:val="24"/>
          <w:vertAlign w:val="superscript"/>
        </w:rPr>
        <w:t>−1</w:t>
      </w:r>
      <w:r w:rsidRPr="00E35850">
        <w:rPr>
          <w:rFonts w:ascii="Times New Roman" w:hAnsi="Times New Roman" w:cs="Times New Roman"/>
          <w:sz w:val="24"/>
          <w:szCs w:val="24"/>
        </w:rPr>
        <w:t xml:space="preserve"> m</w:t>
      </w:r>
      <w:r w:rsidRPr="00E35850">
        <w:rPr>
          <w:rFonts w:ascii="Times New Roman" w:hAnsi="Times New Roman" w:cs="Times New Roman"/>
          <w:sz w:val="24"/>
          <w:szCs w:val="24"/>
          <w:vertAlign w:val="superscript"/>
        </w:rPr>
        <w:t>−1</w:t>
      </w:r>
      <w:r w:rsidRPr="00E35850">
        <w:rPr>
          <w:rFonts w:ascii="Times New Roman" w:hAnsi="Times New Roman" w:cs="Times New Roman"/>
          <w:sz w:val="24"/>
          <w:szCs w:val="24"/>
        </w:rPr>
        <w:t xml:space="preserve"> for Suwannee and Pony Lake, respectively, showing that Suwannee NOM consists of humic, highly aromatic and hydrophobic matter with high molecular weight organic fractions, whereas Pony Lake is mostly hydrophilic non-humic (fulvic) matter. The A</w:t>
      </w:r>
      <w:r w:rsidRPr="00E35850">
        <w:rPr>
          <w:rFonts w:ascii="Times New Roman" w:hAnsi="Times New Roman" w:cs="Times New Roman"/>
          <w:sz w:val="24"/>
          <w:szCs w:val="24"/>
          <w:vertAlign w:val="subscript"/>
        </w:rPr>
        <w:t>254</w:t>
      </w:r>
      <w:r w:rsidRPr="00E35850">
        <w:rPr>
          <w:rFonts w:ascii="Times New Roman" w:hAnsi="Times New Roman" w:cs="Times New Roman"/>
          <w:sz w:val="24"/>
          <w:szCs w:val="24"/>
        </w:rPr>
        <w:t>/A</w:t>
      </w:r>
      <w:r w:rsidRPr="00E35850">
        <w:rPr>
          <w:rFonts w:ascii="Times New Roman" w:hAnsi="Times New Roman" w:cs="Times New Roman"/>
          <w:sz w:val="24"/>
          <w:szCs w:val="24"/>
          <w:vertAlign w:val="subscript"/>
        </w:rPr>
        <w:t>203</w:t>
      </w:r>
      <w:r w:rsidRPr="00E35850">
        <w:rPr>
          <w:rFonts w:ascii="Times New Roman" w:hAnsi="Times New Roman" w:cs="Times New Roman"/>
          <w:sz w:val="24"/>
          <w:szCs w:val="24"/>
        </w:rPr>
        <w:t xml:space="preserve"> UV absorbance ratios</w:t>
      </w:r>
      <w:r w:rsidRPr="00E35850">
        <w:rPr>
          <w:rFonts w:ascii="Times New Roman" w:hAnsi="Times New Roman" w:cs="Times New Roman"/>
          <w:sz w:val="24"/>
          <w:szCs w:val="24"/>
          <w:vertAlign w:val="superscript"/>
        </w:rPr>
        <w:t xml:space="preserve">36 </w:t>
      </w:r>
      <w:r w:rsidRPr="00E35850">
        <w:rPr>
          <w:rFonts w:ascii="Times New Roman" w:hAnsi="Times New Roman" w:cs="Times New Roman"/>
          <w:sz w:val="24"/>
          <w:szCs w:val="24"/>
        </w:rPr>
        <w:t>were calculated as 0.42 and 0.32, respectively, suggesting aromatic rings highly substituted with hydroxyl, carbonyl, ester and carboxyl groups for Suwannee River NOM, and rings predominantly substituted with aliphatic functional groups for Pony Lake NOM.</w:t>
      </w:r>
    </w:p>
    <w:p w14:paraId="5D25ADD3"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Phenomenex Strata-X Polymeric Solid Phase Extraction (SPE) columns (200 mg Oasis HLB 3 mL glass cartridges) were supplied by Phenomenex (the Netherlands).</w:t>
      </w:r>
    </w:p>
    <w:p w14:paraId="098A5C23"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Stock solutions of the two types of NOM and NaNO</w:t>
      </w:r>
      <w:r w:rsidRPr="00E35850">
        <w:rPr>
          <w:rFonts w:ascii="Times New Roman" w:hAnsi="Times New Roman" w:cs="Times New Roman"/>
          <w:sz w:val="24"/>
          <w:szCs w:val="24"/>
          <w:vertAlign w:val="subscript"/>
        </w:rPr>
        <w:t>3</w:t>
      </w:r>
      <w:r w:rsidRPr="00E35850">
        <w:rPr>
          <w:rFonts w:ascii="Times New Roman" w:hAnsi="Times New Roman" w:cs="Times New Roman"/>
          <w:sz w:val="24"/>
          <w:szCs w:val="24"/>
        </w:rPr>
        <w:t xml:space="preserve"> were prepared in MilliQ water, and test solutions were produced from the required amounts of the stock solutions and hydrogen peroxide solution.  </w:t>
      </w:r>
    </w:p>
    <w:p w14:paraId="1BFD4E15" w14:textId="77777777" w:rsidR="00E35850" w:rsidRPr="00E35850" w:rsidRDefault="00E35850" w:rsidP="00E35850">
      <w:pPr>
        <w:spacing w:after="0" w:line="480" w:lineRule="auto"/>
        <w:jc w:val="both"/>
        <w:rPr>
          <w:rFonts w:ascii="Times New Roman" w:hAnsi="Times New Roman" w:cs="Times New Roman"/>
          <w:b/>
          <w:sz w:val="24"/>
          <w:szCs w:val="24"/>
        </w:rPr>
      </w:pPr>
      <w:bookmarkStart w:id="1" w:name="_Toc489872814"/>
      <w:r w:rsidRPr="00E35850">
        <w:rPr>
          <w:rFonts w:ascii="Times New Roman" w:hAnsi="Times New Roman" w:cs="Times New Roman"/>
          <w:b/>
          <w:sz w:val="24"/>
          <w:szCs w:val="24"/>
        </w:rPr>
        <w:t>UV collimated beam experiments</w:t>
      </w:r>
      <w:bookmarkEnd w:id="1"/>
    </w:p>
    <w:p w14:paraId="5FA94B47"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UV exposure experiments were carried out with a bench scale collimated beam apparatus, equipped with a 25-Watt low pressure (LP) mercury arc discharge lamp without a lamp sleeve. The emission spectrum of the UV lamp, obtained from Trojan UV Technologies (London, Ontario, Canada) consisted of a strong, almost exclusive emission at 254 nm (Figure S.1, ESI). The experimental conditions for the LP-UV collimated beam experiments are given elsewhere</w:t>
      </w:r>
      <w:r w:rsidRPr="00E35850">
        <w:rPr>
          <w:rFonts w:ascii="Times New Roman" w:hAnsi="Times New Roman" w:cs="Times New Roman"/>
          <w:sz w:val="24"/>
          <w:szCs w:val="24"/>
          <w:vertAlign w:val="superscript"/>
        </w:rPr>
        <w:t>37</w:t>
      </w:r>
      <w:r w:rsidRPr="00E35850">
        <w:rPr>
          <w:rFonts w:ascii="Times New Roman" w:hAnsi="Times New Roman" w:cs="Times New Roman"/>
          <w:sz w:val="24"/>
          <w:szCs w:val="24"/>
        </w:rPr>
        <w:t xml:space="preserve">. The exposure time for the desired UV fluences was calculated using a fluence calculation spreadsheet based on </w:t>
      </w:r>
      <w:bookmarkStart w:id="2" w:name="_Hlk502765564"/>
      <w:r w:rsidRPr="00E35850">
        <w:rPr>
          <w:rFonts w:ascii="Times New Roman" w:hAnsi="Times New Roman" w:cs="Times New Roman"/>
          <w:sz w:val="24"/>
          <w:szCs w:val="24"/>
        </w:rPr>
        <w:t>Bolton and Linden</w:t>
      </w:r>
      <w:bookmarkEnd w:id="2"/>
      <w:r w:rsidRPr="00E35850">
        <w:rPr>
          <w:rFonts w:ascii="Times New Roman" w:hAnsi="Times New Roman" w:cs="Times New Roman"/>
          <w:sz w:val="24"/>
          <w:szCs w:val="24"/>
          <w:vertAlign w:val="superscript"/>
        </w:rPr>
        <w:t>38</w:t>
      </w:r>
      <w:r w:rsidRPr="00E35850">
        <w:rPr>
          <w:rFonts w:ascii="Times New Roman" w:hAnsi="Times New Roman" w:cs="Times New Roman"/>
          <w:sz w:val="24"/>
          <w:szCs w:val="24"/>
        </w:rPr>
        <w:t xml:space="preserve">. According to this protocol, the UV fluence applied, and consequently the irradiation time, were adjusted for the absorbance of each solution at 254 nm. </w:t>
      </w:r>
    </w:p>
    <w:p w14:paraId="7CB9BFDA"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lastRenderedPageBreak/>
        <w:t>Regarding the study of mutagenicity formation by LP-UV/H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treatment, experiments were performed in laboratory-grade water spiked with either Suwannee River NOM or Pony Lake NOM (both at 4 mg/L, which corresponded to 2 and 2.1 mg C/L as DOC for Suwannee River and Pony Lake NOM, respectively) in the presence of nitrate (50 mg/L). The UV fluences applied were 0 (no irradiation), 1500 and 2000 mJ/cm</w:t>
      </w:r>
      <w:r w:rsidRPr="00E35850">
        <w:rPr>
          <w:rFonts w:ascii="Times New Roman" w:hAnsi="Times New Roman" w:cs="Times New Roman"/>
          <w:sz w:val="24"/>
          <w:szCs w:val="24"/>
          <w:vertAlign w:val="superscript"/>
        </w:rPr>
        <w:t>2</w:t>
      </w:r>
      <w:r w:rsidRPr="00E35850">
        <w:rPr>
          <w:rFonts w:ascii="Times New Roman" w:hAnsi="Times New Roman" w:cs="Times New Roman"/>
          <w:sz w:val="24"/>
          <w:szCs w:val="24"/>
        </w:rPr>
        <w:t>, corresponding to the upper-end of the fluence range that is commonly applied (1500 mJ/cm</w:t>
      </w:r>
      <w:r w:rsidRPr="00E35850">
        <w:rPr>
          <w:rFonts w:ascii="Times New Roman" w:hAnsi="Times New Roman" w:cs="Times New Roman"/>
          <w:sz w:val="24"/>
          <w:szCs w:val="24"/>
          <w:vertAlign w:val="superscript"/>
        </w:rPr>
        <w:t>2</w:t>
      </w:r>
      <w:r w:rsidRPr="00E35850">
        <w:rPr>
          <w:rFonts w:ascii="Times New Roman" w:hAnsi="Times New Roman" w:cs="Times New Roman"/>
          <w:sz w:val="24"/>
          <w:szCs w:val="24"/>
        </w:rPr>
        <w:t>) and worst case (2000 mJ/cm</w:t>
      </w:r>
      <w:r w:rsidRPr="00E35850">
        <w:rPr>
          <w:rFonts w:ascii="Times New Roman" w:hAnsi="Times New Roman" w:cs="Times New Roman"/>
          <w:sz w:val="24"/>
          <w:szCs w:val="24"/>
          <w:vertAlign w:val="superscript"/>
        </w:rPr>
        <w:t>2</w:t>
      </w:r>
      <w:r w:rsidRPr="00E35850">
        <w:rPr>
          <w:rFonts w:ascii="Times New Roman" w:hAnsi="Times New Roman" w:cs="Times New Roman"/>
          <w:sz w:val="24"/>
          <w:szCs w:val="24"/>
        </w:rPr>
        <w:t>) UV fluences, with a peroxide dose of 15 mg/L. All experiments were performed in duplicate and at room temperature (23-25 ˚C).</w:t>
      </w:r>
    </w:p>
    <w:p w14:paraId="7D01FEF6" w14:textId="77777777" w:rsidR="00E35850" w:rsidRPr="00E35850" w:rsidRDefault="00E35850" w:rsidP="00E35850">
      <w:pPr>
        <w:spacing w:after="0" w:line="480" w:lineRule="auto"/>
        <w:jc w:val="both"/>
        <w:rPr>
          <w:rFonts w:ascii="Times New Roman" w:hAnsi="Times New Roman" w:cs="Times New Roman"/>
          <w:b/>
          <w:sz w:val="24"/>
          <w:szCs w:val="24"/>
        </w:rPr>
      </w:pPr>
      <w:bookmarkStart w:id="3" w:name="_Toc489872815"/>
      <w:r w:rsidRPr="00E35850">
        <w:rPr>
          <w:rFonts w:ascii="Times New Roman" w:hAnsi="Times New Roman" w:cs="Times New Roman"/>
          <w:b/>
          <w:sz w:val="24"/>
          <w:szCs w:val="24"/>
        </w:rPr>
        <w:t>Analytical methods</w:t>
      </w:r>
      <w:bookmarkEnd w:id="3"/>
      <w:r w:rsidRPr="00E35850">
        <w:rPr>
          <w:rFonts w:ascii="Times New Roman" w:hAnsi="Times New Roman" w:cs="Times New Roman"/>
          <w:b/>
          <w:sz w:val="24"/>
          <w:szCs w:val="24"/>
        </w:rPr>
        <w:t xml:space="preserve"> </w:t>
      </w:r>
    </w:p>
    <w:p w14:paraId="509F0B71"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 xml:space="preserve">Nitrite and nitrate ions were quantified by ion chromatography (detection limits of 0.05 and 0.1 mg/L, respectively), using a Metrohm IC Compact 761 ion chromatograph (IC) equipped with a Metrohm Metrosep A Supp 5 (150/4.0 mm) column, a Metrohm Metrosep A Supp 4/5 Guard pre-column and a conductivity detector. </w:t>
      </w:r>
    </w:p>
    <w:p w14:paraId="0086D36F"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 xml:space="preserve">The analysis for the detection of nitrophenols was performed by a method involving compound extraction using polymeric SPE tubes (Phenomenex Strata-X Polymeric 200 mg / 3 ml SPE extraction tubes), followed by liquid chromatography tandem mass spectrometry (LC-MS/MS). For the SPE extraction, acetone/ethyl acetate (1:1), methanol and acidified blank sample (pH=2) were used consecutively for the activation of the SPE cartridges. The cartridges were then loaded with 0.5 L of acidified sample. Elution was performed with 7.5 mL of </w:t>
      </w:r>
      <w:r w:rsidRPr="00E35850">
        <w:rPr>
          <w:rFonts w:ascii="Times New Roman" w:hAnsi="Times New Roman" w:cs="Times New Roman"/>
          <w:bCs/>
          <w:sz w:val="24"/>
          <w:szCs w:val="24"/>
          <w:lang w:val="en-US"/>
        </w:rPr>
        <w:t xml:space="preserve">acetone/ethyl acetate (1:1). A volume of 50 µL of the internal standard solution (fenoprofen in methanol) was added to the eluates, which were further </w:t>
      </w:r>
      <w:r w:rsidRPr="00E35850">
        <w:rPr>
          <w:rFonts w:ascii="Times New Roman" w:hAnsi="Times New Roman" w:cs="Times New Roman"/>
          <w:sz w:val="24"/>
          <w:szCs w:val="24"/>
        </w:rPr>
        <w:t>evaporated with a nitrogen stream until the volume reached 0.2 mL. Finally, 0.8 mL of ultrapure water was added before analysis.</w:t>
      </w:r>
    </w:p>
    <w:p w14:paraId="4F69F395"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 xml:space="preserve">For the negative ion electrospray LC-MS/MS analysis, an </w:t>
      </w:r>
      <w:r w:rsidRPr="00E35850">
        <w:rPr>
          <w:rFonts w:ascii="Times New Roman" w:hAnsi="Times New Roman" w:cs="Times New Roman"/>
          <w:bCs/>
          <w:sz w:val="24"/>
          <w:szCs w:val="24"/>
        </w:rPr>
        <w:t xml:space="preserve">Agilent 6410 QQQ Mass Analyzer with electrospray ion source was used. </w:t>
      </w:r>
      <w:r w:rsidRPr="00E35850">
        <w:rPr>
          <w:rFonts w:ascii="Times New Roman" w:hAnsi="Times New Roman" w:cs="Times New Roman"/>
          <w:sz w:val="24"/>
          <w:szCs w:val="24"/>
        </w:rPr>
        <w:t xml:space="preserve">A Phenomenex Gemini Phenyl-hexyl column (150mm*3mm, 3µm particle size) was employed and </w:t>
      </w:r>
      <w:r w:rsidRPr="00E35850">
        <w:rPr>
          <w:rFonts w:ascii="Times New Roman" w:hAnsi="Times New Roman" w:cs="Times New Roman"/>
          <w:bCs/>
          <w:sz w:val="24"/>
          <w:szCs w:val="24"/>
        </w:rPr>
        <w:t xml:space="preserve">equipped with an appropriate guard </w:t>
      </w:r>
      <w:r w:rsidRPr="00E35850">
        <w:rPr>
          <w:rFonts w:ascii="Times New Roman" w:hAnsi="Times New Roman" w:cs="Times New Roman"/>
          <w:bCs/>
          <w:sz w:val="24"/>
          <w:szCs w:val="24"/>
        </w:rPr>
        <w:lastRenderedPageBreak/>
        <w:t xml:space="preserve">column for separation. </w:t>
      </w:r>
      <w:r w:rsidRPr="00E35850">
        <w:rPr>
          <w:rFonts w:ascii="Times New Roman" w:hAnsi="Times New Roman" w:cs="Times New Roman"/>
          <w:sz w:val="24"/>
          <w:szCs w:val="24"/>
        </w:rPr>
        <w:t xml:space="preserve">The mobile phases used were A: </w:t>
      </w:r>
      <w:r w:rsidRPr="00E35850">
        <w:rPr>
          <w:rFonts w:ascii="Times New Roman" w:hAnsi="Times New Roman" w:cs="Times New Roman"/>
          <w:bCs/>
          <w:sz w:val="24"/>
          <w:szCs w:val="24"/>
        </w:rPr>
        <w:t>2.5 L Milli-Q water with 0.75 mL formic acid (99%) and 1.75 mL ammonia (30%)</w:t>
      </w:r>
      <w:r w:rsidRPr="00E35850">
        <w:rPr>
          <w:rFonts w:ascii="Times New Roman" w:hAnsi="Times New Roman" w:cs="Times New Roman"/>
          <w:sz w:val="24"/>
          <w:szCs w:val="24"/>
        </w:rPr>
        <w:t xml:space="preserve">, and B: </w:t>
      </w:r>
      <w:r w:rsidRPr="00E35850">
        <w:rPr>
          <w:rFonts w:ascii="Times New Roman" w:hAnsi="Times New Roman" w:cs="Times New Roman"/>
          <w:bCs/>
          <w:sz w:val="24"/>
          <w:szCs w:val="24"/>
        </w:rPr>
        <w:t xml:space="preserve">2.5 L acetonitrile. The </w:t>
      </w:r>
      <w:r w:rsidRPr="00E35850">
        <w:rPr>
          <w:rFonts w:ascii="Times New Roman" w:hAnsi="Times New Roman" w:cs="Times New Roman"/>
          <w:sz w:val="24"/>
          <w:szCs w:val="24"/>
        </w:rPr>
        <w:t xml:space="preserve">flow rate was 0.6 mL/min. As internal standard, fenoprofen was used. The compounds were measured with specific QQQ transitions. For instrument control and data analysis Agilent MassHunter software was used. The quantitation limit (QL) and detection limit (DL) of the method were 0.02 and 0.007 </w:t>
      </w:r>
      <w:r w:rsidRPr="00E35850">
        <w:rPr>
          <w:rFonts w:ascii="Times New Roman" w:hAnsi="Times New Roman" w:cs="Times New Roman"/>
          <w:sz w:val="24"/>
          <w:szCs w:val="24"/>
          <w:lang w:val="el-GR"/>
        </w:rPr>
        <w:t>μ</w:t>
      </w:r>
      <w:r w:rsidRPr="00E35850">
        <w:rPr>
          <w:rFonts w:ascii="Times New Roman" w:hAnsi="Times New Roman" w:cs="Times New Roman"/>
          <w:sz w:val="24"/>
          <w:szCs w:val="24"/>
        </w:rPr>
        <w:t xml:space="preserve">g/L, respectively. </w:t>
      </w:r>
    </w:p>
    <w:p w14:paraId="2EB2860E" w14:textId="77777777" w:rsidR="00E35850" w:rsidRPr="00E35850" w:rsidRDefault="00E35850" w:rsidP="00E35850">
      <w:pPr>
        <w:spacing w:after="0" w:line="480" w:lineRule="auto"/>
        <w:jc w:val="both"/>
        <w:rPr>
          <w:rFonts w:ascii="Times New Roman" w:hAnsi="Times New Roman" w:cs="Times New Roman"/>
          <w:b/>
          <w:sz w:val="24"/>
          <w:szCs w:val="24"/>
          <w:lang w:val="en-US"/>
        </w:rPr>
      </w:pPr>
      <w:r w:rsidRPr="00E35850">
        <w:rPr>
          <w:rFonts w:ascii="Times New Roman" w:hAnsi="Times New Roman" w:cs="Times New Roman"/>
          <w:sz w:val="24"/>
          <w:szCs w:val="24"/>
        </w:rPr>
        <w:t>NOM characterisation was performed by Liquid Chromatography-Organic Carbon Detection (LC-OCD) (Model 8, DOC-LABOR, Karlsruhe, Germany), equipped with both DOC and DON detection, an organic carbon detector (NDIR), an organic nitrogen detector (UV 220 nm), as well as a UV detector (254 nm), all integrated within the LC-OCD system. The column used was a Toyopearl HW-50S (30</w:t>
      </w:r>
      <w:r w:rsidRPr="00E35850">
        <w:rPr>
          <w:rFonts w:ascii="Times New Roman" w:hAnsi="Times New Roman" w:cs="Times New Roman"/>
          <w:sz w:val="24"/>
          <w:szCs w:val="24"/>
          <w:lang w:val="el-GR"/>
        </w:rPr>
        <w:t>μ</w:t>
      </w:r>
      <w:r w:rsidRPr="00E35850">
        <w:rPr>
          <w:rFonts w:ascii="Times New Roman" w:hAnsi="Times New Roman" w:cs="Times New Roman"/>
          <w:sz w:val="24"/>
          <w:szCs w:val="24"/>
          <w:lang w:val="en-US"/>
        </w:rPr>
        <w:t>m, 250 mL) and a phosphate buffer was used as eluent. Data analysis was performed with DOC-LABOR software (ChromLog version).</w:t>
      </w:r>
    </w:p>
    <w:p w14:paraId="11CD8DBF"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H</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O</w:t>
      </w:r>
      <w:r w:rsidRPr="00E35850">
        <w:rPr>
          <w:rFonts w:ascii="Times New Roman" w:hAnsi="Times New Roman" w:cs="Times New Roman"/>
          <w:sz w:val="24"/>
          <w:szCs w:val="24"/>
          <w:vertAlign w:val="subscript"/>
        </w:rPr>
        <w:t>2</w:t>
      </w:r>
      <w:r w:rsidRPr="00E35850">
        <w:rPr>
          <w:rFonts w:ascii="Times New Roman" w:hAnsi="Times New Roman" w:cs="Times New Roman"/>
          <w:sz w:val="24"/>
          <w:szCs w:val="24"/>
        </w:rPr>
        <w:t xml:space="preserve"> concentrations were measured using the triiodide method</w:t>
      </w:r>
      <w:r w:rsidRPr="00E35850">
        <w:rPr>
          <w:rFonts w:ascii="Times New Roman" w:hAnsi="Times New Roman" w:cs="Times New Roman"/>
          <w:sz w:val="24"/>
          <w:szCs w:val="24"/>
          <w:vertAlign w:val="superscript"/>
        </w:rPr>
        <w:t>39</w:t>
      </w:r>
      <w:r w:rsidRPr="00E35850">
        <w:rPr>
          <w:rFonts w:ascii="Times New Roman" w:hAnsi="Times New Roman" w:cs="Times New Roman"/>
          <w:sz w:val="24"/>
          <w:szCs w:val="24"/>
        </w:rPr>
        <w:t>.</w:t>
      </w:r>
    </w:p>
    <w:p w14:paraId="15C396E1" w14:textId="77777777" w:rsidR="00E35850" w:rsidRPr="00E35850" w:rsidRDefault="00E35850" w:rsidP="00E35850">
      <w:pPr>
        <w:spacing w:after="0" w:line="480" w:lineRule="auto"/>
        <w:jc w:val="both"/>
        <w:rPr>
          <w:rFonts w:ascii="Times New Roman" w:hAnsi="Times New Roman" w:cs="Times New Roman"/>
          <w:b/>
          <w:sz w:val="24"/>
          <w:szCs w:val="24"/>
        </w:rPr>
      </w:pPr>
      <w:r w:rsidRPr="00E35850">
        <w:rPr>
          <w:rFonts w:ascii="Times New Roman" w:hAnsi="Times New Roman" w:cs="Times New Roman"/>
          <w:sz w:val="24"/>
          <w:szCs w:val="24"/>
        </w:rPr>
        <w:t>All experiments were performed in duplicate and statistical t-test comparisons were conducted with a 95% confidence interval.</w:t>
      </w:r>
    </w:p>
    <w:p w14:paraId="22E57AFD" w14:textId="77777777" w:rsidR="00840936" w:rsidRPr="00840936" w:rsidRDefault="00840936" w:rsidP="00840936">
      <w:pPr>
        <w:spacing w:after="0" w:line="480" w:lineRule="auto"/>
        <w:jc w:val="both"/>
        <w:rPr>
          <w:rFonts w:ascii="Times New Roman" w:hAnsi="Times New Roman" w:cs="Times New Roman"/>
          <w:b/>
          <w:sz w:val="24"/>
          <w:szCs w:val="24"/>
        </w:rPr>
      </w:pPr>
      <w:bookmarkStart w:id="4" w:name="_Toc489872816"/>
      <w:r w:rsidRPr="00840936">
        <w:rPr>
          <w:rFonts w:ascii="Times New Roman" w:hAnsi="Times New Roman" w:cs="Times New Roman"/>
          <w:b/>
          <w:sz w:val="24"/>
          <w:szCs w:val="24"/>
        </w:rPr>
        <w:t>Water treatment works sampling</w:t>
      </w:r>
      <w:bookmarkEnd w:id="4"/>
    </w:p>
    <w:p w14:paraId="4025A0B5" w14:textId="58ABFEE5" w:rsidR="002110C0" w:rsidRDefault="00840936" w:rsidP="00840936">
      <w:pPr>
        <w:spacing w:after="0" w:line="480" w:lineRule="auto"/>
        <w:jc w:val="both"/>
        <w:rPr>
          <w:rFonts w:ascii="Times New Roman" w:hAnsi="Times New Roman" w:cs="Times New Roman"/>
          <w:sz w:val="24"/>
          <w:szCs w:val="24"/>
        </w:rPr>
      </w:pPr>
      <w:r w:rsidRPr="00840936">
        <w:rPr>
          <w:rFonts w:ascii="Times New Roman" w:hAnsi="Times New Roman" w:cs="Times New Roman"/>
          <w:sz w:val="24"/>
          <w:szCs w:val="24"/>
        </w:rPr>
        <w:t>Samples were collected from a selected drinking water treatment works (WTW) in the UK, incorporating LP-UV/H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 xml:space="preserve"> technology and treating surface water from a lowland river known for its poor water quality caused by the presence of industrial discharges, pesticides and high nitrate concentrations. The WTW comprises river bank side storage where surface water is collected from the adjacent river, followed in sequence by roughing granular activated carbon (GAC) filtration, submerged ultrafiltration, LP-UV/H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 xml:space="preserve"> oxidation, polishing post GAC filtration, UV disinfection and residual chlorine addition. The LP-UV/H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 xml:space="preserve"> treatment process makes use of four UV reactors, each containing 96 UV 1kW lamps, and a 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 xml:space="preserve"> dosing system. Two separate samplings (referred to as (a) and (b)) took place in February and April 2016, to </w:t>
      </w:r>
      <w:r w:rsidRPr="00840936">
        <w:rPr>
          <w:rFonts w:ascii="Times New Roman" w:hAnsi="Times New Roman" w:cs="Times New Roman"/>
          <w:sz w:val="24"/>
          <w:szCs w:val="24"/>
        </w:rPr>
        <w:lastRenderedPageBreak/>
        <w:t>cover expected differences in water composition and the maximum design UV/H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 xml:space="preserve">2 </w:t>
      </w:r>
      <w:r w:rsidRPr="00840936">
        <w:rPr>
          <w:rFonts w:ascii="Times New Roman" w:hAnsi="Times New Roman" w:cs="Times New Roman"/>
          <w:sz w:val="24"/>
          <w:szCs w:val="24"/>
        </w:rPr>
        <w:t>conditions that were applied as part of testing the efficiency of the system in a worst-case scenario ((UV fluences of 2000 and 1750 mJ/cm</w:t>
      </w:r>
      <w:r w:rsidRPr="00840936">
        <w:rPr>
          <w:rFonts w:ascii="Times New Roman" w:hAnsi="Times New Roman" w:cs="Times New Roman"/>
          <w:sz w:val="24"/>
          <w:szCs w:val="24"/>
          <w:vertAlign w:val="superscript"/>
        </w:rPr>
        <w:t>2</w:t>
      </w:r>
      <w:r w:rsidRPr="00840936">
        <w:rPr>
          <w:rFonts w:ascii="Times New Roman" w:hAnsi="Times New Roman" w:cs="Times New Roman"/>
          <w:sz w:val="24"/>
          <w:szCs w:val="24"/>
        </w:rPr>
        <w:t xml:space="preserve"> for sampling (a) and (b), respectively, and a H</w:t>
      </w:r>
      <w:r w:rsidRPr="00840936">
        <w:rPr>
          <w:rFonts w:ascii="Times New Roman" w:hAnsi="Times New Roman" w:cs="Times New Roman"/>
          <w:sz w:val="24"/>
          <w:szCs w:val="24"/>
          <w:vertAlign w:val="subscript"/>
        </w:rPr>
        <w:t>2</w:t>
      </w:r>
      <w:r w:rsidRPr="00840936">
        <w:rPr>
          <w:rFonts w:ascii="Times New Roman" w:hAnsi="Times New Roman" w:cs="Times New Roman"/>
          <w:sz w:val="24"/>
          <w:szCs w:val="24"/>
        </w:rPr>
        <w:t>O</w:t>
      </w:r>
      <w:r w:rsidRPr="00840936">
        <w:rPr>
          <w:rFonts w:ascii="Times New Roman" w:hAnsi="Times New Roman" w:cs="Times New Roman"/>
          <w:sz w:val="24"/>
          <w:szCs w:val="24"/>
          <w:vertAlign w:val="subscript"/>
        </w:rPr>
        <w:t xml:space="preserve">2 </w:t>
      </w:r>
      <w:r w:rsidRPr="00840936">
        <w:rPr>
          <w:rFonts w:ascii="Times New Roman" w:hAnsi="Times New Roman" w:cs="Times New Roman"/>
          <w:sz w:val="24"/>
          <w:szCs w:val="24"/>
        </w:rPr>
        <w:t xml:space="preserve">dose of 40 mg/L in both cases). These doses, along with water quality and operational parameters for the WTW sampling events can be found in Table 1. Water samples were collected from the inlet (only for sampling (b)), pre-AOP, post-AOP and post-GAC treatment steps, to assess nitrite formation, NOM fate and potential mutagenicity in terms of Ames assay response during treatment.     </w:t>
      </w:r>
    </w:p>
    <w:p w14:paraId="186EED20" w14:textId="77777777" w:rsidR="00F5706E" w:rsidRPr="00F5706E" w:rsidRDefault="00F5706E" w:rsidP="00F5706E">
      <w:pPr>
        <w:spacing w:after="0" w:line="480" w:lineRule="auto"/>
        <w:jc w:val="both"/>
        <w:rPr>
          <w:rFonts w:ascii="Times New Roman" w:hAnsi="Times New Roman" w:cs="Times New Roman"/>
          <w:b/>
          <w:sz w:val="24"/>
          <w:szCs w:val="24"/>
        </w:rPr>
      </w:pPr>
      <w:r w:rsidRPr="00F5706E">
        <w:rPr>
          <w:rFonts w:ascii="Times New Roman" w:hAnsi="Times New Roman" w:cs="Times New Roman"/>
          <w:b/>
          <w:sz w:val="24"/>
          <w:szCs w:val="24"/>
        </w:rPr>
        <w:t>Ames II Mutagenicity assay</w:t>
      </w:r>
    </w:p>
    <w:p w14:paraId="728B9720" w14:textId="77777777" w:rsidR="00F5706E" w:rsidRPr="00F5706E" w:rsidRDefault="00F5706E" w:rsidP="00F5706E">
      <w:pPr>
        <w:spacing w:after="0" w:line="480" w:lineRule="auto"/>
        <w:jc w:val="both"/>
        <w:rPr>
          <w:rFonts w:ascii="Times New Roman" w:hAnsi="Times New Roman" w:cs="Times New Roman"/>
          <w:b/>
          <w:sz w:val="24"/>
          <w:szCs w:val="24"/>
        </w:rPr>
      </w:pPr>
      <w:r w:rsidRPr="00F5706E">
        <w:rPr>
          <w:rFonts w:ascii="Times New Roman" w:hAnsi="Times New Roman" w:cs="Times New Roman"/>
          <w:sz w:val="24"/>
          <w:szCs w:val="24"/>
        </w:rPr>
        <w:t xml:space="preserve">Both the synthetic and full-scale water samples were subjected to the Ames II Mutagenicity assay (the TA98(-S9) combination) in order to evaluate their mutagenic potential to induce reverse mutations in </w:t>
      </w:r>
      <w:r w:rsidRPr="00F5706E">
        <w:rPr>
          <w:rFonts w:ascii="Times New Roman" w:hAnsi="Times New Roman" w:cs="Times New Roman"/>
          <w:i/>
          <w:sz w:val="24"/>
          <w:szCs w:val="24"/>
        </w:rPr>
        <w:t>Salmonella typhimurium</w:t>
      </w:r>
      <w:r w:rsidRPr="00F5706E">
        <w:rPr>
          <w:rFonts w:ascii="Times New Roman" w:hAnsi="Times New Roman" w:cs="Times New Roman"/>
          <w:sz w:val="24"/>
          <w:szCs w:val="24"/>
        </w:rPr>
        <w:t>. All water samples were extracted by SPE according to the method described by Heringa et al.</w:t>
      </w:r>
      <w:r w:rsidRPr="00F5706E">
        <w:rPr>
          <w:rFonts w:ascii="Times New Roman" w:hAnsi="Times New Roman" w:cs="Times New Roman"/>
          <w:sz w:val="24"/>
          <w:szCs w:val="24"/>
          <w:vertAlign w:val="superscript"/>
        </w:rPr>
        <w:t>27</w:t>
      </w:r>
      <w:r w:rsidRPr="00F5706E">
        <w:rPr>
          <w:rFonts w:ascii="Times New Roman" w:hAnsi="Times New Roman" w:cs="Times New Roman"/>
          <w:sz w:val="24"/>
          <w:szCs w:val="24"/>
        </w:rPr>
        <w:t>. The extracts were 20,000x concentrated after SPE extraction, diluted 25x in the Ames II assay (i.e. relative enrichment factor was 800). The Ames II assay was performed according to the Xenometrix protocol</w:t>
      </w:r>
      <w:r w:rsidRPr="00F5706E">
        <w:rPr>
          <w:rFonts w:ascii="Times New Roman" w:hAnsi="Times New Roman" w:cs="Times New Roman"/>
          <w:sz w:val="24"/>
          <w:szCs w:val="24"/>
          <w:vertAlign w:val="superscript"/>
        </w:rPr>
        <w:t>40</w:t>
      </w:r>
      <w:r w:rsidRPr="00F5706E">
        <w:rPr>
          <w:rFonts w:ascii="Times New Roman" w:hAnsi="Times New Roman" w:cs="Times New Roman"/>
          <w:sz w:val="24"/>
          <w:szCs w:val="24"/>
        </w:rPr>
        <w:t xml:space="preserve">. A blank (SPA Reine = spa bottled water) was treated identically as a method control. Solvent control (100% DMSO), and positive controls (2-nitrofluorene + 4-nitroquinoline N-oxide) were included. In total, 9 replicates in the control conditions (method and solvent controls) and 3 replicates for each extract (i.e. sample) were prepared. Per replicate, 48 wells are used, therefore the mean number of positive wells was expressed as a percentage (%) of the 48. Both the sample extraction and the Ames assay were performed by VITO laboratories in Belgium. </w:t>
      </w:r>
    </w:p>
    <w:p w14:paraId="5053BFA7" w14:textId="77777777" w:rsidR="00F5706E" w:rsidRPr="00F5706E" w:rsidRDefault="00F5706E" w:rsidP="00F5706E">
      <w:pPr>
        <w:spacing w:after="0" w:line="480" w:lineRule="auto"/>
        <w:jc w:val="both"/>
        <w:rPr>
          <w:rFonts w:ascii="Times New Roman" w:hAnsi="Times New Roman" w:cs="Times New Roman"/>
          <w:sz w:val="24"/>
          <w:szCs w:val="24"/>
        </w:rPr>
      </w:pPr>
      <w:r w:rsidRPr="00F5706E">
        <w:rPr>
          <w:rFonts w:ascii="Times New Roman" w:hAnsi="Times New Roman" w:cs="Times New Roman"/>
          <w:sz w:val="24"/>
          <w:szCs w:val="24"/>
          <w:lang w:val="en-US"/>
        </w:rPr>
        <w:t xml:space="preserve">In order to interpret the findings in terms of positive or negative mutagenicity, the number-fold inductions over the solvent control (ratio of the mean number of positive wells for the test item divided by the mean number of positive wells for the solvent control) and the number-fold inductions over the baseline value (ratio of the mean number of positive wells for the test item </w:t>
      </w:r>
      <w:r w:rsidRPr="00F5706E">
        <w:rPr>
          <w:rFonts w:ascii="Times New Roman" w:hAnsi="Times New Roman" w:cs="Times New Roman"/>
          <w:sz w:val="24"/>
          <w:szCs w:val="24"/>
          <w:lang w:val="en-US"/>
        </w:rPr>
        <w:lastRenderedPageBreak/>
        <w:t>divided by the baseline value for the solvent control) were calculated. The baseline value represented the mean number of positive wells in solvent control conditions + 1 SD. A Student’s t-test (1-sided, unpaired) was also carried out to</w:t>
      </w:r>
      <w:r>
        <w:rPr>
          <w:rFonts w:ascii="Times New Roman" w:hAnsi="Times New Roman" w:cs="Times New Roman"/>
          <w:sz w:val="24"/>
          <w:szCs w:val="24"/>
          <w:lang w:val="en-US"/>
        </w:rPr>
        <w:t xml:space="preserve"> </w:t>
      </w:r>
      <w:r w:rsidRPr="00F5706E">
        <w:rPr>
          <w:rFonts w:ascii="Times New Roman" w:hAnsi="Times New Roman" w:cs="Times New Roman"/>
          <w:sz w:val="24"/>
          <w:szCs w:val="24"/>
        </w:rPr>
        <w:t>determine significance at the p ≤ 0.05 level between the range of data for the solvent control and the data for the test substances. The raw data and calculated values are given in Table S.1 (ESI).</w:t>
      </w:r>
    </w:p>
    <w:p w14:paraId="37EC4A7A" w14:textId="7BD2B3E8" w:rsidR="00F5706E" w:rsidRDefault="00F5706E" w:rsidP="00F5706E">
      <w:pPr>
        <w:spacing w:after="0" w:line="480" w:lineRule="auto"/>
        <w:jc w:val="both"/>
        <w:rPr>
          <w:rFonts w:ascii="Times New Roman" w:hAnsi="Times New Roman" w:cs="Times New Roman"/>
          <w:sz w:val="24"/>
          <w:szCs w:val="24"/>
        </w:rPr>
      </w:pPr>
      <w:r w:rsidRPr="00F5706E">
        <w:rPr>
          <w:rFonts w:ascii="Times New Roman" w:hAnsi="Times New Roman" w:cs="Times New Roman"/>
          <w:sz w:val="24"/>
          <w:szCs w:val="24"/>
        </w:rPr>
        <w:t xml:space="preserve">Number-fold inductions in revertant numbers over the solvent control are considered as positive if &gt; 3.0, whereas number-fold inductions in revertant numbers over the baseline value are positive if &gt; 2.0. A sample (or compound) that shows a clear number-fold increase &gt; 2.0 (baseline) and significant difference (p&lt;0.05 in the t-test), is classified as mutagenic. When the number-fold induction is below these values the test substances are not mutagenic towards the </w:t>
      </w:r>
      <w:r w:rsidRPr="00F5706E">
        <w:rPr>
          <w:rFonts w:ascii="Times New Roman" w:hAnsi="Times New Roman" w:cs="Times New Roman"/>
          <w:i/>
          <w:sz w:val="24"/>
          <w:szCs w:val="24"/>
        </w:rPr>
        <w:t>Salmonella typhimurium</w:t>
      </w:r>
      <w:r w:rsidRPr="00F5706E">
        <w:rPr>
          <w:rFonts w:ascii="Times New Roman" w:hAnsi="Times New Roman" w:cs="Times New Roman"/>
          <w:sz w:val="24"/>
          <w:szCs w:val="24"/>
        </w:rPr>
        <w:t xml:space="preserve"> strain TA98. </w:t>
      </w:r>
    </w:p>
    <w:p w14:paraId="5D4CC3B1" w14:textId="77777777" w:rsidR="00F5706E" w:rsidRPr="00F5706E" w:rsidRDefault="00F5706E" w:rsidP="00F5706E">
      <w:pPr>
        <w:spacing w:after="0" w:line="480" w:lineRule="auto"/>
        <w:jc w:val="both"/>
        <w:rPr>
          <w:rFonts w:ascii="Times New Roman" w:hAnsi="Times New Roman" w:cs="Times New Roman"/>
          <w:sz w:val="24"/>
          <w:szCs w:val="24"/>
        </w:rPr>
      </w:pPr>
    </w:p>
    <w:p w14:paraId="0DEAE971" w14:textId="77777777" w:rsidR="00F5706E" w:rsidRPr="00F5706E" w:rsidRDefault="00F5706E" w:rsidP="00F5706E">
      <w:pPr>
        <w:spacing w:after="0" w:line="480" w:lineRule="auto"/>
        <w:jc w:val="both"/>
        <w:rPr>
          <w:rFonts w:ascii="Times New Roman" w:hAnsi="Times New Roman" w:cs="Times New Roman"/>
          <w:b/>
          <w:sz w:val="24"/>
          <w:szCs w:val="24"/>
        </w:rPr>
      </w:pPr>
      <w:bookmarkStart w:id="5" w:name="_Toc489872818"/>
      <w:bookmarkStart w:id="6" w:name="_Toc489872819"/>
      <w:r w:rsidRPr="00F5706E">
        <w:rPr>
          <w:rFonts w:ascii="Times New Roman" w:hAnsi="Times New Roman" w:cs="Times New Roman"/>
          <w:b/>
          <w:sz w:val="24"/>
          <w:szCs w:val="24"/>
        </w:rPr>
        <w:t>Results and Discussion</w:t>
      </w:r>
      <w:bookmarkEnd w:id="5"/>
    </w:p>
    <w:p w14:paraId="080A4A87" w14:textId="77777777" w:rsidR="00F5706E" w:rsidRPr="00F5706E" w:rsidRDefault="00F5706E" w:rsidP="00F5706E">
      <w:pPr>
        <w:spacing w:after="0" w:line="480" w:lineRule="auto"/>
        <w:jc w:val="both"/>
        <w:rPr>
          <w:rFonts w:ascii="Times New Roman" w:hAnsi="Times New Roman" w:cs="Times New Roman"/>
          <w:b/>
          <w:sz w:val="24"/>
          <w:szCs w:val="24"/>
        </w:rPr>
      </w:pPr>
      <w:r w:rsidRPr="00F5706E">
        <w:rPr>
          <w:rFonts w:ascii="Times New Roman" w:hAnsi="Times New Roman" w:cs="Times New Roman"/>
          <w:b/>
          <w:sz w:val="24"/>
          <w:szCs w:val="24"/>
        </w:rPr>
        <w:t>Ames II assay of synthetic water samples</w:t>
      </w:r>
      <w:bookmarkEnd w:id="6"/>
    </w:p>
    <w:p w14:paraId="0DD9D28C" w14:textId="77777777" w:rsidR="00F5706E" w:rsidRPr="00F5706E" w:rsidRDefault="00F5706E" w:rsidP="00F5706E">
      <w:pPr>
        <w:spacing w:after="0" w:line="480" w:lineRule="auto"/>
        <w:jc w:val="both"/>
        <w:rPr>
          <w:rFonts w:ascii="Times New Roman" w:hAnsi="Times New Roman" w:cs="Times New Roman"/>
          <w:b/>
          <w:sz w:val="24"/>
          <w:szCs w:val="24"/>
        </w:rPr>
      </w:pPr>
      <w:r w:rsidRPr="00F5706E">
        <w:rPr>
          <w:rFonts w:ascii="Times New Roman" w:hAnsi="Times New Roman" w:cs="Times New Roman"/>
          <w:sz w:val="24"/>
          <w:szCs w:val="24"/>
        </w:rPr>
        <w:t>The Ames II assay was performed to assess the mutagenicity of the treated water, using two different types of NOM, Pony Lake and Suwannee River NOM, in the absence and presence of nitrate (50 mg/L) under the following conditions: UV fluences of 0 (no irradiation), 1500 and 2000 mJ/cm</w:t>
      </w:r>
      <w:r w:rsidRPr="00F5706E">
        <w:rPr>
          <w:rFonts w:ascii="Times New Roman" w:hAnsi="Times New Roman" w:cs="Times New Roman"/>
          <w:sz w:val="24"/>
          <w:szCs w:val="24"/>
          <w:vertAlign w:val="superscript"/>
        </w:rPr>
        <w:t>2</w:t>
      </w:r>
      <w:r w:rsidRPr="00F5706E">
        <w:rPr>
          <w:rFonts w:ascii="Times New Roman" w:hAnsi="Times New Roman" w:cs="Times New Roman"/>
          <w:sz w:val="24"/>
          <w:szCs w:val="24"/>
        </w:rPr>
        <w:t xml:space="preserve"> and a dose of 15 mg/L 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The results for the water samples, including the method and solvent control, are given in Figure 1 (a-b).</w:t>
      </w:r>
    </w:p>
    <w:p w14:paraId="289ABB1A" w14:textId="7E8006FA" w:rsidR="002110C0" w:rsidRPr="00F5706E" w:rsidRDefault="00F5706E" w:rsidP="00F5706E">
      <w:pPr>
        <w:spacing w:after="0" w:line="480" w:lineRule="auto"/>
        <w:jc w:val="both"/>
        <w:rPr>
          <w:rFonts w:ascii="Times New Roman" w:hAnsi="Times New Roman" w:cs="Times New Roman"/>
          <w:sz w:val="24"/>
          <w:szCs w:val="24"/>
        </w:rPr>
      </w:pPr>
      <w:r w:rsidRPr="00F5706E">
        <w:rPr>
          <w:rFonts w:ascii="Times New Roman" w:hAnsi="Times New Roman" w:cs="Times New Roman"/>
          <w:sz w:val="24"/>
          <w:szCs w:val="24"/>
        </w:rPr>
        <w:t>Comparing the combinations of 0 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xml:space="preserve"> and 2000 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xml:space="preserve"> the Ames II assay results for Suwannee River NOM (Figure 1a) were not statistically different. In contrast, for Pony Lake NOM, the 2000 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xml:space="preserve"> combination showed a significant increase in positive wells levels (Figure 1b). Therefore, it can be concluded that LP-UV photolysis and/or hydroxyl radical oxidation was responsible for the increase in the number of positive wells. A statistically significant increase was also observed for the 2000 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xml:space="preserve"> combination </w:t>
      </w:r>
      <w:r w:rsidRPr="00F5706E">
        <w:rPr>
          <w:rFonts w:ascii="Times New Roman" w:hAnsi="Times New Roman" w:cs="Times New Roman"/>
          <w:sz w:val="24"/>
          <w:szCs w:val="24"/>
        </w:rPr>
        <w:lastRenderedPageBreak/>
        <w:t>compared to the 2000 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xml:space="preserve"> (no 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indicating that NO</w:t>
      </w:r>
      <w:r w:rsidRPr="00F5706E">
        <w:rPr>
          <w:rFonts w:ascii="Times New Roman" w:hAnsi="Times New Roman" w:cs="Times New Roman"/>
          <w:sz w:val="24"/>
          <w:szCs w:val="24"/>
          <w:vertAlign w:val="subscript"/>
        </w:rPr>
        <w:t>3</w:t>
      </w:r>
      <w:r w:rsidRPr="00F5706E">
        <w:rPr>
          <w:rFonts w:ascii="Times New Roman" w:hAnsi="Times New Roman" w:cs="Times New Roman"/>
          <w:sz w:val="24"/>
          <w:szCs w:val="24"/>
        </w:rPr>
        <w:t xml:space="preserve"> photolysis played a major role in the increased number of positive wells. This finding agrees with the findings from Martijn et al. (2014, 2015)</w:t>
      </w:r>
      <w:r w:rsidRPr="00F5706E">
        <w:rPr>
          <w:rFonts w:ascii="Times New Roman" w:hAnsi="Times New Roman" w:cs="Times New Roman"/>
          <w:sz w:val="24"/>
          <w:szCs w:val="24"/>
          <w:vertAlign w:val="superscript"/>
        </w:rPr>
        <w:t>17-18</w:t>
      </w:r>
      <w:r w:rsidRPr="00F5706E">
        <w:rPr>
          <w:rFonts w:ascii="Times New Roman" w:hAnsi="Times New Roman" w:cs="Times New Roman"/>
          <w:sz w:val="24"/>
          <w:szCs w:val="24"/>
        </w:rPr>
        <w:t xml:space="preserve"> treating samples containing Pony Lake NOM with and without the presence of nitrate with either MP-UV photolysis or MP-UV/H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xml:space="preserve"> treatment, producing an increase in the Ames II assay response only when nitrate was present. Overall, significant variations in the Ames II assay response were observed in Pony Lake NOM samples in the presence of nitrate after LP-UV/H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xml:space="preserve"> treatment. Nevertheless, the levels produced (around 10 positive wells) with a high nitrate concentration (50 mg/L) and high UV fluence (2000 mJ/cm</w:t>
      </w:r>
      <w:r w:rsidRPr="00F5706E">
        <w:rPr>
          <w:rFonts w:ascii="Times New Roman" w:hAnsi="Times New Roman" w:cs="Times New Roman"/>
          <w:sz w:val="24"/>
          <w:szCs w:val="24"/>
          <w:vertAlign w:val="superscript"/>
        </w:rPr>
        <w:t>2</w:t>
      </w:r>
      <w:r w:rsidRPr="00F5706E">
        <w:rPr>
          <w:rFonts w:ascii="Times New Roman" w:hAnsi="Times New Roman" w:cs="Times New Roman"/>
          <w:sz w:val="24"/>
          <w:szCs w:val="24"/>
        </w:rPr>
        <w:t>) were only half of those observed by Martijn et al. (2014)</w:t>
      </w:r>
      <w:r w:rsidRPr="00F5706E">
        <w:rPr>
          <w:rFonts w:ascii="Times New Roman" w:hAnsi="Times New Roman" w:cs="Times New Roman"/>
          <w:sz w:val="24"/>
          <w:szCs w:val="24"/>
          <w:vertAlign w:val="superscript"/>
        </w:rPr>
        <w:t>17</w:t>
      </w:r>
      <w:r w:rsidRPr="00F5706E">
        <w:rPr>
          <w:rFonts w:ascii="Times New Roman" w:hAnsi="Times New Roman" w:cs="Times New Roman"/>
          <w:sz w:val="24"/>
          <w:szCs w:val="24"/>
        </w:rPr>
        <w:t xml:space="preserve"> (around 20 positive wells) when MP-UV/H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xml:space="preserve"> treatment was applied with a lower UV fluence and 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 xml:space="preserve"> dose (560 mJ/cm</w:t>
      </w:r>
      <w:r w:rsidRPr="00F5706E">
        <w:rPr>
          <w:rFonts w:ascii="Times New Roman" w:hAnsi="Times New Roman" w:cs="Times New Roman"/>
          <w:sz w:val="24"/>
          <w:szCs w:val="24"/>
          <w:vertAlign w:val="superscript"/>
        </w:rPr>
        <w:t>2</w:t>
      </w:r>
      <w:r w:rsidRPr="00F5706E">
        <w:rPr>
          <w:rFonts w:ascii="Times New Roman" w:hAnsi="Times New Roman" w:cs="Times New Roman"/>
          <w:sz w:val="24"/>
          <w:szCs w:val="24"/>
        </w:rPr>
        <w:t xml:space="preserve"> with 6 mg/L H</w:t>
      </w:r>
      <w:r w:rsidRPr="00F5706E">
        <w:rPr>
          <w:rFonts w:ascii="Times New Roman" w:hAnsi="Times New Roman" w:cs="Times New Roman"/>
          <w:sz w:val="24"/>
          <w:szCs w:val="24"/>
          <w:vertAlign w:val="subscript"/>
        </w:rPr>
        <w:t>2</w:t>
      </w:r>
      <w:r w:rsidRPr="00F5706E">
        <w:rPr>
          <w:rFonts w:ascii="Times New Roman" w:hAnsi="Times New Roman" w:cs="Times New Roman"/>
          <w:sz w:val="24"/>
          <w:szCs w:val="24"/>
        </w:rPr>
        <w:t>O</w:t>
      </w:r>
      <w:r w:rsidRPr="00F5706E">
        <w:rPr>
          <w:rFonts w:ascii="Times New Roman" w:hAnsi="Times New Roman" w:cs="Times New Roman"/>
          <w:sz w:val="24"/>
          <w:szCs w:val="24"/>
          <w:vertAlign w:val="subscript"/>
        </w:rPr>
        <w:t>2</w:t>
      </w:r>
      <w:r>
        <w:rPr>
          <w:rFonts w:ascii="Times New Roman" w:hAnsi="Times New Roman" w:cs="Times New Roman"/>
          <w:sz w:val="24"/>
          <w:szCs w:val="24"/>
        </w:rPr>
        <w:t>).</w:t>
      </w:r>
    </w:p>
    <w:p w14:paraId="45AA5F9C" w14:textId="05EEEEEC" w:rsidR="00A72154" w:rsidRPr="00A72154" w:rsidRDefault="00A72154" w:rsidP="00A72154">
      <w:pPr>
        <w:spacing w:after="0" w:line="480" w:lineRule="auto"/>
        <w:jc w:val="both"/>
        <w:rPr>
          <w:rFonts w:ascii="Times New Roman" w:hAnsi="Times New Roman" w:cs="Times New Roman"/>
          <w:bCs/>
          <w:sz w:val="24"/>
          <w:szCs w:val="24"/>
          <w:lang w:val="en-US"/>
        </w:rPr>
      </w:pPr>
      <w:r w:rsidRPr="00A72154">
        <w:rPr>
          <w:rFonts w:ascii="Times New Roman" w:hAnsi="Times New Roman" w:cs="Times New Roman"/>
          <w:bCs/>
          <w:sz w:val="24"/>
          <w:szCs w:val="24"/>
          <w:lang w:val="en-US"/>
        </w:rPr>
        <w:t xml:space="preserve">In order to interpret the results in this work in terms of mutagenicity with the Ames II </w:t>
      </w:r>
      <w:r w:rsidRPr="00A72154">
        <w:rPr>
          <w:rFonts w:ascii="Times New Roman" w:hAnsi="Times New Roman" w:cs="Times New Roman"/>
          <w:bCs/>
          <w:sz w:val="24"/>
          <w:szCs w:val="24"/>
        </w:rPr>
        <w:t>assay</w:t>
      </w:r>
      <w:r w:rsidRPr="00A72154">
        <w:rPr>
          <w:rFonts w:ascii="Times New Roman" w:hAnsi="Times New Roman" w:cs="Times New Roman"/>
          <w:bCs/>
          <w:sz w:val="24"/>
          <w:szCs w:val="24"/>
          <w:lang w:val="en-US"/>
        </w:rPr>
        <w:t>, the number-fold inductions over the solvent control and the number-fold inductions over the baseline value (explained in the Methods Section) were calculated. Figure 2 shows that all number-fold inductions over the solvent control were below 3 and all number-fold inductions over the baseline value were below 2, indicating that none of the SPE extracts of the samples could be</w:t>
      </w:r>
      <w:r>
        <w:rPr>
          <w:rFonts w:ascii="Times New Roman" w:hAnsi="Times New Roman" w:cs="Times New Roman"/>
          <w:bCs/>
          <w:sz w:val="24"/>
          <w:szCs w:val="24"/>
          <w:lang w:val="en-US"/>
        </w:rPr>
        <w:t xml:space="preserve"> </w:t>
      </w:r>
      <w:r w:rsidRPr="00A72154">
        <w:rPr>
          <w:rFonts w:ascii="Times New Roman" w:hAnsi="Times New Roman" w:cs="Times New Roman"/>
          <w:bCs/>
          <w:sz w:val="24"/>
          <w:szCs w:val="24"/>
          <w:lang w:val="en-US"/>
        </w:rPr>
        <w:t xml:space="preserve">classified as mutagenic towards the </w:t>
      </w:r>
      <w:r w:rsidRPr="00A72154">
        <w:rPr>
          <w:rFonts w:ascii="Times New Roman" w:hAnsi="Times New Roman" w:cs="Times New Roman"/>
          <w:bCs/>
          <w:i/>
          <w:sz w:val="24"/>
          <w:szCs w:val="24"/>
          <w:lang w:val="en-US"/>
        </w:rPr>
        <w:t>Salmonella typhimurium</w:t>
      </w:r>
      <w:r w:rsidRPr="00A72154">
        <w:rPr>
          <w:rFonts w:ascii="Times New Roman" w:hAnsi="Times New Roman" w:cs="Times New Roman"/>
          <w:bCs/>
          <w:sz w:val="24"/>
          <w:szCs w:val="24"/>
          <w:lang w:val="en-US"/>
        </w:rPr>
        <w:t xml:space="preserve"> strain TA98. It should be noted that negative results are not conclusive of the total absence of mutagenic potency, as other mutagenic mechanisms cannot be excluded.</w:t>
      </w:r>
    </w:p>
    <w:p w14:paraId="6A643596" w14:textId="77777777" w:rsidR="00A72154" w:rsidRPr="00A72154" w:rsidRDefault="00A72154" w:rsidP="00A72154">
      <w:pPr>
        <w:spacing w:after="0" w:line="480" w:lineRule="auto"/>
        <w:jc w:val="both"/>
        <w:rPr>
          <w:rFonts w:ascii="Times New Roman" w:hAnsi="Times New Roman" w:cs="Times New Roman"/>
          <w:bCs/>
          <w:sz w:val="24"/>
          <w:szCs w:val="24"/>
          <w:lang w:val="en-US"/>
        </w:rPr>
      </w:pPr>
      <w:r w:rsidRPr="00A72154">
        <w:rPr>
          <w:rFonts w:ascii="Times New Roman" w:hAnsi="Times New Roman" w:cs="Times New Roman"/>
          <w:bCs/>
          <w:sz w:val="24"/>
          <w:szCs w:val="24"/>
          <w:lang w:val="en-US"/>
        </w:rPr>
        <w:t>Based on the calculated SUVA values (3.6 and 1.6 L mg</w:t>
      </w:r>
      <w:r w:rsidRPr="00A72154">
        <w:rPr>
          <w:rFonts w:ascii="Times New Roman" w:hAnsi="Times New Roman" w:cs="Times New Roman"/>
          <w:bCs/>
          <w:sz w:val="24"/>
          <w:szCs w:val="24"/>
          <w:vertAlign w:val="superscript"/>
          <w:lang w:val="en-US"/>
        </w:rPr>
        <w:t>−1</w:t>
      </w:r>
      <w:r w:rsidRPr="00A72154">
        <w:rPr>
          <w:rFonts w:ascii="Times New Roman" w:hAnsi="Times New Roman" w:cs="Times New Roman"/>
          <w:bCs/>
          <w:sz w:val="24"/>
          <w:szCs w:val="24"/>
          <w:lang w:val="en-US"/>
        </w:rPr>
        <w:t xml:space="preserve"> m</w:t>
      </w:r>
      <w:r w:rsidRPr="00A72154">
        <w:rPr>
          <w:rFonts w:ascii="Times New Roman" w:hAnsi="Times New Roman" w:cs="Times New Roman"/>
          <w:bCs/>
          <w:sz w:val="24"/>
          <w:szCs w:val="24"/>
          <w:vertAlign w:val="superscript"/>
          <w:lang w:val="en-US"/>
        </w:rPr>
        <w:t>−1</w:t>
      </w:r>
      <w:r w:rsidRPr="00A72154">
        <w:rPr>
          <w:rFonts w:ascii="Times New Roman" w:hAnsi="Times New Roman" w:cs="Times New Roman"/>
          <w:bCs/>
          <w:sz w:val="24"/>
          <w:szCs w:val="24"/>
          <w:lang w:val="en-US"/>
        </w:rPr>
        <w:t xml:space="preserve"> for Suwannee River and Pony Lake NOM, respectively), Suwannee River NOM is expected to have a more aromatic nature compared to Pony Lake NOM, and consequently be more prone to OH-radical attack under UV/H</w:t>
      </w:r>
      <w:r w:rsidRPr="00A72154">
        <w:rPr>
          <w:rFonts w:ascii="Times New Roman" w:hAnsi="Times New Roman" w:cs="Times New Roman"/>
          <w:bCs/>
          <w:sz w:val="24"/>
          <w:szCs w:val="24"/>
          <w:vertAlign w:val="subscript"/>
          <w:lang w:val="en-US"/>
        </w:rPr>
        <w:t>2</w:t>
      </w:r>
      <w:r w:rsidRPr="00A72154">
        <w:rPr>
          <w:rFonts w:ascii="Times New Roman" w:hAnsi="Times New Roman" w:cs="Times New Roman"/>
          <w:bCs/>
          <w:sz w:val="24"/>
          <w:szCs w:val="24"/>
          <w:lang w:val="en-US"/>
        </w:rPr>
        <w:t>O</w:t>
      </w:r>
      <w:r w:rsidRPr="00A72154">
        <w:rPr>
          <w:rFonts w:ascii="Times New Roman" w:hAnsi="Times New Roman" w:cs="Times New Roman"/>
          <w:bCs/>
          <w:sz w:val="24"/>
          <w:szCs w:val="24"/>
          <w:vertAlign w:val="subscript"/>
          <w:lang w:val="en-US"/>
        </w:rPr>
        <w:t>2</w:t>
      </w:r>
      <w:r w:rsidRPr="00A72154">
        <w:rPr>
          <w:rFonts w:ascii="Times New Roman" w:hAnsi="Times New Roman" w:cs="Times New Roman"/>
          <w:bCs/>
          <w:sz w:val="24"/>
          <w:szCs w:val="24"/>
          <w:lang w:val="en-US"/>
        </w:rPr>
        <w:t xml:space="preserve"> treatment at the electron-rich sites</w:t>
      </w:r>
      <w:r w:rsidRPr="00A72154">
        <w:rPr>
          <w:rFonts w:ascii="Times New Roman" w:hAnsi="Times New Roman" w:cs="Times New Roman"/>
          <w:bCs/>
          <w:sz w:val="24"/>
          <w:szCs w:val="24"/>
          <w:vertAlign w:val="superscript"/>
          <w:lang w:val="en-US"/>
        </w:rPr>
        <w:t>41</w:t>
      </w:r>
      <w:r w:rsidRPr="00A72154">
        <w:rPr>
          <w:rFonts w:ascii="Times New Roman" w:hAnsi="Times New Roman" w:cs="Times New Roman"/>
          <w:bCs/>
          <w:sz w:val="24"/>
          <w:szCs w:val="24"/>
          <w:lang w:val="en-US"/>
        </w:rPr>
        <w:t>. Nevertheless, this would be the case for low molecular weight organic compounds</w:t>
      </w:r>
      <w:r w:rsidRPr="00A72154">
        <w:rPr>
          <w:rFonts w:ascii="Times New Roman" w:hAnsi="Times New Roman" w:cs="Times New Roman"/>
          <w:bCs/>
          <w:sz w:val="24"/>
          <w:szCs w:val="24"/>
          <w:vertAlign w:val="superscript"/>
          <w:lang w:val="en-US"/>
        </w:rPr>
        <w:t>42</w:t>
      </w:r>
      <w:r w:rsidRPr="00A72154">
        <w:rPr>
          <w:rFonts w:ascii="Times New Roman" w:hAnsi="Times New Roman" w:cs="Times New Roman"/>
          <w:bCs/>
          <w:sz w:val="24"/>
          <w:szCs w:val="24"/>
          <w:lang w:val="en-US"/>
        </w:rPr>
        <w:t>, whereas based on the</w:t>
      </w:r>
      <w:r>
        <w:rPr>
          <w:rFonts w:ascii="Times New Roman" w:hAnsi="Times New Roman" w:cs="Times New Roman"/>
          <w:bCs/>
          <w:sz w:val="24"/>
          <w:szCs w:val="24"/>
          <w:lang w:val="en-US"/>
        </w:rPr>
        <w:t xml:space="preserve"> </w:t>
      </w:r>
      <w:r w:rsidRPr="00A72154">
        <w:rPr>
          <w:rFonts w:ascii="Times New Roman" w:hAnsi="Times New Roman" w:cs="Times New Roman"/>
          <w:bCs/>
          <w:sz w:val="24"/>
          <w:szCs w:val="24"/>
          <w:lang w:val="en-US"/>
        </w:rPr>
        <w:t xml:space="preserve">high SUVA value it is suggested that Suwannee River NOM contains high molecular weight organic fractions. According to </w:t>
      </w:r>
      <w:r w:rsidRPr="00A72154">
        <w:rPr>
          <w:rFonts w:ascii="Times New Roman" w:hAnsi="Times New Roman" w:cs="Times New Roman"/>
          <w:bCs/>
          <w:sz w:val="24"/>
          <w:szCs w:val="24"/>
          <w:lang w:val="en-US"/>
        </w:rPr>
        <w:lastRenderedPageBreak/>
        <w:t>literature values, the reaction rate constant of these two NOMs with OH-radicals are reported to be 3.3 10</w:t>
      </w:r>
      <w:r w:rsidRPr="00A72154">
        <w:rPr>
          <w:rFonts w:ascii="Times New Roman" w:hAnsi="Times New Roman" w:cs="Times New Roman"/>
          <w:bCs/>
          <w:sz w:val="24"/>
          <w:szCs w:val="24"/>
          <w:vertAlign w:val="superscript"/>
          <w:lang w:val="en-US"/>
        </w:rPr>
        <w:t>8</w:t>
      </w:r>
      <w:r w:rsidRPr="00A72154">
        <w:rPr>
          <w:rFonts w:ascii="Times New Roman" w:hAnsi="Times New Roman" w:cs="Times New Roman"/>
          <w:bCs/>
          <w:sz w:val="24"/>
          <w:szCs w:val="24"/>
          <w:lang w:val="en-US"/>
        </w:rPr>
        <w:t xml:space="preserve"> M</w:t>
      </w:r>
      <w:r w:rsidRPr="00A72154">
        <w:rPr>
          <w:rFonts w:ascii="Times New Roman" w:hAnsi="Times New Roman" w:cs="Times New Roman"/>
          <w:bCs/>
          <w:sz w:val="24"/>
          <w:szCs w:val="24"/>
          <w:vertAlign w:val="superscript"/>
          <w:lang w:val="en-US"/>
        </w:rPr>
        <w:t xml:space="preserve">-1 </w:t>
      </w:r>
      <w:r w:rsidRPr="00A72154">
        <w:rPr>
          <w:rFonts w:ascii="Times New Roman" w:hAnsi="Times New Roman" w:cs="Times New Roman"/>
          <w:bCs/>
          <w:sz w:val="24"/>
          <w:szCs w:val="24"/>
          <w:lang w:val="en-US"/>
        </w:rPr>
        <w:t>s</w:t>
      </w:r>
      <w:r w:rsidRPr="00A72154">
        <w:rPr>
          <w:rFonts w:ascii="Times New Roman" w:hAnsi="Times New Roman" w:cs="Times New Roman"/>
          <w:bCs/>
          <w:sz w:val="24"/>
          <w:szCs w:val="24"/>
          <w:vertAlign w:val="superscript"/>
          <w:lang w:val="en-US"/>
        </w:rPr>
        <w:t>-1</w:t>
      </w:r>
      <w:r w:rsidRPr="00A72154">
        <w:rPr>
          <w:rFonts w:ascii="Times New Roman" w:hAnsi="Times New Roman" w:cs="Times New Roman"/>
          <w:bCs/>
          <w:sz w:val="24"/>
          <w:szCs w:val="24"/>
          <w:lang w:val="en-US"/>
        </w:rPr>
        <w:t xml:space="preserve"> for Suwannee River NOM</w:t>
      </w:r>
      <w:r w:rsidRPr="00A72154">
        <w:rPr>
          <w:rFonts w:ascii="Times New Roman" w:hAnsi="Times New Roman" w:cs="Times New Roman"/>
          <w:bCs/>
          <w:sz w:val="24"/>
          <w:szCs w:val="24"/>
          <w:vertAlign w:val="superscript"/>
          <w:lang w:val="en-US"/>
        </w:rPr>
        <w:t>43</w:t>
      </w:r>
      <w:r w:rsidRPr="00A72154">
        <w:rPr>
          <w:rFonts w:ascii="Times New Roman" w:hAnsi="Times New Roman" w:cs="Times New Roman"/>
          <w:bCs/>
          <w:sz w:val="24"/>
          <w:szCs w:val="24"/>
          <w:lang w:val="en-US"/>
        </w:rPr>
        <w:t xml:space="preserve"> and 2.03 10</w:t>
      </w:r>
      <w:r w:rsidRPr="00A72154">
        <w:rPr>
          <w:rFonts w:ascii="Times New Roman" w:hAnsi="Times New Roman" w:cs="Times New Roman"/>
          <w:bCs/>
          <w:sz w:val="24"/>
          <w:szCs w:val="24"/>
          <w:vertAlign w:val="superscript"/>
          <w:lang w:val="en-US"/>
        </w:rPr>
        <w:t>8</w:t>
      </w:r>
      <w:r w:rsidRPr="00A72154">
        <w:rPr>
          <w:rFonts w:ascii="Times New Roman" w:hAnsi="Times New Roman" w:cs="Times New Roman"/>
          <w:bCs/>
          <w:sz w:val="24"/>
          <w:szCs w:val="24"/>
          <w:lang w:val="en-US"/>
        </w:rPr>
        <w:t xml:space="preserve"> M</w:t>
      </w:r>
      <w:r w:rsidRPr="00A72154">
        <w:rPr>
          <w:rFonts w:ascii="Times New Roman" w:hAnsi="Times New Roman" w:cs="Times New Roman"/>
          <w:bCs/>
          <w:sz w:val="24"/>
          <w:szCs w:val="24"/>
          <w:vertAlign w:val="superscript"/>
          <w:lang w:val="en-US"/>
        </w:rPr>
        <w:t xml:space="preserve">-1 </w:t>
      </w:r>
      <w:r w:rsidRPr="00A72154">
        <w:rPr>
          <w:rFonts w:ascii="Times New Roman" w:hAnsi="Times New Roman" w:cs="Times New Roman"/>
          <w:bCs/>
          <w:sz w:val="24"/>
          <w:szCs w:val="24"/>
          <w:lang w:val="en-US"/>
        </w:rPr>
        <w:t>s</w:t>
      </w:r>
      <w:r w:rsidRPr="00A72154">
        <w:rPr>
          <w:rFonts w:ascii="Times New Roman" w:hAnsi="Times New Roman" w:cs="Times New Roman"/>
          <w:bCs/>
          <w:sz w:val="24"/>
          <w:szCs w:val="24"/>
          <w:vertAlign w:val="superscript"/>
          <w:lang w:val="en-US"/>
        </w:rPr>
        <w:t>-1</w:t>
      </w:r>
      <w:r w:rsidRPr="00A72154">
        <w:rPr>
          <w:rFonts w:ascii="Times New Roman" w:hAnsi="Times New Roman" w:cs="Times New Roman"/>
          <w:bCs/>
          <w:sz w:val="24"/>
          <w:szCs w:val="24"/>
          <w:lang w:val="en-US"/>
        </w:rPr>
        <w:t xml:space="preserve"> for Pony Lake NOM</w:t>
      </w:r>
      <w:r w:rsidRPr="00A72154">
        <w:rPr>
          <w:rFonts w:ascii="Times New Roman" w:hAnsi="Times New Roman" w:cs="Times New Roman"/>
          <w:bCs/>
          <w:sz w:val="24"/>
          <w:szCs w:val="24"/>
          <w:vertAlign w:val="superscript"/>
          <w:lang w:val="en-US"/>
        </w:rPr>
        <w:t>44</w:t>
      </w:r>
      <w:r w:rsidRPr="00A72154">
        <w:rPr>
          <w:rFonts w:ascii="Times New Roman" w:hAnsi="Times New Roman" w:cs="Times New Roman"/>
          <w:bCs/>
          <w:sz w:val="24"/>
          <w:szCs w:val="24"/>
          <w:lang w:val="en-US"/>
        </w:rPr>
        <w:t xml:space="preserve"> (by competition kinetics), so the difference in reactivity is small. If, however, the degradation of Suwannee River NOM takes place to a greater extent than Pony Lake NOM, and mutagenic products are formed as intermediates, the degradation of those intermediates could also take place, therefore lowering the final Ames levels. </w:t>
      </w:r>
    </w:p>
    <w:p w14:paraId="2168B46E" w14:textId="77777777" w:rsidR="00A72154" w:rsidRPr="00A72154" w:rsidRDefault="00A72154" w:rsidP="00A72154">
      <w:pPr>
        <w:spacing w:after="0" w:line="480" w:lineRule="auto"/>
        <w:jc w:val="both"/>
        <w:rPr>
          <w:rFonts w:ascii="Times New Roman" w:hAnsi="Times New Roman" w:cs="Times New Roman"/>
          <w:bCs/>
          <w:sz w:val="24"/>
          <w:szCs w:val="24"/>
          <w:lang w:val="en-US"/>
        </w:rPr>
      </w:pPr>
      <w:r w:rsidRPr="00A72154">
        <w:rPr>
          <w:rFonts w:ascii="Times New Roman" w:hAnsi="Times New Roman" w:cs="Times New Roman"/>
          <w:bCs/>
          <w:sz w:val="24"/>
          <w:szCs w:val="24"/>
          <w:lang w:val="en-US"/>
        </w:rPr>
        <w:t>The difference between the Ames levels obtained by the two NOMs was not statistically significant; nevertheless, the role of photolysis as well as the role of the presence of nitrate were apparent only for Pony Lake NOM under the conditions applied, as already explained earlier. The incorporation of the nitrate-nitrogen into the organic matrix and the formation on nitrated/nitrosated compounds by MP-UV treatment has been demonstrated for both Suwannee River</w:t>
      </w:r>
      <w:r w:rsidRPr="00A72154">
        <w:rPr>
          <w:rFonts w:ascii="Times New Roman" w:hAnsi="Times New Roman" w:cs="Times New Roman"/>
          <w:bCs/>
          <w:sz w:val="24"/>
          <w:szCs w:val="24"/>
          <w:vertAlign w:val="superscript"/>
          <w:lang w:val="en-US"/>
        </w:rPr>
        <w:t>14</w:t>
      </w:r>
      <w:r w:rsidRPr="00A72154">
        <w:rPr>
          <w:rFonts w:ascii="Times New Roman" w:hAnsi="Times New Roman" w:cs="Times New Roman"/>
          <w:bCs/>
          <w:sz w:val="24"/>
          <w:szCs w:val="24"/>
          <w:lang w:val="en-US"/>
        </w:rPr>
        <w:t xml:space="preserve"> and Pony Lake NOM</w:t>
      </w:r>
      <w:r w:rsidRPr="00A72154">
        <w:rPr>
          <w:rFonts w:ascii="Times New Roman" w:hAnsi="Times New Roman" w:cs="Times New Roman"/>
          <w:bCs/>
          <w:sz w:val="24"/>
          <w:szCs w:val="24"/>
          <w:vertAlign w:val="superscript"/>
          <w:lang w:val="en-US"/>
        </w:rPr>
        <w:t>17,20</w:t>
      </w:r>
      <w:r w:rsidRPr="00A72154">
        <w:rPr>
          <w:rFonts w:ascii="Times New Roman" w:hAnsi="Times New Roman" w:cs="Times New Roman"/>
          <w:bCs/>
          <w:sz w:val="24"/>
          <w:szCs w:val="24"/>
          <w:lang w:val="en-US"/>
        </w:rPr>
        <w:t>. This could be the reason why mutagenicity levels (even though low) were measured for both NOMs. It can be suggested that this N-incorporation is also affected by the nitrogen content of the NOM, especially when it comes to N-nitrosation</w:t>
      </w:r>
      <w:r w:rsidRPr="00A72154">
        <w:rPr>
          <w:rFonts w:ascii="Times New Roman" w:hAnsi="Times New Roman" w:cs="Times New Roman"/>
          <w:bCs/>
          <w:sz w:val="24"/>
          <w:szCs w:val="24"/>
          <w:vertAlign w:val="superscript"/>
          <w:lang w:val="en-US"/>
        </w:rPr>
        <w:t>45</w:t>
      </w:r>
      <w:r w:rsidRPr="00A72154">
        <w:rPr>
          <w:rFonts w:ascii="Times New Roman" w:hAnsi="Times New Roman" w:cs="Times New Roman"/>
          <w:bCs/>
          <w:sz w:val="24"/>
          <w:szCs w:val="24"/>
          <w:lang w:val="en-US"/>
        </w:rPr>
        <w:t>; since this content is 5 times higher for Pony Lake NOM (1.27 % (w/w) and 6.51 % (w/w) for Suwannee River and Pony Lake NOM, respectively), nitrosation could have been favoured, giving rise to more, potentially mutagenic, compounds. Additionally, the more aliphatic composition of Pony Lake NOM could have contributed to greater nitrosation, since, according to Thorn and Cox</w:t>
      </w:r>
      <w:r w:rsidRPr="00A72154">
        <w:rPr>
          <w:rFonts w:ascii="Times New Roman" w:hAnsi="Times New Roman" w:cs="Times New Roman"/>
          <w:bCs/>
          <w:sz w:val="24"/>
          <w:szCs w:val="24"/>
          <w:vertAlign w:val="superscript"/>
          <w:lang w:val="en-US"/>
        </w:rPr>
        <w:t>45</w:t>
      </w:r>
      <w:r w:rsidRPr="00A72154">
        <w:rPr>
          <w:rFonts w:ascii="Times New Roman" w:hAnsi="Times New Roman" w:cs="Times New Roman"/>
          <w:bCs/>
          <w:sz w:val="24"/>
          <w:szCs w:val="24"/>
          <w:lang w:val="en-US"/>
        </w:rPr>
        <w:t>, the greater the aliphatic carbon content, the greater the concentration of activated methylene and methyl carbons that are available for nitrosation and subsequent rearrangement. Although in the Thorn and Cox study</w:t>
      </w:r>
      <w:r w:rsidRPr="00A72154">
        <w:rPr>
          <w:rFonts w:ascii="Times New Roman" w:hAnsi="Times New Roman" w:cs="Times New Roman"/>
          <w:bCs/>
          <w:sz w:val="24"/>
          <w:szCs w:val="24"/>
          <w:vertAlign w:val="superscript"/>
          <w:lang w:val="en-US"/>
        </w:rPr>
        <w:t>45</w:t>
      </w:r>
      <w:r w:rsidRPr="00A72154">
        <w:rPr>
          <w:rFonts w:ascii="Times New Roman" w:hAnsi="Times New Roman" w:cs="Times New Roman"/>
          <w:bCs/>
          <w:sz w:val="24"/>
          <w:szCs w:val="24"/>
          <w:lang w:val="en-US"/>
        </w:rPr>
        <w:t xml:space="preserve"> the NOMs were treated with nitric acid and not a nitrate salt, they state that some detected N-compounds were also observed when sodium nitrate was used.</w:t>
      </w:r>
    </w:p>
    <w:p w14:paraId="48DE99E1" w14:textId="77777777" w:rsidR="00A72154" w:rsidRPr="00A72154" w:rsidRDefault="00A72154" w:rsidP="00A72154">
      <w:pPr>
        <w:spacing w:after="0" w:line="480" w:lineRule="auto"/>
        <w:jc w:val="both"/>
        <w:rPr>
          <w:rFonts w:ascii="Times New Roman" w:hAnsi="Times New Roman" w:cs="Times New Roman"/>
          <w:b/>
          <w:bCs/>
          <w:sz w:val="24"/>
          <w:szCs w:val="24"/>
        </w:rPr>
      </w:pPr>
      <w:bookmarkStart w:id="7" w:name="_Toc489872820"/>
      <w:r w:rsidRPr="00A72154">
        <w:rPr>
          <w:rFonts w:ascii="Times New Roman" w:hAnsi="Times New Roman" w:cs="Times New Roman"/>
          <w:b/>
          <w:bCs/>
          <w:sz w:val="24"/>
          <w:szCs w:val="24"/>
        </w:rPr>
        <w:t>Nitrite and nitrophenol formation</w:t>
      </w:r>
      <w:bookmarkEnd w:id="7"/>
    </w:p>
    <w:p w14:paraId="1EC2363D" w14:textId="77777777" w:rsidR="00A72154" w:rsidRPr="00A72154" w:rsidRDefault="00A72154" w:rsidP="00A72154">
      <w:pPr>
        <w:spacing w:after="0" w:line="480" w:lineRule="auto"/>
        <w:jc w:val="both"/>
        <w:rPr>
          <w:rFonts w:ascii="Times New Roman" w:hAnsi="Times New Roman" w:cs="Times New Roman"/>
          <w:b/>
          <w:bCs/>
          <w:sz w:val="24"/>
          <w:szCs w:val="24"/>
        </w:rPr>
      </w:pPr>
      <w:r w:rsidRPr="00A72154">
        <w:rPr>
          <w:rFonts w:ascii="Times New Roman" w:hAnsi="Times New Roman" w:cs="Times New Roman"/>
          <w:bCs/>
          <w:sz w:val="24"/>
          <w:szCs w:val="24"/>
        </w:rPr>
        <w:lastRenderedPageBreak/>
        <w:t>While no nitrite was formed in dark samples (i.e. no UV irradiation), the nitrite concentrations obtained for the irradiated samples (1500/15 and 2000/15, in mJ/cm</w:t>
      </w:r>
      <w:r w:rsidRPr="00A72154">
        <w:rPr>
          <w:rFonts w:ascii="Times New Roman" w:hAnsi="Times New Roman" w:cs="Times New Roman"/>
          <w:bCs/>
          <w:sz w:val="24"/>
          <w:szCs w:val="24"/>
          <w:vertAlign w:val="superscript"/>
        </w:rPr>
        <w:t>2</w:t>
      </w:r>
      <w:r w:rsidRPr="00A72154">
        <w:rPr>
          <w:rFonts w:ascii="Times New Roman" w:hAnsi="Times New Roman" w:cs="Times New Roman"/>
          <w:bCs/>
          <w:sz w:val="24"/>
          <w:szCs w:val="24"/>
        </w:rPr>
        <w:t xml:space="preserve"> / mg/L) for both NOMs were 0.08-0.09 mg/L (Figure S.2, ESI), which were very close to the 0.1 mg/L EU regulatory limit for nitrite. However, this limit might be exceeded if the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xml:space="preserve"> dose is increased</w:t>
      </w:r>
      <w:r w:rsidRPr="00A72154">
        <w:rPr>
          <w:rFonts w:ascii="Times New Roman" w:hAnsi="Times New Roman" w:cs="Times New Roman"/>
          <w:bCs/>
          <w:sz w:val="24"/>
          <w:szCs w:val="24"/>
          <w:vertAlign w:val="superscript"/>
        </w:rPr>
        <w:t>46</w:t>
      </w:r>
      <w:r w:rsidRPr="00A72154">
        <w:rPr>
          <w:rFonts w:ascii="Times New Roman" w:hAnsi="Times New Roman" w:cs="Times New Roman"/>
          <w:bCs/>
          <w:sz w:val="24"/>
          <w:szCs w:val="24"/>
        </w:rPr>
        <w:t>. It should be noted that conflicting results have been reported regarding the role of hydrogen peroxide. Thus, Lu et al.</w:t>
      </w:r>
      <w:r w:rsidRPr="00A72154">
        <w:rPr>
          <w:rFonts w:ascii="Times New Roman" w:hAnsi="Times New Roman" w:cs="Times New Roman"/>
          <w:bCs/>
          <w:sz w:val="24"/>
          <w:szCs w:val="24"/>
          <w:vertAlign w:val="superscript"/>
        </w:rPr>
        <w:t>47</w:t>
      </w:r>
      <w:r w:rsidRPr="00A72154">
        <w:rPr>
          <w:rFonts w:ascii="Times New Roman" w:hAnsi="Times New Roman" w:cs="Times New Roman"/>
          <w:bCs/>
          <w:sz w:val="24"/>
          <w:szCs w:val="24"/>
        </w:rPr>
        <w:t>, utilizing a LP lamp at pH = 9.5 for a concentration of 10 mg/L NO</w:t>
      </w:r>
      <w:r w:rsidRPr="00A72154">
        <w:rPr>
          <w:rFonts w:ascii="Times New Roman" w:hAnsi="Times New Roman" w:cs="Times New Roman"/>
          <w:bCs/>
          <w:sz w:val="24"/>
          <w:szCs w:val="24"/>
          <w:vertAlign w:val="subscript"/>
        </w:rPr>
        <w:t>3</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-N (44 mg/L NO</w:t>
      </w:r>
      <w:r w:rsidRPr="00A72154">
        <w:rPr>
          <w:rFonts w:ascii="Times New Roman" w:hAnsi="Times New Roman" w:cs="Times New Roman"/>
          <w:bCs/>
          <w:sz w:val="24"/>
          <w:szCs w:val="24"/>
          <w:vertAlign w:val="subscript"/>
        </w:rPr>
        <w:t>3</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found that 0.8 mg/L NO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xml:space="preserve"> was produced both in the absence of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xml:space="preserve"> and with 10 mg/L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while in contrast Sharpless et al.</w:t>
      </w:r>
      <w:r w:rsidRPr="00A72154">
        <w:rPr>
          <w:rFonts w:ascii="Times New Roman" w:hAnsi="Times New Roman" w:cs="Times New Roman"/>
          <w:bCs/>
          <w:sz w:val="24"/>
          <w:szCs w:val="24"/>
          <w:vertAlign w:val="superscript"/>
        </w:rPr>
        <w:t>48</w:t>
      </w:r>
      <w:r w:rsidRPr="00A72154">
        <w:rPr>
          <w:rFonts w:ascii="Times New Roman" w:hAnsi="Times New Roman" w:cs="Times New Roman"/>
          <w:bCs/>
          <w:sz w:val="24"/>
          <w:szCs w:val="24"/>
        </w:rPr>
        <w:t xml:space="preserve"> reported 0.16 mg/L NO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xml:space="preserve"> formed by MP-UV photolysis of water containing 10 mg/L of nitrate with a UV fluence of 150 mJ/cm</w:t>
      </w:r>
      <w:r w:rsidRPr="00A72154">
        <w:rPr>
          <w:rFonts w:ascii="Times New Roman" w:hAnsi="Times New Roman" w:cs="Times New Roman"/>
          <w:bCs/>
          <w:sz w:val="24"/>
          <w:szCs w:val="24"/>
          <w:vertAlign w:val="superscript"/>
        </w:rPr>
        <w:t>2</w:t>
      </w:r>
      <w:r w:rsidRPr="00A72154">
        <w:rPr>
          <w:rFonts w:ascii="Times New Roman" w:hAnsi="Times New Roman" w:cs="Times New Roman"/>
          <w:bCs/>
          <w:sz w:val="24"/>
          <w:szCs w:val="24"/>
        </w:rPr>
        <w:t xml:space="preserve"> and 0.19 mg/L NO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xml:space="preserve"> with the addition of 10 mg/L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thereby showing that nitrite formation by MP-UV can be enhanced by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xml:space="preserve"> addition. The nitrite formation with and without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 under the same UV fluences as in this work, and both in the presence and absence of NOM, can be found in our previous study</w:t>
      </w:r>
      <w:r w:rsidRPr="00A72154">
        <w:rPr>
          <w:rFonts w:ascii="Times New Roman" w:hAnsi="Times New Roman" w:cs="Times New Roman"/>
          <w:bCs/>
          <w:sz w:val="24"/>
          <w:szCs w:val="24"/>
          <w:vertAlign w:val="superscript"/>
        </w:rPr>
        <w:t>46</w:t>
      </w:r>
      <w:r w:rsidRPr="00A72154">
        <w:rPr>
          <w:rFonts w:ascii="Times New Roman" w:hAnsi="Times New Roman" w:cs="Times New Roman"/>
          <w:bCs/>
          <w:sz w:val="24"/>
          <w:szCs w:val="24"/>
        </w:rPr>
        <w:t>. It was observed that, a) the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 xml:space="preserve">2 </w:t>
      </w:r>
      <w:r w:rsidRPr="00A72154">
        <w:rPr>
          <w:rFonts w:ascii="Times New Roman" w:hAnsi="Times New Roman" w:cs="Times New Roman"/>
          <w:bCs/>
          <w:sz w:val="24"/>
          <w:szCs w:val="24"/>
        </w:rPr>
        <w:t>concentration (up to 50 mg/L) and nitrite yield (0.05-0.13 mg/L) were directly proportional when 50 mg/L nitrate was used in NOM-free water, and b) the presence of NOM (either Suwannee River, Nordic Lake or Pony Lake NOM) increases the formation of nitrite for all UV/H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 xml:space="preserve">2 </w:t>
      </w:r>
      <w:r w:rsidRPr="00A72154">
        <w:rPr>
          <w:rFonts w:ascii="Times New Roman" w:hAnsi="Times New Roman" w:cs="Times New Roman"/>
          <w:bCs/>
          <w:sz w:val="24"/>
          <w:szCs w:val="24"/>
        </w:rPr>
        <w:t>dose combinations and NOM concentrations, compared to UV photolysis and NOM-free waters. Specifically for Pony Lake NOM (for comparison reasons) the nitrite concentrations under the fluences of 1500 and 2000 mJ/cm</w:t>
      </w:r>
      <w:r w:rsidRPr="00A72154">
        <w:rPr>
          <w:rFonts w:ascii="Times New Roman" w:hAnsi="Times New Roman" w:cs="Times New Roman"/>
          <w:bCs/>
          <w:sz w:val="24"/>
          <w:szCs w:val="24"/>
          <w:vertAlign w:val="superscript"/>
        </w:rPr>
        <w:t>2</w:t>
      </w:r>
      <w:r w:rsidRPr="00A72154">
        <w:rPr>
          <w:rFonts w:ascii="Times New Roman" w:hAnsi="Times New Roman" w:cs="Times New Roman"/>
          <w:bCs/>
          <w:sz w:val="24"/>
          <w:szCs w:val="24"/>
        </w:rPr>
        <w:t xml:space="preserve"> without H</w:t>
      </w:r>
      <w:r w:rsidRPr="00A72154">
        <w:rPr>
          <w:rFonts w:ascii="Times New Roman" w:hAnsi="Times New Roman" w:cs="Times New Roman"/>
          <w:bCs/>
          <w:sz w:val="24"/>
          <w:szCs w:val="24"/>
          <w:vertAlign w:val="subscript"/>
        </w:rPr>
        <w:t>2</w:t>
      </w:r>
      <w:r w:rsidRPr="00A72154">
        <w:rPr>
          <w:rFonts w:ascii="Times New Roman" w:hAnsi="Times New Roman" w:cs="Times New Roman"/>
          <w:bCs/>
          <w:sz w:val="24"/>
          <w:szCs w:val="24"/>
        </w:rPr>
        <w:t>O</w:t>
      </w:r>
      <w:r w:rsidRPr="00A72154">
        <w:rPr>
          <w:rFonts w:ascii="Times New Roman" w:hAnsi="Times New Roman" w:cs="Times New Roman"/>
          <w:bCs/>
          <w:sz w:val="24"/>
          <w:szCs w:val="24"/>
          <w:vertAlign w:val="subscript"/>
        </w:rPr>
        <w:t xml:space="preserve">2 </w:t>
      </w:r>
      <w:r w:rsidRPr="00A72154">
        <w:rPr>
          <w:rFonts w:ascii="Times New Roman" w:hAnsi="Times New Roman" w:cs="Times New Roman"/>
          <w:bCs/>
          <w:sz w:val="24"/>
          <w:szCs w:val="24"/>
        </w:rPr>
        <w:t>were 0.11 and 0.13 mg NO</w:t>
      </w:r>
      <w:r w:rsidRPr="00A72154">
        <w:rPr>
          <w:rFonts w:ascii="Times New Roman" w:hAnsi="Times New Roman" w:cs="Times New Roman"/>
          <w:bCs/>
          <w:sz w:val="24"/>
          <w:szCs w:val="24"/>
          <w:vertAlign w:val="subscript"/>
        </w:rPr>
        <w:t>3</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xml:space="preserve"> /L, respectively, compared to the 0.09 mg NO</w:t>
      </w:r>
      <w:r w:rsidRPr="00A72154">
        <w:rPr>
          <w:rFonts w:ascii="Times New Roman" w:hAnsi="Times New Roman" w:cs="Times New Roman"/>
          <w:bCs/>
          <w:sz w:val="24"/>
          <w:szCs w:val="24"/>
          <w:vertAlign w:val="subscript"/>
        </w:rPr>
        <w:t>3</w:t>
      </w:r>
      <w:r w:rsidRPr="00A72154">
        <w:rPr>
          <w:rFonts w:ascii="Times New Roman" w:hAnsi="Times New Roman" w:cs="Times New Roman"/>
          <w:bCs/>
          <w:sz w:val="24"/>
          <w:szCs w:val="24"/>
          <w:vertAlign w:val="superscript"/>
        </w:rPr>
        <w:t>-</w:t>
      </w:r>
      <w:r w:rsidRPr="00A72154">
        <w:rPr>
          <w:rFonts w:ascii="Times New Roman" w:hAnsi="Times New Roman" w:cs="Times New Roman"/>
          <w:bCs/>
          <w:sz w:val="24"/>
          <w:szCs w:val="24"/>
        </w:rPr>
        <w:t xml:space="preserve"> /L value for both 1500/15 and 2000/15 (mJ/cm</w:t>
      </w:r>
      <w:r w:rsidRPr="00A72154">
        <w:rPr>
          <w:rFonts w:ascii="Times New Roman" w:hAnsi="Times New Roman" w:cs="Times New Roman"/>
          <w:bCs/>
          <w:sz w:val="24"/>
          <w:szCs w:val="24"/>
          <w:vertAlign w:val="superscript"/>
        </w:rPr>
        <w:t>2</w:t>
      </w:r>
      <w:r w:rsidRPr="00A72154">
        <w:rPr>
          <w:rFonts w:ascii="Times New Roman" w:hAnsi="Times New Roman" w:cs="Times New Roman"/>
          <w:bCs/>
          <w:sz w:val="24"/>
          <w:szCs w:val="24"/>
        </w:rPr>
        <w:t xml:space="preserve"> / mg/L) combinations.</w:t>
      </w:r>
    </w:p>
    <w:p w14:paraId="6DD4FB81" w14:textId="7D29E075" w:rsidR="00A72154" w:rsidRPr="00A72154" w:rsidRDefault="00A72154" w:rsidP="00A72154">
      <w:pPr>
        <w:spacing w:after="0" w:line="480" w:lineRule="auto"/>
        <w:jc w:val="both"/>
        <w:rPr>
          <w:rFonts w:ascii="Times New Roman" w:hAnsi="Times New Roman" w:cs="Times New Roman"/>
          <w:b/>
          <w:sz w:val="24"/>
          <w:szCs w:val="24"/>
        </w:rPr>
      </w:pPr>
      <w:r w:rsidRPr="00A72154">
        <w:rPr>
          <w:rFonts w:ascii="Times New Roman" w:hAnsi="Times New Roman" w:cs="Times New Roman"/>
          <w:sz w:val="24"/>
          <w:szCs w:val="24"/>
        </w:rPr>
        <w:t>In addition, the presence of nitrophenols was investigated (only with Pony Lake NOM) since their formation has been observed previously (as mentioned in the Introduction), due to the reaction of phenol with UV photolysis intermediates of NO</w:t>
      </w:r>
      <w:r w:rsidRPr="00A72154">
        <w:rPr>
          <w:rFonts w:ascii="Times New Roman" w:hAnsi="Times New Roman" w:cs="Times New Roman"/>
          <w:sz w:val="24"/>
          <w:szCs w:val="24"/>
          <w:vertAlign w:val="subscript"/>
        </w:rPr>
        <w:t>3</w:t>
      </w:r>
      <w:r w:rsidRPr="00A72154">
        <w:rPr>
          <w:rFonts w:ascii="Times New Roman" w:hAnsi="Times New Roman" w:cs="Times New Roman"/>
          <w:sz w:val="24"/>
          <w:szCs w:val="24"/>
        </w:rPr>
        <w:t>. Martijn et al. (2014)</w:t>
      </w:r>
      <w:r w:rsidRPr="00A72154">
        <w:rPr>
          <w:rFonts w:ascii="Times New Roman" w:hAnsi="Times New Roman" w:cs="Times New Roman"/>
          <w:sz w:val="24"/>
          <w:szCs w:val="24"/>
          <w:vertAlign w:val="superscript"/>
        </w:rPr>
        <w:t>17</w:t>
      </w:r>
      <w:r w:rsidRPr="00A72154">
        <w:rPr>
          <w:rFonts w:ascii="Times New Roman" w:hAnsi="Times New Roman" w:cs="Times New Roman"/>
          <w:sz w:val="24"/>
          <w:szCs w:val="24"/>
        </w:rPr>
        <w:t xml:space="preserve"> used Pony Lake NOM in the presence and absence of nitrate, hypothesizing the Ames response was caused by the incorporation of inorganic nitrogen into the organic matrix by MP-UV and MP-</w:t>
      </w:r>
      <w:r w:rsidRPr="00A72154">
        <w:rPr>
          <w:rFonts w:ascii="Times New Roman" w:hAnsi="Times New Roman" w:cs="Times New Roman"/>
          <w:sz w:val="24"/>
          <w:szCs w:val="24"/>
        </w:rPr>
        <w:lastRenderedPageBreak/>
        <w:t>UV/H</w:t>
      </w:r>
      <w:r w:rsidRPr="00A72154">
        <w:rPr>
          <w:rFonts w:ascii="Times New Roman" w:hAnsi="Times New Roman" w:cs="Times New Roman"/>
          <w:sz w:val="24"/>
          <w:szCs w:val="24"/>
          <w:vertAlign w:val="subscript"/>
        </w:rPr>
        <w:t>2</w:t>
      </w:r>
      <w:r w:rsidRPr="00A72154">
        <w:rPr>
          <w:rFonts w:ascii="Times New Roman" w:hAnsi="Times New Roman" w:cs="Times New Roman"/>
          <w:sz w:val="24"/>
          <w:szCs w:val="24"/>
        </w:rPr>
        <w:t>O</w:t>
      </w:r>
      <w:r w:rsidRPr="00A72154">
        <w:rPr>
          <w:rFonts w:ascii="Times New Roman" w:hAnsi="Times New Roman" w:cs="Times New Roman"/>
          <w:sz w:val="24"/>
          <w:szCs w:val="24"/>
          <w:vertAlign w:val="subscript"/>
        </w:rPr>
        <w:t>2</w:t>
      </w:r>
      <w:r w:rsidRPr="00A72154">
        <w:rPr>
          <w:rFonts w:ascii="Times New Roman" w:hAnsi="Times New Roman" w:cs="Times New Roman"/>
          <w:sz w:val="24"/>
          <w:szCs w:val="24"/>
        </w:rPr>
        <w:t xml:space="preserve"> treatment, and</w:t>
      </w:r>
      <w:r>
        <w:rPr>
          <w:rFonts w:ascii="Times New Roman" w:hAnsi="Times New Roman" w:cs="Times New Roman"/>
          <w:sz w:val="24"/>
          <w:szCs w:val="24"/>
        </w:rPr>
        <w:t xml:space="preserve"> </w:t>
      </w:r>
      <w:r w:rsidRPr="00A72154">
        <w:rPr>
          <w:rFonts w:ascii="Times New Roman" w:hAnsi="Times New Roman" w:cs="Times New Roman"/>
          <w:sz w:val="24"/>
          <w:szCs w:val="24"/>
        </w:rPr>
        <w:t>subsequently observed the formation of nitrophenols by MP-UV photolysis when phenol was used as a model compound for NOM. Therefore, it was considered worthwhile to investigate any nitrophenol formation in the tests in this study stemming from reactions in the NOM-NO</w:t>
      </w:r>
      <w:r w:rsidRPr="00A72154">
        <w:rPr>
          <w:rFonts w:ascii="Times New Roman" w:hAnsi="Times New Roman" w:cs="Times New Roman"/>
          <w:sz w:val="24"/>
          <w:szCs w:val="24"/>
          <w:vertAlign w:val="subscript"/>
        </w:rPr>
        <w:t>3</w:t>
      </w:r>
      <w:r w:rsidRPr="00A72154">
        <w:rPr>
          <w:rFonts w:ascii="Times New Roman" w:hAnsi="Times New Roman" w:cs="Times New Roman"/>
          <w:sz w:val="24"/>
          <w:szCs w:val="24"/>
        </w:rPr>
        <w:t xml:space="preserve"> system, induced by LP-UV photolysis (i.e. 254 nm). </w:t>
      </w:r>
    </w:p>
    <w:p w14:paraId="6A8F7E6C" w14:textId="1EC180D9" w:rsidR="00F5706E" w:rsidRPr="00A72154" w:rsidRDefault="00A72154" w:rsidP="00A72154">
      <w:pPr>
        <w:spacing w:after="0" w:line="480" w:lineRule="auto"/>
        <w:jc w:val="both"/>
        <w:rPr>
          <w:rFonts w:ascii="Times New Roman" w:hAnsi="Times New Roman" w:cs="Times New Roman"/>
          <w:sz w:val="24"/>
          <w:szCs w:val="24"/>
        </w:rPr>
      </w:pPr>
      <w:r w:rsidRPr="00A72154">
        <w:rPr>
          <w:rFonts w:ascii="Times New Roman" w:hAnsi="Times New Roman" w:cs="Times New Roman"/>
          <w:sz w:val="24"/>
          <w:szCs w:val="24"/>
        </w:rPr>
        <w:t xml:space="preserve">The LC-MS/MS method was used to analyse for the following nitrophenols: 2-nitrophenol, 4-nitrophenol and a combination of both. All samples yielded trace amounts of mono-nitrophenol (0.014-0.046 </w:t>
      </w:r>
      <w:r w:rsidRPr="00A72154">
        <w:rPr>
          <w:rFonts w:ascii="Times New Roman" w:hAnsi="Times New Roman" w:cs="Times New Roman"/>
          <w:sz w:val="24"/>
          <w:szCs w:val="24"/>
          <w:lang w:val="el-GR"/>
        </w:rPr>
        <w:t>μ</w:t>
      </w:r>
      <w:r w:rsidRPr="00A72154">
        <w:rPr>
          <w:rFonts w:ascii="Times New Roman" w:hAnsi="Times New Roman" w:cs="Times New Roman"/>
          <w:sz w:val="24"/>
          <w:szCs w:val="24"/>
        </w:rPr>
        <w:t xml:space="preserve">g/L), without the possibility to distinguish between 2-nitrophenol and 4-nitrophenol, since the analytical method used only determines the total mono-nitrophenol concentration. The experiments were performed in duplicate and the results are shown in Figure 3. With no UV irradiation, 0.01 </w:t>
      </w:r>
      <w:r w:rsidRPr="00A72154">
        <w:rPr>
          <w:rFonts w:ascii="Times New Roman" w:hAnsi="Times New Roman" w:cs="Times New Roman"/>
          <w:sz w:val="24"/>
          <w:szCs w:val="24"/>
          <w:lang w:val="el-GR"/>
        </w:rPr>
        <w:t>μ</w:t>
      </w:r>
      <w:r w:rsidRPr="00A72154">
        <w:rPr>
          <w:rFonts w:ascii="Times New Roman" w:hAnsi="Times New Roman" w:cs="Times New Roman"/>
          <w:sz w:val="24"/>
          <w:szCs w:val="24"/>
        </w:rPr>
        <w:t xml:space="preserve">g/L of nitrophenol was found, which was very close to the detection limit (0.007 </w:t>
      </w:r>
      <w:r w:rsidRPr="00A72154">
        <w:rPr>
          <w:rFonts w:ascii="Times New Roman" w:hAnsi="Times New Roman" w:cs="Times New Roman"/>
          <w:sz w:val="24"/>
          <w:szCs w:val="24"/>
          <w:lang w:val="el-GR"/>
        </w:rPr>
        <w:t>μ</w:t>
      </w:r>
      <w:r w:rsidRPr="00A72154">
        <w:rPr>
          <w:rFonts w:ascii="Times New Roman" w:hAnsi="Times New Roman" w:cs="Times New Roman"/>
          <w:sz w:val="24"/>
          <w:szCs w:val="24"/>
        </w:rPr>
        <w:t xml:space="preserve">g/L) and lower than the quantitation limit (0.02 </w:t>
      </w:r>
      <w:r w:rsidRPr="00A72154">
        <w:rPr>
          <w:rFonts w:ascii="Times New Roman" w:hAnsi="Times New Roman" w:cs="Times New Roman"/>
          <w:sz w:val="24"/>
          <w:szCs w:val="24"/>
          <w:lang w:val="el-GR"/>
        </w:rPr>
        <w:t>μ</w:t>
      </w:r>
      <w:r w:rsidRPr="00A72154">
        <w:rPr>
          <w:rFonts w:ascii="Times New Roman" w:hAnsi="Times New Roman" w:cs="Times New Roman"/>
          <w:sz w:val="24"/>
          <w:szCs w:val="24"/>
        </w:rPr>
        <w:t>g/L). For the two UV/H</w:t>
      </w:r>
      <w:r w:rsidRPr="00A72154">
        <w:rPr>
          <w:rFonts w:ascii="Times New Roman" w:hAnsi="Times New Roman" w:cs="Times New Roman"/>
          <w:sz w:val="24"/>
          <w:szCs w:val="24"/>
          <w:vertAlign w:val="subscript"/>
        </w:rPr>
        <w:t>2</w:t>
      </w:r>
      <w:r w:rsidRPr="00A72154">
        <w:rPr>
          <w:rFonts w:ascii="Times New Roman" w:hAnsi="Times New Roman" w:cs="Times New Roman"/>
          <w:sz w:val="24"/>
          <w:szCs w:val="24"/>
        </w:rPr>
        <w:t>O</w:t>
      </w:r>
      <w:r w:rsidRPr="00A72154">
        <w:rPr>
          <w:rFonts w:ascii="Times New Roman" w:hAnsi="Times New Roman" w:cs="Times New Roman"/>
          <w:sz w:val="24"/>
          <w:szCs w:val="24"/>
          <w:vertAlign w:val="subscript"/>
        </w:rPr>
        <w:t>2</w:t>
      </w:r>
      <w:r w:rsidRPr="00A72154">
        <w:rPr>
          <w:rFonts w:ascii="Times New Roman" w:hAnsi="Times New Roman" w:cs="Times New Roman"/>
          <w:sz w:val="24"/>
          <w:szCs w:val="24"/>
        </w:rPr>
        <w:t xml:space="preserve"> combinations, a significant nitrophenol concentration (~0.04 </w:t>
      </w:r>
      <w:r w:rsidRPr="00A72154">
        <w:rPr>
          <w:rFonts w:ascii="Times New Roman" w:hAnsi="Times New Roman" w:cs="Times New Roman"/>
          <w:sz w:val="24"/>
          <w:szCs w:val="24"/>
          <w:lang w:val="el-GR"/>
        </w:rPr>
        <w:t>μ</w:t>
      </w:r>
      <w:r w:rsidRPr="00A72154">
        <w:rPr>
          <w:rFonts w:ascii="Times New Roman" w:hAnsi="Times New Roman" w:cs="Times New Roman"/>
          <w:sz w:val="24"/>
          <w:szCs w:val="24"/>
        </w:rPr>
        <w:t>g/L) above the quantitation limit was observed.</w:t>
      </w:r>
    </w:p>
    <w:p w14:paraId="11D7C32A" w14:textId="60C4F11B" w:rsidR="00D84F73" w:rsidRPr="00D84F73" w:rsidRDefault="00D84F73" w:rsidP="00D84F73">
      <w:pPr>
        <w:spacing w:after="0" w:line="480" w:lineRule="auto"/>
        <w:jc w:val="both"/>
        <w:rPr>
          <w:rFonts w:ascii="Times New Roman" w:hAnsi="Times New Roman" w:cs="Times New Roman"/>
          <w:sz w:val="24"/>
          <w:szCs w:val="24"/>
        </w:rPr>
      </w:pPr>
      <w:r w:rsidRPr="00D84F73">
        <w:rPr>
          <w:rFonts w:ascii="Times New Roman" w:hAnsi="Times New Roman" w:cs="Times New Roman"/>
          <w:sz w:val="24"/>
          <w:szCs w:val="24"/>
        </w:rPr>
        <w:t>Nitrophenol production is expected since phenolic groups are one of the aromatic structures present either in the NOM or from the degradation products of NOM molecules by oxidation. The results agree with Kolkman et al. (2015)</w:t>
      </w:r>
      <w:r w:rsidRPr="00D84F73">
        <w:rPr>
          <w:rFonts w:ascii="Times New Roman" w:hAnsi="Times New Roman" w:cs="Times New Roman"/>
          <w:sz w:val="24"/>
          <w:szCs w:val="24"/>
          <w:vertAlign w:val="superscript"/>
        </w:rPr>
        <w:t>20</w:t>
      </w:r>
      <w:r w:rsidRPr="00D84F73">
        <w:rPr>
          <w:rFonts w:ascii="Times New Roman" w:hAnsi="Times New Roman" w:cs="Times New Roman"/>
          <w:sz w:val="24"/>
          <w:szCs w:val="24"/>
        </w:rPr>
        <w:t xml:space="preserve"> who found a variety of nitrogen-containing compounds, including 4-nitrophenol, when MP-UV photolysis was applied in samples with Pony Lake NOM, as well as in full-scale water samples treated with MP-UV/H</w:t>
      </w:r>
      <w:r w:rsidRPr="00D84F73">
        <w:rPr>
          <w:rFonts w:ascii="Times New Roman" w:hAnsi="Times New Roman" w:cs="Times New Roman"/>
          <w:sz w:val="24"/>
          <w:szCs w:val="24"/>
          <w:vertAlign w:val="subscript"/>
        </w:rPr>
        <w:t>2</w:t>
      </w:r>
      <w:r w:rsidRPr="00D84F73">
        <w:rPr>
          <w:rFonts w:ascii="Times New Roman" w:hAnsi="Times New Roman" w:cs="Times New Roman"/>
          <w:sz w:val="24"/>
          <w:szCs w:val="24"/>
        </w:rPr>
        <w:t>O</w:t>
      </w:r>
      <w:r w:rsidRPr="00D84F73">
        <w:rPr>
          <w:rFonts w:ascii="Times New Roman" w:hAnsi="Times New Roman" w:cs="Times New Roman"/>
          <w:sz w:val="24"/>
          <w:szCs w:val="24"/>
          <w:vertAlign w:val="subscript"/>
        </w:rPr>
        <w:t>2</w:t>
      </w:r>
      <w:r w:rsidRPr="00D84F73">
        <w:rPr>
          <w:rFonts w:ascii="Times New Roman" w:hAnsi="Times New Roman" w:cs="Times New Roman"/>
          <w:sz w:val="24"/>
          <w:szCs w:val="24"/>
        </w:rPr>
        <w:t>. The two phenols detected, 2- and 4-nitrophenol, were also found by Martijn et al. (2014)</w:t>
      </w:r>
      <w:r w:rsidRPr="00D84F73">
        <w:rPr>
          <w:rFonts w:ascii="Times New Roman" w:hAnsi="Times New Roman" w:cs="Times New Roman"/>
          <w:sz w:val="24"/>
          <w:szCs w:val="24"/>
          <w:vertAlign w:val="superscript"/>
        </w:rPr>
        <w:t>17</w:t>
      </w:r>
      <w:r w:rsidRPr="00D84F73">
        <w:rPr>
          <w:rFonts w:ascii="Times New Roman" w:hAnsi="Times New Roman" w:cs="Times New Roman"/>
          <w:sz w:val="24"/>
          <w:szCs w:val="24"/>
        </w:rPr>
        <w:t xml:space="preserve"> along with 4-nitrocatechol, when irradiating samples containing phenol and NO</w:t>
      </w:r>
      <w:r w:rsidRPr="00D84F73">
        <w:rPr>
          <w:rFonts w:ascii="Times New Roman" w:hAnsi="Times New Roman" w:cs="Times New Roman"/>
          <w:sz w:val="24"/>
          <w:szCs w:val="24"/>
          <w:vertAlign w:val="subscript"/>
        </w:rPr>
        <w:t>3</w:t>
      </w:r>
      <w:r w:rsidRPr="00D84F73">
        <w:rPr>
          <w:rFonts w:ascii="Times New Roman" w:hAnsi="Times New Roman" w:cs="Times New Roman"/>
          <w:sz w:val="24"/>
          <w:szCs w:val="24"/>
        </w:rPr>
        <w:t xml:space="preserve"> with a MP lamp. In our experiments with the LP lamp, a significant concentration of nitrophenol was found for both UV fluences (i.e. 1500 and 2000 mJ/cm</w:t>
      </w:r>
      <w:r w:rsidRPr="00D84F73">
        <w:rPr>
          <w:rFonts w:ascii="Times New Roman" w:hAnsi="Times New Roman" w:cs="Times New Roman"/>
          <w:sz w:val="24"/>
          <w:szCs w:val="24"/>
          <w:vertAlign w:val="superscript"/>
        </w:rPr>
        <w:t>2</w:t>
      </w:r>
      <w:r w:rsidRPr="00D84F73">
        <w:rPr>
          <w:rFonts w:ascii="Times New Roman" w:hAnsi="Times New Roman" w:cs="Times New Roman"/>
          <w:sz w:val="24"/>
          <w:szCs w:val="24"/>
        </w:rPr>
        <w:t>). The measured nitrophenol concentration was less for the 2000 mJ/cm</w:t>
      </w:r>
      <w:r w:rsidRPr="00D84F73">
        <w:rPr>
          <w:rFonts w:ascii="Times New Roman" w:hAnsi="Times New Roman" w:cs="Times New Roman"/>
          <w:sz w:val="24"/>
          <w:szCs w:val="24"/>
          <w:vertAlign w:val="superscript"/>
        </w:rPr>
        <w:t>2</w:t>
      </w:r>
      <w:r w:rsidRPr="00D84F73">
        <w:rPr>
          <w:rFonts w:ascii="Times New Roman" w:hAnsi="Times New Roman" w:cs="Times New Roman"/>
          <w:sz w:val="24"/>
          <w:szCs w:val="24"/>
        </w:rPr>
        <w:t xml:space="preserve"> than for the 1500 mJ/cm</w:t>
      </w:r>
      <w:r w:rsidRPr="00D84F73">
        <w:rPr>
          <w:rFonts w:ascii="Times New Roman" w:hAnsi="Times New Roman" w:cs="Times New Roman"/>
          <w:sz w:val="24"/>
          <w:szCs w:val="24"/>
          <w:vertAlign w:val="superscript"/>
        </w:rPr>
        <w:t xml:space="preserve">2 </w:t>
      </w:r>
      <w:r w:rsidRPr="00D84F73">
        <w:rPr>
          <w:rFonts w:ascii="Times New Roman" w:hAnsi="Times New Roman" w:cs="Times New Roman"/>
          <w:sz w:val="24"/>
          <w:szCs w:val="24"/>
        </w:rPr>
        <w:t>fluence</w:t>
      </w:r>
      <w:r w:rsidRPr="00D84F73">
        <w:rPr>
          <w:rFonts w:ascii="Times New Roman" w:hAnsi="Times New Roman" w:cs="Times New Roman"/>
          <w:sz w:val="24"/>
          <w:szCs w:val="24"/>
          <w:vertAlign w:val="superscript"/>
        </w:rPr>
        <w:t xml:space="preserve"> </w:t>
      </w:r>
      <w:r w:rsidRPr="00D84F73">
        <w:rPr>
          <w:rFonts w:ascii="Times New Roman" w:hAnsi="Times New Roman" w:cs="Times New Roman"/>
          <w:sz w:val="24"/>
          <w:szCs w:val="24"/>
        </w:rPr>
        <w:t xml:space="preserve">(0.037 and 0.046 </w:t>
      </w:r>
      <w:r w:rsidRPr="00D84F73">
        <w:rPr>
          <w:rFonts w:ascii="Times New Roman" w:hAnsi="Times New Roman" w:cs="Times New Roman"/>
          <w:sz w:val="24"/>
          <w:szCs w:val="24"/>
          <w:lang w:val="el-GR"/>
        </w:rPr>
        <w:t>μ</w:t>
      </w:r>
      <w:r w:rsidRPr="00D84F73">
        <w:rPr>
          <w:rFonts w:ascii="Times New Roman" w:hAnsi="Times New Roman" w:cs="Times New Roman"/>
          <w:sz w:val="24"/>
          <w:szCs w:val="24"/>
        </w:rPr>
        <w:t>g/L, respectively), although the difference was not statistically significant (Figure 3). This finding agrees with Martijn et al. (2014)</w:t>
      </w:r>
      <w:r w:rsidRPr="00D84F73">
        <w:rPr>
          <w:rFonts w:ascii="Times New Roman" w:hAnsi="Times New Roman" w:cs="Times New Roman"/>
          <w:sz w:val="24"/>
          <w:szCs w:val="24"/>
          <w:vertAlign w:val="superscript"/>
        </w:rPr>
        <w:t>17</w:t>
      </w:r>
      <w:r w:rsidRPr="00D84F73">
        <w:rPr>
          <w:rFonts w:ascii="Times New Roman" w:hAnsi="Times New Roman" w:cs="Times New Roman"/>
          <w:sz w:val="24"/>
          <w:szCs w:val="24"/>
        </w:rPr>
        <w:t xml:space="preserve"> who showed an initial increase in nitrophenol concentration as a function </w:t>
      </w:r>
      <w:r w:rsidRPr="00D84F73">
        <w:rPr>
          <w:rFonts w:ascii="Times New Roman" w:hAnsi="Times New Roman" w:cs="Times New Roman"/>
          <w:sz w:val="24"/>
          <w:szCs w:val="24"/>
        </w:rPr>
        <w:lastRenderedPageBreak/>
        <w:t>of the irradiation time, followed by a decrease at longer irradiation times, attributed to oxidation of the previously produced nitrophenols.</w:t>
      </w:r>
    </w:p>
    <w:p w14:paraId="1D66E446" w14:textId="77777777" w:rsidR="00D84F73" w:rsidRPr="00D84F73" w:rsidRDefault="00D84F73" w:rsidP="00D84F73">
      <w:pPr>
        <w:spacing w:after="0" w:line="480" w:lineRule="auto"/>
        <w:jc w:val="both"/>
        <w:rPr>
          <w:rFonts w:ascii="Times New Roman" w:hAnsi="Times New Roman" w:cs="Times New Roman"/>
          <w:b/>
          <w:sz w:val="24"/>
          <w:szCs w:val="24"/>
        </w:rPr>
      </w:pPr>
      <w:r w:rsidRPr="00D84F73">
        <w:rPr>
          <w:rFonts w:ascii="Times New Roman" w:hAnsi="Times New Roman" w:cs="Times New Roman"/>
          <w:b/>
          <w:sz w:val="24"/>
          <w:szCs w:val="24"/>
        </w:rPr>
        <w:t>Ames II assay of full-scale water samples</w:t>
      </w:r>
    </w:p>
    <w:p w14:paraId="0F5005E2" w14:textId="77777777" w:rsidR="00D84F73" w:rsidRPr="00D84F73" w:rsidRDefault="00D84F73" w:rsidP="00D84F73">
      <w:pPr>
        <w:spacing w:after="0" w:line="480" w:lineRule="auto"/>
        <w:jc w:val="both"/>
        <w:rPr>
          <w:rFonts w:ascii="Times New Roman" w:hAnsi="Times New Roman" w:cs="Times New Roman"/>
          <w:b/>
          <w:sz w:val="24"/>
          <w:szCs w:val="24"/>
        </w:rPr>
      </w:pPr>
      <w:r w:rsidRPr="00D84F73">
        <w:rPr>
          <w:rFonts w:ascii="Times New Roman" w:hAnsi="Times New Roman" w:cs="Times New Roman"/>
          <w:sz w:val="24"/>
          <w:szCs w:val="24"/>
        </w:rPr>
        <w:t>Samples collected from the UK drinking water treatment plant after various treatment steps on two days in different months (sampling (a) was in February and sampling (b) in April) were also analysed with the Ames II assay. On both sampling days, duplicate samples were collected. The water quality and operational parameters, relevant for the LP-UV/H</w:t>
      </w:r>
      <w:r w:rsidRPr="00D84F73">
        <w:rPr>
          <w:rFonts w:ascii="Times New Roman" w:hAnsi="Times New Roman" w:cs="Times New Roman"/>
          <w:sz w:val="24"/>
          <w:szCs w:val="24"/>
          <w:vertAlign w:val="subscript"/>
        </w:rPr>
        <w:t>2</w:t>
      </w:r>
      <w:r w:rsidRPr="00D84F73">
        <w:rPr>
          <w:rFonts w:ascii="Times New Roman" w:hAnsi="Times New Roman" w:cs="Times New Roman"/>
          <w:sz w:val="24"/>
          <w:szCs w:val="24"/>
        </w:rPr>
        <w:t>O</w:t>
      </w:r>
      <w:r w:rsidRPr="00D84F73">
        <w:rPr>
          <w:rFonts w:ascii="Times New Roman" w:hAnsi="Times New Roman" w:cs="Times New Roman"/>
          <w:sz w:val="24"/>
          <w:szCs w:val="24"/>
          <w:vertAlign w:val="subscript"/>
        </w:rPr>
        <w:t xml:space="preserve">2 </w:t>
      </w:r>
      <w:r w:rsidRPr="00D84F73">
        <w:rPr>
          <w:rFonts w:ascii="Times New Roman" w:hAnsi="Times New Roman" w:cs="Times New Roman"/>
          <w:sz w:val="24"/>
          <w:szCs w:val="24"/>
        </w:rPr>
        <w:t>treatment of the WTW, for the two samplings are given in Table 1.</w:t>
      </w:r>
    </w:p>
    <w:p w14:paraId="0BFE6846"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Cs/>
          <w:sz w:val="24"/>
          <w:szCs w:val="24"/>
        </w:rPr>
        <w:t>The number of positive wells from the Ames II assay for the water treatment works samples are shown in Figure 4. Sampling (a) showed a small but significant decrease in Ames II assay response as the water passed through the AOP step. However, in sampling (b) (when the inlet water was also analysed) the number of positive wells significantly decreased from the inlet to the pre-AOP step (the submerged ultrafiltration), but remained unchanged for the AOP step and significantly increased after passing the GAC filters. Although all samples produced low levels of positive wells compared to the positive control, the two sampling sets differed significantly for the pre-AOP and post-AOP steps, indicating that the Ames II assay response was indeed influenced by the different water characteristics and/or treatment conditions of the two periods.</w:t>
      </w:r>
    </w:p>
    <w:p w14:paraId="0A27607A"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Cs/>
          <w:sz w:val="24"/>
          <w:szCs w:val="24"/>
        </w:rPr>
        <w:t xml:space="preserve">The increased response after the post-GAC filtration found during the second sampling could be attributed to either: a) toxic chemical compound formation on the GAC filter via biological activity, or b) pathogen colonization of the GAC filter, e.g. by </w:t>
      </w:r>
      <w:r w:rsidRPr="00D84F73">
        <w:rPr>
          <w:rFonts w:ascii="Times New Roman" w:hAnsi="Times New Roman" w:cs="Times New Roman"/>
          <w:bCs/>
          <w:i/>
          <w:sz w:val="24"/>
          <w:szCs w:val="24"/>
        </w:rPr>
        <w:t>Salmonella bacterium</w:t>
      </w:r>
      <w:r w:rsidRPr="00D84F73">
        <w:rPr>
          <w:rFonts w:ascii="Times New Roman" w:hAnsi="Times New Roman" w:cs="Times New Roman"/>
          <w:bCs/>
          <w:sz w:val="24"/>
          <w:szCs w:val="24"/>
        </w:rPr>
        <w:t>, both of which would induce</w:t>
      </w:r>
      <w:r>
        <w:rPr>
          <w:rFonts w:ascii="Times New Roman" w:hAnsi="Times New Roman" w:cs="Times New Roman"/>
          <w:bCs/>
          <w:sz w:val="24"/>
          <w:szCs w:val="24"/>
        </w:rPr>
        <w:t xml:space="preserve"> </w:t>
      </w:r>
      <w:r w:rsidRPr="00D84F73">
        <w:rPr>
          <w:rFonts w:ascii="Times New Roman" w:hAnsi="Times New Roman" w:cs="Times New Roman"/>
          <w:bCs/>
          <w:sz w:val="24"/>
          <w:szCs w:val="24"/>
        </w:rPr>
        <w:t xml:space="preserve">undesired biological activity on the GAC filters. Regarding the first factor, examples of microbiologically assisted processes like methylation of mercury, hydroxylamine formation, pesticide-related molecule conversion to toxic metabolites, nitrosamine formation with nitrite as a precursor and co-metabolism of refractory compounds, have been observed in </w:t>
      </w:r>
      <w:r w:rsidRPr="00D84F73">
        <w:rPr>
          <w:rFonts w:ascii="Times New Roman" w:hAnsi="Times New Roman" w:cs="Times New Roman"/>
          <w:bCs/>
          <w:sz w:val="24"/>
          <w:szCs w:val="24"/>
        </w:rPr>
        <w:lastRenderedPageBreak/>
        <w:t>laboratory models or natural water bodies. Nevertheless, for drinking water treatment production, the possibility of bio-degradation by-products has been demonstrated only after O</w:t>
      </w:r>
      <w:r w:rsidRPr="00D84F73">
        <w:rPr>
          <w:rFonts w:ascii="Times New Roman" w:hAnsi="Times New Roman" w:cs="Times New Roman"/>
          <w:bCs/>
          <w:sz w:val="24"/>
          <w:szCs w:val="24"/>
          <w:vertAlign w:val="subscript"/>
        </w:rPr>
        <w:t>3</w:t>
      </w:r>
      <w:r w:rsidRPr="00D84F73">
        <w:rPr>
          <w:rFonts w:ascii="Times New Roman" w:hAnsi="Times New Roman" w:cs="Times New Roman"/>
          <w:bCs/>
          <w:sz w:val="24"/>
          <w:szCs w:val="24"/>
        </w:rPr>
        <w:t>-BAC</w:t>
      </w:r>
      <w:r>
        <w:rPr>
          <w:rFonts w:ascii="Times New Roman" w:hAnsi="Times New Roman" w:cs="Times New Roman"/>
          <w:bCs/>
          <w:sz w:val="24"/>
          <w:szCs w:val="24"/>
        </w:rPr>
        <w:t xml:space="preserve"> </w:t>
      </w:r>
      <w:r w:rsidRPr="00D84F73">
        <w:rPr>
          <w:rFonts w:ascii="Times New Roman" w:hAnsi="Times New Roman" w:cs="Times New Roman"/>
          <w:bCs/>
          <w:sz w:val="24"/>
          <w:szCs w:val="24"/>
        </w:rPr>
        <w:t>treatment</w:t>
      </w:r>
      <w:r w:rsidRPr="00D84F73">
        <w:rPr>
          <w:rFonts w:ascii="Times New Roman" w:hAnsi="Times New Roman" w:cs="Times New Roman"/>
          <w:bCs/>
          <w:sz w:val="24"/>
          <w:szCs w:val="24"/>
          <w:vertAlign w:val="superscript"/>
        </w:rPr>
        <w:t>49</w:t>
      </w:r>
      <w:r w:rsidRPr="00D84F73">
        <w:rPr>
          <w:rFonts w:ascii="Times New Roman" w:hAnsi="Times New Roman" w:cs="Times New Roman"/>
          <w:bCs/>
          <w:sz w:val="24"/>
          <w:szCs w:val="24"/>
        </w:rPr>
        <w:t xml:space="preserve">. Regarding the second factor, according to </w:t>
      </w:r>
      <w:bookmarkStart w:id="8" w:name="_Hlk502765856"/>
      <w:r w:rsidRPr="00D84F73">
        <w:rPr>
          <w:rFonts w:ascii="Times New Roman" w:hAnsi="Times New Roman" w:cs="Times New Roman"/>
          <w:bCs/>
          <w:sz w:val="24"/>
          <w:szCs w:val="24"/>
        </w:rPr>
        <w:t>Camper et al.</w:t>
      </w:r>
      <w:r w:rsidRPr="00D84F73">
        <w:rPr>
          <w:rFonts w:ascii="Times New Roman" w:hAnsi="Times New Roman" w:cs="Times New Roman"/>
          <w:bCs/>
          <w:sz w:val="24"/>
          <w:szCs w:val="24"/>
          <w:vertAlign w:val="superscript"/>
        </w:rPr>
        <w:t>50</w:t>
      </w:r>
      <w:r w:rsidRPr="00D84F73">
        <w:rPr>
          <w:rFonts w:ascii="Times New Roman" w:hAnsi="Times New Roman" w:cs="Times New Roman"/>
          <w:bCs/>
          <w:sz w:val="24"/>
          <w:szCs w:val="24"/>
        </w:rPr>
        <w:t xml:space="preserve">, </w:t>
      </w:r>
      <w:bookmarkEnd w:id="8"/>
      <w:r w:rsidRPr="00D84F73">
        <w:rPr>
          <w:rFonts w:ascii="Times New Roman" w:hAnsi="Times New Roman" w:cs="Times New Roman"/>
          <w:bCs/>
          <w:sz w:val="24"/>
          <w:szCs w:val="24"/>
        </w:rPr>
        <w:t xml:space="preserve">pathogens such as </w:t>
      </w:r>
      <w:r w:rsidRPr="00D84F73">
        <w:rPr>
          <w:rFonts w:ascii="Times New Roman" w:hAnsi="Times New Roman" w:cs="Times New Roman"/>
          <w:bCs/>
          <w:i/>
          <w:sz w:val="24"/>
          <w:szCs w:val="24"/>
        </w:rPr>
        <w:t>Salmonella</w:t>
      </w:r>
      <w:r w:rsidRPr="00D84F73">
        <w:rPr>
          <w:rFonts w:ascii="Times New Roman" w:hAnsi="Times New Roman" w:cs="Times New Roman"/>
          <w:bCs/>
          <w:sz w:val="24"/>
          <w:szCs w:val="24"/>
        </w:rPr>
        <w:t xml:space="preserve"> can colonize and persist in the carbon bed, especially on virgin GAC filters. The presence of </w:t>
      </w:r>
      <w:r w:rsidRPr="00D84F73">
        <w:rPr>
          <w:rFonts w:ascii="Times New Roman" w:hAnsi="Times New Roman" w:cs="Times New Roman"/>
          <w:bCs/>
          <w:i/>
          <w:sz w:val="24"/>
          <w:szCs w:val="24"/>
        </w:rPr>
        <w:t>Salmonella</w:t>
      </w:r>
      <w:r w:rsidRPr="00D84F73">
        <w:rPr>
          <w:rFonts w:ascii="Times New Roman" w:hAnsi="Times New Roman" w:cs="Times New Roman"/>
          <w:bCs/>
          <w:sz w:val="24"/>
          <w:szCs w:val="24"/>
        </w:rPr>
        <w:t xml:space="preserve"> could increase the response of the Ames test, which makes use of strains of the bacterium </w:t>
      </w:r>
      <w:r w:rsidRPr="00D84F73">
        <w:rPr>
          <w:rFonts w:ascii="Times New Roman" w:hAnsi="Times New Roman" w:cs="Times New Roman"/>
          <w:bCs/>
          <w:i/>
          <w:sz w:val="24"/>
          <w:szCs w:val="24"/>
        </w:rPr>
        <w:t>Salmonella typhimurium</w:t>
      </w:r>
      <w:r w:rsidRPr="00D84F73">
        <w:rPr>
          <w:rFonts w:ascii="Times New Roman" w:hAnsi="Times New Roman" w:cs="Times New Roman"/>
          <w:bCs/>
          <w:sz w:val="24"/>
          <w:szCs w:val="24"/>
        </w:rPr>
        <w:t xml:space="preserve">, giving a false positive. The likelihood, though, of this speculation is also very low since the water samples would have a reduced microbial load by having been enriched by the SPE method as well as having been subjected to high UV fluences before entering the GAC filters. The most probable explanation is an experimental error during the second sampling.  </w:t>
      </w:r>
    </w:p>
    <w:p w14:paraId="23ACD1F2" w14:textId="77777777" w:rsidR="00D84F73" w:rsidRPr="00D84F73" w:rsidRDefault="00D84F73" w:rsidP="00D84F73">
      <w:pPr>
        <w:spacing w:after="0" w:line="480" w:lineRule="auto"/>
        <w:jc w:val="both"/>
        <w:rPr>
          <w:rFonts w:ascii="Times New Roman" w:hAnsi="Times New Roman" w:cs="Times New Roman"/>
          <w:b/>
          <w:bCs/>
          <w:sz w:val="24"/>
          <w:szCs w:val="24"/>
          <w:lang w:val="en-US"/>
        </w:rPr>
      </w:pPr>
      <w:r w:rsidRPr="00D84F73">
        <w:rPr>
          <w:rFonts w:ascii="Times New Roman" w:hAnsi="Times New Roman" w:cs="Times New Roman"/>
          <w:bCs/>
          <w:sz w:val="24"/>
          <w:szCs w:val="24"/>
          <w:lang w:val="en-US"/>
        </w:rPr>
        <w:t xml:space="preserve">Figure 5 depicts the number-fold increases obtained for the WTW samples. All number-fold increases over the solvent control were &lt; 3.0, and all number-fold increases over the baseline value were &lt; 2.0, indicating that none of the SPE extracts of the samples could be identified as mutagenic towards the </w:t>
      </w:r>
      <w:r w:rsidRPr="00D84F73">
        <w:rPr>
          <w:rFonts w:ascii="Times New Roman" w:hAnsi="Times New Roman" w:cs="Times New Roman"/>
          <w:bCs/>
          <w:i/>
          <w:sz w:val="24"/>
          <w:szCs w:val="24"/>
          <w:lang w:val="en-US"/>
        </w:rPr>
        <w:t>Salmonella typhimurium</w:t>
      </w:r>
      <w:r w:rsidRPr="00D84F73">
        <w:rPr>
          <w:rFonts w:ascii="Times New Roman" w:hAnsi="Times New Roman" w:cs="Times New Roman"/>
          <w:bCs/>
          <w:sz w:val="24"/>
          <w:szCs w:val="24"/>
          <w:lang w:val="en-US"/>
        </w:rPr>
        <w:t xml:space="preserve"> strain TA98.</w:t>
      </w:r>
    </w:p>
    <w:p w14:paraId="37FEF3CA" w14:textId="55196B8A"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Cs/>
          <w:sz w:val="24"/>
          <w:szCs w:val="24"/>
        </w:rPr>
        <w:t>In an attempt to explain the differences in the Ames II assay responses between the two samplings (Figure 4), all samples were analysed for nitrite concentrations, and LC-OCD fractionation was performed to assess any changes in the NOM content due to the pre-treatment (up to 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 xml:space="preserve">2 </w:t>
      </w:r>
      <w:r w:rsidRPr="00D84F73">
        <w:rPr>
          <w:rFonts w:ascii="Times New Roman" w:hAnsi="Times New Roman" w:cs="Times New Roman"/>
          <w:bCs/>
          <w:sz w:val="24"/>
          <w:szCs w:val="24"/>
        </w:rPr>
        <w:t>treatment), the 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 xml:space="preserve">2 </w:t>
      </w:r>
      <w:r w:rsidRPr="00D84F73">
        <w:rPr>
          <w:rFonts w:ascii="Times New Roman" w:hAnsi="Times New Roman" w:cs="Times New Roman"/>
          <w:bCs/>
          <w:sz w:val="24"/>
          <w:szCs w:val="24"/>
        </w:rPr>
        <w:t xml:space="preserve">treatment itself and post GAC filtration. The nitrite concentrations for all samples were at the detection limit (0.05 mg/L). The results from the LC-OCD fractionation are given in Figure 6. For both samplings, the decrease in the humics-C and humics-N content through all the treatment stages (inlet, pre-AOP, post-AOP and post-GAC steps) was statistically significant (except for the post-AOP/post-GAC for the humics-N in sampling (a)). Comparison for either humics-C or humics-N content between the two samplings showed that the differences were significant for all the treatment steps except for the </w:t>
      </w:r>
      <w:r w:rsidRPr="00D84F73">
        <w:rPr>
          <w:rFonts w:ascii="Times New Roman" w:hAnsi="Times New Roman" w:cs="Times New Roman"/>
          <w:bCs/>
          <w:sz w:val="24"/>
          <w:szCs w:val="24"/>
        </w:rPr>
        <w:lastRenderedPageBreak/>
        <w:t>GAC filtration step, for the humics-N, suggesting that the NOM composition variations were period-dependent.</w:t>
      </w:r>
    </w:p>
    <w:p w14:paraId="4ADB576C"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Cs/>
          <w:sz w:val="24"/>
          <w:szCs w:val="24"/>
        </w:rPr>
        <w:t>The SUVA</w:t>
      </w:r>
      <w:r w:rsidRPr="00D84F73">
        <w:rPr>
          <w:rFonts w:ascii="Times New Roman" w:hAnsi="Times New Roman" w:cs="Times New Roman"/>
          <w:bCs/>
          <w:sz w:val="24"/>
          <w:szCs w:val="24"/>
          <w:vertAlign w:val="subscript"/>
        </w:rPr>
        <w:t xml:space="preserve">254 </w:t>
      </w:r>
      <w:r w:rsidRPr="00D84F73">
        <w:rPr>
          <w:rFonts w:ascii="Times New Roman" w:hAnsi="Times New Roman" w:cs="Times New Roman"/>
          <w:bCs/>
          <w:sz w:val="24"/>
          <w:szCs w:val="24"/>
        </w:rPr>
        <w:t>values obtained (SUVA</w:t>
      </w:r>
      <w:r w:rsidRPr="00D84F73">
        <w:rPr>
          <w:rFonts w:ascii="Times New Roman" w:hAnsi="Times New Roman" w:cs="Times New Roman"/>
          <w:bCs/>
          <w:sz w:val="24"/>
          <w:szCs w:val="24"/>
          <w:vertAlign w:val="subscript"/>
        </w:rPr>
        <w:t>254</w:t>
      </w:r>
      <w:r w:rsidRPr="00D84F73">
        <w:rPr>
          <w:rFonts w:ascii="Times New Roman" w:hAnsi="Times New Roman" w:cs="Times New Roman"/>
          <w:bCs/>
          <w:sz w:val="24"/>
          <w:szCs w:val="24"/>
        </w:rPr>
        <w:t xml:space="preserve"> &gt; 4 L/m mg) for both samplings (Table 1) suggested that pre-AOP the water contained humic, aromatic and hydrophobic matter with high molecular weight DOM fractions. The SUVA values decreased post-AOP, suggesting that the aromatic compounds present in the water pre-AOP (which comprise a major fraction of the humic content</w:t>
      </w:r>
      <w:r w:rsidRPr="00D84F73">
        <w:rPr>
          <w:rFonts w:ascii="Times New Roman" w:hAnsi="Times New Roman" w:cs="Times New Roman"/>
          <w:bCs/>
          <w:sz w:val="24"/>
          <w:szCs w:val="24"/>
          <w:vertAlign w:val="superscript"/>
        </w:rPr>
        <w:t>51</w:t>
      </w:r>
      <w:r w:rsidRPr="00D84F73">
        <w:rPr>
          <w:rFonts w:ascii="Times New Roman" w:hAnsi="Times New Roman" w:cs="Times New Roman"/>
          <w:bCs/>
          <w:sz w:val="24"/>
          <w:szCs w:val="24"/>
        </w:rPr>
        <w:t>, the NOM fraction most susceptible to photolysis and oxidation via 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underwent degradation to lower molecular weight (LMW) compounds which are more likely to have sustained loss of aromaticity (e.g. loss of cyclicity, conjugated π-system). This hypothesis was supported by the decrease in humic content, as well as by the increase in LMW acids evident from the LC-OCD fractionation (see Figure 6), which were found to be statistically significant pre- and post-AOP for both samplings. Nevertheless, these results only suggest a link between the fate of NOM in the water and the Ames II assay responses obtained, without proving a direct cause and effect relationship.</w:t>
      </w:r>
    </w:p>
    <w:p w14:paraId="5BB5B3E2" w14:textId="77777777" w:rsidR="00D84F73" w:rsidRPr="00D84F73" w:rsidRDefault="00D84F73" w:rsidP="00D84F73">
      <w:pPr>
        <w:spacing w:after="0" w:line="480" w:lineRule="auto"/>
        <w:jc w:val="both"/>
        <w:rPr>
          <w:rFonts w:ascii="Times New Roman" w:hAnsi="Times New Roman" w:cs="Times New Roman"/>
          <w:b/>
          <w:bCs/>
          <w:sz w:val="24"/>
          <w:szCs w:val="24"/>
        </w:rPr>
      </w:pPr>
      <w:bookmarkStart w:id="9" w:name="_Toc489872822"/>
      <w:r w:rsidRPr="00D84F73">
        <w:rPr>
          <w:rFonts w:ascii="Times New Roman" w:hAnsi="Times New Roman" w:cs="Times New Roman"/>
          <w:b/>
          <w:bCs/>
          <w:sz w:val="24"/>
          <w:szCs w:val="24"/>
        </w:rPr>
        <w:t>MP vs LP-based treatment</w:t>
      </w:r>
      <w:bookmarkEnd w:id="9"/>
    </w:p>
    <w:p w14:paraId="64C2C349" w14:textId="77777777" w:rsidR="00D84F73" w:rsidRP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 xml:space="preserve">The findings from the work of </w:t>
      </w:r>
      <w:bookmarkStart w:id="10" w:name="_Hlk502765883"/>
      <w:r w:rsidRPr="00D84F73">
        <w:rPr>
          <w:rFonts w:ascii="Times New Roman" w:hAnsi="Times New Roman" w:cs="Times New Roman"/>
          <w:bCs/>
          <w:sz w:val="24"/>
          <w:szCs w:val="24"/>
        </w:rPr>
        <w:t>Martijn</w:t>
      </w:r>
      <w:r w:rsidRPr="00D84F73">
        <w:rPr>
          <w:rFonts w:ascii="Times New Roman" w:hAnsi="Times New Roman" w:cs="Times New Roman"/>
          <w:bCs/>
          <w:sz w:val="24"/>
          <w:szCs w:val="24"/>
          <w:vertAlign w:val="superscript"/>
        </w:rPr>
        <w:t>52</w:t>
      </w:r>
      <w:r w:rsidRPr="00D84F73">
        <w:rPr>
          <w:rFonts w:ascii="Times New Roman" w:hAnsi="Times New Roman" w:cs="Times New Roman"/>
          <w:bCs/>
          <w:sz w:val="24"/>
          <w:szCs w:val="24"/>
        </w:rPr>
        <w:t xml:space="preserve"> </w:t>
      </w:r>
      <w:bookmarkEnd w:id="10"/>
      <w:r w:rsidRPr="00D84F73">
        <w:rPr>
          <w:rFonts w:ascii="Times New Roman" w:hAnsi="Times New Roman" w:cs="Times New Roman"/>
          <w:bCs/>
          <w:sz w:val="24"/>
          <w:szCs w:val="24"/>
        </w:rPr>
        <w:t>were compared to ours, since the procedure followed for the Ames II assay was identical in both studies and the concentration factor (cf) of the samples from the SPE extraction before the Ames II assay (i.e. 20,000 cf) was also the same for both studies. Martijn</w:t>
      </w:r>
      <w:r w:rsidRPr="00D84F73">
        <w:rPr>
          <w:rFonts w:ascii="Times New Roman" w:hAnsi="Times New Roman" w:cs="Times New Roman"/>
          <w:bCs/>
          <w:sz w:val="24"/>
          <w:szCs w:val="24"/>
          <w:vertAlign w:val="superscript"/>
        </w:rPr>
        <w:t>52</w:t>
      </w:r>
      <w:r w:rsidRPr="00D84F73">
        <w:rPr>
          <w:rFonts w:ascii="Times New Roman" w:hAnsi="Times New Roman" w:cs="Times New Roman"/>
          <w:bCs/>
          <w:sz w:val="24"/>
          <w:szCs w:val="24"/>
        </w:rPr>
        <w:t xml:space="preserve"> measured the Ames II assay response of synthetic water with Pony Lake NOM (2.5 mg C/L) after MP-UV/H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treatment (600 mJ/cm</w:t>
      </w:r>
      <w:r w:rsidRPr="00D84F73">
        <w:rPr>
          <w:rFonts w:ascii="Times New Roman" w:hAnsi="Times New Roman" w:cs="Times New Roman"/>
          <w:bCs/>
          <w:sz w:val="24"/>
          <w:szCs w:val="24"/>
          <w:vertAlign w:val="superscript"/>
        </w:rPr>
        <w:t>2</w:t>
      </w:r>
      <w:r w:rsidRPr="00D84F73">
        <w:rPr>
          <w:rFonts w:ascii="Times New Roman" w:hAnsi="Times New Roman" w:cs="Times New Roman"/>
          <w:bCs/>
          <w:sz w:val="24"/>
          <w:szCs w:val="24"/>
        </w:rPr>
        <w:t xml:space="preserve"> and 6 mg/L 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and reported a yield of 25 positive wells (Figure 7.2</w:t>
      </w:r>
      <w:r w:rsidRPr="00D84F73">
        <w:rPr>
          <w:rFonts w:ascii="Times New Roman" w:hAnsi="Times New Roman" w:cs="Times New Roman"/>
          <w:bCs/>
          <w:sz w:val="24"/>
          <w:szCs w:val="24"/>
          <w:vertAlign w:val="superscript"/>
        </w:rPr>
        <w:t>52</w:t>
      </w:r>
      <w:r w:rsidRPr="00D84F73">
        <w:rPr>
          <w:rFonts w:ascii="Times New Roman" w:hAnsi="Times New Roman" w:cs="Times New Roman"/>
          <w:bCs/>
          <w:sz w:val="24"/>
          <w:szCs w:val="24"/>
        </w:rPr>
        <w:t>) in the presence of nitrate (12 mg/L); in our case where Pony Lake NOM (2.1 mg C/L) was treated by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(1500 mJ/cm</w:t>
      </w:r>
      <w:r w:rsidRPr="00D84F73">
        <w:rPr>
          <w:rFonts w:ascii="Times New Roman" w:hAnsi="Times New Roman" w:cs="Times New Roman"/>
          <w:bCs/>
          <w:sz w:val="24"/>
          <w:szCs w:val="24"/>
          <w:vertAlign w:val="superscript"/>
        </w:rPr>
        <w:t>2</w:t>
      </w:r>
      <w:r w:rsidRPr="00D84F73">
        <w:rPr>
          <w:rFonts w:ascii="Times New Roman" w:hAnsi="Times New Roman" w:cs="Times New Roman"/>
          <w:bCs/>
          <w:sz w:val="24"/>
          <w:szCs w:val="24"/>
        </w:rPr>
        <w:t xml:space="preserve"> and 15 mg/L 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the number of positive wells was 3 times lower (8 positive wells), even though the initial nitrate concentration was 4 times higher (50 mg/L). Applying a maximum fluence of 2000 mJ/cm</w:t>
      </w:r>
      <w:r w:rsidRPr="00D84F73">
        <w:rPr>
          <w:rFonts w:ascii="Times New Roman" w:hAnsi="Times New Roman" w:cs="Times New Roman"/>
          <w:bCs/>
          <w:sz w:val="24"/>
          <w:szCs w:val="24"/>
          <w:vertAlign w:val="superscript"/>
        </w:rPr>
        <w:t>2</w:t>
      </w:r>
      <w:r w:rsidRPr="00D84F73">
        <w:rPr>
          <w:rFonts w:ascii="Times New Roman" w:hAnsi="Times New Roman" w:cs="Times New Roman"/>
          <w:bCs/>
          <w:sz w:val="24"/>
          <w:szCs w:val="24"/>
        </w:rPr>
        <w:t xml:space="preserve">, 4 and 10 positive wells were obtained in the absence and presence of nitrate, </w:t>
      </w:r>
      <w:r w:rsidRPr="00D84F73">
        <w:rPr>
          <w:rFonts w:ascii="Times New Roman" w:hAnsi="Times New Roman" w:cs="Times New Roman"/>
          <w:bCs/>
          <w:sz w:val="24"/>
          <w:szCs w:val="24"/>
        </w:rPr>
        <w:lastRenderedPageBreak/>
        <w:t>respectively. Therefore, even though the Ames II assay responses obtained in this work were much lower than the ones obtained by Martijn</w:t>
      </w:r>
      <w:r w:rsidRPr="00D84F73">
        <w:rPr>
          <w:rFonts w:ascii="Times New Roman" w:hAnsi="Times New Roman" w:cs="Times New Roman"/>
          <w:bCs/>
          <w:sz w:val="24"/>
          <w:szCs w:val="24"/>
          <w:vertAlign w:val="superscript"/>
        </w:rPr>
        <w:t>52</w:t>
      </w:r>
      <w:r w:rsidRPr="00D84F73">
        <w:rPr>
          <w:rFonts w:ascii="Times New Roman" w:hAnsi="Times New Roman" w:cs="Times New Roman"/>
          <w:bCs/>
          <w:sz w:val="24"/>
          <w:szCs w:val="24"/>
        </w:rPr>
        <w:t xml:space="preserve"> the Ames II assay response in nitrate-rich water was still significant.</w:t>
      </w:r>
    </w:p>
    <w:p w14:paraId="1ECAADB9" w14:textId="77777777" w:rsidR="00D84F73" w:rsidRP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A distinction between significant and positive results (in terms of testing by the Ames assay) should be kept in mind here; a detectable response is not necessarily considered significant. For example, an organic compound in levels high enough to be detected may be below the quantitation limit, therefore it can be considered not significant, and no sound conclusions can be drawn from this finding. In the example of the Ames responses, the levels obtained were detectable and statistically significant from one another in many cases; nevertheless, without reaching the mutagenic level defined by the Ames protocol, the responses are not considered positive in that respect.</w:t>
      </w:r>
    </w:p>
    <w:p w14:paraId="607762C1" w14:textId="77777777" w:rsidR="00D84F73" w:rsidRP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Illustrating the significant role of nitrate for both MP and LP-UV processes, the Ames II assay response as a function of nitrite formation was shown by Martijn</w:t>
      </w:r>
      <w:r w:rsidRPr="00D84F73">
        <w:rPr>
          <w:rFonts w:ascii="Times New Roman" w:hAnsi="Times New Roman" w:cs="Times New Roman"/>
          <w:bCs/>
          <w:sz w:val="24"/>
          <w:szCs w:val="24"/>
          <w:vertAlign w:val="superscript"/>
        </w:rPr>
        <w:t>52</w:t>
      </w:r>
      <w:r w:rsidRPr="00D84F73">
        <w:rPr>
          <w:rFonts w:ascii="Times New Roman" w:hAnsi="Times New Roman" w:cs="Times New Roman"/>
          <w:bCs/>
          <w:sz w:val="24"/>
          <w:szCs w:val="24"/>
        </w:rPr>
        <w:t xml:space="preserve"> (Figure 5.3). Plotting our nitrite data (0.08-0.09 mg NO</w:t>
      </w:r>
      <w:r w:rsidRPr="00D84F73">
        <w:rPr>
          <w:rFonts w:ascii="Times New Roman" w:hAnsi="Times New Roman" w:cs="Times New Roman"/>
          <w:bCs/>
          <w:sz w:val="24"/>
          <w:szCs w:val="24"/>
          <w:vertAlign w:val="subscript"/>
        </w:rPr>
        <w:t>3</w:t>
      </w:r>
      <w:r w:rsidRPr="00D84F73">
        <w:rPr>
          <w:rFonts w:ascii="Times New Roman" w:hAnsi="Times New Roman" w:cs="Times New Roman"/>
          <w:bCs/>
          <w:sz w:val="24"/>
          <w:szCs w:val="24"/>
          <w:vertAlign w:val="superscript"/>
        </w:rPr>
        <w:t>-</w:t>
      </w:r>
      <w:r w:rsidRPr="00D84F73">
        <w:rPr>
          <w:rFonts w:ascii="Times New Roman" w:hAnsi="Times New Roman" w:cs="Times New Roman"/>
          <w:bCs/>
          <w:sz w:val="24"/>
          <w:szCs w:val="24"/>
        </w:rPr>
        <w:t>/L) obtained from the synthetic Pony Lake NOM in Figure 7, gave an Ames II assay response of 5.5 positive wells, which is within the range of the Ames II assay response we obtained for Pony Lake NOM for the 1500 mJ/cm</w:t>
      </w:r>
      <w:r w:rsidRPr="00D84F73">
        <w:rPr>
          <w:rFonts w:ascii="Times New Roman" w:hAnsi="Times New Roman" w:cs="Times New Roman"/>
          <w:bCs/>
          <w:sz w:val="24"/>
          <w:szCs w:val="24"/>
          <w:vertAlign w:val="superscript"/>
        </w:rPr>
        <w:t>2</w:t>
      </w:r>
      <w:r w:rsidRPr="00D84F73">
        <w:rPr>
          <w:rFonts w:ascii="Times New Roman" w:hAnsi="Times New Roman" w:cs="Times New Roman"/>
          <w:bCs/>
          <w:sz w:val="24"/>
          <w:szCs w:val="24"/>
        </w:rPr>
        <w:t xml:space="preserve"> (8 ± 3.46 positive wells) (Figure 1b). Although different treatment processes (MP-UV vs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and different nitrate contents (12 mg/L vs 50 mg/L) were involved, the overlap observed supports the earlier indication of the impact of UV photolysis of nitrate on both the nitrite formation and the Ames II assay response (Martijn et al. 2014)</w:t>
      </w:r>
      <w:r w:rsidRPr="00D84F73">
        <w:rPr>
          <w:rFonts w:ascii="Times New Roman" w:hAnsi="Times New Roman" w:cs="Times New Roman"/>
          <w:bCs/>
          <w:sz w:val="24"/>
          <w:szCs w:val="24"/>
          <w:vertAlign w:val="superscript"/>
        </w:rPr>
        <w:t>17</w:t>
      </w:r>
      <w:r w:rsidRPr="00D84F73">
        <w:rPr>
          <w:rFonts w:ascii="Times New Roman" w:hAnsi="Times New Roman" w:cs="Times New Roman"/>
          <w:bCs/>
          <w:sz w:val="24"/>
          <w:szCs w:val="24"/>
        </w:rPr>
        <w:t>, and is a confirmation of the clear relation between the two (nitrite and Ames II assay response).</w:t>
      </w:r>
    </w:p>
    <w:p w14:paraId="5F146A11" w14:textId="1F14BA64" w:rsid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Based on the observations of MP-UV processes, it became clear that due to the significant Ames responses observed, a risk assessment was required. Martijn et al.</w:t>
      </w:r>
      <w:r w:rsidRPr="00D84F73">
        <w:rPr>
          <w:rFonts w:ascii="Times New Roman" w:hAnsi="Times New Roman" w:cs="Times New Roman"/>
          <w:bCs/>
          <w:sz w:val="24"/>
          <w:szCs w:val="24"/>
          <w:vertAlign w:val="superscript"/>
        </w:rPr>
        <w:t>53</w:t>
      </w:r>
      <w:r w:rsidRPr="00D84F73">
        <w:rPr>
          <w:rFonts w:ascii="Times New Roman" w:hAnsi="Times New Roman" w:cs="Times New Roman"/>
          <w:bCs/>
          <w:sz w:val="24"/>
          <w:szCs w:val="24"/>
        </w:rPr>
        <w:t xml:space="preserve"> performed a preliminary risk assessment by converting the Ames test responses into 4-nitroquinoline oxide (4-NQO) equivalent concentrations, in order to obtain a risk indication via the Margin of </w:t>
      </w:r>
      <w:r w:rsidRPr="00D84F73">
        <w:rPr>
          <w:rFonts w:ascii="Times New Roman" w:hAnsi="Times New Roman" w:cs="Times New Roman"/>
          <w:bCs/>
          <w:sz w:val="24"/>
          <w:szCs w:val="24"/>
        </w:rPr>
        <w:lastRenderedPageBreak/>
        <w:t>Exposure (MOE) approach</w:t>
      </w:r>
      <w:r w:rsidRPr="00D84F73">
        <w:rPr>
          <w:rFonts w:ascii="Times New Roman" w:hAnsi="Times New Roman" w:cs="Times New Roman"/>
          <w:bCs/>
          <w:sz w:val="24"/>
          <w:szCs w:val="24"/>
          <w:vertAlign w:val="superscript"/>
        </w:rPr>
        <w:t>54</w:t>
      </w:r>
      <w:r w:rsidRPr="00D84F73">
        <w:rPr>
          <w:rFonts w:ascii="Times New Roman" w:hAnsi="Times New Roman" w:cs="Times New Roman"/>
          <w:bCs/>
          <w:sz w:val="24"/>
          <w:szCs w:val="24"/>
        </w:rPr>
        <w:t>. They found that the 4-NQO equivalent concentrations exceeded the Estimated Daily Intake (EDI), associated with a negligible risk, indicating a concern of the water quality, should it be distributed “as drinking water without further post treatment”. Such an approach was not required for this work, since it became evident from our findings that the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treatment gave little, if any, reason for concern from a health-related aspect.</w:t>
      </w:r>
    </w:p>
    <w:p w14:paraId="793F5DE6" w14:textId="77777777" w:rsidR="00435FA9" w:rsidRPr="00D84F73" w:rsidRDefault="00435FA9" w:rsidP="00D84F73">
      <w:pPr>
        <w:spacing w:after="0" w:line="480" w:lineRule="auto"/>
        <w:jc w:val="both"/>
        <w:rPr>
          <w:rFonts w:ascii="Times New Roman" w:hAnsi="Times New Roman" w:cs="Times New Roman"/>
          <w:b/>
          <w:bCs/>
          <w:sz w:val="24"/>
          <w:szCs w:val="24"/>
        </w:rPr>
      </w:pPr>
    </w:p>
    <w:p w14:paraId="2D35F3DB"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
          <w:bCs/>
          <w:sz w:val="24"/>
          <w:szCs w:val="24"/>
        </w:rPr>
        <w:t>Conclusions</w:t>
      </w:r>
    </w:p>
    <w:p w14:paraId="09D8DEB2"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Cs/>
          <w:sz w:val="24"/>
          <w:szCs w:val="24"/>
        </w:rPr>
        <w:t>From the current work, it can be concluded that by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treatment of nitrate-rich water, nitrite and mono-nitrophenol formation may be observed. The principal two mono-nitrophenols, 2- and 4-nitrophenol, reported in previous research, were also detected in this work. These nitrophenols are known to have higher toxicity to organisms than the parent compound, phenol, i.e. the oral LD</w:t>
      </w:r>
      <w:r w:rsidRPr="00D84F73">
        <w:rPr>
          <w:rFonts w:ascii="Times New Roman" w:hAnsi="Times New Roman" w:cs="Times New Roman"/>
          <w:bCs/>
          <w:sz w:val="24"/>
          <w:szCs w:val="24"/>
          <w:vertAlign w:val="subscript"/>
        </w:rPr>
        <w:t>50</w:t>
      </w:r>
      <w:r w:rsidRPr="00D84F73">
        <w:rPr>
          <w:rFonts w:ascii="Times New Roman" w:hAnsi="Times New Roman" w:cs="Times New Roman"/>
          <w:bCs/>
          <w:sz w:val="24"/>
          <w:szCs w:val="24"/>
        </w:rPr>
        <w:t xml:space="preserve"> values in mice are 0.3, 1.30-2.08 and 0.38-0.47 g/kg for phenol, 2- and 4-nitrophenol, respectively</w:t>
      </w:r>
      <w:bookmarkStart w:id="11" w:name="_Hlk502765897"/>
      <w:r w:rsidRPr="00D84F73">
        <w:rPr>
          <w:rFonts w:ascii="Times New Roman" w:hAnsi="Times New Roman" w:cs="Times New Roman"/>
          <w:bCs/>
          <w:sz w:val="24"/>
          <w:szCs w:val="24"/>
          <w:vertAlign w:val="superscript"/>
        </w:rPr>
        <w:t>55</w:t>
      </w:r>
      <w:bookmarkEnd w:id="11"/>
      <w:r w:rsidRPr="00D84F73">
        <w:rPr>
          <w:rFonts w:ascii="Times New Roman" w:hAnsi="Times New Roman" w:cs="Times New Roman"/>
          <w:bCs/>
          <w:sz w:val="24"/>
          <w:szCs w:val="24"/>
        </w:rPr>
        <w:t>. However, under the conditions applied in this research study, the concentrations of these phenols were in the range of trace levels and would not be expected to cause health-related issues. Moreover, previous studies of 2- and 4-nitrophenol have shown that no mutagenicity was observed when different variations of the Ames II assay were applied</w:t>
      </w:r>
      <w:bookmarkStart w:id="12" w:name="_Hlk502765909"/>
      <w:r w:rsidRPr="00D84F73">
        <w:rPr>
          <w:rFonts w:ascii="Times New Roman" w:hAnsi="Times New Roman" w:cs="Times New Roman"/>
          <w:bCs/>
          <w:sz w:val="24"/>
          <w:szCs w:val="24"/>
          <w:vertAlign w:val="superscript"/>
        </w:rPr>
        <w:t>56</w:t>
      </w:r>
      <w:r w:rsidRPr="00D84F73">
        <w:rPr>
          <w:rFonts w:ascii="Times New Roman" w:hAnsi="Times New Roman" w:cs="Times New Roman"/>
          <w:bCs/>
          <w:sz w:val="24"/>
          <w:szCs w:val="24"/>
        </w:rPr>
        <w:t>.</w:t>
      </w:r>
      <w:bookmarkEnd w:id="12"/>
    </w:p>
    <w:p w14:paraId="5FE406BD" w14:textId="6035CF14" w:rsid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 xml:space="preserve">These nitrated organics are the result of the reaction of intermediate radicals (formed by LP-UV photolysis of nitrate) with the organic matrix of the water samples. Since the nitrate photolysis is much more enhanced in the MP region due to its absorption spectrum, especially at wavelengths below 240 nm, the formation of radical species as well as nitrite (the end product of a complex series of photolysis reactions) is correspondingly enhanced, compared to the case of LP-UV (254 nm).  Therefore, as expected, the incorporation of inorganic nitrogen into the organic matrix and consequently the reaction product formation and mutagenicity response are lower in LP-UV applications, giving little reason for concern. From the present </w:t>
      </w:r>
      <w:r w:rsidRPr="00D84F73">
        <w:rPr>
          <w:rFonts w:ascii="Times New Roman" w:hAnsi="Times New Roman" w:cs="Times New Roman"/>
          <w:bCs/>
          <w:sz w:val="24"/>
          <w:szCs w:val="24"/>
        </w:rPr>
        <w:lastRenderedPageBreak/>
        <w:t>work, it can be concluded that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treatment is not expected to produce significant mutagenic activity as shown by the applied Ames II assay results (although other mutagenic mechanisms cannot be excluded), even when high nitrate concentrations are present and high UV fluences and 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 xml:space="preserve"> doses are applied. Nevertheless, case-specific studies should be conducted since the nitrite levels produced by the LP-UV/H</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rPr>
        <w:t>O</w:t>
      </w:r>
      <w:r w:rsidRPr="00D84F73">
        <w:rPr>
          <w:rFonts w:ascii="Times New Roman" w:hAnsi="Times New Roman" w:cs="Times New Roman"/>
          <w:bCs/>
          <w:sz w:val="24"/>
          <w:szCs w:val="24"/>
          <w:vertAlign w:val="subscript"/>
        </w:rPr>
        <w:t xml:space="preserve">2 </w:t>
      </w:r>
      <w:r w:rsidRPr="00D84F73">
        <w:rPr>
          <w:rFonts w:ascii="Times New Roman" w:hAnsi="Times New Roman" w:cs="Times New Roman"/>
          <w:bCs/>
          <w:sz w:val="24"/>
          <w:szCs w:val="24"/>
        </w:rPr>
        <w:t>treatment are not always negligible (0.08-0.09 mg NO</w:t>
      </w:r>
      <w:r w:rsidRPr="00D84F73">
        <w:rPr>
          <w:rFonts w:ascii="Times New Roman" w:hAnsi="Times New Roman" w:cs="Times New Roman"/>
          <w:bCs/>
          <w:sz w:val="24"/>
          <w:szCs w:val="24"/>
          <w:vertAlign w:val="subscript"/>
        </w:rPr>
        <w:t>2</w:t>
      </w:r>
      <w:r w:rsidRPr="00D84F73">
        <w:rPr>
          <w:rFonts w:ascii="Times New Roman" w:hAnsi="Times New Roman" w:cs="Times New Roman"/>
          <w:bCs/>
          <w:sz w:val="24"/>
          <w:szCs w:val="24"/>
          <w:vertAlign w:val="superscript"/>
        </w:rPr>
        <w:t>-</w:t>
      </w:r>
      <w:r w:rsidRPr="00D84F73">
        <w:rPr>
          <w:rFonts w:ascii="Times New Roman" w:hAnsi="Times New Roman" w:cs="Times New Roman"/>
          <w:bCs/>
          <w:sz w:val="24"/>
          <w:szCs w:val="24"/>
        </w:rPr>
        <w:t>/L in our case) and the conjunctive effect of all factors contributing to health effects is usually complex.</w:t>
      </w:r>
    </w:p>
    <w:p w14:paraId="0B5625E2" w14:textId="77777777" w:rsidR="00435FA9" w:rsidRPr="00D84F73" w:rsidRDefault="00435FA9" w:rsidP="00D84F73">
      <w:pPr>
        <w:spacing w:after="0" w:line="480" w:lineRule="auto"/>
        <w:jc w:val="both"/>
        <w:rPr>
          <w:rFonts w:ascii="Times New Roman" w:hAnsi="Times New Roman" w:cs="Times New Roman"/>
          <w:b/>
          <w:bCs/>
          <w:sz w:val="24"/>
          <w:szCs w:val="24"/>
        </w:rPr>
      </w:pPr>
    </w:p>
    <w:p w14:paraId="49E363B7" w14:textId="77777777" w:rsidR="00D84F73" w:rsidRPr="00D84F73" w:rsidRDefault="00D84F73" w:rsidP="00D84F73">
      <w:pPr>
        <w:spacing w:after="0" w:line="480" w:lineRule="auto"/>
        <w:jc w:val="both"/>
        <w:rPr>
          <w:rFonts w:ascii="Times New Roman" w:hAnsi="Times New Roman" w:cs="Times New Roman"/>
          <w:b/>
          <w:bCs/>
          <w:sz w:val="24"/>
          <w:szCs w:val="24"/>
        </w:rPr>
      </w:pPr>
      <w:r w:rsidRPr="00D84F73">
        <w:rPr>
          <w:rFonts w:ascii="Times New Roman" w:hAnsi="Times New Roman" w:cs="Times New Roman"/>
          <w:b/>
          <w:bCs/>
          <w:sz w:val="24"/>
          <w:szCs w:val="24"/>
        </w:rPr>
        <w:t>Conflicts of interest</w:t>
      </w:r>
    </w:p>
    <w:p w14:paraId="33754244" w14:textId="51CC4D7A" w:rsid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There are no conflicts to declare.</w:t>
      </w:r>
    </w:p>
    <w:p w14:paraId="25C52F64" w14:textId="77777777" w:rsidR="00435FA9" w:rsidRPr="00D84F73" w:rsidRDefault="00435FA9" w:rsidP="00D84F73">
      <w:pPr>
        <w:spacing w:after="0" w:line="480" w:lineRule="auto"/>
        <w:jc w:val="both"/>
        <w:rPr>
          <w:rFonts w:ascii="Times New Roman" w:hAnsi="Times New Roman" w:cs="Times New Roman"/>
          <w:b/>
          <w:bCs/>
          <w:sz w:val="24"/>
          <w:szCs w:val="24"/>
        </w:rPr>
      </w:pPr>
    </w:p>
    <w:p w14:paraId="347BFBED" w14:textId="77777777" w:rsidR="00D84F73" w:rsidRPr="00D84F73" w:rsidRDefault="00D84F73" w:rsidP="00D84F73">
      <w:pPr>
        <w:spacing w:after="0" w:line="480" w:lineRule="auto"/>
        <w:jc w:val="both"/>
        <w:rPr>
          <w:rFonts w:ascii="Times New Roman" w:hAnsi="Times New Roman" w:cs="Times New Roman"/>
          <w:b/>
          <w:bCs/>
          <w:sz w:val="24"/>
          <w:szCs w:val="24"/>
        </w:rPr>
      </w:pPr>
      <w:bookmarkStart w:id="13" w:name="_Toc489872825"/>
      <w:r w:rsidRPr="00D84F73">
        <w:rPr>
          <w:rFonts w:ascii="Times New Roman" w:hAnsi="Times New Roman" w:cs="Times New Roman"/>
          <w:b/>
          <w:bCs/>
          <w:sz w:val="24"/>
          <w:szCs w:val="24"/>
        </w:rPr>
        <w:t>Acknowledgements</w:t>
      </w:r>
      <w:bookmarkEnd w:id="13"/>
      <w:r w:rsidRPr="00D84F73">
        <w:rPr>
          <w:rFonts w:ascii="Times New Roman" w:hAnsi="Times New Roman" w:cs="Times New Roman"/>
          <w:b/>
          <w:bCs/>
          <w:sz w:val="24"/>
          <w:szCs w:val="24"/>
        </w:rPr>
        <w:t xml:space="preserve"> </w:t>
      </w:r>
    </w:p>
    <w:p w14:paraId="2BA22B96" w14:textId="044D9355" w:rsidR="00D84F73" w:rsidRDefault="00D84F73" w:rsidP="00D84F73">
      <w:pPr>
        <w:spacing w:after="0" w:line="480" w:lineRule="auto"/>
        <w:jc w:val="both"/>
        <w:rPr>
          <w:rFonts w:ascii="Times New Roman" w:hAnsi="Times New Roman" w:cs="Times New Roman"/>
          <w:bCs/>
          <w:sz w:val="24"/>
          <w:szCs w:val="24"/>
        </w:rPr>
      </w:pPr>
      <w:r w:rsidRPr="00D84F73">
        <w:rPr>
          <w:rFonts w:ascii="Times New Roman" w:hAnsi="Times New Roman" w:cs="Times New Roman"/>
          <w:bCs/>
          <w:sz w:val="24"/>
          <w:szCs w:val="24"/>
        </w:rPr>
        <w:t>This work was performed in the cooperation framework of Wetsus, European Centre of Excellence for Sustainable Water Technology (www.wetsus.eu). Wetsus is co-funded by the Dutch Ministry of Economic Affairs and Ministry of Infrastructure and Environment, the Province of Fryslân and the Northern Netherlands Provinces. The authors wish to thank the participants of the ‘Priority Compounds’ research theme for the fruitful discussions, and especially Dr. Bram Martijn for his guidance and advice in the experimental design and relating the findings of the two studies. The authors would also like to thank Trojan Technologies Inc. for supplying the low-pressure UV lamp and VITO laboratories for performing the Ames II assays. The authors also gratefully acknowledge the financial support of Anglian Water Services Ltd.</w:t>
      </w:r>
    </w:p>
    <w:p w14:paraId="2F19D2B6" w14:textId="37878587" w:rsidR="00435FA9" w:rsidRDefault="00435FA9" w:rsidP="00D84F73">
      <w:pPr>
        <w:spacing w:after="0" w:line="480" w:lineRule="auto"/>
        <w:jc w:val="both"/>
        <w:rPr>
          <w:rFonts w:ascii="Times New Roman" w:hAnsi="Times New Roman" w:cs="Times New Roman"/>
          <w:bCs/>
          <w:sz w:val="24"/>
          <w:szCs w:val="24"/>
        </w:rPr>
      </w:pPr>
    </w:p>
    <w:p w14:paraId="651A5A91" w14:textId="10CAD11C" w:rsidR="00435FA9" w:rsidRDefault="00435FA9" w:rsidP="00D84F73">
      <w:pPr>
        <w:spacing w:after="0" w:line="480" w:lineRule="auto"/>
        <w:jc w:val="both"/>
        <w:rPr>
          <w:rFonts w:ascii="Times New Roman" w:hAnsi="Times New Roman" w:cs="Times New Roman"/>
          <w:bCs/>
          <w:sz w:val="24"/>
          <w:szCs w:val="24"/>
        </w:rPr>
      </w:pPr>
    </w:p>
    <w:p w14:paraId="4FC4C96E" w14:textId="77777777" w:rsidR="00435FA9" w:rsidRPr="00D84F73" w:rsidRDefault="00435FA9" w:rsidP="00D84F73">
      <w:pPr>
        <w:spacing w:after="0" w:line="480" w:lineRule="auto"/>
        <w:jc w:val="both"/>
        <w:rPr>
          <w:rFonts w:ascii="Times New Roman" w:hAnsi="Times New Roman" w:cs="Times New Roman"/>
          <w:bCs/>
          <w:sz w:val="24"/>
          <w:szCs w:val="24"/>
        </w:rPr>
      </w:pPr>
    </w:p>
    <w:p w14:paraId="2C448EF7" w14:textId="77777777" w:rsidR="00345831" w:rsidRPr="00345831" w:rsidRDefault="00345831" w:rsidP="00345831">
      <w:pPr>
        <w:rPr>
          <w:rFonts w:ascii="Times New Roman" w:hAnsi="Times New Roman" w:cs="Times New Roman"/>
          <w:b/>
          <w:sz w:val="24"/>
          <w:szCs w:val="24"/>
        </w:rPr>
      </w:pPr>
      <w:r w:rsidRPr="00345831">
        <w:rPr>
          <w:rFonts w:ascii="Times New Roman" w:hAnsi="Times New Roman" w:cs="Times New Roman"/>
          <w:b/>
          <w:sz w:val="24"/>
          <w:szCs w:val="24"/>
        </w:rPr>
        <w:lastRenderedPageBreak/>
        <w:t>References</w:t>
      </w:r>
    </w:p>
    <w:p w14:paraId="5D2D61F6"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Vilhunen and M. </w:t>
      </w:r>
      <w:hyperlink r:id="rId9" w:history="1">
        <w:r w:rsidRPr="00435FA9">
          <w:rPr>
            <w:rStyle w:val="Hyperlink"/>
            <w:rFonts w:ascii="Times New Roman" w:hAnsi="Times New Roman" w:cs="Times New Roman"/>
            <w:color w:val="auto"/>
            <w:sz w:val="24"/>
            <w:szCs w:val="24"/>
            <w:u w:val="none"/>
            <w:bdr w:val="none" w:sz="0" w:space="0" w:color="auto" w:frame="1"/>
            <w:shd w:val="clear" w:color="auto" w:fill="FFFFFF"/>
          </w:rPr>
          <w:t>Sillanpää</w:t>
        </w:r>
      </w:hyperlink>
      <w:r w:rsidRPr="00435FA9">
        <w:rPr>
          <w:rStyle w:val="Hyperlink"/>
          <w:rFonts w:ascii="Times New Roman" w:hAnsi="Times New Roman" w:cs="Times New Roman"/>
          <w:sz w:val="24"/>
          <w:szCs w:val="24"/>
          <w:u w:val="none"/>
          <w:bdr w:val="none" w:sz="0" w:space="0" w:color="auto" w:frame="1"/>
          <w:shd w:val="clear" w:color="auto" w:fill="FFFFFF"/>
        </w:rPr>
        <w:t xml:space="preserve">, </w:t>
      </w:r>
      <w:r w:rsidRPr="00435FA9">
        <w:rPr>
          <w:rFonts w:ascii="Times New Roman" w:hAnsi="Times New Roman" w:cs="Times New Roman"/>
          <w:i/>
          <w:sz w:val="24"/>
          <w:szCs w:val="24"/>
        </w:rPr>
        <w:t>Rev Environ Sci Biotechnol</w:t>
      </w:r>
      <w:r w:rsidRPr="00435FA9">
        <w:rPr>
          <w:rFonts w:ascii="Times New Roman" w:hAnsi="Times New Roman" w:cs="Times New Roman"/>
          <w:sz w:val="24"/>
          <w:szCs w:val="24"/>
        </w:rPr>
        <w:t xml:space="preserve">, 2010, </w:t>
      </w:r>
      <w:r w:rsidRPr="00435FA9">
        <w:rPr>
          <w:rFonts w:ascii="Times New Roman" w:hAnsi="Times New Roman" w:cs="Times New Roman"/>
          <w:b/>
          <w:sz w:val="24"/>
          <w:szCs w:val="24"/>
        </w:rPr>
        <w:t>9</w:t>
      </w:r>
      <w:r w:rsidRPr="00435FA9">
        <w:rPr>
          <w:rFonts w:ascii="Times New Roman" w:hAnsi="Times New Roman" w:cs="Times New Roman"/>
          <w:sz w:val="24"/>
          <w:szCs w:val="24"/>
        </w:rPr>
        <w:t>, 323.</w:t>
      </w:r>
    </w:p>
    <w:p w14:paraId="3113F81B"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W. Yang, H. Zhou and N. Cicek, </w:t>
      </w:r>
      <w:r w:rsidRPr="00435FA9">
        <w:rPr>
          <w:rFonts w:ascii="Times New Roman" w:hAnsi="Times New Roman" w:cs="Times New Roman"/>
          <w:i/>
          <w:sz w:val="24"/>
          <w:szCs w:val="24"/>
        </w:rPr>
        <w:t>Crit. Rev. Environ. Sci. Technol.</w:t>
      </w:r>
      <w:r w:rsidRPr="00435FA9">
        <w:rPr>
          <w:rFonts w:ascii="Times New Roman" w:hAnsi="Times New Roman" w:cs="Times New Roman"/>
          <w:sz w:val="24"/>
          <w:szCs w:val="24"/>
        </w:rPr>
        <w:t xml:space="preserve">, 2014, </w:t>
      </w:r>
      <w:r w:rsidRPr="00435FA9">
        <w:rPr>
          <w:rFonts w:ascii="Times New Roman" w:hAnsi="Times New Roman" w:cs="Times New Roman"/>
          <w:b/>
          <w:sz w:val="24"/>
          <w:szCs w:val="24"/>
        </w:rPr>
        <w:t>44</w:t>
      </w:r>
      <w:r w:rsidRPr="00435FA9">
        <w:rPr>
          <w:rFonts w:ascii="Times New Roman" w:hAnsi="Times New Roman" w:cs="Times New Roman"/>
          <w:sz w:val="24"/>
          <w:szCs w:val="24"/>
        </w:rPr>
        <w:t>, 1443.</w:t>
      </w:r>
    </w:p>
    <w:p w14:paraId="6621E03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D. Richardson, M. J. Plewa, E. D. Wagner, R. Schoeny and D.M. DeMarini, </w:t>
      </w:r>
      <w:r w:rsidRPr="00435FA9">
        <w:rPr>
          <w:rFonts w:ascii="Times New Roman" w:hAnsi="Times New Roman" w:cs="Times New Roman"/>
          <w:i/>
          <w:sz w:val="24"/>
          <w:szCs w:val="24"/>
        </w:rPr>
        <w:t>Mutat. Res.</w:t>
      </w:r>
      <w:r w:rsidRPr="00435FA9">
        <w:rPr>
          <w:rFonts w:ascii="Times New Roman" w:hAnsi="Times New Roman" w:cs="Times New Roman"/>
          <w:sz w:val="24"/>
          <w:szCs w:val="24"/>
        </w:rPr>
        <w:t xml:space="preserve">, 2007, </w:t>
      </w:r>
      <w:r w:rsidRPr="00435FA9">
        <w:rPr>
          <w:rFonts w:ascii="Times New Roman" w:hAnsi="Times New Roman" w:cs="Times New Roman"/>
          <w:b/>
          <w:sz w:val="24"/>
          <w:szCs w:val="24"/>
        </w:rPr>
        <w:t>636</w:t>
      </w:r>
      <w:r w:rsidRPr="00435FA9">
        <w:rPr>
          <w:rFonts w:ascii="Times New Roman" w:hAnsi="Times New Roman" w:cs="Times New Roman"/>
          <w:sz w:val="24"/>
          <w:szCs w:val="24"/>
        </w:rPr>
        <w:t>, 178.</w:t>
      </w:r>
    </w:p>
    <w:p w14:paraId="3CA2EDCD" w14:textId="77777777" w:rsidR="00345831" w:rsidRPr="00435FA9" w:rsidRDefault="00345831" w:rsidP="00345831">
      <w:pPr>
        <w:pStyle w:val="ListParagraph"/>
        <w:numPr>
          <w:ilvl w:val="0"/>
          <w:numId w:val="30"/>
        </w:numPr>
        <w:rPr>
          <w:rFonts w:ascii="Times New Roman" w:hAnsi="Times New Roman" w:cs="Times New Roman"/>
          <w:sz w:val="24"/>
          <w:szCs w:val="24"/>
          <w:lang w:val="nl-NL"/>
        </w:rPr>
      </w:pPr>
      <w:r w:rsidRPr="00435FA9">
        <w:rPr>
          <w:rFonts w:ascii="Times New Roman" w:hAnsi="Times New Roman" w:cs="Times New Roman"/>
          <w:noProof/>
          <w:sz w:val="24"/>
          <w:szCs w:val="24"/>
          <w:lang w:val="en-US"/>
        </w:rPr>
        <w:t xml:space="preserve">E.J. Rosenfeldt and K.G. Linden, </w:t>
      </w:r>
      <w:r w:rsidRPr="00435FA9">
        <w:rPr>
          <w:rFonts w:ascii="Times New Roman" w:hAnsi="Times New Roman" w:cs="Times New Roman"/>
          <w:i/>
          <w:noProof/>
          <w:sz w:val="24"/>
          <w:szCs w:val="24"/>
          <w:lang w:val="nl-NL"/>
        </w:rPr>
        <w:t>Environ. Sci. Technol</w:t>
      </w:r>
      <w:r w:rsidRPr="00435FA9">
        <w:rPr>
          <w:rFonts w:ascii="Times New Roman" w:hAnsi="Times New Roman" w:cs="Times New Roman"/>
          <w:noProof/>
          <w:sz w:val="24"/>
          <w:szCs w:val="24"/>
          <w:lang w:val="nl-NL"/>
        </w:rPr>
        <w:t xml:space="preserve">., </w:t>
      </w:r>
      <w:r w:rsidRPr="00435FA9">
        <w:rPr>
          <w:rFonts w:ascii="Times New Roman" w:hAnsi="Times New Roman" w:cs="Times New Roman"/>
          <w:noProof/>
          <w:sz w:val="24"/>
          <w:szCs w:val="24"/>
          <w:lang w:val="en-US"/>
        </w:rPr>
        <w:t>2004,</w:t>
      </w:r>
      <w:r w:rsidRPr="00435FA9">
        <w:rPr>
          <w:rFonts w:ascii="Times New Roman" w:hAnsi="Times New Roman" w:cs="Times New Roman"/>
          <w:noProof/>
          <w:sz w:val="24"/>
          <w:szCs w:val="24"/>
          <w:lang w:val="nl-NL"/>
        </w:rPr>
        <w:t xml:space="preserve"> </w:t>
      </w:r>
      <w:r w:rsidRPr="00435FA9">
        <w:rPr>
          <w:rFonts w:ascii="Times New Roman" w:hAnsi="Times New Roman" w:cs="Times New Roman"/>
          <w:b/>
          <w:noProof/>
          <w:sz w:val="24"/>
          <w:szCs w:val="24"/>
          <w:lang w:val="nl-NL"/>
        </w:rPr>
        <w:t>38</w:t>
      </w:r>
      <w:r w:rsidRPr="00435FA9">
        <w:rPr>
          <w:rFonts w:ascii="Times New Roman" w:hAnsi="Times New Roman" w:cs="Times New Roman"/>
          <w:noProof/>
          <w:sz w:val="24"/>
          <w:szCs w:val="24"/>
          <w:lang w:val="nl-NL"/>
        </w:rPr>
        <w:t xml:space="preserve">, 5476. </w:t>
      </w:r>
    </w:p>
    <w:p w14:paraId="5189B32E" w14:textId="77777777" w:rsidR="00345831" w:rsidRPr="00435FA9" w:rsidRDefault="00345831" w:rsidP="00345831">
      <w:pPr>
        <w:pStyle w:val="ListParagraph"/>
        <w:numPr>
          <w:ilvl w:val="0"/>
          <w:numId w:val="30"/>
        </w:numPr>
        <w:rPr>
          <w:rFonts w:ascii="Times New Roman" w:hAnsi="Times New Roman" w:cs="Times New Roman"/>
          <w:noProof/>
          <w:sz w:val="24"/>
          <w:szCs w:val="24"/>
          <w:lang w:val="en-US"/>
        </w:rPr>
      </w:pPr>
      <w:r w:rsidRPr="00435FA9">
        <w:rPr>
          <w:rFonts w:ascii="Times New Roman" w:hAnsi="Times New Roman" w:cs="Times New Roman"/>
          <w:noProof/>
          <w:sz w:val="24"/>
          <w:szCs w:val="24"/>
        </w:rPr>
        <w:t xml:space="preserve">F.J. Beltrán, G. Ovejero and J. Rivas, </w:t>
      </w:r>
      <w:r w:rsidRPr="00435FA9">
        <w:rPr>
          <w:rFonts w:ascii="Times New Roman" w:hAnsi="Times New Roman" w:cs="Times New Roman"/>
          <w:i/>
          <w:noProof/>
          <w:sz w:val="24"/>
          <w:szCs w:val="24"/>
        </w:rPr>
        <w:t>Ind. Eng. Chem. Res.</w:t>
      </w:r>
      <w:r w:rsidRPr="00435FA9">
        <w:rPr>
          <w:rFonts w:ascii="Times New Roman" w:hAnsi="Times New Roman" w:cs="Times New Roman"/>
          <w:noProof/>
          <w:sz w:val="24"/>
          <w:szCs w:val="24"/>
        </w:rPr>
        <w:t xml:space="preserve">, 1996, </w:t>
      </w:r>
      <w:r w:rsidRPr="00435FA9">
        <w:rPr>
          <w:rFonts w:ascii="Times New Roman" w:hAnsi="Times New Roman" w:cs="Times New Roman"/>
          <w:b/>
          <w:noProof/>
          <w:sz w:val="24"/>
          <w:szCs w:val="24"/>
        </w:rPr>
        <w:t>35</w:t>
      </w:r>
      <w:r w:rsidRPr="00435FA9">
        <w:rPr>
          <w:rFonts w:ascii="Times New Roman" w:hAnsi="Times New Roman" w:cs="Times New Roman"/>
          <w:noProof/>
          <w:sz w:val="24"/>
          <w:szCs w:val="24"/>
        </w:rPr>
        <w:t xml:space="preserve">, 883. </w:t>
      </w:r>
    </w:p>
    <w:p w14:paraId="2AABC028" w14:textId="77777777" w:rsidR="00345831" w:rsidRPr="00435FA9" w:rsidRDefault="00345831" w:rsidP="00345831">
      <w:pPr>
        <w:pStyle w:val="ListParagraph"/>
        <w:numPr>
          <w:ilvl w:val="0"/>
          <w:numId w:val="30"/>
        </w:numPr>
        <w:rPr>
          <w:rFonts w:ascii="Times New Roman" w:hAnsi="Times New Roman" w:cs="Times New Roman"/>
          <w:noProof/>
          <w:sz w:val="24"/>
          <w:szCs w:val="24"/>
          <w:lang w:val="en-US"/>
        </w:rPr>
      </w:pPr>
      <w:r w:rsidRPr="00435FA9">
        <w:rPr>
          <w:rFonts w:ascii="Times New Roman" w:hAnsi="Times New Roman" w:cs="Times New Roman"/>
          <w:noProof/>
          <w:sz w:val="24"/>
          <w:szCs w:val="24"/>
          <w:lang w:val="en-US"/>
        </w:rPr>
        <w:t xml:space="preserve">S. Ledakowicz, J.S. Miller and D. Olejnik, </w:t>
      </w:r>
      <w:r w:rsidRPr="00435FA9">
        <w:rPr>
          <w:rFonts w:ascii="Times New Roman" w:hAnsi="Times New Roman" w:cs="Times New Roman"/>
          <w:i/>
          <w:noProof/>
          <w:sz w:val="24"/>
          <w:szCs w:val="24"/>
          <w:lang w:val="en-US"/>
        </w:rPr>
        <w:t>Int. J. Photoenergy</w:t>
      </w:r>
      <w:r w:rsidRPr="00435FA9">
        <w:rPr>
          <w:rFonts w:ascii="Times New Roman" w:hAnsi="Times New Roman" w:cs="Times New Roman"/>
          <w:noProof/>
          <w:sz w:val="24"/>
          <w:szCs w:val="24"/>
          <w:lang w:val="en-US"/>
        </w:rPr>
        <w:t xml:space="preserve">, 1999, </w:t>
      </w:r>
      <w:r w:rsidRPr="00435FA9">
        <w:rPr>
          <w:rFonts w:ascii="Times New Roman" w:hAnsi="Times New Roman" w:cs="Times New Roman"/>
          <w:b/>
          <w:noProof/>
          <w:sz w:val="24"/>
          <w:szCs w:val="24"/>
          <w:lang w:val="en-US"/>
        </w:rPr>
        <w:t>1</w:t>
      </w:r>
      <w:r w:rsidRPr="00435FA9">
        <w:rPr>
          <w:rFonts w:ascii="Times New Roman" w:hAnsi="Times New Roman" w:cs="Times New Roman"/>
          <w:noProof/>
          <w:sz w:val="24"/>
          <w:szCs w:val="24"/>
          <w:lang w:val="en-US"/>
        </w:rPr>
        <w:t xml:space="preserve">, 1. </w:t>
      </w:r>
    </w:p>
    <w:p w14:paraId="19F78D35" w14:textId="77777777" w:rsidR="00345831" w:rsidRPr="00435FA9" w:rsidRDefault="00345831" w:rsidP="00345831">
      <w:pPr>
        <w:pStyle w:val="ListParagraph"/>
        <w:numPr>
          <w:ilvl w:val="0"/>
          <w:numId w:val="30"/>
        </w:numPr>
        <w:rPr>
          <w:rFonts w:ascii="Times New Roman" w:hAnsi="Times New Roman" w:cs="Times New Roman"/>
          <w:noProof/>
          <w:sz w:val="24"/>
          <w:szCs w:val="24"/>
          <w:lang w:val="en-US"/>
        </w:rPr>
      </w:pPr>
      <w:r w:rsidRPr="00435FA9">
        <w:rPr>
          <w:rFonts w:ascii="Times New Roman" w:hAnsi="Times New Roman" w:cs="Times New Roman"/>
          <w:noProof/>
          <w:sz w:val="24"/>
          <w:szCs w:val="24"/>
          <w:lang w:val="en-US"/>
        </w:rPr>
        <w:t xml:space="preserve">K. Ikehata, N.J. Naghashkar and M.G. El-Din, </w:t>
      </w:r>
      <w:r w:rsidRPr="00435FA9">
        <w:rPr>
          <w:rFonts w:ascii="Times New Roman" w:hAnsi="Times New Roman" w:cs="Times New Roman"/>
          <w:i/>
          <w:noProof/>
          <w:sz w:val="24"/>
          <w:szCs w:val="24"/>
        </w:rPr>
        <w:t>Ozone Sci. Eng</w:t>
      </w:r>
      <w:r w:rsidRPr="00435FA9">
        <w:rPr>
          <w:rFonts w:ascii="Times New Roman" w:hAnsi="Times New Roman" w:cs="Times New Roman"/>
          <w:noProof/>
          <w:sz w:val="24"/>
          <w:szCs w:val="24"/>
        </w:rPr>
        <w:t xml:space="preserve">., </w:t>
      </w:r>
      <w:r w:rsidRPr="00435FA9">
        <w:rPr>
          <w:rFonts w:ascii="Times New Roman" w:hAnsi="Times New Roman" w:cs="Times New Roman"/>
          <w:noProof/>
          <w:sz w:val="24"/>
          <w:szCs w:val="24"/>
          <w:lang w:val="en-US"/>
        </w:rPr>
        <w:t>2006,</w:t>
      </w:r>
      <w:r w:rsidRPr="00435FA9">
        <w:rPr>
          <w:rFonts w:ascii="Times New Roman" w:hAnsi="Times New Roman" w:cs="Times New Roman"/>
          <w:noProof/>
          <w:sz w:val="24"/>
          <w:szCs w:val="24"/>
        </w:rPr>
        <w:t xml:space="preserve"> </w:t>
      </w:r>
      <w:r w:rsidRPr="00435FA9">
        <w:rPr>
          <w:rFonts w:ascii="Times New Roman" w:hAnsi="Times New Roman" w:cs="Times New Roman"/>
          <w:b/>
          <w:noProof/>
          <w:sz w:val="24"/>
          <w:szCs w:val="24"/>
        </w:rPr>
        <w:t>27</w:t>
      </w:r>
      <w:r w:rsidRPr="00435FA9">
        <w:rPr>
          <w:rFonts w:ascii="Times New Roman" w:hAnsi="Times New Roman" w:cs="Times New Roman"/>
          <w:noProof/>
          <w:sz w:val="24"/>
          <w:szCs w:val="24"/>
        </w:rPr>
        <w:t xml:space="preserve">, 83. </w:t>
      </w:r>
    </w:p>
    <w:p w14:paraId="48F0F974" w14:textId="77777777" w:rsidR="00345831" w:rsidRPr="00435FA9" w:rsidRDefault="00345831" w:rsidP="00345831">
      <w:pPr>
        <w:pStyle w:val="ListParagraph"/>
        <w:numPr>
          <w:ilvl w:val="0"/>
          <w:numId w:val="30"/>
        </w:numPr>
        <w:rPr>
          <w:rFonts w:ascii="Times New Roman" w:hAnsi="Times New Roman" w:cs="Times New Roman"/>
          <w:noProof/>
          <w:sz w:val="24"/>
          <w:szCs w:val="24"/>
        </w:rPr>
      </w:pPr>
      <w:r w:rsidRPr="00435FA9">
        <w:rPr>
          <w:rFonts w:ascii="Times New Roman" w:hAnsi="Times New Roman" w:cs="Times New Roman"/>
          <w:noProof/>
          <w:sz w:val="24"/>
          <w:szCs w:val="24"/>
        </w:rPr>
        <w:t xml:space="preserve">H.D. Burrows, L.M. Canle, J.A. Santaballa and S. Steenken, </w:t>
      </w:r>
      <w:r w:rsidRPr="00435FA9">
        <w:rPr>
          <w:rFonts w:ascii="Times New Roman" w:hAnsi="Times New Roman" w:cs="Times New Roman"/>
          <w:i/>
          <w:noProof/>
          <w:sz w:val="24"/>
          <w:szCs w:val="24"/>
        </w:rPr>
        <w:t>J. Photochem. Photobiol. B Biol</w:t>
      </w:r>
      <w:r w:rsidRPr="00435FA9">
        <w:rPr>
          <w:rFonts w:ascii="Times New Roman" w:hAnsi="Times New Roman" w:cs="Times New Roman"/>
          <w:noProof/>
          <w:sz w:val="24"/>
          <w:szCs w:val="24"/>
        </w:rPr>
        <w:t xml:space="preserve">., 2002, </w:t>
      </w:r>
      <w:r w:rsidRPr="00435FA9">
        <w:rPr>
          <w:rFonts w:ascii="Times New Roman" w:hAnsi="Times New Roman" w:cs="Times New Roman"/>
          <w:b/>
          <w:noProof/>
          <w:sz w:val="24"/>
          <w:szCs w:val="24"/>
        </w:rPr>
        <w:t>67</w:t>
      </w:r>
      <w:r w:rsidRPr="00435FA9">
        <w:rPr>
          <w:rFonts w:ascii="Times New Roman" w:hAnsi="Times New Roman" w:cs="Times New Roman"/>
          <w:noProof/>
          <w:sz w:val="24"/>
          <w:szCs w:val="24"/>
        </w:rPr>
        <w:t xml:space="preserve">, 71. </w:t>
      </w:r>
    </w:p>
    <w:p w14:paraId="5F9EB0C1" w14:textId="77777777" w:rsidR="00345831" w:rsidRPr="00435FA9" w:rsidRDefault="00345831" w:rsidP="00345831">
      <w:pPr>
        <w:pStyle w:val="ListParagraph"/>
        <w:numPr>
          <w:ilvl w:val="0"/>
          <w:numId w:val="30"/>
        </w:numPr>
        <w:rPr>
          <w:rFonts w:ascii="Times New Roman" w:hAnsi="Times New Roman" w:cs="Times New Roman"/>
          <w:noProof/>
          <w:sz w:val="24"/>
          <w:szCs w:val="24"/>
          <w:lang w:val="en-US"/>
        </w:rPr>
      </w:pPr>
      <w:r w:rsidRPr="00435FA9">
        <w:rPr>
          <w:rFonts w:ascii="Times New Roman" w:hAnsi="Times New Roman" w:cs="Times New Roman"/>
          <w:noProof/>
          <w:sz w:val="24"/>
          <w:szCs w:val="24"/>
        </w:rPr>
        <w:t xml:space="preserve">E. Kowalska, M. Janczarek, J. Hupka and M. Grynkiewicz, </w:t>
      </w:r>
      <w:r w:rsidRPr="00435FA9">
        <w:rPr>
          <w:rFonts w:ascii="Times New Roman" w:hAnsi="Times New Roman" w:cs="Times New Roman"/>
          <w:i/>
          <w:noProof/>
          <w:sz w:val="24"/>
          <w:szCs w:val="24"/>
        </w:rPr>
        <w:t xml:space="preserve">Water Sci. </w:t>
      </w:r>
      <w:r w:rsidRPr="00435FA9">
        <w:rPr>
          <w:rFonts w:ascii="Times New Roman" w:hAnsi="Times New Roman" w:cs="Times New Roman"/>
          <w:i/>
          <w:noProof/>
          <w:sz w:val="24"/>
          <w:szCs w:val="24"/>
          <w:lang w:val="en-US"/>
        </w:rPr>
        <w:t>Technol</w:t>
      </w:r>
      <w:r w:rsidRPr="00435FA9">
        <w:rPr>
          <w:rFonts w:ascii="Times New Roman" w:hAnsi="Times New Roman" w:cs="Times New Roman"/>
          <w:noProof/>
          <w:sz w:val="24"/>
          <w:szCs w:val="24"/>
          <w:lang w:val="en-US"/>
        </w:rPr>
        <w:t xml:space="preserve">., </w:t>
      </w:r>
      <w:r w:rsidRPr="00435FA9">
        <w:rPr>
          <w:rFonts w:ascii="Times New Roman" w:hAnsi="Times New Roman" w:cs="Times New Roman"/>
          <w:noProof/>
          <w:sz w:val="24"/>
          <w:szCs w:val="24"/>
        </w:rPr>
        <w:t xml:space="preserve">2004, </w:t>
      </w:r>
      <w:r w:rsidRPr="00435FA9">
        <w:rPr>
          <w:rFonts w:ascii="Times New Roman" w:hAnsi="Times New Roman" w:cs="Times New Roman"/>
          <w:b/>
          <w:noProof/>
          <w:sz w:val="24"/>
          <w:szCs w:val="24"/>
          <w:lang w:val="en-US"/>
        </w:rPr>
        <w:t>49</w:t>
      </w:r>
      <w:r w:rsidRPr="00435FA9">
        <w:rPr>
          <w:rFonts w:ascii="Times New Roman" w:hAnsi="Times New Roman" w:cs="Times New Roman"/>
          <w:noProof/>
          <w:sz w:val="24"/>
          <w:szCs w:val="24"/>
          <w:lang w:val="en-US"/>
        </w:rPr>
        <w:t>, 261.</w:t>
      </w:r>
    </w:p>
    <w:p w14:paraId="65EFBF3E" w14:textId="77777777" w:rsidR="00345831" w:rsidRPr="00435FA9" w:rsidRDefault="00345831" w:rsidP="00345831">
      <w:pPr>
        <w:pStyle w:val="ListParagraph"/>
        <w:numPr>
          <w:ilvl w:val="0"/>
          <w:numId w:val="30"/>
        </w:numPr>
        <w:rPr>
          <w:rFonts w:ascii="Times New Roman" w:hAnsi="Times New Roman" w:cs="Times New Roman"/>
          <w:noProof/>
          <w:sz w:val="24"/>
          <w:szCs w:val="24"/>
          <w:lang w:val="en-US"/>
        </w:rPr>
      </w:pPr>
      <w:r w:rsidRPr="00435FA9">
        <w:rPr>
          <w:rFonts w:ascii="Times New Roman" w:hAnsi="Times New Roman" w:cs="Times New Roman"/>
          <w:noProof/>
          <w:sz w:val="24"/>
          <w:szCs w:val="24"/>
          <w:lang w:val="en-US"/>
        </w:rPr>
        <w:t xml:space="preserve">U. von Gunten and Y. Oliveras, </w:t>
      </w:r>
      <w:r w:rsidRPr="00435FA9">
        <w:rPr>
          <w:rFonts w:ascii="Times New Roman" w:hAnsi="Times New Roman" w:cs="Times New Roman"/>
          <w:i/>
          <w:noProof/>
          <w:sz w:val="24"/>
          <w:szCs w:val="24"/>
          <w:lang w:val="en-US"/>
        </w:rPr>
        <w:t>Environ. Sci. Technol.</w:t>
      </w:r>
      <w:r w:rsidRPr="00435FA9">
        <w:rPr>
          <w:rFonts w:ascii="Times New Roman" w:hAnsi="Times New Roman" w:cs="Times New Roman"/>
          <w:noProof/>
          <w:sz w:val="24"/>
          <w:szCs w:val="24"/>
          <w:lang w:val="en-US"/>
        </w:rPr>
        <w:t xml:space="preserve">, 1998, </w:t>
      </w:r>
      <w:r w:rsidRPr="00435FA9">
        <w:rPr>
          <w:rFonts w:ascii="Times New Roman" w:hAnsi="Times New Roman" w:cs="Times New Roman"/>
          <w:b/>
          <w:noProof/>
          <w:sz w:val="24"/>
          <w:szCs w:val="24"/>
          <w:lang w:val="en-US"/>
        </w:rPr>
        <w:t>32</w:t>
      </w:r>
      <w:r w:rsidRPr="00435FA9">
        <w:rPr>
          <w:rFonts w:ascii="Times New Roman" w:hAnsi="Times New Roman" w:cs="Times New Roman"/>
          <w:noProof/>
          <w:sz w:val="24"/>
          <w:szCs w:val="24"/>
          <w:lang w:val="en-US"/>
        </w:rPr>
        <w:t xml:space="preserve">, 63. </w:t>
      </w:r>
    </w:p>
    <w:p w14:paraId="39889347" w14:textId="77777777" w:rsidR="00345831" w:rsidRPr="00435FA9" w:rsidRDefault="00345831" w:rsidP="00345831">
      <w:pPr>
        <w:pStyle w:val="ListParagraph"/>
        <w:numPr>
          <w:ilvl w:val="0"/>
          <w:numId w:val="30"/>
        </w:numPr>
        <w:rPr>
          <w:rFonts w:ascii="Times New Roman" w:hAnsi="Times New Roman" w:cs="Times New Roman"/>
          <w:sz w:val="24"/>
          <w:szCs w:val="24"/>
          <w:lang w:val="en-US"/>
        </w:rPr>
      </w:pPr>
      <w:r w:rsidRPr="00435FA9">
        <w:rPr>
          <w:rFonts w:ascii="Times New Roman" w:hAnsi="Times New Roman" w:cs="Times New Roman"/>
          <w:sz w:val="24"/>
          <w:szCs w:val="24"/>
        </w:rPr>
        <w:t xml:space="preserve">T. Bond, M.R. Templeton and N. Graham, </w:t>
      </w:r>
      <w:r w:rsidRPr="00435FA9">
        <w:rPr>
          <w:rFonts w:ascii="Times New Roman" w:hAnsi="Times New Roman" w:cs="Times New Roman"/>
          <w:i/>
          <w:sz w:val="24"/>
          <w:szCs w:val="24"/>
          <w:lang w:val="en-US"/>
        </w:rPr>
        <w:t>J. Hazard. Mater.</w:t>
      </w:r>
      <w:r w:rsidRPr="00435FA9">
        <w:rPr>
          <w:rFonts w:ascii="Times New Roman" w:hAnsi="Times New Roman" w:cs="Times New Roman"/>
          <w:sz w:val="24"/>
          <w:szCs w:val="24"/>
          <w:lang w:val="en-US"/>
        </w:rPr>
        <w:t xml:space="preserve">, </w:t>
      </w:r>
      <w:r w:rsidRPr="00435FA9">
        <w:rPr>
          <w:rFonts w:ascii="Times New Roman" w:hAnsi="Times New Roman" w:cs="Times New Roman"/>
          <w:sz w:val="24"/>
          <w:szCs w:val="24"/>
        </w:rPr>
        <w:t xml:space="preserve">2012, </w:t>
      </w:r>
      <w:r w:rsidRPr="00435FA9">
        <w:rPr>
          <w:rFonts w:ascii="Times New Roman" w:hAnsi="Times New Roman" w:cs="Times New Roman"/>
          <w:b/>
          <w:sz w:val="24"/>
          <w:szCs w:val="24"/>
          <w:lang w:val="en-US"/>
        </w:rPr>
        <w:t>235−236</w:t>
      </w:r>
      <w:r w:rsidRPr="00435FA9">
        <w:rPr>
          <w:rFonts w:ascii="Times New Roman" w:hAnsi="Times New Roman" w:cs="Times New Roman"/>
          <w:sz w:val="24"/>
          <w:szCs w:val="24"/>
          <w:lang w:val="en-US"/>
        </w:rPr>
        <w:t>, 1.</w:t>
      </w:r>
    </w:p>
    <w:p w14:paraId="4786D7E5"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J. Mack and J.R. Bolton, </w:t>
      </w:r>
      <w:r w:rsidRPr="00435FA9">
        <w:rPr>
          <w:rFonts w:ascii="Times New Roman" w:hAnsi="Times New Roman" w:cs="Times New Roman"/>
          <w:i/>
          <w:sz w:val="24"/>
          <w:szCs w:val="24"/>
        </w:rPr>
        <w:t>J. Photochem. Photobiol., A</w:t>
      </w:r>
      <w:r w:rsidRPr="00435FA9">
        <w:rPr>
          <w:rFonts w:ascii="Times New Roman" w:hAnsi="Times New Roman" w:cs="Times New Roman"/>
          <w:sz w:val="24"/>
          <w:szCs w:val="24"/>
        </w:rPr>
        <w:t xml:space="preserve">, 1999, </w:t>
      </w:r>
      <w:r w:rsidRPr="00435FA9">
        <w:rPr>
          <w:rFonts w:ascii="Times New Roman" w:hAnsi="Times New Roman" w:cs="Times New Roman"/>
          <w:b/>
          <w:sz w:val="24"/>
          <w:szCs w:val="24"/>
        </w:rPr>
        <w:t>128</w:t>
      </w:r>
      <w:r w:rsidRPr="00435FA9">
        <w:rPr>
          <w:rFonts w:ascii="Times New Roman" w:hAnsi="Times New Roman" w:cs="Times New Roman"/>
          <w:sz w:val="24"/>
          <w:szCs w:val="24"/>
        </w:rPr>
        <w:t>, 1.</w:t>
      </w:r>
    </w:p>
    <w:p w14:paraId="1B15428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Goldstein and J. Rabani, </w:t>
      </w:r>
      <w:r w:rsidRPr="00435FA9">
        <w:rPr>
          <w:rFonts w:ascii="Times New Roman" w:hAnsi="Times New Roman" w:cs="Times New Roman"/>
          <w:i/>
          <w:sz w:val="24"/>
          <w:szCs w:val="24"/>
        </w:rPr>
        <w:t>J. Am. Chem. Soc.</w:t>
      </w:r>
      <w:r w:rsidRPr="00435FA9">
        <w:rPr>
          <w:rFonts w:ascii="Times New Roman" w:hAnsi="Times New Roman" w:cs="Times New Roman"/>
          <w:sz w:val="24"/>
          <w:szCs w:val="24"/>
        </w:rPr>
        <w:t xml:space="preserve">, 2007, </w:t>
      </w:r>
      <w:r w:rsidRPr="00435FA9">
        <w:rPr>
          <w:rFonts w:ascii="Times New Roman" w:hAnsi="Times New Roman" w:cs="Times New Roman"/>
          <w:b/>
          <w:sz w:val="24"/>
          <w:szCs w:val="24"/>
        </w:rPr>
        <w:t>129</w:t>
      </w:r>
      <w:r w:rsidRPr="00435FA9">
        <w:rPr>
          <w:rFonts w:ascii="Times New Roman" w:hAnsi="Times New Roman" w:cs="Times New Roman"/>
          <w:sz w:val="24"/>
          <w:szCs w:val="24"/>
        </w:rPr>
        <w:t>, 10597.</w:t>
      </w:r>
    </w:p>
    <w:p w14:paraId="19A558A9"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K.A. Thorn and L.G. Cox, </w:t>
      </w:r>
      <w:r w:rsidRPr="00435FA9">
        <w:rPr>
          <w:rFonts w:ascii="Times New Roman" w:hAnsi="Times New Roman" w:cs="Times New Roman"/>
          <w:i/>
          <w:sz w:val="24"/>
          <w:szCs w:val="24"/>
        </w:rPr>
        <w:t>J. Environ. Qual.</w:t>
      </w:r>
      <w:r w:rsidRPr="00435FA9">
        <w:rPr>
          <w:rFonts w:ascii="Times New Roman" w:hAnsi="Times New Roman" w:cs="Times New Roman"/>
          <w:sz w:val="24"/>
          <w:szCs w:val="24"/>
        </w:rPr>
        <w:t xml:space="preserve">, 2012, </w:t>
      </w:r>
      <w:r w:rsidRPr="00435FA9">
        <w:rPr>
          <w:rFonts w:ascii="Times New Roman" w:hAnsi="Times New Roman" w:cs="Times New Roman"/>
          <w:b/>
          <w:sz w:val="24"/>
          <w:szCs w:val="24"/>
        </w:rPr>
        <w:t>41</w:t>
      </w:r>
      <w:r w:rsidRPr="00435FA9">
        <w:rPr>
          <w:rFonts w:ascii="Times New Roman" w:hAnsi="Times New Roman" w:cs="Times New Roman"/>
          <w:sz w:val="24"/>
          <w:szCs w:val="24"/>
        </w:rPr>
        <w:t>, 865-881.</w:t>
      </w:r>
    </w:p>
    <w:p w14:paraId="7747004A"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lang w:val="nl-NL"/>
        </w:rPr>
        <w:t xml:space="preserve">J. Dzengel, J. Theurich and D.W. Bahnemann. </w:t>
      </w:r>
      <w:r w:rsidRPr="00435FA9">
        <w:rPr>
          <w:rFonts w:ascii="Times New Roman" w:hAnsi="Times New Roman" w:cs="Times New Roman"/>
          <w:sz w:val="24"/>
          <w:szCs w:val="24"/>
        </w:rPr>
        <w:t xml:space="preserve">Formation of Nitroaromatic Compounds in Advanced Oxidation Processes: Photolysis versus Photocatalysis. </w:t>
      </w:r>
      <w:r w:rsidRPr="00435FA9">
        <w:rPr>
          <w:rFonts w:ascii="Times New Roman" w:hAnsi="Times New Roman" w:cs="Times New Roman"/>
          <w:i/>
          <w:sz w:val="24"/>
          <w:szCs w:val="24"/>
        </w:rPr>
        <w:t>Environ. Sci. Technol.</w:t>
      </w:r>
      <w:r w:rsidRPr="00435FA9">
        <w:rPr>
          <w:rFonts w:ascii="Times New Roman" w:hAnsi="Times New Roman" w:cs="Times New Roman"/>
          <w:sz w:val="24"/>
          <w:szCs w:val="24"/>
        </w:rPr>
        <w:t xml:space="preserve">, </w:t>
      </w:r>
      <w:r w:rsidRPr="00435FA9">
        <w:rPr>
          <w:rFonts w:ascii="Times New Roman" w:hAnsi="Times New Roman" w:cs="Times New Roman"/>
          <w:sz w:val="24"/>
          <w:szCs w:val="24"/>
          <w:lang w:val="nl-NL"/>
        </w:rPr>
        <w:t xml:space="preserve">1998, </w:t>
      </w:r>
      <w:r w:rsidRPr="00435FA9">
        <w:rPr>
          <w:rFonts w:ascii="Times New Roman" w:hAnsi="Times New Roman" w:cs="Times New Roman"/>
          <w:b/>
          <w:sz w:val="24"/>
          <w:szCs w:val="24"/>
        </w:rPr>
        <w:t>33</w:t>
      </w:r>
      <w:r w:rsidRPr="00435FA9">
        <w:rPr>
          <w:rFonts w:ascii="Times New Roman" w:hAnsi="Times New Roman" w:cs="Times New Roman"/>
          <w:sz w:val="24"/>
          <w:szCs w:val="24"/>
        </w:rPr>
        <w:t>, 294.</w:t>
      </w:r>
    </w:p>
    <w:p w14:paraId="79E32039"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D. Vione, V. Maurino, C. Minero, M. Lucchiari and E. Pelizzetti, </w:t>
      </w:r>
      <w:r w:rsidRPr="00435FA9">
        <w:rPr>
          <w:rFonts w:ascii="Times New Roman" w:hAnsi="Times New Roman" w:cs="Times New Roman"/>
          <w:i/>
          <w:sz w:val="24"/>
          <w:szCs w:val="24"/>
        </w:rPr>
        <w:t>Chemosphere</w:t>
      </w:r>
      <w:r w:rsidRPr="00435FA9">
        <w:rPr>
          <w:rFonts w:ascii="Times New Roman" w:hAnsi="Times New Roman" w:cs="Times New Roman"/>
          <w:sz w:val="24"/>
          <w:szCs w:val="24"/>
        </w:rPr>
        <w:t xml:space="preserve">, 2004, </w:t>
      </w:r>
      <w:r w:rsidRPr="00435FA9">
        <w:rPr>
          <w:rFonts w:ascii="Times New Roman" w:hAnsi="Times New Roman" w:cs="Times New Roman"/>
          <w:b/>
          <w:sz w:val="24"/>
          <w:szCs w:val="24"/>
        </w:rPr>
        <w:t>56</w:t>
      </w:r>
      <w:r w:rsidRPr="00435FA9">
        <w:rPr>
          <w:rFonts w:ascii="Times New Roman" w:hAnsi="Times New Roman" w:cs="Times New Roman"/>
          <w:sz w:val="24"/>
          <w:szCs w:val="24"/>
        </w:rPr>
        <w:t>, 1049.</w:t>
      </w:r>
    </w:p>
    <w:p w14:paraId="195828F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lang w:val="nl-NL"/>
        </w:rPr>
        <w:t>A.J. Martijn, M.G. Boersma, J.M. Vervoort, I.M.C.M. Rietjens and J.C. Kruithof,</w:t>
      </w:r>
      <w:r w:rsidRPr="00435FA9">
        <w:rPr>
          <w:rFonts w:ascii="Times New Roman" w:hAnsi="Times New Roman" w:cs="Times New Roman"/>
          <w:sz w:val="24"/>
          <w:szCs w:val="24"/>
        </w:rPr>
        <w:t xml:space="preserve"> </w:t>
      </w:r>
      <w:r w:rsidRPr="00435FA9">
        <w:rPr>
          <w:rFonts w:ascii="Times New Roman" w:hAnsi="Times New Roman" w:cs="Times New Roman"/>
          <w:i/>
          <w:sz w:val="24"/>
          <w:szCs w:val="24"/>
        </w:rPr>
        <w:t>Desalin. Water Treat.</w:t>
      </w:r>
      <w:r w:rsidRPr="00435FA9">
        <w:rPr>
          <w:rFonts w:ascii="Times New Roman" w:hAnsi="Times New Roman" w:cs="Times New Roman"/>
          <w:sz w:val="24"/>
          <w:szCs w:val="24"/>
        </w:rPr>
        <w:t xml:space="preserve">, </w:t>
      </w:r>
      <w:r w:rsidRPr="00435FA9">
        <w:rPr>
          <w:rFonts w:ascii="Times New Roman" w:hAnsi="Times New Roman" w:cs="Times New Roman"/>
          <w:sz w:val="24"/>
          <w:szCs w:val="24"/>
          <w:lang w:val="nl-NL"/>
        </w:rPr>
        <w:t xml:space="preserve">2014, </w:t>
      </w:r>
      <w:r w:rsidRPr="00435FA9">
        <w:rPr>
          <w:rFonts w:ascii="Times New Roman" w:hAnsi="Times New Roman" w:cs="Times New Roman"/>
          <w:b/>
          <w:sz w:val="24"/>
          <w:szCs w:val="24"/>
        </w:rPr>
        <w:t>52</w:t>
      </w:r>
      <w:r w:rsidRPr="00435FA9">
        <w:rPr>
          <w:rFonts w:ascii="Times New Roman" w:hAnsi="Times New Roman" w:cs="Times New Roman"/>
          <w:sz w:val="24"/>
          <w:szCs w:val="24"/>
        </w:rPr>
        <w:t>, 6275–6281.</w:t>
      </w:r>
    </w:p>
    <w:p w14:paraId="662841C0" w14:textId="77777777" w:rsidR="00345831" w:rsidRPr="00435FA9" w:rsidRDefault="00345831" w:rsidP="00345831">
      <w:pPr>
        <w:pStyle w:val="ListParagraph"/>
        <w:numPr>
          <w:ilvl w:val="0"/>
          <w:numId w:val="30"/>
        </w:numPr>
        <w:rPr>
          <w:rFonts w:ascii="Times New Roman" w:hAnsi="Times New Roman" w:cs="Times New Roman"/>
          <w:sz w:val="24"/>
          <w:szCs w:val="24"/>
          <w:shd w:val="clear" w:color="auto" w:fill="FFFFFF"/>
        </w:rPr>
      </w:pPr>
      <w:r w:rsidRPr="00435FA9">
        <w:rPr>
          <w:rFonts w:ascii="Times New Roman" w:hAnsi="Times New Roman" w:cs="Times New Roman"/>
          <w:sz w:val="24"/>
          <w:szCs w:val="24"/>
          <w:shd w:val="clear" w:color="auto" w:fill="FFFFFF"/>
        </w:rPr>
        <w:t xml:space="preserve">A.J. Martijn, J.C. Kruithof, R.A.M. Hughes, R.A. Mastan, A.R. Van Rompay and J.P. Malley Jr., </w:t>
      </w:r>
      <w:r w:rsidRPr="00435FA9">
        <w:rPr>
          <w:rFonts w:ascii="Times New Roman" w:hAnsi="Times New Roman" w:cs="Times New Roman"/>
          <w:i/>
          <w:sz w:val="24"/>
          <w:szCs w:val="24"/>
          <w:shd w:val="clear" w:color="auto" w:fill="FFFFFF"/>
        </w:rPr>
        <w:t>J. - Am. Water Works Assoc.</w:t>
      </w:r>
      <w:r w:rsidRPr="00435FA9">
        <w:rPr>
          <w:rFonts w:ascii="Times New Roman" w:hAnsi="Times New Roman" w:cs="Times New Roman"/>
          <w:sz w:val="24"/>
          <w:szCs w:val="24"/>
          <w:shd w:val="clear" w:color="auto" w:fill="FFFFFF"/>
        </w:rPr>
        <w:t xml:space="preserve">, 2015, </w:t>
      </w:r>
      <w:r w:rsidRPr="00435FA9">
        <w:rPr>
          <w:rFonts w:ascii="Times New Roman" w:hAnsi="Times New Roman" w:cs="Times New Roman"/>
          <w:b/>
          <w:sz w:val="24"/>
          <w:szCs w:val="24"/>
          <w:shd w:val="clear" w:color="auto" w:fill="FFFFFF"/>
        </w:rPr>
        <w:t>107</w:t>
      </w:r>
      <w:r w:rsidRPr="00435FA9">
        <w:rPr>
          <w:rFonts w:ascii="Times New Roman" w:hAnsi="Times New Roman" w:cs="Times New Roman"/>
          <w:sz w:val="24"/>
          <w:szCs w:val="24"/>
          <w:shd w:val="clear" w:color="auto" w:fill="FFFFFF"/>
        </w:rPr>
        <w:t>, 301.</w:t>
      </w:r>
    </w:p>
    <w:p w14:paraId="3432BAFE" w14:textId="77777777" w:rsidR="00C35622" w:rsidRPr="00435FA9" w:rsidRDefault="00345831" w:rsidP="00C35622">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F. Machado and P. Boule, </w:t>
      </w:r>
      <w:r w:rsidRPr="00435FA9">
        <w:rPr>
          <w:rFonts w:ascii="Times New Roman" w:hAnsi="Times New Roman" w:cs="Times New Roman"/>
          <w:i/>
          <w:sz w:val="24"/>
          <w:szCs w:val="24"/>
        </w:rPr>
        <w:t>J. Photochem. Photobiol., A</w:t>
      </w:r>
      <w:r w:rsidRPr="00435FA9">
        <w:rPr>
          <w:rFonts w:ascii="Times New Roman" w:hAnsi="Times New Roman" w:cs="Times New Roman"/>
          <w:sz w:val="24"/>
          <w:szCs w:val="24"/>
        </w:rPr>
        <w:t xml:space="preserve">, 1995, </w:t>
      </w:r>
      <w:r w:rsidRPr="00435FA9">
        <w:rPr>
          <w:rFonts w:ascii="Times New Roman" w:hAnsi="Times New Roman" w:cs="Times New Roman"/>
          <w:b/>
          <w:sz w:val="24"/>
          <w:szCs w:val="24"/>
        </w:rPr>
        <w:t>86</w:t>
      </w:r>
      <w:r w:rsidRPr="00435FA9">
        <w:rPr>
          <w:rFonts w:ascii="Times New Roman" w:hAnsi="Times New Roman" w:cs="Times New Roman"/>
          <w:sz w:val="24"/>
          <w:szCs w:val="24"/>
        </w:rPr>
        <w:t>, 73.</w:t>
      </w:r>
    </w:p>
    <w:p w14:paraId="18FD5EC6" w14:textId="081BF92C" w:rsidR="00345831" w:rsidRPr="00435FA9" w:rsidRDefault="00345831" w:rsidP="00C35622">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Kolkman, B.J. Martijn, D. Vughs, K.A. Baken and A.P. van Wezel, </w:t>
      </w:r>
      <w:r w:rsidRPr="00435FA9">
        <w:rPr>
          <w:rFonts w:ascii="Times New Roman" w:hAnsi="Times New Roman" w:cs="Times New Roman"/>
          <w:i/>
          <w:sz w:val="24"/>
          <w:szCs w:val="24"/>
        </w:rPr>
        <w:t>Environ. Sci. Technol</w:t>
      </w:r>
      <w:r w:rsidRPr="00435FA9">
        <w:rPr>
          <w:rFonts w:ascii="Times New Roman" w:hAnsi="Times New Roman" w:cs="Times New Roman"/>
          <w:sz w:val="24"/>
          <w:szCs w:val="24"/>
        </w:rPr>
        <w:t xml:space="preserve">., 2015, </w:t>
      </w:r>
      <w:r w:rsidRPr="00435FA9">
        <w:rPr>
          <w:rFonts w:ascii="Times New Roman" w:hAnsi="Times New Roman" w:cs="Times New Roman"/>
          <w:b/>
          <w:sz w:val="24"/>
          <w:szCs w:val="24"/>
        </w:rPr>
        <w:t>49</w:t>
      </w:r>
      <w:r w:rsidRPr="00435FA9">
        <w:rPr>
          <w:rFonts w:ascii="Times New Roman" w:hAnsi="Times New Roman" w:cs="Times New Roman"/>
          <w:sz w:val="24"/>
          <w:szCs w:val="24"/>
        </w:rPr>
        <w:t>, 4458.</w:t>
      </w:r>
    </w:p>
    <w:p w14:paraId="4B29868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lang w:val="nl-NL"/>
        </w:rPr>
        <w:t xml:space="preserve">H.S. Rosenkranz and R. Mermelstein, </w:t>
      </w:r>
      <w:r w:rsidRPr="00435FA9">
        <w:rPr>
          <w:rFonts w:ascii="Times New Roman" w:hAnsi="Times New Roman" w:cs="Times New Roman"/>
          <w:i/>
          <w:sz w:val="24"/>
          <w:szCs w:val="24"/>
        </w:rPr>
        <w:t>J. Environ. Sci. Health, Part C: Environ. Carcinog. Rev.</w:t>
      </w:r>
      <w:r w:rsidRPr="00435FA9">
        <w:rPr>
          <w:rFonts w:ascii="Times New Roman" w:hAnsi="Times New Roman" w:cs="Times New Roman"/>
          <w:sz w:val="24"/>
          <w:szCs w:val="24"/>
        </w:rPr>
        <w:t xml:space="preserve">, </w:t>
      </w:r>
      <w:r w:rsidRPr="00435FA9">
        <w:rPr>
          <w:rFonts w:ascii="Times New Roman" w:hAnsi="Times New Roman" w:cs="Times New Roman"/>
          <w:sz w:val="24"/>
          <w:szCs w:val="24"/>
          <w:lang w:val="nl-NL"/>
        </w:rPr>
        <w:t xml:space="preserve">1985, </w:t>
      </w:r>
      <w:r w:rsidRPr="00435FA9">
        <w:rPr>
          <w:rFonts w:ascii="Times New Roman" w:hAnsi="Times New Roman" w:cs="Times New Roman"/>
          <w:b/>
          <w:sz w:val="24"/>
          <w:szCs w:val="24"/>
        </w:rPr>
        <w:t>3</w:t>
      </w:r>
      <w:r w:rsidRPr="00435FA9">
        <w:rPr>
          <w:rFonts w:ascii="Times New Roman" w:hAnsi="Times New Roman" w:cs="Times New Roman"/>
          <w:sz w:val="24"/>
          <w:szCs w:val="24"/>
        </w:rPr>
        <w:t>, 221.</w:t>
      </w:r>
    </w:p>
    <w:p w14:paraId="131AD684"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B.N. Ames, E.G. Gurney, J.A. Miller and H. Bartsch, </w:t>
      </w:r>
      <w:r w:rsidRPr="00435FA9">
        <w:rPr>
          <w:rFonts w:ascii="Times New Roman" w:hAnsi="Times New Roman" w:cs="Times New Roman"/>
          <w:i/>
          <w:sz w:val="24"/>
          <w:szCs w:val="24"/>
        </w:rPr>
        <w:t>Proceedings of the National Academy of Sciences of the United States of America,</w:t>
      </w:r>
      <w:r w:rsidRPr="00435FA9">
        <w:rPr>
          <w:rFonts w:ascii="Times New Roman" w:hAnsi="Times New Roman" w:cs="Times New Roman"/>
          <w:sz w:val="24"/>
          <w:szCs w:val="24"/>
        </w:rPr>
        <w:t xml:space="preserve"> 1972, </w:t>
      </w:r>
      <w:r w:rsidRPr="00435FA9">
        <w:rPr>
          <w:rFonts w:ascii="Times New Roman" w:hAnsi="Times New Roman" w:cs="Times New Roman"/>
          <w:b/>
          <w:sz w:val="24"/>
          <w:szCs w:val="24"/>
        </w:rPr>
        <w:t>69</w:t>
      </w:r>
      <w:r w:rsidRPr="00435FA9">
        <w:rPr>
          <w:rFonts w:ascii="Times New Roman" w:hAnsi="Times New Roman" w:cs="Times New Roman"/>
          <w:sz w:val="24"/>
          <w:szCs w:val="24"/>
        </w:rPr>
        <w:t>, 3128.</w:t>
      </w:r>
    </w:p>
    <w:p w14:paraId="07A447E5"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National Toxicology Program, </w:t>
      </w:r>
      <w:hyperlink r:id="rId10" w:history="1">
        <w:r w:rsidRPr="00435FA9">
          <w:rPr>
            <w:rStyle w:val="Hyperlink"/>
            <w:rFonts w:ascii="Times New Roman" w:hAnsi="Times New Roman" w:cs="Times New Roman"/>
            <w:sz w:val="24"/>
            <w:szCs w:val="24"/>
          </w:rPr>
          <w:t>http://ntp.niehs.nih.gov/testing/types/genetic/invitro/sa/index.html</w:t>
        </w:r>
      </w:hyperlink>
      <w:r w:rsidRPr="00435FA9">
        <w:rPr>
          <w:rStyle w:val="Hyperlink"/>
          <w:rFonts w:ascii="Times New Roman" w:hAnsi="Times New Roman" w:cs="Times New Roman"/>
          <w:sz w:val="24"/>
          <w:szCs w:val="24"/>
        </w:rPr>
        <w:t>,</w:t>
      </w:r>
      <w:r w:rsidRPr="00435FA9">
        <w:rPr>
          <w:rFonts w:ascii="Times New Roman" w:hAnsi="Times New Roman" w:cs="Times New Roman"/>
          <w:sz w:val="24"/>
          <w:szCs w:val="24"/>
        </w:rPr>
        <w:t xml:space="preserve"> (accessed September 2017).</w:t>
      </w:r>
    </w:p>
    <w:p w14:paraId="4466C9AC" w14:textId="77777777" w:rsidR="00345831" w:rsidRPr="00435FA9" w:rsidRDefault="00345831" w:rsidP="00345831">
      <w:pPr>
        <w:pStyle w:val="ListParagraph"/>
        <w:numPr>
          <w:ilvl w:val="0"/>
          <w:numId w:val="30"/>
        </w:numPr>
        <w:rPr>
          <w:rFonts w:ascii="Times New Roman" w:hAnsi="Times New Roman" w:cs="Times New Roman"/>
          <w:noProof/>
          <w:sz w:val="24"/>
          <w:szCs w:val="24"/>
        </w:rPr>
      </w:pPr>
      <w:r w:rsidRPr="00435FA9">
        <w:rPr>
          <w:rFonts w:ascii="Times New Roman" w:hAnsi="Times New Roman" w:cs="Times New Roman"/>
          <w:noProof/>
          <w:sz w:val="24"/>
          <w:szCs w:val="24"/>
        </w:rPr>
        <w:t xml:space="preserve">S. Flückiger-Isler, M. Baumeister, K. Braun, V. Gervais, N. Hasler-Nguyen, R. Reimann, J. Van Gompel, H.G. Wunderlich and G. Engelhardt, </w:t>
      </w:r>
      <w:r w:rsidRPr="00435FA9">
        <w:rPr>
          <w:rFonts w:ascii="Times New Roman" w:hAnsi="Times New Roman" w:cs="Times New Roman"/>
          <w:i/>
          <w:noProof/>
          <w:sz w:val="24"/>
          <w:szCs w:val="24"/>
        </w:rPr>
        <w:t>Mutat. Res., Genet. Toxicol. Environ. Mutagen.</w:t>
      </w:r>
      <w:r w:rsidRPr="00435FA9">
        <w:rPr>
          <w:rFonts w:ascii="Times New Roman" w:hAnsi="Times New Roman" w:cs="Times New Roman"/>
          <w:noProof/>
          <w:sz w:val="24"/>
          <w:szCs w:val="24"/>
        </w:rPr>
        <w:t xml:space="preserve">, 2004, </w:t>
      </w:r>
      <w:r w:rsidRPr="00435FA9">
        <w:rPr>
          <w:rFonts w:ascii="Times New Roman" w:hAnsi="Times New Roman" w:cs="Times New Roman"/>
          <w:b/>
          <w:noProof/>
          <w:sz w:val="24"/>
          <w:szCs w:val="24"/>
        </w:rPr>
        <w:t>558</w:t>
      </w:r>
      <w:r w:rsidRPr="00435FA9">
        <w:rPr>
          <w:rFonts w:ascii="Times New Roman" w:hAnsi="Times New Roman" w:cs="Times New Roman"/>
          <w:noProof/>
          <w:sz w:val="24"/>
          <w:szCs w:val="24"/>
        </w:rPr>
        <w:t>, 181.</w:t>
      </w:r>
    </w:p>
    <w:p w14:paraId="3653AF24" w14:textId="77777777" w:rsidR="00345831" w:rsidRPr="00435FA9" w:rsidRDefault="00345831" w:rsidP="00345831">
      <w:pPr>
        <w:pStyle w:val="ListParagraph"/>
        <w:numPr>
          <w:ilvl w:val="0"/>
          <w:numId w:val="30"/>
        </w:numPr>
        <w:rPr>
          <w:rFonts w:ascii="Times New Roman" w:hAnsi="Times New Roman" w:cs="Times New Roman"/>
          <w:noProof/>
          <w:sz w:val="24"/>
          <w:szCs w:val="24"/>
          <w:lang w:val="nl-NL"/>
        </w:rPr>
      </w:pPr>
      <w:r w:rsidRPr="00435FA9">
        <w:rPr>
          <w:rFonts w:ascii="Times New Roman" w:hAnsi="Times New Roman" w:cs="Times New Roman"/>
          <w:noProof/>
          <w:sz w:val="24"/>
          <w:szCs w:val="24"/>
          <w:lang w:val="nl-NL"/>
        </w:rPr>
        <w:t xml:space="preserve">F. van Hoof, J.G. Janssens and H. van Dijck, </w:t>
      </w:r>
      <w:r w:rsidRPr="00435FA9">
        <w:rPr>
          <w:rFonts w:ascii="Times New Roman" w:hAnsi="Times New Roman" w:cs="Times New Roman"/>
          <w:i/>
          <w:noProof/>
          <w:sz w:val="24"/>
          <w:szCs w:val="24"/>
          <w:lang w:val="nl-NL"/>
        </w:rPr>
        <w:t>Chemosphere</w:t>
      </w:r>
      <w:r w:rsidRPr="00435FA9">
        <w:rPr>
          <w:rFonts w:ascii="Times New Roman" w:hAnsi="Times New Roman" w:cs="Times New Roman"/>
          <w:noProof/>
          <w:sz w:val="24"/>
          <w:szCs w:val="24"/>
          <w:lang w:val="nl-NL"/>
        </w:rPr>
        <w:t xml:space="preserve">, 1985, </w:t>
      </w:r>
      <w:r w:rsidRPr="00435FA9">
        <w:rPr>
          <w:rFonts w:ascii="Times New Roman" w:hAnsi="Times New Roman" w:cs="Times New Roman"/>
          <w:b/>
          <w:noProof/>
          <w:sz w:val="24"/>
          <w:szCs w:val="24"/>
          <w:lang w:val="nl-NL"/>
        </w:rPr>
        <w:t>14</w:t>
      </w:r>
      <w:r w:rsidRPr="00435FA9">
        <w:rPr>
          <w:rFonts w:ascii="Times New Roman" w:hAnsi="Times New Roman" w:cs="Times New Roman"/>
          <w:noProof/>
          <w:sz w:val="24"/>
          <w:szCs w:val="24"/>
          <w:lang w:val="nl-NL"/>
        </w:rPr>
        <w:t>, 501.</w:t>
      </w:r>
    </w:p>
    <w:p w14:paraId="4372C1E2" w14:textId="77777777" w:rsidR="00345831" w:rsidRPr="00435FA9" w:rsidRDefault="00345831" w:rsidP="00345831">
      <w:pPr>
        <w:pStyle w:val="ListParagraph"/>
        <w:numPr>
          <w:ilvl w:val="0"/>
          <w:numId w:val="30"/>
        </w:numPr>
        <w:rPr>
          <w:rFonts w:ascii="Times New Roman" w:hAnsi="Times New Roman" w:cs="Times New Roman"/>
          <w:noProof/>
          <w:sz w:val="24"/>
          <w:szCs w:val="24"/>
          <w:lang w:val="nl-NL"/>
        </w:rPr>
      </w:pPr>
      <w:r w:rsidRPr="00435FA9">
        <w:rPr>
          <w:rFonts w:ascii="Times New Roman" w:hAnsi="Times New Roman" w:cs="Times New Roman"/>
          <w:noProof/>
          <w:sz w:val="24"/>
          <w:szCs w:val="24"/>
          <w:lang w:val="en-US"/>
        </w:rPr>
        <w:t xml:space="preserve">M.A. van der Gaag, J.C. Kruithof and L.M. Puijker, </w:t>
      </w:r>
      <w:r w:rsidRPr="00435FA9">
        <w:rPr>
          <w:rFonts w:ascii="Times New Roman" w:hAnsi="Times New Roman" w:cs="Times New Roman"/>
          <w:i/>
          <w:noProof/>
          <w:sz w:val="24"/>
          <w:szCs w:val="24"/>
          <w:lang w:val="nl-NL"/>
        </w:rPr>
        <w:t>Sci. Total Environ</w:t>
      </w:r>
      <w:r w:rsidRPr="00435FA9">
        <w:rPr>
          <w:rFonts w:ascii="Times New Roman" w:hAnsi="Times New Roman" w:cs="Times New Roman"/>
          <w:noProof/>
          <w:sz w:val="24"/>
          <w:szCs w:val="24"/>
          <w:lang w:val="nl-NL"/>
        </w:rPr>
        <w:t xml:space="preserve">., </w:t>
      </w:r>
      <w:r w:rsidRPr="00435FA9">
        <w:rPr>
          <w:rFonts w:ascii="Times New Roman" w:hAnsi="Times New Roman" w:cs="Times New Roman"/>
          <w:noProof/>
          <w:sz w:val="24"/>
          <w:szCs w:val="24"/>
          <w:lang w:val="en-US"/>
        </w:rPr>
        <w:t>1986,</w:t>
      </w:r>
      <w:r w:rsidRPr="00435FA9">
        <w:rPr>
          <w:rFonts w:ascii="Times New Roman" w:hAnsi="Times New Roman" w:cs="Times New Roman"/>
          <w:noProof/>
          <w:sz w:val="24"/>
          <w:szCs w:val="24"/>
          <w:lang w:val="nl-NL"/>
        </w:rPr>
        <w:t xml:space="preserve"> </w:t>
      </w:r>
      <w:r w:rsidRPr="00435FA9">
        <w:rPr>
          <w:rFonts w:ascii="Times New Roman" w:hAnsi="Times New Roman" w:cs="Times New Roman"/>
          <w:b/>
          <w:noProof/>
          <w:sz w:val="24"/>
          <w:szCs w:val="24"/>
          <w:lang w:val="nl-NL"/>
        </w:rPr>
        <w:t>47</w:t>
      </w:r>
      <w:r w:rsidRPr="00435FA9">
        <w:rPr>
          <w:rFonts w:ascii="Times New Roman" w:hAnsi="Times New Roman" w:cs="Times New Roman"/>
          <w:noProof/>
          <w:sz w:val="24"/>
          <w:szCs w:val="24"/>
          <w:lang w:val="nl-NL"/>
        </w:rPr>
        <w:t>, 137.</w:t>
      </w:r>
    </w:p>
    <w:p w14:paraId="2484D1B8"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M.B. Heringa, D.J.H. Harmsen, E.F. Beerendonk, A.A. Reus, C.A.M. Krul, D.H. Metz and G.F. IJpelaar,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2011, </w:t>
      </w:r>
      <w:r w:rsidRPr="00435FA9">
        <w:rPr>
          <w:rFonts w:ascii="Times New Roman" w:hAnsi="Times New Roman" w:cs="Times New Roman"/>
          <w:b/>
          <w:sz w:val="24"/>
          <w:szCs w:val="24"/>
        </w:rPr>
        <w:t>45</w:t>
      </w:r>
      <w:r w:rsidRPr="00435FA9">
        <w:rPr>
          <w:rFonts w:ascii="Times New Roman" w:hAnsi="Times New Roman" w:cs="Times New Roman"/>
          <w:sz w:val="24"/>
          <w:szCs w:val="24"/>
        </w:rPr>
        <w:t>, 366.</w:t>
      </w:r>
    </w:p>
    <w:p w14:paraId="166E58C9"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noProof/>
          <w:sz w:val="24"/>
          <w:szCs w:val="24"/>
          <w:lang w:val="en-US"/>
        </w:rPr>
        <w:t xml:space="preserve">A.J. Martijn and J.C. Kruithof, </w:t>
      </w:r>
      <w:r w:rsidRPr="00435FA9">
        <w:rPr>
          <w:rFonts w:ascii="Times New Roman" w:hAnsi="Times New Roman" w:cs="Times New Roman"/>
          <w:i/>
          <w:noProof/>
          <w:sz w:val="24"/>
          <w:szCs w:val="24"/>
        </w:rPr>
        <w:t>Ozone Sci. Eng</w:t>
      </w:r>
      <w:r w:rsidRPr="00435FA9">
        <w:rPr>
          <w:rFonts w:ascii="Times New Roman" w:hAnsi="Times New Roman" w:cs="Times New Roman"/>
          <w:noProof/>
          <w:sz w:val="24"/>
          <w:szCs w:val="24"/>
        </w:rPr>
        <w:t xml:space="preserve">., </w:t>
      </w:r>
      <w:r w:rsidRPr="00435FA9">
        <w:rPr>
          <w:rFonts w:ascii="Times New Roman" w:hAnsi="Times New Roman" w:cs="Times New Roman"/>
          <w:noProof/>
          <w:sz w:val="24"/>
          <w:szCs w:val="24"/>
          <w:lang w:val="en-US"/>
        </w:rPr>
        <w:t xml:space="preserve">2012, </w:t>
      </w:r>
      <w:r w:rsidRPr="00435FA9">
        <w:rPr>
          <w:rFonts w:ascii="Times New Roman" w:hAnsi="Times New Roman" w:cs="Times New Roman"/>
          <w:b/>
          <w:noProof/>
          <w:sz w:val="24"/>
          <w:szCs w:val="24"/>
        </w:rPr>
        <w:t>34</w:t>
      </w:r>
      <w:r w:rsidRPr="00435FA9">
        <w:rPr>
          <w:rFonts w:ascii="Times New Roman" w:hAnsi="Times New Roman" w:cs="Times New Roman"/>
          <w:noProof/>
          <w:sz w:val="24"/>
          <w:szCs w:val="24"/>
        </w:rPr>
        <w:t xml:space="preserve">, 92. </w:t>
      </w:r>
    </w:p>
    <w:p w14:paraId="2250E1CD" w14:textId="77777777" w:rsidR="00345831" w:rsidRPr="00435FA9" w:rsidRDefault="00345831" w:rsidP="00345831">
      <w:pPr>
        <w:pStyle w:val="ListParagraph"/>
        <w:numPr>
          <w:ilvl w:val="0"/>
          <w:numId w:val="30"/>
        </w:numPr>
        <w:rPr>
          <w:rFonts w:ascii="Times New Roman" w:hAnsi="Times New Roman" w:cs="Times New Roman"/>
          <w:noProof/>
          <w:sz w:val="24"/>
          <w:szCs w:val="24"/>
        </w:rPr>
      </w:pPr>
      <w:r w:rsidRPr="00435FA9">
        <w:rPr>
          <w:rFonts w:ascii="Times New Roman" w:hAnsi="Times New Roman" w:cs="Times New Roman"/>
          <w:noProof/>
          <w:sz w:val="24"/>
          <w:szCs w:val="24"/>
          <w:lang w:val="nl-NL"/>
        </w:rPr>
        <w:lastRenderedPageBreak/>
        <w:t xml:space="preserve">C.F. van Kreijl, H.J. Kool, M. de Vries, H.J. van Kranen and E. de Greef, </w:t>
      </w:r>
      <w:r w:rsidRPr="00435FA9">
        <w:rPr>
          <w:rFonts w:ascii="Times New Roman" w:hAnsi="Times New Roman" w:cs="Times New Roman"/>
          <w:i/>
          <w:noProof/>
          <w:sz w:val="24"/>
          <w:szCs w:val="24"/>
        </w:rPr>
        <w:t>Sci. Total Environ</w:t>
      </w:r>
      <w:r w:rsidRPr="00435FA9">
        <w:rPr>
          <w:rFonts w:ascii="Times New Roman" w:hAnsi="Times New Roman" w:cs="Times New Roman"/>
          <w:noProof/>
          <w:sz w:val="24"/>
          <w:szCs w:val="24"/>
        </w:rPr>
        <w:t xml:space="preserve">., </w:t>
      </w:r>
      <w:r w:rsidRPr="00435FA9">
        <w:rPr>
          <w:rFonts w:ascii="Times New Roman" w:hAnsi="Times New Roman" w:cs="Times New Roman"/>
          <w:noProof/>
          <w:sz w:val="24"/>
          <w:szCs w:val="24"/>
          <w:lang w:val="nl-NL"/>
        </w:rPr>
        <w:t>1980,</w:t>
      </w:r>
      <w:r w:rsidRPr="00435FA9">
        <w:rPr>
          <w:rFonts w:ascii="Times New Roman" w:hAnsi="Times New Roman" w:cs="Times New Roman"/>
          <w:noProof/>
          <w:sz w:val="24"/>
          <w:szCs w:val="24"/>
        </w:rPr>
        <w:t xml:space="preserve"> </w:t>
      </w:r>
      <w:r w:rsidRPr="00435FA9">
        <w:rPr>
          <w:rFonts w:ascii="Times New Roman" w:hAnsi="Times New Roman" w:cs="Times New Roman"/>
          <w:b/>
          <w:noProof/>
          <w:sz w:val="24"/>
          <w:szCs w:val="24"/>
        </w:rPr>
        <w:t>15</w:t>
      </w:r>
      <w:r w:rsidRPr="00435FA9">
        <w:rPr>
          <w:rFonts w:ascii="Times New Roman" w:hAnsi="Times New Roman" w:cs="Times New Roman"/>
          <w:noProof/>
          <w:sz w:val="24"/>
          <w:szCs w:val="24"/>
        </w:rPr>
        <w:t>, 137.</w:t>
      </w:r>
    </w:p>
    <w:p w14:paraId="13F33397" w14:textId="77777777" w:rsidR="00345831" w:rsidRPr="00435FA9" w:rsidRDefault="00345831" w:rsidP="00345831">
      <w:pPr>
        <w:pStyle w:val="ListParagraph"/>
        <w:numPr>
          <w:ilvl w:val="0"/>
          <w:numId w:val="30"/>
        </w:numPr>
        <w:rPr>
          <w:rFonts w:ascii="Times New Roman" w:hAnsi="Times New Roman" w:cs="Times New Roman"/>
          <w:noProof/>
          <w:sz w:val="24"/>
          <w:szCs w:val="24"/>
        </w:rPr>
      </w:pPr>
      <w:r w:rsidRPr="00435FA9">
        <w:rPr>
          <w:rFonts w:ascii="Times New Roman" w:hAnsi="Times New Roman" w:cs="Times New Roman"/>
          <w:noProof/>
          <w:sz w:val="24"/>
          <w:szCs w:val="24"/>
        </w:rPr>
        <w:t>R.F. Christman, K. Kronberg, R. Singh, L.M. Ball and J.D. Johnson. Identification of mutagenic by-products from aquatic humic chlorination. Department of Environmental Sciences and Engineering University of North Carolina, 1991.</w:t>
      </w:r>
    </w:p>
    <w:p w14:paraId="740EF195" w14:textId="77777777" w:rsidR="00345831" w:rsidRPr="00435FA9" w:rsidRDefault="00345831" w:rsidP="00345831">
      <w:pPr>
        <w:pStyle w:val="ListParagraph"/>
        <w:numPr>
          <w:ilvl w:val="0"/>
          <w:numId w:val="30"/>
        </w:numPr>
        <w:rPr>
          <w:rFonts w:ascii="Times New Roman" w:hAnsi="Times New Roman" w:cs="Times New Roman"/>
          <w:noProof/>
          <w:sz w:val="24"/>
          <w:szCs w:val="24"/>
        </w:rPr>
      </w:pPr>
      <w:r w:rsidRPr="00435FA9">
        <w:rPr>
          <w:rFonts w:ascii="Times New Roman" w:hAnsi="Times New Roman" w:cs="Times New Roman"/>
          <w:noProof/>
          <w:sz w:val="24"/>
          <w:szCs w:val="24"/>
          <w:lang w:val="en-US"/>
        </w:rPr>
        <w:t xml:space="preserve">X. Lv, Y. Lu, X. Yang, X. Dong, K. Ma, S. Xiao, Y. Wang and F. Tang, </w:t>
      </w:r>
      <w:r w:rsidRPr="00435FA9">
        <w:rPr>
          <w:rFonts w:ascii="Times New Roman" w:hAnsi="Times New Roman" w:cs="Times New Roman"/>
          <w:i/>
          <w:noProof/>
          <w:sz w:val="24"/>
          <w:szCs w:val="24"/>
        </w:rPr>
        <w:t>Sci. Rep</w:t>
      </w:r>
      <w:r w:rsidRPr="00435FA9">
        <w:rPr>
          <w:rFonts w:ascii="Times New Roman" w:hAnsi="Times New Roman" w:cs="Times New Roman"/>
          <w:noProof/>
          <w:sz w:val="24"/>
          <w:szCs w:val="24"/>
        </w:rPr>
        <w:t xml:space="preserve">., </w:t>
      </w:r>
      <w:r w:rsidRPr="00435FA9">
        <w:rPr>
          <w:rFonts w:ascii="Times New Roman" w:hAnsi="Times New Roman" w:cs="Times New Roman"/>
          <w:noProof/>
          <w:sz w:val="24"/>
          <w:szCs w:val="24"/>
          <w:lang w:val="en-US"/>
        </w:rPr>
        <w:t xml:space="preserve">2015, </w:t>
      </w:r>
      <w:r w:rsidRPr="00435FA9">
        <w:rPr>
          <w:rFonts w:ascii="Times New Roman" w:hAnsi="Times New Roman" w:cs="Times New Roman"/>
          <w:b/>
          <w:noProof/>
          <w:sz w:val="24"/>
          <w:szCs w:val="24"/>
        </w:rPr>
        <w:t>5</w:t>
      </w:r>
      <w:r w:rsidRPr="00435FA9">
        <w:rPr>
          <w:rFonts w:ascii="Times New Roman" w:hAnsi="Times New Roman" w:cs="Times New Roman"/>
          <w:noProof/>
          <w:sz w:val="24"/>
          <w:szCs w:val="24"/>
        </w:rPr>
        <w:t xml:space="preserve">, 1. </w:t>
      </w:r>
    </w:p>
    <w:p w14:paraId="7C56D72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noProof/>
          <w:sz w:val="24"/>
          <w:szCs w:val="24"/>
        </w:rPr>
        <w:t xml:space="preserve">T. Manasfi, M. De Méo, B. Coulomb, C. Di Giorgio and J.-L. Boudenne, presented in part at the 6th International Conference on Swimming Pool and Spa, Amsterdam, March, 2015. </w:t>
      </w:r>
    </w:p>
    <w:p w14:paraId="2A885D3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R.C. Hofman-Caris, D.J. Harmsen, L. Puijker, K.A. Baken, B.A. Wols, E.F. Beerendonk and L.L. Keltjens,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2015, </w:t>
      </w:r>
      <w:r w:rsidRPr="00435FA9">
        <w:rPr>
          <w:rFonts w:ascii="Times New Roman" w:hAnsi="Times New Roman" w:cs="Times New Roman"/>
          <w:b/>
          <w:sz w:val="24"/>
          <w:szCs w:val="24"/>
        </w:rPr>
        <w:t>74</w:t>
      </w:r>
      <w:r w:rsidRPr="00435FA9">
        <w:rPr>
          <w:rFonts w:ascii="Times New Roman" w:hAnsi="Times New Roman" w:cs="Times New Roman"/>
          <w:sz w:val="24"/>
          <w:szCs w:val="24"/>
        </w:rPr>
        <w:t>, 191.</w:t>
      </w:r>
    </w:p>
    <w:p w14:paraId="4C6CD86D"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E.J.M. Penders, A.J. Martijn, A. Spenkelink, G.M. Alink, I. Rietjens and W. Hoogenboezem, </w:t>
      </w:r>
      <w:r w:rsidRPr="00435FA9">
        <w:rPr>
          <w:rFonts w:ascii="Times New Roman" w:hAnsi="Times New Roman" w:cs="Times New Roman"/>
          <w:i/>
          <w:sz w:val="24"/>
          <w:szCs w:val="24"/>
        </w:rPr>
        <w:t>J. Water Supply: Res. Technol.--AQUA</w:t>
      </w:r>
      <w:r w:rsidRPr="00435FA9">
        <w:rPr>
          <w:rFonts w:ascii="Times New Roman" w:hAnsi="Times New Roman" w:cs="Times New Roman"/>
          <w:sz w:val="24"/>
          <w:szCs w:val="24"/>
        </w:rPr>
        <w:t xml:space="preserve">, 2012, </w:t>
      </w:r>
      <w:r w:rsidRPr="00435FA9">
        <w:rPr>
          <w:rFonts w:ascii="Times New Roman" w:hAnsi="Times New Roman" w:cs="Times New Roman"/>
          <w:b/>
          <w:sz w:val="24"/>
          <w:szCs w:val="24"/>
        </w:rPr>
        <w:t>61</w:t>
      </w:r>
      <w:r w:rsidRPr="00435FA9">
        <w:rPr>
          <w:rFonts w:ascii="Times New Roman" w:hAnsi="Times New Roman" w:cs="Times New Roman"/>
          <w:sz w:val="24"/>
          <w:szCs w:val="24"/>
        </w:rPr>
        <w:t>, 435.</w:t>
      </w:r>
    </w:p>
    <w:p w14:paraId="06B7B87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G.F. IJpelaar, A.J. van der Veer, G.J. Medema and J.C. Kruithof, </w:t>
      </w:r>
      <w:r w:rsidRPr="00435FA9">
        <w:rPr>
          <w:rFonts w:ascii="Times New Roman" w:hAnsi="Times New Roman" w:cs="Times New Roman"/>
          <w:i/>
          <w:sz w:val="24"/>
          <w:szCs w:val="24"/>
        </w:rPr>
        <w:t>J. Environ. Eng. Sci</w:t>
      </w:r>
      <w:r w:rsidRPr="00435FA9">
        <w:rPr>
          <w:rFonts w:ascii="Times New Roman" w:hAnsi="Times New Roman" w:cs="Times New Roman"/>
          <w:sz w:val="24"/>
          <w:szCs w:val="24"/>
        </w:rPr>
        <w:t xml:space="preserve">., 2005, </w:t>
      </w:r>
      <w:r w:rsidRPr="00435FA9">
        <w:rPr>
          <w:rFonts w:ascii="Times New Roman" w:hAnsi="Times New Roman" w:cs="Times New Roman"/>
          <w:b/>
          <w:sz w:val="24"/>
          <w:szCs w:val="24"/>
        </w:rPr>
        <w:t>4</w:t>
      </w:r>
      <w:r w:rsidRPr="00435FA9">
        <w:rPr>
          <w:rFonts w:ascii="Times New Roman" w:hAnsi="Times New Roman" w:cs="Times New Roman"/>
          <w:sz w:val="24"/>
          <w:szCs w:val="24"/>
        </w:rPr>
        <w:t>, S51.</w:t>
      </w:r>
    </w:p>
    <w:p w14:paraId="512BC800"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G.V. Korshin, C-W Li and M.M. Benjamin,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1997, </w:t>
      </w:r>
      <w:r w:rsidRPr="00435FA9">
        <w:rPr>
          <w:rFonts w:ascii="Times New Roman" w:hAnsi="Times New Roman" w:cs="Times New Roman"/>
          <w:b/>
          <w:sz w:val="24"/>
          <w:szCs w:val="24"/>
        </w:rPr>
        <w:t>31</w:t>
      </w:r>
      <w:r w:rsidRPr="00435FA9">
        <w:rPr>
          <w:rFonts w:ascii="Times New Roman" w:hAnsi="Times New Roman" w:cs="Times New Roman"/>
          <w:sz w:val="24"/>
          <w:szCs w:val="24"/>
        </w:rPr>
        <w:t>, 1787.</w:t>
      </w:r>
    </w:p>
    <w:p w14:paraId="17A498FF"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Semitsoglou-Tsiapou, M.R. Templeton, N.J.D. Graham, L. Hernández Leal, B. J. Martijn, A. Royce, J.C. Kruithof,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2016(a), </w:t>
      </w:r>
      <w:r w:rsidRPr="00435FA9">
        <w:rPr>
          <w:rFonts w:ascii="Times New Roman" w:hAnsi="Times New Roman" w:cs="Times New Roman"/>
          <w:b/>
          <w:sz w:val="24"/>
          <w:szCs w:val="24"/>
        </w:rPr>
        <w:t>91</w:t>
      </w:r>
      <w:r w:rsidRPr="00435FA9">
        <w:rPr>
          <w:rFonts w:ascii="Times New Roman" w:hAnsi="Times New Roman" w:cs="Times New Roman"/>
          <w:sz w:val="24"/>
          <w:szCs w:val="24"/>
        </w:rPr>
        <w:t>, 285.</w:t>
      </w:r>
    </w:p>
    <w:p w14:paraId="208E1ED1"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J.R. Bolton and K.G. Linden, J. Environ. Eng., 2003, </w:t>
      </w:r>
      <w:r w:rsidRPr="00435FA9">
        <w:rPr>
          <w:rFonts w:ascii="Times New Roman" w:hAnsi="Times New Roman" w:cs="Times New Roman"/>
          <w:b/>
          <w:sz w:val="24"/>
          <w:szCs w:val="24"/>
        </w:rPr>
        <w:t>129</w:t>
      </w:r>
      <w:r w:rsidRPr="00435FA9">
        <w:rPr>
          <w:rFonts w:ascii="Times New Roman" w:hAnsi="Times New Roman" w:cs="Times New Roman"/>
          <w:sz w:val="24"/>
          <w:szCs w:val="24"/>
        </w:rPr>
        <w:t>, 209.</w:t>
      </w:r>
    </w:p>
    <w:p w14:paraId="074109E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N.V. Klassen, D. Marchington and H.C.E. McGowan, Anal. Chem., 1994, </w:t>
      </w:r>
      <w:r w:rsidRPr="00435FA9">
        <w:rPr>
          <w:rFonts w:ascii="Times New Roman" w:hAnsi="Times New Roman" w:cs="Times New Roman"/>
          <w:b/>
          <w:sz w:val="24"/>
          <w:szCs w:val="24"/>
        </w:rPr>
        <w:t>66</w:t>
      </w:r>
      <w:r w:rsidRPr="00435FA9">
        <w:rPr>
          <w:rFonts w:ascii="Times New Roman" w:hAnsi="Times New Roman" w:cs="Times New Roman"/>
          <w:sz w:val="24"/>
          <w:szCs w:val="24"/>
        </w:rPr>
        <w:t>, 2921.</w:t>
      </w:r>
    </w:p>
    <w:p w14:paraId="65258B74"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Flückiger-Isler, M. Baumeister, K. Braun, V. Gervais, N. Hasler-Nguyen, R. Reimann, J. Van Gompel, H.-G. Wunderlich, G. Engelhardt, </w:t>
      </w:r>
      <w:r w:rsidRPr="00435FA9">
        <w:rPr>
          <w:rFonts w:ascii="Times New Roman" w:hAnsi="Times New Roman" w:cs="Times New Roman"/>
          <w:i/>
          <w:sz w:val="24"/>
          <w:szCs w:val="24"/>
        </w:rPr>
        <w:t>Mutat. Res</w:t>
      </w:r>
      <w:r w:rsidRPr="00435FA9">
        <w:rPr>
          <w:rFonts w:ascii="Times New Roman" w:hAnsi="Times New Roman" w:cs="Times New Roman"/>
          <w:sz w:val="24"/>
          <w:szCs w:val="24"/>
        </w:rPr>
        <w:t xml:space="preserve">., 2012, </w:t>
      </w:r>
      <w:r w:rsidRPr="00435FA9">
        <w:rPr>
          <w:rFonts w:ascii="Times New Roman" w:hAnsi="Times New Roman" w:cs="Times New Roman"/>
          <w:b/>
          <w:sz w:val="24"/>
          <w:szCs w:val="24"/>
        </w:rPr>
        <w:t>558</w:t>
      </w:r>
      <w:r w:rsidRPr="00435FA9">
        <w:rPr>
          <w:rFonts w:ascii="Times New Roman" w:hAnsi="Times New Roman" w:cs="Times New Roman"/>
          <w:sz w:val="24"/>
          <w:szCs w:val="24"/>
        </w:rPr>
        <w:t>, 181.</w:t>
      </w:r>
    </w:p>
    <w:p w14:paraId="6C63C53E"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D. Minakata, K. Li, P. Westerhoff and J. Crittenden, </w:t>
      </w:r>
      <w:r w:rsidRPr="00435FA9">
        <w:rPr>
          <w:rFonts w:ascii="Times New Roman" w:hAnsi="Times New Roman" w:cs="Times New Roman"/>
          <w:i/>
          <w:sz w:val="24"/>
          <w:szCs w:val="24"/>
        </w:rPr>
        <w:t>Environ. Sci. Technol</w:t>
      </w:r>
      <w:r w:rsidRPr="00435FA9">
        <w:rPr>
          <w:rFonts w:ascii="Times New Roman" w:hAnsi="Times New Roman" w:cs="Times New Roman"/>
          <w:sz w:val="24"/>
          <w:szCs w:val="24"/>
        </w:rPr>
        <w:t xml:space="preserve">., 2009, </w:t>
      </w:r>
      <w:r w:rsidRPr="00435FA9">
        <w:rPr>
          <w:rFonts w:ascii="Times New Roman" w:hAnsi="Times New Roman" w:cs="Times New Roman"/>
          <w:b/>
          <w:sz w:val="24"/>
          <w:szCs w:val="24"/>
        </w:rPr>
        <w:t>43</w:t>
      </w:r>
      <w:r w:rsidRPr="00435FA9">
        <w:rPr>
          <w:rFonts w:ascii="Times New Roman" w:hAnsi="Times New Roman" w:cs="Times New Roman"/>
          <w:sz w:val="24"/>
          <w:szCs w:val="24"/>
        </w:rPr>
        <w:t>, 6220.</w:t>
      </w:r>
    </w:p>
    <w:p w14:paraId="4A92CF2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G. McKay, J.L. Kleinman, K.M. Johnston, M.M. Dong. F.L. Rosario-Ortiz and S.P. Mezyk, </w:t>
      </w:r>
      <w:r w:rsidRPr="00435FA9">
        <w:rPr>
          <w:rFonts w:ascii="Times New Roman" w:hAnsi="Times New Roman" w:cs="Times New Roman"/>
          <w:i/>
          <w:sz w:val="24"/>
          <w:szCs w:val="24"/>
        </w:rPr>
        <w:t>J Soils Sediments</w:t>
      </w:r>
      <w:r w:rsidRPr="00435FA9">
        <w:rPr>
          <w:rFonts w:ascii="Times New Roman" w:hAnsi="Times New Roman" w:cs="Times New Roman"/>
          <w:sz w:val="24"/>
          <w:szCs w:val="24"/>
        </w:rPr>
        <w:t xml:space="preserve">, 2014, </w:t>
      </w:r>
      <w:r w:rsidRPr="00435FA9">
        <w:rPr>
          <w:rFonts w:ascii="Times New Roman" w:hAnsi="Times New Roman" w:cs="Times New Roman"/>
          <w:b/>
          <w:sz w:val="24"/>
          <w:szCs w:val="24"/>
        </w:rPr>
        <w:t>14</w:t>
      </w:r>
      <w:r w:rsidRPr="00435FA9">
        <w:rPr>
          <w:rFonts w:ascii="Times New Roman" w:hAnsi="Times New Roman" w:cs="Times New Roman"/>
          <w:sz w:val="24"/>
          <w:szCs w:val="24"/>
        </w:rPr>
        <w:t>, 298.</w:t>
      </w:r>
    </w:p>
    <w:p w14:paraId="7D21560A"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Y. Ahn, D. Lee, M. Kwon, I. Choi, S-N. Nam and J-W. Kang, </w:t>
      </w:r>
      <w:r w:rsidRPr="00435FA9">
        <w:rPr>
          <w:rFonts w:ascii="Times New Roman" w:hAnsi="Times New Roman" w:cs="Times New Roman"/>
          <w:i/>
          <w:sz w:val="24"/>
          <w:szCs w:val="24"/>
        </w:rPr>
        <w:t>Chemosphere</w:t>
      </w:r>
      <w:r w:rsidRPr="00435FA9">
        <w:rPr>
          <w:rFonts w:ascii="Times New Roman" w:hAnsi="Times New Roman" w:cs="Times New Roman"/>
          <w:sz w:val="24"/>
          <w:szCs w:val="24"/>
        </w:rPr>
        <w:t xml:space="preserve">, 2017, </w:t>
      </w:r>
      <w:r w:rsidRPr="00435FA9">
        <w:rPr>
          <w:rFonts w:ascii="Times New Roman" w:hAnsi="Times New Roman" w:cs="Times New Roman"/>
          <w:b/>
          <w:sz w:val="24"/>
          <w:szCs w:val="24"/>
        </w:rPr>
        <w:t>184</w:t>
      </w:r>
      <w:r w:rsidRPr="00435FA9">
        <w:rPr>
          <w:rFonts w:ascii="Times New Roman" w:hAnsi="Times New Roman" w:cs="Times New Roman"/>
          <w:sz w:val="24"/>
          <w:szCs w:val="24"/>
        </w:rPr>
        <w:t xml:space="preserve">, 960. </w:t>
      </w:r>
    </w:p>
    <w:p w14:paraId="02EEC628"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J. E. Donham, E. J. Rosenfeldt and K. R. Wigginton, </w:t>
      </w:r>
      <w:r w:rsidRPr="00435FA9">
        <w:rPr>
          <w:rFonts w:ascii="Times New Roman" w:hAnsi="Times New Roman" w:cs="Times New Roman"/>
          <w:i/>
          <w:sz w:val="24"/>
          <w:szCs w:val="24"/>
        </w:rPr>
        <w:t>Environ Sci Process Impacts</w:t>
      </w:r>
      <w:r w:rsidRPr="00435FA9">
        <w:rPr>
          <w:rFonts w:ascii="Times New Roman" w:hAnsi="Times New Roman" w:cs="Times New Roman"/>
          <w:sz w:val="24"/>
          <w:szCs w:val="24"/>
        </w:rPr>
        <w:t xml:space="preserve">, 2014, </w:t>
      </w:r>
      <w:r w:rsidRPr="00435FA9">
        <w:rPr>
          <w:rFonts w:ascii="Times New Roman" w:hAnsi="Times New Roman" w:cs="Times New Roman"/>
          <w:b/>
          <w:sz w:val="24"/>
          <w:szCs w:val="24"/>
        </w:rPr>
        <w:t>16</w:t>
      </w:r>
      <w:r w:rsidRPr="00435FA9">
        <w:rPr>
          <w:rFonts w:ascii="Times New Roman" w:hAnsi="Times New Roman" w:cs="Times New Roman"/>
          <w:sz w:val="24"/>
          <w:szCs w:val="24"/>
        </w:rPr>
        <w:t>, 764.</w:t>
      </w:r>
    </w:p>
    <w:p w14:paraId="1D349E36"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K.A. Thorn and L.G. Cox, </w:t>
      </w:r>
      <w:r w:rsidRPr="00435FA9">
        <w:rPr>
          <w:rFonts w:ascii="Times New Roman" w:hAnsi="Times New Roman" w:cs="Times New Roman"/>
          <w:i/>
          <w:sz w:val="24"/>
          <w:szCs w:val="24"/>
        </w:rPr>
        <w:t>PLoS ONE</w:t>
      </w:r>
      <w:r w:rsidRPr="00435FA9">
        <w:rPr>
          <w:rFonts w:ascii="Times New Roman" w:hAnsi="Times New Roman" w:cs="Times New Roman"/>
          <w:sz w:val="24"/>
          <w:szCs w:val="24"/>
        </w:rPr>
        <w:t xml:space="preserve">, 2016, </w:t>
      </w:r>
      <w:r w:rsidRPr="00435FA9">
        <w:rPr>
          <w:rFonts w:ascii="Times New Roman" w:hAnsi="Times New Roman" w:cs="Times New Roman"/>
          <w:b/>
          <w:sz w:val="24"/>
          <w:szCs w:val="24"/>
        </w:rPr>
        <w:t>11</w:t>
      </w:r>
      <w:r w:rsidRPr="00435FA9">
        <w:rPr>
          <w:rFonts w:ascii="Times New Roman" w:hAnsi="Times New Roman" w:cs="Times New Roman"/>
          <w:sz w:val="24"/>
          <w:szCs w:val="24"/>
        </w:rPr>
        <w:t xml:space="preserve">, 1/20.  </w:t>
      </w:r>
    </w:p>
    <w:p w14:paraId="06A64182"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S. Semitsoglou-Tsiapou, A. Mous, M.R. Templeton, N.J.D. Graham, L. Hernández Leal and J.C. Kruithof,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2016(b), </w:t>
      </w:r>
      <w:r w:rsidRPr="00435FA9">
        <w:rPr>
          <w:rFonts w:ascii="Times New Roman" w:hAnsi="Times New Roman" w:cs="Times New Roman"/>
          <w:b/>
          <w:sz w:val="24"/>
          <w:szCs w:val="24"/>
        </w:rPr>
        <w:t>106</w:t>
      </w:r>
      <w:r w:rsidRPr="00435FA9">
        <w:rPr>
          <w:rFonts w:ascii="Times New Roman" w:hAnsi="Times New Roman" w:cs="Times New Roman"/>
          <w:sz w:val="24"/>
          <w:szCs w:val="24"/>
        </w:rPr>
        <w:t>, 312.</w:t>
      </w:r>
    </w:p>
    <w:p w14:paraId="332BD213"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N. Lu, N.Y. Gao, Y. Deng and Q.S. Li, </w:t>
      </w:r>
      <w:r w:rsidRPr="00435FA9">
        <w:rPr>
          <w:rFonts w:ascii="Times New Roman" w:hAnsi="Times New Roman" w:cs="Times New Roman"/>
          <w:i/>
          <w:sz w:val="24"/>
          <w:szCs w:val="24"/>
        </w:rPr>
        <w:t>Water Sci. Technol</w:t>
      </w:r>
      <w:r w:rsidRPr="00435FA9">
        <w:rPr>
          <w:rFonts w:ascii="Times New Roman" w:hAnsi="Times New Roman" w:cs="Times New Roman"/>
          <w:sz w:val="24"/>
          <w:szCs w:val="24"/>
        </w:rPr>
        <w:t xml:space="preserve">., 2009, </w:t>
      </w:r>
      <w:r w:rsidRPr="00435FA9">
        <w:rPr>
          <w:rFonts w:ascii="Times New Roman" w:hAnsi="Times New Roman" w:cs="Times New Roman"/>
          <w:b/>
          <w:sz w:val="24"/>
          <w:szCs w:val="24"/>
        </w:rPr>
        <w:t>60</w:t>
      </w:r>
      <w:r w:rsidRPr="00435FA9">
        <w:rPr>
          <w:rFonts w:ascii="Times New Roman" w:hAnsi="Times New Roman" w:cs="Times New Roman"/>
          <w:sz w:val="24"/>
          <w:szCs w:val="24"/>
        </w:rPr>
        <w:t xml:space="preserve">, 1393. </w:t>
      </w:r>
    </w:p>
    <w:p w14:paraId="3326DF12"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C.M. Sharpless, M.A. Page and K.G. Linden, </w:t>
      </w:r>
      <w:r w:rsidRPr="00435FA9">
        <w:rPr>
          <w:rFonts w:ascii="Times New Roman" w:hAnsi="Times New Roman" w:cs="Times New Roman"/>
          <w:i/>
          <w:sz w:val="24"/>
          <w:szCs w:val="24"/>
        </w:rPr>
        <w:t>Water Res</w:t>
      </w:r>
      <w:r w:rsidRPr="00435FA9">
        <w:rPr>
          <w:rFonts w:ascii="Times New Roman" w:hAnsi="Times New Roman" w:cs="Times New Roman"/>
          <w:sz w:val="24"/>
          <w:szCs w:val="24"/>
        </w:rPr>
        <w:t xml:space="preserve">., 2003, </w:t>
      </w:r>
      <w:r w:rsidRPr="00435FA9">
        <w:rPr>
          <w:rFonts w:ascii="Times New Roman" w:hAnsi="Times New Roman" w:cs="Times New Roman"/>
          <w:b/>
          <w:sz w:val="24"/>
          <w:szCs w:val="24"/>
        </w:rPr>
        <w:t>37</w:t>
      </w:r>
      <w:r w:rsidRPr="00435FA9">
        <w:rPr>
          <w:rFonts w:ascii="Times New Roman" w:hAnsi="Times New Roman" w:cs="Times New Roman"/>
          <w:sz w:val="24"/>
          <w:szCs w:val="24"/>
        </w:rPr>
        <w:t xml:space="preserve">, 4730. </w:t>
      </w:r>
    </w:p>
    <w:p w14:paraId="754889E8" w14:textId="77777777" w:rsidR="00345831" w:rsidRPr="00435FA9" w:rsidRDefault="00345831" w:rsidP="00345831">
      <w:pPr>
        <w:pStyle w:val="ListParagraph"/>
        <w:numPr>
          <w:ilvl w:val="0"/>
          <w:numId w:val="30"/>
        </w:numPr>
        <w:rPr>
          <w:rFonts w:ascii="Times New Roman" w:hAnsi="Times New Roman" w:cs="Times New Roman"/>
          <w:sz w:val="24"/>
          <w:szCs w:val="24"/>
          <w:lang w:val="en-US"/>
        </w:rPr>
      </w:pPr>
      <w:r w:rsidRPr="00435FA9">
        <w:rPr>
          <w:rFonts w:ascii="Times New Roman" w:hAnsi="Times New Roman" w:cs="Times New Roman"/>
          <w:sz w:val="24"/>
          <w:szCs w:val="24"/>
          <w:lang w:val="en-US"/>
        </w:rPr>
        <w:t xml:space="preserve">P. Jin, X. Jin, X. Wang, Y. Feng and X.C. Wang, in </w:t>
      </w:r>
      <w:r w:rsidRPr="00435FA9">
        <w:rPr>
          <w:rFonts w:ascii="Times New Roman" w:hAnsi="Times New Roman" w:cs="Times New Roman"/>
          <w:i/>
          <w:sz w:val="24"/>
          <w:szCs w:val="24"/>
          <w:lang w:val="en-US"/>
        </w:rPr>
        <w:t>Biomass Now - Cultivation and Utilization</w:t>
      </w:r>
      <w:r w:rsidRPr="00435FA9">
        <w:rPr>
          <w:rFonts w:ascii="Times New Roman" w:hAnsi="Times New Roman" w:cs="Times New Roman"/>
          <w:sz w:val="24"/>
          <w:szCs w:val="24"/>
          <w:lang w:val="en-US"/>
        </w:rPr>
        <w:t xml:space="preserve">, ed. Dr. Miodrag Darko Matovic, InTech, 2013, ch. 7, pp. 153-192. </w:t>
      </w:r>
      <w:r w:rsidRPr="00435FA9">
        <w:rPr>
          <w:rFonts w:ascii="Times New Roman" w:hAnsi="Times New Roman" w:cs="Times New Roman"/>
          <w:sz w:val="24"/>
          <w:szCs w:val="24"/>
        </w:rPr>
        <w:t xml:space="preserve"> </w:t>
      </w:r>
    </w:p>
    <w:p w14:paraId="7ADF7759"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A.K. Camper, M.W. Lechevallier, S.C. Broadaway and G.A. Mcfeters, </w:t>
      </w:r>
      <w:r w:rsidRPr="00435FA9">
        <w:rPr>
          <w:rFonts w:ascii="Times New Roman" w:hAnsi="Times New Roman" w:cs="Times New Roman"/>
          <w:i/>
          <w:sz w:val="24"/>
          <w:szCs w:val="24"/>
        </w:rPr>
        <w:t>Appl. Environ. Microbiol</w:t>
      </w:r>
      <w:r w:rsidRPr="00435FA9">
        <w:rPr>
          <w:rFonts w:ascii="Times New Roman" w:hAnsi="Times New Roman" w:cs="Times New Roman"/>
          <w:sz w:val="24"/>
          <w:szCs w:val="24"/>
        </w:rPr>
        <w:t xml:space="preserve">., 1985, </w:t>
      </w:r>
      <w:r w:rsidRPr="00435FA9">
        <w:rPr>
          <w:rFonts w:ascii="Times New Roman" w:hAnsi="Times New Roman" w:cs="Times New Roman"/>
          <w:b/>
          <w:sz w:val="24"/>
          <w:szCs w:val="24"/>
        </w:rPr>
        <w:t>50</w:t>
      </w:r>
      <w:r w:rsidRPr="00435FA9">
        <w:rPr>
          <w:rFonts w:ascii="Times New Roman" w:hAnsi="Times New Roman" w:cs="Times New Roman"/>
          <w:sz w:val="24"/>
          <w:szCs w:val="24"/>
        </w:rPr>
        <w:t>, 1378–1382.</w:t>
      </w:r>
    </w:p>
    <w:p w14:paraId="69F28B1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J. Chen, B. Gu, E.J. LeBoeuf, H. Pan and S. Dai, </w:t>
      </w:r>
      <w:r w:rsidRPr="00435FA9">
        <w:rPr>
          <w:rFonts w:ascii="Times New Roman" w:hAnsi="Times New Roman" w:cs="Times New Roman"/>
          <w:i/>
          <w:sz w:val="24"/>
          <w:szCs w:val="24"/>
        </w:rPr>
        <w:t>Chemosphere</w:t>
      </w:r>
      <w:r w:rsidRPr="00435FA9">
        <w:rPr>
          <w:rFonts w:ascii="Times New Roman" w:hAnsi="Times New Roman" w:cs="Times New Roman"/>
          <w:sz w:val="24"/>
          <w:szCs w:val="24"/>
        </w:rPr>
        <w:t xml:space="preserve">, 2002, </w:t>
      </w:r>
      <w:r w:rsidRPr="00435FA9">
        <w:rPr>
          <w:rFonts w:ascii="Times New Roman" w:hAnsi="Times New Roman" w:cs="Times New Roman"/>
          <w:b/>
          <w:sz w:val="24"/>
          <w:szCs w:val="24"/>
        </w:rPr>
        <w:t>48</w:t>
      </w:r>
      <w:r w:rsidRPr="00435FA9">
        <w:rPr>
          <w:rFonts w:ascii="Times New Roman" w:hAnsi="Times New Roman" w:cs="Times New Roman"/>
          <w:sz w:val="24"/>
          <w:szCs w:val="24"/>
        </w:rPr>
        <w:t xml:space="preserve">, 59. </w:t>
      </w:r>
    </w:p>
    <w:p w14:paraId="18CED1A4"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A.J. Martijn. Ph.D. Thesis, Wageningen University, the Netherlands, 2015.</w:t>
      </w:r>
    </w:p>
    <w:p w14:paraId="514D43B7"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B.J. Martijn, A.R. Van Rompay, E.J.M. Penders, Y. Alharbi, P.K. Baggelaar, J.C. Kruithof and I.M.C.M. Rietjens, </w:t>
      </w:r>
      <w:r w:rsidRPr="00435FA9">
        <w:rPr>
          <w:rFonts w:ascii="Times New Roman" w:hAnsi="Times New Roman" w:cs="Times New Roman"/>
          <w:i/>
          <w:sz w:val="24"/>
          <w:szCs w:val="24"/>
        </w:rPr>
        <w:t>Chemosphere</w:t>
      </w:r>
      <w:r w:rsidRPr="00435FA9">
        <w:rPr>
          <w:rFonts w:ascii="Times New Roman" w:hAnsi="Times New Roman" w:cs="Times New Roman"/>
          <w:sz w:val="24"/>
          <w:szCs w:val="24"/>
        </w:rPr>
        <w:t xml:space="preserve">, 2016, </w:t>
      </w:r>
      <w:r w:rsidRPr="00435FA9">
        <w:rPr>
          <w:rFonts w:ascii="Times New Roman" w:hAnsi="Times New Roman" w:cs="Times New Roman"/>
          <w:b/>
          <w:sz w:val="24"/>
          <w:szCs w:val="24"/>
        </w:rPr>
        <w:t>144</w:t>
      </w:r>
      <w:r w:rsidRPr="00435FA9">
        <w:rPr>
          <w:rFonts w:ascii="Times New Roman" w:hAnsi="Times New Roman" w:cs="Times New Roman"/>
          <w:sz w:val="24"/>
          <w:szCs w:val="24"/>
        </w:rPr>
        <w:t xml:space="preserve">, 338. </w:t>
      </w:r>
    </w:p>
    <w:p w14:paraId="1C2B93BB"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lastRenderedPageBreak/>
        <w:t xml:space="preserve">EFSA. Guidance of the Scientific Committee on a request from EFSA on the use of the benchmark dose approach in risk assessment, The EFSA Journal, 2009, </w:t>
      </w:r>
      <w:r w:rsidRPr="00435FA9">
        <w:rPr>
          <w:rFonts w:ascii="Times New Roman" w:hAnsi="Times New Roman" w:cs="Times New Roman"/>
          <w:b/>
          <w:sz w:val="24"/>
          <w:szCs w:val="24"/>
        </w:rPr>
        <w:t>1150</w:t>
      </w:r>
      <w:r w:rsidRPr="00435FA9">
        <w:rPr>
          <w:rFonts w:ascii="Times New Roman" w:hAnsi="Times New Roman" w:cs="Times New Roman"/>
          <w:sz w:val="24"/>
          <w:szCs w:val="24"/>
        </w:rPr>
        <w:t>, 1.</w:t>
      </w:r>
    </w:p>
    <w:p w14:paraId="4ECF3504" w14:textId="77777777" w:rsidR="00345831" w:rsidRPr="00435FA9"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 xml:space="preserve">WHO. Concise International Chemical Assessment Document 20, Mononitrophenols, World Health Organization, Geneva, 2000. </w:t>
      </w:r>
    </w:p>
    <w:p w14:paraId="7E31AA40" w14:textId="686DA5A1" w:rsidR="00345831" w:rsidRDefault="00345831" w:rsidP="00345831">
      <w:pPr>
        <w:pStyle w:val="ListParagraph"/>
        <w:numPr>
          <w:ilvl w:val="0"/>
          <w:numId w:val="30"/>
        </w:numPr>
        <w:rPr>
          <w:rFonts w:ascii="Times New Roman" w:hAnsi="Times New Roman" w:cs="Times New Roman"/>
          <w:sz w:val="24"/>
          <w:szCs w:val="24"/>
        </w:rPr>
      </w:pPr>
      <w:r w:rsidRPr="00435FA9">
        <w:rPr>
          <w:rFonts w:ascii="Times New Roman" w:hAnsi="Times New Roman" w:cs="Times New Roman"/>
          <w:sz w:val="24"/>
          <w:szCs w:val="24"/>
        </w:rPr>
        <w:t>USEPA. Health Advisories for Drinking Water Contaminants. United States Environmental Protection Agency. Office of Water Health Advisories. Lewis Publishers, USA, 1993.</w:t>
      </w:r>
    </w:p>
    <w:p w14:paraId="517811C4" w14:textId="51A20E81" w:rsidR="00E91675" w:rsidRDefault="00E91675" w:rsidP="00E91675">
      <w:pPr>
        <w:rPr>
          <w:rFonts w:ascii="Times New Roman" w:hAnsi="Times New Roman" w:cs="Times New Roman"/>
          <w:sz w:val="24"/>
          <w:szCs w:val="24"/>
        </w:rPr>
      </w:pPr>
    </w:p>
    <w:p w14:paraId="51135C4E" w14:textId="4FD25084" w:rsidR="00E91675" w:rsidRDefault="00E91675" w:rsidP="00E91675">
      <w:pPr>
        <w:rPr>
          <w:rFonts w:ascii="Times New Roman" w:hAnsi="Times New Roman" w:cs="Times New Roman"/>
          <w:sz w:val="24"/>
          <w:szCs w:val="24"/>
        </w:rPr>
      </w:pPr>
    </w:p>
    <w:p w14:paraId="5267AD5F" w14:textId="77777777" w:rsidR="00E91675" w:rsidRPr="00E91675" w:rsidRDefault="00E91675" w:rsidP="00E91675">
      <w:pPr>
        <w:rPr>
          <w:rFonts w:ascii="Times New Roman" w:hAnsi="Times New Roman" w:cs="Times New Roman"/>
          <w:sz w:val="24"/>
          <w:szCs w:val="24"/>
        </w:rPr>
      </w:pPr>
    </w:p>
    <w:p w14:paraId="25F357C8" w14:textId="1A97A217" w:rsidR="00F5706E" w:rsidRPr="00435FA9" w:rsidRDefault="00F5706E" w:rsidP="00345831">
      <w:pPr>
        <w:rPr>
          <w:rFonts w:ascii="Times New Roman" w:hAnsi="Times New Roman" w:cs="Times New Roman"/>
          <w:sz w:val="24"/>
          <w:szCs w:val="24"/>
        </w:rPr>
      </w:pPr>
    </w:p>
    <w:p w14:paraId="465BD851" w14:textId="77777777" w:rsidR="0080452A" w:rsidRPr="00393B8F" w:rsidRDefault="0080452A" w:rsidP="00393B8F">
      <w:pPr>
        <w:pStyle w:val="RSCT02Tabletitlewithouttopbar"/>
        <w:spacing w:line="240" w:lineRule="auto"/>
        <w:rPr>
          <w:rFonts w:ascii="Times New Roman" w:hAnsi="Times New Roman"/>
          <w:b/>
          <w:sz w:val="24"/>
          <w:szCs w:val="24"/>
        </w:rPr>
      </w:pPr>
      <w:r w:rsidRPr="00393B8F">
        <w:rPr>
          <w:rFonts w:ascii="Times New Roman" w:hAnsi="Times New Roman"/>
          <w:b/>
          <w:sz w:val="24"/>
          <w:szCs w:val="24"/>
        </w:rPr>
        <w:t xml:space="preserve">Table </w:t>
      </w:r>
      <w:r w:rsidRPr="00393B8F">
        <w:rPr>
          <w:rFonts w:ascii="Times New Roman" w:hAnsi="Times New Roman"/>
          <w:b/>
          <w:sz w:val="24"/>
          <w:szCs w:val="24"/>
        </w:rPr>
        <w:fldChar w:fldCharType="begin"/>
      </w:r>
      <w:r w:rsidRPr="00393B8F">
        <w:rPr>
          <w:rFonts w:ascii="Times New Roman" w:hAnsi="Times New Roman"/>
          <w:b/>
          <w:sz w:val="24"/>
          <w:szCs w:val="24"/>
        </w:rPr>
        <w:instrText xml:space="preserve"> SEQ Table \* ARABIC </w:instrText>
      </w:r>
      <w:r w:rsidRPr="00393B8F">
        <w:rPr>
          <w:rFonts w:ascii="Times New Roman" w:hAnsi="Times New Roman"/>
          <w:b/>
          <w:sz w:val="24"/>
          <w:szCs w:val="24"/>
        </w:rPr>
        <w:fldChar w:fldCharType="separate"/>
      </w:r>
      <w:r w:rsidRPr="00393B8F">
        <w:rPr>
          <w:rFonts w:ascii="Times New Roman" w:hAnsi="Times New Roman"/>
          <w:b/>
          <w:noProof/>
          <w:sz w:val="24"/>
          <w:szCs w:val="24"/>
        </w:rPr>
        <w:t>1</w:t>
      </w:r>
      <w:r w:rsidRPr="00393B8F">
        <w:rPr>
          <w:rFonts w:ascii="Times New Roman" w:hAnsi="Times New Roman"/>
          <w:b/>
          <w:noProof/>
          <w:sz w:val="24"/>
          <w:szCs w:val="24"/>
        </w:rPr>
        <w:fldChar w:fldCharType="end"/>
      </w:r>
      <w:r w:rsidRPr="00393B8F">
        <w:rPr>
          <w:rFonts w:ascii="Times New Roman" w:hAnsi="Times New Roman"/>
          <w:b/>
          <w:sz w:val="24"/>
          <w:szCs w:val="24"/>
        </w:rPr>
        <w:t xml:space="preserve">. </w:t>
      </w:r>
      <w:r w:rsidRPr="00E47933">
        <w:rPr>
          <w:rFonts w:ascii="Times New Roman" w:hAnsi="Times New Roman"/>
          <w:sz w:val="24"/>
          <w:szCs w:val="24"/>
        </w:rPr>
        <w:t>Water quality and operational parameters for the two WTW sampling events. * denotes ‘’not calculated’’, since the DOC value was below the detection limit (1 mg/L); UVT: Ultraviolet Transmission</w:t>
      </w:r>
    </w:p>
    <w:tbl>
      <w:tblPr>
        <w:tblStyle w:val="PlainTable51"/>
        <w:tblpPr w:leftFromText="180" w:rightFromText="180" w:vertAnchor="text" w:horzAnchor="margin" w:tblpY="42"/>
        <w:tblOverlap w:val="never"/>
        <w:tblW w:w="0" w:type="auto"/>
        <w:tblLayout w:type="fixed"/>
        <w:tblLook w:val="04A0" w:firstRow="1" w:lastRow="0" w:firstColumn="1" w:lastColumn="0" w:noHBand="0" w:noVBand="1"/>
      </w:tblPr>
      <w:tblGrid>
        <w:gridCol w:w="4094"/>
        <w:gridCol w:w="1364"/>
        <w:gridCol w:w="1394"/>
      </w:tblGrid>
      <w:tr w:rsidR="0080452A" w:rsidRPr="00393B8F" w14:paraId="20972F63" w14:textId="77777777" w:rsidTr="00C41FE6">
        <w:trPr>
          <w:cnfStyle w:val="100000000000" w:firstRow="1" w:lastRow="0" w:firstColumn="0" w:lastColumn="0" w:oddVBand="0" w:evenVBand="0" w:oddHBand="0" w:evenHBand="0" w:firstRowFirstColumn="0" w:firstRowLastColumn="0" w:lastRowFirstColumn="0" w:lastRowLastColumn="0"/>
          <w:trHeight w:val="521"/>
        </w:trPr>
        <w:tc>
          <w:tcPr>
            <w:cnfStyle w:val="001000000100" w:firstRow="0" w:lastRow="0" w:firstColumn="1" w:lastColumn="0" w:oddVBand="0" w:evenVBand="0" w:oddHBand="0" w:evenHBand="0" w:firstRowFirstColumn="1" w:firstRowLastColumn="0" w:lastRowFirstColumn="0" w:lastRowLastColumn="0"/>
            <w:tcW w:w="4094" w:type="dxa"/>
          </w:tcPr>
          <w:p w14:paraId="7645058D" w14:textId="77777777" w:rsidR="0080452A" w:rsidRPr="00393B8F" w:rsidRDefault="0080452A" w:rsidP="0080452A">
            <w:pPr>
              <w:pStyle w:val="RSCT03TableBody"/>
              <w:rPr>
                <w:rFonts w:ascii="Times New Roman" w:hAnsi="Times New Roman"/>
                <w:sz w:val="24"/>
                <w:szCs w:val="24"/>
              </w:rPr>
            </w:pPr>
          </w:p>
        </w:tc>
        <w:tc>
          <w:tcPr>
            <w:tcW w:w="1364" w:type="dxa"/>
          </w:tcPr>
          <w:p w14:paraId="50F2EB88" w14:textId="77777777" w:rsidR="0080452A" w:rsidRPr="00393B8F" w:rsidRDefault="0080452A" w:rsidP="0080452A">
            <w:pPr>
              <w:pStyle w:val="RSCT03TableBody"/>
              <w:cnfStyle w:val="100000000000" w:firstRow="1" w:lastRow="0" w:firstColumn="0" w:lastColumn="0" w:oddVBand="0" w:evenVBand="0" w:oddHBand="0" w:evenHBand="0" w:firstRowFirstColumn="0" w:firstRowLastColumn="0" w:lastRowFirstColumn="0" w:lastRowLastColumn="0"/>
              <w:rPr>
                <w:rFonts w:ascii="Times New Roman" w:hAnsi="Times New Roman"/>
                <w:b/>
                <w:bCs/>
                <w:i w:val="0"/>
                <w:sz w:val="24"/>
                <w:szCs w:val="24"/>
              </w:rPr>
            </w:pPr>
            <w:r w:rsidRPr="00393B8F">
              <w:rPr>
                <w:rFonts w:ascii="Times New Roman" w:hAnsi="Times New Roman"/>
                <w:b/>
                <w:i w:val="0"/>
                <w:sz w:val="24"/>
                <w:szCs w:val="24"/>
              </w:rPr>
              <w:t>Sampling (a)</w:t>
            </w:r>
          </w:p>
        </w:tc>
        <w:tc>
          <w:tcPr>
            <w:tcW w:w="1394" w:type="dxa"/>
          </w:tcPr>
          <w:p w14:paraId="12429D3F" w14:textId="77777777" w:rsidR="0080452A" w:rsidRPr="00393B8F" w:rsidRDefault="0080452A" w:rsidP="0080452A">
            <w:pPr>
              <w:pStyle w:val="RSCT03TableBody"/>
              <w:cnfStyle w:val="100000000000" w:firstRow="1" w:lastRow="0" w:firstColumn="0" w:lastColumn="0" w:oddVBand="0" w:evenVBand="0" w:oddHBand="0" w:evenHBand="0" w:firstRowFirstColumn="0" w:firstRowLastColumn="0" w:lastRowFirstColumn="0" w:lastRowLastColumn="0"/>
              <w:rPr>
                <w:rFonts w:ascii="Times New Roman" w:hAnsi="Times New Roman"/>
                <w:b/>
                <w:bCs/>
                <w:i w:val="0"/>
                <w:sz w:val="24"/>
                <w:szCs w:val="24"/>
              </w:rPr>
            </w:pPr>
            <w:r w:rsidRPr="00393B8F">
              <w:rPr>
                <w:rFonts w:ascii="Times New Roman" w:hAnsi="Times New Roman"/>
                <w:b/>
                <w:i w:val="0"/>
                <w:sz w:val="24"/>
                <w:szCs w:val="24"/>
              </w:rPr>
              <w:t>Sampling (b)</w:t>
            </w:r>
          </w:p>
        </w:tc>
      </w:tr>
      <w:tr w:rsidR="0080452A" w:rsidRPr="00393B8F" w14:paraId="54177996"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6301B6F7"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Temperature (</w:t>
            </w:r>
            <w:r w:rsidRPr="00393B8F">
              <w:rPr>
                <w:rFonts w:ascii="Times New Roman" w:hAnsi="Times New Roman"/>
                <w:b/>
                <w:bCs/>
                <w:i w:val="0"/>
                <w:sz w:val="24"/>
                <w:szCs w:val="24"/>
                <w:vertAlign w:val="superscript"/>
              </w:rPr>
              <w:t>ₒ</w:t>
            </w:r>
            <w:r w:rsidRPr="00393B8F">
              <w:rPr>
                <w:rFonts w:ascii="Times New Roman" w:hAnsi="Times New Roman"/>
                <w:b/>
                <w:bCs/>
                <w:i w:val="0"/>
                <w:sz w:val="24"/>
                <w:szCs w:val="24"/>
              </w:rPr>
              <w:t>C)</w:t>
            </w:r>
          </w:p>
        </w:tc>
        <w:tc>
          <w:tcPr>
            <w:tcW w:w="1364" w:type="dxa"/>
          </w:tcPr>
          <w:p w14:paraId="53D4FEF1"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5.0</w:t>
            </w:r>
          </w:p>
        </w:tc>
        <w:tc>
          <w:tcPr>
            <w:tcW w:w="1394" w:type="dxa"/>
          </w:tcPr>
          <w:p w14:paraId="2D453BE5"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10</w:t>
            </w:r>
          </w:p>
        </w:tc>
      </w:tr>
      <w:tr w:rsidR="0080452A" w:rsidRPr="00393B8F" w14:paraId="15860075" w14:textId="77777777" w:rsidTr="00C41FE6">
        <w:trPr>
          <w:trHeight w:val="253"/>
        </w:trPr>
        <w:tc>
          <w:tcPr>
            <w:cnfStyle w:val="001000000000" w:firstRow="0" w:lastRow="0" w:firstColumn="1" w:lastColumn="0" w:oddVBand="0" w:evenVBand="0" w:oddHBand="0" w:evenHBand="0" w:firstRowFirstColumn="0" w:firstRowLastColumn="0" w:lastRowFirstColumn="0" w:lastRowLastColumn="0"/>
            <w:tcW w:w="4094" w:type="dxa"/>
          </w:tcPr>
          <w:p w14:paraId="23A04E94"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pH (-)</w:t>
            </w:r>
          </w:p>
        </w:tc>
        <w:tc>
          <w:tcPr>
            <w:tcW w:w="1364" w:type="dxa"/>
          </w:tcPr>
          <w:p w14:paraId="57F34A7F"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8.2</w:t>
            </w:r>
          </w:p>
        </w:tc>
        <w:tc>
          <w:tcPr>
            <w:tcW w:w="1394" w:type="dxa"/>
          </w:tcPr>
          <w:p w14:paraId="2B7DD5F6"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8.5</w:t>
            </w:r>
          </w:p>
        </w:tc>
      </w:tr>
      <w:tr w:rsidR="0080452A" w:rsidRPr="00393B8F" w14:paraId="0A80B500"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50CC43EC"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Works inlet DOC (mg/L)</w:t>
            </w:r>
          </w:p>
        </w:tc>
        <w:tc>
          <w:tcPr>
            <w:tcW w:w="1364" w:type="dxa"/>
          </w:tcPr>
          <w:p w14:paraId="47569026"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4.05</w:t>
            </w:r>
          </w:p>
        </w:tc>
        <w:tc>
          <w:tcPr>
            <w:tcW w:w="1394" w:type="dxa"/>
          </w:tcPr>
          <w:p w14:paraId="5EE4CC5B"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4.71</w:t>
            </w:r>
          </w:p>
        </w:tc>
      </w:tr>
      <w:tr w:rsidR="0080452A" w:rsidRPr="00393B8F" w14:paraId="463127D8" w14:textId="77777777" w:rsidTr="00C41FE6">
        <w:trPr>
          <w:trHeight w:val="253"/>
        </w:trPr>
        <w:tc>
          <w:tcPr>
            <w:cnfStyle w:val="001000000000" w:firstRow="0" w:lastRow="0" w:firstColumn="1" w:lastColumn="0" w:oddVBand="0" w:evenVBand="0" w:oddHBand="0" w:evenHBand="0" w:firstRowFirstColumn="0" w:firstRowLastColumn="0" w:lastRowFirstColumn="0" w:lastRowLastColumn="0"/>
            <w:tcW w:w="4094" w:type="dxa"/>
          </w:tcPr>
          <w:p w14:paraId="06AC70BC"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Pre-AOP DOC (mg/L)</w:t>
            </w:r>
          </w:p>
        </w:tc>
        <w:tc>
          <w:tcPr>
            <w:tcW w:w="1364" w:type="dxa"/>
          </w:tcPr>
          <w:p w14:paraId="206D8476"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2.68</w:t>
            </w:r>
          </w:p>
        </w:tc>
        <w:tc>
          <w:tcPr>
            <w:tcW w:w="1394" w:type="dxa"/>
          </w:tcPr>
          <w:p w14:paraId="247F6422"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2.11</w:t>
            </w:r>
          </w:p>
        </w:tc>
      </w:tr>
      <w:tr w:rsidR="0080452A" w:rsidRPr="00393B8F" w14:paraId="3BF79B42"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66D26BD9" w14:textId="77777777" w:rsidR="0080452A" w:rsidRPr="00393B8F" w:rsidRDefault="0080452A" w:rsidP="0080452A">
            <w:pPr>
              <w:pStyle w:val="RSCT03TableBody"/>
              <w:rPr>
                <w:rFonts w:ascii="Times New Roman" w:hAnsi="Times New Roman"/>
                <w:b/>
                <w:bCs/>
                <w:sz w:val="24"/>
                <w:szCs w:val="24"/>
              </w:rPr>
            </w:pPr>
            <w:r w:rsidRPr="00393B8F">
              <w:rPr>
                <w:rFonts w:ascii="Times New Roman" w:hAnsi="Times New Roman"/>
                <w:b/>
                <w:bCs/>
                <w:i w:val="0"/>
                <w:sz w:val="24"/>
                <w:szCs w:val="24"/>
              </w:rPr>
              <w:t>Post-AOP DOC (mg/L)</w:t>
            </w:r>
          </w:p>
        </w:tc>
        <w:tc>
          <w:tcPr>
            <w:tcW w:w="1364" w:type="dxa"/>
          </w:tcPr>
          <w:p w14:paraId="318050A1"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1.52</w:t>
            </w:r>
          </w:p>
        </w:tc>
        <w:tc>
          <w:tcPr>
            <w:tcW w:w="1394" w:type="dxa"/>
          </w:tcPr>
          <w:p w14:paraId="22A20070"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&lt;1.00</w:t>
            </w:r>
          </w:p>
        </w:tc>
      </w:tr>
      <w:tr w:rsidR="0080452A" w:rsidRPr="00393B8F" w14:paraId="7152B51E" w14:textId="77777777" w:rsidTr="00C41FE6">
        <w:trPr>
          <w:trHeight w:val="253"/>
        </w:trPr>
        <w:tc>
          <w:tcPr>
            <w:cnfStyle w:val="001000000000" w:firstRow="0" w:lastRow="0" w:firstColumn="1" w:lastColumn="0" w:oddVBand="0" w:evenVBand="0" w:oddHBand="0" w:evenHBand="0" w:firstRowFirstColumn="0" w:firstRowLastColumn="0" w:lastRowFirstColumn="0" w:lastRowLastColumn="0"/>
            <w:tcW w:w="4094" w:type="dxa"/>
          </w:tcPr>
          <w:p w14:paraId="250C1343" w14:textId="77777777" w:rsidR="0080452A" w:rsidRPr="00393B8F" w:rsidRDefault="0080452A" w:rsidP="0080452A">
            <w:pPr>
              <w:pStyle w:val="RSCT03TableBody"/>
              <w:rPr>
                <w:rFonts w:ascii="Times New Roman" w:hAnsi="Times New Roman"/>
                <w:b/>
                <w:bCs/>
                <w:i w:val="0"/>
                <w:sz w:val="24"/>
                <w:szCs w:val="24"/>
                <w:lang w:val="nl-NL"/>
              </w:rPr>
            </w:pPr>
            <w:r w:rsidRPr="00393B8F">
              <w:rPr>
                <w:rFonts w:ascii="Times New Roman" w:hAnsi="Times New Roman"/>
                <w:b/>
                <w:bCs/>
                <w:i w:val="0"/>
                <w:sz w:val="24"/>
                <w:szCs w:val="24"/>
                <w:lang w:val="nl-NL"/>
              </w:rPr>
              <w:t>Inlet SUVA (</w:t>
            </w:r>
            <w:r w:rsidRPr="00393B8F">
              <w:rPr>
                <w:rFonts w:ascii="Times New Roman" w:hAnsi="Times New Roman"/>
                <w:b/>
                <w:i w:val="0"/>
                <w:sz w:val="24"/>
                <w:szCs w:val="24"/>
                <w:lang w:val="nl-NL"/>
              </w:rPr>
              <w:t>L/m</w:t>
            </w:r>
            <w:r w:rsidRPr="00393B8F">
              <w:rPr>
                <w:rFonts w:ascii="Times New Roman" w:hAnsi="Times New Roman"/>
                <w:b/>
                <w:bCs/>
                <w:i w:val="0"/>
                <w:sz w:val="24"/>
                <w:szCs w:val="24"/>
                <w:lang w:val="nl-NL"/>
              </w:rPr>
              <w:t xml:space="preserve"> mg)</w:t>
            </w:r>
          </w:p>
        </w:tc>
        <w:tc>
          <w:tcPr>
            <w:tcW w:w="1364" w:type="dxa"/>
          </w:tcPr>
          <w:p w14:paraId="5B4BB479"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lang w:val="nl-NL"/>
              </w:rPr>
              <w:t>4.61</w:t>
            </w:r>
          </w:p>
        </w:tc>
        <w:tc>
          <w:tcPr>
            <w:tcW w:w="1394" w:type="dxa"/>
          </w:tcPr>
          <w:p w14:paraId="02577C93"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lang w:val="nl-NL"/>
              </w:rPr>
              <w:t>3.74</w:t>
            </w:r>
          </w:p>
        </w:tc>
      </w:tr>
      <w:tr w:rsidR="0080452A" w:rsidRPr="00393B8F" w14:paraId="7316CD5E"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0CFB3611"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 xml:space="preserve">Pre-AOP SUVA </w:t>
            </w:r>
            <w:r w:rsidRPr="00393B8F">
              <w:rPr>
                <w:rFonts w:ascii="Times New Roman" w:hAnsi="Times New Roman"/>
                <w:b/>
                <w:i w:val="0"/>
                <w:sz w:val="24"/>
                <w:szCs w:val="24"/>
                <w:lang w:val="en-US"/>
              </w:rPr>
              <w:t>(L/m</w:t>
            </w:r>
            <w:r w:rsidRPr="00393B8F">
              <w:rPr>
                <w:rFonts w:ascii="Times New Roman" w:hAnsi="Times New Roman"/>
                <w:b/>
                <w:bCs/>
                <w:i w:val="0"/>
                <w:sz w:val="24"/>
                <w:szCs w:val="24"/>
                <w:lang w:val="en-US"/>
              </w:rPr>
              <w:t xml:space="preserve"> mg)</w:t>
            </w:r>
          </w:p>
        </w:tc>
        <w:tc>
          <w:tcPr>
            <w:tcW w:w="1364" w:type="dxa"/>
          </w:tcPr>
          <w:p w14:paraId="1C55DF74"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4.70</w:t>
            </w:r>
          </w:p>
        </w:tc>
        <w:tc>
          <w:tcPr>
            <w:tcW w:w="1394" w:type="dxa"/>
          </w:tcPr>
          <w:p w14:paraId="256A1E3D"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4.18</w:t>
            </w:r>
          </w:p>
        </w:tc>
      </w:tr>
      <w:tr w:rsidR="0080452A" w:rsidRPr="00393B8F" w14:paraId="7A026142" w14:textId="77777777" w:rsidTr="00C41FE6">
        <w:trPr>
          <w:trHeight w:val="521"/>
        </w:trPr>
        <w:tc>
          <w:tcPr>
            <w:cnfStyle w:val="001000000000" w:firstRow="0" w:lastRow="0" w:firstColumn="1" w:lastColumn="0" w:oddVBand="0" w:evenVBand="0" w:oddHBand="0" w:evenHBand="0" w:firstRowFirstColumn="0" w:firstRowLastColumn="0" w:lastRowFirstColumn="0" w:lastRowLastColumn="0"/>
            <w:tcW w:w="4094" w:type="dxa"/>
          </w:tcPr>
          <w:p w14:paraId="4CD18CBA"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 xml:space="preserve">Post-AOP SUVA </w:t>
            </w:r>
            <w:r w:rsidRPr="00393B8F">
              <w:rPr>
                <w:rFonts w:ascii="Times New Roman" w:hAnsi="Times New Roman"/>
                <w:b/>
                <w:i w:val="0"/>
                <w:sz w:val="24"/>
                <w:szCs w:val="24"/>
                <w:lang w:val="en-US"/>
              </w:rPr>
              <w:t>(L/m</w:t>
            </w:r>
            <w:r w:rsidRPr="00393B8F">
              <w:rPr>
                <w:rFonts w:ascii="Times New Roman" w:hAnsi="Times New Roman"/>
                <w:b/>
                <w:bCs/>
                <w:i w:val="0"/>
                <w:sz w:val="24"/>
                <w:szCs w:val="24"/>
                <w:lang w:val="en-US"/>
              </w:rPr>
              <w:t xml:space="preserve"> mg)</w:t>
            </w:r>
            <w:r w:rsidRPr="00393B8F">
              <w:rPr>
                <w:rFonts w:ascii="Times New Roman" w:hAnsi="Times New Roman"/>
                <w:b/>
                <w:i w:val="0"/>
                <w:sz w:val="24"/>
                <w:szCs w:val="24"/>
                <w:vertAlign w:val="superscript"/>
                <w:lang w:val="en-US"/>
              </w:rPr>
              <w:t xml:space="preserve"> </w:t>
            </w:r>
          </w:p>
        </w:tc>
        <w:tc>
          <w:tcPr>
            <w:tcW w:w="1364" w:type="dxa"/>
          </w:tcPr>
          <w:p w14:paraId="1E10A5E5"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2.90</w:t>
            </w:r>
          </w:p>
        </w:tc>
        <w:tc>
          <w:tcPr>
            <w:tcW w:w="1394" w:type="dxa"/>
          </w:tcPr>
          <w:p w14:paraId="7FB9125C"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w:t>
            </w:r>
          </w:p>
        </w:tc>
      </w:tr>
      <w:tr w:rsidR="0080452A" w:rsidRPr="00393B8F" w14:paraId="17CBCB94"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485A1B56"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Inlet UVT (%)</w:t>
            </w:r>
          </w:p>
        </w:tc>
        <w:tc>
          <w:tcPr>
            <w:tcW w:w="1364" w:type="dxa"/>
          </w:tcPr>
          <w:p w14:paraId="43D77D8C"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65.0</w:t>
            </w:r>
          </w:p>
        </w:tc>
        <w:tc>
          <w:tcPr>
            <w:tcW w:w="1394" w:type="dxa"/>
          </w:tcPr>
          <w:p w14:paraId="3CF82C64"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66.7</w:t>
            </w:r>
          </w:p>
        </w:tc>
      </w:tr>
      <w:tr w:rsidR="0080452A" w:rsidRPr="00393B8F" w14:paraId="2AE036B8" w14:textId="77777777" w:rsidTr="00C41FE6">
        <w:trPr>
          <w:trHeight w:val="253"/>
        </w:trPr>
        <w:tc>
          <w:tcPr>
            <w:cnfStyle w:val="001000000000" w:firstRow="0" w:lastRow="0" w:firstColumn="1" w:lastColumn="0" w:oddVBand="0" w:evenVBand="0" w:oddHBand="0" w:evenHBand="0" w:firstRowFirstColumn="0" w:firstRowLastColumn="0" w:lastRowFirstColumn="0" w:lastRowLastColumn="0"/>
            <w:tcW w:w="4094" w:type="dxa"/>
          </w:tcPr>
          <w:p w14:paraId="004D98AE"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Pre-AOP UVT (%)</w:t>
            </w:r>
          </w:p>
        </w:tc>
        <w:tc>
          <w:tcPr>
            <w:tcW w:w="1364" w:type="dxa"/>
          </w:tcPr>
          <w:p w14:paraId="3BE6E942"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74.8</w:t>
            </w:r>
          </w:p>
        </w:tc>
        <w:tc>
          <w:tcPr>
            <w:tcW w:w="1394" w:type="dxa"/>
          </w:tcPr>
          <w:p w14:paraId="248F5C9A"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81.7</w:t>
            </w:r>
          </w:p>
        </w:tc>
      </w:tr>
      <w:tr w:rsidR="0080452A" w:rsidRPr="00393B8F" w14:paraId="3D36A20D" w14:textId="77777777" w:rsidTr="00C41FE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094" w:type="dxa"/>
          </w:tcPr>
          <w:p w14:paraId="76A00236"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Post-AOP UVT (%)</w:t>
            </w:r>
          </w:p>
        </w:tc>
        <w:tc>
          <w:tcPr>
            <w:tcW w:w="1364" w:type="dxa"/>
          </w:tcPr>
          <w:p w14:paraId="7381DBDB"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90.4</w:t>
            </w:r>
          </w:p>
        </w:tc>
        <w:tc>
          <w:tcPr>
            <w:tcW w:w="1394" w:type="dxa"/>
          </w:tcPr>
          <w:p w14:paraId="57DC65B4"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92.7</w:t>
            </w:r>
          </w:p>
        </w:tc>
      </w:tr>
      <w:tr w:rsidR="0080452A" w:rsidRPr="00393B8F" w14:paraId="03FBB49A" w14:textId="77777777" w:rsidTr="00C41FE6">
        <w:trPr>
          <w:trHeight w:val="253"/>
        </w:trPr>
        <w:tc>
          <w:tcPr>
            <w:cnfStyle w:val="001000000000" w:firstRow="0" w:lastRow="0" w:firstColumn="1" w:lastColumn="0" w:oddVBand="0" w:evenVBand="0" w:oddHBand="0" w:evenHBand="0" w:firstRowFirstColumn="0" w:firstRowLastColumn="0" w:lastRowFirstColumn="0" w:lastRowLastColumn="0"/>
            <w:tcW w:w="4094" w:type="dxa"/>
          </w:tcPr>
          <w:p w14:paraId="73F3A9A2"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UV fluence (mJ/cm</w:t>
            </w:r>
            <w:r w:rsidRPr="00393B8F">
              <w:rPr>
                <w:rFonts w:ascii="Times New Roman" w:eastAsiaTheme="minorHAnsi" w:hAnsi="Times New Roman"/>
                <w:b/>
                <w:i w:val="0"/>
                <w:sz w:val="24"/>
                <w:szCs w:val="24"/>
                <w:vertAlign w:val="superscript"/>
              </w:rPr>
              <w:t>2</w:t>
            </w:r>
            <w:r w:rsidRPr="00393B8F">
              <w:rPr>
                <w:rFonts w:ascii="Times New Roman" w:hAnsi="Times New Roman"/>
                <w:b/>
                <w:bCs/>
                <w:i w:val="0"/>
                <w:sz w:val="24"/>
                <w:szCs w:val="24"/>
              </w:rPr>
              <w:t>)</w:t>
            </w:r>
          </w:p>
        </w:tc>
        <w:tc>
          <w:tcPr>
            <w:tcW w:w="1364" w:type="dxa"/>
          </w:tcPr>
          <w:p w14:paraId="65BF8EAE"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2000</w:t>
            </w:r>
          </w:p>
        </w:tc>
        <w:tc>
          <w:tcPr>
            <w:tcW w:w="1394" w:type="dxa"/>
          </w:tcPr>
          <w:p w14:paraId="00D19988"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1750</w:t>
            </w:r>
          </w:p>
        </w:tc>
      </w:tr>
      <w:tr w:rsidR="0080452A" w:rsidRPr="00393B8F" w14:paraId="4B913988" w14:textId="77777777" w:rsidTr="00C41FE6">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4094" w:type="dxa"/>
          </w:tcPr>
          <w:p w14:paraId="6A4C2247" w14:textId="77777777" w:rsidR="0080452A" w:rsidRPr="00393B8F" w:rsidRDefault="0080452A" w:rsidP="0080452A">
            <w:pPr>
              <w:pStyle w:val="RSCT03TableBody"/>
              <w:rPr>
                <w:rFonts w:ascii="Times New Roman" w:hAnsi="Times New Roman"/>
                <w:b/>
                <w:bCs/>
                <w:i w:val="0"/>
                <w:sz w:val="24"/>
                <w:szCs w:val="24"/>
                <w:lang w:val="nl-NL"/>
              </w:rPr>
            </w:pPr>
            <w:r w:rsidRPr="00393B8F">
              <w:rPr>
                <w:rFonts w:ascii="Times New Roman" w:hAnsi="Times New Roman"/>
                <w:b/>
                <w:bCs/>
                <w:i w:val="0"/>
                <w:sz w:val="24"/>
                <w:szCs w:val="24"/>
                <w:lang w:val="nl-NL"/>
              </w:rPr>
              <w:t>Hydrogen peroxide dose (mg/L)</w:t>
            </w:r>
          </w:p>
        </w:tc>
        <w:tc>
          <w:tcPr>
            <w:tcW w:w="1364" w:type="dxa"/>
          </w:tcPr>
          <w:p w14:paraId="05CBFB2F"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40</w:t>
            </w:r>
          </w:p>
        </w:tc>
        <w:tc>
          <w:tcPr>
            <w:tcW w:w="1394" w:type="dxa"/>
          </w:tcPr>
          <w:p w14:paraId="7D6FF830"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40</w:t>
            </w:r>
          </w:p>
        </w:tc>
      </w:tr>
      <w:tr w:rsidR="0080452A" w:rsidRPr="00393B8F" w14:paraId="1BFD8955" w14:textId="77777777" w:rsidTr="00C41FE6">
        <w:trPr>
          <w:trHeight w:val="267"/>
        </w:trPr>
        <w:tc>
          <w:tcPr>
            <w:cnfStyle w:val="001000000000" w:firstRow="0" w:lastRow="0" w:firstColumn="1" w:lastColumn="0" w:oddVBand="0" w:evenVBand="0" w:oddHBand="0" w:evenHBand="0" w:firstRowFirstColumn="0" w:firstRowLastColumn="0" w:lastRowFirstColumn="0" w:lastRowLastColumn="0"/>
            <w:tcW w:w="4094" w:type="dxa"/>
          </w:tcPr>
          <w:p w14:paraId="1D58E60F" w14:textId="77777777" w:rsidR="0080452A" w:rsidRPr="00393B8F" w:rsidRDefault="0080452A" w:rsidP="0080452A">
            <w:pPr>
              <w:pStyle w:val="RSCT03TableBody"/>
              <w:rPr>
                <w:rFonts w:ascii="Times New Roman" w:hAnsi="Times New Roman"/>
                <w:b/>
                <w:bCs/>
                <w:i w:val="0"/>
                <w:sz w:val="24"/>
                <w:szCs w:val="24"/>
              </w:rPr>
            </w:pPr>
            <w:r w:rsidRPr="00393B8F">
              <w:rPr>
                <w:rFonts w:ascii="Times New Roman" w:hAnsi="Times New Roman"/>
                <w:b/>
                <w:bCs/>
                <w:i w:val="0"/>
                <w:sz w:val="24"/>
                <w:szCs w:val="24"/>
              </w:rPr>
              <w:t>Works inlet nitrate (mg/L)</w:t>
            </w:r>
          </w:p>
        </w:tc>
        <w:tc>
          <w:tcPr>
            <w:tcW w:w="1364" w:type="dxa"/>
          </w:tcPr>
          <w:p w14:paraId="767E8425"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30.5</w:t>
            </w:r>
          </w:p>
        </w:tc>
        <w:tc>
          <w:tcPr>
            <w:tcW w:w="1394" w:type="dxa"/>
          </w:tcPr>
          <w:p w14:paraId="6EA07035" w14:textId="77777777" w:rsidR="0080452A" w:rsidRPr="00393B8F" w:rsidRDefault="0080452A" w:rsidP="0080452A">
            <w:pPr>
              <w:pStyle w:val="RSCT03TableBody"/>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31.7</w:t>
            </w:r>
          </w:p>
        </w:tc>
      </w:tr>
      <w:tr w:rsidR="0080452A" w:rsidRPr="00393B8F" w14:paraId="14789D9B" w14:textId="77777777" w:rsidTr="00C41FE6">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4094" w:type="dxa"/>
          </w:tcPr>
          <w:p w14:paraId="688A40E4" w14:textId="77777777" w:rsidR="0080452A" w:rsidRPr="00393B8F" w:rsidRDefault="0080452A" w:rsidP="0080452A">
            <w:pPr>
              <w:pStyle w:val="RSCT03TableBody"/>
              <w:rPr>
                <w:rFonts w:ascii="Times New Roman" w:hAnsi="Times New Roman"/>
                <w:b/>
                <w:bCs/>
                <w:sz w:val="24"/>
                <w:szCs w:val="24"/>
              </w:rPr>
            </w:pPr>
            <w:r w:rsidRPr="00393B8F">
              <w:rPr>
                <w:rFonts w:ascii="Times New Roman" w:hAnsi="Times New Roman"/>
                <w:b/>
                <w:bCs/>
                <w:i w:val="0"/>
                <w:sz w:val="24"/>
                <w:szCs w:val="24"/>
              </w:rPr>
              <w:t>Works effluent nitrate (mg/L)</w:t>
            </w:r>
          </w:p>
        </w:tc>
        <w:tc>
          <w:tcPr>
            <w:tcW w:w="1364" w:type="dxa"/>
          </w:tcPr>
          <w:p w14:paraId="1AE861D1"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30.0</w:t>
            </w:r>
          </w:p>
        </w:tc>
        <w:tc>
          <w:tcPr>
            <w:tcW w:w="1394" w:type="dxa"/>
          </w:tcPr>
          <w:p w14:paraId="5FFD537C" w14:textId="77777777" w:rsidR="0080452A" w:rsidRPr="00393B8F" w:rsidRDefault="0080452A" w:rsidP="0080452A">
            <w:pPr>
              <w:pStyle w:val="RSCT03TableBody"/>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B8F">
              <w:rPr>
                <w:rFonts w:ascii="Times New Roman" w:hAnsi="Times New Roman"/>
                <w:sz w:val="24"/>
                <w:szCs w:val="24"/>
              </w:rPr>
              <w:t>30.2</w:t>
            </w:r>
          </w:p>
        </w:tc>
      </w:tr>
    </w:tbl>
    <w:p w14:paraId="0858F8C3" w14:textId="1EA6F9F6" w:rsidR="00F5706E" w:rsidRPr="00393B8F" w:rsidRDefault="00F5706E" w:rsidP="00F5706E">
      <w:pPr>
        <w:spacing w:after="0" w:line="480" w:lineRule="auto"/>
        <w:jc w:val="both"/>
        <w:rPr>
          <w:rFonts w:ascii="Times New Roman" w:hAnsi="Times New Roman" w:cs="Times New Roman"/>
          <w:sz w:val="24"/>
          <w:szCs w:val="24"/>
        </w:rPr>
      </w:pPr>
    </w:p>
    <w:p w14:paraId="06D008FE" w14:textId="77777777" w:rsidR="00F5706E" w:rsidRPr="00393B8F" w:rsidRDefault="00F5706E" w:rsidP="00F5706E">
      <w:pPr>
        <w:spacing w:after="0" w:line="480" w:lineRule="auto"/>
        <w:jc w:val="both"/>
        <w:rPr>
          <w:rFonts w:ascii="Times New Roman" w:hAnsi="Times New Roman" w:cs="Times New Roman"/>
          <w:sz w:val="24"/>
          <w:szCs w:val="24"/>
        </w:rPr>
      </w:pPr>
    </w:p>
    <w:bookmarkEnd w:id="0"/>
    <w:p w14:paraId="552CB4CA" w14:textId="77F2297E" w:rsidR="0013113E" w:rsidRPr="00C8212B" w:rsidRDefault="0013113E" w:rsidP="00395053">
      <w:pPr>
        <w:spacing w:after="0" w:line="480" w:lineRule="auto"/>
        <w:jc w:val="both"/>
        <w:rPr>
          <w:rFonts w:ascii="Times New Roman" w:hAnsi="Times New Roman" w:cs="Times New Roman"/>
          <w:b/>
          <w:sz w:val="24"/>
          <w:szCs w:val="24"/>
        </w:rPr>
      </w:pPr>
    </w:p>
    <w:p w14:paraId="124E7A09" w14:textId="41450253" w:rsidR="00332E80" w:rsidRDefault="00332E80" w:rsidP="000E34E3">
      <w:pPr>
        <w:spacing w:after="0" w:line="240" w:lineRule="auto"/>
        <w:ind w:left="369" w:hanging="369"/>
        <w:jc w:val="both"/>
        <w:rPr>
          <w:rFonts w:ascii="Times New Roman" w:hAnsi="Times New Roman" w:cs="Times New Roman"/>
          <w:sz w:val="24"/>
          <w:szCs w:val="24"/>
        </w:rPr>
        <w:sectPr w:rsidR="00332E80" w:rsidSect="00B149CC">
          <w:footerReference w:type="default" r:id="rId11"/>
          <w:type w:val="continuous"/>
          <w:pgSz w:w="11906" w:h="16838"/>
          <w:pgMar w:top="1440" w:right="1440" w:bottom="1440" w:left="1440" w:header="708" w:footer="708" w:gutter="0"/>
          <w:lnNumType w:countBy="1" w:restart="continuous"/>
          <w:cols w:space="708"/>
          <w:docGrid w:linePitch="360"/>
        </w:sectPr>
      </w:pPr>
    </w:p>
    <w:p w14:paraId="453239B9" w14:textId="77777777" w:rsidR="00EA76F9" w:rsidRDefault="00EA76F9" w:rsidP="00332E80">
      <w:pPr>
        <w:spacing w:after="0" w:line="240" w:lineRule="auto"/>
        <w:jc w:val="both"/>
        <w:rPr>
          <w:rFonts w:ascii="Times New Roman" w:hAnsi="Times New Roman" w:cs="Times New Roman"/>
          <w:sz w:val="24"/>
          <w:szCs w:val="24"/>
        </w:rPr>
      </w:pPr>
    </w:p>
    <w:p w14:paraId="040944FD" w14:textId="77777777" w:rsidR="00EA76F9" w:rsidRDefault="00EA76F9" w:rsidP="00332E80">
      <w:pPr>
        <w:spacing w:after="0" w:line="240" w:lineRule="auto"/>
        <w:jc w:val="both"/>
        <w:rPr>
          <w:rFonts w:ascii="Times New Roman" w:hAnsi="Times New Roman" w:cs="Times New Roman"/>
          <w:sz w:val="24"/>
          <w:szCs w:val="24"/>
        </w:rPr>
      </w:pPr>
    </w:p>
    <w:p w14:paraId="304FA975" w14:textId="2753DB93" w:rsidR="001771D8" w:rsidRDefault="00C30347"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8E42539" wp14:editId="02D22427">
            <wp:extent cx="4437449" cy="4476585"/>
            <wp:effectExtent l="0" t="0" r="127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44836" cy="4484037"/>
                    </a:xfrm>
                    <a:prstGeom prst="rect">
                      <a:avLst/>
                    </a:prstGeom>
                  </pic:spPr>
                </pic:pic>
              </a:graphicData>
            </a:graphic>
          </wp:inline>
        </w:drawing>
      </w:r>
    </w:p>
    <w:p w14:paraId="2CC3A39B" w14:textId="77777777" w:rsidR="00C30347" w:rsidRPr="00E47933" w:rsidRDefault="00C30347" w:rsidP="00DE1A1D">
      <w:pPr>
        <w:pStyle w:val="RSCI04CaptiontoFigureSchemeChart"/>
        <w:spacing w:line="240" w:lineRule="auto"/>
        <w:rPr>
          <w:rFonts w:ascii="Times New Roman" w:hAnsi="Times New Roman" w:cs="Times New Roman"/>
          <w:b/>
          <w:sz w:val="24"/>
          <w:szCs w:val="24"/>
        </w:rPr>
      </w:pPr>
      <w:r w:rsidRPr="00E47933">
        <w:rPr>
          <w:rFonts w:ascii="Times New Roman" w:hAnsi="Times New Roman" w:cs="Times New Roman"/>
          <w:b/>
          <w:sz w:val="24"/>
          <w:szCs w:val="24"/>
        </w:rPr>
        <w:t xml:space="preserve">Figure </w:t>
      </w:r>
      <w:r w:rsidRPr="00E47933">
        <w:rPr>
          <w:rFonts w:ascii="Times New Roman" w:hAnsi="Times New Roman" w:cs="Times New Roman"/>
          <w:b/>
          <w:sz w:val="24"/>
          <w:szCs w:val="24"/>
        </w:rPr>
        <w:fldChar w:fldCharType="begin"/>
      </w:r>
      <w:r w:rsidRPr="00E47933">
        <w:rPr>
          <w:rFonts w:ascii="Times New Roman" w:hAnsi="Times New Roman" w:cs="Times New Roman"/>
          <w:b/>
          <w:sz w:val="24"/>
          <w:szCs w:val="24"/>
        </w:rPr>
        <w:instrText xml:space="preserve"> SEQ Figure \* ARABIC </w:instrText>
      </w:r>
      <w:r w:rsidRPr="00E47933">
        <w:rPr>
          <w:rFonts w:ascii="Times New Roman" w:hAnsi="Times New Roman" w:cs="Times New Roman"/>
          <w:b/>
          <w:sz w:val="24"/>
          <w:szCs w:val="24"/>
        </w:rPr>
        <w:fldChar w:fldCharType="separate"/>
      </w:r>
      <w:r w:rsidRPr="00E47933">
        <w:rPr>
          <w:rFonts w:ascii="Times New Roman" w:hAnsi="Times New Roman" w:cs="Times New Roman"/>
          <w:b/>
          <w:noProof/>
          <w:sz w:val="24"/>
          <w:szCs w:val="24"/>
        </w:rPr>
        <w:t>1</w:t>
      </w:r>
      <w:r w:rsidRPr="00E47933">
        <w:rPr>
          <w:rFonts w:ascii="Times New Roman" w:hAnsi="Times New Roman" w:cs="Times New Roman"/>
          <w:b/>
          <w:noProof/>
          <w:sz w:val="24"/>
          <w:szCs w:val="24"/>
        </w:rPr>
        <w:fldChar w:fldCharType="end"/>
      </w:r>
      <w:r w:rsidRPr="00E47933">
        <w:rPr>
          <w:rFonts w:ascii="Times New Roman" w:hAnsi="Times New Roman" w:cs="Times New Roman"/>
          <w:b/>
          <w:sz w:val="24"/>
          <w:szCs w:val="24"/>
        </w:rPr>
        <w:t xml:space="preserve">. </w:t>
      </w:r>
      <w:r w:rsidRPr="00E47933">
        <w:rPr>
          <w:rFonts w:ascii="Times New Roman" w:hAnsi="Times New Roman" w:cs="Times New Roman"/>
          <w:sz w:val="24"/>
          <w:szCs w:val="24"/>
        </w:rPr>
        <w:t>Number of positive wells generated by the Ames II assay (TA98 – S9) under different experimental conditions with a) Suwannee River, and b) Pony Lake NOM (H</w:t>
      </w:r>
      <w:r w:rsidRPr="00E47933">
        <w:rPr>
          <w:rFonts w:ascii="Times New Roman" w:hAnsi="Times New Roman" w:cs="Times New Roman"/>
          <w:sz w:val="24"/>
          <w:szCs w:val="24"/>
          <w:vertAlign w:val="subscript"/>
        </w:rPr>
        <w:t>2</w:t>
      </w:r>
      <w:r w:rsidRPr="00E47933">
        <w:rPr>
          <w:rFonts w:ascii="Times New Roman" w:hAnsi="Times New Roman" w:cs="Times New Roman"/>
          <w:sz w:val="24"/>
          <w:szCs w:val="24"/>
        </w:rPr>
        <w:t>O</w:t>
      </w:r>
      <w:r w:rsidRPr="00E47933">
        <w:rPr>
          <w:rFonts w:ascii="Times New Roman" w:hAnsi="Times New Roman" w:cs="Times New Roman"/>
          <w:sz w:val="24"/>
          <w:szCs w:val="24"/>
          <w:vertAlign w:val="subscript"/>
        </w:rPr>
        <w:t>2</w:t>
      </w:r>
      <w:r w:rsidRPr="00E47933">
        <w:rPr>
          <w:rFonts w:ascii="Times New Roman" w:hAnsi="Times New Roman" w:cs="Times New Roman"/>
          <w:sz w:val="24"/>
          <w:szCs w:val="24"/>
        </w:rPr>
        <w:t xml:space="preserve"> concentration 15 mg/L). The numbers 0, 1500 and 2000 represent the UV fluences applied, in mJ/cm</w:t>
      </w:r>
      <w:r w:rsidRPr="00E47933">
        <w:rPr>
          <w:rFonts w:ascii="Times New Roman" w:hAnsi="Times New Roman" w:cs="Times New Roman"/>
          <w:sz w:val="24"/>
          <w:szCs w:val="24"/>
          <w:vertAlign w:val="superscript"/>
        </w:rPr>
        <w:t>2</w:t>
      </w:r>
      <w:r w:rsidRPr="00E47933">
        <w:rPr>
          <w:rFonts w:ascii="Times New Roman" w:hAnsi="Times New Roman" w:cs="Times New Roman"/>
          <w:sz w:val="24"/>
          <w:szCs w:val="24"/>
        </w:rPr>
        <w:t>. The positive control (2-nitrofluorene + 4-nitroquinoline N-oxide) produced 46.9 (±0.782) positive wells. The error bars represent the standard deviation values for the mean number of positive wells, where the mean number of positive wells represents the average of the positive wells for 9 replicates in the control conditions and 3 replicates for each extract.</w:t>
      </w:r>
    </w:p>
    <w:p w14:paraId="571B6EBE" w14:textId="77777777" w:rsidR="00C30347" w:rsidRDefault="00C30347" w:rsidP="00332E80">
      <w:pPr>
        <w:spacing w:after="0" w:line="240" w:lineRule="auto"/>
        <w:jc w:val="both"/>
        <w:rPr>
          <w:rFonts w:ascii="Times New Roman" w:hAnsi="Times New Roman" w:cs="Times New Roman"/>
          <w:sz w:val="24"/>
          <w:szCs w:val="24"/>
        </w:rPr>
      </w:pPr>
    </w:p>
    <w:p w14:paraId="569D0CB6" w14:textId="335750D6" w:rsidR="00EA76F9" w:rsidRDefault="00EA76F9" w:rsidP="00332E80">
      <w:pPr>
        <w:spacing w:after="0" w:line="240" w:lineRule="auto"/>
        <w:jc w:val="both"/>
        <w:rPr>
          <w:rFonts w:ascii="Times New Roman" w:hAnsi="Times New Roman" w:cs="Times New Roman"/>
          <w:sz w:val="24"/>
          <w:szCs w:val="24"/>
        </w:rPr>
      </w:pPr>
    </w:p>
    <w:p w14:paraId="37C4EC85" w14:textId="1835D2A5" w:rsidR="00EA76F9" w:rsidRDefault="006C0F52"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E4A4AA6" wp14:editId="0E90F62C">
            <wp:extent cx="4767801" cy="484234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7516" cy="4852211"/>
                    </a:xfrm>
                    <a:prstGeom prst="rect">
                      <a:avLst/>
                    </a:prstGeom>
                  </pic:spPr>
                </pic:pic>
              </a:graphicData>
            </a:graphic>
          </wp:inline>
        </w:drawing>
      </w:r>
    </w:p>
    <w:p w14:paraId="39FABA78" w14:textId="77777777" w:rsidR="006C0F52" w:rsidRPr="00E47933" w:rsidRDefault="006C0F52" w:rsidP="00DE1A1D">
      <w:pPr>
        <w:pStyle w:val="RSCI04CaptiontoFigureSchemeChart"/>
        <w:spacing w:line="240" w:lineRule="auto"/>
        <w:rPr>
          <w:rFonts w:ascii="Times New Roman" w:hAnsi="Times New Roman" w:cs="Times New Roman"/>
          <w:sz w:val="24"/>
          <w:szCs w:val="24"/>
          <w:lang w:val="en-US"/>
        </w:rPr>
      </w:pPr>
      <w:r w:rsidRPr="00E47933">
        <w:rPr>
          <w:rFonts w:ascii="Times New Roman" w:hAnsi="Times New Roman" w:cs="Times New Roman"/>
          <w:b/>
          <w:sz w:val="24"/>
          <w:szCs w:val="24"/>
        </w:rPr>
        <w:t xml:space="preserve">Figure </w:t>
      </w:r>
      <w:r w:rsidRPr="00E47933">
        <w:rPr>
          <w:rFonts w:ascii="Times New Roman" w:hAnsi="Times New Roman" w:cs="Times New Roman"/>
          <w:b/>
          <w:sz w:val="24"/>
          <w:szCs w:val="24"/>
        </w:rPr>
        <w:fldChar w:fldCharType="begin"/>
      </w:r>
      <w:r w:rsidRPr="00E47933">
        <w:rPr>
          <w:rFonts w:ascii="Times New Roman" w:hAnsi="Times New Roman" w:cs="Times New Roman"/>
          <w:b/>
          <w:sz w:val="24"/>
          <w:szCs w:val="24"/>
        </w:rPr>
        <w:instrText xml:space="preserve"> SEQ Figure \* ARABIC </w:instrText>
      </w:r>
      <w:r w:rsidRPr="00E47933">
        <w:rPr>
          <w:rFonts w:ascii="Times New Roman" w:hAnsi="Times New Roman" w:cs="Times New Roman"/>
          <w:b/>
          <w:sz w:val="24"/>
          <w:szCs w:val="24"/>
        </w:rPr>
        <w:fldChar w:fldCharType="separate"/>
      </w:r>
      <w:r w:rsidRPr="00E47933">
        <w:rPr>
          <w:rFonts w:ascii="Times New Roman" w:hAnsi="Times New Roman" w:cs="Times New Roman"/>
          <w:b/>
          <w:noProof/>
          <w:sz w:val="24"/>
          <w:szCs w:val="24"/>
        </w:rPr>
        <w:t>2</w:t>
      </w:r>
      <w:r w:rsidRPr="00E47933">
        <w:rPr>
          <w:rFonts w:ascii="Times New Roman" w:hAnsi="Times New Roman" w:cs="Times New Roman"/>
          <w:b/>
          <w:noProof/>
          <w:sz w:val="24"/>
          <w:szCs w:val="24"/>
        </w:rPr>
        <w:fldChar w:fldCharType="end"/>
      </w:r>
      <w:r w:rsidRPr="00E47933">
        <w:rPr>
          <w:rFonts w:ascii="Times New Roman" w:hAnsi="Times New Roman" w:cs="Times New Roman"/>
          <w:b/>
          <w:sz w:val="24"/>
          <w:szCs w:val="24"/>
        </w:rPr>
        <w:t>.</w:t>
      </w:r>
      <w:r w:rsidRPr="00E47933">
        <w:rPr>
          <w:rFonts w:ascii="Times New Roman" w:hAnsi="Times New Roman" w:cs="Times New Roman"/>
          <w:sz w:val="24"/>
          <w:szCs w:val="24"/>
        </w:rPr>
        <w:t xml:space="preserve"> N</w:t>
      </w:r>
      <w:r w:rsidRPr="00E47933">
        <w:rPr>
          <w:rFonts w:ascii="Times New Roman" w:hAnsi="Times New Roman" w:cs="Times New Roman"/>
          <w:sz w:val="24"/>
          <w:szCs w:val="24"/>
          <w:lang w:val="en-US"/>
        </w:rPr>
        <w:t>umber-fold</w:t>
      </w:r>
      <w:r w:rsidRPr="00E47933">
        <w:rPr>
          <w:rFonts w:ascii="Times New Roman" w:hAnsi="Times New Roman" w:cs="Times New Roman"/>
          <w:sz w:val="24"/>
          <w:szCs w:val="24"/>
        </w:rPr>
        <w:t xml:space="preserve"> increases over a) solvent control, and b) baseline, calculated from the Ames II assay (TA98 – S9) values for the different experimental conditions with either Pony Lake or Suwannee River NOM (H</w:t>
      </w:r>
      <w:r w:rsidRPr="00E47933">
        <w:rPr>
          <w:rFonts w:ascii="Times New Roman" w:hAnsi="Times New Roman" w:cs="Times New Roman"/>
          <w:sz w:val="24"/>
          <w:szCs w:val="24"/>
          <w:vertAlign w:val="subscript"/>
        </w:rPr>
        <w:t>2</w:t>
      </w:r>
      <w:r w:rsidRPr="00E47933">
        <w:rPr>
          <w:rFonts w:ascii="Times New Roman" w:hAnsi="Times New Roman" w:cs="Times New Roman"/>
          <w:sz w:val="24"/>
          <w:szCs w:val="24"/>
        </w:rPr>
        <w:t>O</w:t>
      </w:r>
      <w:r w:rsidRPr="00E47933">
        <w:rPr>
          <w:rFonts w:ascii="Times New Roman" w:hAnsi="Times New Roman" w:cs="Times New Roman"/>
          <w:sz w:val="24"/>
          <w:szCs w:val="24"/>
          <w:vertAlign w:val="subscript"/>
        </w:rPr>
        <w:t>2</w:t>
      </w:r>
      <w:r w:rsidRPr="00E47933">
        <w:rPr>
          <w:rFonts w:ascii="Times New Roman" w:hAnsi="Times New Roman" w:cs="Times New Roman"/>
          <w:sz w:val="24"/>
          <w:szCs w:val="24"/>
        </w:rPr>
        <w:t xml:space="preserve"> concentration 15 mg/L). The numbers 0, 1500 and 2000 represent the UV fluences applied, in mJ/cm</w:t>
      </w:r>
      <w:r w:rsidRPr="00E47933">
        <w:rPr>
          <w:rFonts w:ascii="Times New Roman" w:hAnsi="Times New Roman" w:cs="Times New Roman"/>
          <w:sz w:val="24"/>
          <w:szCs w:val="24"/>
          <w:vertAlign w:val="superscript"/>
        </w:rPr>
        <w:t>2</w:t>
      </w:r>
      <w:r w:rsidRPr="00E47933">
        <w:rPr>
          <w:rFonts w:ascii="Times New Roman" w:hAnsi="Times New Roman" w:cs="Times New Roman"/>
          <w:sz w:val="24"/>
          <w:szCs w:val="24"/>
        </w:rPr>
        <w:t>. The error bars represent the standard deviation values for the mean number of positive wells, where the mean number of positive wells represents the average of the positive wells for 9 replicates in the control conditions and 3 replicates for each extract.</w:t>
      </w:r>
    </w:p>
    <w:p w14:paraId="63DEB8D7" w14:textId="77777777" w:rsidR="006C0F52" w:rsidRPr="006C0F52" w:rsidRDefault="006C0F52" w:rsidP="00332E80">
      <w:pPr>
        <w:spacing w:after="0" w:line="240" w:lineRule="auto"/>
        <w:jc w:val="both"/>
        <w:rPr>
          <w:rFonts w:ascii="Times New Roman" w:hAnsi="Times New Roman" w:cs="Times New Roman"/>
          <w:sz w:val="24"/>
          <w:szCs w:val="24"/>
          <w:lang w:val="en-US"/>
        </w:rPr>
      </w:pPr>
    </w:p>
    <w:p w14:paraId="010C5301" w14:textId="17B39409" w:rsidR="00EA76F9" w:rsidRDefault="006C0F52"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F42D2FE" wp14:editId="1936B572">
            <wp:extent cx="4484536" cy="2559967"/>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04277" cy="2571236"/>
                    </a:xfrm>
                    <a:prstGeom prst="rect">
                      <a:avLst/>
                    </a:prstGeom>
                  </pic:spPr>
                </pic:pic>
              </a:graphicData>
            </a:graphic>
          </wp:inline>
        </w:drawing>
      </w:r>
    </w:p>
    <w:p w14:paraId="3914C926" w14:textId="3EED5BA0" w:rsidR="006C0F52" w:rsidRDefault="006C0F52" w:rsidP="00DE1A1D">
      <w:pPr>
        <w:pStyle w:val="Caption"/>
        <w:jc w:val="both"/>
        <w:rPr>
          <w:rFonts w:ascii="Times New Roman" w:hAnsi="Times New Roman" w:cs="Times New Roman"/>
          <w:i w:val="0"/>
          <w:color w:val="auto"/>
          <w:sz w:val="24"/>
          <w:szCs w:val="24"/>
        </w:rPr>
      </w:pPr>
      <w:r w:rsidRPr="00E47933">
        <w:rPr>
          <w:rFonts w:ascii="Times New Roman" w:hAnsi="Times New Roman" w:cs="Times New Roman"/>
          <w:b/>
          <w:i w:val="0"/>
          <w:color w:val="auto"/>
          <w:sz w:val="24"/>
          <w:szCs w:val="24"/>
        </w:rPr>
        <w:t>Figure 3.</w:t>
      </w:r>
      <w:r w:rsidRPr="00DE1A1D">
        <w:rPr>
          <w:rFonts w:ascii="Times New Roman" w:hAnsi="Times New Roman" w:cs="Times New Roman"/>
          <w:i w:val="0"/>
          <w:color w:val="auto"/>
          <w:sz w:val="24"/>
          <w:szCs w:val="24"/>
        </w:rPr>
        <w:t xml:space="preserve"> Concentrations of mono-nitrophenol (2-nitrophenol, 4-nitrophenol or a combination of both) produced by the LP-UV/H</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O</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 xml:space="preserve"> treatment of synthetic water samples containing Pony Lake NOM and nitrate. The bar representing the value for the 0/15 UV/H</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O</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 xml:space="preserve"> combination is shaded because the nitrophenol concentration is higher than the detection limit of 0.007 μg/L but lower than the quantification limit of 0.02 μg/L. The numbers 0, 1500 and 2000 represent the UV fluences applied, in mJ/cm</w:t>
      </w:r>
      <w:r w:rsidRPr="00DE1A1D">
        <w:rPr>
          <w:rFonts w:ascii="Times New Roman" w:hAnsi="Times New Roman" w:cs="Times New Roman"/>
          <w:i w:val="0"/>
          <w:color w:val="auto"/>
          <w:sz w:val="24"/>
          <w:szCs w:val="24"/>
          <w:vertAlign w:val="superscript"/>
        </w:rPr>
        <w:t>2</w:t>
      </w:r>
      <w:r w:rsidRPr="00DE1A1D">
        <w:rPr>
          <w:rFonts w:ascii="Times New Roman" w:hAnsi="Times New Roman" w:cs="Times New Roman"/>
          <w:i w:val="0"/>
          <w:color w:val="auto"/>
          <w:sz w:val="24"/>
          <w:szCs w:val="24"/>
        </w:rPr>
        <w:t>, while the 15 represents the H</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O</w:t>
      </w:r>
      <w:r w:rsidRPr="00DE1A1D">
        <w:rPr>
          <w:rFonts w:ascii="Times New Roman" w:hAnsi="Times New Roman" w:cs="Times New Roman"/>
          <w:i w:val="0"/>
          <w:color w:val="auto"/>
          <w:sz w:val="24"/>
          <w:szCs w:val="24"/>
          <w:vertAlign w:val="subscript"/>
        </w:rPr>
        <w:t>2</w:t>
      </w:r>
      <w:r w:rsidRPr="00DE1A1D">
        <w:rPr>
          <w:rFonts w:ascii="Times New Roman" w:hAnsi="Times New Roman" w:cs="Times New Roman"/>
          <w:i w:val="0"/>
          <w:color w:val="auto"/>
          <w:sz w:val="24"/>
          <w:szCs w:val="24"/>
        </w:rPr>
        <w:t xml:space="preserve"> dosage in mg/L.</w:t>
      </w:r>
    </w:p>
    <w:p w14:paraId="32E0D9AD" w14:textId="77777777" w:rsidR="00E91675" w:rsidRPr="00E91675" w:rsidRDefault="00E91675" w:rsidP="00E91675">
      <w:pPr>
        <w:rPr>
          <w:lang w:val="en-US"/>
        </w:rPr>
      </w:pPr>
    </w:p>
    <w:p w14:paraId="61143B89" w14:textId="76A1EB6B" w:rsidR="00824DC9" w:rsidRPr="006C0F52" w:rsidRDefault="00824DC9" w:rsidP="00332E80">
      <w:pPr>
        <w:spacing w:after="0" w:line="240" w:lineRule="auto"/>
        <w:jc w:val="both"/>
        <w:rPr>
          <w:rFonts w:ascii="Times New Roman" w:hAnsi="Times New Roman" w:cs="Times New Roman"/>
          <w:sz w:val="24"/>
          <w:szCs w:val="24"/>
          <w:lang w:val="en-US"/>
        </w:rPr>
      </w:pPr>
    </w:p>
    <w:p w14:paraId="3CD15CAF" w14:textId="4095100B" w:rsidR="00824DC9" w:rsidRDefault="006C0F52"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CE2878" wp14:editId="415F9E3E">
            <wp:extent cx="5192010" cy="2989691"/>
            <wp:effectExtent l="0" t="0" r="889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07115" cy="2998389"/>
                    </a:xfrm>
                    <a:prstGeom prst="rect">
                      <a:avLst/>
                    </a:prstGeom>
                  </pic:spPr>
                </pic:pic>
              </a:graphicData>
            </a:graphic>
          </wp:inline>
        </w:drawing>
      </w:r>
    </w:p>
    <w:p w14:paraId="140F99ED" w14:textId="77777777" w:rsidR="006C0F52" w:rsidRPr="00DE1A1D" w:rsidRDefault="006C0F52" w:rsidP="00DE1A1D">
      <w:pPr>
        <w:pStyle w:val="Caption"/>
        <w:jc w:val="both"/>
        <w:rPr>
          <w:rFonts w:ascii="Times New Roman" w:hAnsi="Times New Roman" w:cs="Times New Roman"/>
          <w:i w:val="0"/>
          <w:color w:val="auto"/>
          <w:w w:val="108"/>
          <w:sz w:val="24"/>
          <w:szCs w:val="24"/>
        </w:rPr>
      </w:pPr>
      <w:r w:rsidRPr="00E47933">
        <w:rPr>
          <w:rFonts w:ascii="Times New Roman" w:hAnsi="Times New Roman" w:cs="Times New Roman"/>
          <w:b/>
          <w:i w:val="0"/>
          <w:color w:val="auto"/>
          <w:sz w:val="24"/>
          <w:szCs w:val="24"/>
        </w:rPr>
        <w:t>Figure 4.</w:t>
      </w:r>
      <w:r w:rsidRPr="00DE1A1D">
        <w:rPr>
          <w:rFonts w:ascii="Times New Roman" w:hAnsi="Times New Roman" w:cs="Times New Roman"/>
          <w:i w:val="0"/>
          <w:color w:val="auto"/>
          <w:sz w:val="24"/>
          <w:szCs w:val="24"/>
        </w:rPr>
        <w:t xml:space="preserve"> Number of positive wells generated by the Ames II assay (TA98 – S9) for the full-scale water samples during different stages of treatment for the two sampling dates. The positive control (2-nitrofluorene + 4-nitroquinoline N-oxide) produced 46.9 (±0.782) positive wells. The error bars represent the standard deviation values for the mean number of positive wells, where the mean number of positive wells represents the average of the positive wells for 9 replicates in the control conditions and 3 replicates for each extract.</w:t>
      </w:r>
    </w:p>
    <w:p w14:paraId="31955070" w14:textId="77777777" w:rsidR="006C0F52" w:rsidRPr="006C0F52" w:rsidRDefault="006C0F52" w:rsidP="00332E80">
      <w:pPr>
        <w:spacing w:after="0" w:line="240" w:lineRule="auto"/>
        <w:jc w:val="both"/>
        <w:rPr>
          <w:rFonts w:ascii="Times New Roman" w:hAnsi="Times New Roman" w:cs="Times New Roman"/>
          <w:sz w:val="24"/>
          <w:szCs w:val="24"/>
          <w:lang w:val="en-US"/>
        </w:rPr>
      </w:pPr>
    </w:p>
    <w:p w14:paraId="1C7D27DC" w14:textId="3707C84B" w:rsidR="00824DC9" w:rsidRDefault="00824DC9" w:rsidP="00332E80">
      <w:pPr>
        <w:spacing w:after="0" w:line="240" w:lineRule="auto"/>
        <w:jc w:val="both"/>
        <w:rPr>
          <w:rFonts w:ascii="Times New Roman" w:hAnsi="Times New Roman" w:cs="Times New Roman"/>
          <w:sz w:val="24"/>
          <w:szCs w:val="24"/>
        </w:rPr>
      </w:pPr>
    </w:p>
    <w:p w14:paraId="409BB0A0" w14:textId="5F0845C0" w:rsidR="00824DC9" w:rsidRDefault="00751104"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68BD8D" wp14:editId="55F9A8A6">
            <wp:extent cx="4643562" cy="4401046"/>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49642" cy="4406809"/>
                    </a:xfrm>
                    <a:prstGeom prst="rect">
                      <a:avLst/>
                    </a:prstGeom>
                  </pic:spPr>
                </pic:pic>
              </a:graphicData>
            </a:graphic>
          </wp:inline>
        </w:drawing>
      </w:r>
    </w:p>
    <w:p w14:paraId="73D0E335" w14:textId="77777777" w:rsidR="00751104" w:rsidRPr="00DE1A1D" w:rsidRDefault="00751104" w:rsidP="00DE1A1D">
      <w:pPr>
        <w:pStyle w:val="RSCI04CaptiontoFigureSchemeChart"/>
        <w:spacing w:line="240" w:lineRule="auto"/>
        <w:rPr>
          <w:rFonts w:ascii="Times New Roman" w:hAnsi="Times New Roman" w:cs="Times New Roman"/>
          <w:noProof/>
          <w:sz w:val="24"/>
          <w:szCs w:val="24"/>
        </w:rPr>
      </w:pPr>
      <w:r w:rsidRPr="00E47933">
        <w:rPr>
          <w:rFonts w:ascii="Times New Roman" w:hAnsi="Times New Roman" w:cs="Times New Roman"/>
          <w:b/>
          <w:sz w:val="24"/>
          <w:szCs w:val="24"/>
        </w:rPr>
        <w:t>Figure 5.</w:t>
      </w:r>
      <w:r w:rsidRPr="00DE1A1D">
        <w:rPr>
          <w:rFonts w:ascii="Times New Roman" w:hAnsi="Times New Roman" w:cs="Times New Roman"/>
          <w:sz w:val="24"/>
          <w:szCs w:val="24"/>
        </w:rPr>
        <w:t xml:space="preserve"> </w:t>
      </w:r>
      <w:bookmarkStart w:id="14" w:name="_Hlk494200348"/>
      <w:r w:rsidRPr="00DE1A1D">
        <w:rPr>
          <w:rFonts w:ascii="Times New Roman" w:hAnsi="Times New Roman" w:cs="Times New Roman"/>
          <w:sz w:val="24"/>
          <w:szCs w:val="24"/>
        </w:rPr>
        <w:t>Number-fold increases over a) solvent control, and b) baseline, calculated from the Ames II assay (TA98 – S9) values for the full-scale water samples during different stages of treatment for both samplings (a) and (b). The error bars represent the standard deviation values for the mean number of positive wells, where the mean number of positive wells represents the average of the positive wells for 9 replicates in the control conditions and 3 replicates for each extract.</w:t>
      </w:r>
      <w:bookmarkEnd w:id="14"/>
    </w:p>
    <w:p w14:paraId="4BFA45A5" w14:textId="032F43F8" w:rsidR="00824DC9" w:rsidRDefault="00824DC9" w:rsidP="00332E80">
      <w:pPr>
        <w:spacing w:after="0" w:line="240" w:lineRule="auto"/>
        <w:jc w:val="both"/>
        <w:rPr>
          <w:rFonts w:ascii="Times New Roman" w:hAnsi="Times New Roman" w:cs="Times New Roman"/>
          <w:sz w:val="24"/>
          <w:szCs w:val="24"/>
        </w:rPr>
      </w:pPr>
    </w:p>
    <w:p w14:paraId="474F24D6" w14:textId="34AECCAB" w:rsidR="00824DC9" w:rsidRDefault="00751104"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0EE9AAF" wp14:editId="25D89F21">
            <wp:extent cx="4651513" cy="4339773"/>
            <wp:effectExtent l="0" t="0" r="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61849" cy="4349416"/>
                    </a:xfrm>
                    <a:prstGeom prst="rect">
                      <a:avLst/>
                    </a:prstGeom>
                  </pic:spPr>
                </pic:pic>
              </a:graphicData>
            </a:graphic>
          </wp:inline>
        </w:drawing>
      </w:r>
    </w:p>
    <w:p w14:paraId="0F577945" w14:textId="1C88F841" w:rsidR="00751104" w:rsidRDefault="00751104" w:rsidP="00DE1A1D">
      <w:pPr>
        <w:pStyle w:val="Caption"/>
        <w:jc w:val="both"/>
        <w:rPr>
          <w:rFonts w:ascii="Times New Roman" w:hAnsi="Times New Roman" w:cs="Times New Roman"/>
          <w:i w:val="0"/>
          <w:color w:val="auto"/>
          <w:sz w:val="24"/>
          <w:szCs w:val="24"/>
        </w:rPr>
      </w:pPr>
      <w:r w:rsidRPr="00E47933">
        <w:rPr>
          <w:rFonts w:ascii="Times New Roman" w:hAnsi="Times New Roman" w:cs="Times New Roman"/>
          <w:b/>
          <w:i w:val="0"/>
          <w:color w:val="auto"/>
          <w:sz w:val="24"/>
          <w:szCs w:val="24"/>
        </w:rPr>
        <w:t>Figure 6.</w:t>
      </w:r>
      <w:r w:rsidRPr="00DE1A1D">
        <w:rPr>
          <w:rFonts w:ascii="Times New Roman" w:hAnsi="Times New Roman" w:cs="Times New Roman"/>
          <w:i w:val="0"/>
          <w:color w:val="auto"/>
          <w:sz w:val="24"/>
          <w:szCs w:val="24"/>
        </w:rPr>
        <w:t xml:space="preserve"> LC-OCD fractionation of full-scale water samples: a) sampling (a), and b) sampling (b) (C: Carbon, N: Nitrogen, LMW: Low Molecular Weight).</w:t>
      </w:r>
    </w:p>
    <w:p w14:paraId="4DA8954D" w14:textId="77777777" w:rsidR="00E91675" w:rsidRPr="00E91675" w:rsidRDefault="00E91675" w:rsidP="00E91675">
      <w:pPr>
        <w:rPr>
          <w:lang w:val="en-US"/>
        </w:rPr>
      </w:pPr>
    </w:p>
    <w:p w14:paraId="016AFF82" w14:textId="16A2C88D" w:rsidR="00824DC9" w:rsidRPr="00751104" w:rsidRDefault="00824DC9" w:rsidP="00332E80">
      <w:pPr>
        <w:spacing w:after="0" w:line="240" w:lineRule="auto"/>
        <w:jc w:val="both"/>
        <w:rPr>
          <w:rFonts w:ascii="Times New Roman" w:hAnsi="Times New Roman" w:cs="Times New Roman"/>
          <w:sz w:val="24"/>
          <w:szCs w:val="24"/>
          <w:lang w:val="en-US"/>
        </w:rPr>
      </w:pPr>
    </w:p>
    <w:p w14:paraId="7DF488AF" w14:textId="5BFA67A1" w:rsidR="00824DC9" w:rsidRDefault="00751104" w:rsidP="003F109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AB97AB" wp14:editId="2E9A7996">
            <wp:extent cx="4937760" cy="2643567"/>
            <wp:effectExtent l="0" t="0" r="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52096" cy="2651242"/>
                    </a:xfrm>
                    <a:prstGeom prst="rect">
                      <a:avLst/>
                    </a:prstGeom>
                  </pic:spPr>
                </pic:pic>
              </a:graphicData>
            </a:graphic>
          </wp:inline>
        </w:drawing>
      </w:r>
    </w:p>
    <w:p w14:paraId="306665C7" w14:textId="3F7CB326" w:rsidR="00751104" w:rsidRPr="00C8212B" w:rsidRDefault="00751104" w:rsidP="00E91675">
      <w:pPr>
        <w:pStyle w:val="RSCI04CaptiontoFigureSchemeChart"/>
        <w:spacing w:line="240" w:lineRule="auto"/>
        <w:rPr>
          <w:rFonts w:ascii="Times New Roman" w:hAnsi="Times New Roman" w:cs="Times New Roman"/>
          <w:sz w:val="24"/>
          <w:szCs w:val="24"/>
        </w:rPr>
      </w:pPr>
      <w:r w:rsidRPr="00E47933">
        <w:rPr>
          <w:rFonts w:ascii="Times New Roman" w:hAnsi="Times New Roman" w:cs="Times New Roman"/>
          <w:b/>
          <w:sz w:val="24"/>
          <w:szCs w:val="24"/>
        </w:rPr>
        <w:t>Figure 7.</w:t>
      </w:r>
      <w:r w:rsidRPr="00DE1A1D">
        <w:rPr>
          <w:rFonts w:ascii="Times New Roman" w:hAnsi="Times New Roman" w:cs="Times New Roman"/>
          <w:sz w:val="24"/>
          <w:szCs w:val="24"/>
        </w:rPr>
        <w:t xml:space="preserve"> Ames II response in water samples (20,000 concentration factor) as a function of the nitrite formation by MP UV treatment at WTP Andijk and in CB experiments with IHSS Pony Lake NOM (current LP-UV/H</w:t>
      </w:r>
      <w:r w:rsidRPr="00DE1A1D">
        <w:rPr>
          <w:rFonts w:ascii="Times New Roman" w:hAnsi="Times New Roman" w:cs="Times New Roman"/>
          <w:sz w:val="24"/>
          <w:szCs w:val="24"/>
          <w:vertAlign w:val="subscript"/>
        </w:rPr>
        <w:t>2</w:t>
      </w:r>
      <w:r w:rsidRPr="00DE1A1D">
        <w:rPr>
          <w:rFonts w:ascii="Times New Roman" w:hAnsi="Times New Roman" w:cs="Times New Roman"/>
          <w:sz w:val="24"/>
          <w:szCs w:val="24"/>
        </w:rPr>
        <w:t>O</w:t>
      </w:r>
      <w:r w:rsidRPr="00DE1A1D">
        <w:rPr>
          <w:rFonts w:ascii="Times New Roman" w:hAnsi="Times New Roman" w:cs="Times New Roman"/>
          <w:sz w:val="24"/>
          <w:szCs w:val="24"/>
          <w:vertAlign w:val="subscript"/>
        </w:rPr>
        <w:t>2</w:t>
      </w:r>
      <w:r w:rsidRPr="00DE1A1D">
        <w:rPr>
          <w:rFonts w:ascii="Times New Roman" w:hAnsi="Times New Roman" w:cs="Times New Roman"/>
          <w:sz w:val="24"/>
          <w:szCs w:val="24"/>
        </w:rPr>
        <w:t xml:space="preserve"> results superimposed on adapted Figure 5.3 of Martijn, 2015)</w:t>
      </w:r>
      <w:r w:rsidRPr="00DE1A1D">
        <w:rPr>
          <w:rFonts w:ascii="Times New Roman" w:hAnsi="Times New Roman" w:cs="Times New Roman"/>
          <w:sz w:val="24"/>
          <w:szCs w:val="24"/>
          <w:vertAlign w:val="superscript"/>
        </w:rPr>
        <w:t>52</w:t>
      </w:r>
      <w:r w:rsidRPr="00DE1A1D">
        <w:rPr>
          <w:rFonts w:ascii="Times New Roman" w:hAnsi="Times New Roman" w:cs="Times New Roman"/>
          <w:sz w:val="24"/>
          <w:szCs w:val="24"/>
        </w:rPr>
        <w:t>.</w:t>
      </w:r>
      <w:bookmarkStart w:id="15" w:name="_GoBack"/>
      <w:bookmarkEnd w:id="15"/>
    </w:p>
    <w:sectPr w:rsidR="00751104" w:rsidRPr="00C8212B" w:rsidSect="00B149C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5271A" w14:textId="77777777" w:rsidR="00FA06E5" w:rsidRDefault="00FA06E5" w:rsidP="00D13C74">
      <w:pPr>
        <w:spacing w:after="0" w:line="240" w:lineRule="auto"/>
      </w:pPr>
      <w:r>
        <w:separator/>
      </w:r>
    </w:p>
  </w:endnote>
  <w:endnote w:type="continuationSeparator" w:id="0">
    <w:p w14:paraId="525D717F" w14:textId="77777777" w:rsidR="00FA06E5" w:rsidRDefault="00FA06E5" w:rsidP="00D13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Consolas">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9468110"/>
      <w:docPartObj>
        <w:docPartGallery w:val="Page Numbers (Bottom of Page)"/>
        <w:docPartUnique/>
      </w:docPartObj>
    </w:sdtPr>
    <w:sdtEndPr>
      <w:rPr>
        <w:noProof/>
      </w:rPr>
    </w:sdtEndPr>
    <w:sdtContent>
      <w:p w14:paraId="5FC35D34" w14:textId="1AD8D380" w:rsidR="006C5179" w:rsidRDefault="006C5179">
        <w:pPr>
          <w:pStyle w:val="Footer"/>
          <w:jc w:val="center"/>
        </w:pPr>
        <w:r>
          <w:fldChar w:fldCharType="begin"/>
        </w:r>
        <w:r>
          <w:instrText xml:space="preserve"> PAGE   \* MERGEFORMAT </w:instrText>
        </w:r>
        <w:r>
          <w:fldChar w:fldCharType="separate"/>
        </w:r>
        <w:r w:rsidR="00E91675">
          <w:rPr>
            <w:noProof/>
          </w:rPr>
          <w:t>27</w:t>
        </w:r>
        <w:r>
          <w:rPr>
            <w:noProof/>
          </w:rPr>
          <w:fldChar w:fldCharType="end"/>
        </w:r>
      </w:p>
    </w:sdtContent>
  </w:sdt>
  <w:p w14:paraId="64DB83FB" w14:textId="77777777" w:rsidR="006C5179" w:rsidRDefault="006C5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8DB0B" w14:textId="77777777" w:rsidR="00FA06E5" w:rsidRDefault="00FA06E5" w:rsidP="00D13C74">
      <w:pPr>
        <w:spacing w:after="0" w:line="240" w:lineRule="auto"/>
      </w:pPr>
      <w:r>
        <w:separator/>
      </w:r>
    </w:p>
  </w:footnote>
  <w:footnote w:type="continuationSeparator" w:id="0">
    <w:p w14:paraId="3702AB98" w14:textId="77777777" w:rsidR="00FA06E5" w:rsidRDefault="00FA06E5" w:rsidP="00D13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04AC7"/>
    <w:multiLevelType w:val="hybridMultilevel"/>
    <w:tmpl w:val="16CE568E"/>
    <w:lvl w:ilvl="0" w:tplc="BEDA2BF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02751"/>
    <w:multiLevelType w:val="hybridMultilevel"/>
    <w:tmpl w:val="2C8A2D9A"/>
    <w:lvl w:ilvl="0" w:tplc="1BBC73F0">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66C91"/>
    <w:multiLevelType w:val="hybridMultilevel"/>
    <w:tmpl w:val="93E09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9190E"/>
    <w:multiLevelType w:val="hybridMultilevel"/>
    <w:tmpl w:val="8F041B3A"/>
    <w:lvl w:ilvl="0" w:tplc="720A4F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D458D"/>
    <w:multiLevelType w:val="multilevel"/>
    <w:tmpl w:val="53A0871E"/>
    <w:lvl w:ilvl="0">
      <w:start w:val="1"/>
      <w:numFmt w:val="decimal"/>
      <w:lvlText w:val="%1."/>
      <w:lvlJc w:val="left"/>
      <w:pPr>
        <w:ind w:left="720" w:hanging="360"/>
      </w:pPr>
      <w:rPr>
        <w:rFonts w:hint="default"/>
      </w:rPr>
    </w:lvl>
    <w:lvl w:ilvl="1">
      <w:start w:val="3"/>
      <w:numFmt w:val="decimal"/>
      <w:isLgl/>
      <w:lvlText w:val="%1.%2"/>
      <w:lvlJc w:val="left"/>
      <w:pPr>
        <w:ind w:left="23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445D79"/>
    <w:multiLevelType w:val="hybridMultilevel"/>
    <w:tmpl w:val="FB963FA8"/>
    <w:lvl w:ilvl="0" w:tplc="BF944BF8">
      <w:start w:val="1"/>
      <w:numFmt w:val="decimal"/>
      <w:lvlText w:val="%1"/>
      <w:lvlJc w:val="left"/>
      <w:pPr>
        <w:ind w:left="510" w:hanging="340"/>
      </w:pPr>
      <w:rPr>
        <w:rFonts w:hint="default"/>
        <w:b w:val="0"/>
        <w:color w:val="auto"/>
      </w:rPr>
    </w:lvl>
    <w:lvl w:ilvl="1" w:tplc="2C68128E">
      <w:start w:val="1"/>
      <w:numFmt w:val="upperLetter"/>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6A902B0"/>
    <w:multiLevelType w:val="multilevel"/>
    <w:tmpl w:val="8EDAAE3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A7701"/>
    <w:multiLevelType w:val="multilevel"/>
    <w:tmpl w:val="FFA88C7C"/>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6F4EEB"/>
    <w:multiLevelType w:val="multilevel"/>
    <w:tmpl w:val="BD04BE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4F607F"/>
    <w:multiLevelType w:val="hybridMultilevel"/>
    <w:tmpl w:val="D862E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A0068C"/>
    <w:multiLevelType w:val="hybridMultilevel"/>
    <w:tmpl w:val="917A816E"/>
    <w:lvl w:ilvl="0" w:tplc="11D0A842">
      <w:start w:val="45"/>
      <w:numFmt w:val="bullet"/>
      <w:lvlText w:val="-"/>
      <w:lvlJc w:val="left"/>
      <w:pPr>
        <w:ind w:left="720" w:hanging="360"/>
      </w:pPr>
      <w:rPr>
        <w:rFonts w:ascii="Times New Roman" w:eastAsiaTheme="minorHAnsi" w:hAnsi="Times New Roman"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21F50"/>
    <w:multiLevelType w:val="hybridMultilevel"/>
    <w:tmpl w:val="5B204A10"/>
    <w:lvl w:ilvl="0" w:tplc="1BBC73F0">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A74D41"/>
    <w:multiLevelType w:val="hybridMultilevel"/>
    <w:tmpl w:val="F088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4793E"/>
    <w:multiLevelType w:val="hybridMultilevel"/>
    <w:tmpl w:val="F5C649D4"/>
    <w:lvl w:ilvl="0" w:tplc="97842E38">
      <w:start w:val="1"/>
      <w:numFmt w:val="decimal"/>
      <w:pStyle w:val="RSCR02References"/>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9E5E37"/>
    <w:multiLevelType w:val="hybridMultilevel"/>
    <w:tmpl w:val="74E4AD8E"/>
    <w:lvl w:ilvl="0" w:tplc="BEDA2BF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719F8"/>
    <w:multiLevelType w:val="hybridMultilevel"/>
    <w:tmpl w:val="03F296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E7074"/>
    <w:multiLevelType w:val="hybridMultilevel"/>
    <w:tmpl w:val="EF16C706"/>
    <w:lvl w:ilvl="0" w:tplc="BEDA2BF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A44C80"/>
    <w:multiLevelType w:val="hybridMultilevel"/>
    <w:tmpl w:val="7E5AC4BA"/>
    <w:lvl w:ilvl="0" w:tplc="B094C4F8">
      <w:start w:val="9"/>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476179"/>
    <w:multiLevelType w:val="hybridMultilevel"/>
    <w:tmpl w:val="38FC7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4F77EB"/>
    <w:multiLevelType w:val="multilevel"/>
    <w:tmpl w:val="C324BEB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E13682"/>
    <w:multiLevelType w:val="multilevel"/>
    <w:tmpl w:val="8C401BF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164078"/>
    <w:multiLevelType w:val="hybridMultilevel"/>
    <w:tmpl w:val="03DC8104"/>
    <w:lvl w:ilvl="0" w:tplc="FE62816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ED000F"/>
    <w:multiLevelType w:val="multilevel"/>
    <w:tmpl w:val="DD4C64D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4A0AD6"/>
    <w:multiLevelType w:val="hybridMultilevel"/>
    <w:tmpl w:val="03F296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6C61B4"/>
    <w:multiLevelType w:val="hybridMultilevel"/>
    <w:tmpl w:val="33F49C3C"/>
    <w:lvl w:ilvl="0" w:tplc="B5FE4AE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AD1788"/>
    <w:multiLevelType w:val="hybridMultilevel"/>
    <w:tmpl w:val="D862E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21"/>
  </w:num>
  <w:num w:numId="4">
    <w:abstractNumId w:val="19"/>
  </w:num>
  <w:num w:numId="5">
    <w:abstractNumId w:val="3"/>
  </w:num>
  <w:num w:numId="6">
    <w:abstractNumId w:val="7"/>
  </w:num>
  <w:num w:numId="7">
    <w:abstractNumId w:val="16"/>
  </w:num>
  <w:num w:numId="8">
    <w:abstractNumId w:val="0"/>
  </w:num>
  <w:num w:numId="9">
    <w:abstractNumId w:val="6"/>
  </w:num>
  <w:num w:numId="10">
    <w:abstractNumId w:val="22"/>
  </w:num>
  <w:num w:numId="11">
    <w:abstractNumId w:val="15"/>
  </w:num>
  <w:num w:numId="12">
    <w:abstractNumId w:val="8"/>
  </w:num>
  <w:num w:numId="13">
    <w:abstractNumId w:val="24"/>
  </w:num>
  <w:num w:numId="14">
    <w:abstractNumId w:val="11"/>
  </w:num>
  <w:num w:numId="15">
    <w:abstractNumId w:val="1"/>
  </w:num>
  <w:num w:numId="16">
    <w:abstractNumId w:val="10"/>
  </w:num>
  <w:num w:numId="17">
    <w:abstractNumId w:val="14"/>
  </w:num>
  <w:num w:numId="18">
    <w:abstractNumId w:val="23"/>
  </w:num>
  <w:num w:numId="19">
    <w:abstractNumId w:val="20"/>
  </w:num>
  <w:num w:numId="20">
    <w:abstractNumId w:val="17"/>
  </w:num>
  <w:num w:numId="21">
    <w:abstractNumId w:val="15"/>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25"/>
  </w:num>
  <w:num w:numId="24">
    <w:abstractNumId w:val="11"/>
  </w:num>
  <w:num w:numId="25">
    <w:abstractNumId w:val="1"/>
  </w:num>
  <w:num w:numId="26">
    <w:abstractNumId w:val="9"/>
  </w:num>
  <w:num w:numId="27">
    <w:abstractNumId w:val="12"/>
  </w:num>
  <w:num w:numId="28">
    <w:abstractNumId w:val="18"/>
  </w:num>
  <w:num w:numId="29">
    <w:abstractNumId w:val="13"/>
  </w:num>
  <w:num w:numId="3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Environ Sci-Water Res Tec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raw0axatwp0zueaxe9v59toe252vwzdxtra&quot;&gt;EndNote references&lt;record-ids&gt;&lt;item&gt;1672&lt;/item&gt;&lt;item&gt;2153&lt;/item&gt;&lt;item&gt;2356&lt;/item&gt;&lt;item&gt;2357&lt;/item&gt;&lt;item&gt;2358&lt;/item&gt;&lt;item&gt;2359&lt;/item&gt;&lt;item&gt;2360&lt;/item&gt;&lt;item&gt;2361&lt;/item&gt;&lt;item&gt;2362&lt;/item&gt;&lt;item&gt;2363&lt;/item&gt;&lt;item&gt;2365&lt;/item&gt;&lt;item&gt;2367&lt;/item&gt;&lt;item&gt;2368&lt;/item&gt;&lt;item&gt;2369&lt;/item&gt;&lt;item&gt;2370&lt;/item&gt;&lt;item&gt;2371&lt;/item&gt;&lt;item&gt;2372&lt;/item&gt;&lt;item&gt;2373&lt;/item&gt;&lt;item&gt;2374&lt;/item&gt;&lt;item&gt;2375&lt;/item&gt;&lt;item&gt;2376&lt;/item&gt;&lt;item&gt;2377&lt;/item&gt;&lt;item&gt;2378&lt;/item&gt;&lt;item&gt;2379&lt;/item&gt;&lt;item&gt;2383&lt;/item&gt;&lt;item&gt;2385&lt;/item&gt;&lt;item&gt;2386&lt;/item&gt;&lt;item&gt;2387&lt;/item&gt;&lt;item&gt;2388&lt;/item&gt;&lt;item&gt;2389&lt;/item&gt;&lt;item&gt;2391&lt;/item&gt;&lt;item&gt;2392&lt;/item&gt;&lt;item&gt;2397&lt;/item&gt;&lt;item&gt;2398&lt;/item&gt;&lt;item&gt;2399&lt;/item&gt;&lt;item&gt;2401&lt;/item&gt;&lt;item&gt;2402&lt;/item&gt;&lt;item&gt;2404&lt;/item&gt;&lt;item&gt;2409&lt;/item&gt;&lt;item&gt;2443&lt;/item&gt;&lt;item&gt;2444&lt;/item&gt;&lt;item&gt;2446&lt;/item&gt;&lt;item&gt;2447&lt;/item&gt;&lt;item&gt;2588&lt;/item&gt;&lt;item&gt;2589&lt;/item&gt;&lt;item&gt;2590&lt;/item&gt;&lt;item&gt;2596&lt;/item&gt;&lt;item&gt;2597&lt;/item&gt;&lt;item&gt;2598&lt;/item&gt;&lt;item&gt;2599&lt;/item&gt;&lt;item&gt;2600&lt;/item&gt;&lt;item&gt;2601&lt;/item&gt;&lt;item&gt;2602&lt;/item&gt;&lt;item&gt;2603&lt;/item&gt;&lt;item&gt;2604&lt;/item&gt;&lt;item&gt;2605&lt;/item&gt;&lt;item&gt;2606&lt;/item&gt;&lt;item&gt;2607&lt;/item&gt;&lt;item&gt;2608&lt;/item&gt;&lt;item&gt;2609&lt;/item&gt;&lt;item&gt;2639&lt;/item&gt;&lt;item&gt;2641&lt;/item&gt;&lt;item&gt;2643&lt;/item&gt;&lt;item&gt;2779&lt;/item&gt;&lt;item&gt;2781&lt;/item&gt;&lt;item&gt;2782&lt;/item&gt;&lt;item&gt;2783&lt;/item&gt;&lt;item&gt;2784&lt;/item&gt;&lt;item&gt;2786&lt;/item&gt;&lt;item&gt;2787&lt;/item&gt;&lt;item&gt;2813&lt;/item&gt;&lt;item&gt;2848&lt;/item&gt;&lt;item&gt;2849&lt;/item&gt;&lt;/record-ids&gt;&lt;/item&gt;&lt;/Libraries&gt;"/>
  </w:docVars>
  <w:rsids>
    <w:rsidRoot w:val="00023890"/>
    <w:rsid w:val="00000D13"/>
    <w:rsid w:val="00002530"/>
    <w:rsid w:val="00002B9B"/>
    <w:rsid w:val="00002BC1"/>
    <w:rsid w:val="00003DB8"/>
    <w:rsid w:val="000044CB"/>
    <w:rsid w:val="00005CE7"/>
    <w:rsid w:val="00007A24"/>
    <w:rsid w:val="00007E29"/>
    <w:rsid w:val="00010E11"/>
    <w:rsid w:val="00011195"/>
    <w:rsid w:val="00012152"/>
    <w:rsid w:val="0001222C"/>
    <w:rsid w:val="000130D0"/>
    <w:rsid w:val="00013154"/>
    <w:rsid w:val="00014492"/>
    <w:rsid w:val="0001647D"/>
    <w:rsid w:val="00017046"/>
    <w:rsid w:val="00020FB5"/>
    <w:rsid w:val="00021CBA"/>
    <w:rsid w:val="00021F6F"/>
    <w:rsid w:val="00022221"/>
    <w:rsid w:val="0002259E"/>
    <w:rsid w:val="0002375A"/>
    <w:rsid w:val="00023890"/>
    <w:rsid w:val="00025585"/>
    <w:rsid w:val="00026525"/>
    <w:rsid w:val="00027560"/>
    <w:rsid w:val="00027E21"/>
    <w:rsid w:val="00027F78"/>
    <w:rsid w:val="0003107F"/>
    <w:rsid w:val="00031D91"/>
    <w:rsid w:val="00033025"/>
    <w:rsid w:val="000333A1"/>
    <w:rsid w:val="0003364E"/>
    <w:rsid w:val="00033D55"/>
    <w:rsid w:val="00033E04"/>
    <w:rsid w:val="00033FD1"/>
    <w:rsid w:val="00034711"/>
    <w:rsid w:val="00035856"/>
    <w:rsid w:val="000359D4"/>
    <w:rsid w:val="00035A2E"/>
    <w:rsid w:val="00035A39"/>
    <w:rsid w:val="00035AF3"/>
    <w:rsid w:val="0003690D"/>
    <w:rsid w:val="000371FF"/>
    <w:rsid w:val="00037C15"/>
    <w:rsid w:val="00037F22"/>
    <w:rsid w:val="0004099F"/>
    <w:rsid w:val="00040BEE"/>
    <w:rsid w:val="000412E1"/>
    <w:rsid w:val="00041C24"/>
    <w:rsid w:val="00041DAE"/>
    <w:rsid w:val="00041DF9"/>
    <w:rsid w:val="0004265A"/>
    <w:rsid w:val="00044054"/>
    <w:rsid w:val="00044AB0"/>
    <w:rsid w:val="00044F87"/>
    <w:rsid w:val="00045F83"/>
    <w:rsid w:val="00046A21"/>
    <w:rsid w:val="000472A8"/>
    <w:rsid w:val="00047703"/>
    <w:rsid w:val="00050E81"/>
    <w:rsid w:val="000519C7"/>
    <w:rsid w:val="00051BCC"/>
    <w:rsid w:val="00052CFA"/>
    <w:rsid w:val="00053537"/>
    <w:rsid w:val="00053F1B"/>
    <w:rsid w:val="0005477D"/>
    <w:rsid w:val="000547FC"/>
    <w:rsid w:val="00054FD5"/>
    <w:rsid w:val="00055C21"/>
    <w:rsid w:val="00055E91"/>
    <w:rsid w:val="00056F18"/>
    <w:rsid w:val="00060723"/>
    <w:rsid w:val="00060C32"/>
    <w:rsid w:val="0006311B"/>
    <w:rsid w:val="00063946"/>
    <w:rsid w:val="00064D00"/>
    <w:rsid w:val="00064DD0"/>
    <w:rsid w:val="00065289"/>
    <w:rsid w:val="00065F0E"/>
    <w:rsid w:val="00066A7B"/>
    <w:rsid w:val="0006770A"/>
    <w:rsid w:val="00070118"/>
    <w:rsid w:val="0007053D"/>
    <w:rsid w:val="00072BDF"/>
    <w:rsid w:val="00072F2E"/>
    <w:rsid w:val="00073B20"/>
    <w:rsid w:val="00075A87"/>
    <w:rsid w:val="000765BB"/>
    <w:rsid w:val="0007681C"/>
    <w:rsid w:val="00077555"/>
    <w:rsid w:val="0008153D"/>
    <w:rsid w:val="00082A10"/>
    <w:rsid w:val="000831A2"/>
    <w:rsid w:val="0008347D"/>
    <w:rsid w:val="000838FB"/>
    <w:rsid w:val="00083DA8"/>
    <w:rsid w:val="00084445"/>
    <w:rsid w:val="00084D93"/>
    <w:rsid w:val="00086A95"/>
    <w:rsid w:val="00090784"/>
    <w:rsid w:val="000909ED"/>
    <w:rsid w:val="00091B49"/>
    <w:rsid w:val="00092A1E"/>
    <w:rsid w:val="00094E98"/>
    <w:rsid w:val="00097652"/>
    <w:rsid w:val="000A0378"/>
    <w:rsid w:val="000A05D6"/>
    <w:rsid w:val="000A065E"/>
    <w:rsid w:val="000A1365"/>
    <w:rsid w:val="000A1E27"/>
    <w:rsid w:val="000A2D1E"/>
    <w:rsid w:val="000A2FAF"/>
    <w:rsid w:val="000A3BF6"/>
    <w:rsid w:val="000A3DF7"/>
    <w:rsid w:val="000A470F"/>
    <w:rsid w:val="000A547D"/>
    <w:rsid w:val="000A66C2"/>
    <w:rsid w:val="000A74CB"/>
    <w:rsid w:val="000B021C"/>
    <w:rsid w:val="000B1CCC"/>
    <w:rsid w:val="000B1D4A"/>
    <w:rsid w:val="000B2427"/>
    <w:rsid w:val="000B2C18"/>
    <w:rsid w:val="000B6085"/>
    <w:rsid w:val="000B764B"/>
    <w:rsid w:val="000C0A4E"/>
    <w:rsid w:val="000C0ECF"/>
    <w:rsid w:val="000C1140"/>
    <w:rsid w:val="000C2E44"/>
    <w:rsid w:val="000C3AC8"/>
    <w:rsid w:val="000C3B96"/>
    <w:rsid w:val="000C4732"/>
    <w:rsid w:val="000C484B"/>
    <w:rsid w:val="000C49EA"/>
    <w:rsid w:val="000C4C10"/>
    <w:rsid w:val="000C6C3C"/>
    <w:rsid w:val="000C7A4A"/>
    <w:rsid w:val="000C7C52"/>
    <w:rsid w:val="000D0359"/>
    <w:rsid w:val="000D03FB"/>
    <w:rsid w:val="000D08A0"/>
    <w:rsid w:val="000D0B07"/>
    <w:rsid w:val="000D19EB"/>
    <w:rsid w:val="000D269B"/>
    <w:rsid w:val="000D2959"/>
    <w:rsid w:val="000D2974"/>
    <w:rsid w:val="000D29A5"/>
    <w:rsid w:val="000D4434"/>
    <w:rsid w:val="000D5E73"/>
    <w:rsid w:val="000D6DDF"/>
    <w:rsid w:val="000D76B3"/>
    <w:rsid w:val="000D7FA8"/>
    <w:rsid w:val="000E0D28"/>
    <w:rsid w:val="000E15B3"/>
    <w:rsid w:val="000E22AD"/>
    <w:rsid w:val="000E34D2"/>
    <w:rsid w:val="000E34E3"/>
    <w:rsid w:val="000E3EE2"/>
    <w:rsid w:val="000E51B7"/>
    <w:rsid w:val="000E5F90"/>
    <w:rsid w:val="000E6148"/>
    <w:rsid w:val="000E65A2"/>
    <w:rsid w:val="000E73E8"/>
    <w:rsid w:val="000F0D93"/>
    <w:rsid w:val="000F1546"/>
    <w:rsid w:val="000F1997"/>
    <w:rsid w:val="000F19EF"/>
    <w:rsid w:val="000F24B4"/>
    <w:rsid w:val="000F2563"/>
    <w:rsid w:val="000F4921"/>
    <w:rsid w:val="000F5F1F"/>
    <w:rsid w:val="00100E8A"/>
    <w:rsid w:val="00103302"/>
    <w:rsid w:val="0010349D"/>
    <w:rsid w:val="00105B90"/>
    <w:rsid w:val="00105D34"/>
    <w:rsid w:val="001118FF"/>
    <w:rsid w:val="00111B0A"/>
    <w:rsid w:val="00112AF9"/>
    <w:rsid w:val="001149A6"/>
    <w:rsid w:val="0011619B"/>
    <w:rsid w:val="0011787A"/>
    <w:rsid w:val="0011793E"/>
    <w:rsid w:val="0012184E"/>
    <w:rsid w:val="00121A4E"/>
    <w:rsid w:val="00121EEB"/>
    <w:rsid w:val="0012262F"/>
    <w:rsid w:val="0012277B"/>
    <w:rsid w:val="0012319F"/>
    <w:rsid w:val="00124950"/>
    <w:rsid w:val="00124F20"/>
    <w:rsid w:val="00125BEE"/>
    <w:rsid w:val="00125E43"/>
    <w:rsid w:val="00126592"/>
    <w:rsid w:val="00127998"/>
    <w:rsid w:val="001302D3"/>
    <w:rsid w:val="0013113E"/>
    <w:rsid w:val="00131481"/>
    <w:rsid w:val="00132DF5"/>
    <w:rsid w:val="00133F7D"/>
    <w:rsid w:val="0013435A"/>
    <w:rsid w:val="00134EBA"/>
    <w:rsid w:val="00135451"/>
    <w:rsid w:val="00137EC6"/>
    <w:rsid w:val="00140B13"/>
    <w:rsid w:val="001417B9"/>
    <w:rsid w:val="00141C0C"/>
    <w:rsid w:val="001420BC"/>
    <w:rsid w:val="001425A4"/>
    <w:rsid w:val="00142CC3"/>
    <w:rsid w:val="00143692"/>
    <w:rsid w:val="001442CA"/>
    <w:rsid w:val="00144E24"/>
    <w:rsid w:val="0014519D"/>
    <w:rsid w:val="00147127"/>
    <w:rsid w:val="0014788B"/>
    <w:rsid w:val="0015132C"/>
    <w:rsid w:val="00151FDD"/>
    <w:rsid w:val="00152221"/>
    <w:rsid w:val="0015488A"/>
    <w:rsid w:val="001553BC"/>
    <w:rsid w:val="0015566E"/>
    <w:rsid w:val="001633FF"/>
    <w:rsid w:val="001643DF"/>
    <w:rsid w:val="001649C2"/>
    <w:rsid w:val="001653AA"/>
    <w:rsid w:val="00165858"/>
    <w:rsid w:val="00165C6E"/>
    <w:rsid w:val="00165E25"/>
    <w:rsid w:val="001662C6"/>
    <w:rsid w:val="001662D1"/>
    <w:rsid w:val="00166706"/>
    <w:rsid w:val="00170177"/>
    <w:rsid w:val="00171770"/>
    <w:rsid w:val="0017188D"/>
    <w:rsid w:val="00171BE2"/>
    <w:rsid w:val="00172473"/>
    <w:rsid w:val="00172D77"/>
    <w:rsid w:val="00173603"/>
    <w:rsid w:val="00173824"/>
    <w:rsid w:val="00175524"/>
    <w:rsid w:val="00175BE5"/>
    <w:rsid w:val="00176D5F"/>
    <w:rsid w:val="001771D8"/>
    <w:rsid w:val="00177BE5"/>
    <w:rsid w:val="00177DFE"/>
    <w:rsid w:val="00181AA1"/>
    <w:rsid w:val="00184412"/>
    <w:rsid w:val="001850E7"/>
    <w:rsid w:val="0018577B"/>
    <w:rsid w:val="001873D6"/>
    <w:rsid w:val="00190061"/>
    <w:rsid w:val="00190C18"/>
    <w:rsid w:val="00191A14"/>
    <w:rsid w:val="001923B9"/>
    <w:rsid w:val="00192FFA"/>
    <w:rsid w:val="0019345D"/>
    <w:rsid w:val="0019351A"/>
    <w:rsid w:val="00193BDE"/>
    <w:rsid w:val="001948BE"/>
    <w:rsid w:val="00194A15"/>
    <w:rsid w:val="00195EFD"/>
    <w:rsid w:val="001A0428"/>
    <w:rsid w:val="001A0BDF"/>
    <w:rsid w:val="001A0CB8"/>
    <w:rsid w:val="001A0CB9"/>
    <w:rsid w:val="001A0F2F"/>
    <w:rsid w:val="001A1621"/>
    <w:rsid w:val="001A3DE7"/>
    <w:rsid w:val="001A4A52"/>
    <w:rsid w:val="001A686B"/>
    <w:rsid w:val="001A6CC1"/>
    <w:rsid w:val="001A73FC"/>
    <w:rsid w:val="001A7D9A"/>
    <w:rsid w:val="001B02F0"/>
    <w:rsid w:val="001B0424"/>
    <w:rsid w:val="001B04D0"/>
    <w:rsid w:val="001B268F"/>
    <w:rsid w:val="001B27A0"/>
    <w:rsid w:val="001B2DA8"/>
    <w:rsid w:val="001B3CB5"/>
    <w:rsid w:val="001B4872"/>
    <w:rsid w:val="001B6F26"/>
    <w:rsid w:val="001B7384"/>
    <w:rsid w:val="001C18E0"/>
    <w:rsid w:val="001C2FBA"/>
    <w:rsid w:val="001C39B1"/>
    <w:rsid w:val="001C401D"/>
    <w:rsid w:val="001C4931"/>
    <w:rsid w:val="001C5D1E"/>
    <w:rsid w:val="001C6945"/>
    <w:rsid w:val="001D1215"/>
    <w:rsid w:val="001D16B5"/>
    <w:rsid w:val="001D17AE"/>
    <w:rsid w:val="001D22B6"/>
    <w:rsid w:val="001D4375"/>
    <w:rsid w:val="001D4422"/>
    <w:rsid w:val="001D4586"/>
    <w:rsid w:val="001D58DD"/>
    <w:rsid w:val="001D5942"/>
    <w:rsid w:val="001D5E43"/>
    <w:rsid w:val="001D655A"/>
    <w:rsid w:val="001D6D89"/>
    <w:rsid w:val="001D7574"/>
    <w:rsid w:val="001E2234"/>
    <w:rsid w:val="001E3F18"/>
    <w:rsid w:val="001E644E"/>
    <w:rsid w:val="001E73AA"/>
    <w:rsid w:val="001E7D5D"/>
    <w:rsid w:val="001F07C7"/>
    <w:rsid w:val="001F2B6F"/>
    <w:rsid w:val="001F322F"/>
    <w:rsid w:val="001F3D0F"/>
    <w:rsid w:val="001F5F5B"/>
    <w:rsid w:val="001F623F"/>
    <w:rsid w:val="001F6BA1"/>
    <w:rsid w:val="001F7E65"/>
    <w:rsid w:val="002003C4"/>
    <w:rsid w:val="00200CDB"/>
    <w:rsid w:val="00202084"/>
    <w:rsid w:val="00203660"/>
    <w:rsid w:val="002036CF"/>
    <w:rsid w:val="002038DB"/>
    <w:rsid w:val="00203BDE"/>
    <w:rsid w:val="0020461B"/>
    <w:rsid w:val="0020476B"/>
    <w:rsid w:val="00204CBE"/>
    <w:rsid w:val="00204D59"/>
    <w:rsid w:val="002057E5"/>
    <w:rsid w:val="00205BE8"/>
    <w:rsid w:val="0020642B"/>
    <w:rsid w:val="00206E36"/>
    <w:rsid w:val="002079BC"/>
    <w:rsid w:val="00207B47"/>
    <w:rsid w:val="0021000D"/>
    <w:rsid w:val="0021017A"/>
    <w:rsid w:val="0021080F"/>
    <w:rsid w:val="002110C0"/>
    <w:rsid w:val="00211303"/>
    <w:rsid w:val="0021174C"/>
    <w:rsid w:val="0021199D"/>
    <w:rsid w:val="00212463"/>
    <w:rsid w:val="0021424A"/>
    <w:rsid w:val="002143E2"/>
    <w:rsid w:val="00214DCA"/>
    <w:rsid w:val="00215A63"/>
    <w:rsid w:val="00216315"/>
    <w:rsid w:val="002172B7"/>
    <w:rsid w:val="00220515"/>
    <w:rsid w:val="00221F1D"/>
    <w:rsid w:val="00222828"/>
    <w:rsid w:val="00223272"/>
    <w:rsid w:val="00224B1B"/>
    <w:rsid w:val="002254D5"/>
    <w:rsid w:val="00227A98"/>
    <w:rsid w:val="00227D2B"/>
    <w:rsid w:val="00230299"/>
    <w:rsid w:val="00231D89"/>
    <w:rsid w:val="00233683"/>
    <w:rsid w:val="00233EED"/>
    <w:rsid w:val="00235B38"/>
    <w:rsid w:val="002401D4"/>
    <w:rsid w:val="00240FBA"/>
    <w:rsid w:val="002424DC"/>
    <w:rsid w:val="00242815"/>
    <w:rsid w:val="00242EB2"/>
    <w:rsid w:val="00243D14"/>
    <w:rsid w:val="002454E7"/>
    <w:rsid w:val="002464B4"/>
    <w:rsid w:val="002503B6"/>
    <w:rsid w:val="002503FE"/>
    <w:rsid w:val="002504AA"/>
    <w:rsid w:val="00250E49"/>
    <w:rsid w:val="00250F4A"/>
    <w:rsid w:val="00251157"/>
    <w:rsid w:val="00251D1D"/>
    <w:rsid w:val="00252CC8"/>
    <w:rsid w:val="00253CAC"/>
    <w:rsid w:val="002542B3"/>
    <w:rsid w:val="0025510F"/>
    <w:rsid w:val="00255EB2"/>
    <w:rsid w:val="00260184"/>
    <w:rsid w:val="00260D6C"/>
    <w:rsid w:val="00262B01"/>
    <w:rsid w:val="00263688"/>
    <w:rsid w:val="002641C2"/>
    <w:rsid w:val="00264272"/>
    <w:rsid w:val="00264CC0"/>
    <w:rsid w:val="0026576A"/>
    <w:rsid w:val="00265800"/>
    <w:rsid w:val="00266FFC"/>
    <w:rsid w:val="00267848"/>
    <w:rsid w:val="002703E4"/>
    <w:rsid w:val="0027042C"/>
    <w:rsid w:val="00271DE4"/>
    <w:rsid w:val="00272205"/>
    <w:rsid w:val="00273182"/>
    <w:rsid w:val="002735D8"/>
    <w:rsid w:val="00274F4F"/>
    <w:rsid w:val="0027625E"/>
    <w:rsid w:val="002766CC"/>
    <w:rsid w:val="00276A3E"/>
    <w:rsid w:val="00276A47"/>
    <w:rsid w:val="00277343"/>
    <w:rsid w:val="002773B6"/>
    <w:rsid w:val="002802E1"/>
    <w:rsid w:val="002808F0"/>
    <w:rsid w:val="00280FBF"/>
    <w:rsid w:val="00281413"/>
    <w:rsid w:val="00281A02"/>
    <w:rsid w:val="002822D4"/>
    <w:rsid w:val="00282CAE"/>
    <w:rsid w:val="00285B5C"/>
    <w:rsid w:val="00290A68"/>
    <w:rsid w:val="00291363"/>
    <w:rsid w:val="0029241C"/>
    <w:rsid w:val="00293BAA"/>
    <w:rsid w:val="00293C7A"/>
    <w:rsid w:val="00293E2B"/>
    <w:rsid w:val="00294367"/>
    <w:rsid w:val="002945C2"/>
    <w:rsid w:val="00295991"/>
    <w:rsid w:val="0029650A"/>
    <w:rsid w:val="00296ACE"/>
    <w:rsid w:val="00296F20"/>
    <w:rsid w:val="00297EE6"/>
    <w:rsid w:val="002A03C9"/>
    <w:rsid w:val="002A1A85"/>
    <w:rsid w:val="002A1CDB"/>
    <w:rsid w:val="002A34B6"/>
    <w:rsid w:val="002A355A"/>
    <w:rsid w:val="002A492E"/>
    <w:rsid w:val="002A4B04"/>
    <w:rsid w:val="002A556A"/>
    <w:rsid w:val="002A5580"/>
    <w:rsid w:val="002A7919"/>
    <w:rsid w:val="002B18F7"/>
    <w:rsid w:val="002B2664"/>
    <w:rsid w:val="002B30E7"/>
    <w:rsid w:val="002B38CF"/>
    <w:rsid w:val="002B561D"/>
    <w:rsid w:val="002B592B"/>
    <w:rsid w:val="002B5A0A"/>
    <w:rsid w:val="002C01ED"/>
    <w:rsid w:val="002C06F1"/>
    <w:rsid w:val="002C0901"/>
    <w:rsid w:val="002C0A42"/>
    <w:rsid w:val="002C2446"/>
    <w:rsid w:val="002C28C3"/>
    <w:rsid w:val="002C2F01"/>
    <w:rsid w:val="002C4A81"/>
    <w:rsid w:val="002C68CC"/>
    <w:rsid w:val="002C745D"/>
    <w:rsid w:val="002D0136"/>
    <w:rsid w:val="002D1030"/>
    <w:rsid w:val="002D209A"/>
    <w:rsid w:val="002D27BD"/>
    <w:rsid w:val="002D320B"/>
    <w:rsid w:val="002D4727"/>
    <w:rsid w:val="002D4D3F"/>
    <w:rsid w:val="002D6D6A"/>
    <w:rsid w:val="002D7000"/>
    <w:rsid w:val="002D759F"/>
    <w:rsid w:val="002E108C"/>
    <w:rsid w:val="002E2428"/>
    <w:rsid w:val="002E326F"/>
    <w:rsid w:val="002E4C26"/>
    <w:rsid w:val="002E742D"/>
    <w:rsid w:val="002E78A1"/>
    <w:rsid w:val="002F027E"/>
    <w:rsid w:val="002F1CCD"/>
    <w:rsid w:val="002F201A"/>
    <w:rsid w:val="002F2BEC"/>
    <w:rsid w:val="002F41DE"/>
    <w:rsid w:val="002F4787"/>
    <w:rsid w:val="002F4959"/>
    <w:rsid w:val="002F5A4C"/>
    <w:rsid w:val="002F68B3"/>
    <w:rsid w:val="00300445"/>
    <w:rsid w:val="00300814"/>
    <w:rsid w:val="00300A7B"/>
    <w:rsid w:val="00300CB3"/>
    <w:rsid w:val="0030101D"/>
    <w:rsid w:val="0030133F"/>
    <w:rsid w:val="003027A0"/>
    <w:rsid w:val="00303365"/>
    <w:rsid w:val="00303408"/>
    <w:rsid w:val="00303CE2"/>
    <w:rsid w:val="00303D7E"/>
    <w:rsid w:val="00304AFB"/>
    <w:rsid w:val="00304C8F"/>
    <w:rsid w:val="00305E14"/>
    <w:rsid w:val="00307CED"/>
    <w:rsid w:val="003106FA"/>
    <w:rsid w:val="003110F2"/>
    <w:rsid w:val="003114A9"/>
    <w:rsid w:val="00311F15"/>
    <w:rsid w:val="00312FA8"/>
    <w:rsid w:val="00313FBF"/>
    <w:rsid w:val="00314478"/>
    <w:rsid w:val="0031550D"/>
    <w:rsid w:val="003157D8"/>
    <w:rsid w:val="00315997"/>
    <w:rsid w:val="0031777B"/>
    <w:rsid w:val="00320FAD"/>
    <w:rsid w:val="003210EC"/>
    <w:rsid w:val="00321E4E"/>
    <w:rsid w:val="00323D23"/>
    <w:rsid w:val="00327870"/>
    <w:rsid w:val="00327FF3"/>
    <w:rsid w:val="00330DD5"/>
    <w:rsid w:val="003311BB"/>
    <w:rsid w:val="00331658"/>
    <w:rsid w:val="00332B71"/>
    <w:rsid w:val="00332E80"/>
    <w:rsid w:val="003331A7"/>
    <w:rsid w:val="00333969"/>
    <w:rsid w:val="00333FD8"/>
    <w:rsid w:val="00333FE5"/>
    <w:rsid w:val="00335839"/>
    <w:rsid w:val="003361AE"/>
    <w:rsid w:val="003363CE"/>
    <w:rsid w:val="0033669A"/>
    <w:rsid w:val="00336A24"/>
    <w:rsid w:val="003371A2"/>
    <w:rsid w:val="00337385"/>
    <w:rsid w:val="0033758D"/>
    <w:rsid w:val="00340137"/>
    <w:rsid w:val="003413A0"/>
    <w:rsid w:val="00341996"/>
    <w:rsid w:val="003422FE"/>
    <w:rsid w:val="003439C0"/>
    <w:rsid w:val="00345831"/>
    <w:rsid w:val="00345C95"/>
    <w:rsid w:val="00346D02"/>
    <w:rsid w:val="00347AA3"/>
    <w:rsid w:val="00347E67"/>
    <w:rsid w:val="00350FAF"/>
    <w:rsid w:val="0035159A"/>
    <w:rsid w:val="0035196C"/>
    <w:rsid w:val="00352553"/>
    <w:rsid w:val="00352B71"/>
    <w:rsid w:val="00352ED5"/>
    <w:rsid w:val="003533B5"/>
    <w:rsid w:val="003541A8"/>
    <w:rsid w:val="00354DBC"/>
    <w:rsid w:val="003555B2"/>
    <w:rsid w:val="0035563A"/>
    <w:rsid w:val="00357D25"/>
    <w:rsid w:val="0036043C"/>
    <w:rsid w:val="00360B7A"/>
    <w:rsid w:val="00361662"/>
    <w:rsid w:val="003619A3"/>
    <w:rsid w:val="003619D1"/>
    <w:rsid w:val="003627FD"/>
    <w:rsid w:val="0036304C"/>
    <w:rsid w:val="0036337B"/>
    <w:rsid w:val="003637E7"/>
    <w:rsid w:val="00363966"/>
    <w:rsid w:val="00364871"/>
    <w:rsid w:val="003651FC"/>
    <w:rsid w:val="00367210"/>
    <w:rsid w:val="00371DE0"/>
    <w:rsid w:val="003726CD"/>
    <w:rsid w:val="003727FA"/>
    <w:rsid w:val="003737B0"/>
    <w:rsid w:val="00373C0D"/>
    <w:rsid w:val="0037440F"/>
    <w:rsid w:val="00374509"/>
    <w:rsid w:val="00374D1E"/>
    <w:rsid w:val="003756DE"/>
    <w:rsid w:val="00375B3C"/>
    <w:rsid w:val="00375B80"/>
    <w:rsid w:val="003761B2"/>
    <w:rsid w:val="003761CD"/>
    <w:rsid w:val="003774A9"/>
    <w:rsid w:val="00377810"/>
    <w:rsid w:val="00382CE0"/>
    <w:rsid w:val="00382DE7"/>
    <w:rsid w:val="0038344D"/>
    <w:rsid w:val="00383AE1"/>
    <w:rsid w:val="00383E59"/>
    <w:rsid w:val="003845E0"/>
    <w:rsid w:val="0038516B"/>
    <w:rsid w:val="0038546D"/>
    <w:rsid w:val="00386001"/>
    <w:rsid w:val="00386559"/>
    <w:rsid w:val="003869DB"/>
    <w:rsid w:val="00387273"/>
    <w:rsid w:val="003915F8"/>
    <w:rsid w:val="00391AAA"/>
    <w:rsid w:val="00391EB4"/>
    <w:rsid w:val="00392E0A"/>
    <w:rsid w:val="00393B8F"/>
    <w:rsid w:val="003949BA"/>
    <w:rsid w:val="00395053"/>
    <w:rsid w:val="00395431"/>
    <w:rsid w:val="00395702"/>
    <w:rsid w:val="00395E0B"/>
    <w:rsid w:val="0039603D"/>
    <w:rsid w:val="00396A19"/>
    <w:rsid w:val="00397D00"/>
    <w:rsid w:val="00397DE3"/>
    <w:rsid w:val="003A0238"/>
    <w:rsid w:val="003A1BCB"/>
    <w:rsid w:val="003A1CC6"/>
    <w:rsid w:val="003A1F45"/>
    <w:rsid w:val="003A200C"/>
    <w:rsid w:val="003A22BA"/>
    <w:rsid w:val="003A2BCF"/>
    <w:rsid w:val="003A335B"/>
    <w:rsid w:val="003A361D"/>
    <w:rsid w:val="003A4A8F"/>
    <w:rsid w:val="003A4C3A"/>
    <w:rsid w:val="003A543F"/>
    <w:rsid w:val="003A749D"/>
    <w:rsid w:val="003A7643"/>
    <w:rsid w:val="003A7850"/>
    <w:rsid w:val="003A7C04"/>
    <w:rsid w:val="003A7FCE"/>
    <w:rsid w:val="003B0F9B"/>
    <w:rsid w:val="003B13DE"/>
    <w:rsid w:val="003B2884"/>
    <w:rsid w:val="003B2FFB"/>
    <w:rsid w:val="003B2FFD"/>
    <w:rsid w:val="003B3D30"/>
    <w:rsid w:val="003B3D52"/>
    <w:rsid w:val="003B43D5"/>
    <w:rsid w:val="003B44E1"/>
    <w:rsid w:val="003B5857"/>
    <w:rsid w:val="003B68CE"/>
    <w:rsid w:val="003B74FC"/>
    <w:rsid w:val="003B7AB0"/>
    <w:rsid w:val="003C1B00"/>
    <w:rsid w:val="003C3CB0"/>
    <w:rsid w:val="003C3EF7"/>
    <w:rsid w:val="003C4BB0"/>
    <w:rsid w:val="003C53D8"/>
    <w:rsid w:val="003C5E8A"/>
    <w:rsid w:val="003C5EFC"/>
    <w:rsid w:val="003C5FC7"/>
    <w:rsid w:val="003C6A9B"/>
    <w:rsid w:val="003C78DA"/>
    <w:rsid w:val="003C7FBB"/>
    <w:rsid w:val="003D0F8D"/>
    <w:rsid w:val="003D1602"/>
    <w:rsid w:val="003D1A7F"/>
    <w:rsid w:val="003D2BD0"/>
    <w:rsid w:val="003D367C"/>
    <w:rsid w:val="003D3FB0"/>
    <w:rsid w:val="003D49F3"/>
    <w:rsid w:val="003D4D06"/>
    <w:rsid w:val="003D5072"/>
    <w:rsid w:val="003D6C5F"/>
    <w:rsid w:val="003D6EB9"/>
    <w:rsid w:val="003D7039"/>
    <w:rsid w:val="003D7F4B"/>
    <w:rsid w:val="003E1211"/>
    <w:rsid w:val="003E17CE"/>
    <w:rsid w:val="003E2E29"/>
    <w:rsid w:val="003E4485"/>
    <w:rsid w:val="003E50C3"/>
    <w:rsid w:val="003E744A"/>
    <w:rsid w:val="003E777D"/>
    <w:rsid w:val="003E7EBC"/>
    <w:rsid w:val="003F0699"/>
    <w:rsid w:val="003F086F"/>
    <w:rsid w:val="003F1091"/>
    <w:rsid w:val="003F1D35"/>
    <w:rsid w:val="003F2399"/>
    <w:rsid w:val="003F24E2"/>
    <w:rsid w:val="003F36E2"/>
    <w:rsid w:val="003F41AA"/>
    <w:rsid w:val="003F4342"/>
    <w:rsid w:val="003F4613"/>
    <w:rsid w:val="003F4AA0"/>
    <w:rsid w:val="003F553C"/>
    <w:rsid w:val="003F6894"/>
    <w:rsid w:val="003F68B0"/>
    <w:rsid w:val="003F6CBE"/>
    <w:rsid w:val="003F7671"/>
    <w:rsid w:val="00400595"/>
    <w:rsid w:val="004010C0"/>
    <w:rsid w:val="00401151"/>
    <w:rsid w:val="00403090"/>
    <w:rsid w:val="00403739"/>
    <w:rsid w:val="004038E0"/>
    <w:rsid w:val="00405931"/>
    <w:rsid w:val="0040626D"/>
    <w:rsid w:val="00406B13"/>
    <w:rsid w:val="00406BAE"/>
    <w:rsid w:val="00410EA4"/>
    <w:rsid w:val="00411B98"/>
    <w:rsid w:val="00413F53"/>
    <w:rsid w:val="0041450C"/>
    <w:rsid w:val="00417772"/>
    <w:rsid w:val="00417CF6"/>
    <w:rsid w:val="00420080"/>
    <w:rsid w:val="004219B3"/>
    <w:rsid w:val="004219CC"/>
    <w:rsid w:val="00421AEA"/>
    <w:rsid w:val="004227CC"/>
    <w:rsid w:val="00422CFE"/>
    <w:rsid w:val="004230F4"/>
    <w:rsid w:val="00423554"/>
    <w:rsid w:val="004247CF"/>
    <w:rsid w:val="004257EE"/>
    <w:rsid w:val="004279B9"/>
    <w:rsid w:val="00431542"/>
    <w:rsid w:val="00432865"/>
    <w:rsid w:val="00432DD7"/>
    <w:rsid w:val="004339E7"/>
    <w:rsid w:val="004343E9"/>
    <w:rsid w:val="00434695"/>
    <w:rsid w:val="004350C8"/>
    <w:rsid w:val="00435425"/>
    <w:rsid w:val="00435FA9"/>
    <w:rsid w:val="00436503"/>
    <w:rsid w:val="00436C79"/>
    <w:rsid w:val="00436EB7"/>
    <w:rsid w:val="004371B7"/>
    <w:rsid w:val="00437A56"/>
    <w:rsid w:val="00437BFC"/>
    <w:rsid w:val="00437F0F"/>
    <w:rsid w:val="00442B84"/>
    <w:rsid w:val="00443084"/>
    <w:rsid w:val="004434BD"/>
    <w:rsid w:val="00443994"/>
    <w:rsid w:val="00444349"/>
    <w:rsid w:val="004449CF"/>
    <w:rsid w:val="00444DF6"/>
    <w:rsid w:val="00444FA5"/>
    <w:rsid w:val="004509B5"/>
    <w:rsid w:val="00450A50"/>
    <w:rsid w:val="00450D1C"/>
    <w:rsid w:val="0045155C"/>
    <w:rsid w:val="00451844"/>
    <w:rsid w:val="00451F27"/>
    <w:rsid w:val="00452F7A"/>
    <w:rsid w:val="004530CF"/>
    <w:rsid w:val="00453FF9"/>
    <w:rsid w:val="004545F9"/>
    <w:rsid w:val="00454767"/>
    <w:rsid w:val="004548B5"/>
    <w:rsid w:val="0045575A"/>
    <w:rsid w:val="00455977"/>
    <w:rsid w:val="00457F3B"/>
    <w:rsid w:val="00460330"/>
    <w:rsid w:val="004603CB"/>
    <w:rsid w:val="00460882"/>
    <w:rsid w:val="00460CEE"/>
    <w:rsid w:val="004614E7"/>
    <w:rsid w:val="00461939"/>
    <w:rsid w:val="004621C3"/>
    <w:rsid w:val="00462D02"/>
    <w:rsid w:val="00462F44"/>
    <w:rsid w:val="00462F70"/>
    <w:rsid w:val="004632C4"/>
    <w:rsid w:val="00463875"/>
    <w:rsid w:val="00465A98"/>
    <w:rsid w:val="00466F6A"/>
    <w:rsid w:val="0047399B"/>
    <w:rsid w:val="00473C23"/>
    <w:rsid w:val="0047459B"/>
    <w:rsid w:val="0047609E"/>
    <w:rsid w:val="00476784"/>
    <w:rsid w:val="00476CAF"/>
    <w:rsid w:val="00477308"/>
    <w:rsid w:val="0047793E"/>
    <w:rsid w:val="00480239"/>
    <w:rsid w:val="004809BF"/>
    <w:rsid w:val="00480FEB"/>
    <w:rsid w:val="00483687"/>
    <w:rsid w:val="004857AC"/>
    <w:rsid w:val="004863C0"/>
    <w:rsid w:val="0048708E"/>
    <w:rsid w:val="004877DE"/>
    <w:rsid w:val="004902DA"/>
    <w:rsid w:val="004909B9"/>
    <w:rsid w:val="004910EA"/>
    <w:rsid w:val="00491B78"/>
    <w:rsid w:val="00492879"/>
    <w:rsid w:val="00493553"/>
    <w:rsid w:val="00495305"/>
    <w:rsid w:val="004974C4"/>
    <w:rsid w:val="004A1263"/>
    <w:rsid w:val="004A1625"/>
    <w:rsid w:val="004A24F7"/>
    <w:rsid w:val="004A4678"/>
    <w:rsid w:val="004A476E"/>
    <w:rsid w:val="004A562C"/>
    <w:rsid w:val="004A58A7"/>
    <w:rsid w:val="004A7E4D"/>
    <w:rsid w:val="004B0C8B"/>
    <w:rsid w:val="004B0CC8"/>
    <w:rsid w:val="004B1E89"/>
    <w:rsid w:val="004B2043"/>
    <w:rsid w:val="004B2590"/>
    <w:rsid w:val="004B2C9B"/>
    <w:rsid w:val="004B32E2"/>
    <w:rsid w:val="004B4A09"/>
    <w:rsid w:val="004B6245"/>
    <w:rsid w:val="004B664C"/>
    <w:rsid w:val="004B6650"/>
    <w:rsid w:val="004B6910"/>
    <w:rsid w:val="004B773C"/>
    <w:rsid w:val="004C0793"/>
    <w:rsid w:val="004C0C61"/>
    <w:rsid w:val="004C0C73"/>
    <w:rsid w:val="004C0D15"/>
    <w:rsid w:val="004C2C38"/>
    <w:rsid w:val="004C4EA0"/>
    <w:rsid w:val="004C5EC4"/>
    <w:rsid w:val="004C68D5"/>
    <w:rsid w:val="004C6CBB"/>
    <w:rsid w:val="004D347F"/>
    <w:rsid w:val="004D4815"/>
    <w:rsid w:val="004D4A77"/>
    <w:rsid w:val="004D5140"/>
    <w:rsid w:val="004D5827"/>
    <w:rsid w:val="004D6308"/>
    <w:rsid w:val="004D680D"/>
    <w:rsid w:val="004D6E55"/>
    <w:rsid w:val="004D75DC"/>
    <w:rsid w:val="004E0ABE"/>
    <w:rsid w:val="004E11DB"/>
    <w:rsid w:val="004E17EC"/>
    <w:rsid w:val="004E19CF"/>
    <w:rsid w:val="004E23B8"/>
    <w:rsid w:val="004E2E17"/>
    <w:rsid w:val="004E46AC"/>
    <w:rsid w:val="004E4C6C"/>
    <w:rsid w:val="004E5659"/>
    <w:rsid w:val="004E5858"/>
    <w:rsid w:val="004E65C6"/>
    <w:rsid w:val="004E6BB4"/>
    <w:rsid w:val="004E7548"/>
    <w:rsid w:val="004F05D5"/>
    <w:rsid w:val="004F06FC"/>
    <w:rsid w:val="004F080D"/>
    <w:rsid w:val="004F2F91"/>
    <w:rsid w:val="004F401C"/>
    <w:rsid w:val="004F4178"/>
    <w:rsid w:val="004F4B4C"/>
    <w:rsid w:val="004F4CCF"/>
    <w:rsid w:val="004F4CF8"/>
    <w:rsid w:val="004F4EF1"/>
    <w:rsid w:val="004F524E"/>
    <w:rsid w:val="004F590F"/>
    <w:rsid w:val="004F5D93"/>
    <w:rsid w:val="004F77E5"/>
    <w:rsid w:val="004F7BF9"/>
    <w:rsid w:val="00500331"/>
    <w:rsid w:val="00500367"/>
    <w:rsid w:val="00500418"/>
    <w:rsid w:val="005017CB"/>
    <w:rsid w:val="0050212C"/>
    <w:rsid w:val="005033D3"/>
    <w:rsid w:val="00503A85"/>
    <w:rsid w:val="00503C1C"/>
    <w:rsid w:val="00504238"/>
    <w:rsid w:val="0050584F"/>
    <w:rsid w:val="00505BD9"/>
    <w:rsid w:val="00505CC9"/>
    <w:rsid w:val="00507548"/>
    <w:rsid w:val="00507B2D"/>
    <w:rsid w:val="00507C2D"/>
    <w:rsid w:val="00510F4B"/>
    <w:rsid w:val="0051191F"/>
    <w:rsid w:val="00513934"/>
    <w:rsid w:val="005144AE"/>
    <w:rsid w:val="0051468A"/>
    <w:rsid w:val="0051474F"/>
    <w:rsid w:val="00514A73"/>
    <w:rsid w:val="00515732"/>
    <w:rsid w:val="00515A17"/>
    <w:rsid w:val="005161C8"/>
    <w:rsid w:val="00517B1E"/>
    <w:rsid w:val="00517B89"/>
    <w:rsid w:val="00520AF2"/>
    <w:rsid w:val="00520C76"/>
    <w:rsid w:val="0052130C"/>
    <w:rsid w:val="00521626"/>
    <w:rsid w:val="00521A45"/>
    <w:rsid w:val="005235E0"/>
    <w:rsid w:val="00523CD3"/>
    <w:rsid w:val="00524093"/>
    <w:rsid w:val="0052539E"/>
    <w:rsid w:val="005260E4"/>
    <w:rsid w:val="005265B0"/>
    <w:rsid w:val="00530364"/>
    <w:rsid w:val="00530F61"/>
    <w:rsid w:val="00531068"/>
    <w:rsid w:val="00531273"/>
    <w:rsid w:val="00532CA3"/>
    <w:rsid w:val="00533F27"/>
    <w:rsid w:val="00533FAD"/>
    <w:rsid w:val="00535180"/>
    <w:rsid w:val="00536B53"/>
    <w:rsid w:val="0054150F"/>
    <w:rsid w:val="00541FC9"/>
    <w:rsid w:val="00543B7C"/>
    <w:rsid w:val="00544281"/>
    <w:rsid w:val="005444DC"/>
    <w:rsid w:val="00544B04"/>
    <w:rsid w:val="00544D4B"/>
    <w:rsid w:val="005452C9"/>
    <w:rsid w:val="0054580E"/>
    <w:rsid w:val="005463B7"/>
    <w:rsid w:val="00551D6A"/>
    <w:rsid w:val="00551EDA"/>
    <w:rsid w:val="00553355"/>
    <w:rsid w:val="00553417"/>
    <w:rsid w:val="00555B72"/>
    <w:rsid w:val="00556B91"/>
    <w:rsid w:val="00556CEA"/>
    <w:rsid w:val="00556D1F"/>
    <w:rsid w:val="00560C6A"/>
    <w:rsid w:val="005625C2"/>
    <w:rsid w:val="00563122"/>
    <w:rsid w:val="00563F30"/>
    <w:rsid w:val="0056416B"/>
    <w:rsid w:val="00564342"/>
    <w:rsid w:val="005653A5"/>
    <w:rsid w:val="00565C0C"/>
    <w:rsid w:val="0056616C"/>
    <w:rsid w:val="005671AF"/>
    <w:rsid w:val="00567E49"/>
    <w:rsid w:val="00572580"/>
    <w:rsid w:val="005748CD"/>
    <w:rsid w:val="00576E5B"/>
    <w:rsid w:val="00577916"/>
    <w:rsid w:val="005806AD"/>
    <w:rsid w:val="00580D3A"/>
    <w:rsid w:val="00581F81"/>
    <w:rsid w:val="00584301"/>
    <w:rsid w:val="0058451D"/>
    <w:rsid w:val="00584A94"/>
    <w:rsid w:val="00585ADA"/>
    <w:rsid w:val="00585B8E"/>
    <w:rsid w:val="005864A3"/>
    <w:rsid w:val="005864BD"/>
    <w:rsid w:val="005867A0"/>
    <w:rsid w:val="00586EAE"/>
    <w:rsid w:val="0059077A"/>
    <w:rsid w:val="005909DE"/>
    <w:rsid w:val="0059272A"/>
    <w:rsid w:val="00593665"/>
    <w:rsid w:val="00594122"/>
    <w:rsid w:val="0059442B"/>
    <w:rsid w:val="00595D51"/>
    <w:rsid w:val="00596323"/>
    <w:rsid w:val="0059650C"/>
    <w:rsid w:val="00597AC3"/>
    <w:rsid w:val="005A0A37"/>
    <w:rsid w:val="005A1C41"/>
    <w:rsid w:val="005A21B8"/>
    <w:rsid w:val="005A24C8"/>
    <w:rsid w:val="005A2572"/>
    <w:rsid w:val="005A2617"/>
    <w:rsid w:val="005A2F15"/>
    <w:rsid w:val="005A3EA5"/>
    <w:rsid w:val="005A3EA6"/>
    <w:rsid w:val="005A4285"/>
    <w:rsid w:val="005A45EF"/>
    <w:rsid w:val="005A5007"/>
    <w:rsid w:val="005A5C66"/>
    <w:rsid w:val="005A6140"/>
    <w:rsid w:val="005A6B09"/>
    <w:rsid w:val="005A7A05"/>
    <w:rsid w:val="005B10EA"/>
    <w:rsid w:val="005B151E"/>
    <w:rsid w:val="005B158F"/>
    <w:rsid w:val="005B1D52"/>
    <w:rsid w:val="005B23D9"/>
    <w:rsid w:val="005B36E7"/>
    <w:rsid w:val="005B3A70"/>
    <w:rsid w:val="005B3B44"/>
    <w:rsid w:val="005B3B99"/>
    <w:rsid w:val="005B3C99"/>
    <w:rsid w:val="005B402D"/>
    <w:rsid w:val="005B554B"/>
    <w:rsid w:val="005B56C2"/>
    <w:rsid w:val="005B5F26"/>
    <w:rsid w:val="005B6588"/>
    <w:rsid w:val="005B7432"/>
    <w:rsid w:val="005B79C4"/>
    <w:rsid w:val="005C0108"/>
    <w:rsid w:val="005C08C9"/>
    <w:rsid w:val="005C16C9"/>
    <w:rsid w:val="005C233C"/>
    <w:rsid w:val="005C37C1"/>
    <w:rsid w:val="005C3D71"/>
    <w:rsid w:val="005C4A36"/>
    <w:rsid w:val="005C4ACB"/>
    <w:rsid w:val="005C4DD5"/>
    <w:rsid w:val="005C52C6"/>
    <w:rsid w:val="005C53D5"/>
    <w:rsid w:val="005C6C57"/>
    <w:rsid w:val="005C72C3"/>
    <w:rsid w:val="005C7846"/>
    <w:rsid w:val="005D014A"/>
    <w:rsid w:val="005D0C56"/>
    <w:rsid w:val="005D1176"/>
    <w:rsid w:val="005D168E"/>
    <w:rsid w:val="005D197C"/>
    <w:rsid w:val="005D20DE"/>
    <w:rsid w:val="005D2527"/>
    <w:rsid w:val="005D4135"/>
    <w:rsid w:val="005D6A70"/>
    <w:rsid w:val="005D6C0F"/>
    <w:rsid w:val="005D6C7E"/>
    <w:rsid w:val="005D71E9"/>
    <w:rsid w:val="005D78BA"/>
    <w:rsid w:val="005D7C45"/>
    <w:rsid w:val="005E0356"/>
    <w:rsid w:val="005E0E05"/>
    <w:rsid w:val="005E1836"/>
    <w:rsid w:val="005E3602"/>
    <w:rsid w:val="005E3629"/>
    <w:rsid w:val="005E36F0"/>
    <w:rsid w:val="005E4422"/>
    <w:rsid w:val="005E48CD"/>
    <w:rsid w:val="005E4E7E"/>
    <w:rsid w:val="005E50B2"/>
    <w:rsid w:val="005E51B5"/>
    <w:rsid w:val="005E5475"/>
    <w:rsid w:val="005E76F5"/>
    <w:rsid w:val="005E7F68"/>
    <w:rsid w:val="005F098B"/>
    <w:rsid w:val="005F0F87"/>
    <w:rsid w:val="005F1623"/>
    <w:rsid w:val="005F2810"/>
    <w:rsid w:val="005F2928"/>
    <w:rsid w:val="005F37C2"/>
    <w:rsid w:val="005F49DD"/>
    <w:rsid w:val="005F4E8D"/>
    <w:rsid w:val="005F50A8"/>
    <w:rsid w:val="005F54B7"/>
    <w:rsid w:val="005F56F7"/>
    <w:rsid w:val="005F6B68"/>
    <w:rsid w:val="005F78E0"/>
    <w:rsid w:val="006043C3"/>
    <w:rsid w:val="006056C9"/>
    <w:rsid w:val="00605ACE"/>
    <w:rsid w:val="00606840"/>
    <w:rsid w:val="006074F8"/>
    <w:rsid w:val="00610B6B"/>
    <w:rsid w:val="00610F5B"/>
    <w:rsid w:val="00611770"/>
    <w:rsid w:val="006121E8"/>
    <w:rsid w:val="00612496"/>
    <w:rsid w:val="00612876"/>
    <w:rsid w:val="00612906"/>
    <w:rsid w:val="00613187"/>
    <w:rsid w:val="00613CB5"/>
    <w:rsid w:val="00613F5C"/>
    <w:rsid w:val="006140FC"/>
    <w:rsid w:val="00614200"/>
    <w:rsid w:val="006148E0"/>
    <w:rsid w:val="00615C58"/>
    <w:rsid w:val="00616745"/>
    <w:rsid w:val="006169FC"/>
    <w:rsid w:val="00617D03"/>
    <w:rsid w:val="00620747"/>
    <w:rsid w:val="006208DB"/>
    <w:rsid w:val="006217BC"/>
    <w:rsid w:val="00621808"/>
    <w:rsid w:val="006244D3"/>
    <w:rsid w:val="0062457F"/>
    <w:rsid w:val="00625F2B"/>
    <w:rsid w:val="00626899"/>
    <w:rsid w:val="00626C20"/>
    <w:rsid w:val="00627281"/>
    <w:rsid w:val="00627BF7"/>
    <w:rsid w:val="0063148C"/>
    <w:rsid w:val="00631FD9"/>
    <w:rsid w:val="00632F35"/>
    <w:rsid w:val="0063315D"/>
    <w:rsid w:val="006335F9"/>
    <w:rsid w:val="00633A99"/>
    <w:rsid w:val="00633D39"/>
    <w:rsid w:val="00633E32"/>
    <w:rsid w:val="0063701F"/>
    <w:rsid w:val="006379AF"/>
    <w:rsid w:val="00640CA1"/>
    <w:rsid w:val="0064101C"/>
    <w:rsid w:val="00641BC1"/>
    <w:rsid w:val="00644047"/>
    <w:rsid w:val="006445BF"/>
    <w:rsid w:val="00644F07"/>
    <w:rsid w:val="00644FB2"/>
    <w:rsid w:val="006455A9"/>
    <w:rsid w:val="006475D0"/>
    <w:rsid w:val="006477F8"/>
    <w:rsid w:val="00650811"/>
    <w:rsid w:val="00650A3C"/>
    <w:rsid w:val="00652004"/>
    <w:rsid w:val="00652567"/>
    <w:rsid w:val="0065458E"/>
    <w:rsid w:val="00654C94"/>
    <w:rsid w:val="00654DDA"/>
    <w:rsid w:val="006551A1"/>
    <w:rsid w:val="006555F6"/>
    <w:rsid w:val="00655BB7"/>
    <w:rsid w:val="0065796F"/>
    <w:rsid w:val="006579B8"/>
    <w:rsid w:val="00657A2E"/>
    <w:rsid w:val="0066148D"/>
    <w:rsid w:val="00661C0B"/>
    <w:rsid w:val="00663E3D"/>
    <w:rsid w:val="00663E48"/>
    <w:rsid w:val="00663F0A"/>
    <w:rsid w:val="00665B0D"/>
    <w:rsid w:val="00665FD3"/>
    <w:rsid w:val="00667F99"/>
    <w:rsid w:val="00670672"/>
    <w:rsid w:val="00670854"/>
    <w:rsid w:val="00672057"/>
    <w:rsid w:val="006734BB"/>
    <w:rsid w:val="006746ED"/>
    <w:rsid w:val="0067503C"/>
    <w:rsid w:val="006769DF"/>
    <w:rsid w:val="00677221"/>
    <w:rsid w:val="00677650"/>
    <w:rsid w:val="0068031D"/>
    <w:rsid w:val="006803C5"/>
    <w:rsid w:val="006807C5"/>
    <w:rsid w:val="006822E4"/>
    <w:rsid w:val="00682763"/>
    <w:rsid w:val="0068277A"/>
    <w:rsid w:val="00682A71"/>
    <w:rsid w:val="00682FE9"/>
    <w:rsid w:val="006832F1"/>
    <w:rsid w:val="0068344A"/>
    <w:rsid w:val="006848AF"/>
    <w:rsid w:val="006851F4"/>
    <w:rsid w:val="00685468"/>
    <w:rsid w:val="006855E0"/>
    <w:rsid w:val="006860A2"/>
    <w:rsid w:val="006862A9"/>
    <w:rsid w:val="006866CE"/>
    <w:rsid w:val="00686B9D"/>
    <w:rsid w:val="0068708C"/>
    <w:rsid w:val="00687272"/>
    <w:rsid w:val="00687A99"/>
    <w:rsid w:val="00687EE1"/>
    <w:rsid w:val="00690448"/>
    <w:rsid w:val="006905D3"/>
    <w:rsid w:val="00690AB2"/>
    <w:rsid w:val="00690B1C"/>
    <w:rsid w:val="0069224D"/>
    <w:rsid w:val="00692495"/>
    <w:rsid w:val="0069376A"/>
    <w:rsid w:val="0069408F"/>
    <w:rsid w:val="006940F3"/>
    <w:rsid w:val="00694199"/>
    <w:rsid w:val="006949B5"/>
    <w:rsid w:val="00694A1C"/>
    <w:rsid w:val="00695F67"/>
    <w:rsid w:val="00697028"/>
    <w:rsid w:val="0069709D"/>
    <w:rsid w:val="006A024B"/>
    <w:rsid w:val="006A068E"/>
    <w:rsid w:val="006A0EE4"/>
    <w:rsid w:val="006A100C"/>
    <w:rsid w:val="006A1D05"/>
    <w:rsid w:val="006A28DE"/>
    <w:rsid w:val="006A321D"/>
    <w:rsid w:val="006A39A5"/>
    <w:rsid w:val="006A50B5"/>
    <w:rsid w:val="006A55FC"/>
    <w:rsid w:val="006A5B75"/>
    <w:rsid w:val="006A65AC"/>
    <w:rsid w:val="006B003D"/>
    <w:rsid w:val="006B14BD"/>
    <w:rsid w:val="006B1BE6"/>
    <w:rsid w:val="006B1E74"/>
    <w:rsid w:val="006B3E1A"/>
    <w:rsid w:val="006B4E76"/>
    <w:rsid w:val="006B5230"/>
    <w:rsid w:val="006B5514"/>
    <w:rsid w:val="006B5D61"/>
    <w:rsid w:val="006B5EDF"/>
    <w:rsid w:val="006B7203"/>
    <w:rsid w:val="006C0F52"/>
    <w:rsid w:val="006C10BC"/>
    <w:rsid w:val="006C1AA5"/>
    <w:rsid w:val="006C1C57"/>
    <w:rsid w:val="006C3257"/>
    <w:rsid w:val="006C3430"/>
    <w:rsid w:val="006C39BC"/>
    <w:rsid w:val="006C3E56"/>
    <w:rsid w:val="006C4D40"/>
    <w:rsid w:val="006C5091"/>
    <w:rsid w:val="006C5179"/>
    <w:rsid w:val="006C526B"/>
    <w:rsid w:val="006C58D6"/>
    <w:rsid w:val="006C5B4E"/>
    <w:rsid w:val="006C63E8"/>
    <w:rsid w:val="006C70CB"/>
    <w:rsid w:val="006C7603"/>
    <w:rsid w:val="006C764D"/>
    <w:rsid w:val="006C7907"/>
    <w:rsid w:val="006C796D"/>
    <w:rsid w:val="006C7D01"/>
    <w:rsid w:val="006C7E23"/>
    <w:rsid w:val="006D0AC4"/>
    <w:rsid w:val="006D2D0A"/>
    <w:rsid w:val="006D3224"/>
    <w:rsid w:val="006D415A"/>
    <w:rsid w:val="006D4F1F"/>
    <w:rsid w:val="006D5188"/>
    <w:rsid w:val="006D6491"/>
    <w:rsid w:val="006D7DBC"/>
    <w:rsid w:val="006E0630"/>
    <w:rsid w:val="006E0BFB"/>
    <w:rsid w:val="006E1188"/>
    <w:rsid w:val="006E1EC7"/>
    <w:rsid w:val="006E275E"/>
    <w:rsid w:val="006E49EF"/>
    <w:rsid w:val="006E556D"/>
    <w:rsid w:val="006E5DDE"/>
    <w:rsid w:val="006E6184"/>
    <w:rsid w:val="006E66B4"/>
    <w:rsid w:val="006E70F3"/>
    <w:rsid w:val="006F0D38"/>
    <w:rsid w:val="006F1169"/>
    <w:rsid w:val="006F158E"/>
    <w:rsid w:val="006F1F39"/>
    <w:rsid w:val="006F27E6"/>
    <w:rsid w:val="006F28D2"/>
    <w:rsid w:val="006F29BC"/>
    <w:rsid w:val="006F2B70"/>
    <w:rsid w:val="006F346D"/>
    <w:rsid w:val="006F3D65"/>
    <w:rsid w:val="006F536C"/>
    <w:rsid w:val="006F54B6"/>
    <w:rsid w:val="006F6417"/>
    <w:rsid w:val="006F7009"/>
    <w:rsid w:val="006F79F6"/>
    <w:rsid w:val="006F7A13"/>
    <w:rsid w:val="006F7A3E"/>
    <w:rsid w:val="00700A55"/>
    <w:rsid w:val="007012C2"/>
    <w:rsid w:val="007015D0"/>
    <w:rsid w:val="007017AF"/>
    <w:rsid w:val="0070271F"/>
    <w:rsid w:val="00703178"/>
    <w:rsid w:val="007057EC"/>
    <w:rsid w:val="00705917"/>
    <w:rsid w:val="00705C5A"/>
    <w:rsid w:val="0070609F"/>
    <w:rsid w:val="007061E5"/>
    <w:rsid w:val="0070682B"/>
    <w:rsid w:val="00706AE0"/>
    <w:rsid w:val="00707602"/>
    <w:rsid w:val="00707951"/>
    <w:rsid w:val="00707C60"/>
    <w:rsid w:val="00707DFA"/>
    <w:rsid w:val="00707FF8"/>
    <w:rsid w:val="007117E9"/>
    <w:rsid w:val="007120C1"/>
    <w:rsid w:val="007128D8"/>
    <w:rsid w:val="00712CBE"/>
    <w:rsid w:val="00713B82"/>
    <w:rsid w:val="00713F29"/>
    <w:rsid w:val="007143B8"/>
    <w:rsid w:val="007148A6"/>
    <w:rsid w:val="007165AB"/>
    <w:rsid w:val="00716EA8"/>
    <w:rsid w:val="0071782D"/>
    <w:rsid w:val="007178C3"/>
    <w:rsid w:val="00717A0C"/>
    <w:rsid w:val="00720205"/>
    <w:rsid w:val="00721F86"/>
    <w:rsid w:val="00722508"/>
    <w:rsid w:val="0072268F"/>
    <w:rsid w:val="00722FB7"/>
    <w:rsid w:val="00723972"/>
    <w:rsid w:val="00726213"/>
    <w:rsid w:val="00726603"/>
    <w:rsid w:val="00727FDD"/>
    <w:rsid w:val="00730E12"/>
    <w:rsid w:val="00730EC0"/>
    <w:rsid w:val="00731ECC"/>
    <w:rsid w:val="0073319F"/>
    <w:rsid w:val="007340D8"/>
    <w:rsid w:val="007343C0"/>
    <w:rsid w:val="0073480D"/>
    <w:rsid w:val="00735356"/>
    <w:rsid w:val="00736BF3"/>
    <w:rsid w:val="0073781A"/>
    <w:rsid w:val="00737878"/>
    <w:rsid w:val="00740A70"/>
    <w:rsid w:val="00741279"/>
    <w:rsid w:val="0074206D"/>
    <w:rsid w:val="00742485"/>
    <w:rsid w:val="00742D72"/>
    <w:rsid w:val="007434D2"/>
    <w:rsid w:val="007446A7"/>
    <w:rsid w:val="00744EDA"/>
    <w:rsid w:val="007463C0"/>
    <w:rsid w:val="00747566"/>
    <w:rsid w:val="00750467"/>
    <w:rsid w:val="007505EA"/>
    <w:rsid w:val="00750AF7"/>
    <w:rsid w:val="00751104"/>
    <w:rsid w:val="007514EA"/>
    <w:rsid w:val="00751E46"/>
    <w:rsid w:val="007523B5"/>
    <w:rsid w:val="00752990"/>
    <w:rsid w:val="00753DA9"/>
    <w:rsid w:val="007555DC"/>
    <w:rsid w:val="007558FA"/>
    <w:rsid w:val="00755B0D"/>
    <w:rsid w:val="00755C18"/>
    <w:rsid w:val="0075608F"/>
    <w:rsid w:val="00756496"/>
    <w:rsid w:val="007570CA"/>
    <w:rsid w:val="0075711E"/>
    <w:rsid w:val="00761760"/>
    <w:rsid w:val="00762975"/>
    <w:rsid w:val="00762ECB"/>
    <w:rsid w:val="00763730"/>
    <w:rsid w:val="00764C00"/>
    <w:rsid w:val="00764CF9"/>
    <w:rsid w:val="007650EB"/>
    <w:rsid w:val="00765230"/>
    <w:rsid w:val="00766359"/>
    <w:rsid w:val="00766361"/>
    <w:rsid w:val="0076666E"/>
    <w:rsid w:val="0076764D"/>
    <w:rsid w:val="00767B78"/>
    <w:rsid w:val="00770099"/>
    <w:rsid w:val="007709CA"/>
    <w:rsid w:val="00770C98"/>
    <w:rsid w:val="0077104E"/>
    <w:rsid w:val="0077156C"/>
    <w:rsid w:val="00771C9A"/>
    <w:rsid w:val="0077265A"/>
    <w:rsid w:val="00772E04"/>
    <w:rsid w:val="00775530"/>
    <w:rsid w:val="00775EC8"/>
    <w:rsid w:val="00776574"/>
    <w:rsid w:val="007808C0"/>
    <w:rsid w:val="00780CBC"/>
    <w:rsid w:val="007822C3"/>
    <w:rsid w:val="00782C8D"/>
    <w:rsid w:val="00782DEC"/>
    <w:rsid w:val="00783705"/>
    <w:rsid w:val="00783709"/>
    <w:rsid w:val="00783C96"/>
    <w:rsid w:val="00783DF1"/>
    <w:rsid w:val="00784062"/>
    <w:rsid w:val="0078448C"/>
    <w:rsid w:val="00784693"/>
    <w:rsid w:val="00785189"/>
    <w:rsid w:val="007858F8"/>
    <w:rsid w:val="00790728"/>
    <w:rsid w:val="00793273"/>
    <w:rsid w:val="00793E8A"/>
    <w:rsid w:val="00795017"/>
    <w:rsid w:val="00797CDC"/>
    <w:rsid w:val="00797E19"/>
    <w:rsid w:val="00797FEC"/>
    <w:rsid w:val="007A06FC"/>
    <w:rsid w:val="007A1E3E"/>
    <w:rsid w:val="007A31B0"/>
    <w:rsid w:val="007A3336"/>
    <w:rsid w:val="007A3C7E"/>
    <w:rsid w:val="007A3E30"/>
    <w:rsid w:val="007A4366"/>
    <w:rsid w:val="007A44C0"/>
    <w:rsid w:val="007A4F2A"/>
    <w:rsid w:val="007A4FD3"/>
    <w:rsid w:val="007A53AD"/>
    <w:rsid w:val="007A5D23"/>
    <w:rsid w:val="007B0771"/>
    <w:rsid w:val="007B0AC0"/>
    <w:rsid w:val="007B0B57"/>
    <w:rsid w:val="007B0F8F"/>
    <w:rsid w:val="007B10FA"/>
    <w:rsid w:val="007B15CB"/>
    <w:rsid w:val="007B2291"/>
    <w:rsid w:val="007B2BC9"/>
    <w:rsid w:val="007B4C10"/>
    <w:rsid w:val="007B4DBF"/>
    <w:rsid w:val="007B5A1F"/>
    <w:rsid w:val="007B6D2B"/>
    <w:rsid w:val="007B7066"/>
    <w:rsid w:val="007C0245"/>
    <w:rsid w:val="007C16FC"/>
    <w:rsid w:val="007C27D9"/>
    <w:rsid w:val="007C2EE1"/>
    <w:rsid w:val="007C4907"/>
    <w:rsid w:val="007C51CC"/>
    <w:rsid w:val="007C5353"/>
    <w:rsid w:val="007C55E0"/>
    <w:rsid w:val="007C5919"/>
    <w:rsid w:val="007C6C04"/>
    <w:rsid w:val="007C74B4"/>
    <w:rsid w:val="007D09A7"/>
    <w:rsid w:val="007D11C8"/>
    <w:rsid w:val="007D1E0B"/>
    <w:rsid w:val="007D3DB5"/>
    <w:rsid w:val="007D44BA"/>
    <w:rsid w:val="007D5DB2"/>
    <w:rsid w:val="007D6AB0"/>
    <w:rsid w:val="007D7990"/>
    <w:rsid w:val="007E199E"/>
    <w:rsid w:val="007E324A"/>
    <w:rsid w:val="007E33BE"/>
    <w:rsid w:val="007E498D"/>
    <w:rsid w:val="007E4CA8"/>
    <w:rsid w:val="007E4FA9"/>
    <w:rsid w:val="007E5B62"/>
    <w:rsid w:val="007E5D09"/>
    <w:rsid w:val="007E628B"/>
    <w:rsid w:val="007E6DBF"/>
    <w:rsid w:val="007E706C"/>
    <w:rsid w:val="007F20C2"/>
    <w:rsid w:val="007F22EF"/>
    <w:rsid w:val="007F2C29"/>
    <w:rsid w:val="007F2CED"/>
    <w:rsid w:val="007F3B3B"/>
    <w:rsid w:val="007F3D11"/>
    <w:rsid w:val="007F5341"/>
    <w:rsid w:val="007F74E1"/>
    <w:rsid w:val="007F7B4B"/>
    <w:rsid w:val="0080025E"/>
    <w:rsid w:val="008003ED"/>
    <w:rsid w:val="008009BB"/>
    <w:rsid w:val="00800A86"/>
    <w:rsid w:val="00800A90"/>
    <w:rsid w:val="00801242"/>
    <w:rsid w:val="008015DF"/>
    <w:rsid w:val="00801D29"/>
    <w:rsid w:val="00802A68"/>
    <w:rsid w:val="00802C27"/>
    <w:rsid w:val="00802E8E"/>
    <w:rsid w:val="00803FF5"/>
    <w:rsid w:val="0080452A"/>
    <w:rsid w:val="00804E3D"/>
    <w:rsid w:val="008059EE"/>
    <w:rsid w:val="00806C10"/>
    <w:rsid w:val="008074B0"/>
    <w:rsid w:val="00807CED"/>
    <w:rsid w:val="00810760"/>
    <w:rsid w:val="00810B17"/>
    <w:rsid w:val="00810F51"/>
    <w:rsid w:val="00811F7B"/>
    <w:rsid w:val="00812C7B"/>
    <w:rsid w:val="00813A5F"/>
    <w:rsid w:val="00813BBB"/>
    <w:rsid w:val="008149F7"/>
    <w:rsid w:val="00815171"/>
    <w:rsid w:val="00815BB6"/>
    <w:rsid w:val="00815BED"/>
    <w:rsid w:val="00815E5C"/>
    <w:rsid w:val="008166CD"/>
    <w:rsid w:val="008203DF"/>
    <w:rsid w:val="00821383"/>
    <w:rsid w:val="008218AF"/>
    <w:rsid w:val="00823D5D"/>
    <w:rsid w:val="00824DC9"/>
    <w:rsid w:val="0082545D"/>
    <w:rsid w:val="0082670D"/>
    <w:rsid w:val="00826A42"/>
    <w:rsid w:val="00826E1A"/>
    <w:rsid w:val="00831977"/>
    <w:rsid w:val="008321A0"/>
    <w:rsid w:val="00832355"/>
    <w:rsid w:val="00832FCD"/>
    <w:rsid w:val="008349B0"/>
    <w:rsid w:val="00834DD0"/>
    <w:rsid w:val="00835414"/>
    <w:rsid w:val="00836541"/>
    <w:rsid w:val="00840332"/>
    <w:rsid w:val="00840936"/>
    <w:rsid w:val="00841AB4"/>
    <w:rsid w:val="00841C08"/>
    <w:rsid w:val="008421C5"/>
    <w:rsid w:val="00842248"/>
    <w:rsid w:val="00842635"/>
    <w:rsid w:val="00843078"/>
    <w:rsid w:val="00845437"/>
    <w:rsid w:val="008458DB"/>
    <w:rsid w:val="0084592F"/>
    <w:rsid w:val="00846952"/>
    <w:rsid w:val="00846A05"/>
    <w:rsid w:val="0084713F"/>
    <w:rsid w:val="008475F5"/>
    <w:rsid w:val="0084769C"/>
    <w:rsid w:val="00847DE3"/>
    <w:rsid w:val="00850362"/>
    <w:rsid w:val="00850945"/>
    <w:rsid w:val="00850C37"/>
    <w:rsid w:val="00852714"/>
    <w:rsid w:val="00852911"/>
    <w:rsid w:val="00855E5F"/>
    <w:rsid w:val="008567DC"/>
    <w:rsid w:val="00857A69"/>
    <w:rsid w:val="008601A1"/>
    <w:rsid w:val="00861030"/>
    <w:rsid w:val="008615D9"/>
    <w:rsid w:val="00862446"/>
    <w:rsid w:val="00862633"/>
    <w:rsid w:val="00862F1D"/>
    <w:rsid w:val="008631CF"/>
    <w:rsid w:val="00863B41"/>
    <w:rsid w:val="0086464C"/>
    <w:rsid w:val="0086549A"/>
    <w:rsid w:val="0086768C"/>
    <w:rsid w:val="008678CB"/>
    <w:rsid w:val="0087063A"/>
    <w:rsid w:val="00870BB8"/>
    <w:rsid w:val="00872A1E"/>
    <w:rsid w:val="00875828"/>
    <w:rsid w:val="00877689"/>
    <w:rsid w:val="00877C04"/>
    <w:rsid w:val="00877C9F"/>
    <w:rsid w:val="0088018A"/>
    <w:rsid w:val="008815A2"/>
    <w:rsid w:val="008818B7"/>
    <w:rsid w:val="00881AFE"/>
    <w:rsid w:val="00884605"/>
    <w:rsid w:val="0088584B"/>
    <w:rsid w:val="00885AB3"/>
    <w:rsid w:val="008861E0"/>
    <w:rsid w:val="00886485"/>
    <w:rsid w:val="0088648E"/>
    <w:rsid w:val="00890F1B"/>
    <w:rsid w:val="00892D3C"/>
    <w:rsid w:val="0089387F"/>
    <w:rsid w:val="0089559E"/>
    <w:rsid w:val="00895B61"/>
    <w:rsid w:val="00896DF1"/>
    <w:rsid w:val="008970B2"/>
    <w:rsid w:val="00897B1D"/>
    <w:rsid w:val="008A00E6"/>
    <w:rsid w:val="008A04E9"/>
    <w:rsid w:val="008A05C4"/>
    <w:rsid w:val="008A0F57"/>
    <w:rsid w:val="008A14ED"/>
    <w:rsid w:val="008A2780"/>
    <w:rsid w:val="008A2A67"/>
    <w:rsid w:val="008A344B"/>
    <w:rsid w:val="008A40C2"/>
    <w:rsid w:val="008A4468"/>
    <w:rsid w:val="008A47B9"/>
    <w:rsid w:val="008A7969"/>
    <w:rsid w:val="008A7E50"/>
    <w:rsid w:val="008B01A9"/>
    <w:rsid w:val="008B0489"/>
    <w:rsid w:val="008B0973"/>
    <w:rsid w:val="008B10F0"/>
    <w:rsid w:val="008B11DF"/>
    <w:rsid w:val="008B3C0E"/>
    <w:rsid w:val="008B3F27"/>
    <w:rsid w:val="008B4A13"/>
    <w:rsid w:val="008B64F9"/>
    <w:rsid w:val="008B66F3"/>
    <w:rsid w:val="008B7683"/>
    <w:rsid w:val="008C35DD"/>
    <w:rsid w:val="008C3CED"/>
    <w:rsid w:val="008C4F17"/>
    <w:rsid w:val="008C5A22"/>
    <w:rsid w:val="008C75EC"/>
    <w:rsid w:val="008D0FDF"/>
    <w:rsid w:val="008D1474"/>
    <w:rsid w:val="008D215C"/>
    <w:rsid w:val="008D2CAA"/>
    <w:rsid w:val="008D56B8"/>
    <w:rsid w:val="008D5D79"/>
    <w:rsid w:val="008D6D07"/>
    <w:rsid w:val="008D6F73"/>
    <w:rsid w:val="008D7552"/>
    <w:rsid w:val="008D7911"/>
    <w:rsid w:val="008E0BDB"/>
    <w:rsid w:val="008E0DAA"/>
    <w:rsid w:val="008E111F"/>
    <w:rsid w:val="008E139F"/>
    <w:rsid w:val="008E39F4"/>
    <w:rsid w:val="008E3AC4"/>
    <w:rsid w:val="008E496C"/>
    <w:rsid w:val="008E4BFB"/>
    <w:rsid w:val="008E5462"/>
    <w:rsid w:val="008E59A5"/>
    <w:rsid w:val="008E5F83"/>
    <w:rsid w:val="008E6907"/>
    <w:rsid w:val="008E6EDF"/>
    <w:rsid w:val="008E726A"/>
    <w:rsid w:val="008F172B"/>
    <w:rsid w:val="008F1CC6"/>
    <w:rsid w:val="008F2228"/>
    <w:rsid w:val="008F262C"/>
    <w:rsid w:val="008F2D3B"/>
    <w:rsid w:val="008F2D9A"/>
    <w:rsid w:val="008F3229"/>
    <w:rsid w:val="008F3317"/>
    <w:rsid w:val="008F358A"/>
    <w:rsid w:val="008F379C"/>
    <w:rsid w:val="008F397C"/>
    <w:rsid w:val="008F39F9"/>
    <w:rsid w:val="008F522F"/>
    <w:rsid w:val="008F608B"/>
    <w:rsid w:val="008F6D27"/>
    <w:rsid w:val="008F7BAC"/>
    <w:rsid w:val="008F7FFB"/>
    <w:rsid w:val="0090018D"/>
    <w:rsid w:val="00900D21"/>
    <w:rsid w:val="0090123F"/>
    <w:rsid w:val="00901C86"/>
    <w:rsid w:val="00902139"/>
    <w:rsid w:val="009021B2"/>
    <w:rsid w:val="0090329C"/>
    <w:rsid w:val="00903D3F"/>
    <w:rsid w:val="009047C1"/>
    <w:rsid w:val="00904B7C"/>
    <w:rsid w:val="00904F9D"/>
    <w:rsid w:val="00905621"/>
    <w:rsid w:val="00905B41"/>
    <w:rsid w:val="00905E2C"/>
    <w:rsid w:val="00910136"/>
    <w:rsid w:val="0091108F"/>
    <w:rsid w:val="00911962"/>
    <w:rsid w:val="009122D2"/>
    <w:rsid w:val="009123EF"/>
    <w:rsid w:val="00912F79"/>
    <w:rsid w:val="009144FB"/>
    <w:rsid w:val="00914849"/>
    <w:rsid w:val="0091540E"/>
    <w:rsid w:val="0091587C"/>
    <w:rsid w:val="0091698A"/>
    <w:rsid w:val="00916D5C"/>
    <w:rsid w:val="009200B2"/>
    <w:rsid w:val="009201FE"/>
    <w:rsid w:val="009203FB"/>
    <w:rsid w:val="009214AD"/>
    <w:rsid w:val="00921553"/>
    <w:rsid w:val="0092198F"/>
    <w:rsid w:val="009222FB"/>
    <w:rsid w:val="00923CD2"/>
    <w:rsid w:val="00924041"/>
    <w:rsid w:val="009248B3"/>
    <w:rsid w:val="00924CAE"/>
    <w:rsid w:val="009252D2"/>
    <w:rsid w:val="00925444"/>
    <w:rsid w:val="00925B0B"/>
    <w:rsid w:val="009266B3"/>
    <w:rsid w:val="00926CEB"/>
    <w:rsid w:val="009271DD"/>
    <w:rsid w:val="009272C4"/>
    <w:rsid w:val="00927E44"/>
    <w:rsid w:val="0093038A"/>
    <w:rsid w:val="009309B6"/>
    <w:rsid w:val="00931DC2"/>
    <w:rsid w:val="00933F6A"/>
    <w:rsid w:val="00934871"/>
    <w:rsid w:val="00934DEF"/>
    <w:rsid w:val="009357DE"/>
    <w:rsid w:val="009373C5"/>
    <w:rsid w:val="0094039F"/>
    <w:rsid w:val="0094075E"/>
    <w:rsid w:val="00940826"/>
    <w:rsid w:val="00940FE6"/>
    <w:rsid w:val="009413EF"/>
    <w:rsid w:val="0094378C"/>
    <w:rsid w:val="00943C54"/>
    <w:rsid w:val="00944328"/>
    <w:rsid w:val="00944AB8"/>
    <w:rsid w:val="00946981"/>
    <w:rsid w:val="00946D69"/>
    <w:rsid w:val="0094726F"/>
    <w:rsid w:val="009478D5"/>
    <w:rsid w:val="00947DFD"/>
    <w:rsid w:val="00947E18"/>
    <w:rsid w:val="009503AD"/>
    <w:rsid w:val="00951036"/>
    <w:rsid w:val="009526CF"/>
    <w:rsid w:val="00952B8F"/>
    <w:rsid w:val="00953098"/>
    <w:rsid w:val="00953462"/>
    <w:rsid w:val="0095422C"/>
    <w:rsid w:val="009568B3"/>
    <w:rsid w:val="0096167B"/>
    <w:rsid w:val="00961CF7"/>
    <w:rsid w:val="0096226D"/>
    <w:rsid w:val="0096256D"/>
    <w:rsid w:val="00962B82"/>
    <w:rsid w:val="00963A3B"/>
    <w:rsid w:val="00965612"/>
    <w:rsid w:val="009665F6"/>
    <w:rsid w:val="00966CBD"/>
    <w:rsid w:val="009674B4"/>
    <w:rsid w:val="00967CAF"/>
    <w:rsid w:val="00971D7C"/>
    <w:rsid w:val="00972235"/>
    <w:rsid w:val="009723D1"/>
    <w:rsid w:val="0097282F"/>
    <w:rsid w:val="0097288C"/>
    <w:rsid w:val="00973807"/>
    <w:rsid w:val="0097401E"/>
    <w:rsid w:val="00974340"/>
    <w:rsid w:val="00974F5E"/>
    <w:rsid w:val="009751C9"/>
    <w:rsid w:val="009753EA"/>
    <w:rsid w:val="00976E98"/>
    <w:rsid w:val="00980ADE"/>
    <w:rsid w:val="00980E17"/>
    <w:rsid w:val="009814E2"/>
    <w:rsid w:val="00981A9F"/>
    <w:rsid w:val="0098224D"/>
    <w:rsid w:val="00982F5D"/>
    <w:rsid w:val="00983952"/>
    <w:rsid w:val="0098505D"/>
    <w:rsid w:val="00985514"/>
    <w:rsid w:val="00985FEC"/>
    <w:rsid w:val="0098646D"/>
    <w:rsid w:val="00986BF1"/>
    <w:rsid w:val="009877D5"/>
    <w:rsid w:val="00987A0F"/>
    <w:rsid w:val="009911B5"/>
    <w:rsid w:val="009936DB"/>
    <w:rsid w:val="00993B8B"/>
    <w:rsid w:val="00993CA8"/>
    <w:rsid w:val="00994F2B"/>
    <w:rsid w:val="00995439"/>
    <w:rsid w:val="00997DEC"/>
    <w:rsid w:val="00997E08"/>
    <w:rsid w:val="009A091A"/>
    <w:rsid w:val="009A11E2"/>
    <w:rsid w:val="009A1588"/>
    <w:rsid w:val="009A1B3C"/>
    <w:rsid w:val="009A1DD5"/>
    <w:rsid w:val="009A2468"/>
    <w:rsid w:val="009A297B"/>
    <w:rsid w:val="009A46D1"/>
    <w:rsid w:val="009A66AF"/>
    <w:rsid w:val="009A6BF4"/>
    <w:rsid w:val="009A703F"/>
    <w:rsid w:val="009A74B2"/>
    <w:rsid w:val="009A7535"/>
    <w:rsid w:val="009A7763"/>
    <w:rsid w:val="009A7A02"/>
    <w:rsid w:val="009A7CC7"/>
    <w:rsid w:val="009B06E9"/>
    <w:rsid w:val="009B0EA6"/>
    <w:rsid w:val="009B16BE"/>
    <w:rsid w:val="009B2066"/>
    <w:rsid w:val="009B20D9"/>
    <w:rsid w:val="009B24D1"/>
    <w:rsid w:val="009B2725"/>
    <w:rsid w:val="009B2B79"/>
    <w:rsid w:val="009B391B"/>
    <w:rsid w:val="009B4484"/>
    <w:rsid w:val="009B4E4C"/>
    <w:rsid w:val="009B604B"/>
    <w:rsid w:val="009B6363"/>
    <w:rsid w:val="009B63F8"/>
    <w:rsid w:val="009B7AF9"/>
    <w:rsid w:val="009B7B74"/>
    <w:rsid w:val="009B7CA3"/>
    <w:rsid w:val="009C0445"/>
    <w:rsid w:val="009C09E3"/>
    <w:rsid w:val="009C125D"/>
    <w:rsid w:val="009C1BCC"/>
    <w:rsid w:val="009C32AB"/>
    <w:rsid w:val="009C4729"/>
    <w:rsid w:val="009C4898"/>
    <w:rsid w:val="009C4BA5"/>
    <w:rsid w:val="009C70F5"/>
    <w:rsid w:val="009C72C8"/>
    <w:rsid w:val="009C7B95"/>
    <w:rsid w:val="009D0143"/>
    <w:rsid w:val="009D04FC"/>
    <w:rsid w:val="009D0DC2"/>
    <w:rsid w:val="009D18BC"/>
    <w:rsid w:val="009D2A16"/>
    <w:rsid w:val="009D2A89"/>
    <w:rsid w:val="009D55BD"/>
    <w:rsid w:val="009D658E"/>
    <w:rsid w:val="009D6EC6"/>
    <w:rsid w:val="009E149F"/>
    <w:rsid w:val="009E356D"/>
    <w:rsid w:val="009E3AE0"/>
    <w:rsid w:val="009E53F7"/>
    <w:rsid w:val="009E5D3D"/>
    <w:rsid w:val="009E6F57"/>
    <w:rsid w:val="009E76D7"/>
    <w:rsid w:val="009E7CDA"/>
    <w:rsid w:val="009E7D5B"/>
    <w:rsid w:val="009F0A02"/>
    <w:rsid w:val="009F0EE6"/>
    <w:rsid w:val="009F1B25"/>
    <w:rsid w:val="009F32F0"/>
    <w:rsid w:val="009F36C1"/>
    <w:rsid w:val="009F3B4B"/>
    <w:rsid w:val="009F4D62"/>
    <w:rsid w:val="00A0355E"/>
    <w:rsid w:val="00A03640"/>
    <w:rsid w:val="00A03914"/>
    <w:rsid w:val="00A03E1B"/>
    <w:rsid w:val="00A03FE4"/>
    <w:rsid w:val="00A0440E"/>
    <w:rsid w:val="00A050E6"/>
    <w:rsid w:val="00A06075"/>
    <w:rsid w:val="00A06ECC"/>
    <w:rsid w:val="00A075B1"/>
    <w:rsid w:val="00A0795E"/>
    <w:rsid w:val="00A10302"/>
    <w:rsid w:val="00A111DE"/>
    <w:rsid w:val="00A1438A"/>
    <w:rsid w:val="00A15FD4"/>
    <w:rsid w:val="00A20C26"/>
    <w:rsid w:val="00A23262"/>
    <w:rsid w:val="00A23441"/>
    <w:rsid w:val="00A2413A"/>
    <w:rsid w:val="00A241EB"/>
    <w:rsid w:val="00A24E8E"/>
    <w:rsid w:val="00A251C0"/>
    <w:rsid w:val="00A25D1C"/>
    <w:rsid w:val="00A265AD"/>
    <w:rsid w:val="00A26E80"/>
    <w:rsid w:val="00A27CDA"/>
    <w:rsid w:val="00A30286"/>
    <w:rsid w:val="00A306C4"/>
    <w:rsid w:val="00A30913"/>
    <w:rsid w:val="00A32C07"/>
    <w:rsid w:val="00A32CCC"/>
    <w:rsid w:val="00A34A2A"/>
    <w:rsid w:val="00A34EC5"/>
    <w:rsid w:val="00A3564B"/>
    <w:rsid w:val="00A356C8"/>
    <w:rsid w:val="00A357FD"/>
    <w:rsid w:val="00A35BEB"/>
    <w:rsid w:val="00A376CF"/>
    <w:rsid w:val="00A3790F"/>
    <w:rsid w:val="00A379FA"/>
    <w:rsid w:val="00A40A9F"/>
    <w:rsid w:val="00A41241"/>
    <w:rsid w:val="00A41C3B"/>
    <w:rsid w:val="00A439FE"/>
    <w:rsid w:val="00A43D81"/>
    <w:rsid w:val="00A443C8"/>
    <w:rsid w:val="00A44BB0"/>
    <w:rsid w:val="00A4512A"/>
    <w:rsid w:val="00A45D54"/>
    <w:rsid w:val="00A465A8"/>
    <w:rsid w:val="00A4676F"/>
    <w:rsid w:val="00A46A7D"/>
    <w:rsid w:val="00A47B39"/>
    <w:rsid w:val="00A51363"/>
    <w:rsid w:val="00A513D8"/>
    <w:rsid w:val="00A519F9"/>
    <w:rsid w:val="00A5282D"/>
    <w:rsid w:val="00A52C4F"/>
    <w:rsid w:val="00A539B4"/>
    <w:rsid w:val="00A53BD3"/>
    <w:rsid w:val="00A567D9"/>
    <w:rsid w:val="00A569A3"/>
    <w:rsid w:val="00A56CFB"/>
    <w:rsid w:val="00A612D4"/>
    <w:rsid w:val="00A62651"/>
    <w:rsid w:val="00A6326D"/>
    <w:rsid w:val="00A63530"/>
    <w:rsid w:val="00A6374C"/>
    <w:rsid w:val="00A6395E"/>
    <w:rsid w:val="00A63CD0"/>
    <w:rsid w:val="00A641B1"/>
    <w:rsid w:val="00A660AB"/>
    <w:rsid w:val="00A663F4"/>
    <w:rsid w:val="00A67BAC"/>
    <w:rsid w:val="00A70849"/>
    <w:rsid w:val="00A71B63"/>
    <w:rsid w:val="00A72154"/>
    <w:rsid w:val="00A7264A"/>
    <w:rsid w:val="00A72AD7"/>
    <w:rsid w:val="00A72C56"/>
    <w:rsid w:val="00A7329D"/>
    <w:rsid w:val="00A73A16"/>
    <w:rsid w:val="00A73FF2"/>
    <w:rsid w:val="00A74B2B"/>
    <w:rsid w:val="00A74E76"/>
    <w:rsid w:val="00A75413"/>
    <w:rsid w:val="00A75BB4"/>
    <w:rsid w:val="00A77CCC"/>
    <w:rsid w:val="00A81235"/>
    <w:rsid w:val="00A82752"/>
    <w:rsid w:val="00A838C8"/>
    <w:rsid w:val="00A83AB1"/>
    <w:rsid w:val="00A86D01"/>
    <w:rsid w:val="00A86E8B"/>
    <w:rsid w:val="00A87D68"/>
    <w:rsid w:val="00A90306"/>
    <w:rsid w:val="00A90A53"/>
    <w:rsid w:val="00A916C1"/>
    <w:rsid w:val="00A91BE9"/>
    <w:rsid w:val="00A925AC"/>
    <w:rsid w:val="00A927BE"/>
    <w:rsid w:val="00A93174"/>
    <w:rsid w:val="00A931EA"/>
    <w:rsid w:val="00A93807"/>
    <w:rsid w:val="00A93C6E"/>
    <w:rsid w:val="00A9590A"/>
    <w:rsid w:val="00A95A70"/>
    <w:rsid w:val="00A9605D"/>
    <w:rsid w:val="00A96798"/>
    <w:rsid w:val="00A97A6C"/>
    <w:rsid w:val="00A97E5F"/>
    <w:rsid w:val="00AA03C7"/>
    <w:rsid w:val="00AA0845"/>
    <w:rsid w:val="00AA1200"/>
    <w:rsid w:val="00AA170B"/>
    <w:rsid w:val="00AA5003"/>
    <w:rsid w:val="00AA60FD"/>
    <w:rsid w:val="00AA6B43"/>
    <w:rsid w:val="00AA6E4D"/>
    <w:rsid w:val="00AA6F6E"/>
    <w:rsid w:val="00AA7390"/>
    <w:rsid w:val="00AA779B"/>
    <w:rsid w:val="00AA7A6C"/>
    <w:rsid w:val="00AA7D5B"/>
    <w:rsid w:val="00AA7EDE"/>
    <w:rsid w:val="00AB03F8"/>
    <w:rsid w:val="00AB0CE4"/>
    <w:rsid w:val="00AB1606"/>
    <w:rsid w:val="00AB1EF8"/>
    <w:rsid w:val="00AB2768"/>
    <w:rsid w:val="00AB295E"/>
    <w:rsid w:val="00AB310A"/>
    <w:rsid w:val="00AB366C"/>
    <w:rsid w:val="00AB4441"/>
    <w:rsid w:val="00AB4F25"/>
    <w:rsid w:val="00AB5425"/>
    <w:rsid w:val="00AB5A62"/>
    <w:rsid w:val="00AB66F6"/>
    <w:rsid w:val="00AB745F"/>
    <w:rsid w:val="00AC3E92"/>
    <w:rsid w:val="00AC4611"/>
    <w:rsid w:val="00AC6280"/>
    <w:rsid w:val="00AC62A2"/>
    <w:rsid w:val="00AC77E9"/>
    <w:rsid w:val="00AD0337"/>
    <w:rsid w:val="00AD0520"/>
    <w:rsid w:val="00AD09E7"/>
    <w:rsid w:val="00AD0DD5"/>
    <w:rsid w:val="00AD36A6"/>
    <w:rsid w:val="00AD380F"/>
    <w:rsid w:val="00AD3E60"/>
    <w:rsid w:val="00AD4816"/>
    <w:rsid w:val="00AD48EE"/>
    <w:rsid w:val="00AD49DF"/>
    <w:rsid w:val="00AD4BAF"/>
    <w:rsid w:val="00AD5A2D"/>
    <w:rsid w:val="00AD6124"/>
    <w:rsid w:val="00AD78AF"/>
    <w:rsid w:val="00AD793C"/>
    <w:rsid w:val="00AE1656"/>
    <w:rsid w:val="00AE166F"/>
    <w:rsid w:val="00AE1D3B"/>
    <w:rsid w:val="00AE2B87"/>
    <w:rsid w:val="00AE4DE1"/>
    <w:rsid w:val="00AE5B41"/>
    <w:rsid w:val="00AE788C"/>
    <w:rsid w:val="00AF0A48"/>
    <w:rsid w:val="00AF17C7"/>
    <w:rsid w:val="00AF1C0F"/>
    <w:rsid w:val="00AF22BE"/>
    <w:rsid w:val="00AF2A8F"/>
    <w:rsid w:val="00AF2F01"/>
    <w:rsid w:val="00AF35A1"/>
    <w:rsid w:val="00AF43B7"/>
    <w:rsid w:val="00AF46E8"/>
    <w:rsid w:val="00AF4E3E"/>
    <w:rsid w:val="00AF59EB"/>
    <w:rsid w:val="00AF63CB"/>
    <w:rsid w:val="00AF6497"/>
    <w:rsid w:val="00B01A44"/>
    <w:rsid w:val="00B02064"/>
    <w:rsid w:val="00B0395D"/>
    <w:rsid w:val="00B043E6"/>
    <w:rsid w:val="00B0635E"/>
    <w:rsid w:val="00B06AEE"/>
    <w:rsid w:val="00B10DE4"/>
    <w:rsid w:val="00B11298"/>
    <w:rsid w:val="00B1134A"/>
    <w:rsid w:val="00B12326"/>
    <w:rsid w:val="00B12C7A"/>
    <w:rsid w:val="00B149CC"/>
    <w:rsid w:val="00B14D6F"/>
    <w:rsid w:val="00B14DE9"/>
    <w:rsid w:val="00B160A2"/>
    <w:rsid w:val="00B162A8"/>
    <w:rsid w:val="00B165DC"/>
    <w:rsid w:val="00B168FB"/>
    <w:rsid w:val="00B1793B"/>
    <w:rsid w:val="00B17A91"/>
    <w:rsid w:val="00B210AD"/>
    <w:rsid w:val="00B22779"/>
    <w:rsid w:val="00B247F7"/>
    <w:rsid w:val="00B24C27"/>
    <w:rsid w:val="00B24C57"/>
    <w:rsid w:val="00B25AA1"/>
    <w:rsid w:val="00B26940"/>
    <w:rsid w:val="00B2697B"/>
    <w:rsid w:val="00B30772"/>
    <w:rsid w:val="00B311E4"/>
    <w:rsid w:val="00B313A2"/>
    <w:rsid w:val="00B31A63"/>
    <w:rsid w:val="00B32808"/>
    <w:rsid w:val="00B32E32"/>
    <w:rsid w:val="00B3380D"/>
    <w:rsid w:val="00B340C6"/>
    <w:rsid w:val="00B35467"/>
    <w:rsid w:val="00B356AE"/>
    <w:rsid w:val="00B36697"/>
    <w:rsid w:val="00B401A3"/>
    <w:rsid w:val="00B401B4"/>
    <w:rsid w:val="00B4021C"/>
    <w:rsid w:val="00B4033A"/>
    <w:rsid w:val="00B40676"/>
    <w:rsid w:val="00B41399"/>
    <w:rsid w:val="00B43AD7"/>
    <w:rsid w:val="00B43B10"/>
    <w:rsid w:val="00B43C56"/>
    <w:rsid w:val="00B44FCC"/>
    <w:rsid w:val="00B45687"/>
    <w:rsid w:val="00B459C8"/>
    <w:rsid w:val="00B459E7"/>
    <w:rsid w:val="00B46889"/>
    <w:rsid w:val="00B46BFD"/>
    <w:rsid w:val="00B47B1D"/>
    <w:rsid w:val="00B47F60"/>
    <w:rsid w:val="00B501CF"/>
    <w:rsid w:val="00B50F3B"/>
    <w:rsid w:val="00B50F5F"/>
    <w:rsid w:val="00B5112E"/>
    <w:rsid w:val="00B51191"/>
    <w:rsid w:val="00B51642"/>
    <w:rsid w:val="00B5188D"/>
    <w:rsid w:val="00B52133"/>
    <w:rsid w:val="00B5233D"/>
    <w:rsid w:val="00B52AB6"/>
    <w:rsid w:val="00B54119"/>
    <w:rsid w:val="00B5431D"/>
    <w:rsid w:val="00B543A6"/>
    <w:rsid w:val="00B54DFA"/>
    <w:rsid w:val="00B55D86"/>
    <w:rsid w:val="00B56F99"/>
    <w:rsid w:val="00B577A1"/>
    <w:rsid w:val="00B57DCE"/>
    <w:rsid w:val="00B608B9"/>
    <w:rsid w:val="00B60A78"/>
    <w:rsid w:val="00B611A9"/>
    <w:rsid w:val="00B61FE6"/>
    <w:rsid w:val="00B62530"/>
    <w:rsid w:val="00B637F2"/>
    <w:rsid w:val="00B63B43"/>
    <w:rsid w:val="00B6418A"/>
    <w:rsid w:val="00B6484B"/>
    <w:rsid w:val="00B6532E"/>
    <w:rsid w:val="00B6588D"/>
    <w:rsid w:val="00B65F7A"/>
    <w:rsid w:val="00B6779C"/>
    <w:rsid w:val="00B67FDE"/>
    <w:rsid w:val="00B70AB5"/>
    <w:rsid w:val="00B70C8B"/>
    <w:rsid w:val="00B71063"/>
    <w:rsid w:val="00B71F09"/>
    <w:rsid w:val="00B73CEF"/>
    <w:rsid w:val="00B73EFC"/>
    <w:rsid w:val="00B7412D"/>
    <w:rsid w:val="00B764EC"/>
    <w:rsid w:val="00B7678D"/>
    <w:rsid w:val="00B769A9"/>
    <w:rsid w:val="00B76C99"/>
    <w:rsid w:val="00B8002F"/>
    <w:rsid w:val="00B8017E"/>
    <w:rsid w:val="00B81DAA"/>
    <w:rsid w:val="00B822A1"/>
    <w:rsid w:val="00B82409"/>
    <w:rsid w:val="00B82591"/>
    <w:rsid w:val="00B82A4C"/>
    <w:rsid w:val="00B847B7"/>
    <w:rsid w:val="00B871F8"/>
    <w:rsid w:val="00B90671"/>
    <w:rsid w:val="00B92661"/>
    <w:rsid w:val="00B931BC"/>
    <w:rsid w:val="00B93342"/>
    <w:rsid w:val="00B94885"/>
    <w:rsid w:val="00B97DC2"/>
    <w:rsid w:val="00BA019C"/>
    <w:rsid w:val="00BA1B8B"/>
    <w:rsid w:val="00BA1C99"/>
    <w:rsid w:val="00BA1D58"/>
    <w:rsid w:val="00BA2A88"/>
    <w:rsid w:val="00BA3BB7"/>
    <w:rsid w:val="00BA3D65"/>
    <w:rsid w:val="00BA3D75"/>
    <w:rsid w:val="00BA4A1D"/>
    <w:rsid w:val="00BA5189"/>
    <w:rsid w:val="00BA56C4"/>
    <w:rsid w:val="00BA65CD"/>
    <w:rsid w:val="00BA68DD"/>
    <w:rsid w:val="00BA6B11"/>
    <w:rsid w:val="00BB0E99"/>
    <w:rsid w:val="00BB10F8"/>
    <w:rsid w:val="00BB394B"/>
    <w:rsid w:val="00BB3CF6"/>
    <w:rsid w:val="00BB4354"/>
    <w:rsid w:val="00BB58B8"/>
    <w:rsid w:val="00BB60A7"/>
    <w:rsid w:val="00BB7446"/>
    <w:rsid w:val="00BB7688"/>
    <w:rsid w:val="00BB7B60"/>
    <w:rsid w:val="00BC040E"/>
    <w:rsid w:val="00BC0746"/>
    <w:rsid w:val="00BC1588"/>
    <w:rsid w:val="00BC1FF8"/>
    <w:rsid w:val="00BC2E0B"/>
    <w:rsid w:val="00BC35EE"/>
    <w:rsid w:val="00BC478C"/>
    <w:rsid w:val="00BC4CFA"/>
    <w:rsid w:val="00BC5B69"/>
    <w:rsid w:val="00BD0204"/>
    <w:rsid w:val="00BD0277"/>
    <w:rsid w:val="00BD0675"/>
    <w:rsid w:val="00BD15EF"/>
    <w:rsid w:val="00BD223C"/>
    <w:rsid w:val="00BD2749"/>
    <w:rsid w:val="00BD27C1"/>
    <w:rsid w:val="00BD448F"/>
    <w:rsid w:val="00BD4983"/>
    <w:rsid w:val="00BD4BA1"/>
    <w:rsid w:val="00BD5835"/>
    <w:rsid w:val="00BD6321"/>
    <w:rsid w:val="00BD661D"/>
    <w:rsid w:val="00BD6833"/>
    <w:rsid w:val="00BD7E9B"/>
    <w:rsid w:val="00BE0178"/>
    <w:rsid w:val="00BE0712"/>
    <w:rsid w:val="00BE0CB6"/>
    <w:rsid w:val="00BE1263"/>
    <w:rsid w:val="00BE1F6E"/>
    <w:rsid w:val="00BE3299"/>
    <w:rsid w:val="00BE4058"/>
    <w:rsid w:val="00BE41A7"/>
    <w:rsid w:val="00BE72E5"/>
    <w:rsid w:val="00BE7F4A"/>
    <w:rsid w:val="00BF0A2B"/>
    <w:rsid w:val="00BF0E44"/>
    <w:rsid w:val="00BF1A1D"/>
    <w:rsid w:val="00BF30A7"/>
    <w:rsid w:val="00BF3435"/>
    <w:rsid w:val="00BF41B1"/>
    <w:rsid w:val="00BF4C04"/>
    <w:rsid w:val="00BF4C1F"/>
    <w:rsid w:val="00BF58FE"/>
    <w:rsid w:val="00BF5B73"/>
    <w:rsid w:val="00BF62C0"/>
    <w:rsid w:val="00BF6680"/>
    <w:rsid w:val="00BF6F17"/>
    <w:rsid w:val="00BF7443"/>
    <w:rsid w:val="00BF786A"/>
    <w:rsid w:val="00BF7F60"/>
    <w:rsid w:val="00C0124D"/>
    <w:rsid w:val="00C01857"/>
    <w:rsid w:val="00C0257A"/>
    <w:rsid w:val="00C029B7"/>
    <w:rsid w:val="00C02F1B"/>
    <w:rsid w:val="00C041C3"/>
    <w:rsid w:val="00C042A9"/>
    <w:rsid w:val="00C044EA"/>
    <w:rsid w:val="00C0487D"/>
    <w:rsid w:val="00C05225"/>
    <w:rsid w:val="00C05FE9"/>
    <w:rsid w:val="00C06121"/>
    <w:rsid w:val="00C07242"/>
    <w:rsid w:val="00C10482"/>
    <w:rsid w:val="00C112F2"/>
    <w:rsid w:val="00C11E85"/>
    <w:rsid w:val="00C1215D"/>
    <w:rsid w:val="00C126B9"/>
    <w:rsid w:val="00C12F14"/>
    <w:rsid w:val="00C137EE"/>
    <w:rsid w:val="00C13A4A"/>
    <w:rsid w:val="00C1414E"/>
    <w:rsid w:val="00C15271"/>
    <w:rsid w:val="00C15369"/>
    <w:rsid w:val="00C15613"/>
    <w:rsid w:val="00C15BF8"/>
    <w:rsid w:val="00C15C59"/>
    <w:rsid w:val="00C15E9D"/>
    <w:rsid w:val="00C16B6D"/>
    <w:rsid w:val="00C17786"/>
    <w:rsid w:val="00C1798E"/>
    <w:rsid w:val="00C20703"/>
    <w:rsid w:val="00C20988"/>
    <w:rsid w:val="00C20D10"/>
    <w:rsid w:val="00C21A28"/>
    <w:rsid w:val="00C22208"/>
    <w:rsid w:val="00C22221"/>
    <w:rsid w:val="00C23C52"/>
    <w:rsid w:val="00C24042"/>
    <w:rsid w:val="00C246DF"/>
    <w:rsid w:val="00C25741"/>
    <w:rsid w:val="00C264B0"/>
    <w:rsid w:val="00C267ED"/>
    <w:rsid w:val="00C268B3"/>
    <w:rsid w:val="00C2708A"/>
    <w:rsid w:val="00C30347"/>
    <w:rsid w:val="00C3087D"/>
    <w:rsid w:val="00C30C76"/>
    <w:rsid w:val="00C31511"/>
    <w:rsid w:val="00C31E0F"/>
    <w:rsid w:val="00C31F2E"/>
    <w:rsid w:val="00C33598"/>
    <w:rsid w:val="00C33C32"/>
    <w:rsid w:val="00C34ABC"/>
    <w:rsid w:val="00C35378"/>
    <w:rsid w:val="00C35622"/>
    <w:rsid w:val="00C36D0B"/>
    <w:rsid w:val="00C370E1"/>
    <w:rsid w:val="00C376D1"/>
    <w:rsid w:val="00C37D13"/>
    <w:rsid w:val="00C41263"/>
    <w:rsid w:val="00C413A2"/>
    <w:rsid w:val="00C41699"/>
    <w:rsid w:val="00C419C8"/>
    <w:rsid w:val="00C41FE6"/>
    <w:rsid w:val="00C42B47"/>
    <w:rsid w:val="00C44BC8"/>
    <w:rsid w:val="00C451C0"/>
    <w:rsid w:val="00C461AA"/>
    <w:rsid w:val="00C46448"/>
    <w:rsid w:val="00C46F44"/>
    <w:rsid w:val="00C51B97"/>
    <w:rsid w:val="00C52701"/>
    <w:rsid w:val="00C52E3C"/>
    <w:rsid w:val="00C565F1"/>
    <w:rsid w:val="00C5792C"/>
    <w:rsid w:val="00C57E8E"/>
    <w:rsid w:val="00C57F5E"/>
    <w:rsid w:val="00C6023E"/>
    <w:rsid w:val="00C62A21"/>
    <w:rsid w:val="00C63F3C"/>
    <w:rsid w:val="00C640E0"/>
    <w:rsid w:val="00C644E7"/>
    <w:rsid w:val="00C64551"/>
    <w:rsid w:val="00C64682"/>
    <w:rsid w:val="00C65238"/>
    <w:rsid w:val="00C65488"/>
    <w:rsid w:val="00C65F54"/>
    <w:rsid w:val="00C6663A"/>
    <w:rsid w:val="00C66D63"/>
    <w:rsid w:val="00C6795F"/>
    <w:rsid w:val="00C70A05"/>
    <w:rsid w:val="00C719C9"/>
    <w:rsid w:val="00C720AE"/>
    <w:rsid w:val="00C730F3"/>
    <w:rsid w:val="00C74B43"/>
    <w:rsid w:val="00C76541"/>
    <w:rsid w:val="00C809C0"/>
    <w:rsid w:val="00C80AC8"/>
    <w:rsid w:val="00C80F0B"/>
    <w:rsid w:val="00C81033"/>
    <w:rsid w:val="00C81107"/>
    <w:rsid w:val="00C8123A"/>
    <w:rsid w:val="00C8212B"/>
    <w:rsid w:val="00C82856"/>
    <w:rsid w:val="00C82931"/>
    <w:rsid w:val="00C83434"/>
    <w:rsid w:val="00C84889"/>
    <w:rsid w:val="00C85526"/>
    <w:rsid w:val="00C86BCF"/>
    <w:rsid w:val="00C86C23"/>
    <w:rsid w:val="00C86DE2"/>
    <w:rsid w:val="00C87C03"/>
    <w:rsid w:val="00C90EF9"/>
    <w:rsid w:val="00C90FE8"/>
    <w:rsid w:val="00C919C7"/>
    <w:rsid w:val="00C93CF5"/>
    <w:rsid w:val="00C94267"/>
    <w:rsid w:val="00C94724"/>
    <w:rsid w:val="00C95856"/>
    <w:rsid w:val="00C96287"/>
    <w:rsid w:val="00CA0F08"/>
    <w:rsid w:val="00CA17B2"/>
    <w:rsid w:val="00CA2704"/>
    <w:rsid w:val="00CA34BE"/>
    <w:rsid w:val="00CA3B40"/>
    <w:rsid w:val="00CA6897"/>
    <w:rsid w:val="00CA72F2"/>
    <w:rsid w:val="00CA731F"/>
    <w:rsid w:val="00CB260A"/>
    <w:rsid w:val="00CB2715"/>
    <w:rsid w:val="00CB40F3"/>
    <w:rsid w:val="00CB4CDA"/>
    <w:rsid w:val="00CB4DB6"/>
    <w:rsid w:val="00CB5C4D"/>
    <w:rsid w:val="00CB5CDD"/>
    <w:rsid w:val="00CB61CD"/>
    <w:rsid w:val="00CB66C4"/>
    <w:rsid w:val="00CB6802"/>
    <w:rsid w:val="00CB7B3A"/>
    <w:rsid w:val="00CC04EE"/>
    <w:rsid w:val="00CC16F0"/>
    <w:rsid w:val="00CC46FF"/>
    <w:rsid w:val="00CC54A1"/>
    <w:rsid w:val="00CC563F"/>
    <w:rsid w:val="00CC588A"/>
    <w:rsid w:val="00CC58D1"/>
    <w:rsid w:val="00CD0A59"/>
    <w:rsid w:val="00CD126B"/>
    <w:rsid w:val="00CD1531"/>
    <w:rsid w:val="00CD15FA"/>
    <w:rsid w:val="00CD1B00"/>
    <w:rsid w:val="00CD1B60"/>
    <w:rsid w:val="00CD2DB5"/>
    <w:rsid w:val="00CD2DCE"/>
    <w:rsid w:val="00CD2E59"/>
    <w:rsid w:val="00CD4568"/>
    <w:rsid w:val="00CD4C66"/>
    <w:rsid w:val="00CD5CB1"/>
    <w:rsid w:val="00CD667B"/>
    <w:rsid w:val="00CD6DFB"/>
    <w:rsid w:val="00CD732A"/>
    <w:rsid w:val="00CD7E7E"/>
    <w:rsid w:val="00CD7E86"/>
    <w:rsid w:val="00CD7E9B"/>
    <w:rsid w:val="00CE017F"/>
    <w:rsid w:val="00CE0470"/>
    <w:rsid w:val="00CE0732"/>
    <w:rsid w:val="00CE0B96"/>
    <w:rsid w:val="00CE1AB5"/>
    <w:rsid w:val="00CE1D11"/>
    <w:rsid w:val="00CE40F1"/>
    <w:rsid w:val="00CE4A44"/>
    <w:rsid w:val="00CE64CE"/>
    <w:rsid w:val="00CE6A35"/>
    <w:rsid w:val="00CF0AE5"/>
    <w:rsid w:val="00CF17C7"/>
    <w:rsid w:val="00CF2E46"/>
    <w:rsid w:val="00CF4581"/>
    <w:rsid w:val="00CF4B16"/>
    <w:rsid w:val="00CF614B"/>
    <w:rsid w:val="00CF6858"/>
    <w:rsid w:val="00CF7214"/>
    <w:rsid w:val="00D01D29"/>
    <w:rsid w:val="00D02B3D"/>
    <w:rsid w:val="00D0309C"/>
    <w:rsid w:val="00D041C6"/>
    <w:rsid w:val="00D048BC"/>
    <w:rsid w:val="00D05BB9"/>
    <w:rsid w:val="00D075D7"/>
    <w:rsid w:val="00D076A1"/>
    <w:rsid w:val="00D104C0"/>
    <w:rsid w:val="00D10624"/>
    <w:rsid w:val="00D10D16"/>
    <w:rsid w:val="00D13251"/>
    <w:rsid w:val="00D1371A"/>
    <w:rsid w:val="00D13C74"/>
    <w:rsid w:val="00D13DE5"/>
    <w:rsid w:val="00D14113"/>
    <w:rsid w:val="00D1736E"/>
    <w:rsid w:val="00D17E3A"/>
    <w:rsid w:val="00D20C69"/>
    <w:rsid w:val="00D20CD0"/>
    <w:rsid w:val="00D20F41"/>
    <w:rsid w:val="00D21207"/>
    <w:rsid w:val="00D21258"/>
    <w:rsid w:val="00D22357"/>
    <w:rsid w:val="00D2359D"/>
    <w:rsid w:val="00D23B33"/>
    <w:rsid w:val="00D23BE2"/>
    <w:rsid w:val="00D23DFF"/>
    <w:rsid w:val="00D24FE2"/>
    <w:rsid w:val="00D256C2"/>
    <w:rsid w:val="00D25A01"/>
    <w:rsid w:val="00D26B4C"/>
    <w:rsid w:val="00D26D0F"/>
    <w:rsid w:val="00D27552"/>
    <w:rsid w:val="00D27856"/>
    <w:rsid w:val="00D30A28"/>
    <w:rsid w:val="00D31872"/>
    <w:rsid w:val="00D32CB6"/>
    <w:rsid w:val="00D33FAE"/>
    <w:rsid w:val="00D3488D"/>
    <w:rsid w:val="00D36A4C"/>
    <w:rsid w:val="00D36E9D"/>
    <w:rsid w:val="00D376FC"/>
    <w:rsid w:val="00D4065C"/>
    <w:rsid w:val="00D40FC8"/>
    <w:rsid w:val="00D41F70"/>
    <w:rsid w:val="00D42477"/>
    <w:rsid w:val="00D42AB4"/>
    <w:rsid w:val="00D42D10"/>
    <w:rsid w:val="00D449E9"/>
    <w:rsid w:val="00D44BAD"/>
    <w:rsid w:val="00D45A19"/>
    <w:rsid w:val="00D45EEC"/>
    <w:rsid w:val="00D46F6B"/>
    <w:rsid w:val="00D501FA"/>
    <w:rsid w:val="00D509D5"/>
    <w:rsid w:val="00D50B2F"/>
    <w:rsid w:val="00D522CB"/>
    <w:rsid w:val="00D52914"/>
    <w:rsid w:val="00D5319F"/>
    <w:rsid w:val="00D53286"/>
    <w:rsid w:val="00D564BD"/>
    <w:rsid w:val="00D57355"/>
    <w:rsid w:val="00D6071F"/>
    <w:rsid w:val="00D612D0"/>
    <w:rsid w:val="00D61D33"/>
    <w:rsid w:val="00D62EE3"/>
    <w:rsid w:val="00D63095"/>
    <w:rsid w:val="00D64224"/>
    <w:rsid w:val="00D6480C"/>
    <w:rsid w:val="00D6516C"/>
    <w:rsid w:val="00D6555C"/>
    <w:rsid w:val="00D66B0D"/>
    <w:rsid w:val="00D671FF"/>
    <w:rsid w:val="00D6736D"/>
    <w:rsid w:val="00D6774C"/>
    <w:rsid w:val="00D7007E"/>
    <w:rsid w:val="00D70C88"/>
    <w:rsid w:val="00D71053"/>
    <w:rsid w:val="00D715D2"/>
    <w:rsid w:val="00D717DA"/>
    <w:rsid w:val="00D720DC"/>
    <w:rsid w:val="00D7253F"/>
    <w:rsid w:val="00D72558"/>
    <w:rsid w:val="00D72A4F"/>
    <w:rsid w:val="00D72E66"/>
    <w:rsid w:val="00D7308F"/>
    <w:rsid w:val="00D73376"/>
    <w:rsid w:val="00D76CA9"/>
    <w:rsid w:val="00D80231"/>
    <w:rsid w:val="00D8086C"/>
    <w:rsid w:val="00D81BA0"/>
    <w:rsid w:val="00D829B7"/>
    <w:rsid w:val="00D830DB"/>
    <w:rsid w:val="00D8373C"/>
    <w:rsid w:val="00D839F6"/>
    <w:rsid w:val="00D843C7"/>
    <w:rsid w:val="00D8441E"/>
    <w:rsid w:val="00D84F73"/>
    <w:rsid w:val="00D85BED"/>
    <w:rsid w:val="00D87964"/>
    <w:rsid w:val="00D87CB9"/>
    <w:rsid w:val="00D87E0B"/>
    <w:rsid w:val="00D905B5"/>
    <w:rsid w:val="00D91A77"/>
    <w:rsid w:val="00D9261A"/>
    <w:rsid w:val="00D92CDA"/>
    <w:rsid w:val="00D937A9"/>
    <w:rsid w:val="00D93F39"/>
    <w:rsid w:val="00D9451B"/>
    <w:rsid w:val="00D96399"/>
    <w:rsid w:val="00D96744"/>
    <w:rsid w:val="00D96D93"/>
    <w:rsid w:val="00D970FF"/>
    <w:rsid w:val="00D974FC"/>
    <w:rsid w:val="00DA06D4"/>
    <w:rsid w:val="00DA11D5"/>
    <w:rsid w:val="00DA2E89"/>
    <w:rsid w:val="00DA3B0F"/>
    <w:rsid w:val="00DA4338"/>
    <w:rsid w:val="00DA4374"/>
    <w:rsid w:val="00DA533F"/>
    <w:rsid w:val="00DA5DD9"/>
    <w:rsid w:val="00DA61C2"/>
    <w:rsid w:val="00DA6360"/>
    <w:rsid w:val="00DA6526"/>
    <w:rsid w:val="00DA7267"/>
    <w:rsid w:val="00DB1400"/>
    <w:rsid w:val="00DB1F53"/>
    <w:rsid w:val="00DB2260"/>
    <w:rsid w:val="00DB274A"/>
    <w:rsid w:val="00DB31E1"/>
    <w:rsid w:val="00DB370B"/>
    <w:rsid w:val="00DB5410"/>
    <w:rsid w:val="00DB559E"/>
    <w:rsid w:val="00DB71E4"/>
    <w:rsid w:val="00DB7593"/>
    <w:rsid w:val="00DB7D86"/>
    <w:rsid w:val="00DC0A6C"/>
    <w:rsid w:val="00DC15DB"/>
    <w:rsid w:val="00DC19DC"/>
    <w:rsid w:val="00DC1A52"/>
    <w:rsid w:val="00DC2CD1"/>
    <w:rsid w:val="00DC3F06"/>
    <w:rsid w:val="00DC4CDA"/>
    <w:rsid w:val="00DC5B85"/>
    <w:rsid w:val="00DC5D97"/>
    <w:rsid w:val="00DC5E74"/>
    <w:rsid w:val="00DC5F06"/>
    <w:rsid w:val="00DC6DEB"/>
    <w:rsid w:val="00DC78EC"/>
    <w:rsid w:val="00DD0855"/>
    <w:rsid w:val="00DD0EA0"/>
    <w:rsid w:val="00DD19B0"/>
    <w:rsid w:val="00DD222D"/>
    <w:rsid w:val="00DD2D9F"/>
    <w:rsid w:val="00DD3EA5"/>
    <w:rsid w:val="00DD4167"/>
    <w:rsid w:val="00DD4640"/>
    <w:rsid w:val="00DD4A5A"/>
    <w:rsid w:val="00DD4CFC"/>
    <w:rsid w:val="00DD562A"/>
    <w:rsid w:val="00DD5ACD"/>
    <w:rsid w:val="00DD65B1"/>
    <w:rsid w:val="00DD665A"/>
    <w:rsid w:val="00DD75BC"/>
    <w:rsid w:val="00DD75DB"/>
    <w:rsid w:val="00DD7CA8"/>
    <w:rsid w:val="00DE01A9"/>
    <w:rsid w:val="00DE135D"/>
    <w:rsid w:val="00DE1A1D"/>
    <w:rsid w:val="00DE27C2"/>
    <w:rsid w:val="00DE3214"/>
    <w:rsid w:val="00DE36C0"/>
    <w:rsid w:val="00DE3FAD"/>
    <w:rsid w:val="00DE48FC"/>
    <w:rsid w:val="00DE4DB0"/>
    <w:rsid w:val="00DE5498"/>
    <w:rsid w:val="00DE5502"/>
    <w:rsid w:val="00DE595A"/>
    <w:rsid w:val="00DE603F"/>
    <w:rsid w:val="00DE61CD"/>
    <w:rsid w:val="00DE6820"/>
    <w:rsid w:val="00DE6AE7"/>
    <w:rsid w:val="00DF03C1"/>
    <w:rsid w:val="00DF14AD"/>
    <w:rsid w:val="00DF1CC5"/>
    <w:rsid w:val="00DF2A5C"/>
    <w:rsid w:val="00DF2ED6"/>
    <w:rsid w:val="00DF41B4"/>
    <w:rsid w:val="00DF42A5"/>
    <w:rsid w:val="00DF4399"/>
    <w:rsid w:val="00DF4902"/>
    <w:rsid w:val="00DF6766"/>
    <w:rsid w:val="00DF67D4"/>
    <w:rsid w:val="00DF7892"/>
    <w:rsid w:val="00DF7C69"/>
    <w:rsid w:val="00E00170"/>
    <w:rsid w:val="00E01022"/>
    <w:rsid w:val="00E03985"/>
    <w:rsid w:val="00E04615"/>
    <w:rsid w:val="00E048F3"/>
    <w:rsid w:val="00E05D64"/>
    <w:rsid w:val="00E060EE"/>
    <w:rsid w:val="00E06653"/>
    <w:rsid w:val="00E07002"/>
    <w:rsid w:val="00E0757A"/>
    <w:rsid w:val="00E076B5"/>
    <w:rsid w:val="00E102B1"/>
    <w:rsid w:val="00E10856"/>
    <w:rsid w:val="00E1095A"/>
    <w:rsid w:val="00E11284"/>
    <w:rsid w:val="00E12321"/>
    <w:rsid w:val="00E13E83"/>
    <w:rsid w:val="00E165CF"/>
    <w:rsid w:val="00E209D0"/>
    <w:rsid w:val="00E20F8F"/>
    <w:rsid w:val="00E21405"/>
    <w:rsid w:val="00E226B8"/>
    <w:rsid w:val="00E2366E"/>
    <w:rsid w:val="00E23B9F"/>
    <w:rsid w:val="00E23D64"/>
    <w:rsid w:val="00E24443"/>
    <w:rsid w:val="00E24FD3"/>
    <w:rsid w:val="00E2666D"/>
    <w:rsid w:val="00E2729F"/>
    <w:rsid w:val="00E278D7"/>
    <w:rsid w:val="00E3017A"/>
    <w:rsid w:val="00E307DB"/>
    <w:rsid w:val="00E312E9"/>
    <w:rsid w:val="00E324DA"/>
    <w:rsid w:val="00E33BC3"/>
    <w:rsid w:val="00E33F19"/>
    <w:rsid w:val="00E349E2"/>
    <w:rsid w:val="00E34A3A"/>
    <w:rsid w:val="00E35850"/>
    <w:rsid w:val="00E35C69"/>
    <w:rsid w:val="00E37507"/>
    <w:rsid w:val="00E41018"/>
    <w:rsid w:val="00E410BA"/>
    <w:rsid w:val="00E41A7B"/>
    <w:rsid w:val="00E42CB3"/>
    <w:rsid w:val="00E43FF4"/>
    <w:rsid w:val="00E44769"/>
    <w:rsid w:val="00E451F4"/>
    <w:rsid w:val="00E454C3"/>
    <w:rsid w:val="00E47131"/>
    <w:rsid w:val="00E47272"/>
    <w:rsid w:val="00E477FD"/>
    <w:rsid w:val="00E47933"/>
    <w:rsid w:val="00E47A76"/>
    <w:rsid w:val="00E50015"/>
    <w:rsid w:val="00E500E6"/>
    <w:rsid w:val="00E53563"/>
    <w:rsid w:val="00E54E65"/>
    <w:rsid w:val="00E5514B"/>
    <w:rsid w:val="00E551D0"/>
    <w:rsid w:val="00E555B0"/>
    <w:rsid w:val="00E60C7F"/>
    <w:rsid w:val="00E62E6A"/>
    <w:rsid w:val="00E631FC"/>
    <w:rsid w:val="00E64ACB"/>
    <w:rsid w:val="00E6598B"/>
    <w:rsid w:val="00E6629B"/>
    <w:rsid w:val="00E662C6"/>
    <w:rsid w:val="00E662F1"/>
    <w:rsid w:val="00E66459"/>
    <w:rsid w:val="00E669C8"/>
    <w:rsid w:val="00E66B43"/>
    <w:rsid w:val="00E66EE6"/>
    <w:rsid w:val="00E66EFF"/>
    <w:rsid w:val="00E701C0"/>
    <w:rsid w:val="00E701CE"/>
    <w:rsid w:val="00E71D5C"/>
    <w:rsid w:val="00E724C4"/>
    <w:rsid w:val="00E72D75"/>
    <w:rsid w:val="00E73369"/>
    <w:rsid w:val="00E7356B"/>
    <w:rsid w:val="00E73B2A"/>
    <w:rsid w:val="00E7441A"/>
    <w:rsid w:val="00E750E4"/>
    <w:rsid w:val="00E757BA"/>
    <w:rsid w:val="00E7654B"/>
    <w:rsid w:val="00E766BD"/>
    <w:rsid w:val="00E76C28"/>
    <w:rsid w:val="00E80610"/>
    <w:rsid w:val="00E80752"/>
    <w:rsid w:val="00E809C8"/>
    <w:rsid w:val="00E80C29"/>
    <w:rsid w:val="00E828F2"/>
    <w:rsid w:val="00E834A1"/>
    <w:rsid w:val="00E834B7"/>
    <w:rsid w:val="00E839F8"/>
    <w:rsid w:val="00E83E95"/>
    <w:rsid w:val="00E84C74"/>
    <w:rsid w:val="00E852F5"/>
    <w:rsid w:val="00E85CD9"/>
    <w:rsid w:val="00E87704"/>
    <w:rsid w:val="00E87BBB"/>
    <w:rsid w:val="00E91675"/>
    <w:rsid w:val="00E92B33"/>
    <w:rsid w:val="00E9503D"/>
    <w:rsid w:val="00E953C0"/>
    <w:rsid w:val="00E95848"/>
    <w:rsid w:val="00E95EDA"/>
    <w:rsid w:val="00E966C3"/>
    <w:rsid w:val="00E97879"/>
    <w:rsid w:val="00EA003B"/>
    <w:rsid w:val="00EA175A"/>
    <w:rsid w:val="00EA2273"/>
    <w:rsid w:val="00EA2DE4"/>
    <w:rsid w:val="00EA3D2B"/>
    <w:rsid w:val="00EA3D71"/>
    <w:rsid w:val="00EA4431"/>
    <w:rsid w:val="00EA498F"/>
    <w:rsid w:val="00EA5EC4"/>
    <w:rsid w:val="00EA6088"/>
    <w:rsid w:val="00EA60FB"/>
    <w:rsid w:val="00EA625E"/>
    <w:rsid w:val="00EA68D7"/>
    <w:rsid w:val="00EA7517"/>
    <w:rsid w:val="00EA75A5"/>
    <w:rsid w:val="00EA76E0"/>
    <w:rsid w:val="00EA76F9"/>
    <w:rsid w:val="00EA7F6F"/>
    <w:rsid w:val="00EB0B3E"/>
    <w:rsid w:val="00EB1444"/>
    <w:rsid w:val="00EB14B7"/>
    <w:rsid w:val="00EB1690"/>
    <w:rsid w:val="00EB1DD8"/>
    <w:rsid w:val="00EB2148"/>
    <w:rsid w:val="00EB27DD"/>
    <w:rsid w:val="00EB2842"/>
    <w:rsid w:val="00EB3181"/>
    <w:rsid w:val="00EB3793"/>
    <w:rsid w:val="00EB3EDA"/>
    <w:rsid w:val="00EB410B"/>
    <w:rsid w:val="00EB4F08"/>
    <w:rsid w:val="00EB6C41"/>
    <w:rsid w:val="00EC0A86"/>
    <w:rsid w:val="00EC0B7E"/>
    <w:rsid w:val="00EC17C7"/>
    <w:rsid w:val="00EC1A0D"/>
    <w:rsid w:val="00EC2D0D"/>
    <w:rsid w:val="00EC313C"/>
    <w:rsid w:val="00EC3D2F"/>
    <w:rsid w:val="00EC5E1F"/>
    <w:rsid w:val="00EC6E23"/>
    <w:rsid w:val="00EC7B4D"/>
    <w:rsid w:val="00EC7BDD"/>
    <w:rsid w:val="00ED0C38"/>
    <w:rsid w:val="00ED2272"/>
    <w:rsid w:val="00ED239F"/>
    <w:rsid w:val="00ED3ABB"/>
    <w:rsid w:val="00ED5856"/>
    <w:rsid w:val="00ED59ED"/>
    <w:rsid w:val="00EE0D42"/>
    <w:rsid w:val="00EE1041"/>
    <w:rsid w:val="00EE19AD"/>
    <w:rsid w:val="00EE20BD"/>
    <w:rsid w:val="00EE4CA3"/>
    <w:rsid w:val="00EE557E"/>
    <w:rsid w:val="00EE5943"/>
    <w:rsid w:val="00EE605E"/>
    <w:rsid w:val="00EE7C1B"/>
    <w:rsid w:val="00EF00AC"/>
    <w:rsid w:val="00EF1CD6"/>
    <w:rsid w:val="00EF3DBA"/>
    <w:rsid w:val="00EF51A3"/>
    <w:rsid w:val="00EF7AC1"/>
    <w:rsid w:val="00F00036"/>
    <w:rsid w:val="00F00BBE"/>
    <w:rsid w:val="00F03360"/>
    <w:rsid w:val="00F03A4F"/>
    <w:rsid w:val="00F03CD5"/>
    <w:rsid w:val="00F048F9"/>
    <w:rsid w:val="00F04D58"/>
    <w:rsid w:val="00F054FB"/>
    <w:rsid w:val="00F057AB"/>
    <w:rsid w:val="00F06002"/>
    <w:rsid w:val="00F06961"/>
    <w:rsid w:val="00F07750"/>
    <w:rsid w:val="00F077C7"/>
    <w:rsid w:val="00F10896"/>
    <w:rsid w:val="00F124B7"/>
    <w:rsid w:val="00F12737"/>
    <w:rsid w:val="00F12C01"/>
    <w:rsid w:val="00F145F0"/>
    <w:rsid w:val="00F16468"/>
    <w:rsid w:val="00F1672E"/>
    <w:rsid w:val="00F17525"/>
    <w:rsid w:val="00F204AC"/>
    <w:rsid w:val="00F20CE5"/>
    <w:rsid w:val="00F21E12"/>
    <w:rsid w:val="00F26433"/>
    <w:rsid w:val="00F264D2"/>
    <w:rsid w:val="00F2714C"/>
    <w:rsid w:val="00F27A26"/>
    <w:rsid w:val="00F301E7"/>
    <w:rsid w:val="00F30245"/>
    <w:rsid w:val="00F303D0"/>
    <w:rsid w:val="00F30DA7"/>
    <w:rsid w:val="00F3178A"/>
    <w:rsid w:val="00F31ACB"/>
    <w:rsid w:val="00F31C42"/>
    <w:rsid w:val="00F325EA"/>
    <w:rsid w:val="00F332FB"/>
    <w:rsid w:val="00F34153"/>
    <w:rsid w:val="00F34A34"/>
    <w:rsid w:val="00F34A47"/>
    <w:rsid w:val="00F34B57"/>
    <w:rsid w:val="00F351F0"/>
    <w:rsid w:val="00F35483"/>
    <w:rsid w:val="00F358D2"/>
    <w:rsid w:val="00F35B9F"/>
    <w:rsid w:val="00F35CA3"/>
    <w:rsid w:val="00F36A3A"/>
    <w:rsid w:val="00F372DE"/>
    <w:rsid w:val="00F41854"/>
    <w:rsid w:val="00F43901"/>
    <w:rsid w:val="00F43C07"/>
    <w:rsid w:val="00F443D1"/>
    <w:rsid w:val="00F4493A"/>
    <w:rsid w:val="00F44DE8"/>
    <w:rsid w:val="00F44F94"/>
    <w:rsid w:val="00F451F2"/>
    <w:rsid w:val="00F458B2"/>
    <w:rsid w:val="00F458E0"/>
    <w:rsid w:val="00F468E5"/>
    <w:rsid w:val="00F46D6D"/>
    <w:rsid w:val="00F47136"/>
    <w:rsid w:val="00F50788"/>
    <w:rsid w:val="00F51949"/>
    <w:rsid w:val="00F525A0"/>
    <w:rsid w:val="00F546D6"/>
    <w:rsid w:val="00F552D3"/>
    <w:rsid w:val="00F55899"/>
    <w:rsid w:val="00F5706E"/>
    <w:rsid w:val="00F578FD"/>
    <w:rsid w:val="00F57AE4"/>
    <w:rsid w:val="00F57BB2"/>
    <w:rsid w:val="00F57D11"/>
    <w:rsid w:val="00F607B6"/>
    <w:rsid w:val="00F61DC3"/>
    <w:rsid w:val="00F62FC0"/>
    <w:rsid w:val="00F63539"/>
    <w:rsid w:val="00F64624"/>
    <w:rsid w:val="00F64735"/>
    <w:rsid w:val="00F65473"/>
    <w:rsid w:val="00F66C8A"/>
    <w:rsid w:val="00F6724D"/>
    <w:rsid w:val="00F700A0"/>
    <w:rsid w:val="00F70E00"/>
    <w:rsid w:val="00F720E7"/>
    <w:rsid w:val="00F725DF"/>
    <w:rsid w:val="00F72ED5"/>
    <w:rsid w:val="00F73384"/>
    <w:rsid w:val="00F73532"/>
    <w:rsid w:val="00F738E9"/>
    <w:rsid w:val="00F73C90"/>
    <w:rsid w:val="00F740B9"/>
    <w:rsid w:val="00F746D1"/>
    <w:rsid w:val="00F75268"/>
    <w:rsid w:val="00F75815"/>
    <w:rsid w:val="00F75E07"/>
    <w:rsid w:val="00F76ECF"/>
    <w:rsid w:val="00F77DF9"/>
    <w:rsid w:val="00F80525"/>
    <w:rsid w:val="00F822EB"/>
    <w:rsid w:val="00F82DFB"/>
    <w:rsid w:val="00F84173"/>
    <w:rsid w:val="00F8492A"/>
    <w:rsid w:val="00F85135"/>
    <w:rsid w:val="00F861C3"/>
    <w:rsid w:val="00F86C85"/>
    <w:rsid w:val="00F870CD"/>
    <w:rsid w:val="00F90652"/>
    <w:rsid w:val="00F90B94"/>
    <w:rsid w:val="00F910C9"/>
    <w:rsid w:val="00F92B84"/>
    <w:rsid w:val="00F93033"/>
    <w:rsid w:val="00F93304"/>
    <w:rsid w:val="00F93625"/>
    <w:rsid w:val="00F9363A"/>
    <w:rsid w:val="00F93792"/>
    <w:rsid w:val="00F93936"/>
    <w:rsid w:val="00F951F1"/>
    <w:rsid w:val="00F96471"/>
    <w:rsid w:val="00F96B3E"/>
    <w:rsid w:val="00F973A7"/>
    <w:rsid w:val="00F97953"/>
    <w:rsid w:val="00F97977"/>
    <w:rsid w:val="00FA00AA"/>
    <w:rsid w:val="00FA06E5"/>
    <w:rsid w:val="00FA0801"/>
    <w:rsid w:val="00FA15E2"/>
    <w:rsid w:val="00FA17A1"/>
    <w:rsid w:val="00FA2D32"/>
    <w:rsid w:val="00FA2FB4"/>
    <w:rsid w:val="00FA3A43"/>
    <w:rsid w:val="00FA456F"/>
    <w:rsid w:val="00FA4D4F"/>
    <w:rsid w:val="00FA5FCD"/>
    <w:rsid w:val="00FA61BF"/>
    <w:rsid w:val="00FA7C12"/>
    <w:rsid w:val="00FB01DC"/>
    <w:rsid w:val="00FB0441"/>
    <w:rsid w:val="00FB07EA"/>
    <w:rsid w:val="00FB10EF"/>
    <w:rsid w:val="00FB267E"/>
    <w:rsid w:val="00FB2CD2"/>
    <w:rsid w:val="00FB2D73"/>
    <w:rsid w:val="00FB302D"/>
    <w:rsid w:val="00FB3EB9"/>
    <w:rsid w:val="00FB4ECE"/>
    <w:rsid w:val="00FB53BE"/>
    <w:rsid w:val="00FB637B"/>
    <w:rsid w:val="00FB7DBA"/>
    <w:rsid w:val="00FC054D"/>
    <w:rsid w:val="00FC066D"/>
    <w:rsid w:val="00FC1404"/>
    <w:rsid w:val="00FC1A66"/>
    <w:rsid w:val="00FC1A78"/>
    <w:rsid w:val="00FC23DD"/>
    <w:rsid w:val="00FC25D8"/>
    <w:rsid w:val="00FC2EA3"/>
    <w:rsid w:val="00FC3D7A"/>
    <w:rsid w:val="00FC5A6A"/>
    <w:rsid w:val="00FC5E78"/>
    <w:rsid w:val="00FC7CE7"/>
    <w:rsid w:val="00FD207B"/>
    <w:rsid w:val="00FD3DFC"/>
    <w:rsid w:val="00FD3EF5"/>
    <w:rsid w:val="00FD543A"/>
    <w:rsid w:val="00FD5577"/>
    <w:rsid w:val="00FD5C11"/>
    <w:rsid w:val="00FD6454"/>
    <w:rsid w:val="00FD662A"/>
    <w:rsid w:val="00FD6918"/>
    <w:rsid w:val="00FE0054"/>
    <w:rsid w:val="00FE0BCC"/>
    <w:rsid w:val="00FE185B"/>
    <w:rsid w:val="00FE205F"/>
    <w:rsid w:val="00FE2833"/>
    <w:rsid w:val="00FE370D"/>
    <w:rsid w:val="00FE3A16"/>
    <w:rsid w:val="00FE3A41"/>
    <w:rsid w:val="00FE415F"/>
    <w:rsid w:val="00FE6372"/>
    <w:rsid w:val="00FE6B8C"/>
    <w:rsid w:val="00FE7BB3"/>
    <w:rsid w:val="00FF0F98"/>
    <w:rsid w:val="00FF168F"/>
    <w:rsid w:val="00FF1C99"/>
    <w:rsid w:val="00FF4714"/>
    <w:rsid w:val="00FF4EB8"/>
    <w:rsid w:val="00FF5045"/>
    <w:rsid w:val="00FF55BA"/>
    <w:rsid w:val="00FF6090"/>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8FE09"/>
  <w15:docId w15:val="{377CA5B1-54F1-4DAC-AF6C-2AD3539A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91B"/>
  </w:style>
  <w:style w:type="paragraph" w:styleId="Heading1">
    <w:name w:val="heading 1"/>
    <w:basedOn w:val="Normal"/>
    <w:next w:val="Normal"/>
    <w:link w:val="Heading1Char"/>
    <w:uiPriority w:val="9"/>
    <w:qFormat/>
    <w:rsid w:val="000238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38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3890"/>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unhideWhenUsed/>
    <w:qFormat/>
    <w:rsid w:val="0002389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890"/>
    <w:pPr>
      <w:ind w:left="720"/>
      <w:contextualSpacing/>
    </w:pPr>
  </w:style>
  <w:style w:type="character" w:customStyle="1" w:styleId="Heading3Char">
    <w:name w:val="Heading 3 Char"/>
    <w:basedOn w:val="DefaultParagraphFont"/>
    <w:link w:val="Heading3"/>
    <w:uiPriority w:val="9"/>
    <w:rsid w:val="00023890"/>
    <w:rPr>
      <w:rFonts w:asciiTheme="majorHAnsi" w:eastAsiaTheme="majorEastAsia" w:hAnsiTheme="majorHAnsi" w:cstheme="majorBidi"/>
      <w:color w:val="1F4D78" w:themeColor="accent1" w:themeShade="7F"/>
      <w:sz w:val="24"/>
      <w:szCs w:val="24"/>
      <w:lang w:val="en-US"/>
    </w:rPr>
  </w:style>
  <w:style w:type="paragraph" w:styleId="Caption">
    <w:name w:val="caption"/>
    <w:basedOn w:val="Normal"/>
    <w:next w:val="Normal"/>
    <w:uiPriority w:val="35"/>
    <w:unhideWhenUsed/>
    <w:qFormat/>
    <w:rsid w:val="00023890"/>
    <w:pPr>
      <w:spacing w:after="200" w:line="240" w:lineRule="auto"/>
    </w:pPr>
    <w:rPr>
      <w:i/>
      <w:iCs/>
      <w:color w:val="44546A" w:themeColor="text2"/>
      <w:sz w:val="18"/>
      <w:szCs w:val="18"/>
      <w:lang w:val="en-US"/>
    </w:rPr>
  </w:style>
  <w:style w:type="character" w:customStyle="1" w:styleId="Heading1Char">
    <w:name w:val="Heading 1 Char"/>
    <w:basedOn w:val="DefaultParagraphFont"/>
    <w:link w:val="Heading1"/>
    <w:uiPriority w:val="9"/>
    <w:rsid w:val="0002389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2389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023890"/>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023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38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890"/>
    <w:rPr>
      <w:rFonts w:ascii="Segoe UI" w:hAnsi="Segoe UI" w:cs="Segoe UI"/>
      <w:sz w:val="18"/>
      <w:szCs w:val="18"/>
    </w:rPr>
  </w:style>
  <w:style w:type="character" w:styleId="Hyperlink">
    <w:name w:val="Hyperlink"/>
    <w:basedOn w:val="DefaultParagraphFont"/>
    <w:uiPriority w:val="99"/>
    <w:unhideWhenUsed/>
    <w:rsid w:val="00023890"/>
    <w:rPr>
      <w:color w:val="0563C1" w:themeColor="hyperlink"/>
      <w:u w:val="single"/>
    </w:rPr>
  </w:style>
  <w:style w:type="character" w:styleId="CommentReference">
    <w:name w:val="annotation reference"/>
    <w:basedOn w:val="DefaultParagraphFont"/>
    <w:uiPriority w:val="99"/>
    <w:semiHidden/>
    <w:unhideWhenUsed/>
    <w:rsid w:val="00023890"/>
    <w:rPr>
      <w:sz w:val="16"/>
      <w:szCs w:val="16"/>
    </w:rPr>
  </w:style>
  <w:style w:type="paragraph" w:styleId="CommentText">
    <w:name w:val="annotation text"/>
    <w:basedOn w:val="Normal"/>
    <w:link w:val="CommentTextChar"/>
    <w:uiPriority w:val="99"/>
    <w:semiHidden/>
    <w:unhideWhenUsed/>
    <w:rsid w:val="00023890"/>
    <w:pPr>
      <w:spacing w:line="240" w:lineRule="auto"/>
    </w:pPr>
    <w:rPr>
      <w:sz w:val="20"/>
      <w:szCs w:val="20"/>
    </w:rPr>
  </w:style>
  <w:style w:type="character" w:customStyle="1" w:styleId="CommentTextChar">
    <w:name w:val="Comment Text Char"/>
    <w:basedOn w:val="DefaultParagraphFont"/>
    <w:link w:val="CommentText"/>
    <w:uiPriority w:val="99"/>
    <w:semiHidden/>
    <w:rsid w:val="00023890"/>
    <w:rPr>
      <w:sz w:val="20"/>
      <w:szCs w:val="20"/>
    </w:rPr>
  </w:style>
  <w:style w:type="paragraph" w:styleId="CommentSubject">
    <w:name w:val="annotation subject"/>
    <w:basedOn w:val="CommentText"/>
    <w:next w:val="CommentText"/>
    <w:link w:val="CommentSubjectChar"/>
    <w:uiPriority w:val="99"/>
    <w:semiHidden/>
    <w:unhideWhenUsed/>
    <w:rsid w:val="00023890"/>
    <w:rPr>
      <w:b/>
      <w:bCs/>
    </w:rPr>
  </w:style>
  <w:style w:type="character" w:customStyle="1" w:styleId="CommentSubjectChar">
    <w:name w:val="Comment Subject Char"/>
    <w:basedOn w:val="CommentTextChar"/>
    <w:link w:val="CommentSubject"/>
    <w:uiPriority w:val="99"/>
    <w:semiHidden/>
    <w:rsid w:val="00023890"/>
    <w:rPr>
      <w:b/>
      <w:bCs/>
      <w:sz w:val="20"/>
      <w:szCs w:val="20"/>
    </w:rPr>
  </w:style>
  <w:style w:type="paragraph" w:styleId="Header">
    <w:name w:val="header"/>
    <w:basedOn w:val="Normal"/>
    <w:link w:val="HeaderChar"/>
    <w:uiPriority w:val="99"/>
    <w:unhideWhenUsed/>
    <w:rsid w:val="00023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890"/>
  </w:style>
  <w:style w:type="paragraph" w:styleId="Footer">
    <w:name w:val="footer"/>
    <w:basedOn w:val="Normal"/>
    <w:link w:val="FooterChar"/>
    <w:uiPriority w:val="99"/>
    <w:unhideWhenUsed/>
    <w:rsid w:val="00023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890"/>
  </w:style>
  <w:style w:type="character" w:customStyle="1" w:styleId="tgc">
    <w:name w:val="_tgc"/>
    <w:basedOn w:val="DefaultParagraphFont"/>
    <w:rsid w:val="00023890"/>
  </w:style>
  <w:style w:type="paragraph" w:styleId="TOCHeading">
    <w:name w:val="TOC Heading"/>
    <w:basedOn w:val="Heading1"/>
    <w:next w:val="Normal"/>
    <w:uiPriority w:val="39"/>
    <w:unhideWhenUsed/>
    <w:qFormat/>
    <w:rsid w:val="00023890"/>
    <w:pPr>
      <w:outlineLvl w:val="9"/>
    </w:pPr>
    <w:rPr>
      <w:lang w:val="en-US"/>
    </w:rPr>
  </w:style>
  <w:style w:type="paragraph" w:styleId="TOC1">
    <w:name w:val="toc 1"/>
    <w:basedOn w:val="Normal"/>
    <w:next w:val="Normal"/>
    <w:autoRedefine/>
    <w:uiPriority w:val="39"/>
    <w:unhideWhenUsed/>
    <w:rsid w:val="00023890"/>
    <w:pPr>
      <w:spacing w:after="100"/>
    </w:pPr>
  </w:style>
  <w:style w:type="paragraph" w:styleId="TOC3">
    <w:name w:val="toc 3"/>
    <w:basedOn w:val="Normal"/>
    <w:next w:val="Normal"/>
    <w:autoRedefine/>
    <w:uiPriority w:val="39"/>
    <w:unhideWhenUsed/>
    <w:rsid w:val="00023890"/>
    <w:pPr>
      <w:spacing w:after="100"/>
      <w:ind w:left="440"/>
    </w:pPr>
  </w:style>
  <w:style w:type="paragraph" w:styleId="TOC2">
    <w:name w:val="toc 2"/>
    <w:basedOn w:val="Normal"/>
    <w:next w:val="Normal"/>
    <w:autoRedefine/>
    <w:uiPriority w:val="39"/>
    <w:unhideWhenUsed/>
    <w:rsid w:val="00023890"/>
    <w:pPr>
      <w:spacing w:after="100"/>
      <w:ind w:left="220"/>
    </w:pPr>
  </w:style>
  <w:style w:type="paragraph" w:styleId="NormalWeb">
    <w:name w:val="Normal (Web)"/>
    <w:basedOn w:val="Normal"/>
    <w:uiPriority w:val="99"/>
    <w:unhideWhenUsed/>
    <w:rsid w:val="00726213"/>
    <w:pPr>
      <w:spacing w:after="150" w:line="240" w:lineRule="auto"/>
    </w:pPr>
    <w:rPr>
      <w:rFonts w:ascii="Times New Roman" w:eastAsia="Times New Roman" w:hAnsi="Times New Roman" w:cs="Times New Roman"/>
      <w:sz w:val="24"/>
      <w:szCs w:val="24"/>
      <w:lang w:eastAsia="en-GB"/>
    </w:rPr>
  </w:style>
  <w:style w:type="character" w:customStyle="1" w:styleId="exlresultdetails">
    <w:name w:val="exlresultdetails"/>
    <w:basedOn w:val="DefaultParagraphFont"/>
    <w:rsid w:val="00726213"/>
  </w:style>
  <w:style w:type="character" w:styleId="HTMLCite">
    <w:name w:val="HTML Cite"/>
    <w:basedOn w:val="DefaultParagraphFont"/>
    <w:uiPriority w:val="99"/>
    <w:semiHidden/>
    <w:unhideWhenUsed/>
    <w:rsid w:val="00726213"/>
    <w:rPr>
      <w:i/>
      <w:iCs/>
    </w:rPr>
  </w:style>
  <w:style w:type="character" w:styleId="Emphasis">
    <w:name w:val="Emphasis"/>
    <w:basedOn w:val="DefaultParagraphFont"/>
    <w:uiPriority w:val="20"/>
    <w:qFormat/>
    <w:rsid w:val="00726213"/>
    <w:rPr>
      <w:i/>
      <w:iCs/>
    </w:rPr>
  </w:style>
  <w:style w:type="character" w:styleId="Strong">
    <w:name w:val="Strong"/>
    <w:basedOn w:val="DefaultParagraphFont"/>
    <w:uiPriority w:val="22"/>
    <w:qFormat/>
    <w:rsid w:val="00726213"/>
    <w:rPr>
      <w:b/>
      <w:bCs/>
    </w:rPr>
  </w:style>
  <w:style w:type="character" w:customStyle="1" w:styleId="nlmstring-name">
    <w:name w:val="nlm_string-name"/>
    <w:basedOn w:val="DefaultParagraphFont"/>
    <w:rsid w:val="00726213"/>
  </w:style>
  <w:style w:type="character" w:styleId="PlaceholderText">
    <w:name w:val="Placeholder Text"/>
    <w:basedOn w:val="DefaultParagraphFont"/>
    <w:uiPriority w:val="99"/>
    <w:semiHidden/>
    <w:rsid w:val="00726213"/>
    <w:rPr>
      <w:color w:val="808080"/>
    </w:rPr>
  </w:style>
  <w:style w:type="character" w:customStyle="1" w:styleId="st1">
    <w:name w:val="st1"/>
    <w:basedOn w:val="DefaultParagraphFont"/>
    <w:rsid w:val="00726213"/>
  </w:style>
  <w:style w:type="paragraph" w:customStyle="1" w:styleId="Default">
    <w:name w:val="Default"/>
    <w:rsid w:val="00726213"/>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EF7AC1"/>
    <w:rPr>
      <w:color w:val="954F72" w:themeColor="followedHyperlink"/>
      <w:u w:val="single"/>
    </w:rPr>
  </w:style>
  <w:style w:type="paragraph" w:customStyle="1" w:styleId="EndNoteBibliographyTitle">
    <w:name w:val="EndNote Bibliography Title"/>
    <w:basedOn w:val="Normal"/>
    <w:link w:val="EndNoteBibliographyTitleChar"/>
    <w:rsid w:val="006A55FC"/>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6A55FC"/>
    <w:rPr>
      <w:rFonts w:ascii="Calibri" w:hAnsi="Calibri"/>
      <w:noProof/>
      <w:lang w:val="en-US"/>
    </w:rPr>
  </w:style>
  <w:style w:type="paragraph" w:customStyle="1" w:styleId="EndNoteBibliography">
    <w:name w:val="EndNote Bibliography"/>
    <w:basedOn w:val="Normal"/>
    <w:link w:val="EndNoteBibliographyChar"/>
    <w:rsid w:val="006A55FC"/>
    <w:pPr>
      <w:spacing w:line="240" w:lineRule="auto"/>
    </w:pPr>
    <w:rPr>
      <w:rFonts w:ascii="Calibri" w:hAnsi="Calibri"/>
      <w:noProof/>
      <w:lang w:val="en-US"/>
    </w:rPr>
  </w:style>
  <w:style w:type="character" w:customStyle="1" w:styleId="EndNoteBibliographyChar">
    <w:name w:val="EndNote Bibliography Char"/>
    <w:basedOn w:val="DefaultParagraphFont"/>
    <w:link w:val="EndNoteBibliography"/>
    <w:rsid w:val="006A55FC"/>
    <w:rPr>
      <w:rFonts w:ascii="Calibri" w:hAnsi="Calibri"/>
      <w:noProof/>
      <w:lang w:val="en-US"/>
    </w:rPr>
  </w:style>
  <w:style w:type="paragraph" w:styleId="Revision">
    <w:name w:val="Revision"/>
    <w:hidden/>
    <w:uiPriority w:val="99"/>
    <w:semiHidden/>
    <w:rsid w:val="002F1CCD"/>
    <w:pPr>
      <w:spacing w:after="0" w:line="240" w:lineRule="auto"/>
    </w:pPr>
  </w:style>
  <w:style w:type="character" w:customStyle="1" w:styleId="hlfld-contribauthor">
    <w:name w:val="hlfld-contribauthor"/>
    <w:basedOn w:val="DefaultParagraphFont"/>
    <w:rsid w:val="00C31F2E"/>
  </w:style>
  <w:style w:type="character" w:customStyle="1" w:styleId="apple-converted-space">
    <w:name w:val="apple-converted-space"/>
    <w:basedOn w:val="DefaultParagraphFont"/>
    <w:rsid w:val="00C31F2E"/>
  </w:style>
  <w:style w:type="character" w:customStyle="1" w:styleId="nlmgiven-names">
    <w:name w:val="nlm_given-names"/>
    <w:basedOn w:val="DefaultParagraphFont"/>
    <w:rsid w:val="00C31F2E"/>
  </w:style>
  <w:style w:type="character" w:customStyle="1" w:styleId="nlmyear">
    <w:name w:val="nlm_year"/>
    <w:basedOn w:val="DefaultParagraphFont"/>
    <w:rsid w:val="00C31F2E"/>
  </w:style>
  <w:style w:type="character" w:customStyle="1" w:styleId="nlmarticle-title">
    <w:name w:val="nlm_article-title"/>
    <w:basedOn w:val="DefaultParagraphFont"/>
    <w:rsid w:val="00C31F2E"/>
  </w:style>
  <w:style w:type="character" w:customStyle="1" w:styleId="nlmfpage">
    <w:name w:val="nlm_fpage"/>
    <w:basedOn w:val="DefaultParagraphFont"/>
    <w:rsid w:val="00C31F2E"/>
  </w:style>
  <w:style w:type="character" w:customStyle="1" w:styleId="nlmlpage">
    <w:name w:val="nlm_lpage"/>
    <w:basedOn w:val="DefaultParagraphFont"/>
    <w:rsid w:val="00C31F2E"/>
  </w:style>
  <w:style w:type="character" w:styleId="LineNumber">
    <w:name w:val="line number"/>
    <w:basedOn w:val="DefaultParagraphFont"/>
    <w:uiPriority w:val="99"/>
    <w:semiHidden/>
    <w:unhideWhenUsed/>
    <w:rsid w:val="006D4F1F"/>
  </w:style>
  <w:style w:type="character" w:customStyle="1" w:styleId="UnresolvedMention1">
    <w:name w:val="Unresolved Mention1"/>
    <w:basedOn w:val="DefaultParagraphFont"/>
    <w:uiPriority w:val="99"/>
    <w:semiHidden/>
    <w:unhideWhenUsed/>
    <w:rsid w:val="00756496"/>
    <w:rPr>
      <w:color w:val="808080"/>
      <w:shd w:val="clear" w:color="auto" w:fill="E6E6E6"/>
    </w:rPr>
  </w:style>
  <w:style w:type="character" w:customStyle="1" w:styleId="UnresolvedMention2">
    <w:name w:val="Unresolved Mention2"/>
    <w:basedOn w:val="DefaultParagraphFont"/>
    <w:uiPriority w:val="99"/>
    <w:semiHidden/>
    <w:unhideWhenUsed/>
    <w:rsid w:val="00852714"/>
    <w:rPr>
      <w:color w:val="808080"/>
      <w:shd w:val="clear" w:color="auto" w:fill="E6E6E6"/>
    </w:rPr>
  </w:style>
  <w:style w:type="paragraph" w:styleId="PlainText">
    <w:name w:val="Plain Text"/>
    <w:basedOn w:val="Normal"/>
    <w:link w:val="PlainTextChar"/>
    <w:uiPriority w:val="99"/>
    <w:semiHidden/>
    <w:unhideWhenUsed/>
    <w:rsid w:val="00262B0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62B01"/>
    <w:rPr>
      <w:rFonts w:ascii="Consolas" w:hAnsi="Consolas" w:cs="Consolas"/>
      <w:sz w:val="21"/>
      <w:szCs w:val="21"/>
    </w:rPr>
  </w:style>
  <w:style w:type="table" w:customStyle="1" w:styleId="TableGrid3">
    <w:name w:val="Table Grid3"/>
    <w:basedOn w:val="TableNormal"/>
    <w:next w:val="TableGrid"/>
    <w:uiPriority w:val="39"/>
    <w:rsid w:val="00332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32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CR02References">
    <w:name w:val="RSC R02 References"/>
    <w:basedOn w:val="Normal"/>
    <w:link w:val="RSCR02ReferencesChar"/>
    <w:qFormat/>
    <w:rsid w:val="00345831"/>
    <w:pPr>
      <w:numPr>
        <w:numId w:val="29"/>
      </w:numPr>
      <w:spacing w:after="0" w:line="200" w:lineRule="exact"/>
      <w:ind w:left="284" w:hanging="284"/>
      <w:jc w:val="both"/>
    </w:pPr>
    <w:rPr>
      <w:rFonts w:eastAsiaTheme="minorHAnsi" w:cs="Times New Roman"/>
      <w:w w:val="105"/>
      <w:sz w:val="18"/>
      <w:szCs w:val="18"/>
    </w:rPr>
  </w:style>
  <w:style w:type="character" w:customStyle="1" w:styleId="RSCR02ReferencesChar">
    <w:name w:val="RSC R02 References Char"/>
    <w:basedOn w:val="DefaultParagraphFont"/>
    <w:link w:val="RSCR02References"/>
    <w:rsid w:val="00345831"/>
    <w:rPr>
      <w:rFonts w:eastAsiaTheme="minorHAnsi" w:cs="Times New Roman"/>
      <w:w w:val="105"/>
      <w:sz w:val="18"/>
      <w:szCs w:val="18"/>
    </w:rPr>
  </w:style>
  <w:style w:type="paragraph" w:customStyle="1" w:styleId="RSCB04AHeadingSection">
    <w:name w:val="RSC B04 A Heading (Section)"/>
    <w:basedOn w:val="Normal"/>
    <w:link w:val="RSCB04AHeadingSectionChar"/>
    <w:qFormat/>
    <w:rsid w:val="00345831"/>
    <w:pPr>
      <w:spacing w:before="400" w:after="80" w:line="240" w:lineRule="auto"/>
    </w:pPr>
    <w:rPr>
      <w:rFonts w:eastAsiaTheme="minorHAnsi"/>
      <w:b/>
      <w:sz w:val="24"/>
    </w:rPr>
  </w:style>
  <w:style w:type="character" w:customStyle="1" w:styleId="RSCB04AHeadingSectionChar">
    <w:name w:val="RSC B04 A Heading (Section) Char"/>
    <w:basedOn w:val="DefaultParagraphFont"/>
    <w:link w:val="RSCB04AHeadingSection"/>
    <w:rsid w:val="00345831"/>
    <w:rPr>
      <w:rFonts w:eastAsiaTheme="minorHAnsi"/>
      <w:b/>
      <w:sz w:val="24"/>
    </w:rPr>
  </w:style>
  <w:style w:type="paragraph" w:customStyle="1" w:styleId="RSCT03TableBody">
    <w:name w:val="RSC T03 Table Body"/>
    <w:basedOn w:val="Normal"/>
    <w:link w:val="RSCT03TableBodyChar"/>
    <w:qFormat/>
    <w:rsid w:val="0080452A"/>
    <w:pPr>
      <w:keepNext/>
      <w:keepLines/>
      <w:spacing w:after="0" w:line="220" w:lineRule="exact"/>
      <w:jc w:val="center"/>
    </w:pPr>
    <w:rPr>
      <w:rFonts w:eastAsia="Times New Roman" w:cs="Times New Roman"/>
      <w:sz w:val="16"/>
      <w:szCs w:val="16"/>
      <w:lang w:eastAsia="en-GB"/>
    </w:rPr>
  </w:style>
  <w:style w:type="character" w:customStyle="1" w:styleId="RSCT03TableBodyChar">
    <w:name w:val="RSC T03 Table Body Char"/>
    <w:basedOn w:val="DefaultParagraphFont"/>
    <w:link w:val="RSCT03TableBody"/>
    <w:rsid w:val="0080452A"/>
    <w:rPr>
      <w:rFonts w:eastAsia="Times New Roman" w:cs="Times New Roman"/>
      <w:sz w:val="16"/>
      <w:szCs w:val="16"/>
      <w:lang w:eastAsia="en-GB"/>
    </w:rPr>
  </w:style>
  <w:style w:type="paragraph" w:customStyle="1" w:styleId="RSCT02Tabletitlewithouttopbar">
    <w:name w:val="RSC T02 Table title without top bar"/>
    <w:basedOn w:val="Normal"/>
    <w:link w:val="RSCT02TabletitlewithouttopbarChar"/>
    <w:qFormat/>
    <w:rsid w:val="0080452A"/>
    <w:pPr>
      <w:keepNext/>
      <w:keepLines/>
      <w:pBdr>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T02TabletitlewithouttopbarChar">
    <w:name w:val="RSC T02 Table title without top bar Char"/>
    <w:basedOn w:val="DefaultParagraphFont"/>
    <w:link w:val="RSCT02Tabletitlewithouttopbar"/>
    <w:rsid w:val="0080452A"/>
    <w:rPr>
      <w:rFonts w:eastAsia="Times New Roman" w:cs="Times New Roman"/>
      <w:sz w:val="14"/>
      <w:szCs w:val="20"/>
      <w:lang w:eastAsia="en-GB"/>
    </w:rPr>
  </w:style>
  <w:style w:type="table" w:customStyle="1" w:styleId="PlainTable51">
    <w:name w:val="Plain Table 51"/>
    <w:basedOn w:val="TableNormal"/>
    <w:uiPriority w:val="45"/>
    <w:rsid w:val="0080452A"/>
    <w:pPr>
      <w:spacing w:after="0" w:line="240" w:lineRule="auto"/>
    </w:pPr>
    <w:rPr>
      <w:rFonts w:eastAsiaTheme="minorHAnsi"/>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RSCI04CaptiontoFigureSchemeChart">
    <w:name w:val="RSC I04 Caption to Figure/Scheme/Chart"/>
    <w:link w:val="RSCI04CaptiontoFigureSchemeChartChar"/>
    <w:qFormat/>
    <w:rsid w:val="00EA76F9"/>
    <w:pPr>
      <w:spacing w:after="200" w:line="200" w:lineRule="exact"/>
      <w:jc w:val="both"/>
    </w:pPr>
    <w:rPr>
      <w:rFonts w:eastAsiaTheme="minorHAnsi"/>
      <w:bCs/>
      <w:sz w:val="14"/>
      <w:szCs w:val="18"/>
    </w:rPr>
  </w:style>
  <w:style w:type="character" w:customStyle="1" w:styleId="RSCI04CaptiontoFigureSchemeChartChar">
    <w:name w:val="RSC I04 Caption to Figure/Scheme/Chart Char"/>
    <w:basedOn w:val="DefaultParagraphFont"/>
    <w:link w:val="RSCI04CaptiontoFigureSchemeChart"/>
    <w:rsid w:val="00EA76F9"/>
    <w:rPr>
      <w:rFonts w:eastAsiaTheme="minorHAnsi"/>
      <w:bCs/>
      <w:sz w:val="1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5164">
      <w:bodyDiv w:val="1"/>
      <w:marLeft w:val="0"/>
      <w:marRight w:val="0"/>
      <w:marTop w:val="0"/>
      <w:marBottom w:val="0"/>
      <w:divBdr>
        <w:top w:val="none" w:sz="0" w:space="0" w:color="auto"/>
        <w:left w:val="none" w:sz="0" w:space="0" w:color="auto"/>
        <w:bottom w:val="none" w:sz="0" w:space="0" w:color="auto"/>
        <w:right w:val="none" w:sz="0" w:space="0" w:color="auto"/>
      </w:divBdr>
    </w:div>
    <w:div w:id="93258104">
      <w:bodyDiv w:val="1"/>
      <w:marLeft w:val="0"/>
      <w:marRight w:val="0"/>
      <w:marTop w:val="0"/>
      <w:marBottom w:val="0"/>
      <w:divBdr>
        <w:top w:val="none" w:sz="0" w:space="0" w:color="auto"/>
        <w:left w:val="none" w:sz="0" w:space="0" w:color="auto"/>
        <w:bottom w:val="none" w:sz="0" w:space="0" w:color="auto"/>
        <w:right w:val="none" w:sz="0" w:space="0" w:color="auto"/>
      </w:divBdr>
    </w:div>
    <w:div w:id="295336910">
      <w:bodyDiv w:val="1"/>
      <w:marLeft w:val="0"/>
      <w:marRight w:val="0"/>
      <w:marTop w:val="0"/>
      <w:marBottom w:val="0"/>
      <w:divBdr>
        <w:top w:val="none" w:sz="0" w:space="0" w:color="auto"/>
        <w:left w:val="none" w:sz="0" w:space="0" w:color="auto"/>
        <w:bottom w:val="none" w:sz="0" w:space="0" w:color="auto"/>
        <w:right w:val="none" w:sz="0" w:space="0" w:color="auto"/>
      </w:divBdr>
    </w:div>
    <w:div w:id="530724079">
      <w:bodyDiv w:val="1"/>
      <w:marLeft w:val="0"/>
      <w:marRight w:val="0"/>
      <w:marTop w:val="0"/>
      <w:marBottom w:val="0"/>
      <w:divBdr>
        <w:top w:val="none" w:sz="0" w:space="0" w:color="auto"/>
        <w:left w:val="none" w:sz="0" w:space="0" w:color="auto"/>
        <w:bottom w:val="none" w:sz="0" w:space="0" w:color="auto"/>
        <w:right w:val="none" w:sz="0" w:space="0" w:color="auto"/>
      </w:divBdr>
      <w:divsChild>
        <w:div w:id="935479652">
          <w:marLeft w:val="0"/>
          <w:marRight w:val="0"/>
          <w:marTop w:val="0"/>
          <w:marBottom w:val="0"/>
          <w:divBdr>
            <w:top w:val="none" w:sz="0" w:space="0" w:color="auto"/>
            <w:left w:val="none" w:sz="0" w:space="0" w:color="auto"/>
            <w:bottom w:val="none" w:sz="0" w:space="0" w:color="auto"/>
            <w:right w:val="none" w:sz="0" w:space="0" w:color="auto"/>
          </w:divBdr>
        </w:div>
        <w:div w:id="1025211442">
          <w:marLeft w:val="0"/>
          <w:marRight w:val="0"/>
          <w:marTop w:val="0"/>
          <w:marBottom w:val="0"/>
          <w:divBdr>
            <w:top w:val="none" w:sz="0" w:space="0" w:color="auto"/>
            <w:left w:val="none" w:sz="0" w:space="0" w:color="auto"/>
            <w:bottom w:val="none" w:sz="0" w:space="0" w:color="auto"/>
            <w:right w:val="none" w:sz="0" w:space="0" w:color="auto"/>
          </w:divBdr>
        </w:div>
      </w:divsChild>
    </w:div>
    <w:div w:id="534078485">
      <w:bodyDiv w:val="1"/>
      <w:marLeft w:val="0"/>
      <w:marRight w:val="0"/>
      <w:marTop w:val="0"/>
      <w:marBottom w:val="0"/>
      <w:divBdr>
        <w:top w:val="none" w:sz="0" w:space="0" w:color="auto"/>
        <w:left w:val="none" w:sz="0" w:space="0" w:color="auto"/>
        <w:bottom w:val="none" w:sz="0" w:space="0" w:color="auto"/>
        <w:right w:val="none" w:sz="0" w:space="0" w:color="auto"/>
      </w:divBdr>
      <w:divsChild>
        <w:div w:id="124742824">
          <w:marLeft w:val="0"/>
          <w:marRight w:val="0"/>
          <w:marTop w:val="0"/>
          <w:marBottom w:val="0"/>
          <w:divBdr>
            <w:top w:val="none" w:sz="0" w:space="0" w:color="auto"/>
            <w:left w:val="none" w:sz="0" w:space="0" w:color="auto"/>
            <w:bottom w:val="none" w:sz="0" w:space="0" w:color="auto"/>
            <w:right w:val="none" w:sz="0" w:space="0" w:color="auto"/>
          </w:divBdr>
        </w:div>
        <w:div w:id="1845511443">
          <w:marLeft w:val="0"/>
          <w:marRight w:val="0"/>
          <w:marTop w:val="0"/>
          <w:marBottom w:val="0"/>
          <w:divBdr>
            <w:top w:val="none" w:sz="0" w:space="0" w:color="auto"/>
            <w:left w:val="none" w:sz="0" w:space="0" w:color="auto"/>
            <w:bottom w:val="none" w:sz="0" w:space="0" w:color="auto"/>
            <w:right w:val="none" w:sz="0" w:space="0" w:color="auto"/>
          </w:divBdr>
        </w:div>
      </w:divsChild>
    </w:div>
    <w:div w:id="554970384">
      <w:bodyDiv w:val="1"/>
      <w:marLeft w:val="0"/>
      <w:marRight w:val="0"/>
      <w:marTop w:val="0"/>
      <w:marBottom w:val="0"/>
      <w:divBdr>
        <w:top w:val="none" w:sz="0" w:space="0" w:color="auto"/>
        <w:left w:val="none" w:sz="0" w:space="0" w:color="auto"/>
        <w:bottom w:val="none" w:sz="0" w:space="0" w:color="auto"/>
        <w:right w:val="none" w:sz="0" w:space="0" w:color="auto"/>
      </w:divBdr>
    </w:div>
    <w:div w:id="603658676">
      <w:bodyDiv w:val="1"/>
      <w:marLeft w:val="0"/>
      <w:marRight w:val="0"/>
      <w:marTop w:val="0"/>
      <w:marBottom w:val="0"/>
      <w:divBdr>
        <w:top w:val="none" w:sz="0" w:space="0" w:color="auto"/>
        <w:left w:val="none" w:sz="0" w:space="0" w:color="auto"/>
        <w:bottom w:val="none" w:sz="0" w:space="0" w:color="auto"/>
        <w:right w:val="none" w:sz="0" w:space="0" w:color="auto"/>
      </w:divBdr>
    </w:div>
    <w:div w:id="639464225">
      <w:bodyDiv w:val="1"/>
      <w:marLeft w:val="0"/>
      <w:marRight w:val="0"/>
      <w:marTop w:val="0"/>
      <w:marBottom w:val="0"/>
      <w:divBdr>
        <w:top w:val="none" w:sz="0" w:space="0" w:color="auto"/>
        <w:left w:val="none" w:sz="0" w:space="0" w:color="auto"/>
        <w:bottom w:val="none" w:sz="0" w:space="0" w:color="auto"/>
        <w:right w:val="none" w:sz="0" w:space="0" w:color="auto"/>
      </w:divBdr>
    </w:div>
    <w:div w:id="754011699">
      <w:bodyDiv w:val="1"/>
      <w:marLeft w:val="0"/>
      <w:marRight w:val="0"/>
      <w:marTop w:val="0"/>
      <w:marBottom w:val="0"/>
      <w:divBdr>
        <w:top w:val="none" w:sz="0" w:space="0" w:color="auto"/>
        <w:left w:val="none" w:sz="0" w:space="0" w:color="auto"/>
        <w:bottom w:val="none" w:sz="0" w:space="0" w:color="auto"/>
        <w:right w:val="none" w:sz="0" w:space="0" w:color="auto"/>
      </w:divBdr>
    </w:div>
    <w:div w:id="826554661">
      <w:bodyDiv w:val="1"/>
      <w:marLeft w:val="0"/>
      <w:marRight w:val="0"/>
      <w:marTop w:val="0"/>
      <w:marBottom w:val="0"/>
      <w:divBdr>
        <w:top w:val="none" w:sz="0" w:space="0" w:color="auto"/>
        <w:left w:val="none" w:sz="0" w:space="0" w:color="auto"/>
        <w:bottom w:val="none" w:sz="0" w:space="0" w:color="auto"/>
        <w:right w:val="none" w:sz="0" w:space="0" w:color="auto"/>
      </w:divBdr>
      <w:divsChild>
        <w:div w:id="714238491">
          <w:marLeft w:val="0"/>
          <w:marRight w:val="0"/>
          <w:marTop w:val="0"/>
          <w:marBottom w:val="0"/>
          <w:divBdr>
            <w:top w:val="none" w:sz="0" w:space="0" w:color="auto"/>
            <w:left w:val="none" w:sz="0" w:space="0" w:color="auto"/>
            <w:bottom w:val="none" w:sz="0" w:space="0" w:color="auto"/>
            <w:right w:val="none" w:sz="0" w:space="0" w:color="auto"/>
          </w:divBdr>
          <w:divsChild>
            <w:div w:id="1922249316">
              <w:marLeft w:val="0"/>
              <w:marRight w:val="0"/>
              <w:marTop w:val="0"/>
              <w:marBottom w:val="0"/>
              <w:divBdr>
                <w:top w:val="none" w:sz="0" w:space="0" w:color="auto"/>
                <w:left w:val="none" w:sz="0" w:space="0" w:color="auto"/>
                <w:bottom w:val="none" w:sz="0" w:space="0" w:color="auto"/>
                <w:right w:val="none" w:sz="0" w:space="0" w:color="auto"/>
              </w:divBdr>
              <w:divsChild>
                <w:div w:id="1558122263">
                  <w:marLeft w:val="0"/>
                  <w:marRight w:val="0"/>
                  <w:marTop w:val="0"/>
                  <w:marBottom w:val="0"/>
                  <w:divBdr>
                    <w:top w:val="none" w:sz="0" w:space="0" w:color="auto"/>
                    <w:left w:val="none" w:sz="0" w:space="0" w:color="auto"/>
                    <w:bottom w:val="none" w:sz="0" w:space="0" w:color="auto"/>
                    <w:right w:val="none" w:sz="0" w:space="0" w:color="auto"/>
                  </w:divBdr>
                  <w:divsChild>
                    <w:div w:id="1371683796">
                      <w:marLeft w:val="0"/>
                      <w:marRight w:val="225"/>
                      <w:marTop w:val="0"/>
                      <w:marBottom w:val="0"/>
                      <w:divBdr>
                        <w:top w:val="none" w:sz="0" w:space="0" w:color="auto"/>
                        <w:left w:val="none" w:sz="0" w:space="0" w:color="auto"/>
                        <w:bottom w:val="none" w:sz="0" w:space="0" w:color="auto"/>
                        <w:right w:val="none" w:sz="0" w:space="0" w:color="auto"/>
                      </w:divBdr>
                      <w:divsChild>
                        <w:div w:id="1013918818">
                          <w:marLeft w:val="0"/>
                          <w:marRight w:val="0"/>
                          <w:marTop w:val="0"/>
                          <w:marBottom w:val="0"/>
                          <w:divBdr>
                            <w:top w:val="none" w:sz="0" w:space="0" w:color="auto"/>
                            <w:left w:val="none" w:sz="0" w:space="0" w:color="auto"/>
                            <w:bottom w:val="none" w:sz="0" w:space="0" w:color="auto"/>
                            <w:right w:val="none" w:sz="0" w:space="0" w:color="auto"/>
                          </w:divBdr>
                          <w:divsChild>
                            <w:div w:id="2055152270">
                              <w:marLeft w:val="0"/>
                              <w:marRight w:val="0"/>
                              <w:marTop w:val="0"/>
                              <w:marBottom w:val="0"/>
                              <w:divBdr>
                                <w:top w:val="none" w:sz="0" w:space="0" w:color="auto"/>
                                <w:left w:val="none" w:sz="0" w:space="0" w:color="auto"/>
                                <w:bottom w:val="none" w:sz="0" w:space="0" w:color="auto"/>
                                <w:right w:val="none" w:sz="0" w:space="0" w:color="auto"/>
                              </w:divBdr>
                              <w:divsChild>
                                <w:div w:id="796946930">
                                  <w:marLeft w:val="0"/>
                                  <w:marRight w:val="0"/>
                                  <w:marTop w:val="0"/>
                                  <w:marBottom w:val="0"/>
                                  <w:divBdr>
                                    <w:top w:val="none" w:sz="0" w:space="0" w:color="auto"/>
                                    <w:left w:val="none" w:sz="0" w:space="0" w:color="auto"/>
                                    <w:bottom w:val="none" w:sz="0" w:space="0" w:color="auto"/>
                                    <w:right w:val="none" w:sz="0" w:space="0" w:color="auto"/>
                                  </w:divBdr>
                                  <w:divsChild>
                                    <w:div w:id="989945146">
                                      <w:marLeft w:val="0"/>
                                      <w:marRight w:val="0"/>
                                      <w:marTop w:val="0"/>
                                      <w:marBottom w:val="0"/>
                                      <w:divBdr>
                                        <w:top w:val="none" w:sz="0" w:space="0" w:color="auto"/>
                                        <w:left w:val="none" w:sz="0" w:space="0" w:color="auto"/>
                                        <w:bottom w:val="none" w:sz="0" w:space="0" w:color="auto"/>
                                        <w:right w:val="none" w:sz="0" w:space="0" w:color="auto"/>
                                      </w:divBdr>
                                      <w:divsChild>
                                        <w:div w:id="1135100914">
                                          <w:marLeft w:val="0"/>
                                          <w:marRight w:val="0"/>
                                          <w:marTop w:val="0"/>
                                          <w:marBottom w:val="0"/>
                                          <w:divBdr>
                                            <w:top w:val="none" w:sz="0" w:space="0" w:color="auto"/>
                                            <w:left w:val="none" w:sz="0" w:space="0" w:color="auto"/>
                                            <w:bottom w:val="none" w:sz="0" w:space="0" w:color="auto"/>
                                            <w:right w:val="none" w:sz="0" w:space="0" w:color="auto"/>
                                          </w:divBdr>
                                          <w:divsChild>
                                            <w:div w:id="762150172">
                                              <w:marLeft w:val="0"/>
                                              <w:marRight w:val="0"/>
                                              <w:marTop w:val="0"/>
                                              <w:marBottom w:val="0"/>
                                              <w:divBdr>
                                                <w:top w:val="none" w:sz="0" w:space="0" w:color="auto"/>
                                                <w:left w:val="none" w:sz="0" w:space="0" w:color="auto"/>
                                                <w:bottom w:val="none" w:sz="0" w:space="0" w:color="auto"/>
                                                <w:right w:val="none" w:sz="0" w:space="0" w:color="auto"/>
                                              </w:divBdr>
                                              <w:divsChild>
                                                <w:div w:id="2020279000">
                                                  <w:marLeft w:val="0"/>
                                                  <w:marRight w:val="0"/>
                                                  <w:marTop w:val="0"/>
                                                  <w:marBottom w:val="0"/>
                                                  <w:divBdr>
                                                    <w:top w:val="none" w:sz="0" w:space="0" w:color="auto"/>
                                                    <w:left w:val="none" w:sz="0" w:space="0" w:color="auto"/>
                                                    <w:bottom w:val="none" w:sz="0" w:space="0" w:color="auto"/>
                                                    <w:right w:val="none" w:sz="0" w:space="0" w:color="auto"/>
                                                  </w:divBdr>
                                                  <w:divsChild>
                                                    <w:div w:id="544412206">
                                                      <w:marLeft w:val="0"/>
                                                      <w:marRight w:val="0"/>
                                                      <w:marTop w:val="0"/>
                                                      <w:marBottom w:val="0"/>
                                                      <w:divBdr>
                                                        <w:top w:val="none" w:sz="0" w:space="0" w:color="auto"/>
                                                        <w:left w:val="none" w:sz="0" w:space="0" w:color="auto"/>
                                                        <w:bottom w:val="none" w:sz="0" w:space="0" w:color="auto"/>
                                                        <w:right w:val="none" w:sz="0" w:space="0" w:color="auto"/>
                                                      </w:divBdr>
                                                      <w:divsChild>
                                                        <w:div w:id="123936334">
                                                          <w:marLeft w:val="0"/>
                                                          <w:marRight w:val="0"/>
                                                          <w:marTop w:val="0"/>
                                                          <w:marBottom w:val="0"/>
                                                          <w:divBdr>
                                                            <w:top w:val="none" w:sz="0" w:space="0" w:color="auto"/>
                                                            <w:left w:val="none" w:sz="0" w:space="0" w:color="auto"/>
                                                            <w:bottom w:val="none" w:sz="0" w:space="0" w:color="auto"/>
                                                            <w:right w:val="none" w:sz="0" w:space="0" w:color="auto"/>
                                                          </w:divBdr>
                                                          <w:divsChild>
                                                            <w:div w:id="978339531">
                                                              <w:marLeft w:val="0"/>
                                                              <w:marRight w:val="0"/>
                                                              <w:marTop w:val="0"/>
                                                              <w:marBottom w:val="0"/>
                                                              <w:divBdr>
                                                                <w:top w:val="none" w:sz="0" w:space="0" w:color="auto"/>
                                                                <w:left w:val="none" w:sz="0" w:space="0" w:color="auto"/>
                                                                <w:bottom w:val="none" w:sz="0" w:space="0" w:color="auto"/>
                                                                <w:right w:val="none" w:sz="0" w:space="0" w:color="auto"/>
                                                              </w:divBdr>
                                                              <w:divsChild>
                                                                <w:div w:id="1863131964">
                                                                  <w:marLeft w:val="0"/>
                                                                  <w:marRight w:val="0"/>
                                                                  <w:marTop w:val="0"/>
                                                                  <w:marBottom w:val="0"/>
                                                                  <w:divBdr>
                                                                    <w:top w:val="none" w:sz="0" w:space="0" w:color="auto"/>
                                                                    <w:left w:val="none" w:sz="0" w:space="0" w:color="auto"/>
                                                                    <w:bottom w:val="none" w:sz="0" w:space="0" w:color="auto"/>
                                                                    <w:right w:val="none" w:sz="0" w:space="0" w:color="auto"/>
                                                                  </w:divBdr>
                                                                  <w:divsChild>
                                                                    <w:div w:id="1128208839">
                                                                      <w:marLeft w:val="0"/>
                                                                      <w:marRight w:val="0"/>
                                                                      <w:marTop w:val="0"/>
                                                                      <w:marBottom w:val="0"/>
                                                                      <w:divBdr>
                                                                        <w:top w:val="none" w:sz="0" w:space="0" w:color="auto"/>
                                                                        <w:left w:val="none" w:sz="0" w:space="0" w:color="auto"/>
                                                                        <w:bottom w:val="none" w:sz="0" w:space="0" w:color="auto"/>
                                                                        <w:right w:val="none" w:sz="0" w:space="0" w:color="auto"/>
                                                                      </w:divBdr>
                                                                      <w:divsChild>
                                                                        <w:div w:id="1238319250">
                                                                          <w:marLeft w:val="0"/>
                                                                          <w:marRight w:val="0"/>
                                                                          <w:marTop w:val="0"/>
                                                                          <w:marBottom w:val="0"/>
                                                                          <w:divBdr>
                                                                            <w:top w:val="single" w:sz="2" w:space="8" w:color="C9D0DA"/>
                                                                            <w:left w:val="none" w:sz="0" w:space="0" w:color="auto"/>
                                                                            <w:bottom w:val="none" w:sz="0" w:space="0" w:color="auto"/>
                                                                            <w:right w:val="none" w:sz="0" w:space="0" w:color="auto"/>
                                                                          </w:divBdr>
                                                                          <w:divsChild>
                                                                            <w:div w:id="1194879435">
                                                                              <w:marLeft w:val="0"/>
                                                                              <w:marRight w:val="0"/>
                                                                              <w:marTop w:val="0"/>
                                                                              <w:marBottom w:val="0"/>
                                                                              <w:divBdr>
                                                                                <w:top w:val="none" w:sz="0" w:space="0" w:color="auto"/>
                                                                                <w:left w:val="none" w:sz="0" w:space="0" w:color="auto"/>
                                                                                <w:bottom w:val="none" w:sz="0" w:space="0" w:color="auto"/>
                                                                                <w:right w:val="none" w:sz="0" w:space="0" w:color="auto"/>
                                                                              </w:divBdr>
                                                                              <w:divsChild>
                                                                                <w:div w:id="1537814343">
                                                                                  <w:marLeft w:val="0"/>
                                                                                  <w:marRight w:val="0"/>
                                                                                  <w:marTop w:val="0"/>
                                                                                  <w:marBottom w:val="0"/>
                                                                                  <w:divBdr>
                                                                                    <w:top w:val="none" w:sz="0" w:space="0" w:color="auto"/>
                                                                                    <w:left w:val="none" w:sz="0" w:space="0" w:color="auto"/>
                                                                                    <w:bottom w:val="none" w:sz="0" w:space="0" w:color="auto"/>
                                                                                    <w:right w:val="none" w:sz="0" w:space="0" w:color="auto"/>
                                                                                  </w:divBdr>
                                                                                  <w:divsChild>
                                                                                    <w:div w:id="1438135362">
                                                                                      <w:marLeft w:val="0"/>
                                                                                      <w:marRight w:val="0"/>
                                                                                      <w:marTop w:val="0"/>
                                                                                      <w:marBottom w:val="0"/>
                                                                                      <w:divBdr>
                                                                                        <w:top w:val="none" w:sz="0" w:space="0" w:color="auto"/>
                                                                                        <w:left w:val="none" w:sz="0" w:space="0" w:color="auto"/>
                                                                                        <w:bottom w:val="none" w:sz="0" w:space="0" w:color="auto"/>
                                                                                        <w:right w:val="none" w:sz="0" w:space="0" w:color="auto"/>
                                                                                      </w:divBdr>
                                                                                      <w:divsChild>
                                                                                        <w:div w:id="898592551">
                                                                                          <w:marLeft w:val="0"/>
                                                                                          <w:marRight w:val="0"/>
                                                                                          <w:marTop w:val="0"/>
                                                                                          <w:marBottom w:val="0"/>
                                                                                          <w:divBdr>
                                                                                            <w:top w:val="none" w:sz="0" w:space="0" w:color="auto"/>
                                                                                            <w:left w:val="none" w:sz="0" w:space="0" w:color="auto"/>
                                                                                            <w:bottom w:val="none" w:sz="0" w:space="0" w:color="auto"/>
                                                                                            <w:right w:val="none" w:sz="0" w:space="0" w:color="auto"/>
                                                                                          </w:divBdr>
                                                                                          <w:divsChild>
                                                                                            <w:div w:id="67464494">
                                                                                              <w:marLeft w:val="0"/>
                                                                                              <w:marRight w:val="0"/>
                                                                                              <w:marTop w:val="0"/>
                                                                                              <w:marBottom w:val="0"/>
                                                                                              <w:divBdr>
                                                                                                <w:top w:val="none" w:sz="0" w:space="0" w:color="auto"/>
                                                                                                <w:left w:val="none" w:sz="0" w:space="0" w:color="auto"/>
                                                                                                <w:bottom w:val="none" w:sz="0" w:space="0" w:color="auto"/>
                                                                                                <w:right w:val="none" w:sz="0" w:space="0" w:color="auto"/>
                                                                                              </w:divBdr>
                                                                                              <w:divsChild>
                                                                                                <w:div w:id="136027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7431229">
      <w:bodyDiv w:val="1"/>
      <w:marLeft w:val="0"/>
      <w:marRight w:val="0"/>
      <w:marTop w:val="0"/>
      <w:marBottom w:val="0"/>
      <w:divBdr>
        <w:top w:val="none" w:sz="0" w:space="0" w:color="auto"/>
        <w:left w:val="none" w:sz="0" w:space="0" w:color="auto"/>
        <w:bottom w:val="none" w:sz="0" w:space="0" w:color="auto"/>
        <w:right w:val="none" w:sz="0" w:space="0" w:color="auto"/>
      </w:divBdr>
    </w:div>
    <w:div w:id="888960313">
      <w:bodyDiv w:val="1"/>
      <w:marLeft w:val="0"/>
      <w:marRight w:val="0"/>
      <w:marTop w:val="0"/>
      <w:marBottom w:val="0"/>
      <w:divBdr>
        <w:top w:val="none" w:sz="0" w:space="0" w:color="auto"/>
        <w:left w:val="none" w:sz="0" w:space="0" w:color="auto"/>
        <w:bottom w:val="none" w:sz="0" w:space="0" w:color="auto"/>
        <w:right w:val="none" w:sz="0" w:space="0" w:color="auto"/>
      </w:divBdr>
    </w:div>
    <w:div w:id="936593069">
      <w:bodyDiv w:val="1"/>
      <w:marLeft w:val="0"/>
      <w:marRight w:val="0"/>
      <w:marTop w:val="0"/>
      <w:marBottom w:val="0"/>
      <w:divBdr>
        <w:top w:val="none" w:sz="0" w:space="0" w:color="auto"/>
        <w:left w:val="none" w:sz="0" w:space="0" w:color="auto"/>
        <w:bottom w:val="none" w:sz="0" w:space="0" w:color="auto"/>
        <w:right w:val="none" w:sz="0" w:space="0" w:color="auto"/>
      </w:divBdr>
    </w:div>
    <w:div w:id="996299920">
      <w:bodyDiv w:val="1"/>
      <w:marLeft w:val="0"/>
      <w:marRight w:val="0"/>
      <w:marTop w:val="0"/>
      <w:marBottom w:val="0"/>
      <w:divBdr>
        <w:top w:val="none" w:sz="0" w:space="0" w:color="auto"/>
        <w:left w:val="none" w:sz="0" w:space="0" w:color="auto"/>
        <w:bottom w:val="none" w:sz="0" w:space="0" w:color="auto"/>
        <w:right w:val="none" w:sz="0" w:space="0" w:color="auto"/>
      </w:divBdr>
    </w:div>
    <w:div w:id="1043477707">
      <w:bodyDiv w:val="1"/>
      <w:marLeft w:val="0"/>
      <w:marRight w:val="0"/>
      <w:marTop w:val="0"/>
      <w:marBottom w:val="0"/>
      <w:divBdr>
        <w:top w:val="none" w:sz="0" w:space="0" w:color="auto"/>
        <w:left w:val="none" w:sz="0" w:space="0" w:color="auto"/>
        <w:bottom w:val="none" w:sz="0" w:space="0" w:color="auto"/>
        <w:right w:val="none" w:sz="0" w:space="0" w:color="auto"/>
      </w:divBdr>
    </w:div>
    <w:div w:id="1071272140">
      <w:bodyDiv w:val="1"/>
      <w:marLeft w:val="0"/>
      <w:marRight w:val="0"/>
      <w:marTop w:val="0"/>
      <w:marBottom w:val="0"/>
      <w:divBdr>
        <w:top w:val="none" w:sz="0" w:space="0" w:color="auto"/>
        <w:left w:val="none" w:sz="0" w:space="0" w:color="auto"/>
        <w:bottom w:val="none" w:sz="0" w:space="0" w:color="auto"/>
        <w:right w:val="none" w:sz="0" w:space="0" w:color="auto"/>
      </w:divBdr>
    </w:div>
    <w:div w:id="1073353376">
      <w:bodyDiv w:val="1"/>
      <w:marLeft w:val="0"/>
      <w:marRight w:val="0"/>
      <w:marTop w:val="0"/>
      <w:marBottom w:val="0"/>
      <w:divBdr>
        <w:top w:val="none" w:sz="0" w:space="0" w:color="auto"/>
        <w:left w:val="none" w:sz="0" w:space="0" w:color="auto"/>
        <w:bottom w:val="none" w:sz="0" w:space="0" w:color="auto"/>
        <w:right w:val="none" w:sz="0" w:space="0" w:color="auto"/>
      </w:divBdr>
    </w:div>
    <w:div w:id="1220046477">
      <w:bodyDiv w:val="1"/>
      <w:marLeft w:val="0"/>
      <w:marRight w:val="0"/>
      <w:marTop w:val="0"/>
      <w:marBottom w:val="0"/>
      <w:divBdr>
        <w:top w:val="none" w:sz="0" w:space="0" w:color="auto"/>
        <w:left w:val="none" w:sz="0" w:space="0" w:color="auto"/>
        <w:bottom w:val="none" w:sz="0" w:space="0" w:color="auto"/>
        <w:right w:val="none" w:sz="0" w:space="0" w:color="auto"/>
      </w:divBdr>
    </w:div>
    <w:div w:id="1230723646">
      <w:bodyDiv w:val="1"/>
      <w:marLeft w:val="0"/>
      <w:marRight w:val="0"/>
      <w:marTop w:val="0"/>
      <w:marBottom w:val="0"/>
      <w:divBdr>
        <w:top w:val="none" w:sz="0" w:space="0" w:color="auto"/>
        <w:left w:val="none" w:sz="0" w:space="0" w:color="auto"/>
        <w:bottom w:val="none" w:sz="0" w:space="0" w:color="auto"/>
        <w:right w:val="none" w:sz="0" w:space="0" w:color="auto"/>
      </w:divBdr>
    </w:div>
    <w:div w:id="1267932197">
      <w:bodyDiv w:val="1"/>
      <w:marLeft w:val="0"/>
      <w:marRight w:val="0"/>
      <w:marTop w:val="0"/>
      <w:marBottom w:val="0"/>
      <w:divBdr>
        <w:top w:val="none" w:sz="0" w:space="0" w:color="auto"/>
        <w:left w:val="none" w:sz="0" w:space="0" w:color="auto"/>
        <w:bottom w:val="none" w:sz="0" w:space="0" w:color="auto"/>
        <w:right w:val="none" w:sz="0" w:space="0" w:color="auto"/>
      </w:divBdr>
    </w:div>
    <w:div w:id="1316183755">
      <w:bodyDiv w:val="1"/>
      <w:marLeft w:val="0"/>
      <w:marRight w:val="0"/>
      <w:marTop w:val="0"/>
      <w:marBottom w:val="0"/>
      <w:divBdr>
        <w:top w:val="none" w:sz="0" w:space="0" w:color="auto"/>
        <w:left w:val="none" w:sz="0" w:space="0" w:color="auto"/>
        <w:bottom w:val="none" w:sz="0" w:space="0" w:color="auto"/>
        <w:right w:val="none" w:sz="0" w:space="0" w:color="auto"/>
      </w:divBdr>
    </w:div>
    <w:div w:id="1513454834">
      <w:bodyDiv w:val="1"/>
      <w:marLeft w:val="0"/>
      <w:marRight w:val="0"/>
      <w:marTop w:val="0"/>
      <w:marBottom w:val="0"/>
      <w:divBdr>
        <w:top w:val="none" w:sz="0" w:space="0" w:color="auto"/>
        <w:left w:val="none" w:sz="0" w:space="0" w:color="auto"/>
        <w:bottom w:val="none" w:sz="0" w:space="0" w:color="auto"/>
        <w:right w:val="none" w:sz="0" w:space="0" w:color="auto"/>
      </w:divBdr>
      <w:divsChild>
        <w:div w:id="1058823740">
          <w:marLeft w:val="0"/>
          <w:marRight w:val="0"/>
          <w:marTop w:val="0"/>
          <w:marBottom w:val="0"/>
          <w:divBdr>
            <w:top w:val="none" w:sz="0" w:space="0" w:color="auto"/>
            <w:left w:val="none" w:sz="0" w:space="0" w:color="auto"/>
            <w:bottom w:val="none" w:sz="0" w:space="0" w:color="auto"/>
            <w:right w:val="none" w:sz="0" w:space="0" w:color="auto"/>
          </w:divBdr>
        </w:div>
        <w:div w:id="1316493969">
          <w:marLeft w:val="0"/>
          <w:marRight w:val="0"/>
          <w:marTop w:val="0"/>
          <w:marBottom w:val="0"/>
          <w:divBdr>
            <w:top w:val="none" w:sz="0" w:space="0" w:color="auto"/>
            <w:left w:val="none" w:sz="0" w:space="0" w:color="auto"/>
            <w:bottom w:val="none" w:sz="0" w:space="0" w:color="auto"/>
            <w:right w:val="none" w:sz="0" w:space="0" w:color="auto"/>
          </w:divBdr>
        </w:div>
      </w:divsChild>
    </w:div>
    <w:div w:id="1640039646">
      <w:bodyDiv w:val="1"/>
      <w:marLeft w:val="0"/>
      <w:marRight w:val="0"/>
      <w:marTop w:val="0"/>
      <w:marBottom w:val="0"/>
      <w:divBdr>
        <w:top w:val="none" w:sz="0" w:space="0" w:color="auto"/>
        <w:left w:val="none" w:sz="0" w:space="0" w:color="auto"/>
        <w:bottom w:val="none" w:sz="0" w:space="0" w:color="auto"/>
        <w:right w:val="none" w:sz="0" w:space="0" w:color="auto"/>
      </w:divBdr>
    </w:div>
    <w:div w:id="17633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3.tiff"/><Relationship Id="rId18" Type="http://schemas.openxmlformats.org/officeDocument/2006/relationships/image" Target="media/image8.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image" Target="media/image7.tiff"/><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tiff"/><Relationship Id="rId10" Type="http://schemas.openxmlformats.org/officeDocument/2006/relationships/hyperlink" Target="http://ntp.niehs.nih.gov/testing/types/genetic/invitro/sa/index.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ink.springer.com/search?facet-creator=%22Mika+Sillanp%C3%A4%C3%A4%22" TargetMode="External"/><Relationship Id="rId14"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AA507-32B9-41A1-BCE7-08FB096B8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7734</Words>
  <Characters>41768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_</vt:lpstr>
    </vt:vector>
  </TitlesOfParts>
  <Company>Imperial College London</Company>
  <LinksUpToDate>false</LinksUpToDate>
  <CharactersWithSpaces>49404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Tse, Queenie</dc:creator>
  <cp:lastModifiedBy>Sofia</cp:lastModifiedBy>
  <cp:revision>28</cp:revision>
  <cp:lastPrinted>2017-09-12T09:59:00Z</cp:lastPrinted>
  <dcterms:created xsi:type="dcterms:W3CDTF">2017-12-12T11:26:00Z</dcterms:created>
  <dcterms:modified xsi:type="dcterms:W3CDTF">2018-01-24T13:23:00Z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28344</vt:lpwstr>
  </property>
  <property fmtid="{D5CDD505-2E9C-101B-9397-08002B2CF9AE}" pid="3" name="WnCSubscriberId">
    <vt:lpwstr>3534</vt:lpwstr>
  </property>
  <property fmtid="{D5CDD505-2E9C-101B-9397-08002B2CF9AE}" pid="4" name="WnCOutputStyleId">
    <vt:lpwstr>12162</vt:lpwstr>
  </property>
  <property fmtid="{D5CDD505-2E9C-101B-9397-08002B2CF9AE}" pid="5" name="RWProductId">
    <vt:lpwstr>WnC</vt:lpwstr>
  </property>
  <property fmtid="{D5CDD505-2E9C-101B-9397-08002B2CF9AE}" pid="6" name="WnC4Folder">
    <vt:lpwstr>Documents///Pyrolysis of Pit Latrine Contents in Developing Contents 3rd draft</vt:lpwstr>
  </property>
  <property fmtid="{D5CDD505-2E9C-101B-9397-08002B2CF9AE}" pid="7" name="Mendeley Document_1">
    <vt:lpwstr>True</vt:lpwstr>
  </property>
</Properties>
</file>