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433217" w:rsidRDefault="00CA652C">
      <w:pPr>
        <w:spacing w:after="0" w:line="480" w:lineRule="auto"/>
        <w:rPr>
          <w:rFonts w:ascii="Times New Roman" w:eastAsia="Times New Roman" w:hAnsi="Times New Roman" w:cs="Times New Roman"/>
          <w:b/>
        </w:rPr>
      </w:pPr>
      <w:r>
        <w:rPr>
          <w:rFonts w:ascii="Times New Roman" w:eastAsia="Times New Roman" w:hAnsi="Times New Roman" w:cs="Times New Roman"/>
          <w:b/>
        </w:rPr>
        <w:t xml:space="preserve">Trends in the management and outcomes of neuroendocrine liver metastases: a three-decade, multi-centre observational cohort study </w:t>
      </w:r>
    </w:p>
    <w:p w14:paraId="00000002" w14:textId="77777777" w:rsidR="00433217" w:rsidRDefault="00433217">
      <w:pPr>
        <w:spacing w:after="0" w:line="480" w:lineRule="auto"/>
        <w:rPr>
          <w:rFonts w:ascii="Times New Roman" w:eastAsia="Times New Roman" w:hAnsi="Times New Roman" w:cs="Times New Roman"/>
        </w:rPr>
      </w:pPr>
    </w:p>
    <w:p w14:paraId="00000003" w14:textId="77777777" w:rsidR="00433217" w:rsidRDefault="00CA652C">
      <w:pPr>
        <w:spacing w:after="0" w:line="480" w:lineRule="auto"/>
        <w:rPr>
          <w:rFonts w:ascii="Times New Roman" w:eastAsia="Times New Roman" w:hAnsi="Times New Roman" w:cs="Times New Roman"/>
          <w:vertAlign w:val="superscript"/>
        </w:rPr>
      </w:pPr>
      <w:bookmarkStart w:id="0" w:name="_heading=h.gjdgxs" w:colFirst="0" w:colLast="0"/>
      <w:bookmarkEnd w:id="0"/>
      <w:r>
        <w:rPr>
          <w:rFonts w:ascii="Times New Roman" w:eastAsia="Times New Roman" w:hAnsi="Times New Roman" w:cs="Times New Roman"/>
        </w:rPr>
        <w:t>Andrea Frilling PhD</w:t>
      </w:r>
      <w:r>
        <w:rPr>
          <w:rFonts w:ascii="Times New Roman" w:eastAsia="Times New Roman" w:hAnsi="Times New Roman" w:cs="Times New Roman"/>
          <w:vertAlign w:val="superscript"/>
        </w:rPr>
        <w:t>1</w:t>
      </w:r>
      <w:r>
        <w:rPr>
          <w:rFonts w:ascii="Times New Roman" w:eastAsia="Times New Roman" w:hAnsi="Times New Roman" w:cs="Times New Roman"/>
        </w:rPr>
        <w:t>, Ashley K. Clift DPhil</w:t>
      </w:r>
      <w:r>
        <w:rPr>
          <w:rFonts w:ascii="Times New Roman" w:eastAsia="Times New Roman" w:hAnsi="Times New Roman" w:cs="Times New Roman"/>
          <w:vertAlign w:val="superscript"/>
        </w:rPr>
        <w:t>1,2</w:t>
      </w:r>
      <w:r>
        <w:rPr>
          <w:rFonts w:ascii="Times New Roman" w:eastAsia="Times New Roman" w:hAnsi="Times New Roman" w:cs="Times New Roman"/>
        </w:rPr>
        <w:t>, Daniel Kaemmerer MD</w:t>
      </w:r>
      <w:r>
        <w:rPr>
          <w:rFonts w:ascii="Times New Roman" w:eastAsia="Times New Roman" w:hAnsi="Times New Roman" w:cs="Times New Roman"/>
          <w:vertAlign w:val="superscript"/>
        </w:rPr>
        <w:t>3</w:t>
      </w:r>
      <w:r>
        <w:rPr>
          <w:rFonts w:ascii="Times New Roman" w:eastAsia="Times New Roman" w:hAnsi="Times New Roman" w:cs="Times New Roman"/>
        </w:rPr>
        <w:t>, Kira C. Steinkraus MD</w:t>
      </w:r>
      <w:r>
        <w:rPr>
          <w:rFonts w:ascii="Times New Roman" w:eastAsia="Times New Roman" w:hAnsi="Times New Roman" w:cs="Times New Roman"/>
          <w:vertAlign w:val="superscript"/>
        </w:rPr>
        <w:t>4</w:t>
      </w:r>
      <w:r>
        <w:rPr>
          <w:rFonts w:ascii="Times New Roman" w:eastAsia="Times New Roman" w:hAnsi="Times New Roman" w:cs="Times New Roman"/>
        </w:rPr>
        <w:t>, Joerg Schrader PhD</w:t>
      </w:r>
      <w:r>
        <w:rPr>
          <w:rFonts w:ascii="Times New Roman" w:eastAsia="Times New Roman" w:hAnsi="Times New Roman" w:cs="Times New Roman"/>
          <w:vertAlign w:val="superscript"/>
        </w:rPr>
        <w:t>5</w:t>
      </w:r>
      <w:r>
        <w:rPr>
          <w:rFonts w:ascii="Times New Roman" w:eastAsia="Times New Roman" w:hAnsi="Times New Roman" w:cs="Times New Roman"/>
        </w:rPr>
        <w:t>, Stefan Wolter MD</w:t>
      </w:r>
      <w:r>
        <w:rPr>
          <w:rFonts w:ascii="Times New Roman" w:eastAsia="Times New Roman" w:hAnsi="Times New Roman" w:cs="Times New Roman"/>
          <w:vertAlign w:val="superscript"/>
        </w:rPr>
        <w:t>6</w:t>
      </w:r>
      <w:r>
        <w:rPr>
          <w:rFonts w:ascii="Times New Roman" w:eastAsia="Times New Roman" w:hAnsi="Times New Roman" w:cs="Times New Roman"/>
        </w:rPr>
        <w:t>, Panagiotis Drymousis PhD</w:t>
      </w:r>
      <w:r>
        <w:rPr>
          <w:rFonts w:ascii="Times New Roman" w:eastAsia="Times New Roman" w:hAnsi="Times New Roman" w:cs="Times New Roman"/>
          <w:vertAlign w:val="superscript"/>
        </w:rPr>
        <w:t>7</w:t>
      </w:r>
      <w:r>
        <w:rPr>
          <w:rFonts w:ascii="Times New Roman" w:eastAsia="Times New Roman" w:hAnsi="Times New Roman" w:cs="Times New Roman"/>
        </w:rPr>
        <w:t>, Marc-Olaf Liedke MD</w:t>
      </w:r>
      <w:r>
        <w:rPr>
          <w:rFonts w:ascii="Times New Roman" w:eastAsia="Times New Roman" w:hAnsi="Times New Roman" w:cs="Times New Roman"/>
          <w:vertAlign w:val="superscript"/>
        </w:rPr>
        <w:t>8</w:t>
      </w:r>
      <w:r>
        <w:rPr>
          <w:rFonts w:ascii="Times New Roman" w:eastAsia="Times New Roman" w:hAnsi="Times New Roman" w:cs="Times New Roman"/>
        </w:rPr>
        <w:t>, Merten Hommann MD</w:t>
      </w:r>
      <w:r>
        <w:rPr>
          <w:rFonts w:ascii="Times New Roman" w:eastAsia="Times New Roman" w:hAnsi="Times New Roman" w:cs="Times New Roman"/>
          <w:vertAlign w:val="superscript"/>
        </w:rPr>
        <w:t>3</w:t>
      </w:r>
      <w:r>
        <w:rPr>
          <w:rFonts w:ascii="Times New Roman" w:eastAsia="Times New Roman" w:hAnsi="Times New Roman" w:cs="Times New Roman"/>
        </w:rPr>
        <w:t>, Nagy Habib PhD</w:t>
      </w:r>
      <w:r>
        <w:rPr>
          <w:rFonts w:ascii="Times New Roman" w:eastAsia="Times New Roman" w:hAnsi="Times New Roman" w:cs="Times New Roman"/>
          <w:vertAlign w:val="superscript"/>
        </w:rPr>
        <w:t>1</w:t>
      </w:r>
      <w:r>
        <w:rPr>
          <w:rFonts w:ascii="Times New Roman" w:eastAsia="Times New Roman" w:hAnsi="Times New Roman" w:cs="Times New Roman"/>
        </w:rPr>
        <w:t>, Richard P. Baum PhD</w:t>
      </w:r>
      <w:r>
        <w:rPr>
          <w:rFonts w:ascii="Times New Roman" w:eastAsia="Times New Roman" w:hAnsi="Times New Roman" w:cs="Times New Roman"/>
          <w:vertAlign w:val="superscript"/>
        </w:rPr>
        <w:t>9</w:t>
      </w:r>
      <w:r>
        <w:rPr>
          <w:rFonts w:ascii="Times New Roman" w:eastAsia="Times New Roman" w:hAnsi="Times New Roman" w:cs="Times New Roman"/>
        </w:rPr>
        <w:t>, Harpreet Wasan MD</w:t>
      </w:r>
      <w:r>
        <w:rPr>
          <w:rFonts w:ascii="Times New Roman" w:eastAsia="Times New Roman" w:hAnsi="Times New Roman" w:cs="Times New Roman"/>
          <w:vertAlign w:val="superscript"/>
        </w:rPr>
        <w:t>10</w:t>
      </w:r>
      <w:r>
        <w:rPr>
          <w:rFonts w:ascii="Times New Roman" w:eastAsia="Times New Roman" w:hAnsi="Times New Roman" w:cs="Times New Roman"/>
        </w:rPr>
        <w:t>, Irvin M. Modlin PhD</w:t>
      </w:r>
      <w:r>
        <w:rPr>
          <w:rFonts w:ascii="Times New Roman" w:eastAsia="Times New Roman" w:hAnsi="Times New Roman" w:cs="Times New Roman"/>
          <w:vertAlign w:val="superscript"/>
        </w:rPr>
        <w:t xml:space="preserve">11 </w:t>
      </w:r>
      <w:r>
        <w:rPr>
          <w:rFonts w:ascii="Times New Roman" w:eastAsia="Times New Roman" w:hAnsi="Times New Roman" w:cs="Times New Roman"/>
        </w:rPr>
        <w:t>*</w:t>
      </w:r>
      <w:r>
        <w:rPr>
          <w:rFonts w:ascii="Times New Roman" w:eastAsia="Times New Roman" w:hAnsi="Times New Roman" w:cs="Times New Roman"/>
          <w:vertAlign w:val="superscript"/>
        </w:rPr>
        <w:t>+</w:t>
      </w:r>
      <w:r>
        <w:rPr>
          <w:rFonts w:ascii="Times New Roman" w:eastAsia="Times New Roman" w:hAnsi="Times New Roman" w:cs="Times New Roman"/>
        </w:rPr>
        <w:t>, Jakob R. Izbicki PhD</w:t>
      </w:r>
      <w:r>
        <w:rPr>
          <w:rFonts w:ascii="Times New Roman" w:eastAsia="Times New Roman" w:hAnsi="Times New Roman" w:cs="Times New Roman"/>
          <w:vertAlign w:val="superscript"/>
        </w:rPr>
        <w:t xml:space="preserve">12 </w:t>
      </w:r>
      <w:r>
        <w:rPr>
          <w:rFonts w:ascii="Times New Roman" w:eastAsia="Times New Roman" w:hAnsi="Times New Roman" w:cs="Times New Roman"/>
        </w:rPr>
        <w:t>*</w:t>
      </w:r>
      <w:r>
        <w:rPr>
          <w:rFonts w:ascii="Times New Roman" w:eastAsia="Times New Roman" w:hAnsi="Times New Roman" w:cs="Times New Roman"/>
          <w:vertAlign w:val="superscript"/>
        </w:rPr>
        <w:t xml:space="preserve">+  </w:t>
      </w:r>
    </w:p>
    <w:p w14:paraId="00000004" w14:textId="77777777" w:rsidR="00433217" w:rsidRDefault="00433217">
      <w:pPr>
        <w:spacing w:after="0" w:line="480" w:lineRule="auto"/>
        <w:rPr>
          <w:rFonts w:ascii="Times New Roman" w:eastAsia="Times New Roman" w:hAnsi="Times New Roman" w:cs="Times New Roman"/>
        </w:rPr>
      </w:pPr>
    </w:p>
    <w:p w14:paraId="00000005" w14:textId="77777777" w:rsidR="00433217" w:rsidRDefault="00CA652C">
      <w:pPr>
        <w:spacing w:after="0" w:line="480" w:lineRule="auto"/>
        <w:rPr>
          <w:rFonts w:ascii="Times New Roman" w:eastAsia="Times New Roman" w:hAnsi="Times New Roman" w:cs="Times New Roman"/>
          <w:b/>
        </w:rPr>
      </w:pPr>
      <w:r>
        <w:rPr>
          <w:rFonts w:ascii="Times New Roman" w:eastAsia="Times New Roman" w:hAnsi="Times New Roman" w:cs="Times New Roman"/>
          <w:b/>
        </w:rPr>
        <w:t xml:space="preserve">Affiliations </w:t>
      </w:r>
    </w:p>
    <w:p w14:paraId="00000006"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1: Department of Surgery and Cancer, Imperial College London, London, United Kingdom </w:t>
      </w:r>
      <w:r>
        <w:rPr>
          <w:rFonts w:ascii="Times New Roman" w:eastAsia="Times New Roman" w:hAnsi="Times New Roman" w:cs="Times New Roman"/>
        </w:rPr>
        <w:br/>
        <w:t>2: Cancer Research UK Oxford Centre, University of Oxford, Oxford, United Kingdom</w:t>
      </w:r>
      <w:r>
        <w:rPr>
          <w:rFonts w:ascii="Times New Roman" w:eastAsia="Times New Roman" w:hAnsi="Times New Roman" w:cs="Times New Roman"/>
        </w:rPr>
        <w:br/>
        <w:t>3: Department of General and Visceral Surgery, Zentralklinik Bad Berka, Bad Berka, Germany</w:t>
      </w:r>
      <w:r>
        <w:rPr>
          <w:rFonts w:ascii="Times New Roman" w:eastAsia="Times New Roman" w:hAnsi="Times New Roman" w:cs="Times New Roman"/>
        </w:rPr>
        <w:br/>
        <w:t>4: Department of General and Visceral Surgery, University Hospital Ulm, Ulm, Germany</w:t>
      </w:r>
      <w:r>
        <w:rPr>
          <w:rFonts w:ascii="Times New Roman" w:eastAsia="Times New Roman" w:hAnsi="Times New Roman" w:cs="Times New Roman"/>
        </w:rPr>
        <w:br/>
        <w:t>5: Department of Medicine, University Hospital Hamburg Eppendorf, Hamburg, Germany</w:t>
      </w:r>
    </w:p>
    <w:p w14:paraId="00000007"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6: Department of General and Visceral Surgery, Regio Hospital Pinneberg, Pinneberg, Germany</w:t>
      </w:r>
    </w:p>
    <w:p w14:paraId="00000008"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7: Department of Surgery, Ealing Hospital, London North West University Healthcare NHS Trust,    </w:t>
      </w:r>
      <w:r>
        <w:rPr>
          <w:rFonts w:ascii="Times New Roman" w:eastAsia="Times New Roman" w:hAnsi="Times New Roman" w:cs="Times New Roman"/>
        </w:rPr>
        <w:br/>
        <w:t xml:space="preserve">   London, United Kingdom</w:t>
      </w:r>
    </w:p>
    <w:p w14:paraId="00000009"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8: Department of General, Visceral and Vascular Surgery, Westkuestenklinikum Heide, Heide, </w:t>
      </w:r>
      <w:r>
        <w:rPr>
          <w:rFonts w:ascii="Times New Roman" w:eastAsia="Times New Roman" w:hAnsi="Times New Roman" w:cs="Times New Roman"/>
        </w:rPr>
        <w:br/>
        <w:t xml:space="preserve">    Germany</w:t>
      </w:r>
    </w:p>
    <w:p w14:paraId="0000000A"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9:  Department of Nuclear Medicine, CURANOSTICUM, Wiesbaden, Germany</w:t>
      </w:r>
    </w:p>
    <w:p w14:paraId="0000000B"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10: Department of Surgery and Cancer, Imperial College London, London, United Kingdom</w:t>
      </w:r>
    </w:p>
    <w:p w14:paraId="0000000C"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11: Department of Surgery, Yale University School of Medicine, Yale, USA</w:t>
      </w:r>
    </w:p>
    <w:p w14:paraId="0000000D"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12: Department of General, Visceral and Thoracic Surgery, University Hospital Hamburg Eppendorf, </w:t>
      </w:r>
      <w:r>
        <w:rPr>
          <w:rFonts w:ascii="Times New Roman" w:eastAsia="Times New Roman" w:hAnsi="Times New Roman" w:cs="Times New Roman"/>
        </w:rPr>
        <w:br/>
        <w:t xml:space="preserve">      Hamburg, Germany</w:t>
      </w:r>
    </w:p>
    <w:p w14:paraId="0000000E" w14:textId="77777777" w:rsidR="00433217" w:rsidRDefault="00433217">
      <w:pPr>
        <w:spacing w:after="0" w:line="480" w:lineRule="auto"/>
        <w:rPr>
          <w:rFonts w:ascii="Times New Roman" w:eastAsia="Times New Roman" w:hAnsi="Times New Roman" w:cs="Times New Roman"/>
        </w:rPr>
      </w:pPr>
    </w:p>
    <w:p w14:paraId="0000000F"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*Shared senior authorship</w:t>
      </w:r>
      <w:r>
        <w:rPr>
          <w:rFonts w:ascii="Times New Roman" w:eastAsia="Times New Roman" w:hAnsi="Times New Roman" w:cs="Times New Roman"/>
        </w:rPr>
        <w:br/>
      </w:r>
      <w:r>
        <w:rPr>
          <w:rFonts w:ascii="Times New Roman" w:eastAsia="Times New Roman" w:hAnsi="Times New Roman" w:cs="Times New Roman"/>
          <w:vertAlign w:val="superscript"/>
        </w:rPr>
        <w:t xml:space="preserve">+ </w:t>
      </w:r>
      <w:r>
        <w:rPr>
          <w:rFonts w:ascii="Times New Roman" w:eastAsia="Times New Roman" w:hAnsi="Times New Roman" w:cs="Times New Roman"/>
        </w:rPr>
        <w:t>Emeritus Professor</w:t>
      </w:r>
      <w:r>
        <w:rPr>
          <w:rFonts w:ascii="Times New Roman" w:eastAsia="Times New Roman" w:hAnsi="Times New Roman" w:cs="Times New Roman"/>
        </w:rPr>
        <w:br/>
      </w:r>
    </w:p>
    <w:p w14:paraId="00000010" w14:textId="77777777" w:rsidR="00433217" w:rsidRDefault="00433217">
      <w:pPr>
        <w:spacing w:after="0" w:line="480" w:lineRule="auto"/>
        <w:rPr>
          <w:rFonts w:ascii="Times New Roman" w:eastAsia="Times New Roman" w:hAnsi="Times New Roman" w:cs="Times New Roman"/>
        </w:rPr>
      </w:pPr>
    </w:p>
    <w:p w14:paraId="00000011" w14:textId="77777777" w:rsidR="00433217" w:rsidRDefault="00CA652C">
      <w:pPr>
        <w:spacing w:after="0" w:line="480" w:lineRule="auto"/>
        <w:rPr>
          <w:rFonts w:ascii="Times New Roman" w:eastAsia="Times New Roman" w:hAnsi="Times New Roman" w:cs="Times New Roman"/>
          <w:b/>
        </w:rPr>
      </w:pPr>
      <w:r>
        <w:rPr>
          <w:rFonts w:ascii="Times New Roman" w:eastAsia="Times New Roman" w:hAnsi="Times New Roman" w:cs="Times New Roman"/>
          <w:b/>
        </w:rPr>
        <w:t>Corresponding author</w:t>
      </w:r>
    </w:p>
    <w:p w14:paraId="00000012"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Professor Andrea Frilling</w:t>
      </w:r>
    </w:p>
    <w:p w14:paraId="00000013"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Department of Surgery &amp; Cancer, Imperial College London </w:t>
      </w:r>
    </w:p>
    <w:p w14:paraId="00000014"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Hammersmith Campus, Du Cane Road</w:t>
      </w:r>
      <w:r>
        <w:rPr>
          <w:rFonts w:ascii="Times New Roman" w:eastAsia="Times New Roman" w:hAnsi="Times New Roman" w:cs="Times New Roman"/>
        </w:rPr>
        <w:br/>
        <w:t>London W12 0HS</w:t>
      </w:r>
    </w:p>
    <w:p w14:paraId="00000015"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UK</w:t>
      </w:r>
    </w:p>
    <w:p w14:paraId="00000016" w14:textId="77777777" w:rsidR="00433217" w:rsidRDefault="00CA652C">
      <w:pPr>
        <w:spacing w:after="0" w:line="480" w:lineRule="auto"/>
        <w:rPr>
          <w:rFonts w:ascii="Times New Roman" w:eastAsia="Times New Roman" w:hAnsi="Times New Roman" w:cs="Times New Roman"/>
        </w:rPr>
      </w:pPr>
      <w:hyperlink r:id="rId7">
        <w:r>
          <w:rPr>
            <w:rFonts w:ascii="Times New Roman" w:eastAsia="Times New Roman" w:hAnsi="Times New Roman" w:cs="Times New Roman"/>
            <w:color w:val="0000FF"/>
            <w:u w:val="single"/>
          </w:rPr>
          <w:t>a.frilling@imperial.ac.uk</w:t>
        </w:r>
      </w:hyperlink>
      <w:r>
        <w:rPr>
          <w:rFonts w:ascii="Times New Roman" w:eastAsia="Times New Roman" w:hAnsi="Times New Roman" w:cs="Times New Roman"/>
        </w:rPr>
        <w:t xml:space="preserve"> </w:t>
      </w:r>
    </w:p>
    <w:p w14:paraId="00000017"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+44 (0)20 3313 3210</w:t>
      </w:r>
    </w:p>
    <w:p w14:paraId="00000018" w14:textId="77777777" w:rsidR="00433217" w:rsidRDefault="00433217">
      <w:pPr>
        <w:spacing w:after="0" w:line="480" w:lineRule="auto"/>
        <w:rPr>
          <w:rFonts w:ascii="Times New Roman" w:eastAsia="Times New Roman" w:hAnsi="Times New Roman" w:cs="Times New Roman"/>
        </w:rPr>
      </w:pPr>
    </w:p>
    <w:p w14:paraId="00000019"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Reprints will not be available from the authors </w:t>
      </w:r>
    </w:p>
    <w:p w14:paraId="0000001A" w14:textId="77777777" w:rsidR="00433217" w:rsidRDefault="00433217">
      <w:pPr>
        <w:spacing w:after="0" w:line="480" w:lineRule="auto"/>
        <w:rPr>
          <w:rFonts w:ascii="Times New Roman" w:eastAsia="Times New Roman" w:hAnsi="Times New Roman" w:cs="Times New Roman"/>
        </w:rPr>
      </w:pPr>
    </w:p>
    <w:p w14:paraId="0000001B" w14:textId="77777777" w:rsidR="00433217" w:rsidRDefault="00CA652C">
      <w:pPr>
        <w:spacing w:after="0" w:line="480" w:lineRule="auto"/>
        <w:rPr>
          <w:rFonts w:ascii="Times New Roman" w:eastAsia="Times New Roman" w:hAnsi="Times New Roman" w:cs="Times New Roman"/>
          <w:b/>
        </w:rPr>
      </w:pPr>
      <w:r>
        <w:rPr>
          <w:rFonts w:ascii="Times New Roman" w:eastAsia="Times New Roman" w:hAnsi="Times New Roman" w:cs="Times New Roman"/>
          <w:b/>
        </w:rPr>
        <w:t xml:space="preserve">Funding support </w:t>
      </w:r>
    </w:p>
    <w:p w14:paraId="0000001C"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This study received no specific, direct funding</w:t>
      </w:r>
    </w:p>
    <w:p w14:paraId="0000001D" w14:textId="77777777" w:rsidR="00433217" w:rsidRDefault="00433217">
      <w:pPr>
        <w:spacing w:after="0" w:line="480" w:lineRule="auto"/>
        <w:rPr>
          <w:rFonts w:ascii="Times New Roman" w:eastAsia="Times New Roman" w:hAnsi="Times New Roman" w:cs="Times New Roman"/>
        </w:rPr>
      </w:pPr>
    </w:p>
    <w:p w14:paraId="0000001E" w14:textId="77777777" w:rsidR="00433217" w:rsidRDefault="00CA652C">
      <w:pPr>
        <w:spacing w:after="0" w:line="480" w:lineRule="auto"/>
        <w:rPr>
          <w:rFonts w:ascii="Times New Roman" w:eastAsia="Times New Roman" w:hAnsi="Times New Roman" w:cs="Times New Roman"/>
          <w:b/>
        </w:rPr>
      </w:pPr>
      <w:r>
        <w:rPr>
          <w:rFonts w:ascii="Times New Roman" w:eastAsia="Times New Roman" w:hAnsi="Times New Roman" w:cs="Times New Roman"/>
          <w:b/>
        </w:rPr>
        <w:t>Short running head</w:t>
      </w:r>
    </w:p>
    <w:p w14:paraId="0000001F"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NELM outcomes over 30 years </w:t>
      </w:r>
    </w:p>
    <w:p w14:paraId="00000020" w14:textId="77777777" w:rsidR="00433217" w:rsidRDefault="00433217">
      <w:pPr>
        <w:spacing w:after="0" w:line="480" w:lineRule="auto"/>
        <w:rPr>
          <w:rFonts w:ascii="Times New Roman" w:eastAsia="Times New Roman" w:hAnsi="Times New Roman" w:cs="Times New Roman"/>
        </w:rPr>
      </w:pPr>
    </w:p>
    <w:p w14:paraId="00000021" w14:textId="77777777" w:rsidR="00433217" w:rsidRDefault="00433217">
      <w:pPr>
        <w:spacing w:after="0" w:line="480" w:lineRule="auto"/>
        <w:rPr>
          <w:rFonts w:ascii="Times New Roman" w:eastAsia="Times New Roman" w:hAnsi="Times New Roman" w:cs="Times New Roman"/>
          <w:b/>
        </w:rPr>
      </w:pPr>
    </w:p>
    <w:p w14:paraId="00000022" w14:textId="77777777" w:rsidR="00433217" w:rsidRDefault="00433217">
      <w:pPr>
        <w:spacing w:after="0" w:line="480" w:lineRule="auto"/>
        <w:rPr>
          <w:rFonts w:ascii="Times New Roman" w:eastAsia="Times New Roman" w:hAnsi="Times New Roman" w:cs="Times New Roman"/>
          <w:b/>
        </w:rPr>
      </w:pPr>
    </w:p>
    <w:p w14:paraId="00000023" w14:textId="77777777" w:rsidR="00433217" w:rsidRDefault="00433217">
      <w:pPr>
        <w:spacing w:after="0" w:line="480" w:lineRule="auto"/>
        <w:rPr>
          <w:rFonts w:ascii="Times New Roman" w:eastAsia="Times New Roman" w:hAnsi="Times New Roman" w:cs="Times New Roman"/>
          <w:b/>
        </w:rPr>
      </w:pPr>
    </w:p>
    <w:p w14:paraId="00000024" w14:textId="77777777" w:rsidR="00433217" w:rsidRDefault="00433217">
      <w:pPr>
        <w:spacing w:after="0" w:line="480" w:lineRule="auto"/>
        <w:rPr>
          <w:rFonts w:ascii="Times New Roman" w:eastAsia="Times New Roman" w:hAnsi="Times New Roman" w:cs="Times New Roman"/>
          <w:b/>
        </w:rPr>
      </w:pPr>
    </w:p>
    <w:p w14:paraId="00000025" w14:textId="77777777" w:rsidR="00433217" w:rsidRDefault="00433217">
      <w:pPr>
        <w:spacing w:after="0" w:line="480" w:lineRule="auto"/>
        <w:rPr>
          <w:rFonts w:ascii="Times New Roman" w:eastAsia="Times New Roman" w:hAnsi="Times New Roman" w:cs="Times New Roman"/>
          <w:b/>
        </w:rPr>
      </w:pPr>
    </w:p>
    <w:p w14:paraId="00000026" w14:textId="77777777" w:rsidR="00433217" w:rsidRDefault="00433217">
      <w:pPr>
        <w:spacing w:after="0" w:line="480" w:lineRule="auto"/>
        <w:rPr>
          <w:rFonts w:ascii="Times New Roman" w:eastAsia="Times New Roman" w:hAnsi="Times New Roman" w:cs="Times New Roman"/>
          <w:b/>
        </w:rPr>
      </w:pPr>
    </w:p>
    <w:p w14:paraId="00000027" w14:textId="77777777" w:rsidR="00433217" w:rsidRDefault="00433217">
      <w:pPr>
        <w:spacing w:after="0" w:line="480" w:lineRule="auto"/>
        <w:rPr>
          <w:rFonts w:ascii="Times New Roman" w:eastAsia="Times New Roman" w:hAnsi="Times New Roman" w:cs="Times New Roman"/>
          <w:b/>
        </w:rPr>
      </w:pPr>
    </w:p>
    <w:p w14:paraId="00000028" w14:textId="77777777" w:rsidR="00433217" w:rsidRDefault="00433217">
      <w:pPr>
        <w:spacing w:after="0" w:line="480" w:lineRule="auto"/>
        <w:rPr>
          <w:rFonts w:ascii="Times New Roman" w:eastAsia="Times New Roman" w:hAnsi="Times New Roman" w:cs="Times New Roman"/>
          <w:b/>
        </w:rPr>
      </w:pPr>
    </w:p>
    <w:p w14:paraId="00000029" w14:textId="77777777" w:rsidR="00433217" w:rsidRDefault="00433217">
      <w:pPr>
        <w:spacing w:after="0" w:line="480" w:lineRule="auto"/>
        <w:rPr>
          <w:rFonts w:ascii="Times New Roman" w:eastAsia="Times New Roman" w:hAnsi="Times New Roman" w:cs="Times New Roman"/>
          <w:b/>
        </w:rPr>
      </w:pPr>
    </w:p>
    <w:p w14:paraId="0000002A" w14:textId="77777777" w:rsidR="00433217" w:rsidRDefault="00433217">
      <w:pPr>
        <w:spacing w:after="0" w:line="480" w:lineRule="auto"/>
        <w:rPr>
          <w:rFonts w:ascii="Times New Roman" w:eastAsia="Times New Roman" w:hAnsi="Times New Roman" w:cs="Times New Roman"/>
          <w:b/>
        </w:rPr>
      </w:pPr>
    </w:p>
    <w:p w14:paraId="0000002B" w14:textId="77777777" w:rsidR="00433217" w:rsidRDefault="00CA652C">
      <w:pPr>
        <w:spacing w:after="0" w:line="480" w:lineRule="auto"/>
        <w:rPr>
          <w:rFonts w:ascii="Times New Roman" w:eastAsia="Times New Roman" w:hAnsi="Times New Roman" w:cs="Times New Roman"/>
          <w:b/>
        </w:rPr>
      </w:pPr>
      <w:r>
        <w:rPr>
          <w:rFonts w:ascii="Times New Roman" w:eastAsia="Times New Roman" w:hAnsi="Times New Roman" w:cs="Times New Roman"/>
          <w:b/>
        </w:rPr>
        <w:lastRenderedPageBreak/>
        <w:t xml:space="preserve">Mini abstract </w:t>
      </w:r>
    </w:p>
    <w:p w14:paraId="0000002C" w14:textId="77777777" w:rsidR="00433217" w:rsidRDefault="00433217">
      <w:pPr>
        <w:spacing w:after="0" w:line="480" w:lineRule="auto"/>
        <w:rPr>
          <w:rFonts w:ascii="Times New Roman" w:eastAsia="Times New Roman" w:hAnsi="Times New Roman" w:cs="Times New Roman"/>
          <w:b/>
        </w:rPr>
      </w:pPr>
    </w:p>
    <w:p w14:paraId="0000002D"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Neuroendocrine liver metastases may be treated with a broad armamentarium which has evolved (alongside imaging technologies) in the last few decades. This multicentre, descriptive, observational analysis explores trends in treatments and outcomes for these challenging tumours over the last 30 years. Five-year overall survival substantially improved over the last three decades, and 10-year survival doubled from 23.5% in 1990-2000 to 55.5% in 2010-2020. The use of multimodal therapy was significantly associat</w:t>
      </w:r>
      <w:r>
        <w:rPr>
          <w:rFonts w:ascii="Times New Roman" w:eastAsia="Times New Roman" w:hAnsi="Times New Roman" w:cs="Times New Roman"/>
        </w:rPr>
        <w:t xml:space="preserve">ed with improved overall survival. </w:t>
      </w:r>
    </w:p>
    <w:p w14:paraId="0000002E" w14:textId="77777777" w:rsidR="00433217" w:rsidRDefault="00433217">
      <w:pPr>
        <w:spacing w:after="0" w:line="480" w:lineRule="auto"/>
        <w:rPr>
          <w:rFonts w:ascii="Times New Roman" w:eastAsia="Times New Roman" w:hAnsi="Times New Roman" w:cs="Times New Roman"/>
          <w:b/>
        </w:rPr>
      </w:pPr>
    </w:p>
    <w:p w14:paraId="0000002F" w14:textId="77777777" w:rsidR="00433217" w:rsidRDefault="00433217">
      <w:pPr>
        <w:rPr>
          <w:rFonts w:ascii="Times New Roman" w:eastAsia="Times New Roman" w:hAnsi="Times New Roman" w:cs="Times New Roman"/>
        </w:rPr>
      </w:pPr>
    </w:p>
    <w:p w14:paraId="00000030" w14:textId="77777777" w:rsidR="00433217" w:rsidRDefault="00433217">
      <w:pPr>
        <w:rPr>
          <w:rFonts w:ascii="Times New Roman" w:eastAsia="Times New Roman" w:hAnsi="Times New Roman" w:cs="Times New Roman"/>
        </w:rPr>
      </w:pPr>
    </w:p>
    <w:p w14:paraId="00000031" w14:textId="77777777" w:rsidR="00433217" w:rsidRDefault="00433217">
      <w:pPr>
        <w:rPr>
          <w:rFonts w:ascii="Times New Roman" w:eastAsia="Times New Roman" w:hAnsi="Times New Roman" w:cs="Times New Roman"/>
        </w:rPr>
      </w:pPr>
    </w:p>
    <w:p w14:paraId="00000032" w14:textId="77777777" w:rsidR="00433217" w:rsidRDefault="00433217">
      <w:pPr>
        <w:rPr>
          <w:rFonts w:ascii="Times New Roman" w:eastAsia="Times New Roman" w:hAnsi="Times New Roman" w:cs="Times New Roman"/>
        </w:rPr>
        <w:sectPr w:rsidR="00433217">
          <w:pgSz w:w="11906" w:h="16838"/>
          <w:pgMar w:top="1440" w:right="1440" w:bottom="1440" w:left="1440" w:header="708" w:footer="708" w:gutter="0"/>
          <w:pgNumType w:start="1"/>
          <w:cols w:space="720"/>
        </w:sectPr>
      </w:pPr>
    </w:p>
    <w:p w14:paraId="00000033" w14:textId="77777777" w:rsidR="00433217" w:rsidRDefault="00CA652C">
      <w:pPr>
        <w:spacing w:after="0" w:line="480" w:lineRule="auto"/>
        <w:rPr>
          <w:rFonts w:ascii="Times New Roman" w:eastAsia="Times New Roman" w:hAnsi="Times New Roman" w:cs="Times New Roman"/>
          <w:b/>
        </w:rPr>
      </w:pPr>
      <w:r>
        <w:rPr>
          <w:rFonts w:ascii="Times New Roman" w:eastAsia="Times New Roman" w:hAnsi="Times New Roman" w:cs="Times New Roman"/>
          <w:b/>
        </w:rPr>
        <w:lastRenderedPageBreak/>
        <w:t>Structured abstract</w:t>
      </w:r>
    </w:p>
    <w:p w14:paraId="00000034" w14:textId="77777777" w:rsidR="00433217" w:rsidRDefault="00CA652C">
      <w:pPr>
        <w:spacing w:after="0" w:line="480" w:lineRule="auto"/>
        <w:rPr>
          <w:rFonts w:ascii="Times New Roman" w:eastAsia="Times New Roman" w:hAnsi="Times New Roman" w:cs="Times New Roman"/>
          <w:b/>
        </w:rPr>
      </w:pPr>
      <w:r>
        <w:rPr>
          <w:rFonts w:ascii="Times New Roman" w:eastAsia="Times New Roman" w:hAnsi="Times New Roman" w:cs="Times New Roman"/>
          <w:b/>
        </w:rPr>
        <w:t xml:space="preserve">  </w:t>
      </w:r>
    </w:p>
    <w:p w14:paraId="00000035" w14:textId="77777777" w:rsidR="00433217" w:rsidRDefault="00CA652C">
      <w:pPr>
        <w:spacing w:after="0" w:line="480" w:lineRule="auto"/>
        <w:rPr>
          <w:rFonts w:ascii="Times New Roman" w:eastAsia="Times New Roman" w:hAnsi="Times New Roman" w:cs="Times New Roman"/>
          <w:b/>
        </w:rPr>
      </w:pPr>
      <w:r>
        <w:rPr>
          <w:rFonts w:ascii="Times New Roman" w:eastAsia="Times New Roman" w:hAnsi="Times New Roman" w:cs="Times New Roman"/>
        </w:rPr>
        <w:t>Objective:</w:t>
      </w:r>
      <w:r>
        <w:rPr>
          <w:rFonts w:ascii="Times New Roman" w:eastAsia="Times New Roman" w:hAnsi="Times New Roman" w:cs="Times New Roman"/>
          <w:b/>
        </w:rPr>
        <w:t xml:space="preserve"> </w:t>
      </w:r>
      <w:r>
        <w:rPr>
          <w:rFonts w:ascii="Times New Roman" w:eastAsia="Times New Roman" w:hAnsi="Times New Roman" w:cs="Times New Roman"/>
        </w:rPr>
        <w:t xml:space="preserve">To describe the evolution of management strategies for neuroendocrine liver metastases (NE LM) and trends in patient outcomes over the preceding 3 decades. </w:t>
      </w:r>
    </w:p>
    <w:p w14:paraId="00000036" w14:textId="77777777" w:rsidR="00433217" w:rsidRDefault="00433217">
      <w:pPr>
        <w:spacing w:after="0" w:line="480" w:lineRule="auto"/>
        <w:rPr>
          <w:rFonts w:ascii="Times New Roman" w:eastAsia="Times New Roman" w:hAnsi="Times New Roman" w:cs="Times New Roman"/>
          <w:b/>
        </w:rPr>
      </w:pPr>
    </w:p>
    <w:p w14:paraId="00000037"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Summary background data: Liver metastases are common in neuroendocrine neoplasms and impair prognosis. A broad therapeutic armamentarium has evolved over recent decades but there remains uncertainty regarding optimal treatment selection and sequencing. </w:t>
      </w:r>
    </w:p>
    <w:p w14:paraId="00000038" w14:textId="77777777" w:rsidR="00433217" w:rsidRDefault="00433217">
      <w:pPr>
        <w:spacing w:after="0" w:line="480" w:lineRule="auto"/>
        <w:rPr>
          <w:rFonts w:ascii="Times New Roman" w:eastAsia="Times New Roman" w:hAnsi="Times New Roman" w:cs="Times New Roman"/>
        </w:rPr>
      </w:pPr>
    </w:p>
    <w:p w14:paraId="00000039"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Methods: Retrospective cohort study pooling data from 4 specialist centres of excellence in the United Kingdom and Germany for individuals diagnosed with neuroendocrine liver metastases between 1</w:t>
      </w:r>
      <w:r>
        <w:rPr>
          <w:rFonts w:ascii="Times New Roman" w:eastAsia="Times New Roman" w:hAnsi="Times New Roman" w:cs="Times New Roman"/>
          <w:vertAlign w:val="superscript"/>
        </w:rPr>
        <w:t>st</w:t>
      </w:r>
      <w:r>
        <w:rPr>
          <w:rFonts w:ascii="Times New Roman" w:eastAsia="Times New Roman" w:hAnsi="Times New Roman" w:cs="Times New Roman"/>
        </w:rPr>
        <w:t xml:space="preserve"> Jan 1990 and 31</w:t>
      </w:r>
      <w:r>
        <w:rPr>
          <w:rFonts w:ascii="Times New Roman" w:eastAsia="Times New Roman" w:hAnsi="Times New Roman" w:cs="Times New Roman"/>
          <w:vertAlign w:val="superscript"/>
        </w:rPr>
        <w:t>st</w:t>
      </w:r>
      <w:r>
        <w:rPr>
          <w:rFonts w:ascii="Times New Roman" w:eastAsia="Times New Roman" w:hAnsi="Times New Roman" w:cs="Times New Roman"/>
        </w:rPr>
        <w:t xml:space="preserve"> December 2020. We explored trends in theranostic strategies over three decades and quantified overall survival (cohort, and by decade-defined temporal periods).</w:t>
      </w:r>
    </w:p>
    <w:p w14:paraId="0000003A" w14:textId="77777777" w:rsidR="00433217" w:rsidRDefault="00433217">
      <w:pPr>
        <w:spacing w:after="0" w:line="480" w:lineRule="auto"/>
        <w:rPr>
          <w:rFonts w:ascii="Times New Roman" w:eastAsia="Times New Roman" w:hAnsi="Times New Roman" w:cs="Times New Roman"/>
        </w:rPr>
      </w:pPr>
    </w:p>
    <w:p w14:paraId="0000003B" w14:textId="77777777" w:rsidR="00433217" w:rsidRDefault="00CA652C">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Results: We identified 551 individuals with NE LM with a m</w:t>
      </w:r>
      <w:r>
        <w:rPr>
          <w:rFonts w:ascii="Times New Roman" w:eastAsia="Times New Roman" w:hAnsi="Times New Roman" w:cs="Times New Roman"/>
          <w:color w:val="000000"/>
        </w:rPr>
        <w:t xml:space="preserve">edian age at diagnosis of 59.1 years; 453 (82.2%) had synchronous metastases, and 402 (73.0%) underwent multimodal therapy. In all centres somatostatin receptor-based PET/CT and MRI were the preferred imaging techniques. There were significant trends in the use of somatostatin analogues and peptide receptor radionuclide therapy but the number of surgical resections remained stable. </w:t>
      </w:r>
      <w:r>
        <w:rPr>
          <w:rFonts w:ascii="Times New Roman" w:eastAsia="Times New Roman" w:hAnsi="Times New Roman" w:cs="Times New Roman"/>
        </w:rPr>
        <w:t>Overall survival (OS) at 5- and 10-years was 77.5% and 58.1% respectively</w:t>
      </w:r>
      <w:r>
        <w:rPr>
          <w:rFonts w:ascii="Times New Roman" w:eastAsia="Times New Roman" w:hAnsi="Times New Roman" w:cs="Times New Roman"/>
          <w:color w:val="000000"/>
        </w:rPr>
        <w:t xml:space="preserve">. </w:t>
      </w:r>
      <w:r>
        <w:rPr>
          <w:rFonts w:ascii="Times New Roman" w:eastAsia="Times New Roman" w:hAnsi="Times New Roman" w:cs="Times New Roman"/>
        </w:rPr>
        <w:t>Across the three time periods, 5-year OS significant</w:t>
      </w:r>
      <w:r>
        <w:rPr>
          <w:rFonts w:ascii="Times New Roman" w:eastAsia="Times New Roman" w:hAnsi="Times New Roman" w:cs="Times New Roman"/>
        </w:rPr>
        <w:t xml:space="preserve">ly improved - period I: 45.2%, period II: 66.0%, and period III: 75.7%. Ten-year OS showed overlapping confidence intervals for Period I (23.5%) and Period II (18.3%) but doubled in period III (55.5%). On multivariate analysis, the use of multimodal therapy strategies was significantly associated with improved overall survival (HR = 0.59, 95% CI: 0.40 to 0.88, p = 0.009). </w:t>
      </w:r>
    </w:p>
    <w:p w14:paraId="0000003C" w14:textId="77777777" w:rsidR="00433217" w:rsidRDefault="00433217">
      <w:pPr>
        <w:spacing w:after="0" w:line="480" w:lineRule="auto"/>
        <w:rPr>
          <w:rFonts w:ascii="Times New Roman" w:eastAsia="Times New Roman" w:hAnsi="Times New Roman" w:cs="Times New Roman"/>
        </w:rPr>
      </w:pPr>
    </w:p>
    <w:p w14:paraId="0000003D"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Conclusions: Improved imaging modalities and modifications in specific therapies as components of multimodal treatment concepts are concordant with significantly improved survival outcomes in NELM over 30 years. The use of multimodal therapy improved overall survival in patients with NE </w:t>
      </w:r>
      <w:r>
        <w:rPr>
          <w:rFonts w:ascii="Times New Roman" w:eastAsia="Times New Roman" w:hAnsi="Times New Roman" w:cs="Times New Roman"/>
        </w:rPr>
        <w:lastRenderedPageBreak/>
        <w:t xml:space="preserve">LM.  Future studies should determine optimal treatment selection and sequencing, and role of novel biomarkers to guide these. </w:t>
      </w:r>
    </w:p>
    <w:p w14:paraId="0000003E" w14:textId="77777777" w:rsidR="00433217" w:rsidRDefault="00433217">
      <w:pPr>
        <w:spacing w:after="0" w:line="480" w:lineRule="auto"/>
        <w:rPr>
          <w:rFonts w:ascii="Times New Roman" w:eastAsia="Times New Roman" w:hAnsi="Times New Roman" w:cs="Times New Roman"/>
        </w:rPr>
      </w:pPr>
    </w:p>
    <w:p w14:paraId="0000003F" w14:textId="77777777" w:rsidR="00433217" w:rsidRDefault="00433217">
      <w:pPr>
        <w:spacing w:after="0" w:line="480" w:lineRule="auto"/>
        <w:rPr>
          <w:rFonts w:ascii="Times New Roman" w:eastAsia="Times New Roman" w:hAnsi="Times New Roman" w:cs="Times New Roman"/>
        </w:rPr>
      </w:pPr>
    </w:p>
    <w:p w14:paraId="00000040" w14:textId="77777777" w:rsidR="00433217" w:rsidRDefault="00433217">
      <w:pPr>
        <w:spacing w:after="0" w:line="480" w:lineRule="auto"/>
        <w:rPr>
          <w:rFonts w:ascii="Times New Roman" w:eastAsia="Times New Roman" w:hAnsi="Times New Roman" w:cs="Times New Roman"/>
        </w:rPr>
      </w:pPr>
    </w:p>
    <w:p w14:paraId="00000041" w14:textId="77777777" w:rsidR="00433217" w:rsidRDefault="00433217">
      <w:pPr>
        <w:spacing w:after="0" w:line="480" w:lineRule="auto"/>
        <w:rPr>
          <w:rFonts w:ascii="Times New Roman" w:eastAsia="Times New Roman" w:hAnsi="Times New Roman" w:cs="Times New Roman"/>
        </w:rPr>
      </w:pPr>
    </w:p>
    <w:p w14:paraId="00000042" w14:textId="77777777" w:rsidR="00433217" w:rsidRDefault="00433217">
      <w:pPr>
        <w:spacing w:after="0" w:line="480" w:lineRule="auto"/>
        <w:rPr>
          <w:rFonts w:ascii="Times New Roman" w:eastAsia="Times New Roman" w:hAnsi="Times New Roman" w:cs="Times New Roman"/>
        </w:rPr>
      </w:pPr>
    </w:p>
    <w:p w14:paraId="00000043" w14:textId="77777777" w:rsidR="00433217" w:rsidRDefault="00433217">
      <w:pPr>
        <w:spacing w:after="0" w:line="480" w:lineRule="auto"/>
        <w:rPr>
          <w:rFonts w:ascii="Times New Roman" w:eastAsia="Times New Roman" w:hAnsi="Times New Roman" w:cs="Times New Roman"/>
        </w:rPr>
      </w:pPr>
    </w:p>
    <w:p w14:paraId="00000044" w14:textId="77777777" w:rsidR="00433217" w:rsidRDefault="00433217">
      <w:pPr>
        <w:spacing w:after="0" w:line="480" w:lineRule="auto"/>
        <w:rPr>
          <w:rFonts w:ascii="Times New Roman" w:eastAsia="Times New Roman" w:hAnsi="Times New Roman" w:cs="Times New Roman"/>
        </w:rPr>
      </w:pPr>
    </w:p>
    <w:p w14:paraId="00000045" w14:textId="77777777" w:rsidR="00433217" w:rsidRDefault="00433217">
      <w:pPr>
        <w:spacing w:after="0" w:line="480" w:lineRule="auto"/>
        <w:rPr>
          <w:rFonts w:ascii="Times New Roman" w:eastAsia="Times New Roman" w:hAnsi="Times New Roman" w:cs="Times New Roman"/>
        </w:rPr>
      </w:pPr>
    </w:p>
    <w:p w14:paraId="00000046" w14:textId="77777777" w:rsidR="00433217" w:rsidRDefault="00433217">
      <w:pPr>
        <w:spacing w:after="0" w:line="480" w:lineRule="auto"/>
        <w:rPr>
          <w:rFonts w:ascii="Times New Roman" w:eastAsia="Times New Roman" w:hAnsi="Times New Roman" w:cs="Times New Roman"/>
        </w:rPr>
      </w:pPr>
    </w:p>
    <w:p w14:paraId="00000047" w14:textId="77777777" w:rsidR="00433217" w:rsidRDefault="00433217">
      <w:pPr>
        <w:spacing w:after="0" w:line="480" w:lineRule="auto"/>
        <w:rPr>
          <w:rFonts w:ascii="Times New Roman" w:eastAsia="Times New Roman" w:hAnsi="Times New Roman" w:cs="Times New Roman"/>
        </w:rPr>
      </w:pPr>
    </w:p>
    <w:p w14:paraId="00000048" w14:textId="77777777" w:rsidR="00433217" w:rsidRDefault="00433217">
      <w:pPr>
        <w:spacing w:after="0" w:line="480" w:lineRule="auto"/>
        <w:rPr>
          <w:rFonts w:ascii="Times New Roman" w:eastAsia="Times New Roman" w:hAnsi="Times New Roman" w:cs="Times New Roman"/>
        </w:rPr>
      </w:pPr>
    </w:p>
    <w:p w14:paraId="00000049" w14:textId="77777777" w:rsidR="00433217" w:rsidRDefault="00433217">
      <w:pPr>
        <w:spacing w:after="0" w:line="480" w:lineRule="auto"/>
        <w:rPr>
          <w:rFonts w:ascii="Times New Roman" w:eastAsia="Times New Roman" w:hAnsi="Times New Roman" w:cs="Times New Roman"/>
        </w:rPr>
      </w:pPr>
    </w:p>
    <w:p w14:paraId="0000004A" w14:textId="77777777" w:rsidR="00433217" w:rsidRDefault="00433217">
      <w:pPr>
        <w:spacing w:after="0" w:line="480" w:lineRule="auto"/>
        <w:rPr>
          <w:rFonts w:ascii="Times New Roman" w:eastAsia="Times New Roman" w:hAnsi="Times New Roman" w:cs="Times New Roman"/>
        </w:rPr>
      </w:pPr>
    </w:p>
    <w:p w14:paraId="0000004B" w14:textId="77777777" w:rsidR="00433217" w:rsidRDefault="00433217">
      <w:pPr>
        <w:spacing w:after="0" w:line="480" w:lineRule="auto"/>
        <w:rPr>
          <w:rFonts w:ascii="Times New Roman" w:eastAsia="Times New Roman" w:hAnsi="Times New Roman" w:cs="Times New Roman"/>
        </w:rPr>
      </w:pPr>
    </w:p>
    <w:p w14:paraId="0000004C" w14:textId="77777777" w:rsidR="00433217" w:rsidRDefault="00433217">
      <w:pPr>
        <w:spacing w:after="0" w:line="480" w:lineRule="auto"/>
        <w:rPr>
          <w:rFonts w:ascii="Times New Roman" w:eastAsia="Times New Roman" w:hAnsi="Times New Roman" w:cs="Times New Roman"/>
        </w:rPr>
      </w:pPr>
    </w:p>
    <w:p w14:paraId="0000004D" w14:textId="77777777" w:rsidR="00433217" w:rsidRDefault="00433217">
      <w:pPr>
        <w:spacing w:after="0" w:line="480" w:lineRule="auto"/>
        <w:rPr>
          <w:rFonts w:ascii="Times New Roman" w:eastAsia="Times New Roman" w:hAnsi="Times New Roman" w:cs="Times New Roman"/>
        </w:rPr>
      </w:pPr>
    </w:p>
    <w:p w14:paraId="0000004E" w14:textId="77777777" w:rsidR="00433217" w:rsidRDefault="00433217">
      <w:pPr>
        <w:spacing w:after="0" w:line="480" w:lineRule="auto"/>
        <w:rPr>
          <w:rFonts w:ascii="Times New Roman" w:eastAsia="Times New Roman" w:hAnsi="Times New Roman" w:cs="Times New Roman"/>
        </w:rPr>
      </w:pPr>
    </w:p>
    <w:p w14:paraId="0000004F" w14:textId="77777777" w:rsidR="00433217" w:rsidRDefault="00433217">
      <w:pPr>
        <w:spacing w:after="0" w:line="480" w:lineRule="auto"/>
        <w:rPr>
          <w:rFonts w:ascii="Times New Roman" w:eastAsia="Times New Roman" w:hAnsi="Times New Roman" w:cs="Times New Roman"/>
        </w:rPr>
      </w:pPr>
    </w:p>
    <w:p w14:paraId="00000050" w14:textId="77777777" w:rsidR="00433217" w:rsidRDefault="00433217">
      <w:pPr>
        <w:spacing w:after="0" w:line="480" w:lineRule="auto"/>
        <w:rPr>
          <w:rFonts w:ascii="Times New Roman" w:eastAsia="Times New Roman" w:hAnsi="Times New Roman" w:cs="Times New Roman"/>
        </w:rPr>
      </w:pPr>
    </w:p>
    <w:p w14:paraId="00000051" w14:textId="77777777" w:rsidR="00433217" w:rsidRDefault="00433217">
      <w:pPr>
        <w:spacing w:after="0" w:line="480" w:lineRule="auto"/>
        <w:rPr>
          <w:rFonts w:ascii="Times New Roman" w:eastAsia="Times New Roman" w:hAnsi="Times New Roman" w:cs="Times New Roman"/>
        </w:rPr>
      </w:pPr>
    </w:p>
    <w:p w14:paraId="00000052" w14:textId="77777777" w:rsidR="00433217" w:rsidRDefault="00433217">
      <w:pPr>
        <w:spacing w:after="0" w:line="480" w:lineRule="auto"/>
        <w:rPr>
          <w:rFonts w:ascii="Times New Roman" w:eastAsia="Times New Roman" w:hAnsi="Times New Roman" w:cs="Times New Roman"/>
        </w:rPr>
      </w:pPr>
    </w:p>
    <w:p w14:paraId="00000053" w14:textId="77777777" w:rsidR="00433217" w:rsidRDefault="00433217">
      <w:pPr>
        <w:spacing w:after="0" w:line="480" w:lineRule="auto"/>
        <w:rPr>
          <w:rFonts w:ascii="Times New Roman" w:eastAsia="Times New Roman" w:hAnsi="Times New Roman" w:cs="Times New Roman"/>
        </w:rPr>
      </w:pPr>
    </w:p>
    <w:p w14:paraId="00000054" w14:textId="77777777" w:rsidR="00433217" w:rsidRDefault="00433217">
      <w:pPr>
        <w:spacing w:after="0" w:line="480" w:lineRule="auto"/>
        <w:rPr>
          <w:rFonts w:ascii="Times New Roman" w:eastAsia="Times New Roman" w:hAnsi="Times New Roman" w:cs="Times New Roman"/>
        </w:rPr>
      </w:pPr>
    </w:p>
    <w:p w14:paraId="00000055" w14:textId="77777777" w:rsidR="00433217" w:rsidRDefault="00433217">
      <w:pPr>
        <w:spacing w:after="0" w:line="480" w:lineRule="auto"/>
        <w:rPr>
          <w:rFonts w:ascii="Times New Roman" w:eastAsia="Times New Roman" w:hAnsi="Times New Roman" w:cs="Times New Roman"/>
        </w:rPr>
      </w:pPr>
    </w:p>
    <w:p w14:paraId="00000056" w14:textId="77777777" w:rsidR="00433217" w:rsidRDefault="00433217">
      <w:pPr>
        <w:spacing w:after="0" w:line="480" w:lineRule="auto"/>
        <w:rPr>
          <w:rFonts w:ascii="Times New Roman" w:eastAsia="Times New Roman" w:hAnsi="Times New Roman" w:cs="Times New Roman"/>
        </w:rPr>
      </w:pPr>
    </w:p>
    <w:p w14:paraId="00000057" w14:textId="77777777" w:rsidR="00433217" w:rsidRDefault="00433217">
      <w:pPr>
        <w:spacing w:after="0" w:line="480" w:lineRule="auto"/>
        <w:rPr>
          <w:rFonts w:ascii="Times New Roman" w:eastAsia="Times New Roman" w:hAnsi="Times New Roman" w:cs="Times New Roman"/>
        </w:rPr>
      </w:pPr>
    </w:p>
    <w:p w14:paraId="00000058"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b/>
        </w:rPr>
        <w:lastRenderedPageBreak/>
        <w:t>Introduction</w:t>
      </w:r>
    </w:p>
    <w:p w14:paraId="00000059" w14:textId="77777777" w:rsidR="00433217" w:rsidRDefault="00433217">
      <w:pPr>
        <w:spacing w:after="0" w:line="480" w:lineRule="auto"/>
        <w:rPr>
          <w:rFonts w:ascii="Times New Roman" w:eastAsia="Times New Roman" w:hAnsi="Times New Roman" w:cs="Times New Roman"/>
        </w:rPr>
      </w:pPr>
    </w:p>
    <w:p w14:paraId="0000005A"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Neuroendocrine tumours (NET), which in 2019 were reclassified under the umbrella term neuroendocrine (NE) neoplasia</w:t>
      </w:r>
      <w:r>
        <w:rPr>
          <w:rFonts w:ascii="Times New Roman" w:eastAsia="Times New Roman" w:hAnsi="Times New Roman" w:cs="Times New Roman"/>
          <w:vertAlign w:val="superscript"/>
        </w:rPr>
        <w:t>1</w:t>
      </w:r>
      <w:r>
        <w:rPr>
          <w:rFonts w:ascii="Times New Roman" w:eastAsia="Times New Roman" w:hAnsi="Times New Roman" w:cs="Times New Roman"/>
        </w:rPr>
        <w:t xml:space="preserve"> frequently metastasise to the liver. In those with metastatic disease, approximately 80% exhibit liver metastases (LM) at initial diagnosis</w:t>
      </w:r>
      <w:r>
        <w:rPr>
          <w:rFonts w:ascii="Times New Roman" w:eastAsia="Times New Roman" w:hAnsi="Times New Roman" w:cs="Times New Roman"/>
          <w:vertAlign w:val="superscript"/>
        </w:rPr>
        <w:t>2</w:t>
      </w:r>
      <w:r>
        <w:rPr>
          <w:rFonts w:ascii="Times New Roman" w:eastAsia="Times New Roman" w:hAnsi="Times New Roman" w:cs="Times New Roman"/>
        </w:rPr>
        <w:t>. Irrespective of the primary NET site, LM represent the most crucial prognostic factor. In historical series, localised disease exhibits a 5-year overall survival (OS) of 75%-99% compared to 13%-54% for individuals with LM</w:t>
      </w:r>
      <w:r>
        <w:rPr>
          <w:rFonts w:ascii="Times New Roman" w:eastAsia="Times New Roman" w:hAnsi="Times New Roman" w:cs="Times New Roman"/>
          <w:vertAlign w:val="superscript"/>
        </w:rPr>
        <w:t>3</w:t>
      </w:r>
      <w:r>
        <w:rPr>
          <w:rFonts w:ascii="Times New Roman" w:eastAsia="Times New Roman" w:hAnsi="Times New Roman" w:cs="Times New Roman"/>
        </w:rPr>
        <w:t>. Three morphological growth types of NE LM have been identified radiologically: single metastasis irrespective of size (type I), isolated metasta</w:t>
      </w:r>
      <w:r>
        <w:rPr>
          <w:rFonts w:ascii="Times New Roman" w:eastAsia="Times New Roman" w:hAnsi="Times New Roman" w:cs="Times New Roman"/>
        </w:rPr>
        <w:t>tic bulk accompanied by smaller deposits (type II) and disseminated metastatic spread (type III). They delineate therapeutic management trajectories and are predictive of long-term outcomes: 5- and 10-year survival rates are both 100% for type I, 84% and 75% respectively for type II, and 51% and 29% respectively for type III</w:t>
      </w:r>
      <w:r>
        <w:rPr>
          <w:rFonts w:ascii="Times New Roman" w:eastAsia="Times New Roman" w:hAnsi="Times New Roman" w:cs="Times New Roman"/>
          <w:vertAlign w:val="superscript"/>
        </w:rPr>
        <w:t>4</w:t>
      </w:r>
      <w:r>
        <w:rPr>
          <w:rFonts w:ascii="Times New Roman" w:eastAsia="Times New Roman" w:hAnsi="Times New Roman" w:cs="Times New Roman"/>
        </w:rPr>
        <w:t>. Hepatic micrometastases detectable by meticulous pathological examination occur in up to 55% of NE LM. This large group is not demonstrable with conventional cross-sectional or functi</w:t>
      </w:r>
      <w:r>
        <w:rPr>
          <w:rFonts w:ascii="Times New Roman" w:eastAsia="Times New Roman" w:hAnsi="Times New Roman" w:cs="Times New Roman"/>
        </w:rPr>
        <w:t>onal imaging</w:t>
      </w:r>
      <w:r>
        <w:rPr>
          <w:rFonts w:ascii="Times New Roman" w:eastAsia="Times New Roman" w:hAnsi="Times New Roman" w:cs="Times New Roman"/>
          <w:vertAlign w:val="superscript"/>
        </w:rPr>
        <w:t>5</w:t>
      </w:r>
      <w:r>
        <w:rPr>
          <w:rFonts w:ascii="Times New Roman" w:eastAsia="Times New Roman" w:hAnsi="Times New Roman" w:cs="Times New Roman"/>
        </w:rPr>
        <w:t xml:space="preserve"> and represents a major confounder in management strategy. </w:t>
      </w:r>
    </w:p>
    <w:p w14:paraId="0000005B" w14:textId="77777777" w:rsidR="00433217" w:rsidRDefault="00CA652C">
      <w:pPr>
        <w:spacing w:line="480" w:lineRule="auto"/>
        <w:jc w:val="both"/>
        <w:rPr>
          <w:rFonts w:ascii="Times New Roman" w:eastAsia="Times New Roman" w:hAnsi="Times New Roman" w:cs="Times New Roman"/>
        </w:rPr>
      </w:pPr>
      <w:r>
        <w:rPr>
          <w:rFonts w:ascii="Times New Roman" w:eastAsia="Times New Roman" w:hAnsi="Times New Roman" w:cs="Times New Roman"/>
        </w:rPr>
        <w:t>Surgery is considered the quintessential treatment strategy for resectable NE LM, since it not only has potential to improve survival but to ameliorate clinical symptoms dependent on bioactive tumour products</w:t>
      </w:r>
      <w:r>
        <w:rPr>
          <w:rFonts w:ascii="Times New Roman" w:eastAsia="Times New Roman" w:hAnsi="Times New Roman" w:cs="Times New Roman"/>
          <w:vertAlign w:val="superscript"/>
        </w:rPr>
        <w:t>6</w:t>
      </w:r>
      <w:r>
        <w:rPr>
          <w:rFonts w:ascii="Times New Roman" w:eastAsia="Times New Roman" w:hAnsi="Times New Roman" w:cs="Times New Roman"/>
        </w:rPr>
        <w:t>. Following hepatic resection, 5-year and 10-year OS rates range between 61% and 77% and 34% and 51%, respectively, with median survival rates ranging from 81 to 125 months</w:t>
      </w:r>
      <w:r>
        <w:rPr>
          <w:rFonts w:ascii="Times New Roman" w:eastAsia="Times New Roman" w:hAnsi="Times New Roman" w:cs="Times New Roman"/>
          <w:vertAlign w:val="superscript"/>
        </w:rPr>
        <w:t>7-9</w:t>
      </w:r>
      <w:r>
        <w:rPr>
          <w:rFonts w:ascii="Times New Roman" w:eastAsia="Times New Roman" w:hAnsi="Times New Roman" w:cs="Times New Roman"/>
        </w:rPr>
        <w:t>. However, &lt;30% of patients are suitable for complete liver resection with curative intent due to bilobar multifocal tumour growth and concomitant extrahepatic metastases</w:t>
      </w:r>
      <w:r>
        <w:rPr>
          <w:rFonts w:ascii="Times New Roman" w:eastAsia="Times New Roman" w:hAnsi="Times New Roman" w:cs="Times New Roman"/>
          <w:vertAlign w:val="superscript"/>
        </w:rPr>
        <w:t>4,10</w:t>
      </w:r>
      <w:r>
        <w:rPr>
          <w:rFonts w:ascii="Times New Roman" w:eastAsia="Times New Roman" w:hAnsi="Times New Roman" w:cs="Times New Roman"/>
        </w:rPr>
        <w:t>. A further 20% to 30% may be candidates for effective palliative hepatic cytoreduction</w:t>
      </w:r>
      <w:r>
        <w:rPr>
          <w:rFonts w:ascii="Times New Roman" w:eastAsia="Times New Roman" w:hAnsi="Times New Roman" w:cs="Times New Roman"/>
          <w:vertAlign w:val="superscript"/>
        </w:rPr>
        <w:t>11-13</w:t>
      </w:r>
      <w:r>
        <w:rPr>
          <w:rFonts w:ascii="Times New Roman" w:eastAsia="Times New Roman" w:hAnsi="Times New Roman" w:cs="Times New Roman"/>
        </w:rPr>
        <w:t>. NE LM are regarded as one of the few metastatic malignancies that ma</w:t>
      </w:r>
      <w:r>
        <w:rPr>
          <w:rFonts w:ascii="Times New Roman" w:eastAsia="Times New Roman" w:hAnsi="Times New Roman" w:cs="Times New Roman"/>
        </w:rPr>
        <w:t>y qualify for liver transplantation</w:t>
      </w:r>
      <w:r>
        <w:rPr>
          <w:rFonts w:ascii="Times New Roman" w:eastAsia="Times New Roman" w:hAnsi="Times New Roman" w:cs="Times New Roman"/>
          <w:vertAlign w:val="superscript"/>
        </w:rPr>
        <w:t>14</w:t>
      </w:r>
      <w:r>
        <w:rPr>
          <w:rFonts w:ascii="Times New Roman" w:eastAsia="Times New Roman" w:hAnsi="Times New Roman" w:cs="Times New Roman"/>
        </w:rPr>
        <w:t xml:space="preserve">. Early tumour recurrence is the Achilles’ heel of cytoreductive hepatic surgery for neuroendocrine disease with recurrence rates of 70% at </w:t>
      </w:r>
      <w:r>
        <w:rPr>
          <w:rFonts w:ascii="Times New Roman" w:eastAsia="Times New Roman" w:hAnsi="Times New Roman" w:cs="Times New Roman"/>
          <w:u w:val="single"/>
        </w:rPr>
        <w:t>&lt;</w:t>
      </w:r>
      <w:r>
        <w:rPr>
          <w:rFonts w:ascii="Times New Roman" w:eastAsia="Times New Roman" w:hAnsi="Times New Roman" w:cs="Times New Roman"/>
        </w:rPr>
        <w:t>3 years</w:t>
      </w:r>
      <w:r>
        <w:rPr>
          <w:rFonts w:ascii="Times New Roman" w:eastAsia="Times New Roman" w:hAnsi="Times New Roman" w:cs="Times New Roman"/>
          <w:vertAlign w:val="superscript"/>
        </w:rPr>
        <w:t>15</w:t>
      </w:r>
      <w:r>
        <w:rPr>
          <w:rFonts w:ascii="Times New Roman" w:eastAsia="Times New Roman" w:hAnsi="Times New Roman" w:cs="Times New Roman"/>
        </w:rPr>
        <w:t xml:space="preserve"> and up to 94% at 5 years</w:t>
      </w:r>
      <w:r>
        <w:rPr>
          <w:rFonts w:ascii="Times New Roman" w:eastAsia="Times New Roman" w:hAnsi="Times New Roman" w:cs="Times New Roman"/>
          <w:vertAlign w:val="superscript"/>
        </w:rPr>
        <w:t>7</w:t>
      </w:r>
      <w:r>
        <w:rPr>
          <w:rFonts w:ascii="Times New Roman" w:eastAsia="Times New Roman" w:hAnsi="Times New Roman" w:cs="Times New Roman"/>
        </w:rPr>
        <w:t xml:space="preserve">. Residual hepatic micrometastases are considered the cause of disease recurrence and are an independent prognostic factor for poor OS. Such data raise concerns as to the efficacy of current strategy and mandate consideration of complementary approaches to enhance outcomes.  </w:t>
      </w:r>
    </w:p>
    <w:p w14:paraId="0000005C" w14:textId="77777777" w:rsidR="00433217" w:rsidRDefault="00CA652C">
      <w:pPr>
        <w:spacing w:line="480" w:lineRule="auto"/>
        <w:jc w:val="both"/>
        <w:rPr>
          <w:rFonts w:ascii="Times New Roman" w:eastAsia="Times New Roman" w:hAnsi="Times New Roman" w:cs="Times New Roman"/>
        </w:rPr>
      </w:pPr>
      <w:r>
        <w:rPr>
          <w:rFonts w:ascii="Times New Roman" w:eastAsia="Times New Roman" w:hAnsi="Times New Roman" w:cs="Times New Roman"/>
        </w:rPr>
        <w:lastRenderedPageBreak/>
        <w:t>The therapeutic armamentarium for NE LM is extensive and has evolved over recent decades. A fundamental change in NET management was the introduction of somatostatin analogues (SSA) in the early 1990s followed by peptide receptor radionuclide therapy (PRRT) in late 1990s</w:t>
      </w:r>
      <w:r>
        <w:rPr>
          <w:rFonts w:ascii="Times New Roman" w:eastAsia="Times New Roman" w:hAnsi="Times New Roman" w:cs="Times New Roman"/>
          <w:vertAlign w:val="superscript"/>
        </w:rPr>
        <w:t>16</w:t>
      </w:r>
      <w:r>
        <w:rPr>
          <w:rFonts w:ascii="Times New Roman" w:eastAsia="Times New Roman" w:hAnsi="Times New Roman" w:cs="Times New Roman"/>
        </w:rPr>
        <w:t>. Since then, a compendium of systemic palliative therapeutic options has become available. Although some have been shown in phase III trials to prolong PFS, a prolongation of OS remains to be established</w:t>
      </w:r>
      <w:r>
        <w:rPr>
          <w:rFonts w:ascii="Times New Roman" w:eastAsia="Times New Roman" w:hAnsi="Times New Roman" w:cs="Times New Roman"/>
          <w:vertAlign w:val="superscript"/>
        </w:rPr>
        <w:t>17-19</w:t>
      </w:r>
      <w:r>
        <w:rPr>
          <w:rFonts w:ascii="Times New Roman" w:eastAsia="Times New Roman" w:hAnsi="Times New Roman" w:cs="Times New Roman"/>
        </w:rPr>
        <w:t>. Currently, rigorous information is unavailable to determine the treatment response especially in the liver, the selection of treatment based on genomic tumour information, identify optimal therapy sequencing, and combinations thereof. Another important advance with potential to contribute to improv</w:t>
      </w:r>
      <w:r>
        <w:rPr>
          <w:rFonts w:ascii="Times New Roman" w:eastAsia="Times New Roman" w:hAnsi="Times New Roman" w:cs="Times New Roman"/>
        </w:rPr>
        <w:t>ed management of NET is the recently introduced blood-based molecular genomic biomarker (NETest). Such strategies can be used for estimation of tumour burden, prediction of biologic behaviour, assessment of completeness of tumour ablation, early identification of disease recurrence, and individualised treatment selection, especially PRRT</w:t>
      </w:r>
      <w:r>
        <w:rPr>
          <w:rFonts w:ascii="Times New Roman" w:eastAsia="Times New Roman" w:hAnsi="Times New Roman" w:cs="Times New Roman"/>
          <w:vertAlign w:val="superscript"/>
        </w:rPr>
        <w:t>20,21</w:t>
      </w:r>
      <w:r>
        <w:rPr>
          <w:rFonts w:ascii="Times New Roman" w:eastAsia="Times New Roman" w:hAnsi="Times New Roman" w:cs="Times New Roman"/>
        </w:rPr>
        <w:t xml:space="preserve">. </w:t>
      </w:r>
    </w:p>
    <w:p w14:paraId="0000005D" w14:textId="77777777" w:rsidR="00433217" w:rsidRDefault="00CA652C">
      <w:pPr>
        <w:spacing w:line="480" w:lineRule="auto"/>
        <w:rPr>
          <w:rFonts w:ascii="Times New Roman" w:eastAsia="Times New Roman" w:hAnsi="Times New Roman" w:cs="Times New Roman"/>
        </w:rPr>
      </w:pPr>
      <w:r>
        <w:rPr>
          <w:rFonts w:ascii="Times New Roman" w:eastAsia="Times New Roman" w:hAnsi="Times New Roman" w:cs="Times New Roman"/>
        </w:rPr>
        <w:t xml:space="preserve">Of note, despite striking evidence of efficacy and recommendations in various guidelines, somatostatin-receptor based functional diagnostics and therapy are still not widely available for NET patients </w:t>
      </w:r>
      <w:r>
        <w:rPr>
          <w:rFonts w:ascii="Times New Roman" w:eastAsia="Times New Roman" w:hAnsi="Times New Roman" w:cs="Times New Roman"/>
          <w:vertAlign w:val="superscript"/>
        </w:rPr>
        <w:t>22-24</w:t>
      </w:r>
      <w:r>
        <w:rPr>
          <w:rFonts w:ascii="Times New Roman" w:eastAsia="Times New Roman" w:hAnsi="Times New Roman" w:cs="Times New Roman"/>
        </w:rPr>
        <w:t xml:space="preserve">. For example, </w:t>
      </w:r>
      <w:r>
        <w:rPr>
          <w:rFonts w:ascii="Times New Roman" w:eastAsia="Times New Roman" w:hAnsi="Times New Roman" w:cs="Times New Roman"/>
          <w:color w:val="212121"/>
        </w:rPr>
        <w:t>according to a NET patient and healthcare professionals survey conducted in 2019, the availability of </w:t>
      </w:r>
      <w:r>
        <w:rPr>
          <w:rFonts w:ascii="Times New Roman" w:eastAsia="Times New Roman" w:hAnsi="Times New Roman" w:cs="Times New Roman"/>
          <w:color w:val="212121"/>
          <w:vertAlign w:val="superscript"/>
        </w:rPr>
        <w:t>68</w:t>
      </w:r>
      <w:r>
        <w:rPr>
          <w:rFonts w:ascii="Times New Roman" w:eastAsia="Times New Roman" w:hAnsi="Times New Roman" w:cs="Times New Roman"/>
          <w:color w:val="212121"/>
        </w:rPr>
        <w:t>Ga-DOTA PET/CT and PRRT were significantly lower in Asia (45% and 31%, respectively) compared with global figures (60% and 52%, respectively)</w:t>
      </w:r>
      <w:r>
        <w:rPr>
          <w:rFonts w:ascii="Times New Roman" w:eastAsia="Times New Roman" w:hAnsi="Times New Roman" w:cs="Times New Roman"/>
          <w:vertAlign w:val="superscript"/>
        </w:rPr>
        <w:t>25</w:t>
      </w:r>
      <w:r>
        <w:rPr>
          <w:rFonts w:ascii="Times New Roman" w:eastAsia="Times New Roman" w:hAnsi="Times New Roman" w:cs="Times New Roman"/>
          <w:color w:val="212121"/>
        </w:rPr>
        <w:t xml:space="preserve">. </w:t>
      </w:r>
    </w:p>
    <w:p w14:paraId="0000005E"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This report is an international, multicentre, cohort study of prospectively collected data on NE LM from European NET and hepato-pancreato-biliary expert units. The manuscript summarises the trends in treatment approaches, describes the evolution of outcomes, and provides an overview of the integration of novel developments over the past three decades in NE LM. </w:t>
      </w:r>
    </w:p>
    <w:p w14:paraId="0000005F" w14:textId="77777777" w:rsidR="00433217" w:rsidRDefault="00433217">
      <w:pPr>
        <w:spacing w:after="0" w:line="480" w:lineRule="auto"/>
        <w:rPr>
          <w:rFonts w:ascii="Times New Roman" w:eastAsia="Times New Roman" w:hAnsi="Times New Roman" w:cs="Times New Roman"/>
        </w:rPr>
      </w:pPr>
    </w:p>
    <w:p w14:paraId="00000060" w14:textId="77777777" w:rsidR="00433217" w:rsidRDefault="00433217">
      <w:pPr>
        <w:spacing w:after="0" w:line="480" w:lineRule="auto"/>
        <w:rPr>
          <w:rFonts w:ascii="Times New Roman" w:eastAsia="Times New Roman" w:hAnsi="Times New Roman" w:cs="Times New Roman"/>
        </w:rPr>
      </w:pPr>
    </w:p>
    <w:p w14:paraId="00000061" w14:textId="77777777" w:rsidR="00433217" w:rsidRDefault="00433217">
      <w:pPr>
        <w:spacing w:after="0" w:line="480" w:lineRule="auto"/>
        <w:rPr>
          <w:rFonts w:ascii="Times New Roman" w:eastAsia="Times New Roman" w:hAnsi="Times New Roman" w:cs="Times New Roman"/>
        </w:rPr>
      </w:pPr>
    </w:p>
    <w:p w14:paraId="00000062" w14:textId="77777777" w:rsidR="00433217" w:rsidRDefault="00433217">
      <w:pPr>
        <w:spacing w:after="0" w:line="480" w:lineRule="auto"/>
        <w:rPr>
          <w:rFonts w:ascii="Times New Roman" w:eastAsia="Times New Roman" w:hAnsi="Times New Roman" w:cs="Times New Roman"/>
        </w:rPr>
      </w:pPr>
    </w:p>
    <w:p w14:paraId="00000063" w14:textId="77777777" w:rsidR="00433217" w:rsidRDefault="00433217">
      <w:pPr>
        <w:spacing w:after="0" w:line="480" w:lineRule="auto"/>
        <w:rPr>
          <w:rFonts w:ascii="Times New Roman" w:eastAsia="Times New Roman" w:hAnsi="Times New Roman" w:cs="Times New Roman"/>
        </w:rPr>
      </w:pPr>
    </w:p>
    <w:p w14:paraId="00000064" w14:textId="77777777" w:rsidR="00433217" w:rsidRDefault="00433217">
      <w:pPr>
        <w:spacing w:after="0" w:line="480" w:lineRule="auto"/>
        <w:rPr>
          <w:rFonts w:ascii="Times New Roman" w:eastAsia="Times New Roman" w:hAnsi="Times New Roman" w:cs="Times New Roman"/>
        </w:rPr>
      </w:pPr>
    </w:p>
    <w:p w14:paraId="00000065" w14:textId="77777777" w:rsidR="00433217" w:rsidRDefault="00CA652C">
      <w:pPr>
        <w:spacing w:after="0" w:line="480" w:lineRule="auto"/>
        <w:rPr>
          <w:rFonts w:ascii="Times New Roman" w:eastAsia="Times New Roman" w:hAnsi="Times New Roman" w:cs="Times New Roman"/>
          <w:b/>
        </w:rPr>
      </w:pPr>
      <w:r>
        <w:rPr>
          <w:rFonts w:ascii="Times New Roman" w:eastAsia="Times New Roman" w:hAnsi="Times New Roman" w:cs="Times New Roman"/>
          <w:b/>
        </w:rPr>
        <w:lastRenderedPageBreak/>
        <w:t xml:space="preserve">Methods </w:t>
      </w:r>
    </w:p>
    <w:p w14:paraId="00000066" w14:textId="77777777" w:rsidR="00433217" w:rsidRDefault="00433217">
      <w:pPr>
        <w:spacing w:after="0" w:line="480" w:lineRule="auto"/>
        <w:rPr>
          <w:rFonts w:ascii="Times New Roman" w:eastAsia="Times New Roman" w:hAnsi="Times New Roman" w:cs="Times New Roman"/>
        </w:rPr>
      </w:pPr>
    </w:p>
    <w:p w14:paraId="00000067" w14:textId="77777777" w:rsidR="00433217" w:rsidRDefault="00CA652C">
      <w:pPr>
        <w:spacing w:after="0" w:line="480" w:lineRule="auto"/>
        <w:rPr>
          <w:rFonts w:ascii="Times New Roman" w:eastAsia="Times New Roman" w:hAnsi="Times New Roman" w:cs="Times New Roman"/>
          <w:i/>
        </w:rPr>
      </w:pPr>
      <w:r>
        <w:rPr>
          <w:rFonts w:ascii="Times New Roman" w:eastAsia="Times New Roman" w:hAnsi="Times New Roman" w:cs="Times New Roman"/>
          <w:i/>
        </w:rPr>
        <w:t xml:space="preserve">Data sources and study population </w:t>
      </w:r>
    </w:p>
    <w:p w14:paraId="00000068" w14:textId="77777777" w:rsidR="00433217" w:rsidRDefault="00CA652C">
      <w:pPr>
        <w:pBdr>
          <w:top w:val="nil"/>
          <w:left w:val="nil"/>
          <w:bottom w:val="nil"/>
          <w:right w:val="nil"/>
          <w:between w:val="nil"/>
        </w:pBdr>
        <w:spacing w:before="280" w:after="28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We undertook a retrospective review of prospectively maintained databases of consecutive individuals with NE LM treated between 1</w:t>
      </w:r>
      <w:r>
        <w:rPr>
          <w:rFonts w:ascii="Times New Roman" w:eastAsia="Times New Roman" w:hAnsi="Times New Roman" w:cs="Times New Roman"/>
          <w:color w:val="000000"/>
          <w:vertAlign w:val="superscript"/>
        </w:rPr>
        <w:t>st</w:t>
      </w:r>
      <w:r>
        <w:rPr>
          <w:rFonts w:ascii="Times New Roman" w:eastAsia="Times New Roman" w:hAnsi="Times New Roman" w:cs="Times New Roman"/>
          <w:color w:val="000000"/>
        </w:rPr>
        <w:t xml:space="preserve"> Jan 1990 and 31</w:t>
      </w:r>
      <w:r>
        <w:rPr>
          <w:rFonts w:ascii="Times New Roman" w:eastAsia="Times New Roman" w:hAnsi="Times New Roman" w:cs="Times New Roman"/>
          <w:color w:val="000000"/>
          <w:vertAlign w:val="superscript"/>
        </w:rPr>
        <w:t>st</w:t>
      </w:r>
      <w:r>
        <w:rPr>
          <w:rFonts w:ascii="Times New Roman" w:eastAsia="Times New Roman" w:hAnsi="Times New Roman" w:cs="Times New Roman"/>
          <w:color w:val="000000"/>
        </w:rPr>
        <w:t xml:space="preserve"> Dec 2020 at four European centres: Imperial College Healthcare NHS Trust (ICHNT), London, UK; The University Hospital Hamburg (UKE), Hamburg, Germany; University Hospital Essen (UE), Germany; and Zentralklinik Bad Berka (ZKBB), Bad Berka, Germany. At each institution at least one of the authors was responsible for the management of patients with NE LM since the beginning of the study (NH, AF and PD at ICHNT, AF and JRI at UKE, AF and ML at UE, DK and RPB at ZKBB). The main enrolment cri</w:t>
      </w:r>
      <w:r>
        <w:rPr>
          <w:rFonts w:ascii="Times New Roman" w:eastAsia="Times New Roman" w:hAnsi="Times New Roman" w:cs="Times New Roman"/>
          <w:color w:val="000000"/>
        </w:rPr>
        <w:t>terion was the diagnosis of NE LM irrespective of the treatment anticipated. All patients were evaluated by the individual disease management team of the respective hospital. The diagnosis of NE LM was confirmed either on liver biopsy and/or histopathology of the surgical liver specimen. Since the late 1990s, each contributing centre has maintained a</w:t>
      </w:r>
      <w:r>
        <w:rPr>
          <w:rFonts w:ascii="Times New Roman" w:eastAsia="Times New Roman" w:hAnsi="Times New Roman" w:cs="Times New Roman"/>
        </w:rPr>
        <w:t xml:space="preserve"> prospective institutional NET database. For the purposes of this study, we designed a central database capturing 30 parameters of relevance for our analyses. F</w:t>
      </w:r>
      <w:r>
        <w:rPr>
          <w:rFonts w:ascii="Times New Roman" w:eastAsia="Times New Roman" w:hAnsi="Times New Roman" w:cs="Times New Roman"/>
        </w:rPr>
        <w:t>or uniformity and in the interests of quality control, predefined drop-down functions were implemented. Each centre was asked to provide their respective individual patient-level data, which were cross-checked for validity. Data were implemented in the final central database by a co-author (AKC) with statistical expertise.</w:t>
      </w:r>
      <w:r>
        <w:rPr>
          <w:rFonts w:ascii="Times New Roman" w:eastAsia="Times New Roman" w:hAnsi="Times New Roman" w:cs="Times New Roman"/>
          <w:i/>
          <w:color w:val="000000"/>
        </w:rPr>
        <w:t xml:space="preserve"> </w:t>
      </w:r>
      <w:r>
        <w:rPr>
          <w:rFonts w:ascii="Times New Roman" w:eastAsia="Times New Roman" w:hAnsi="Times New Roman" w:cs="Times New Roman"/>
          <w:color w:val="000000"/>
        </w:rPr>
        <w:t xml:space="preserve">In total, 652 patients were initially considered for this study. Due to incomplete follow-up data, 101 were excluded from the final analysis. </w:t>
      </w:r>
      <w:r>
        <w:rPr>
          <w:rFonts w:ascii="Times New Roman" w:eastAsia="Times New Roman" w:hAnsi="Times New Roman" w:cs="Times New Roman"/>
          <w:color w:val="000000"/>
        </w:rPr>
        <w:br/>
      </w:r>
    </w:p>
    <w:p w14:paraId="00000069" w14:textId="77777777" w:rsidR="00433217" w:rsidRDefault="00CA652C">
      <w:pPr>
        <w:spacing w:after="0" w:line="480" w:lineRule="auto"/>
        <w:rPr>
          <w:rFonts w:ascii="Times New Roman" w:eastAsia="Times New Roman" w:hAnsi="Times New Roman" w:cs="Times New Roman"/>
          <w:i/>
        </w:rPr>
      </w:pPr>
      <w:r>
        <w:rPr>
          <w:rFonts w:ascii="Times New Roman" w:eastAsia="Times New Roman" w:hAnsi="Times New Roman" w:cs="Times New Roman"/>
          <w:i/>
        </w:rPr>
        <w:t>Clinical practice</w:t>
      </w:r>
    </w:p>
    <w:p w14:paraId="0000006A" w14:textId="77777777" w:rsidR="00433217" w:rsidRDefault="00CA652C">
      <w:pPr>
        <w:spacing w:after="0" w:line="480" w:lineRule="auto"/>
        <w:rPr>
          <w:rFonts w:ascii="Times New Roman" w:eastAsia="Times New Roman" w:hAnsi="Times New Roman" w:cs="Times New Roman"/>
          <w:i/>
        </w:rPr>
      </w:pPr>
      <w:r>
        <w:rPr>
          <w:rFonts w:ascii="Times New Roman" w:eastAsia="Times New Roman" w:hAnsi="Times New Roman" w:cs="Times New Roman"/>
        </w:rPr>
        <w:t xml:space="preserve">In all participant institutions, management of NET followed guidelines of the European Neuroendocrine Tumor Society (ENETS) since their establishment in 2004 and was broadly comparable in terms of the diagnostics and therapies applied. Functional imaging was available during the entire study period; for grade (G) 1 and G2 tumours, this was initially somatostatin receptor </w:t>
      </w:r>
      <w:r>
        <w:rPr>
          <w:rFonts w:ascii="Times New Roman" w:eastAsia="Times New Roman" w:hAnsi="Times New Roman" w:cs="Times New Roman"/>
        </w:rPr>
        <w:lastRenderedPageBreak/>
        <w:t xml:space="preserve">scintigraphy, and later somatostatin receptor-based positron emission tomography/computed tomography (PET/CT), with additional </w:t>
      </w:r>
      <w:r>
        <w:rPr>
          <w:rFonts w:ascii="Times New Roman" w:eastAsia="Times New Roman" w:hAnsi="Times New Roman" w:cs="Times New Roman"/>
          <w:vertAlign w:val="superscript"/>
        </w:rPr>
        <w:t>18</w:t>
      </w:r>
      <w:r>
        <w:rPr>
          <w:rFonts w:ascii="Times New Roman" w:eastAsia="Times New Roman" w:hAnsi="Times New Roman" w:cs="Times New Roman"/>
        </w:rPr>
        <w:t xml:space="preserve">F-FDG PET/CT for G2/G3 lesions. Computed tomography and more recently magnetic resonance imaging (MRI) were applied for anatomic imaging. </w:t>
      </w:r>
      <w:r>
        <w:rPr>
          <w:rFonts w:ascii="Times New Roman" w:eastAsia="Times New Roman" w:hAnsi="Times New Roman" w:cs="Times New Roman"/>
          <w:color w:val="212121"/>
        </w:rPr>
        <w:t xml:space="preserve">Liver metastases were defined as synchronous if present at the time of primary tumour diagnosis, and as metachronous if diagnosed at least 6 months after primary tumour diagnosis.  </w:t>
      </w:r>
    </w:p>
    <w:p w14:paraId="0000006B" w14:textId="77777777" w:rsidR="00433217" w:rsidRDefault="00CA652C">
      <w:pPr>
        <w:spacing w:after="0" w:line="480" w:lineRule="auto"/>
        <w:rPr>
          <w:rFonts w:ascii="Times New Roman" w:eastAsia="Times New Roman" w:hAnsi="Times New Roman" w:cs="Times New Roman"/>
        </w:rPr>
      </w:pPr>
      <w:sdt>
        <w:sdtPr>
          <w:tag w:val="goog_rdk_0"/>
          <w:id w:val="-73750586"/>
        </w:sdtPr>
        <w:sdtEndPr/>
        <w:sdtContent>
          <w:r>
            <w:rPr>
              <w:rFonts w:ascii="Gungsuh" w:eastAsia="Gungsuh" w:hAnsi="Gungsuh" w:cs="Gungsuh"/>
            </w:rPr>
            <w:t>Liver directed surgical procedures included R0/R1 resection, debulking (R2, ≥90% cytoreduction), resection or debulking in combination with radiofrequency ablation (RFA), and liver transplantation. Ninety-day postoperative mortality and morbidity were recorded and from 2009 onwards categorised according to the Clavien-Dindo classification</w:t>
          </w:r>
        </w:sdtContent>
      </w:sdt>
      <w:r>
        <w:rPr>
          <w:rFonts w:ascii="Times New Roman" w:eastAsia="Times New Roman" w:hAnsi="Times New Roman" w:cs="Times New Roman"/>
          <w:vertAlign w:val="superscript"/>
        </w:rPr>
        <w:t>26</w:t>
      </w:r>
      <w:r>
        <w:rPr>
          <w:rFonts w:ascii="Times New Roman" w:eastAsia="Times New Roman" w:hAnsi="Times New Roman" w:cs="Times New Roman"/>
        </w:rPr>
        <w:t>. Liver directed interventional therapies encompassed percutaneous CT- or ultrasound guided RFA and various angiographic techniques (trans-arterial bland embolization [TAE], trans-arterial chemoembolization [TACE], and trans-arterial radioembolization [TARE]). Non-surgical treatment modalities consisted of systemic therapies including SSA, interferon alpha, cytotoxic chemotherapy, molecular targeted therapy, and PRRT. Of note, PRRT was not available on the UK National Health Service during the 3</w:t>
      </w:r>
      <w:r>
        <w:rPr>
          <w:rFonts w:ascii="Times New Roman" w:eastAsia="Times New Roman" w:hAnsi="Times New Roman" w:cs="Times New Roman"/>
          <w:vertAlign w:val="superscript"/>
        </w:rPr>
        <w:t>rd</w:t>
      </w:r>
      <w:r>
        <w:rPr>
          <w:rFonts w:ascii="Times New Roman" w:eastAsia="Times New Roman" w:hAnsi="Times New Roman" w:cs="Times New Roman"/>
        </w:rPr>
        <w:t xml:space="preserve"> period </w:t>
      </w:r>
      <w:r>
        <w:rPr>
          <w:rFonts w:ascii="Times New Roman" w:eastAsia="Times New Roman" w:hAnsi="Times New Roman" w:cs="Times New Roman"/>
        </w:rPr>
        <w:t xml:space="preserve">of the study. </w:t>
      </w:r>
    </w:p>
    <w:p w14:paraId="0000006C" w14:textId="77777777" w:rsidR="00433217" w:rsidRDefault="00433217">
      <w:pPr>
        <w:spacing w:after="0" w:line="480" w:lineRule="auto"/>
        <w:rPr>
          <w:rFonts w:ascii="Times New Roman" w:eastAsia="Times New Roman" w:hAnsi="Times New Roman" w:cs="Times New Roman"/>
        </w:rPr>
      </w:pPr>
    </w:p>
    <w:p w14:paraId="0000006D"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Follow-up protocols encompassing standard biochemistry, assessment of blood and urinary standard NET biomarkers, morphologic imaging, and functional imaging were comparable at all institutions. Multimodal therapy was defined as any treatment strategy in which more than one modality was used. </w:t>
      </w:r>
    </w:p>
    <w:p w14:paraId="0000006E" w14:textId="77777777" w:rsidR="00433217" w:rsidRDefault="00433217">
      <w:pPr>
        <w:spacing w:after="0" w:line="480" w:lineRule="auto"/>
        <w:rPr>
          <w:rFonts w:ascii="Times New Roman" w:eastAsia="Times New Roman" w:hAnsi="Times New Roman" w:cs="Times New Roman"/>
        </w:rPr>
      </w:pPr>
    </w:p>
    <w:p w14:paraId="0000006F" w14:textId="77777777" w:rsidR="00433217" w:rsidRDefault="00CA652C">
      <w:pPr>
        <w:spacing w:after="0" w:line="480" w:lineRule="auto"/>
        <w:rPr>
          <w:rFonts w:ascii="Times New Roman" w:eastAsia="Times New Roman" w:hAnsi="Times New Roman" w:cs="Times New Roman"/>
          <w:i/>
        </w:rPr>
      </w:pPr>
      <w:r>
        <w:rPr>
          <w:rFonts w:ascii="Times New Roman" w:eastAsia="Times New Roman" w:hAnsi="Times New Roman" w:cs="Times New Roman"/>
          <w:i/>
        </w:rPr>
        <w:t xml:space="preserve">Outcome definitions </w:t>
      </w:r>
    </w:p>
    <w:p w14:paraId="00000070"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The primary endpoint was OS, with secondary endpoints of recurrence-free and progression-free survival. Overall survival was calculated from date of initial diagnosis to death from NET, death from a non-NET cause, loss to follow-up, or reaching the end of follow-up alive (censoring, 31/12/2020). To address metachronous metastases, OS was also estimated from the date of detection of LM. Progression-free survival (PFS) was defined as follow-up from date of first medical treatment to date </w:t>
      </w:r>
      <w:r>
        <w:rPr>
          <w:rFonts w:ascii="Times New Roman" w:eastAsia="Times New Roman" w:hAnsi="Times New Roman" w:cs="Times New Roman"/>
        </w:rPr>
        <w:lastRenderedPageBreak/>
        <w:t xml:space="preserve">of disease progression on routine follow-up imaging. Recurrence-free survival (RFS) was calculated from date of surgical treatment (R0/R1 resection) of NE LM until the date of imaging-confirmed recurrence of LM, death from a non-NET cause, or censoring. Progression-free survival was not determined for patients who underwent debulking (R2 resection). </w:t>
      </w:r>
    </w:p>
    <w:p w14:paraId="00000071"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Patient demographics and tumour characteristics were reported with descriptive statistics. Continuous variables were expressed as means with standard deviation (SD) or as medians with ranges. Kaplan-Meier methodology was used to estimate 5- and 10-year OS, PFS and RFS with 95% confidence intervals (CI). To assess for temporal outcome trends, the cohort was split by period of NET diagnosis: period I (01/01/1990 to 31/01/1999), period II (01/01/2000 to 31/01/2009), and period III (01/01/2010 to 31/12/2020). F</w:t>
      </w:r>
      <w:r>
        <w:rPr>
          <w:rFonts w:ascii="Times New Roman" w:eastAsia="Times New Roman" w:hAnsi="Times New Roman" w:cs="Times New Roman"/>
        </w:rPr>
        <w:t>ollow-up for period-specific OS was truncated at the end date for the patient’s respective decade in which they were diagnosed.</w:t>
      </w:r>
    </w:p>
    <w:p w14:paraId="00000072" w14:textId="77777777" w:rsidR="00433217" w:rsidRDefault="00433217">
      <w:pPr>
        <w:spacing w:after="0" w:line="480" w:lineRule="auto"/>
        <w:rPr>
          <w:rFonts w:ascii="Times New Roman" w:eastAsia="Times New Roman" w:hAnsi="Times New Roman" w:cs="Times New Roman"/>
        </w:rPr>
      </w:pPr>
    </w:p>
    <w:p w14:paraId="00000073" w14:textId="77777777" w:rsidR="00433217" w:rsidRDefault="00CA652C">
      <w:pPr>
        <w:spacing w:after="0" w:line="480" w:lineRule="auto"/>
        <w:rPr>
          <w:rFonts w:ascii="Times New Roman" w:eastAsia="Times New Roman" w:hAnsi="Times New Roman" w:cs="Times New Roman"/>
          <w:i/>
        </w:rPr>
      </w:pPr>
      <w:r>
        <w:rPr>
          <w:rFonts w:ascii="Times New Roman" w:eastAsia="Times New Roman" w:hAnsi="Times New Roman" w:cs="Times New Roman"/>
          <w:i/>
        </w:rPr>
        <w:t xml:space="preserve">Statistical Analyses </w:t>
      </w:r>
    </w:p>
    <w:p w14:paraId="00000074"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Kaplan-Meier methodology was used to </w:t>
      </w:r>
      <w:r>
        <w:rPr>
          <w:rFonts w:ascii="Times New Roman" w:eastAsia="Times New Roman" w:hAnsi="Times New Roman" w:cs="Times New Roman"/>
          <w:color w:val="000000"/>
        </w:rPr>
        <w:t>estimate OS within each</w:t>
      </w:r>
      <w:r>
        <w:rPr>
          <w:rFonts w:ascii="Times New Roman" w:eastAsia="Times New Roman" w:hAnsi="Times New Roman" w:cs="Times New Roman"/>
        </w:rPr>
        <w:t xml:space="preserve"> temporal period; period-specific survival curves were compared with log-rank tests.    </w:t>
      </w:r>
    </w:p>
    <w:p w14:paraId="00000075"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Cox proportional hazards modelling was used to estimate hazard ratios (with 95% confidence intervals [CIs]) for the prognostic roles of pre-selected characteristics on 10-year OS. Univariable and multivariable analyses were conducted. Potential non-linearities were explored for age with fractional polynomials with up to 2 powers. Trends in the use of selected treatments across each decade were assessed using Chi-squared tests. A p-value of &lt;0.05 was set as the threshold for statistical significance. All ana</w:t>
      </w:r>
      <w:r>
        <w:rPr>
          <w:rFonts w:ascii="Times New Roman" w:eastAsia="Times New Roman" w:hAnsi="Times New Roman" w:cs="Times New Roman"/>
        </w:rPr>
        <w:t xml:space="preserve">lyses were undertaken in Stata V17.   </w:t>
      </w:r>
    </w:p>
    <w:p w14:paraId="00000076" w14:textId="77777777" w:rsidR="00433217" w:rsidRDefault="00433217">
      <w:pPr>
        <w:spacing w:after="0" w:line="480" w:lineRule="auto"/>
        <w:rPr>
          <w:rFonts w:ascii="Times New Roman" w:eastAsia="Times New Roman" w:hAnsi="Times New Roman" w:cs="Times New Roman"/>
          <w:i/>
        </w:rPr>
      </w:pPr>
    </w:p>
    <w:p w14:paraId="00000077" w14:textId="77777777" w:rsidR="00433217" w:rsidRDefault="00CA652C">
      <w:pPr>
        <w:spacing w:after="0" w:line="480" w:lineRule="auto"/>
        <w:rPr>
          <w:rFonts w:ascii="Times New Roman" w:eastAsia="Times New Roman" w:hAnsi="Times New Roman" w:cs="Times New Roman"/>
          <w:i/>
        </w:rPr>
      </w:pPr>
      <w:r>
        <w:rPr>
          <w:rFonts w:ascii="Times New Roman" w:eastAsia="Times New Roman" w:hAnsi="Times New Roman" w:cs="Times New Roman"/>
          <w:i/>
        </w:rPr>
        <w:t xml:space="preserve">Ethics approval </w:t>
      </w:r>
    </w:p>
    <w:p w14:paraId="00000078" w14:textId="77777777" w:rsidR="00433217" w:rsidRDefault="00CA652C">
      <w:pPr>
        <w:spacing w:after="0" w:line="480" w:lineRule="auto"/>
        <w:rPr>
          <w:rFonts w:ascii="Times New Roman" w:eastAsia="Times New Roman" w:hAnsi="Times New Roman" w:cs="Times New Roman"/>
          <w:i/>
        </w:rPr>
      </w:pPr>
      <w:r>
        <w:rPr>
          <w:rFonts w:ascii="Times New Roman" w:eastAsia="Times New Roman" w:hAnsi="Times New Roman" w:cs="Times New Roman"/>
        </w:rPr>
        <w:t xml:space="preserve">Institution-specific ethics approvals were in place for each centre. The Principal Investigator (AF) was granted overarching ethics approval for the multicentric study (REC reference 23/SC/0028). </w:t>
      </w:r>
      <w:r>
        <w:rPr>
          <w:rFonts w:ascii="Times New Roman" w:eastAsia="Times New Roman" w:hAnsi="Times New Roman" w:cs="Times New Roman"/>
          <w:color w:val="000000"/>
        </w:rPr>
        <w:t xml:space="preserve">All patients provided informed consent for inclusion in respective institutional databases. </w:t>
      </w:r>
    </w:p>
    <w:p w14:paraId="00000079" w14:textId="77777777" w:rsidR="00433217" w:rsidRDefault="00433217">
      <w:pPr>
        <w:spacing w:after="0" w:line="480" w:lineRule="auto"/>
        <w:rPr>
          <w:rFonts w:ascii="Times New Roman" w:eastAsia="Times New Roman" w:hAnsi="Times New Roman" w:cs="Times New Roman"/>
        </w:rPr>
      </w:pPr>
    </w:p>
    <w:p w14:paraId="0000007A" w14:textId="77777777" w:rsidR="00433217" w:rsidRDefault="00433217">
      <w:pPr>
        <w:spacing w:after="0" w:line="480" w:lineRule="auto"/>
        <w:rPr>
          <w:rFonts w:ascii="Times New Roman" w:eastAsia="Times New Roman" w:hAnsi="Times New Roman" w:cs="Times New Roman"/>
        </w:rPr>
      </w:pPr>
    </w:p>
    <w:p w14:paraId="0000007B" w14:textId="77777777" w:rsidR="00433217" w:rsidRDefault="00433217">
      <w:pPr>
        <w:spacing w:after="0" w:line="480" w:lineRule="auto"/>
        <w:rPr>
          <w:rFonts w:ascii="Times New Roman" w:eastAsia="Times New Roman" w:hAnsi="Times New Roman" w:cs="Times New Roman"/>
        </w:rPr>
      </w:pPr>
    </w:p>
    <w:p w14:paraId="0000007C" w14:textId="77777777" w:rsidR="00433217" w:rsidRDefault="00CA652C">
      <w:pPr>
        <w:spacing w:after="0" w:line="480" w:lineRule="auto"/>
        <w:rPr>
          <w:rFonts w:ascii="Times New Roman" w:eastAsia="Times New Roman" w:hAnsi="Times New Roman" w:cs="Times New Roman"/>
          <w:color w:val="212121"/>
        </w:rPr>
      </w:pPr>
      <w:r>
        <w:rPr>
          <w:rFonts w:ascii="Times New Roman" w:eastAsia="Times New Roman" w:hAnsi="Times New Roman" w:cs="Times New Roman"/>
          <w:color w:val="212121"/>
        </w:rPr>
        <w:t xml:space="preserve"> </w:t>
      </w:r>
    </w:p>
    <w:p w14:paraId="0000007D" w14:textId="77777777" w:rsidR="00433217" w:rsidRDefault="00CA652C">
      <w:pPr>
        <w:spacing w:after="0" w:line="480" w:lineRule="auto"/>
        <w:rPr>
          <w:rFonts w:ascii="Times New Roman" w:eastAsia="Times New Roman" w:hAnsi="Times New Roman" w:cs="Times New Roman"/>
          <w:b/>
        </w:rPr>
      </w:pPr>
      <w:r>
        <w:rPr>
          <w:rFonts w:ascii="Times New Roman" w:eastAsia="Times New Roman" w:hAnsi="Times New Roman" w:cs="Times New Roman"/>
          <w:b/>
        </w:rPr>
        <w:t xml:space="preserve">Results </w:t>
      </w:r>
    </w:p>
    <w:p w14:paraId="0000007E" w14:textId="77777777" w:rsidR="00433217" w:rsidRDefault="00433217">
      <w:pPr>
        <w:spacing w:after="0" w:line="480" w:lineRule="auto"/>
        <w:rPr>
          <w:rFonts w:ascii="Times New Roman" w:eastAsia="Times New Roman" w:hAnsi="Times New Roman" w:cs="Times New Roman"/>
          <w:b/>
        </w:rPr>
      </w:pPr>
    </w:p>
    <w:p w14:paraId="0000007F" w14:textId="77777777" w:rsidR="00433217" w:rsidRDefault="00CA652C">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 xml:space="preserve">Overall, we assessed </w:t>
      </w:r>
      <w:r>
        <w:rPr>
          <w:rFonts w:ascii="Times New Roman" w:eastAsia="Times New Roman" w:hAnsi="Times New Roman" w:cs="Times New Roman"/>
          <w:color w:val="000000"/>
        </w:rPr>
        <w:t>551 patients in this study: 245 females (44.5%) and 306 males (55.5%), Patient demographic data and tumour characteristics are summarised (</w:t>
      </w:r>
      <w:r>
        <w:rPr>
          <w:rFonts w:ascii="Times New Roman" w:eastAsia="Times New Roman" w:hAnsi="Times New Roman" w:cs="Times New Roman"/>
          <w:b/>
          <w:color w:val="000000"/>
        </w:rPr>
        <w:t>Table 1</w:t>
      </w:r>
      <w:r>
        <w:rPr>
          <w:rFonts w:ascii="Times New Roman" w:eastAsia="Times New Roman" w:hAnsi="Times New Roman" w:cs="Times New Roman"/>
          <w:color w:val="000000"/>
        </w:rPr>
        <w:t>). Median age at diagnosis was 59.1 years (range 15.1 to 85.4 years). The primary tumour site was: small intestine (50.1%, n=276), pancreas (30.3%, n=167), broncho-pulmonary system (5.3%, n=29), large bowel (2.9%, n=16), duodenum (2.0%, n=11), stomach (1.3%, n=7), and other 9 (1.6%). The primary tumour site was unknown in 6.5% (n=36). There were 206 (37.3%) functi</w:t>
      </w:r>
      <w:r>
        <w:rPr>
          <w:rFonts w:ascii="Times New Roman" w:eastAsia="Times New Roman" w:hAnsi="Times New Roman" w:cs="Times New Roman"/>
          <w:color w:val="000000"/>
        </w:rPr>
        <w:t>onal tumours. In 172 patients (31.2%) carcinoid syndrome was evident and 48 (8.7%) had carcinoid heart disease. Pathology grading was mostly G1 (38.8%) or G2 (40.8%). Tumour grade was not available for 60 cases. In all of them a well-differentiated NET and positivity on somatostatin receptor imaging were confirmed. Retrospective immunostaining was not feasible due to insufficient material available. Based on anatomic and/or functional imaging at initial diagnosis, lymph node metastases were present in 387 (</w:t>
      </w:r>
      <w:r>
        <w:rPr>
          <w:rFonts w:ascii="Times New Roman" w:eastAsia="Times New Roman" w:hAnsi="Times New Roman" w:cs="Times New Roman"/>
          <w:color w:val="000000"/>
        </w:rPr>
        <w:t xml:space="preserve">70.2%) and distant metastases in 459 (82.1%). Synchronous LM were noted in 453 (82.2%). Median time between initial NET diagnosis and detection of metachronous LM was 48 months (range 6-300 months).  </w:t>
      </w:r>
    </w:p>
    <w:p w14:paraId="00000080" w14:textId="77777777" w:rsidR="00433217" w:rsidRDefault="00433217">
      <w:pPr>
        <w:spacing w:after="0" w:line="480" w:lineRule="auto"/>
        <w:rPr>
          <w:rFonts w:ascii="Times New Roman" w:eastAsia="Times New Roman" w:hAnsi="Times New Roman" w:cs="Times New Roman"/>
          <w:color w:val="000000"/>
        </w:rPr>
      </w:pPr>
    </w:p>
    <w:p w14:paraId="00000081" w14:textId="77777777" w:rsidR="00433217" w:rsidRDefault="00CA652C">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br/>
      </w:r>
      <w:r>
        <w:rPr>
          <w:rFonts w:ascii="Times New Roman" w:eastAsia="Times New Roman" w:hAnsi="Times New Roman" w:cs="Times New Roman"/>
          <w:i/>
          <w:color w:val="000000"/>
        </w:rPr>
        <w:t>Surgery</w:t>
      </w:r>
    </w:p>
    <w:p w14:paraId="00000082" w14:textId="77777777" w:rsidR="00433217" w:rsidRDefault="00CA652C">
      <w:pP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The primary tumour was resected in the majority of individuals (n=413, 75.0%) (</w:t>
      </w:r>
      <w:r>
        <w:rPr>
          <w:rFonts w:ascii="Times New Roman" w:eastAsia="Times New Roman" w:hAnsi="Times New Roman" w:cs="Times New Roman"/>
          <w:b/>
          <w:color w:val="000000"/>
        </w:rPr>
        <w:t>Table 2</w:t>
      </w:r>
      <w:r>
        <w:rPr>
          <w:rFonts w:ascii="Times New Roman" w:eastAsia="Times New Roman" w:hAnsi="Times New Roman" w:cs="Times New Roman"/>
          <w:color w:val="000000"/>
        </w:rPr>
        <w:t xml:space="preserve">). Subsequently or synchronously with primary tumour resection, 198 (35.9%) underwent surgical treatment of their LM. In this group 129 (65.2%) had formal hepatic resection and 54 (27.3%) had cytoreduction of gross hepatic tumour mass. Liver transplantation was undertaken in 15 (7.6%), 3 with a graft from a living donor. </w:t>
      </w:r>
    </w:p>
    <w:p w14:paraId="00000083" w14:textId="77777777" w:rsidR="00433217" w:rsidRDefault="00CA652C">
      <w:pPr>
        <w:spacing w:after="0" w:line="480" w:lineRule="auto"/>
        <w:rPr>
          <w:rFonts w:ascii="Times New Roman" w:eastAsia="Times New Roman" w:hAnsi="Times New Roman" w:cs="Times New Roman"/>
          <w:color w:val="000000"/>
        </w:rPr>
      </w:pPr>
      <w:sdt>
        <w:sdtPr>
          <w:tag w:val="goog_rdk_1"/>
          <w:id w:val="-1195376611"/>
        </w:sdtPr>
        <w:sdtEndPr/>
        <w:sdtContent>
          <w:r>
            <w:rPr>
              <w:rFonts w:ascii="Gungsuh" w:eastAsia="Gungsuh" w:hAnsi="Gungsuh" w:cs="Gungsuh"/>
              <w:color w:val="000000"/>
            </w:rPr>
            <w:t xml:space="preserve">The 90-day morbidity and mortality of hepatic surgery was comparable between centres; these were ≤15% (all Clavien-Dindo I-IIIa) and 0%, respectively. No patient experienced intra- or postoperative carcinoid crisis. Nine (4.5%) underwent repeat hepatic surgery. Sixteen patients underwent hepatic cytoreduction in combination with intraoperative RFA (8.1%). Postoperative symptomatic relief was reported in 90%. </w:t>
          </w:r>
        </w:sdtContent>
      </w:sdt>
    </w:p>
    <w:p w14:paraId="00000084" w14:textId="77777777" w:rsidR="00433217" w:rsidRDefault="00433217">
      <w:pPr>
        <w:spacing w:after="0" w:line="480" w:lineRule="auto"/>
        <w:rPr>
          <w:rFonts w:ascii="Times New Roman" w:eastAsia="Times New Roman" w:hAnsi="Times New Roman" w:cs="Times New Roman"/>
          <w:color w:val="000000"/>
        </w:rPr>
      </w:pPr>
    </w:p>
    <w:p w14:paraId="00000085" w14:textId="77777777" w:rsidR="00433217" w:rsidRDefault="00CA652C">
      <w:pPr>
        <w:pBdr>
          <w:top w:val="nil"/>
          <w:left w:val="nil"/>
          <w:bottom w:val="nil"/>
          <w:right w:val="nil"/>
          <w:between w:val="nil"/>
        </w:pBdr>
        <w:spacing w:before="280" w:after="280" w:line="480" w:lineRule="auto"/>
        <w:rPr>
          <w:rFonts w:ascii="Times New Roman" w:eastAsia="Times New Roman" w:hAnsi="Times New Roman" w:cs="Times New Roman"/>
          <w:color w:val="000000"/>
        </w:rPr>
      </w:pPr>
      <w:r>
        <w:rPr>
          <w:rFonts w:ascii="Times New Roman" w:eastAsia="Times New Roman" w:hAnsi="Times New Roman" w:cs="Times New Roman"/>
          <w:i/>
          <w:color w:val="000000"/>
        </w:rPr>
        <w:t>Non-surgical therapies</w:t>
      </w:r>
      <w:r>
        <w:rPr>
          <w:rFonts w:ascii="Times New Roman" w:eastAsia="Times New Roman" w:hAnsi="Times New Roman" w:cs="Times New Roman"/>
          <w:i/>
          <w:color w:val="000000"/>
        </w:rPr>
        <w:br/>
      </w:r>
      <w:sdt>
        <w:sdtPr>
          <w:tag w:val="goog_rdk_2"/>
          <w:id w:val="-1326123230"/>
        </w:sdtPr>
        <w:sdtEndPr/>
        <w:sdtContent>
          <w:r>
            <w:rPr>
              <w:rFonts w:ascii="Gungsuh" w:eastAsia="Gungsuh" w:hAnsi="Gungsuh" w:cs="Gungsuh"/>
              <w:color w:val="000000"/>
            </w:rPr>
            <w:t>Liver-directed percutaneous or angiographic therapies used were: RFA in 39 (7.1%), TACE in 70 (12.7%), TAE in 15 (2.7%), and TARE in 28 (5.1%). Minor morbidity was recorded in 29 (5.3%) and there was no treatment-associated mortality. None of the interventions were associated with a carcinoid crisis. Systemic therapies including SSA, PRRT, mTOR inhibitors, cytotoxic chemotherapy, and interferon were applied in 345 (62.6%), 207 (37.6%), 43 (7.8%), 120 (21.8%), and 12 (2.2%), respectively. Following PRRT, tra</w:t>
          </w:r>
          <w:r>
            <w:rPr>
              <w:rFonts w:ascii="Gungsuh" w:eastAsia="Gungsuh" w:hAnsi="Gungsuh" w:cs="Gungsuh"/>
              <w:color w:val="000000"/>
            </w:rPr>
            <w:t xml:space="preserve">nsient grade 1 or grade 2 toxicity occurred in 36.9% (82/207), and no grade 3 toxicity or hormonal excess was noted. These therapeutic modalities were administered either as an isolated measure or consecutively during the disease course. Multimodal treatment approaches were applied in 402 (73.0%), of these 251 (62.4%) had ≥ 2 lines of therapy. </w:t>
          </w:r>
        </w:sdtContent>
      </w:sdt>
    </w:p>
    <w:p w14:paraId="00000086" w14:textId="77777777" w:rsidR="00433217" w:rsidRDefault="00433217">
      <w:pPr>
        <w:pBdr>
          <w:top w:val="nil"/>
          <w:left w:val="nil"/>
          <w:bottom w:val="nil"/>
          <w:right w:val="nil"/>
          <w:between w:val="nil"/>
        </w:pBdr>
        <w:spacing w:before="280" w:after="280" w:line="480" w:lineRule="auto"/>
        <w:rPr>
          <w:rFonts w:ascii="Times New Roman" w:eastAsia="Times New Roman" w:hAnsi="Times New Roman" w:cs="Times New Roman"/>
          <w:i/>
          <w:color w:val="000000"/>
        </w:rPr>
      </w:pPr>
    </w:p>
    <w:p w14:paraId="00000087" w14:textId="77777777" w:rsidR="00433217" w:rsidRDefault="00CA652C">
      <w:pPr>
        <w:pBdr>
          <w:top w:val="nil"/>
          <w:left w:val="nil"/>
          <w:bottom w:val="nil"/>
          <w:right w:val="nil"/>
          <w:between w:val="nil"/>
        </w:pBdr>
        <w:spacing w:before="280" w:after="280" w:line="480" w:lineRule="auto"/>
        <w:rPr>
          <w:rFonts w:ascii="Times New Roman" w:eastAsia="Times New Roman" w:hAnsi="Times New Roman" w:cs="Times New Roman"/>
          <w:color w:val="000000"/>
        </w:rPr>
      </w:pPr>
      <w:r>
        <w:rPr>
          <w:rFonts w:ascii="Times New Roman" w:eastAsia="Times New Roman" w:hAnsi="Times New Roman" w:cs="Times New Roman"/>
          <w:i/>
          <w:color w:val="000000"/>
        </w:rPr>
        <w:lastRenderedPageBreak/>
        <w:t>Trend analysis over time</w:t>
      </w:r>
      <w:r>
        <w:rPr>
          <w:rFonts w:ascii="Times New Roman" w:eastAsia="Times New Roman" w:hAnsi="Times New Roman" w:cs="Times New Roman"/>
          <w:i/>
          <w:color w:val="000000"/>
        </w:rPr>
        <w:br/>
      </w:r>
      <w:r>
        <w:rPr>
          <w:rFonts w:ascii="Times New Roman" w:eastAsia="Times New Roman" w:hAnsi="Times New Roman" w:cs="Times New Roman"/>
          <w:color w:val="000000"/>
        </w:rPr>
        <w:t>Different treatment modalities were undertaken in each decade-defined study period (</w:t>
      </w:r>
      <w:r>
        <w:rPr>
          <w:rFonts w:ascii="Times New Roman" w:eastAsia="Times New Roman" w:hAnsi="Times New Roman" w:cs="Times New Roman"/>
          <w:b/>
          <w:color w:val="000000"/>
        </w:rPr>
        <w:t>Figure 1</w:t>
      </w:r>
      <w:r>
        <w:rPr>
          <w:rFonts w:ascii="Times New Roman" w:eastAsia="Times New Roman" w:hAnsi="Times New Roman" w:cs="Times New Roman"/>
          <w:color w:val="000000"/>
        </w:rPr>
        <w:t>).</w:t>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br/>
      </w:r>
      <w:r>
        <w:rPr>
          <w:rFonts w:ascii="Times New Roman" w:eastAsia="Times New Roman" w:hAnsi="Times New Roman" w:cs="Times New Roman"/>
          <w:color w:val="000000"/>
        </w:rPr>
        <w:br/>
        <w:t>A. Resection</w:t>
      </w:r>
      <w:r>
        <w:rPr>
          <w:rFonts w:ascii="Times New Roman" w:eastAsia="Times New Roman" w:hAnsi="Times New Roman" w:cs="Times New Roman"/>
          <w:i/>
          <w:color w:val="000000"/>
        </w:rPr>
        <w:br/>
      </w:r>
      <w:r>
        <w:rPr>
          <w:rFonts w:ascii="Times New Roman" w:eastAsia="Times New Roman" w:hAnsi="Times New Roman" w:cs="Times New Roman"/>
          <w:color w:val="000000"/>
        </w:rPr>
        <w:t>While the number of hepatic resections remained stable over the three periods, there was a trend with time towards less radical resections. The number of patients who underwent multimodal treatment was comparable over the three periods: Period I, n=57/81 (70.4%); Period II, n=93/137 (67.9%), and Period III, n=252/333 (75.7%) (X</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xml:space="preserve">=3.30, p=0.191). </w:t>
      </w:r>
    </w:p>
    <w:p w14:paraId="00000088" w14:textId="77777777" w:rsidR="00433217" w:rsidRDefault="00CA652C">
      <w:pPr>
        <w:pBdr>
          <w:top w:val="nil"/>
          <w:left w:val="nil"/>
          <w:bottom w:val="nil"/>
          <w:right w:val="nil"/>
          <w:between w:val="nil"/>
        </w:pBdr>
        <w:spacing w:before="280" w:after="28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B. SSA Usage</w:t>
      </w:r>
      <w:r>
        <w:rPr>
          <w:rFonts w:ascii="Times New Roman" w:eastAsia="Times New Roman" w:hAnsi="Times New Roman" w:cs="Times New Roman"/>
          <w:color w:val="000000"/>
        </w:rPr>
        <w:br/>
      </w:r>
      <w:r>
        <w:rPr>
          <w:rFonts w:ascii="Times New Roman" w:eastAsia="Times New Roman" w:hAnsi="Times New Roman" w:cs="Times New Roman"/>
          <w:color w:val="000000"/>
        </w:rPr>
        <w:t>Of note was significant increases in the use of SSA between period I and II (48/81 patients [59.3%] and 231/333 patients [69.4%], respectively (X</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=19.08, p&lt;0.01). The use of PRRT in all centres did not differ significantly between period I and II, with 31/81 patients (38.3%) and 65/137 patients (47.5%), respectively (X</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xml:space="preserve"> = 1.87, p=0.2). This trend was not assessed for period III as PRRT was not available in the UK. </w:t>
      </w:r>
      <w:r>
        <w:rPr>
          <w:rFonts w:ascii="Times New Roman" w:eastAsia="Times New Roman" w:hAnsi="Times New Roman" w:cs="Times New Roman"/>
          <w:color w:val="000000"/>
        </w:rPr>
        <w:br/>
      </w:r>
      <w:r>
        <w:rPr>
          <w:rFonts w:ascii="Times New Roman" w:eastAsia="Times New Roman" w:hAnsi="Times New Roman" w:cs="Times New Roman"/>
          <w:color w:val="000000"/>
        </w:rPr>
        <w:br/>
        <w:t>C. Cytotoxic Therapy</w:t>
      </w:r>
      <w:r>
        <w:rPr>
          <w:rFonts w:ascii="Times New Roman" w:eastAsia="Times New Roman" w:hAnsi="Times New Roman" w:cs="Times New Roman"/>
          <w:color w:val="000000"/>
        </w:rPr>
        <w:br/>
        <w:t xml:space="preserve">Chemotherapy was applied relatively uniformly during the three periods </w:t>
      </w:r>
      <w:r>
        <w:rPr>
          <w:rFonts w:ascii="Times New Roman" w:eastAsia="Times New Roman" w:hAnsi="Times New Roman" w:cs="Times New Roman"/>
          <w:color w:val="000000"/>
        </w:rPr>
        <w:t>of the study, primarily in higher grade LM originating from the pancreas or lung: 16/81 in period I (19.8%), 38/137 (27.7%) in period II, 66/33 (19.8%) in period III (X</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=3.8, p=0.15). In Period III, mTOR inhibitors were increasingly used as a third- or fourth-line therapy mainly in trials, and in transplants, respectively: 0% in period I, 5/137 in period II (3.7%), and 38/333 (11.4%) in period III (X</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xml:space="preserve">=16.2, p&lt;0.01).  </w:t>
      </w:r>
      <w:r>
        <w:rPr>
          <w:rFonts w:ascii="Times New Roman" w:eastAsia="Times New Roman" w:hAnsi="Times New Roman" w:cs="Times New Roman"/>
          <w:color w:val="000000"/>
        </w:rPr>
        <w:br/>
      </w:r>
      <w:r>
        <w:rPr>
          <w:rFonts w:ascii="Times New Roman" w:eastAsia="Times New Roman" w:hAnsi="Times New Roman" w:cs="Times New Roman"/>
          <w:color w:val="000000"/>
        </w:rPr>
        <w:br/>
        <w:t xml:space="preserve">D. Radiofrequency Ablation </w:t>
      </w:r>
      <w:r>
        <w:rPr>
          <w:rFonts w:ascii="Times New Roman" w:eastAsia="Times New Roman" w:hAnsi="Times New Roman" w:cs="Times New Roman"/>
          <w:color w:val="000000"/>
        </w:rPr>
        <w:br/>
        <w:t>Radiofrequency ablation was decreasingly used over time, typi</w:t>
      </w:r>
      <w:r>
        <w:rPr>
          <w:rFonts w:ascii="Times New Roman" w:eastAsia="Times New Roman" w:hAnsi="Times New Roman" w:cs="Times New Roman"/>
          <w:color w:val="000000"/>
        </w:rPr>
        <w:t>cally as an adjunct to surgical resection or as a percutaneous approach for single progressive LM in the context of otherwise stable disease: 7/81 period I (8.6%), 19/137 period II (13.9%), 13/333 period III (3.9%), (X</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=15.0, p&lt;0.01).</w:t>
      </w:r>
      <w:r>
        <w:rPr>
          <w:rFonts w:ascii="Times New Roman" w:eastAsia="Times New Roman" w:hAnsi="Times New Roman" w:cs="Times New Roman"/>
          <w:color w:val="000000"/>
        </w:rPr>
        <w:br/>
      </w:r>
      <w:r>
        <w:rPr>
          <w:rFonts w:ascii="Times New Roman" w:eastAsia="Times New Roman" w:hAnsi="Times New Roman" w:cs="Times New Roman"/>
          <w:color w:val="000000"/>
        </w:rPr>
        <w:br/>
      </w:r>
      <w:r>
        <w:rPr>
          <w:rFonts w:ascii="Times New Roman" w:eastAsia="Times New Roman" w:hAnsi="Times New Roman" w:cs="Times New Roman"/>
          <w:color w:val="000000"/>
        </w:rPr>
        <w:lastRenderedPageBreak/>
        <w:t>E. Trans-arterial Radioembolization</w:t>
      </w:r>
      <w:r>
        <w:rPr>
          <w:rFonts w:ascii="Times New Roman" w:eastAsia="Times New Roman" w:hAnsi="Times New Roman" w:cs="Times New Roman"/>
          <w:color w:val="000000"/>
        </w:rPr>
        <w:br/>
        <w:t xml:space="preserve">The use of TARE increased over time: period I 2/81 (2.5%), period II 5/137 (3.7%), period III 22/333 (6.6%), but small counts precluded meaningful analysis results. </w:t>
      </w:r>
    </w:p>
    <w:p w14:paraId="00000089" w14:textId="77777777" w:rsidR="00433217" w:rsidRDefault="00CA652C">
      <w:pPr>
        <w:pBdr>
          <w:top w:val="nil"/>
          <w:left w:val="nil"/>
          <w:bottom w:val="nil"/>
          <w:right w:val="nil"/>
          <w:between w:val="nil"/>
        </w:pBdr>
        <w:spacing w:before="280" w:after="28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br/>
        <w:t xml:space="preserve">There was no trend in the median number of treatment lines across the study periods (all median 3, range 2 to 7). </w:t>
      </w:r>
    </w:p>
    <w:p w14:paraId="0000008A" w14:textId="77777777" w:rsidR="00433217" w:rsidRDefault="00433217">
      <w:pPr>
        <w:pBdr>
          <w:top w:val="nil"/>
          <w:left w:val="nil"/>
          <w:bottom w:val="nil"/>
          <w:right w:val="nil"/>
          <w:between w:val="nil"/>
        </w:pBdr>
        <w:spacing w:before="280" w:after="280" w:line="480" w:lineRule="auto"/>
        <w:rPr>
          <w:rFonts w:ascii="Times New Roman" w:eastAsia="Times New Roman" w:hAnsi="Times New Roman" w:cs="Times New Roman"/>
          <w:color w:val="000000"/>
        </w:rPr>
      </w:pPr>
    </w:p>
    <w:p w14:paraId="0000008B" w14:textId="77777777" w:rsidR="00433217" w:rsidRDefault="00CA652C">
      <w:pPr>
        <w:pBdr>
          <w:top w:val="nil"/>
          <w:left w:val="nil"/>
          <w:bottom w:val="nil"/>
          <w:right w:val="nil"/>
          <w:between w:val="nil"/>
        </w:pBdr>
        <w:spacing w:before="280" w:after="280" w:line="480" w:lineRule="auto"/>
        <w:rPr>
          <w:rFonts w:ascii="Times New Roman" w:eastAsia="Times New Roman" w:hAnsi="Times New Roman" w:cs="Times New Roman"/>
          <w:color w:val="000000"/>
        </w:rPr>
      </w:pPr>
      <w:r>
        <w:rPr>
          <w:rFonts w:ascii="Times New Roman" w:eastAsia="Times New Roman" w:hAnsi="Times New Roman" w:cs="Times New Roman"/>
          <w:i/>
          <w:color w:val="000000"/>
        </w:rPr>
        <w:t xml:space="preserve">Survival </w:t>
      </w:r>
      <w:r>
        <w:rPr>
          <w:rFonts w:ascii="Times New Roman" w:eastAsia="Times New Roman" w:hAnsi="Times New Roman" w:cs="Times New Roman"/>
          <w:i/>
          <w:color w:val="000000"/>
        </w:rPr>
        <w:br/>
      </w:r>
      <w:r>
        <w:rPr>
          <w:rFonts w:ascii="Times New Roman" w:eastAsia="Times New Roman" w:hAnsi="Times New Roman" w:cs="Times New Roman"/>
          <w:color w:val="000000"/>
        </w:rPr>
        <w:t xml:space="preserve">The median follow-up from the date of initial NET diagnosis was 4.9 years (range 6 months to 39 years). During a total follow-up of 3,583.2 patient-years there were 195 deaths (35.4%). </w:t>
      </w:r>
    </w:p>
    <w:p w14:paraId="0000008C" w14:textId="77777777" w:rsidR="00433217" w:rsidRDefault="00CA652C">
      <w:pPr>
        <w:spacing w:line="480" w:lineRule="auto"/>
        <w:rPr>
          <w:rFonts w:ascii="Times New Roman" w:eastAsia="Times New Roman" w:hAnsi="Times New Roman" w:cs="Times New Roman"/>
        </w:rPr>
      </w:pPr>
      <w:r>
        <w:rPr>
          <w:rFonts w:ascii="Times New Roman" w:eastAsia="Times New Roman" w:hAnsi="Times New Roman" w:cs="Times New Roman"/>
        </w:rPr>
        <w:t>Overall survival at 5- and 10-years was 77.5% (95% CI: 73.3% to 81.2%) and 58.1% (95% CI: 52.3% to 63.5%), respectively (</w:t>
      </w:r>
      <w:r>
        <w:rPr>
          <w:rFonts w:ascii="Times New Roman" w:eastAsia="Times New Roman" w:hAnsi="Times New Roman" w:cs="Times New Roman"/>
          <w:b/>
        </w:rPr>
        <w:t>Figure 2</w:t>
      </w:r>
      <w:r>
        <w:rPr>
          <w:rFonts w:ascii="Times New Roman" w:eastAsia="Times New Roman" w:hAnsi="Times New Roman" w:cs="Times New Roman"/>
        </w:rPr>
        <w:t xml:space="preserve">). Median OS for the entire study cohort was 12.5 years (95% CI: 10.3 to 15.4 years). To account for metachronous LM, we calculated follow-up from the date of LM detection: median OS was 10.3 years (95% CI: 9.4 years to 13.2 years), 5-year OS was 74.4% (95% CI: 69.7% to 78.4%), and 10-year OS was 52.3% (95% CI: 46.0% to 58.2%).  </w:t>
      </w:r>
    </w:p>
    <w:p w14:paraId="0000008D" w14:textId="77777777" w:rsidR="00433217" w:rsidRDefault="00CA652C">
      <w:pPr>
        <w:spacing w:line="480" w:lineRule="auto"/>
        <w:rPr>
          <w:rFonts w:ascii="Times New Roman" w:eastAsia="Times New Roman" w:hAnsi="Times New Roman" w:cs="Times New Roman"/>
        </w:rPr>
      </w:pPr>
      <w:r>
        <w:rPr>
          <w:rFonts w:ascii="Times New Roman" w:eastAsia="Times New Roman" w:hAnsi="Times New Roman" w:cs="Times New Roman"/>
        </w:rPr>
        <w:t>When examining for trend in OS across the three time periods (</w:t>
      </w:r>
      <w:r>
        <w:rPr>
          <w:rFonts w:ascii="Times New Roman" w:eastAsia="Times New Roman" w:hAnsi="Times New Roman" w:cs="Times New Roman"/>
          <w:b/>
        </w:rPr>
        <w:t>Figure 3</w:t>
      </w:r>
      <w:r>
        <w:rPr>
          <w:rFonts w:ascii="Times New Roman" w:eastAsia="Times New Roman" w:hAnsi="Times New Roman" w:cs="Times New Roman"/>
        </w:rPr>
        <w:t>), 5-year OS significantly improved - period I: 45.2% (95% CI: 33.1% to 56.4%), period II: 66.0% (95% CI: 56.0% to 74.3%), and period III: 75.7% (69.5% to 80.8%), (X</w:t>
      </w:r>
      <w:r>
        <w:rPr>
          <w:rFonts w:ascii="Times New Roman" w:eastAsia="Times New Roman" w:hAnsi="Times New Roman" w:cs="Times New Roman"/>
          <w:vertAlign w:val="superscript"/>
        </w:rPr>
        <w:t>2</w:t>
      </w:r>
      <w:r>
        <w:rPr>
          <w:rFonts w:ascii="Times New Roman" w:eastAsia="Times New Roman" w:hAnsi="Times New Roman" w:cs="Times New Roman"/>
        </w:rPr>
        <w:t xml:space="preserve">=32.8, p&lt;0.001). The 10-year OS results showed overlapping confidence intervals for Period I (23.5%, 95% CI: 13.0% to 35.8%) and Period II (18.3%, 8.3% to 31.3%), but doubled in period III (55.5%, 95% CI: 44.4% to 65.2%). </w:t>
      </w:r>
    </w:p>
    <w:p w14:paraId="0000008E" w14:textId="77777777" w:rsidR="00433217" w:rsidRDefault="00CA652C">
      <w:pPr>
        <w:pBdr>
          <w:top w:val="nil"/>
          <w:left w:val="nil"/>
          <w:bottom w:val="nil"/>
          <w:right w:val="nil"/>
          <w:between w:val="nil"/>
        </w:pBdr>
        <w:spacing w:before="280" w:after="280" w:line="480" w:lineRule="auto"/>
        <w:rPr>
          <w:rFonts w:ascii="Times New Roman" w:eastAsia="Times New Roman" w:hAnsi="Times New Roman" w:cs="Times New Roman"/>
          <w:i/>
          <w:color w:val="000000"/>
        </w:rPr>
      </w:pPr>
      <w:r>
        <w:rPr>
          <w:rFonts w:ascii="Times New Roman" w:eastAsia="Times New Roman" w:hAnsi="Times New Roman" w:cs="Times New Roman"/>
          <w:color w:val="000000"/>
        </w:rPr>
        <w:t xml:space="preserve">Recurrence-free survival and progression-free survival at 5 years were 36.9% (95% CI: 26.7% to 47.1%), and 41.8% (95% CI: 36.1% to 47.5%), respectively. Median recurrence-free survival was 4.1 years (95% CI: 2.9 to 4.7 years), and median progression-free survival was 3.8 years (95% CI: 3.2 to 4.7 years). </w:t>
      </w:r>
    </w:p>
    <w:p w14:paraId="0000008F" w14:textId="77777777" w:rsidR="00433217" w:rsidRDefault="00CA652C">
      <w:pPr>
        <w:pBdr>
          <w:top w:val="nil"/>
          <w:left w:val="nil"/>
          <w:bottom w:val="nil"/>
          <w:right w:val="nil"/>
          <w:between w:val="nil"/>
        </w:pBdr>
        <w:spacing w:before="280" w:after="28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Failure to resect the primary tumour had significantly worse overall survival than those resected: 5- and 10-year OS were 68.1% and 33.4%, and 87.7% and 57.9%, respectively (X</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58.5, p&lt;0.001). Failure to undergo hepatic surgery for LM had significantly worse outcomes than those resected, 5- and 10-year OS was 66.9% and 57.9%, and 87.0% and 77.8%, respectively (X</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=10.69, p&lt;0.001). Individuals with progressive disease who failed to receive multimodal therapy had significantly worse outcomes than those treated: 5- and 10-year OS were 66.6% and 44.3% and 86.1% and 66.7%, respectively (X</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xml:space="preserve">=25.5, p&lt;0.001). </w:t>
      </w:r>
    </w:p>
    <w:p w14:paraId="00000090" w14:textId="77777777" w:rsidR="00433217" w:rsidRDefault="00433217">
      <w:pPr>
        <w:pBdr>
          <w:top w:val="nil"/>
          <w:left w:val="nil"/>
          <w:bottom w:val="nil"/>
          <w:right w:val="nil"/>
          <w:between w:val="nil"/>
        </w:pBdr>
        <w:spacing w:before="280" w:after="280" w:line="480" w:lineRule="auto"/>
        <w:rPr>
          <w:rFonts w:ascii="Times New Roman" w:eastAsia="Times New Roman" w:hAnsi="Times New Roman" w:cs="Times New Roman"/>
        </w:rPr>
      </w:pPr>
    </w:p>
    <w:p w14:paraId="00000091" w14:textId="77777777" w:rsidR="00433217" w:rsidRDefault="00CA652C">
      <w:pPr>
        <w:pBdr>
          <w:top w:val="nil"/>
          <w:left w:val="nil"/>
          <w:bottom w:val="nil"/>
          <w:right w:val="nil"/>
          <w:between w:val="nil"/>
        </w:pBdr>
        <w:spacing w:before="280" w:after="280" w:line="480" w:lineRule="auto"/>
        <w:rPr>
          <w:rFonts w:ascii="Times New Roman" w:eastAsia="Times New Roman" w:hAnsi="Times New Roman" w:cs="Times New Roman"/>
          <w:color w:val="000000"/>
        </w:rPr>
      </w:pPr>
      <w:r>
        <w:rPr>
          <w:rFonts w:ascii="Times New Roman" w:eastAsia="Times New Roman" w:hAnsi="Times New Roman" w:cs="Times New Roman"/>
          <w:i/>
          <w:color w:val="000000"/>
        </w:rPr>
        <w:t xml:space="preserve">Prognostic factors </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rPr>
        <w:t xml:space="preserve">Results from the univariable and multivariable analyses are summarised in </w:t>
      </w:r>
      <w:r>
        <w:rPr>
          <w:rFonts w:ascii="Times New Roman" w:eastAsia="Times New Roman" w:hAnsi="Times New Roman" w:cs="Times New Roman"/>
          <w:b/>
          <w:color w:val="000000"/>
        </w:rPr>
        <w:t>Table 3</w:t>
      </w:r>
      <w:r>
        <w:rPr>
          <w:rFonts w:ascii="Times New Roman" w:eastAsia="Times New Roman" w:hAnsi="Times New Roman" w:cs="Times New Roman"/>
          <w:color w:val="000000"/>
        </w:rPr>
        <w:t xml:space="preserve">. In univariable </w:t>
      </w:r>
      <w:r>
        <w:rPr>
          <w:rFonts w:ascii="Times New Roman" w:eastAsia="Times New Roman" w:hAnsi="Times New Roman" w:cs="Times New Roman"/>
        </w:rPr>
        <w:t>analysis</w:t>
      </w:r>
      <w:r>
        <w:rPr>
          <w:rFonts w:ascii="Times New Roman" w:eastAsia="Times New Roman" w:hAnsi="Times New Roman" w:cs="Times New Roman"/>
          <w:color w:val="000000"/>
        </w:rPr>
        <w:t>, synchronous liver metastases, tumour grade, primary tumour site (small bowel vs. pancreas), surgery on the primary tumour, surgical treatment of LM and use of multimodal therapy were significantly associated with prognosis. In multivariable analyses, synchronous liver metastases, the presence of extrahepatic metastases, tumour grade, surgery on the primary tumour, and the use of multimodal therapy were significant prognosticators. Primary tumour site was not included in the multivariable analysis due</w:t>
      </w:r>
      <w:r>
        <w:rPr>
          <w:rFonts w:ascii="Times New Roman" w:eastAsia="Times New Roman" w:hAnsi="Times New Roman" w:cs="Times New Roman"/>
        </w:rPr>
        <w:t xml:space="preserve"> to p</w:t>
      </w:r>
      <w:r>
        <w:rPr>
          <w:rFonts w:ascii="Times New Roman" w:eastAsia="Times New Roman" w:hAnsi="Times New Roman" w:cs="Times New Roman"/>
        </w:rPr>
        <w:t>rimary tumour sites other than small bowel and pancreas being uncommon, which would affect result precision</w:t>
      </w:r>
      <w:r>
        <w:rPr>
          <w:rFonts w:ascii="Times New Roman" w:eastAsia="Times New Roman" w:hAnsi="Times New Roman" w:cs="Times New Roman"/>
          <w:color w:val="000000"/>
        </w:rPr>
        <w:t xml:space="preserve">.  </w:t>
      </w:r>
    </w:p>
    <w:p w14:paraId="00000092" w14:textId="77777777" w:rsidR="00433217" w:rsidRDefault="00433217">
      <w:pPr>
        <w:spacing w:after="0" w:line="480" w:lineRule="auto"/>
        <w:rPr>
          <w:rFonts w:ascii="Times New Roman" w:eastAsia="Times New Roman" w:hAnsi="Times New Roman" w:cs="Times New Roman"/>
        </w:rPr>
      </w:pPr>
    </w:p>
    <w:p w14:paraId="00000093"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b/>
        </w:rPr>
        <w:t xml:space="preserve">Discussion </w:t>
      </w:r>
      <w:r>
        <w:rPr>
          <w:rFonts w:ascii="Times New Roman" w:eastAsia="Times New Roman" w:hAnsi="Times New Roman" w:cs="Times New Roman"/>
        </w:rPr>
        <w:br/>
      </w:r>
    </w:p>
    <w:p w14:paraId="00000094"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Historically, outcomes in NE LM have been disappointing – a 5-year survival of 38.5% was reported for patients with LM compared to 71.7% in those without LM treated between 1950 and 1999 in a United States registry-based series of 13,715 NETs patients</w:t>
      </w:r>
      <w:r>
        <w:rPr>
          <w:rFonts w:ascii="Times New Roman" w:eastAsia="Times New Roman" w:hAnsi="Times New Roman" w:cs="Times New Roman"/>
          <w:vertAlign w:val="superscript"/>
        </w:rPr>
        <w:t>27</w:t>
      </w:r>
      <w:r>
        <w:rPr>
          <w:rFonts w:ascii="Times New Roman" w:eastAsia="Times New Roman" w:hAnsi="Times New Roman" w:cs="Times New Roman"/>
        </w:rPr>
        <w:t xml:space="preserve">. Limited awareness of NET, inaccuracy of historical staging modalities, and lack of effective cytoreductive therapies likely contributed to these outcomes. </w:t>
      </w:r>
    </w:p>
    <w:p w14:paraId="00000095" w14:textId="77777777" w:rsidR="00433217" w:rsidRDefault="00CA652C">
      <w:pPr>
        <w:spacing w:after="0" w:line="480" w:lineRule="auto"/>
        <w:rPr>
          <w:rFonts w:ascii="Times New Roman" w:eastAsia="Times New Roman" w:hAnsi="Times New Roman" w:cs="Times New Roman"/>
          <w:color w:val="000000"/>
        </w:rPr>
      </w:pPr>
      <w:bookmarkStart w:id="1" w:name="_heading=h.30j0zll" w:colFirst="0" w:colLast="0"/>
      <w:bookmarkEnd w:id="1"/>
      <w:r>
        <w:rPr>
          <w:rFonts w:ascii="Times New Roman" w:eastAsia="Times New Roman" w:hAnsi="Times New Roman" w:cs="Times New Roman"/>
        </w:rPr>
        <w:lastRenderedPageBreak/>
        <w:t>The present 30 years report demonstrates significant improvements in the OS of patients with NE LM. In particular, the differences in 5- and 10-year OS between the 1990s and the 2010s (45.2% versus 75.7%, and 23.5% versus 55.5%, respectively) is encouraging. In the wider context of other retrospective studies in metastatic NET, the 5-year OS of 77.5% (95% CI: 73.3% to 81.2%) reported in the present series compares favourably with that of 65.9% reported in the 2009 UK multi-centre study of Ahmed et al  of 36</w:t>
      </w:r>
      <w:r>
        <w:rPr>
          <w:rFonts w:ascii="Times New Roman" w:eastAsia="Times New Roman" w:hAnsi="Times New Roman" w:cs="Times New Roman"/>
        </w:rPr>
        <w:t>0 individuals with midgut NET LM</w:t>
      </w:r>
      <w:r>
        <w:rPr>
          <w:rFonts w:ascii="Times New Roman" w:eastAsia="Times New Roman" w:hAnsi="Times New Roman" w:cs="Times New Roman"/>
          <w:vertAlign w:val="superscript"/>
        </w:rPr>
        <w:t>9</w:t>
      </w:r>
      <w:r>
        <w:rPr>
          <w:rFonts w:ascii="Times New Roman" w:eastAsia="Times New Roman" w:hAnsi="Times New Roman" w:cs="Times New Roman"/>
        </w:rPr>
        <w:t xml:space="preserve"> although 30.3% of  our patients had pancreatic primary tumours which are associated with worse OS when compared to NET originating from the midgut</w:t>
      </w:r>
      <w:r>
        <w:rPr>
          <w:rFonts w:ascii="Times New Roman" w:eastAsia="Times New Roman" w:hAnsi="Times New Roman" w:cs="Times New Roman"/>
          <w:vertAlign w:val="superscript"/>
        </w:rPr>
        <w:t>28,29</w:t>
      </w:r>
      <w:r>
        <w:rPr>
          <w:rFonts w:ascii="Times New Roman" w:eastAsia="Times New Roman" w:hAnsi="Times New Roman" w:cs="Times New Roman"/>
        </w:rPr>
        <w:t xml:space="preserve">. The 5-year OS (77.5%, 95% CI: 73.3% to 81.2%) </w:t>
      </w:r>
      <w:r>
        <w:rPr>
          <w:rFonts w:ascii="Times New Roman" w:eastAsia="Times New Roman" w:hAnsi="Times New Roman" w:cs="Times New Roman"/>
          <w:color w:val="000000"/>
        </w:rPr>
        <w:t>and the 10-year OS (58.1%, 95% CI: 52.3% to 63.5%) in the present study also compare well with the Mayo clinic institutional experience of NE LM (75% and 51%, respectively), all of which underwent hepatectomy</w:t>
      </w:r>
      <w:r>
        <w:rPr>
          <w:rFonts w:ascii="Times New Roman" w:eastAsia="Times New Roman" w:hAnsi="Times New Roman" w:cs="Times New Roman"/>
          <w:vertAlign w:val="superscript"/>
        </w:rPr>
        <w:t>30</w:t>
      </w:r>
      <w:r>
        <w:rPr>
          <w:rFonts w:ascii="Times New Roman" w:eastAsia="Times New Roman" w:hAnsi="Times New Roman" w:cs="Times New Roman"/>
          <w:color w:val="000000"/>
        </w:rPr>
        <w:t xml:space="preserve">. </w:t>
      </w:r>
    </w:p>
    <w:p w14:paraId="00000096" w14:textId="77777777" w:rsidR="00433217" w:rsidRDefault="00433217">
      <w:pPr>
        <w:spacing w:after="0" w:line="480" w:lineRule="auto"/>
        <w:rPr>
          <w:rFonts w:ascii="Times New Roman" w:eastAsia="Times New Roman" w:hAnsi="Times New Roman" w:cs="Times New Roman"/>
        </w:rPr>
      </w:pPr>
    </w:p>
    <w:p w14:paraId="00000097"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The positive trajectory of survival outcomes in NE LM patients over time reflects several factors. First, temporal changes in case mix at contributing specialist centres could lead to ‘drift’ in the more optimised prognostic profile of later patients. Second, the evolution and amplification of the therapeutic armamentarium during the study period provided wider ranges of multimodal treatment strategies. Whilst the average number of treatment ‘lines’ did not differ across periods, several significant trends </w:t>
      </w:r>
      <w:r>
        <w:rPr>
          <w:rFonts w:ascii="Times New Roman" w:eastAsia="Times New Roman" w:hAnsi="Times New Roman" w:cs="Times New Roman"/>
        </w:rPr>
        <w:t>were observed in the use of different treatment modalities including increased use of SSA. In parallel, functional imaging technology improved. Thus, somatostatin receptor scintigraphy, the initial standard technique in the first period, was superseded by somatostatin receptor-based PET/CT. The latter is superior in terms of lesion detection and has been shown to alter treatment decisions in ~ 60% compared to CT and/or MRI alone</w:t>
      </w:r>
      <w:r>
        <w:rPr>
          <w:rFonts w:ascii="Times New Roman" w:eastAsia="Times New Roman" w:hAnsi="Times New Roman" w:cs="Times New Roman"/>
          <w:vertAlign w:val="superscript"/>
        </w:rPr>
        <w:t>31</w:t>
      </w:r>
      <w:r>
        <w:rPr>
          <w:rFonts w:ascii="Times New Roman" w:eastAsia="Times New Roman" w:hAnsi="Times New Roman" w:cs="Times New Roman"/>
        </w:rPr>
        <w:t>. In particular, it has utility in detecting peritoneal carcinomatosis and bon</w:t>
      </w:r>
      <w:r>
        <w:rPr>
          <w:rFonts w:ascii="Times New Roman" w:eastAsia="Times New Roman" w:hAnsi="Times New Roman" w:cs="Times New Roman"/>
        </w:rPr>
        <w:t>e metastases</w:t>
      </w:r>
      <w:r>
        <w:rPr>
          <w:rFonts w:ascii="Times New Roman" w:eastAsia="Times New Roman" w:hAnsi="Times New Roman" w:cs="Times New Roman"/>
          <w:vertAlign w:val="superscript"/>
        </w:rPr>
        <w:t>32</w:t>
      </w:r>
      <w:r>
        <w:rPr>
          <w:rFonts w:ascii="Times New Roman" w:eastAsia="Times New Roman" w:hAnsi="Times New Roman" w:cs="Times New Roman"/>
        </w:rPr>
        <w:t>. A critical advantage of functional imaging is the ability to provide accurate baseline staging and monitoring of treatment response. In addition, it facilitates selection of candidates for somatostatin receptor targeting radiolabelled therapies</w:t>
      </w:r>
      <w:r>
        <w:rPr>
          <w:rFonts w:ascii="Times New Roman" w:eastAsia="Times New Roman" w:hAnsi="Times New Roman" w:cs="Times New Roman"/>
          <w:vertAlign w:val="superscript"/>
        </w:rPr>
        <w:t>33</w:t>
      </w:r>
      <w:r>
        <w:rPr>
          <w:rFonts w:ascii="Times New Roman" w:eastAsia="Times New Roman" w:hAnsi="Times New Roman" w:cs="Times New Roman"/>
        </w:rPr>
        <w:t xml:space="preserve">. </w:t>
      </w:r>
    </w:p>
    <w:p w14:paraId="00000098"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Hepatic surgery to eliminate macroscopic tumour burden remains the option with the best outcomes for survival and symptom control of NE LM. Liver resection was one of the significant independent prognostic factors in large retrospective cohort studies</w:t>
      </w:r>
      <w:r>
        <w:rPr>
          <w:rFonts w:ascii="Times New Roman" w:eastAsia="Times New Roman" w:hAnsi="Times New Roman" w:cs="Times New Roman"/>
          <w:vertAlign w:val="superscript"/>
        </w:rPr>
        <w:t>9,10</w:t>
      </w:r>
      <w:r>
        <w:rPr>
          <w:rFonts w:ascii="Times New Roman" w:eastAsia="Times New Roman" w:hAnsi="Times New Roman" w:cs="Times New Roman"/>
        </w:rPr>
        <w:t xml:space="preserve">. In the present study, liver resection was significantly associated with improved prognosis in terms of OS (HR: 0.59, 95% CI: 0.43 to 0.81) – </w:t>
      </w:r>
      <w:r>
        <w:rPr>
          <w:rFonts w:ascii="Times New Roman" w:eastAsia="Times New Roman" w:hAnsi="Times New Roman" w:cs="Times New Roman"/>
        </w:rPr>
        <w:lastRenderedPageBreak/>
        <w:t>however, on multivariable adjustment for other clinicopathological characteristics the direction of the association was similar but became non-significant (multivariable adjusted HR 0.59, 95% CI: 0.49 to 1.07). This may be due to these analyses accounting for factors that may influence decisions on surgery that also correlate with prognosis (e.g. presence of extr</w:t>
      </w:r>
      <w:r>
        <w:rPr>
          <w:rFonts w:ascii="Times New Roman" w:eastAsia="Times New Roman" w:hAnsi="Times New Roman" w:cs="Times New Roman"/>
        </w:rPr>
        <w:t xml:space="preserve">ahepatic disease and tumour grade). The use of multimodal therapy was also observed to be significantly associated with more favourable prognosis on both univariable (HR = 0.48, 95% CI: 0.36 to 0.64, p&lt;0.001) and on multivariable analysis (HR = 0.59, 95% CI: 0.40 to 0.88, p = 0.009)   </w:t>
      </w:r>
    </w:p>
    <w:p w14:paraId="00000099"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Valid assessment of the effect of liver resection on long-term OS is lacking, however - no prospective randomised trials have compared surgery outcomes with non-surgical liver-directed or systemic therapies. In retrospective cohort series on liver resection published since 2010, 5-year and 10-year OS range from 70%-100% and 50%-100%, respectively</w:t>
      </w:r>
      <w:r>
        <w:rPr>
          <w:rFonts w:ascii="Times New Roman" w:eastAsia="Times New Roman" w:hAnsi="Times New Roman" w:cs="Times New Roman"/>
          <w:vertAlign w:val="superscript"/>
        </w:rPr>
        <w:t>7,10,34,35</w:t>
      </w:r>
      <w:r>
        <w:rPr>
          <w:rFonts w:ascii="Times New Roman" w:eastAsia="Times New Roman" w:hAnsi="Times New Roman" w:cs="Times New Roman"/>
        </w:rPr>
        <w:t>. The wide ranges reflect heterogeneity of patient populations analysed, inconsistent selection criteria and the variety of hepatic procedures included. In our study we noted 5-year and 10-year OS of 87.0% and 77.8%, respectively for those who had liver resection. This exceeds the median OS of 122 months in the 2023  Mayo Clinic</w:t>
      </w:r>
      <w:r>
        <w:rPr>
          <w:rFonts w:ascii="Times New Roman" w:eastAsia="Times New Roman" w:hAnsi="Times New Roman" w:cs="Times New Roman"/>
          <w:vertAlign w:val="superscript"/>
        </w:rPr>
        <w:t>28</w:t>
      </w:r>
      <w:r>
        <w:rPr>
          <w:rFonts w:ascii="Times New Roman" w:eastAsia="Times New Roman" w:hAnsi="Times New Roman" w:cs="Times New Roman"/>
        </w:rPr>
        <w:t xml:space="preserve"> series as well as the 5- and 10-year OS of 70.5% and 42%, reported in a systematic review of hepatic resection reports published during 1990-2010</w:t>
      </w:r>
      <w:r>
        <w:rPr>
          <w:rFonts w:ascii="Times New Roman" w:eastAsia="Times New Roman" w:hAnsi="Times New Roman" w:cs="Times New Roman"/>
          <w:vertAlign w:val="superscript"/>
        </w:rPr>
        <w:t>36</w:t>
      </w:r>
      <w:r>
        <w:rPr>
          <w:rFonts w:ascii="Times New Roman" w:eastAsia="Times New Roman" w:hAnsi="Times New Roman" w:cs="Times New Roman"/>
        </w:rPr>
        <w:t>. In the study reporte</w:t>
      </w:r>
      <w:r>
        <w:rPr>
          <w:rFonts w:ascii="Times New Roman" w:eastAsia="Times New Roman" w:hAnsi="Times New Roman" w:cs="Times New Roman"/>
        </w:rPr>
        <w:t>d by Fairweather et al., the 10-year OS was 70% in patients who had liver resection compared to 31% in those who had systemic treatment and 20% in those who were observed only</w:t>
      </w:r>
      <w:r>
        <w:rPr>
          <w:rFonts w:ascii="Times New Roman" w:eastAsia="Times New Roman" w:hAnsi="Times New Roman" w:cs="Times New Roman"/>
          <w:vertAlign w:val="superscript"/>
        </w:rPr>
        <w:t>10</w:t>
      </w:r>
      <w:r>
        <w:rPr>
          <w:rFonts w:ascii="Times New Roman" w:eastAsia="Times New Roman" w:hAnsi="Times New Roman" w:cs="Times New Roman"/>
        </w:rPr>
        <w:t>. Nomograms predicting the prognosis of patients undergoing liver resection for NE LM</w:t>
      </w:r>
      <w:r>
        <w:rPr>
          <w:rFonts w:ascii="Times New Roman" w:eastAsia="Times New Roman" w:hAnsi="Times New Roman" w:cs="Times New Roman"/>
          <w:vertAlign w:val="superscript"/>
        </w:rPr>
        <w:t>37</w:t>
      </w:r>
      <w:r>
        <w:rPr>
          <w:rFonts w:ascii="Times New Roman" w:eastAsia="Times New Roman" w:hAnsi="Times New Roman" w:cs="Times New Roman"/>
        </w:rPr>
        <w:t xml:space="preserve"> or recurrence after liver resection</w:t>
      </w:r>
      <w:r>
        <w:rPr>
          <w:rFonts w:ascii="Times New Roman" w:eastAsia="Times New Roman" w:hAnsi="Times New Roman" w:cs="Times New Roman"/>
          <w:vertAlign w:val="superscript"/>
        </w:rPr>
        <w:t>38</w:t>
      </w:r>
      <w:r>
        <w:rPr>
          <w:rFonts w:ascii="Times New Roman" w:eastAsia="Times New Roman" w:hAnsi="Times New Roman" w:cs="Times New Roman"/>
        </w:rPr>
        <w:t xml:space="preserve"> could be informative for patient selection. </w:t>
      </w:r>
    </w:p>
    <w:p w14:paraId="0000009A"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In total 35.9% of our patients were considered suitable for hepatic resection due to mainly &gt;50% liver involvement, which frequently co-existed with synchronous non-resectable extrahepatic deposits. In the series of 649 patients with NE LM reported by Fairweather and colleagues, only 58 (9%) had  liver resection</w:t>
      </w:r>
      <w:r>
        <w:rPr>
          <w:rFonts w:ascii="Times New Roman" w:eastAsia="Times New Roman" w:hAnsi="Times New Roman" w:cs="Times New Roman"/>
          <w:vertAlign w:val="superscript"/>
        </w:rPr>
        <w:t>10</w:t>
      </w:r>
      <w:r>
        <w:rPr>
          <w:rFonts w:ascii="Times New Roman" w:eastAsia="Times New Roman" w:hAnsi="Times New Roman" w:cs="Times New Roman"/>
        </w:rPr>
        <w:t>. Our resection rate also exceeds the 13.9% (50/260 patients) reported in the UK report of Ahmed et al.</w:t>
      </w:r>
      <w:r>
        <w:rPr>
          <w:rFonts w:ascii="Times New Roman" w:eastAsia="Times New Roman" w:hAnsi="Times New Roman" w:cs="Times New Roman"/>
          <w:vertAlign w:val="superscript"/>
        </w:rPr>
        <w:t>9</w:t>
      </w:r>
      <w:r>
        <w:rPr>
          <w:rFonts w:ascii="Times New Roman" w:eastAsia="Times New Roman" w:hAnsi="Times New Roman" w:cs="Times New Roman"/>
        </w:rPr>
        <w:t xml:space="preserve">. Hepatic resection should be considered irrespective of the chronology of disease manifestation. In a series reported by Zhang et al., </w:t>
      </w:r>
      <w:sdt>
        <w:sdtPr>
          <w:tag w:val="goog_rdk_3"/>
          <w:id w:val="1419897260"/>
        </w:sdtPr>
        <w:sdtEndPr/>
        <w:sdtContent>
          <w:r>
            <w:rPr>
              <w:rFonts w:ascii="Gungsuh" w:eastAsia="Gungsuh" w:hAnsi="Gungsuh" w:cs="Gungsuh"/>
              <w:color w:val="212121"/>
            </w:rPr>
            <w:t xml:space="preserve">patients with synchronous or metachronous NE LM had comparable 10-year disease-specific survival </w:t>
          </w:r>
          <w:r>
            <w:rPr>
              <w:rFonts w:ascii="Gungsuh" w:eastAsia="Gungsuh" w:hAnsi="Gungsuh" w:cs="Gungsuh"/>
              <w:color w:val="212121"/>
            </w:rPr>
            <w:lastRenderedPageBreak/>
            <w:t>(76.2% vs. 85.9%, respectively), however the latter group were at higher risk of recurrence (10-year RFS, 34.1% vs 59.8%, respectively). In those with metachronous LM, no difference in long-term survival was identified between early (≤2 years, 57.6%) and late (&gt;2 years, 42.4%) disease presentation</w:t>
          </w:r>
        </w:sdtContent>
      </w:sdt>
      <w:r>
        <w:rPr>
          <w:rFonts w:ascii="Times New Roman" w:eastAsia="Times New Roman" w:hAnsi="Times New Roman" w:cs="Times New Roman"/>
          <w:color w:val="212121"/>
          <w:vertAlign w:val="superscript"/>
        </w:rPr>
        <w:t>39</w:t>
      </w:r>
      <w:r>
        <w:rPr>
          <w:rFonts w:ascii="Times New Roman" w:eastAsia="Times New Roman" w:hAnsi="Times New Roman" w:cs="Times New Roman"/>
          <w:color w:val="212121"/>
        </w:rPr>
        <w:t xml:space="preserve">. By contrast, in the patients in the present study, synchronous LM were a prognostic factor of significance for OS on both univariable analysis (p &lt;0.001) and multivariable analysis (p=0.003). </w:t>
      </w:r>
      <w:r>
        <w:rPr>
          <w:rFonts w:ascii="Times New Roman" w:eastAsia="Times New Roman" w:hAnsi="Times New Roman" w:cs="Times New Roman"/>
        </w:rPr>
        <w:t>Synchronous LM were one of the predictive factors for worse survival also in an international multicentre study encompassing 339 patients from 8 major HPB centres</w:t>
      </w:r>
      <w:r>
        <w:rPr>
          <w:rFonts w:ascii="Times New Roman" w:eastAsia="Times New Roman" w:hAnsi="Times New Roman" w:cs="Times New Roman"/>
          <w:vertAlign w:val="superscript"/>
        </w:rPr>
        <w:t>7</w:t>
      </w:r>
      <w:r>
        <w:rPr>
          <w:rFonts w:ascii="Times New Roman" w:eastAsia="Times New Roman" w:hAnsi="Times New Roman" w:cs="Times New Roman"/>
        </w:rPr>
        <w:t>.</w:t>
      </w:r>
    </w:p>
    <w:p w14:paraId="0000009B"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It is of interest that the number of resections remained stable over the three time periods. Novel surgical strategies such as two stage hepatectomy after right portal vein embolization</w:t>
      </w:r>
      <w:r>
        <w:rPr>
          <w:rFonts w:ascii="Times New Roman" w:eastAsia="Times New Roman" w:hAnsi="Times New Roman" w:cs="Times New Roman"/>
          <w:vertAlign w:val="superscript"/>
        </w:rPr>
        <w:t>35</w:t>
      </w:r>
      <w:r>
        <w:rPr>
          <w:rFonts w:ascii="Times New Roman" w:eastAsia="Times New Roman" w:hAnsi="Times New Roman" w:cs="Times New Roman"/>
        </w:rPr>
        <w:t>, associating liver partition and portal vein ligation for staged hepatectomy (ALPPS)</w:t>
      </w:r>
      <w:r>
        <w:rPr>
          <w:rFonts w:ascii="Times New Roman" w:eastAsia="Times New Roman" w:hAnsi="Times New Roman" w:cs="Times New Roman"/>
          <w:vertAlign w:val="superscript"/>
        </w:rPr>
        <w:t>40,41</w:t>
      </w:r>
      <w:r>
        <w:rPr>
          <w:rFonts w:ascii="Times New Roman" w:eastAsia="Times New Roman" w:hAnsi="Times New Roman" w:cs="Times New Roman"/>
        </w:rPr>
        <w:t>, radiation lobectomy</w:t>
      </w:r>
      <w:r>
        <w:rPr>
          <w:rFonts w:ascii="Times New Roman" w:eastAsia="Times New Roman" w:hAnsi="Times New Roman" w:cs="Times New Roman"/>
          <w:vertAlign w:val="superscript"/>
        </w:rPr>
        <w:t>42</w:t>
      </w:r>
      <w:r>
        <w:rPr>
          <w:rFonts w:ascii="Times New Roman" w:eastAsia="Times New Roman" w:hAnsi="Times New Roman" w:cs="Times New Roman"/>
        </w:rPr>
        <w:t>, and neoadjuvant PRRT for down-sizing bilobar LM</w:t>
      </w:r>
      <w:r>
        <w:rPr>
          <w:rFonts w:ascii="Times New Roman" w:eastAsia="Times New Roman" w:hAnsi="Times New Roman" w:cs="Times New Roman"/>
          <w:vertAlign w:val="superscript"/>
        </w:rPr>
        <w:t>43</w:t>
      </w:r>
      <w:r>
        <w:rPr>
          <w:rFonts w:ascii="Times New Roman" w:eastAsia="Times New Roman" w:hAnsi="Times New Roman" w:cs="Times New Roman"/>
        </w:rPr>
        <w:t xml:space="preserve"> were introduced during the last two decades. Such procedures did not substantially increase the number of candidates suitable for hepatic resection. In line with the observations made by the Mayo Clinic</w:t>
      </w:r>
      <w:r>
        <w:rPr>
          <w:rFonts w:ascii="Times New Roman" w:eastAsia="Times New Roman" w:hAnsi="Times New Roman" w:cs="Times New Roman"/>
          <w:vertAlign w:val="superscript"/>
        </w:rPr>
        <w:t>30</w:t>
      </w:r>
      <w:r>
        <w:rPr>
          <w:rFonts w:ascii="Times New Roman" w:eastAsia="Times New Roman" w:hAnsi="Times New Roman" w:cs="Times New Roman"/>
        </w:rPr>
        <w:t xml:space="preserve">, we noted a decline of formal hepatectomies in favour of segmentectomies or non-anatomical metastasectomies over the study period. Of note, </w:t>
      </w:r>
      <w:r>
        <w:rPr>
          <w:rFonts w:ascii="Times New Roman" w:eastAsia="Times New Roman" w:hAnsi="Times New Roman" w:cs="Times New Roman"/>
        </w:rPr>
        <w:t>non-anatomical resection might be associated with higher rate of recurrence when compared to formal anatomical hepatectomies</w:t>
      </w:r>
      <w:r>
        <w:rPr>
          <w:rFonts w:ascii="Times New Roman" w:eastAsia="Times New Roman" w:hAnsi="Times New Roman" w:cs="Times New Roman"/>
          <w:vertAlign w:val="superscript"/>
        </w:rPr>
        <w:t>44</w:t>
      </w:r>
      <w:sdt>
        <w:sdtPr>
          <w:tag w:val="goog_rdk_4"/>
          <w:id w:val="-768084362"/>
        </w:sdtPr>
        <w:sdtEndPr/>
        <w:sdtContent>
          <w:r>
            <w:rPr>
              <w:rFonts w:ascii="Gungsuh" w:eastAsia="Gungsuh" w:hAnsi="Gungsuh" w:cs="Gungsuh"/>
            </w:rPr>
            <w:t>.  It has been suggested that a recent shift from the ≥90% to ≥70% debulking threshold for NE LM</w:t>
          </w:r>
        </w:sdtContent>
      </w:sdt>
      <w:r>
        <w:rPr>
          <w:rFonts w:ascii="Times New Roman" w:eastAsia="Times New Roman" w:hAnsi="Times New Roman" w:cs="Times New Roman"/>
          <w:vertAlign w:val="superscript"/>
        </w:rPr>
        <w:t>45</w:t>
      </w:r>
      <w:r>
        <w:rPr>
          <w:rFonts w:ascii="Times New Roman" w:eastAsia="Times New Roman" w:hAnsi="Times New Roman" w:cs="Times New Roman"/>
        </w:rPr>
        <w:t xml:space="preserve"> may increase the number of patients considered for incomplete hepatic resections; however, we did not observe this in our series. As of 2023 the predominant limitations of liver surgery for NE LM remain, namely high recurrence rates (up to 94% at 5-years after resection) </w:t>
      </w:r>
      <w:r>
        <w:rPr>
          <w:rFonts w:ascii="Times New Roman" w:eastAsia="Times New Roman" w:hAnsi="Times New Roman" w:cs="Times New Roman"/>
          <w:vertAlign w:val="superscript"/>
        </w:rPr>
        <w:t>7,30,46</w:t>
      </w:r>
      <w:r>
        <w:rPr>
          <w:rFonts w:ascii="Times New Roman" w:eastAsia="Times New Roman" w:hAnsi="Times New Roman" w:cs="Times New Roman"/>
        </w:rPr>
        <w:t>, median liver PFS of 11 months after debulking</w:t>
      </w:r>
      <w:r>
        <w:rPr>
          <w:rFonts w:ascii="Times New Roman" w:eastAsia="Times New Roman" w:hAnsi="Times New Roman" w:cs="Times New Roman"/>
          <w:vertAlign w:val="superscript"/>
        </w:rPr>
        <w:t>13</w:t>
      </w:r>
      <w:r>
        <w:rPr>
          <w:rFonts w:ascii="Times New Roman" w:eastAsia="Times New Roman" w:hAnsi="Times New Roman" w:cs="Times New Roman"/>
        </w:rPr>
        <w:t>, and lack of adjuvant concepts.</w:t>
      </w:r>
    </w:p>
    <w:p w14:paraId="0000009C"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The more indolent nature of NE LM and frequent bilobar multifocal manifestations render them worthy of consideration for liver transplantation</w:t>
      </w:r>
      <w:r>
        <w:rPr>
          <w:rFonts w:ascii="Times New Roman" w:eastAsia="Times New Roman" w:hAnsi="Times New Roman" w:cs="Times New Roman"/>
          <w:vertAlign w:val="superscript"/>
        </w:rPr>
        <w:t>47</w:t>
      </w:r>
      <w:r>
        <w:rPr>
          <w:rFonts w:ascii="Times New Roman" w:eastAsia="Times New Roman" w:hAnsi="Times New Roman" w:cs="Times New Roman"/>
        </w:rPr>
        <w:t>. Following robust selection criteria and (critically) timing of transplantation proved to be decisive for achieving long-term benefit for the patient and deliver results competitive to those of non-transplant treatments</w:t>
      </w:r>
      <w:r>
        <w:rPr>
          <w:rFonts w:ascii="Times New Roman" w:eastAsia="Times New Roman" w:hAnsi="Times New Roman" w:cs="Times New Roman"/>
          <w:vertAlign w:val="superscript"/>
        </w:rPr>
        <w:t>48</w:t>
      </w:r>
      <w:r>
        <w:rPr>
          <w:rFonts w:ascii="Times New Roman" w:eastAsia="Times New Roman" w:hAnsi="Times New Roman" w:cs="Times New Roman"/>
        </w:rPr>
        <w:t>. Post-transplant recurrence is observed in 30%-50% of cases and remains the Achilles’ heel of the procedure</w:t>
      </w:r>
      <w:r>
        <w:rPr>
          <w:rFonts w:ascii="Times New Roman" w:eastAsia="Times New Roman" w:hAnsi="Times New Roman" w:cs="Times New Roman"/>
          <w:vertAlign w:val="superscript"/>
        </w:rPr>
        <w:t>49</w:t>
      </w:r>
      <w:r>
        <w:rPr>
          <w:rFonts w:ascii="Times New Roman" w:eastAsia="Times New Roman" w:hAnsi="Times New Roman" w:cs="Times New Roman"/>
        </w:rPr>
        <w:t>.</w:t>
      </w:r>
    </w:p>
    <w:p w14:paraId="0000009D"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color w:val="000000"/>
        </w:rPr>
        <w:lastRenderedPageBreak/>
        <w:t xml:space="preserve">The European Liver Transplantation Registry report (1982 and 2009) included 213 patients transplanted for NE LM. In this group of </w:t>
      </w:r>
      <w:r>
        <w:rPr>
          <w:rFonts w:ascii="Times New Roman" w:eastAsia="Times New Roman" w:hAnsi="Times New Roman" w:cs="Times New Roman"/>
        </w:rPr>
        <w:t>relatively</w:t>
      </w:r>
      <w:r>
        <w:rPr>
          <w:rFonts w:ascii="Times New Roman" w:eastAsia="Times New Roman" w:hAnsi="Times New Roman" w:cs="Times New Roman"/>
          <w:color w:val="000000"/>
        </w:rPr>
        <w:t xml:space="preserve"> </w:t>
      </w:r>
      <w:r>
        <w:rPr>
          <w:rFonts w:ascii="Times New Roman" w:eastAsia="Times New Roman" w:hAnsi="Times New Roman" w:cs="Times New Roman"/>
        </w:rPr>
        <w:t>‘</w:t>
      </w:r>
      <w:r>
        <w:rPr>
          <w:rFonts w:ascii="Times New Roman" w:eastAsia="Times New Roman" w:hAnsi="Times New Roman" w:cs="Times New Roman"/>
          <w:color w:val="000000"/>
        </w:rPr>
        <w:t>unselected</w:t>
      </w:r>
      <w:r>
        <w:rPr>
          <w:rFonts w:ascii="Times New Roman" w:eastAsia="Times New Roman" w:hAnsi="Times New Roman" w:cs="Times New Roman"/>
        </w:rPr>
        <w:t>’</w:t>
      </w:r>
      <w:r>
        <w:rPr>
          <w:rFonts w:ascii="Times New Roman" w:eastAsia="Times New Roman" w:hAnsi="Times New Roman" w:cs="Times New Roman"/>
          <w:color w:val="000000"/>
        </w:rPr>
        <w:t xml:space="preserve"> patients, the outcome was chastening with a 90-day post-operative mortality </w:t>
      </w:r>
      <w:r>
        <w:rPr>
          <w:rFonts w:ascii="Times New Roman" w:eastAsia="Times New Roman" w:hAnsi="Times New Roman" w:cs="Times New Roman"/>
        </w:rPr>
        <w:t>rate of</w:t>
      </w:r>
      <w:r>
        <w:rPr>
          <w:rFonts w:ascii="Times New Roman" w:eastAsia="Times New Roman" w:hAnsi="Times New Roman" w:cs="Times New Roman"/>
          <w:color w:val="000000"/>
        </w:rPr>
        <w:t xml:space="preserve"> 10%</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a subsequent 5-year OS of 52% and </w:t>
      </w:r>
      <w:r>
        <w:rPr>
          <w:rFonts w:ascii="Times New Roman" w:eastAsia="Times New Roman" w:hAnsi="Times New Roman" w:cs="Times New Roman"/>
        </w:rPr>
        <w:t>approximately</w:t>
      </w:r>
      <w:r>
        <w:rPr>
          <w:rFonts w:ascii="Times New Roman" w:eastAsia="Times New Roman" w:hAnsi="Times New Roman" w:cs="Times New Roman"/>
          <w:color w:val="000000"/>
        </w:rPr>
        <w:t xml:space="preserve"> a 60% disease recurrence rate. Of note was the observation that outcomes improved over time, with 5-year OS of 46% prior to 2000 compared to 59% thereafter</w:t>
      </w:r>
      <w:r>
        <w:rPr>
          <w:rFonts w:ascii="Times New Roman" w:eastAsia="Times New Roman" w:hAnsi="Times New Roman" w:cs="Times New Roman"/>
          <w:vertAlign w:val="superscript"/>
        </w:rPr>
        <w:t>47</w:t>
      </w:r>
      <w:r>
        <w:rPr>
          <w:rFonts w:ascii="Times New Roman" w:eastAsia="Times New Roman" w:hAnsi="Times New Roman" w:cs="Times New Roman"/>
          <w:color w:val="000000"/>
        </w:rPr>
        <w:t>. In our experience (previously reported) of 15 patients, the majority of them transplanted before 2000, 5-year OS and RFS amounted to 67.2% and 48.3%, respectively</w:t>
      </w:r>
      <w:r>
        <w:rPr>
          <w:rFonts w:ascii="Times New Roman" w:eastAsia="Times New Roman" w:hAnsi="Times New Roman" w:cs="Times New Roman"/>
          <w:vertAlign w:val="superscript"/>
        </w:rPr>
        <w:t>51</w:t>
      </w:r>
      <w:r>
        <w:rPr>
          <w:rFonts w:ascii="Times New Roman" w:eastAsia="Times New Roman" w:hAnsi="Times New Roman" w:cs="Times New Roman"/>
          <w:color w:val="000000"/>
        </w:rPr>
        <w:t>. The importance of strict s</w:t>
      </w:r>
      <w:r>
        <w:rPr>
          <w:rFonts w:ascii="Times New Roman" w:eastAsia="Times New Roman" w:hAnsi="Times New Roman" w:cs="Times New Roman"/>
          <w:color w:val="000000"/>
        </w:rPr>
        <w:t>election criteria</w:t>
      </w:r>
      <w:r>
        <w:rPr>
          <w:rFonts w:ascii="Times New Roman" w:eastAsia="Times New Roman" w:hAnsi="Times New Roman" w:cs="Times New Roman"/>
          <w:vertAlign w:val="superscript"/>
        </w:rPr>
        <w:t>52</w:t>
      </w:r>
      <w:r>
        <w:rPr>
          <w:rFonts w:ascii="Times New Roman" w:eastAsia="Times New Roman" w:hAnsi="Times New Roman" w:cs="Times New Roman"/>
          <w:color w:val="000000"/>
        </w:rPr>
        <w:t>, refining of transplant techniques, and introduction of novel post-transplant immunosuppressive regimens is especially reflected in the experience (1995-2010) of Mazzaferro et al</w:t>
      </w:r>
      <w:r>
        <w:rPr>
          <w:rFonts w:ascii="Times New Roman" w:eastAsia="Times New Roman" w:hAnsi="Times New Roman" w:cs="Times New Roman"/>
        </w:rPr>
        <w:t>.</w:t>
      </w:r>
      <w:r>
        <w:rPr>
          <w:rFonts w:ascii="Times New Roman" w:eastAsia="Times New Roman" w:hAnsi="Times New Roman" w:cs="Times New Roman"/>
          <w:color w:val="000000"/>
          <w:vertAlign w:val="superscript"/>
        </w:rPr>
        <w:t>14</w:t>
      </w:r>
      <w:r>
        <w:rPr>
          <w:rFonts w:ascii="Times New Roman" w:eastAsia="Times New Roman" w:hAnsi="Times New Roman" w:cs="Times New Roman"/>
          <w:color w:val="000000"/>
        </w:rPr>
        <w:t xml:space="preserve"> who attained  5-year and 10-year OS of 97.2% and 88.8%. In their patients with post-transplant recurrence treated with an aggressive surgical approach or non-surgical therapies if surgery was not an option, 5- and 10-year survival after recurrence was 76.3% and 45.5%, respectively. The most favourable outcome</w:t>
      </w:r>
      <w:r>
        <w:rPr>
          <w:rFonts w:ascii="Times New Roman" w:eastAsia="Times New Roman" w:hAnsi="Times New Roman" w:cs="Times New Roman"/>
          <w:color w:val="000000"/>
        </w:rPr>
        <w:t>s w</w:t>
      </w:r>
      <w:r>
        <w:rPr>
          <w:rFonts w:ascii="Times New Roman" w:eastAsia="Times New Roman" w:hAnsi="Times New Roman" w:cs="Times New Roman"/>
        </w:rPr>
        <w:t>ere</w:t>
      </w:r>
      <w:r>
        <w:rPr>
          <w:rFonts w:ascii="Times New Roman" w:eastAsia="Times New Roman" w:hAnsi="Times New Roman" w:cs="Times New Roman"/>
          <w:color w:val="000000"/>
        </w:rPr>
        <w:t xml:space="preserve"> seen in those who developed recurrence a long t</w:t>
      </w:r>
      <w:r>
        <w:rPr>
          <w:rFonts w:ascii="Times New Roman" w:eastAsia="Times New Roman" w:hAnsi="Times New Roman" w:cs="Times New Roman"/>
        </w:rPr>
        <w:t xml:space="preserve">ime </w:t>
      </w:r>
      <w:r>
        <w:rPr>
          <w:rFonts w:ascii="Times New Roman" w:eastAsia="Times New Roman" w:hAnsi="Times New Roman" w:cs="Times New Roman"/>
          <w:color w:val="000000"/>
        </w:rPr>
        <w:t>after liver transplantation (&gt;24 months)</w:t>
      </w:r>
      <w:r>
        <w:rPr>
          <w:rFonts w:ascii="Times New Roman" w:eastAsia="Times New Roman" w:hAnsi="Times New Roman" w:cs="Times New Roman"/>
          <w:vertAlign w:val="superscript"/>
        </w:rPr>
        <w:t>49</w:t>
      </w:r>
      <w:r>
        <w:rPr>
          <w:rFonts w:ascii="Times New Roman" w:eastAsia="Times New Roman" w:hAnsi="Times New Roman" w:cs="Times New Roman"/>
          <w:color w:val="000000"/>
        </w:rPr>
        <w:t>.</w:t>
      </w:r>
    </w:p>
    <w:p w14:paraId="0000009E" w14:textId="77777777" w:rsidR="00433217" w:rsidRDefault="00CA652C">
      <w:pPr>
        <w:shd w:val="clear" w:color="auto" w:fill="FFFFFF"/>
        <w:spacing w:after="0" w:line="480" w:lineRule="auto"/>
        <w:rPr>
          <w:rFonts w:ascii="Times New Roman" w:eastAsia="Times New Roman" w:hAnsi="Times New Roman" w:cs="Times New Roman"/>
        </w:rPr>
      </w:pPr>
      <w:r>
        <w:rPr>
          <w:rFonts w:ascii="Times New Roman" w:eastAsia="Times New Roman" w:hAnsi="Times New Roman" w:cs="Times New Roman"/>
        </w:rPr>
        <w:t>Hepatic intraarterial therapies are effective and well-tolerated palliative options for non-surgical candidates with progressive, liver-predominant, metastatic NET and for those with refractory hormonal symptoms. In the absence of randomised controlled trials, no rigorous statement regarding the relative superiority of each technique in terms of radiological response, symptomatic response or survival impact can be made. In a systematic review, Kennedy et al. concluded that the 5-year survival for TAE and TA</w:t>
      </w:r>
      <w:r>
        <w:rPr>
          <w:rFonts w:ascii="Times New Roman" w:eastAsia="Times New Roman" w:hAnsi="Times New Roman" w:cs="Times New Roman"/>
        </w:rPr>
        <w:t>CE range from 13% to 65.4%, and 11.1% to 50%, respectively. For TARE, 3-year survival ranged from 42% to 47%</w:t>
      </w:r>
      <w:r>
        <w:rPr>
          <w:rFonts w:ascii="Times New Roman" w:eastAsia="Times New Roman" w:hAnsi="Times New Roman" w:cs="Times New Roman"/>
          <w:vertAlign w:val="superscript"/>
        </w:rPr>
        <w:t>53</w:t>
      </w:r>
      <w:r>
        <w:rPr>
          <w:rFonts w:ascii="Times New Roman" w:eastAsia="Times New Roman" w:hAnsi="Times New Roman" w:cs="Times New Roman"/>
        </w:rPr>
        <w:t xml:space="preserve">. Symptomatic response was seen in 39% to 95% within 1 to 18 months following treatment.  In our experience with TARE, OS </w:t>
      </w:r>
      <w:r>
        <w:rPr>
          <w:rFonts w:ascii="Times New Roman" w:eastAsia="Times New Roman" w:hAnsi="Times New Roman" w:cs="Times New Roman"/>
          <w:color w:val="212121"/>
        </w:rPr>
        <w:t>and PFS at 3-years were 77.6% and 50.4%, respectively, and there were no grade 3/4 toxicities post-procedure</w:t>
      </w:r>
      <w:r>
        <w:rPr>
          <w:rFonts w:ascii="Times New Roman" w:eastAsia="Times New Roman" w:hAnsi="Times New Roman" w:cs="Times New Roman"/>
          <w:color w:val="212121"/>
          <w:vertAlign w:val="superscript"/>
        </w:rPr>
        <w:t>54</w:t>
      </w:r>
      <w:r>
        <w:rPr>
          <w:rFonts w:ascii="Times New Roman" w:eastAsia="Times New Roman" w:hAnsi="Times New Roman" w:cs="Times New Roman"/>
        </w:rPr>
        <w:t>. In single studies, hepatic intra-arterial therapies have been combined with systemic agents</w:t>
      </w:r>
      <w:r>
        <w:rPr>
          <w:rFonts w:ascii="Times New Roman" w:eastAsia="Times New Roman" w:hAnsi="Times New Roman" w:cs="Times New Roman"/>
          <w:vertAlign w:val="superscript"/>
        </w:rPr>
        <w:t>55</w:t>
      </w:r>
      <w:r>
        <w:rPr>
          <w:rFonts w:ascii="Times New Roman" w:eastAsia="Times New Roman" w:hAnsi="Times New Roman" w:cs="Times New Roman"/>
        </w:rPr>
        <w:t xml:space="preserve"> or PRRT</w:t>
      </w:r>
      <w:r>
        <w:rPr>
          <w:rFonts w:ascii="Times New Roman" w:eastAsia="Times New Roman" w:hAnsi="Times New Roman" w:cs="Times New Roman"/>
          <w:vertAlign w:val="superscript"/>
        </w:rPr>
        <w:t>56</w:t>
      </w:r>
      <w:r>
        <w:rPr>
          <w:rFonts w:ascii="Times New Roman" w:eastAsia="Times New Roman" w:hAnsi="Times New Roman" w:cs="Times New Roman"/>
        </w:rPr>
        <w:t xml:space="preserve"> to enhance the treatment effect. In the absence of any objective</w:t>
      </w:r>
      <w:r>
        <w:rPr>
          <w:rFonts w:ascii="Times New Roman" w:eastAsia="Times New Roman" w:hAnsi="Times New Roman" w:cs="Times New Roman"/>
        </w:rPr>
        <w:t xml:space="preserve"> criteria for treatment stratification such results must at present be regarded as observational.</w:t>
      </w:r>
    </w:p>
    <w:p w14:paraId="0000009F" w14:textId="77777777" w:rsidR="00433217" w:rsidRDefault="00CA652C">
      <w:pPr>
        <w:spacing w:after="0" w:line="480" w:lineRule="auto"/>
        <w:rPr>
          <w:rFonts w:ascii="Times New Roman" w:eastAsia="Times New Roman" w:hAnsi="Times New Roman" w:cs="Times New Roman"/>
          <w:b/>
        </w:rPr>
      </w:pPr>
      <w:sdt>
        <w:sdtPr>
          <w:tag w:val="goog_rdk_5"/>
          <w:id w:val="2103918752"/>
        </w:sdtPr>
        <w:sdtEndPr/>
        <w:sdtContent>
          <w:r>
            <w:rPr>
              <w:rFonts w:ascii="Gungsuh" w:eastAsia="Gungsuh" w:hAnsi="Gungsuh" w:cs="Gungsuh"/>
            </w:rPr>
            <w:t xml:space="preserve">The effect of systemic antineoplastic therapy specifically on LM is difficult to assess since there is a lack of published data discriminating </w:t>
          </w:r>
          <w:r>
            <w:rPr>
              <w:rFonts w:ascii="Gungsuh" w:eastAsia="Gungsuh" w:hAnsi="Gungsuh" w:cs="Gungsuh"/>
            </w:rPr>
            <w:lastRenderedPageBreak/>
            <w:t>between treatment response in the liver and in extrahepatic disease sites. In addition, randomised studies comparing systemic therapies with hepatic intra-arterial therapies in liver predominant disease do not exist. In the first phase III trial of somatostatin analogues, hepatic tumour burden of &lt;10% predicted a positive response to treatment. In the following phase</w:t>
          </w:r>
          <w:r>
            <w:rPr>
              <w:rFonts w:ascii="Gungsuh" w:eastAsia="Gungsuh" w:hAnsi="Gungsuh" w:cs="Gungsuh"/>
            </w:rPr>
            <w:t xml:space="preserve"> III trial on SSA, and in the Phase III trial on PRRT vs SSA, prolongation of PFS was seen irrespective of baseline hepatic tumour burden (cut-offs were ≤25% vs. ≥25%, and &lt;25% vs 25-50% vs. &gt;50%, respectively)</w:t>
          </w:r>
        </w:sdtContent>
      </w:sdt>
      <w:r>
        <w:rPr>
          <w:rFonts w:ascii="Times New Roman" w:eastAsia="Times New Roman" w:hAnsi="Times New Roman" w:cs="Times New Roman"/>
          <w:vertAlign w:val="superscript"/>
        </w:rPr>
        <w:t>18,57</w:t>
      </w:r>
      <w:r>
        <w:rPr>
          <w:rFonts w:ascii="Times New Roman" w:eastAsia="Times New Roman" w:hAnsi="Times New Roman" w:cs="Times New Roman"/>
        </w:rPr>
        <w:t>. These conflicting data suggest that tumor burden alone is not an adequate criterion and that better knowledge of the biological basis of individual disease is required. It is possible that genomic characterisation will facilitate treatment stratification</w:t>
      </w:r>
      <w:r>
        <w:rPr>
          <w:rFonts w:ascii="Times New Roman" w:eastAsia="Times New Roman" w:hAnsi="Times New Roman" w:cs="Times New Roman"/>
          <w:vertAlign w:val="superscript"/>
        </w:rPr>
        <w:t>58</w:t>
      </w:r>
      <w:r>
        <w:rPr>
          <w:rFonts w:ascii="Times New Roman" w:eastAsia="Times New Roman" w:hAnsi="Times New Roman" w:cs="Times New Roman"/>
        </w:rPr>
        <w:t>.</w:t>
      </w:r>
    </w:p>
    <w:p w14:paraId="000000A0" w14:textId="77777777" w:rsidR="00433217" w:rsidRDefault="00CA652C">
      <w:pPr>
        <w:shd w:val="clear" w:color="auto" w:fill="FFFFFF"/>
        <w:spacing w:after="0" w:line="480" w:lineRule="auto"/>
        <w:rPr>
          <w:rFonts w:ascii="Times New Roman" w:eastAsia="Times New Roman" w:hAnsi="Times New Roman" w:cs="Times New Roman"/>
        </w:rPr>
      </w:pPr>
      <w:r>
        <w:rPr>
          <w:rFonts w:ascii="Times New Roman" w:eastAsia="Times New Roman" w:hAnsi="Times New Roman" w:cs="Times New Roman"/>
        </w:rPr>
        <w:t>Clearly, intervention in the NE LM setting can be effective. Although the optimal strategies are not yet well defined, it seems likely that multimodal therapy will provide optimised outcomes. Support for this supposition was initially provided by Norheim et al. of Uppsala University who reported the impact of such concepts in 103 patients with ‘malignant carcinoids’ (92% had LM). In this cohort, surgery was undertaken in 83%, followed by treatment with interferon in 92%, and 15% also received SSA</w:t>
      </w:r>
      <w:r>
        <w:rPr>
          <w:rFonts w:ascii="Times New Roman" w:eastAsia="Times New Roman" w:hAnsi="Times New Roman" w:cs="Times New Roman"/>
          <w:vertAlign w:val="superscript"/>
        </w:rPr>
        <w:t>59</w:t>
      </w:r>
      <w:r>
        <w:rPr>
          <w:rFonts w:ascii="Times New Roman" w:eastAsia="Times New Roman" w:hAnsi="Times New Roman" w:cs="Times New Roman"/>
        </w:rPr>
        <w:t>. They posited that multiple therapies improved survival outcomes when compared to historical data. In the present study, all centres were early adopters of multimodal concepts, but favoured somatostatin receptor-targeted therapies due to the inauspicious safety profile of interferons. Overall, SSA were used in 62.6% and PRRT in 37.6%. It is likely that adoption of this ‘theranostic’ approach which combined somatostatin receptor imaging with somatostatin receptor-targeted therapy may have contributed to i</w:t>
      </w:r>
      <w:r>
        <w:rPr>
          <w:rFonts w:ascii="Times New Roman" w:eastAsia="Times New Roman" w:hAnsi="Times New Roman" w:cs="Times New Roman"/>
        </w:rPr>
        <w:t xml:space="preserve">mproved outcomes. </w:t>
      </w:r>
    </w:p>
    <w:p w14:paraId="000000A1" w14:textId="77777777" w:rsidR="00433217" w:rsidRDefault="00CA652C">
      <w:pPr>
        <w:shd w:val="clear" w:color="auto" w:fill="FFFFFF"/>
        <w:spacing w:after="0" w:line="480" w:lineRule="auto"/>
        <w:rPr>
          <w:rFonts w:ascii="Times New Roman" w:eastAsia="Times New Roman" w:hAnsi="Times New Roman" w:cs="Times New Roman"/>
        </w:rPr>
      </w:pPr>
      <w:r>
        <w:rPr>
          <w:rFonts w:ascii="Times New Roman" w:eastAsia="Times New Roman" w:hAnsi="Times New Roman" w:cs="Times New Roman"/>
        </w:rPr>
        <w:t>In a 2023 review on circulating biomarkers in neuroendocrine disease serious concerns were raised about the potential clinical use of chromogranin A, traditionally used as a standard biomarker for NET</w:t>
      </w:r>
      <w:r>
        <w:rPr>
          <w:rFonts w:ascii="Times New Roman" w:eastAsia="Times New Roman" w:hAnsi="Times New Roman" w:cs="Times New Roman"/>
          <w:vertAlign w:val="superscript"/>
        </w:rPr>
        <w:t>60</w:t>
      </w:r>
      <w:r>
        <w:rPr>
          <w:rFonts w:ascii="Times New Roman" w:eastAsia="Times New Roman" w:hAnsi="Times New Roman" w:cs="Times New Roman"/>
        </w:rPr>
        <w:t xml:space="preserve">. Blood-based genomic tumour markers (NETest) present a novel, effective approach for accurate diagnosis, staging, delineation of surgical resection, selection of treatment, and monitoring of </w:t>
      </w:r>
      <w:r>
        <w:rPr>
          <w:rFonts w:ascii="Times New Roman" w:eastAsia="Times New Roman" w:hAnsi="Times New Roman" w:cs="Times New Roman"/>
        </w:rPr>
        <w:lastRenderedPageBreak/>
        <w:t>treatment response. In our previous studies and in those performed by others, NETest was shown to accurately correlate with completeness of resection (R0 resection/normal NET score: no recurrence, R0 resection/elevated NET score: recurrence in 83%, R1/R2 resection/decreased but elevated NET score: recurrence in 100%)</w:t>
      </w:r>
      <w:r>
        <w:rPr>
          <w:rFonts w:ascii="Times New Roman" w:eastAsia="Times New Roman" w:hAnsi="Times New Roman" w:cs="Times New Roman"/>
          <w:vertAlign w:val="superscript"/>
        </w:rPr>
        <w:t>21</w:t>
      </w:r>
      <w:r>
        <w:rPr>
          <w:rFonts w:ascii="Times New Roman" w:eastAsia="Times New Roman" w:hAnsi="Times New Roman" w:cs="Times New Roman"/>
        </w:rPr>
        <w:t xml:space="preserve"> and early identification of minimal residual disease as well as recognition of disease recurrence and progression</w:t>
      </w:r>
      <w:r>
        <w:rPr>
          <w:rFonts w:ascii="Times New Roman" w:eastAsia="Times New Roman" w:hAnsi="Times New Roman" w:cs="Times New Roman"/>
          <w:vertAlign w:val="superscript"/>
        </w:rPr>
        <w:t>21,58,61,62</w:t>
      </w:r>
      <w:r>
        <w:rPr>
          <w:rFonts w:ascii="Times New Roman" w:eastAsia="Times New Roman" w:hAnsi="Times New Roman" w:cs="Times New Roman"/>
        </w:rPr>
        <w:t xml:space="preserve">. </w:t>
      </w:r>
    </w:p>
    <w:p w14:paraId="000000A2" w14:textId="77777777" w:rsidR="00433217" w:rsidRDefault="00CA652C">
      <w:pPr>
        <w:spacing w:after="0" w:line="480" w:lineRule="auto"/>
        <w:rPr>
          <w:rFonts w:ascii="Times New Roman" w:eastAsia="Times New Roman" w:hAnsi="Times New Roman" w:cs="Times New Roman"/>
          <w:strike/>
          <w:color w:val="FF0000"/>
          <w:u w:val="single"/>
        </w:rPr>
      </w:pPr>
      <w:r>
        <w:rPr>
          <w:rFonts w:ascii="Times New Roman" w:eastAsia="Times New Roman" w:hAnsi="Times New Roman" w:cs="Times New Roman"/>
        </w:rPr>
        <w:t>The strengths of the present study include the size and temporal coverage of the diverse multi-centre international cohort permitting analysis of trends in treatments and outcomes. There are, however, important limitations worthy of consideration. First, whilst the tertiary nature of all contributing centres and the embedded NET and hepato-pancreato-biliary expertise may demonstrate the optimisation of outcomes attainable in such scenarios, there are reservations that will likely limit the generalisation of</w:t>
      </w:r>
      <w:r>
        <w:rPr>
          <w:rFonts w:ascii="Times New Roman" w:eastAsia="Times New Roman" w:hAnsi="Times New Roman" w:cs="Times New Roman"/>
        </w:rPr>
        <w:t xml:space="preserve"> our findings to other settings. Second, the availability of best-in-class imaging and PRRT (in 3 centres over ~ two decades) may not reflect standard practice in non-specialist units or those in different geographic locations. Best available imaging modalities can identify additional disease burden usually undetectable until a later date thereby compromising the timing of treatment strategies</w:t>
      </w:r>
      <w:r>
        <w:rPr>
          <w:rFonts w:ascii="Times New Roman" w:eastAsia="Times New Roman" w:hAnsi="Times New Roman" w:cs="Times New Roman"/>
          <w:vertAlign w:val="superscript"/>
        </w:rPr>
        <w:t>31</w:t>
      </w:r>
      <w:r>
        <w:rPr>
          <w:rFonts w:ascii="Times New Roman" w:eastAsia="Times New Roman" w:hAnsi="Times New Roman" w:cs="Times New Roman"/>
        </w:rPr>
        <w:t>. The initial resistance to the use of PRRT appears now to have waned and offers an effective approach to attain d</w:t>
      </w:r>
      <w:r>
        <w:rPr>
          <w:rFonts w:ascii="Times New Roman" w:eastAsia="Times New Roman" w:hAnsi="Times New Roman" w:cs="Times New Roman"/>
        </w:rPr>
        <w:t>isease control</w:t>
      </w:r>
      <w:r>
        <w:rPr>
          <w:rFonts w:ascii="Times New Roman" w:eastAsia="Times New Roman" w:hAnsi="Times New Roman" w:cs="Times New Roman"/>
          <w:vertAlign w:val="superscript"/>
        </w:rPr>
        <w:t>17</w:t>
      </w:r>
      <w:r>
        <w:rPr>
          <w:rFonts w:ascii="Times New Roman" w:eastAsia="Times New Roman" w:hAnsi="Times New Roman" w:cs="Times New Roman"/>
        </w:rPr>
        <w:t>.</w:t>
      </w:r>
    </w:p>
    <w:p w14:paraId="000000A3"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Neuroendocrine LM pose multiple clinical challenges. They are common, portend negative prognosis, and whilst there are multiple treatments available, the precise utility of individual strategies is often based on opinion and assertion rather than rigorous, critically designed studies. Thus, the comparative ‘role’ of liver transplantation or R0 hepatectomy in resectable NE LM</w:t>
      </w:r>
      <w:r>
        <w:rPr>
          <w:rFonts w:ascii="Times New Roman" w:eastAsia="Times New Roman" w:hAnsi="Times New Roman" w:cs="Times New Roman"/>
          <w:vertAlign w:val="superscript"/>
        </w:rPr>
        <w:t>63</w:t>
      </w:r>
      <w:r>
        <w:rPr>
          <w:rFonts w:ascii="Times New Roman" w:eastAsia="Times New Roman" w:hAnsi="Times New Roman" w:cs="Times New Roman"/>
        </w:rPr>
        <w:t xml:space="preserve"> are subject to controversy. Similarly, the effects of systemic antineoplastic therapies specifically on LM cannot be clearly documented in published series due to lack of data that adequately discriminates between treatment response in hepatic versus extra-hepatic sites</w:t>
      </w:r>
      <w:r>
        <w:rPr>
          <w:rFonts w:ascii="Times New Roman" w:eastAsia="Times New Roman" w:hAnsi="Times New Roman" w:cs="Times New Roman"/>
          <w:vertAlign w:val="superscript"/>
        </w:rPr>
        <w:t>18,50</w:t>
      </w:r>
      <w:r>
        <w:rPr>
          <w:rFonts w:ascii="Times New Roman" w:eastAsia="Times New Roman" w:hAnsi="Times New Roman" w:cs="Times New Roman"/>
        </w:rPr>
        <w:t xml:space="preserve">. </w:t>
      </w:r>
    </w:p>
    <w:p w14:paraId="000000A4"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This study demonstrates that acceptable long-term outcomes are attainable for NE LM with multimodal treatment concepts, and these have improved over time as novel approaches became embedded into standard clinical practice (</w:t>
      </w:r>
      <w:r>
        <w:rPr>
          <w:rFonts w:ascii="Times New Roman" w:eastAsia="Times New Roman" w:hAnsi="Times New Roman" w:cs="Times New Roman"/>
          <w:b/>
        </w:rPr>
        <w:t>Figure 4</w:t>
      </w:r>
      <w:r>
        <w:rPr>
          <w:rFonts w:ascii="Times New Roman" w:eastAsia="Times New Roman" w:hAnsi="Times New Roman" w:cs="Times New Roman"/>
        </w:rPr>
        <w:t xml:space="preserve">). The next step in defining specific therapy and timing will depend upon the genomic biologic characterisation of individual NE LM. It is improbable </w:t>
      </w:r>
      <w:r>
        <w:rPr>
          <w:rFonts w:ascii="Times New Roman" w:eastAsia="Times New Roman" w:hAnsi="Times New Roman" w:cs="Times New Roman"/>
        </w:rPr>
        <w:lastRenderedPageBreak/>
        <w:t xml:space="preserve">that all metastases are equal. Thus, to advance the therapeutic efficacy, biological stratification of an individual’s neuroendocrine tumour disease is a key step forwards.  </w:t>
      </w:r>
    </w:p>
    <w:p w14:paraId="000000A5" w14:textId="77777777" w:rsidR="00433217" w:rsidRDefault="00433217">
      <w:pPr>
        <w:spacing w:after="0" w:line="480" w:lineRule="auto"/>
        <w:rPr>
          <w:rFonts w:ascii="Times New Roman" w:eastAsia="Times New Roman" w:hAnsi="Times New Roman" w:cs="Times New Roman"/>
        </w:rPr>
      </w:pPr>
    </w:p>
    <w:p w14:paraId="000000A6" w14:textId="77777777" w:rsidR="00433217" w:rsidRDefault="00433217">
      <w:pPr>
        <w:spacing w:after="0" w:line="480" w:lineRule="auto"/>
        <w:rPr>
          <w:rFonts w:ascii="Times New Roman" w:eastAsia="Times New Roman" w:hAnsi="Times New Roman" w:cs="Times New Roman"/>
        </w:rPr>
      </w:pPr>
    </w:p>
    <w:p w14:paraId="000000A7" w14:textId="77777777" w:rsidR="00433217" w:rsidRDefault="00433217">
      <w:pPr>
        <w:spacing w:after="0" w:line="480" w:lineRule="auto"/>
        <w:rPr>
          <w:rFonts w:ascii="Times New Roman" w:eastAsia="Times New Roman" w:hAnsi="Times New Roman" w:cs="Times New Roman"/>
        </w:rPr>
      </w:pPr>
    </w:p>
    <w:p w14:paraId="000000A8" w14:textId="77777777" w:rsidR="00433217" w:rsidRDefault="00433217">
      <w:pPr>
        <w:spacing w:after="0" w:line="480" w:lineRule="auto"/>
        <w:rPr>
          <w:rFonts w:ascii="Times New Roman" w:eastAsia="Times New Roman" w:hAnsi="Times New Roman" w:cs="Times New Roman"/>
        </w:rPr>
      </w:pPr>
    </w:p>
    <w:p w14:paraId="000000A9" w14:textId="77777777" w:rsidR="00433217" w:rsidRDefault="00CA652C">
      <w:pPr>
        <w:spacing w:after="0" w:line="480" w:lineRule="auto"/>
        <w:rPr>
          <w:rFonts w:ascii="Times New Roman" w:eastAsia="Times New Roman" w:hAnsi="Times New Roman" w:cs="Times New Roman"/>
          <w:b/>
        </w:rPr>
      </w:pPr>
      <w:r>
        <w:rPr>
          <w:rFonts w:ascii="Times New Roman" w:eastAsia="Times New Roman" w:hAnsi="Times New Roman" w:cs="Times New Roman"/>
          <w:b/>
        </w:rPr>
        <w:t xml:space="preserve">Acknowledgements </w:t>
      </w:r>
    </w:p>
    <w:p w14:paraId="000000AA" w14:textId="77777777" w:rsidR="00433217" w:rsidRDefault="00433217">
      <w:pPr>
        <w:spacing w:after="0" w:line="480" w:lineRule="auto"/>
        <w:rPr>
          <w:rFonts w:ascii="Times New Roman" w:eastAsia="Times New Roman" w:hAnsi="Times New Roman" w:cs="Times New Roman"/>
        </w:rPr>
      </w:pPr>
    </w:p>
    <w:p w14:paraId="000000AB"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The research was part of the MD thesis of Kira C. Steinkraus. The work is dedicated to the memory of Janie Osborne.</w:t>
      </w:r>
    </w:p>
    <w:p w14:paraId="000000AC" w14:textId="77777777" w:rsidR="00433217" w:rsidRDefault="00433217">
      <w:pPr>
        <w:spacing w:after="0" w:line="480" w:lineRule="auto"/>
        <w:rPr>
          <w:rFonts w:ascii="Times New Roman" w:eastAsia="Times New Roman" w:hAnsi="Times New Roman" w:cs="Times New Roman"/>
        </w:rPr>
      </w:pPr>
    </w:p>
    <w:p w14:paraId="000000AD" w14:textId="77777777" w:rsidR="00433217" w:rsidRDefault="00CA652C">
      <w:pPr>
        <w:spacing w:after="0" w:line="480" w:lineRule="auto"/>
        <w:rPr>
          <w:rFonts w:ascii="Times New Roman" w:eastAsia="Times New Roman" w:hAnsi="Times New Roman" w:cs="Times New Roman"/>
          <w:b/>
        </w:rPr>
      </w:pPr>
      <w:r>
        <w:rPr>
          <w:rFonts w:ascii="Times New Roman" w:eastAsia="Times New Roman" w:hAnsi="Times New Roman" w:cs="Times New Roman"/>
          <w:b/>
        </w:rPr>
        <w:t xml:space="preserve">Contributions </w:t>
      </w:r>
    </w:p>
    <w:p w14:paraId="000000AE" w14:textId="77777777" w:rsidR="00433217" w:rsidRDefault="00433217">
      <w:pPr>
        <w:spacing w:after="0" w:line="480" w:lineRule="auto"/>
        <w:rPr>
          <w:rFonts w:ascii="Times New Roman" w:eastAsia="Times New Roman" w:hAnsi="Times New Roman" w:cs="Times New Roman"/>
        </w:rPr>
      </w:pPr>
    </w:p>
    <w:p w14:paraId="000000AF"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AF conceived the study, co-developed the protocol and statistical analysis plans, undertook data extraction, led clinical care that contributed to the underlying database, provided clinical input, interpreted results, drafted the manuscript and reviewed the manuscript. AKC co-conceived the study, developed the protocol and statistical analysis plans, undertook statistical analyses, interpreted results, and drafted the manuscript. DK co-conceived the study, undertook data extraction, provided clinical care t</w:t>
      </w:r>
      <w:r>
        <w:rPr>
          <w:rFonts w:ascii="Times New Roman" w:eastAsia="Times New Roman" w:hAnsi="Times New Roman" w:cs="Times New Roman"/>
        </w:rPr>
        <w:t>hat contributed to the underlying database, provided clinical input, interpreted results and reviewed the manuscript. KCS co-conceived the study, undertook data extraction, provided clinical input, interpreted results, and reviewed the manuscript. JS co-conceived the study, undertook data extraction, provided clinical care, provided clinical input, interpreted the results, and reviewed the manuscript. SW co-conceived the study, undertook data extraction, provided clinical care that contributed to the underl</w:t>
      </w:r>
      <w:r>
        <w:rPr>
          <w:rFonts w:ascii="Times New Roman" w:eastAsia="Times New Roman" w:hAnsi="Times New Roman" w:cs="Times New Roman"/>
        </w:rPr>
        <w:t xml:space="preserve">ying database, provided clinical input, interpreted results, and reviewed the manuscript. PD co-conceived the study, undertook data extraction, provided clinical care, provided clinical care that contributed to the underlying database, interpreted results, and reviewed the manuscript. M-OL undertook data extraction, provided clinical care that contributed to the underlying database, provided clinical input, interpreted results, and reviewed the manuscript. MH undertook </w:t>
      </w:r>
      <w:r>
        <w:rPr>
          <w:rFonts w:ascii="Times New Roman" w:eastAsia="Times New Roman" w:hAnsi="Times New Roman" w:cs="Times New Roman"/>
        </w:rPr>
        <w:lastRenderedPageBreak/>
        <w:t>data extraction, provided clinical car</w:t>
      </w:r>
      <w:r>
        <w:rPr>
          <w:rFonts w:ascii="Times New Roman" w:eastAsia="Times New Roman" w:hAnsi="Times New Roman" w:cs="Times New Roman"/>
        </w:rPr>
        <w:t>e, provided clinical input, interpreted results, and reviewed the manuscript. NH provided clinical care that contributed to the underlying database, provided clinical input, interpreted results, and reviewed the manuscript. RPB and HW provided clinical care that contributed to the underlying database, undertook data extraction, provided clinical input, interpreted results, and reviewed the manuscript. IMM co-conceived the study, provided clinical and statistical input, interpreted results, and drafted and r</w:t>
      </w:r>
      <w:r>
        <w:rPr>
          <w:rFonts w:ascii="Times New Roman" w:eastAsia="Times New Roman" w:hAnsi="Times New Roman" w:cs="Times New Roman"/>
        </w:rPr>
        <w:t xml:space="preserve">eviewed the manuscript. JRI co-conceived the study, provided clinical input, provided supervision, interpreted results, and reviewed the manuscript. AF and AKC directly accessed and verified the underlying data reported in the manuscript. AF, KCS, DK, SW, HW and JS had full access to raw study data, as per clinical data practice at the respective institutions. All authors accept the final responsibility to submit for publication. </w:t>
      </w:r>
    </w:p>
    <w:p w14:paraId="000000B0" w14:textId="77777777" w:rsidR="00433217" w:rsidRDefault="00433217">
      <w:pPr>
        <w:spacing w:after="0" w:line="480" w:lineRule="auto"/>
        <w:rPr>
          <w:rFonts w:ascii="Times New Roman" w:eastAsia="Times New Roman" w:hAnsi="Times New Roman" w:cs="Times New Roman"/>
          <w:b/>
        </w:rPr>
      </w:pPr>
    </w:p>
    <w:p w14:paraId="000000B1" w14:textId="77777777" w:rsidR="00433217" w:rsidRDefault="00CA652C">
      <w:pPr>
        <w:spacing w:after="0" w:line="480" w:lineRule="auto"/>
        <w:rPr>
          <w:rFonts w:ascii="Times New Roman" w:eastAsia="Times New Roman" w:hAnsi="Times New Roman" w:cs="Times New Roman"/>
          <w:b/>
        </w:rPr>
      </w:pPr>
      <w:r>
        <w:rPr>
          <w:rFonts w:ascii="Times New Roman" w:eastAsia="Times New Roman" w:hAnsi="Times New Roman" w:cs="Times New Roman"/>
          <w:b/>
        </w:rPr>
        <w:t xml:space="preserve">Data sharing </w:t>
      </w:r>
    </w:p>
    <w:p w14:paraId="000000B2" w14:textId="77777777" w:rsidR="00433217" w:rsidRDefault="00433217">
      <w:pPr>
        <w:spacing w:after="0" w:line="480" w:lineRule="auto"/>
        <w:rPr>
          <w:rFonts w:ascii="Times New Roman" w:eastAsia="Times New Roman" w:hAnsi="Times New Roman" w:cs="Times New Roman"/>
          <w:b/>
        </w:rPr>
      </w:pPr>
    </w:p>
    <w:p w14:paraId="000000B3" w14:textId="77777777" w:rsidR="00433217" w:rsidRDefault="00CA652C">
      <w:pP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Due to the nature of the clinical data collected and ethical approvals, individual participant data is not permitted to be made available to others. The protocol and statistical code used in the analyses can be made available to researchers upon request to the corresponding author. </w:t>
      </w:r>
    </w:p>
    <w:p w14:paraId="000000B4" w14:textId="77777777" w:rsidR="00433217" w:rsidRDefault="00433217">
      <w:pPr>
        <w:spacing w:after="0" w:line="480" w:lineRule="auto"/>
        <w:rPr>
          <w:rFonts w:ascii="Times New Roman" w:eastAsia="Times New Roman" w:hAnsi="Times New Roman" w:cs="Times New Roman"/>
        </w:rPr>
      </w:pPr>
    </w:p>
    <w:p w14:paraId="000000B5" w14:textId="77777777" w:rsidR="00433217" w:rsidRDefault="00CA652C">
      <w:pPr>
        <w:spacing w:after="0" w:line="480" w:lineRule="auto"/>
        <w:rPr>
          <w:rFonts w:ascii="Times New Roman" w:eastAsia="Times New Roman" w:hAnsi="Times New Roman" w:cs="Times New Roman"/>
          <w:b/>
        </w:rPr>
      </w:pPr>
      <w:r>
        <w:rPr>
          <w:rFonts w:ascii="Times New Roman" w:eastAsia="Times New Roman" w:hAnsi="Times New Roman" w:cs="Times New Roman"/>
          <w:b/>
        </w:rPr>
        <w:t>Declaration of interests</w:t>
      </w:r>
    </w:p>
    <w:p w14:paraId="000000B6" w14:textId="77777777" w:rsidR="00433217" w:rsidRDefault="00433217">
      <w:pPr>
        <w:spacing w:after="0" w:line="480" w:lineRule="auto"/>
        <w:rPr>
          <w:rFonts w:ascii="Times New Roman" w:eastAsia="Times New Roman" w:hAnsi="Times New Roman" w:cs="Times New Roman"/>
          <w:b/>
        </w:rPr>
      </w:pPr>
    </w:p>
    <w:p w14:paraId="000000B7" w14:textId="77777777" w:rsidR="00433217" w:rsidRDefault="00CA652C">
      <w:pPr>
        <w:shd w:val="clear" w:color="auto" w:fill="FFFFFF"/>
        <w:spacing w:line="480" w:lineRule="auto"/>
        <w:rPr>
          <w:rFonts w:ascii="Times New Roman" w:eastAsia="Times New Roman" w:hAnsi="Times New Roman" w:cs="Times New Roman"/>
          <w:color w:val="333333"/>
        </w:rPr>
      </w:pPr>
      <w:r>
        <w:rPr>
          <w:rFonts w:ascii="Times New Roman" w:eastAsia="Times New Roman" w:hAnsi="Times New Roman" w:cs="Times New Roman"/>
        </w:rPr>
        <w:t>AF reports speaker, travel grants, education grants and honoraria from Ipsen; speaker and travel grants, honoraria and being an advisory board member for Novartis;  travel grants, honoraria and being an advisory board member for AAA; speaker and travel grants, and being an advisory board member for Sirtex; consultancy fees from MarkMarker; travel and speaker grants from ESMO; research grants from Ipsen, the Dr Heinz-Horst Deichmann Foundation, Novartis, AAA, and The Taylor Family 2010 Charitable Trust. JS r</w:t>
      </w:r>
      <w:r>
        <w:rPr>
          <w:rFonts w:ascii="Times New Roman" w:eastAsia="Times New Roman" w:hAnsi="Times New Roman" w:cs="Times New Roman"/>
        </w:rPr>
        <w:t xml:space="preserve">eports lecture fees from Novartis, Ipsen and Falk; research grants from Novartis and Estere; travel support from Ipsen and Novartis; and advisory board honoraria from Novartis and Advanz. RPB reports advisory fees from 3B pharmaceuticals, ITM, Full Life Technologies, Sinotau, Jiagnsu Huayi Technology, and Telix Pharmaceuticals. IMM reports </w:t>
      </w:r>
      <w:r>
        <w:rPr>
          <w:rFonts w:ascii="Times New Roman" w:eastAsia="Times New Roman" w:hAnsi="Times New Roman" w:cs="Times New Roman"/>
        </w:rPr>
        <w:lastRenderedPageBreak/>
        <w:t xml:space="preserve">consultancy fees from WREN laboratories. HW reports </w:t>
      </w:r>
      <w:r>
        <w:rPr>
          <w:rFonts w:ascii="Times New Roman" w:eastAsia="Times New Roman" w:hAnsi="Times New Roman" w:cs="Times New Roman"/>
          <w:color w:val="333333"/>
        </w:rPr>
        <w:t>honoraria from Merck KGaA, Celgene, Sirtex Medical, Servier, Array BioPharma, Roche/Genentech, ERYTECH Pharma, Incyte,</w:t>
      </w:r>
      <w:r>
        <w:rPr>
          <w:rFonts w:ascii="Times New Roman" w:eastAsia="Times New Roman" w:hAnsi="Times New Roman" w:cs="Times New Roman"/>
          <w:color w:val="333333"/>
        </w:rPr>
        <w:t xml:space="preserve"> Zymeworks; consulting or advisory role for Roche Pharma AG, ERYTECH Pharma, Shire, Incyte, Sirtex medical, Pierre Fabre, Pfizer, and Bayer; engagements with speakers' bureau at Sirtex Medical, Celgene, Merck KGaA, Servier, Incyte and research funding from Sirtex Medical, Merck KGaA, Pfizer, and Merck Sharp &amp; Dohme. </w:t>
      </w:r>
      <w:r>
        <w:rPr>
          <w:rFonts w:ascii="Times New Roman" w:eastAsia="Times New Roman" w:hAnsi="Times New Roman" w:cs="Times New Roman"/>
        </w:rPr>
        <w:t xml:space="preserve">All other authors declare no competing interests. </w:t>
      </w:r>
    </w:p>
    <w:p w14:paraId="000000B8" w14:textId="77777777" w:rsidR="00433217" w:rsidRDefault="00433217">
      <w:pPr>
        <w:spacing w:after="0" w:line="480" w:lineRule="auto"/>
        <w:rPr>
          <w:rFonts w:ascii="Times New Roman" w:eastAsia="Times New Roman" w:hAnsi="Times New Roman" w:cs="Times New Roman"/>
        </w:rPr>
      </w:pPr>
    </w:p>
    <w:p w14:paraId="000000B9" w14:textId="77777777" w:rsidR="00433217" w:rsidRDefault="00433217">
      <w:pPr>
        <w:spacing w:after="0" w:line="480" w:lineRule="auto"/>
        <w:rPr>
          <w:rFonts w:ascii="Times New Roman" w:eastAsia="Times New Roman" w:hAnsi="Times New Roman" w:cs="Times New Roman"/>
        </w:rPr>
      </w:pPr>
    </w:p>
    <w:p w14:paraId="000000BA" w14:textId="77777777" w:rsidR="00433217" w:rsidRDefault="00433217">
      <w:pPr>
        <w:pBdr>
          <w:top w:val="nil"/>
          <w:left w:val="nil"/>
          <w:bottom w:val="nil"/>
          <w:right w:val="nil"/>
          <w:between w:val="nil"/>
        </w:pBdr>
        <w:shd w:val="clear" w:color="auto" w:fill="FFFFFF"/>
        <w:spacing w:after="0" w:line="480" w:lineRule="auto"/>
        <w:rPr>
          <w:rFonts w:ascii="Times New Roman" w:eastAsia="Times New Roman" w:hAnsi="Times New Roman" w:cs="Times New Roman"/>
          <w:color w:val="000000"/>
        </w:rPr>
      </w:pPr>
    </w:p>
    <w:p w14:paraId="000000BB" w14:textId="77777777" w:rsidR="00433217" w:rsidRDefault="00CA652C">
      <w:pPr>
        <w:pBdr>
          <w:top w:val="nil"/>
          <w:left w:val="nil"/>
          <w:bottom w:val="nil"/>
          <w:right w:val="nil"/>
          <w:between w:val="nil"/>
        </w:pBdr>
        <w:shd w:val="clear" w:color="auto" w:fill="FFFFFF"/>
        <w:spacing w:after="0" w:line="480"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References </w:t>
      </w:r>
    </w:p>
    <w:p w14:paraId="000000BC" w14:textId="77777777" w:rsidR="00433217" w:rsidRDefault="00433217">
      <w:pPr>
        <w:spacing w:after="0" w:line="480" w:lineRule="auto"/>
        <w:rPr>
          <w:rFonts w:ascii="Times New Roman" w:eastAsia="Times New Roman" w:hAnsi="Times New Roman" w:cs="Times New Roman"/>
        </w:rPr>
      </w:pPr>
    </w:p>
    <w:p w14:paraId="000000BD" w14:textId="77777777" w:rsidR="00433217" w:rsidRDefault="00433217">
      <w:pPr>
        <w:spacing w:after="0" w:line="480" w:lineRule="auto"/>
        <w:rPr>
          <w:rFonts w:ascii="Times New Roman" w:eastAsia="Times New Roman" w:hAnsi="Times New Roman" w:cs="Times New Roman"/>
        </w:rPr>
      </w:pPr>
    </w:p>
    <w:p w14:paraId="000000BE"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1.</w:t>
      </w:r>
      <w:r>
        <w:rPr>
          <w:rFonts w:ascii="Times New Roman" w:eastAsia="Times New Roman" w:hAnsi="Times New Roman" w:cs="Times New Roman"/>
          <w:color w:val="000000"/>
        </w:rPr>
        <w:tab/>
      </w:r>
      <w:r>
        <w:rPr>
          <w:rFonts w:ascii="Times New Roman" w:eastAsia="Times New Roman" w:hAnsi="Times New Roman" w:cs="Times New Roman"/>
          <w:color w:val="000000"/>
        </w:rPr>
        <w:t xml:space="preserve">Nagtegaal ID, Odze RD, Klimstra D, et al. The 2019 WHO classification of tumours of the digestive system. </w:t>
      </w:r>
      <w:r>
        <w:rPr>
          <w:rFonts w:ascii="Times New Roman" w:eastAsia="Times New Roman" w:hAnsi="Times New Roman" w:cs="Times New Roman"/>
          <w:i/>
          <w:color w:val="000000"/>
        </w:rPr>
        <w:t>Histopathology</w:t>
      </w:r>
      <w:r>
        <w:rPr>
          <w:rFonts w:ascii="Times New Roman" w:eastAsia="Times New Roman" w:hAnsi="Times New Roman" w:cs="Times New Roman"/>
          <w:color w:val="000000"/>
        </w:rPr>
        <w:t xml:space="preserve"> 2020; </w:t>
      </w:r>
      <w:r>
        <w:rPr>
          <w:rFonts w:ascii="Times New Roman" w:eastAsia="Times New Roman" w:hAnsi="Times New Roman" w:cs="Times New Roman"/>
          <w:b/>
          <w:color w:val="000000"/>
        </w:rPr>
        <w:t>76</w:t>
      </w:r>
      <w:r>
        <w:rPr>
          <w:rFonts w:ascii="Times New Roman" w:eastAsia="Times New Roman" w:hAnsi="Times New Roman" w:cs="Times New Roman"/>
          <w:color w:val="000000"/>
        </w:rPr>
        <w:t>(2): 182-8.</w:t>
      </w:r>
    </w:p>
    <w:p w14:paraId="000000BF"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color w:val="000000"/>
        </w:rPr>
        <w:tab/>
        <w:t xml:space="preserve">Riihimaki M, Hemminki A, Sundquist K, Sundquist J, Hemminki K. The epidemiology of metastases in neuroendocrine tumors. </w:t>
      </w:r>
      <w:r>
        <w:rPr>
          <w:rFonts w:ascii="Times New Roman" w:eastAsia="Times New Roman" w:hAnsi="Times New Roman" w:cs="Times New Roman"/>
          <w:i/>
          <w:color w:val="000000"/>
        </w:rPr>
        <w:t>Int J Cancer</w:t>
      </w:r>
      <w:r>
        <w:rPr>
          <w:rFonts w:ascii="Times New Roman" w:eastAsia="Times New Roman" w:hAnsi="Times New Roman" w:cs="Times New Roman"/>
          <w:color w:val="000000"/>
        </w:rPr>
        <w:t xml:space="preserve"> 2016; </w:t>
      </w:r>
      <w:r>
        <w:rPr>
          <w:rFonts w:ascii="Times New Roman" w:eastAsia="Times New Roman" w:hAnsi="Times New Roman" w:cs="Times New Roman"/>
          <w:b/>
          <w:color w:val="000000"/>
        </w:rPr>
        <w:t>139</w:t>
      </w:r>
      <w:r>
        <w:rPr>
          <w:rFonts w:ascii="Times New Roman" w:eastAsia="Times New Roman" w:hAnsi="Times New Roman" w:cs="Times New Roman"/>
          <w:color w:val="000000"/>
        </w:rPr>
        <w:t>(12): 2679-86.</w:t>
      </w:r>
    </w:p>
    <w:p w14:paraId="000000C0"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3.</w:t>
      </w:r>
      <w:r>
        <w:rPr>
          <w:rFonts w:ascii="Times New Roman" w:eastAsia="Times New Roman" w:hAnsi="Times New Roman" w:cs="Times New Roman"/>
          <w:color w:val="000000"/>
        </w:rPr>
        <w:tab/>
        <w:t xml:space="preserve">Frilling A, Modlin IM, Kidd M, et al. Recommendations for management of patients with neuroendocrine liver metastases. </w:t>
      </w:r>
      <w:r>
        <w:rPr>
          <w:rFonts w:ascii="Times New Roman" w:eastAsia="Times New Roman" w:hAnsi="Times New Roman" w:cs="Times New Roman"/>
          <w:i/>
          <w:color w:val="000000"/>
        </w:rPr>
        <w:t>Lancet Oncol</w:t>
      </w:r>
      <w:r>
        <w:rPr>
          <w:rFonts w:ascii="Times New Roman" w:eastAsia="Times New Roman" w:hAnsi="Times New Roman" w:cs="Times New Roman"/>
          <w:color w:val="000000"/>
        </w:rPr>
        <w:t xml:space="preserve"> 2014; </w:t>
      </w:r>
      <w:r>
        <w:rPr>
          <w:rFonts w:ascii="Times New Roman" w:eastAsia="Times New Roman" w:hAnsi="Times New Roman" w:cs="Times New Roman"/>
          <w:b/>
          <w:color w:val="000000"/>
        </w:rPr>
        <w:t>15</w:t>
      </w:r>
      <w:r>
        <w:rPr>
          <w:rFonts w:ascii="Times New Roman" w:eastAsia="Times New Roman" w:hAnsi="Times New Roman" w:cs="Times New Roman"/>
          <w:color w:val="000000"/>
        </w:rPr>
        <w:t>(1): e8-21.</w:t>
      </w:r>
    </w:p>
    <w:p w14:paraId="000000C1"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4.</w:t>
      </w:r>
      <w:r>
        <w:rPr>
          <w:rFonts w:ascii="Times New Roman" w:eastAsia="Times New Roman" w:hAnsi="Times New Roman" w:cs="Times New Roman"/>
          <w:color w:val="000000"/>
        </w:rPr>
        <w:tab/>
        <w:t xml:space="preserve">Frilling A, Li J, Malamutmann E, Schmid KW, Bockisch A, Broelsch CE. Treatment of liver metastases from neuroendocrine tumours in relation to the extent of hepatic disease. </w:t>
      </w:r>
      <w:r>
        <w:rPr>
          <w:rFonts w:ascii="Times New Roman" w:eastAsia="Times New Roman" w:hAnsi="Times New Roman" w:cs="Times New Roman"/>
          <w:i/>
          <w:color w:val="000000"/>
        </w:rPr>
        <w:t>Br J Surg</w:t>
      </w:r>
      <w:r>
        <w:rPr>
          <w:rFonts w:ascii="Times New Roman" w:eastAsia="Times New Roman" w:hAnsi="Times New Roman" w:cs="Times New Roman"/>
          <w:color w:val="000000"/>
        </w:rPr>
        <w:t xml:space="preserve"> 2009; </w:t>
      </w:r>
      <w:r>
        <w:rPr>
          <w:rFonts w:ascii="Times New Roman" w:eastAsia="Times New Roman" w:hAnsi="Times New Roman" w:cs="Times New Roman"/>
          <w:b/>
          <w:color w:val="000000"/>
        </w:rPr>
        <w:t>96</w:t>
      </w:r>
      <w:r>
        <w:rPr>
          <w:rFonts w:ascii="Times New Roman" w:eastAsia="Times New Roman" w:hAnsi="Times New Roman" w:cs="Times New Roman"/>
          <w:color w:val="000000"/>
        </w:rPr>
        <w:t>(2): 175-84.</w:t>
      </w:r>
    </w:p>
    <w:p w14:paraId="000000C2"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5.</w:t>
      </w:r>
      <w:r>
        <w:rPr>
          <w:rFonts w:ascii="Times New Roman" w:eastAsia="Times New Roman" w:hAnsi="Times New Roman" w:cs="Times New Roman"/>
          <w:color w:val="000000"/>
        </w:rPr>
        <w:tab/>
        <w:t xml:space="preserve">Elias D, Lefevre JH, Duvillard P, et al. Hepatic metastases from neuroendocrine tumors with a "thin slice" pathological examination: they are many more than you think. </w:t>
      </w:r>
      <w:r>
        <w:rPr>
          <w:rFonts w:ascii="Times New Roman" w:eastAsia="Times New Roman" w:hAnsi="Times New Roman" w:cs="Times New Roman"/>
          <w:i/>
          <w:color w:val="000000"/>
        </w:rPr>
        <w:t>Ann Surg</w:t>
      </w:r>
      <w:r>
        <w:rPr>
          <w:rFonts w:ascii="Times New Roman" w:eastAsia="Times New Roman" w:hAnsi="Times New Roman" w:cs="Times New Roman"/>
          <w:color w:val="000000"/>
        </w:rPr>
        <w:t xml:space="preserve"> 2010; </w:t>
      </w:r>
      <w:r>
        <w:rPr>
          <w:rFonts w:ascii="Times New Roman" w:eastAsia="Times New Roman" w:hAnsi="Times New Roman" w:cs="Times New Roman"/>
          <w:b/>
          <w:color w:val="000000"/>
        </w:rPr>
        <w:t>251</w:t>
      </w:r>
      <w:r>
        <w:rPr>
          <w:rFonts w:ascii="Times New Roman" w:eastAsia="Times New Roman" w:hAnsi="Times New Roman" w:cs="Times New Roman"/>
          <w:color w:val="000000"/>
        </w:rPr>
        <w:t>(2): 307-10.</w:t>
      </w:r>
    </w:p>
    <w:p w14:paraId="000000C3"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6.</w:t>
      </w:r>
      <w:r>
        <w:rPr>
          <w:rFonts w:ascii="Times New Roman" w:eastAsia="Times New Roman" w:hAnsi="Times New Roman" w:cs="Times New Roman"/>
          <w:color w:val="000000"/>
        </w:rPr>
        <w:tab/>
        <w:t xml:space="preserve">Chambers AJ, Pasieka JL, Dixon E, Rorstad O. The palliative benefit of aggressive surgical intervention for both hepatic and mesenteric metastases from neuroendocrine tumors. </w:t>
      </w:r>
      <w:r>
        <w:rPr>
          <w:rFonts w:ascii="Times New Roman" w:eastAsia="Times New Roman" w:hAnsi="Times New Roman" w:cs="Times New Roman"/>
          <w:i/>
          <w:color w:val="000000"/>
        </w:rPr>
        <w:t>Surgery</w:t>
      </w:r>
      <w:r>
        <w:rPr>
          <w:rFonts w:ascii="Times New Roman" w:eastAsia="Times New Roman" w:hAnsi="Times New Roman" w:cs="Times New Roman"/>
          <w:color w:val="000000"/>
        </w:rPr>
        <w:t xml:space="preserve"> 2008; </w:t>
      </w:r>
      <w:r>
        <w:rPr>
          <w:rFonts w:ascii="Times New Roman" w:eastAsia="Times New Roman" w:hAnsi="Times New Roman" w:cs="Times New Roman"/>
          <w:b/>
          <w:color w:val="000000"/>
        </w:rPr>
        <w:t>144</w:t>
      </w:r>
      <w:r>
        <w:rPr>
          <w:rFonts w:ascii="Times New Roman" w:eastAsia="Times New Roman" w:hAnsi="Times New Roman" w:cs="Times New Roman"/>
          <w:color w:val="000000"/>
        </w:rPr>
        <w:t>(4): 645-51; discussion 51-3.</w:t>
      </w:r>
    </w:p>
    <w:p w14:paraId="000000C4"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7.</w:t>
      </w:r>
      <w:r>
        <w:rPr>
          <w:rFonts w:ascii="Times New Roman" w:eastAsia="Times New Roman" w:hAnsi="Times New Roman" w:cs="Times New Roman"/>
          <w:color w:val="000000"/>
        </w:rPr>
        <w:tab/>
      </w:r>
      <w:r>
        <w:rPr>
          <w:rFonts w:ascii="Times New Roman" w:eastAsia="Times New Roman" w:hAnsi="Times New Roman" w:cs="Times New Roman"/>
          <w:color w:val="000000"/>
        </w:rPr>
        <w:t xml:space="preserve">Mayo SC, de Jong MC, Pulitano C, et al. Surgical management of hepatic neuroendocrine tumor metastasis: results from an international multi-institutional analysis. </w:t>
      </w:r>
      <w:r>
        <w:rPr>
          <w:rFonts w:ascii="Times New Roman" w:eastAsia="Times New Roman" w:hAnsi="Times New Roman" w:cs="Times New Roman"/>
          <w:i/>
          <w:color w:val="000000"/>
        </w:rPr>
        <w:t>Ann Surg Oncol</w:t>
      </w:r>
      <w:r>
        <w:rPr>
          <w:rFonts w:ascii="Times New Roman" w:eastAsia="Times New Roman" w:hAnsi="Times New Roman" w:cs="Times New Roman"/>
          <w:color w:val="000000"/>
        </w:rPr>
        <w:t xml:space="preserve"> 2010; </w:t>
      </w:r>
      <w:r>
        <w:rPr>
          <w:rFonts w:ascii="Times New Roman" w:eastAsia="Times New Roman" w:hAnsi="Times New Roman" w:cs="Times New Roman"/>
          <w:b/>
          <w:color w:val="000000"/>
        </w:rPr>
        <w:t>17</w:t>
      </w:r>
      <w:r>
        <w:rPr>
          <w:rFonts w:ascii="Times New Roman" w:eastAsia="Times New Roman" w:hAnsi="Times New Roman" w:cs="Times New Roman"/>
          <w:color w:val="000000"/>
        </w:rPr>
        <w:t>(12): 3129-36.</w:t>
      </w:r>
    </w:p>
    <w:p w14:paraId="000000C5"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8.</w:t>
      </w:r>
      <w:r>
        <w:rPr>
          <w:rFonts w:ascii="Times New Roman" w:eastAsia="Times New Roman" w:hAnsi="Times New Roman" w:cs="Times New Roman"/>
          <w:color w:val="000000"/>
        </w:rPr>
        <w:tab/>
        <w:t xml:space="preserve">Sarmiento JM, Heywood G, Rubin J, Ilstrup DM, Nagorney DM, Que FG. Surgical treatment of neuroendocrine metastases to the liver: a plea for resection to increase survival. </w:t>
      </w:r>
      <w:r>
        <w:rPr>
          <w:rFonts w:ascii="Times New Roman" w:eastAsia="Times New Roman" w:hAnsi="Times New Roman" w:cs="Times New Roman"/>
          <w:i/>
          <w:color w:val="000000"/>
        </w:rPr>
        <w:t>J Am Coll Surg</w:t>
      </w:r>
      <w:r>
        <w:rPr>
          <w:rFonts w:ascii="Times New Roman" w:eastAsia="Times New Roman" w:hAnsi="Times New Roman" w:cs="Times New Roman"/>
          <w:color w:val="000000"/>
        </w:rPr>
        <w:t xml:space="preserve"> 2003; </w:t>
      </w:r>
      <w:r>
        <w:rPr>
          <w:rFonts w:ascii="Times New Roman" w:eastAsia="Times New Roman" w:hAnsi="Times New Roman" w:cs="Times New Roman"/>
          <w:b/>
          <w:color w:val="000000"/>
        </w:rPr>
        <w:t>197</w:t>
      </w:r>
      <w:r>
        <w:rPr>
          <w:rFonts w:ascii="Times New Roman" w:eastAsia="Times New Roman" w:hAnsi="Times New Roman" w:cs="Times New Roman"/>
          <w:color w:val="000000"/>
        </w:rPr>
        <w:t>(1): 29-37.</w:t>
      </w:r>
    </w:p>
    <w:p w14:paraId="000000C6"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9.</w:t>
      </w:r>
      <w:r>
        <w:rPr>
          <w:rFonts w:ascii="Times New Roman" w:eastAsia="Times New Roman" w:hAnsi="Times New Roman" w:cs="Times New Roman"/>
          <w:color w:val="000000"/>
        </w:rPr>
        <w:tab/>
        <w:t xml:space="preserve">Ahmed A, Turner G, King B, et al. Midgut neuroendocrine tumours with liver metastases: results of the UKINETS study. </w:t>
      </w:r>
      <w:r>
        <w:rPr>
          <w:rFonts w:ascii="Times New Roman" w:eastAsia="Times New Roman" w:hAnsi="Times New Roman" w:cs="Times New Roman"/>
          <w:i/>
          <w:color w:val="000000"/>
        </w:rPr>
        <w:t>Endocr Relat Cancer</w:t>
      </w:r>
      <w:r>
        <w:rPr>
          <w:rFonts w:ascii="Times New Roman" w:eastAsia="Times New Roman" w:hAnsi="Times New Roman" w:cs="Times New Roman"/>
          <w:color w:val="000000"/>
        </w:rPr>
        <w:t xml:space="preserve"> 2009; </w:t>
      </w:r>
      <w:r>
        <w:rPr>
          <w:rFonts w:ascii="Times New Roman" w:eastAsia="Times New Roman" w:hAnsi="Times New Roman" w:cs="Times New Roman"/>
          <w:b/>
          <w:color w:val="000000"/>
        </w:rPr>
        <w:t>16</w:t>
      </w:r>
      <w:r>
        <w:rPr>
          <w:rFonts w:ascii="Times New Roman" w:eastAsia="Times New Roman" w:hAnsi="Times New Roman" w:cs="Times New Roman"/>
          <w:color w:val="000000"/>
        </w:rPr>
        <w:t>(3): 885-94.</w:t>
      </w:r>
    </w:p>
    <w:p w14:paraId="000000C7"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10.</w:t>
      </w:r>
      <w:r>
        <w:rPr>
          <w:rFonts w:ascii="Times New Roman" w:eastAsia="Times New Roman" w:hAnsi="Times New Roman" w:cs="Times New Roman"/>
          <w:color w:val="000000"/>
        </w:rPr>
        <w:tab/>
        <w:t xml:space="preserve">Fairweather M, Swanson R, Wang J, et al. Management of Neuroendocrine Tumor Liver Metastases: Long-Term Outcomes and Prognostic Factors from a Large Prospective Database. </w:t>
      </w:r>
      <w:r>
        <w:rPr>
          <w:rFonts w:ascii="Times New Roman" w:eastAsia="Times New Roman" w:hAnsi="Times New Roman" w:cs="Times New Roman"/>
          <w:i/>
          <w:color w:val="000000"/>
        </w:rPr>
        <w:t>Ann Surg Oncol</w:t>
      </w:r>
      <w:r>
        <w:rPr>
          <w:rFonts w:ascii="Times New Roman" w:eastAsia="Times New Roman" w:hAnsi="Times New Roman" w:cs="Times New Roman"/>
          <w:color w:val="000000"/>
        </w:rPr>
        <w:t xml:space="preserve"> 2017; </w:t>
      </w:r>
      <w:r>
        <w:rPr>
          <w:rFonts w:ascii="Times New Roman" w:eastAsia="Times New Roman" w:hAnsi="Times New Roman" w:cs="Times New Roman"/>
          <w:b/>
          <w:color w:val="000000"/>
        </w:rPr>
        <w:t>24</w:t>
      </w:r>
      <w:r>
        <w:rPr>
          <w:rFonts w:ascii="Times New Roman" w:eastAsia="Times New Roman" w:hAnsi="Times New Roman" w:cs="Times New Roman"/>
          <w:color w:val="000000"/>
        </w:rPr>
        <w:t>(8): 2319-25.</w:t>
      </w:r>
    </w:p>
    <w:p w14:paraId="000000C8"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11.</w:t>
      </w:r>
      <w:r>
        <w:rPr>
          <w:rFonts w:ascii="Times New Roman" w:eastAsia="Times New Roman" w:hAnsi="Times New Roman" w:cs="Times New Roman"/>
          <w:color w:val="000000"/>
        </w:rPr>
        <w:tab/>
        <w:t xml:space="preserve">Boudreaux JP, Wang YZ, Diebold AE, et al. A single institution's experience with surgical cytoreduction of stage IV, well-differentiated, small bowel neuroendocrine tumors. </w:t>
      </w:r>
      <w:r>
        <w:rPr>
          <w:rFonts w:ascii="Times New Roman" w:eastAsia="Times New Roman" w:hAnsi="Times New Roman" w:cs="Times New Roman"/>
          <w:i/>
          <w:color w:val="000000"/>
        </w:rPr>
        <w:t>J Am Coll Surg</w:t>
      </w:r>
      <w:r>
        <w:rPr>
          <w:rFonts w:ascii="Times New Roman" w:eastAsia="Times New Roman" w:hAnsi="Times New Roman" w:cs="Times New Roman"/>
          <w:color w:val="000000"/>
        </w:rPr>
        <w:t xml:space="preserve"> 2014; </w:t>
      </w:r>
      <w:r>
        <w:rPr>
          <w:rFonts w:ascii="Times New Roman" w:eastAsia="Times New Roman" w:hAnsi="Times New Roman" w:cs="Times New Roman"/>
          <w:b/>
          <w:color w:val="000000"/>
        </w:rPr>
        <w:t>218</w:t>
      </w:r>
      <w:r>
        <w:rPr>
          <w:rFonts w:ascii="Times New Roman" w:eastAsia="Times New Roman" w:hAnsi="Times New Roman" w:cs="Times New Roman"/>
          <w:color w:val="000000"/>
        </w:rPr>
        <w:t>(4): 837-44.</w:t>
      </w:r>
    </w:p>
    <w:p w14:paraId="000000C9"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12.</w:t>
      </w:r>
      <w:r>
        <w:rPr>
          <w:rFonts w:ascii="Times New Roman" w:eastAsia="Times New Roman" w:hAnsi="Times New Roman" w:cs="Times New Roman"/>
          <w:color w:val="000000"/>
        </w:rPr>
        <w:tab/>
        <w:t xml:space="preserve">Scott AT, Breheny PJ, Keck KJ, et al. Effective cytoreduction can be achieved in patients with numerous neuroendocrine tumor liver metastases (NETLMs). </w:t>
      </w:r>
      <w:r>
        <w:rPr>
          <w:rFonts w:ascii="Times New Roman" w:eastAsia="Times New Roman" w:hAnsi="Times New Roman" w:cs="Times New Roman"/>
          <w:i/>
          <w:color w:val="000000"/>
        </w:rPr>
        <w:t>Surgery</w:t>
      </w:r>
      <w:r>
        <w:rPr>
          <w:rFonts w:ascii="Times New Roman" w:eastAsia="Times New Roman" w:hAnsi="Times New Roman" w:cs="Times New Roman"/>
          <w:color w:val="000000"/>
        </w:rPr>
        <w:t xml:space="preserve"> 2019; </w:t>
      </w:r>
      <w:r>
        <w:rPr>
          <w:rFonts w:ascii="Times New Roman" w:eastAsia="Times New Roman" w:hAnsi="Times New Roman" w:cs="Times New Roman"/>
          <w:b/>
          <w:color w:val="000000"/>
        </w:rPr>
        <w:t>165</w:t>
      </w:r>
      <w:r>
        <w:rPr>
          <w:rFonts w:ascii="Times New Roman" w:eastAsia="Times New Roman" w:hAnsi="Times New Roman" w:cs="Times New Roman"/>
          <w:color w:val="000000"/>
        </w:rPr>
        <w:t>(1): 166-75.</w:t>
      </w:r>
    </w:p>
    <w:p w14:paraId="000000CA"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13.</w:t>
      </w:r>
      <w:r>
        <w:rPr>
          <w:rFonts w:ascii="Times New Roman" w:eastAsia="Times New Roman" w:hAnsi="Times New Roman" w:cs="Times New Roman"/>
          <w:color w:val="000000"/>
        </w:rPr>
        <w:tab/>
        <w:t xml:space="preserve">Morgan RE, Pommier SJ, Pommier RF. Expanded criteria for debulking of liver metastasis also apply to pancreatic neuroendocrine tumors. </w:t>
      </w:r>
      <w:r>
        <w:rPr>
          <w:rFonts w:ascii="Times New Roman" w:eastAsia="Times New Roman" w:hAnsi="Times New Roman" w:cs="Times New Roman"/>
          <w:i/>
          <w:color w:val="000000"/>
        </w:rPr>
        <w:t>Surgery</w:t>
      </w:r>
      <w:r>
        <w:rPr>
          <w:rFonts w:ascii="Times New Roman" w:eastAsia="Times New Roman" w:hAnsi="Times New Roman" w:cs="Times New Roman"/>
          <w:color w:val="000000"/>
        </w:rPr>
        <w:t xml:space="preserve"> 2018; </w:t>
      </w:r>
      <w:r>
        <w:rPr>
          <w:rFonts w:ascii="Times New Roman" w:eastAsia="Times New Roman" w:hAnsi="Times New Roman" w:cs="Times New Roman"/>
          <w:b/>
          <w:color w:val="000000"/>
        </w:rPr>
        <w:t>163</w:t>
      </w:r>
      <w:r>
        <w:rPr>
          <w:rFonts w:ascii="Times New Roman" w:eastAsia="Times New Roman" w:hAnsi="Times New Roman" w:cs="Times New Roman"/>
          <w:color w:val="000000"/>
        </w:rPr>
        <w:t>(1): 218-25.</w:t>
      </w:r>
    </w:p>
    <w:p w14:paraId="000000CB"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14.</w:t>
      </w:r>
      <w:r>
        <w:rPr>
          <w:rFonts w:ascii="Times New Roman" w:eastAsia="Times New Roman" w:hAnsi="Times New Roman" w:cs="Times New Roman"/>
          <w:color w:val="000000"/>
        </w:rPr>
        <w:tab/>
        <w:t xml:space="preserve">Mazzaferro V, Sposito C, Coppa J, et al. The Long-Term Benefit of Liver Transplantation for Hepatic Metastases From Neuroendocrine Tumors. </w:t>
      </w:r>
      <w:r>
        <w:rPr>
          <w:rFonts w:ascii="Times New Roman" w:eastAsia="Times New Roman" w:hAnsi="Times New Roman" w:cs="Times New Roman"/>
          <w:i/>
          <w:color w:val="000000"/>
        </w:rPr>
        <w:t>Am J Transplant</w:t>
      </w:r>
      <w:r>
        <w:rPr>
          <w:rFonts w:ascii="Times New Roman" w:eastAsia="Times New Roman" w:hAnsi="Times New Roman" w:cs="Times New Roman"/>
          <w:color w:val="000000"/>
        </w:rPr>
        <w:t xml:space="preserve"> 2016; </w:t>
      </w:r>
      <w:r>
        <w:rPr>
          <w:rFonts w:ascii="Times New Roman" w:eastAsia="Times New Roman" w:hAnsi="Times New Roman" w:cs="Times New Roman"/>
          <w:b/>
          <w:color w:val="000000"/>
        </w:rPr>
        <w:t>16</w:t>
      </w:r>
      <w:r>
        <w:rPr>
          <w:rFonts w:ascii="Times New Roman" w:eastAsia="Times New Roman" w:hAnsi="Times New Roman" w:cs="Times New Roman"/>
          <w:color w:val="000000"/>
        </w:rPr>
        <w:t>(10): 2892-902.</w:t>
      </w:r>
    </w:p>
    <w:p w14:paraId="000000CC"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15.</w:t>
      </w:r>
      <w:r>
        <w:rPr>
          <w:rFonts w:ascii="Times New Roman" w:eastAsia="Times New Roman" w:hAnsi="Times New Roman" w:cs="Times New Roman"/>
          <w:color w:val="000000"/>
        </w:rPr>
        <w:tab/>
        <w:t xml:space="preserve">Zhang XF, Beal EW, Chakedis J, et al. Early Recurrence of Neuroendocrine Liver Metastasis After Curative Hepatectomy: Risk Factors, Prognosis, and Treatment. </w:t>
      </w:r>
      <w:r>
        <w:rPr>
          <w:rFonts w:ascii="Times New Roman" w:eastAsia="Times New Roman" w:hAnsi="Times New Roman" w:cs="Times New Roman"/>
          <w:i/>
          <w:color w:val="000000"/>
        </w:rPr>
        <w:t>J Gastrointest Surg</w:t>
      </w:r>
      <w:r>
        <w:rPr>
          <w:rFonts w:ascii="Times New Roman" w:eastAsia="Times New Roman" w:hAnsi="Times New Roman" w:cs="Times New Roman"/>
          <w:color w:val="000000"/>
        </w:rPr>
        <w:t xml:space="preserve"> 2017; </w:t>
      </w:r>
      <w:r>
        <w:rPr>
          <w:rFonts w:ascii="Times New Roman" w:eastAsia="Times New Roman" w:hAnsi="Times New Roman" w:cs="Times New Roman"/>
          <w:b/>
          <w:color w:val="000000"/>
        </w:rPr>
        <w:t>21</w:t>
      </w:r>
      <w:r>
        <w:rPr>
          <w:rFonts w:ascii="Times New Roman" w:eastAsia="Times New Roman" w:hAnsi="Times New Roman" w:cs="Times New Roman"/>
          <w:color w:val="000000"/>
        </w:rPr>
        <w:t>(11): 1821-30.</w:t>
      </w:r>
    </w:p>
    <w:p w14:paraId="000000CD"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16.</w:t>
      </w:r>
      <w:r>
        <w:rPr>
          <w:rFonts w:ascii="Times New Roman" w:eastAsia="Times New Roman" w:hAnsi="Times New Roman" w:cs="Times New Roman"/>
          <w:color w:val="000000"/>
        </w:rPr>
        <w:tab/>
        <w:t xml:space="preserve">Bodei L, Kwekkeboom DJ, Kidd M, Modlin IM, Krenning EP. Radiolabeled Somatostatin Analogue Therapy Of Gastroenteropancreatic Cancer. </w:t>
      </w:r>
      <w:r>
        <w:rPr>
          <w:rFonts w:ascii="Times New Roman" w:eastAsia="Times New Roman" w:hAnsi="Times New Roman" w:cs="Times New Roman"/>
          <w:i/>
          <w:color w:val="000000"/>
        </w:rPr>
        <w:t>Semin Nucl Med</w:t>
      </w:r>
      <w:r>
        <w:rPr>
          <w:rFonts w:ascii="Times New Roman" w:eastAsia="Times New Roman" w:hAnsi="Times New Roman" w:cs="Times New Roman"/>
          <w:color w:val="000000"/>
        </w:rPr>
        <w:t xml:space="preserve"> 2016; </w:t>
      </w:r>
      <w:r>
        <w:rPr>
          <w:rFonts w:ascii="Times New Roman" w:eastAsia="Times New Roman" w:hAnsi="Times New Roman" w:cs="Times New Roman"/>
          <w:b/>
          <w:color w:val="000000"/>
        </w:rPr>
        <w:t>46</w:t>
      </w:r>
      <w:r>
        <w:rPr>
          <w:rFonts w:ascii="Times New Roman" w:eastAsia="Times New Roman" w:hAnsi="Times New Roman" w:cs="Times New Roman"/>
          <w:color w:val="000000"/>
        </w:rPr>
        <w:t>(3): 225-38.</w:t>
      </w:r>
    </w:p>
    <w:p w14:paraId="000000CE"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17.</w:t>
      </w:r>
      <w:r>
        <w:rPr>
          <w:rFonts w:ascii="Times New Roman" w:eastAsia="Times New Roman" w:hAnsi="Times New Roman" w:cs="Times New Roman"/>
          <w:color w:val="000000"/>
        </w:rPr>
        <w:tab/>
        <w:t xml:space="preserve">Strosberg J, El-Haddad G, Wolin E, et al. Phase 3 Trial of (177)Lu-Dotatate for Midgut Neuroendocrine Tumors. </w:t>
      </w:r>
      <w:r>
        <w:rPr>
          <w:rFonts w:ascii="Times New Roman" w:eastAsia="Times New Roman" w:hAnsi="Times New Roman" w:cs="Times New Roman"/>
          <w:i/>
          <w:color w:val="000000"/>
        </w:rPr>
        <w:t>N Engl J Med</w:t>
      </w:r>
      <w:r>
        <w:rPr>
          <w:rFonts w:ascii="Times New Roman" w:eastAsia="Times New Roman" w:hAnsi="Times New Roman" w:cs="Times New Roman"/>
          <w:color w:val="000000"/>
        </w:rPr>
        <w:t xml:space="preserve"> 2017; </w:t>
      </w:r>
      <w:r>
        <w:rPr>
          <w:rFonts w:ascii="Times New Roman" w:eastAsia="Times New Roman" w:hAnsi="Times New Roman" w:cs="Times New Roman"/>
          <w:b/>
          <w:color w:val="000000"/>
        </w:rPr>
        <w:t>376</w:t>
      </w:r>
      <w:r>
        <w:rPr>
          <w:rFonts w:ascii="Times New Roman" w:eastAsia="Times New Roman" w:hAnsi="Times New Roman" w:cs="Times New Roman"/>
          <w:color w:val="000000"/>
        </w:rPr>
        <w:t>(2): 125-35.</w:t>
      </w:r>
    </w:p>
    <w:p w14:paraId="000000CF"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18.</w:t>
      </w:r>
      <w:r>
        <w:rPr>
          <w:rFonts w:ascii="Times New Roman" w:eastAsia="Times New Roman" w:hAnsi="Times New Roman" w:cs="Times New Roman"/>
          <w:color w:val="000000"/>
        </w:rPr>
        <w:tab/>
        <w:t xml:space="preserve">Caplin ME, Pavel M, Cwikla JB, et al. Lanreotide in metastatic enteropancreatic neuroendocrine tumors. </w:t>
      </w:r>
      <w:r>
        <w:rPr>
          <w:rFonts w:ascii="Times New Roman" w:eastAsia="Times New Roman" w:hAnsi="Times New Roman" w:cs="Times New Roman"/>
          <w:i/>
          <w:color w:val="000000"/>
        </w:rPr>
        <w:t>N Engl J Med</w:t>
      </w:r>
      <w:r>
        <w:rPr>
          <w:rFonts w:ascii="Times New Roman" w:eastAsia="Times New Roman" w:hAnsi="Times New Roman" w:cs="Times New Roman"/>
          <w:color w:val="000000"/>
        </w:rPr>
        <w:t xml:space="preserve"> 2014; </w:t>
      </w:r>
      <w:r>
        <w:rPr>
          <w:rFonts w:ascii="Times New Roman" w:eastAsia="Times New Roman" w:hAnsi="Times New Roman" w:cs="Times New Roman"/>
          <w:b/>
          <w:color w:val="000000"/>
        </w:rPr>
        <w:t>371</w:t>
      </w:r>
      <w:r>
        <w:rPr>
          <w:rFonts w:ascii="Times New Roman" w:eastAsia="Times New Roman" w:hAnsi="Times New Roman" w:cs="Times New Roman"/>
          <w:color w:val="000000"/>
        </w:rPr>
        <w:t>(3): 224-33.</w:t>
      </w:r>
    </w:p>
    <w:p w14:paraId="000000D0"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19.</w:t>
      </w:r>
      <w:r>
        <w:rPr>
          <w:rFonts w:ascii="Times New Roman" w:eastAsia="Times New Roman" w:hAnsi="Times New Roman" w:cs="Times New Roman"/>
          <w:color w:val="000000"/>
        </w:rPr>
        <w:tab/>
      </w:r>
      <w:r>
        <w:rPr>
          <w:rFonts w:ascii="Times New Roman" w:eastAsia="Times New Roman" w:hAnsi="Times New Roman" w:cs="Times New Roman"/>
          <w:color w:val="000000"/>
        </w:rPr>
        <w:t xml:space="preserve">Raymond E, Dahan L, Raoul JL, et al. Sunitinib malate for the treatment of pancreatic neuroendocrine tumors. </w:t>
      </w:r>
      <w:r>
        <w:rPr>
          <w:rFonts w:ascii="Times New Roman" w:eastAsia="Times New Roman" w:hAnsi="Times New Roman" w:cs="Times New Roman"/>
          <w:i/>
          <w:color w:val="000000"/>
        </w:rPr>
        <w:t>N Engl J Med</w:t>
      </w:r>
      <w:r>
        <w:rPr>
          <w:rFonts w:ascii="Times New Roman" w:eastAsia="Times New Roman" w:hAnsi="Times New Roman" w:cs="Times New Roman"/>
          <w:color w:val="000000"/>
        </w:rPr>
        <w:t xml:space="preserve"> 2011; </w:t>
      </w:r>
      <w:r>
        <w:rPr>
          <w:rFonts w:ascii="Times New Roman" w:eastAsia="Times New Roman" w:hAnsi="Times New Roman" w:cs="Times New Roman"/>
          <w:b/>
          <w:color w:val="000000"/>
        </w:rPr>
        <w:t>364</w:t>
      </w:r>
      <w:r>
        <w:rPr>
          <w:rFonts w:ascii="Times New Roman" w:eastAsia="Times New Roman" w:hAnsi="Times New Roman" w:cs="Times New Roman"/>
          <w:color w:val="000000"/>
        </w:rPr>
        <w:t>(6): 501-13.</w:t>
      </w:r>
    </w:p>
    <w:p w14:paraId="000000D1"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20.</w:t>
      </w:r>
      <w:r>
        <w:rPr>
          <w:rFonts w:ascii="Times New Roman" w:eastAsia="Times New Roman" w:hAnsi="Times New Roman" w:cs="Times New Roman"/>
          <w:color w:val="000000"/>
        </w:rPr>
        <w:tab/>
        <w:t xml:space="preserve">Bodei L, Kidd MS, Singh A, et al. PRRT neuroendocrine tumor response monitored using circulating transcript analysis: the NETest. </w:t>
      </w:r>
      <w:r>
        <w:rPr>
          <w:rFonts w:ascii="Times New Roman" w:eastAsia="Times New Roman" w:hAnsi="Times New Roman" w:cs="Times New Roman"/>
          <w:i/>
          <w:color w:val="000000"/>
        </w:rPr>
        <w:t>Eur J Nucl Med Mol Imaging</w:t>
      </w:r>
      <w:r>
        <w:rPr>
          <w:rFonts w:ascii="Times New Roman" w:eastAsia="Times New Roman" w:hAnsi="Times New Roman" w:cs="Times New Roman"/>
          <w:color w:val="000000"/>
        </w:rPr>
        <w:t xml:space="preserve"> 2020; </w:t>
      </w:r>
      <w:r>
        <w:rPr>
          <w:rFonts w:ascii="Times New Roman" w:eastAsia="Times New Roman" w:hAnsi="Times New Roman" w:cs="Times New Roman"/>
          <w:b/>
          <w:color w:val="000000"/>
        </w:rPr>
        <w:t>47</w:t>
      </w:r>
      <w:r>
        <w:rPr>
          <w:rFonts w:ascii="Times New Roman" w:eastAsia="Times New Roman" w:hAnsi="Times New Roman" w:cs="Times New Roman"/>
          <w:color w:val="000000"/>
        </w:rPr>
        <w:t>(4): 895-906.</w:t>
      </w:r>
    </w:p>
    <w:p w14:paraId="000000D2"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21.</w:t>
      </w:r>
      <w:r>
        <w:rPr>
          <w:rFonts w:ascii="Times New Roman" w:eastAsia="Times New Roman" w:hAnsi="Times New Roman" w:cs="Times New Roman"/>
          <w:color w:val="000000"/>
        </w:rPr>
        <w:tab/>
        <w:t xml:space="preserve">Modlin IM, Kidd M, Frilling A, et al. Molecular Genomic Assessment Using a Blood-based mRNA Signature (NETest) is Cost-effective and Predicts Neuroendocrine Tumor Recurrence With 94% Accuracy. </w:t>
      </w:r>
      <w:r>
        <w:rPr>
          <w:rFonts w:ascii="Times New Roman" w:eastAsia="Times New Roman" w:hAnsi="Times New Roman" w:cs="Times New Roman"/>
          <w:i/>
          <w:color w:val="000000"/>
        </w:rPr>
        <w:t>Ann Surg</w:t>
      </w:r>
      <w:r>
        <w:rPr>
          <w:rFonts w:ascii="Times New Roman" w:eastAsia="Times New Roman" w:hAnsi="Times New Roman" w:cs="Times New Roman"/>
          <w:color w:val="000000"/>
        </w:rPr>
        <w:t xml:space="preserve"> 2021; </w:t>
      </w:r>
      <w:r>
        <w:rPr>
          <w:rFonts w:ascii="Times New Roman" w:eastAsia="Times New Roman" w:hAnsi="Times New Roman" w:cs="Times New Roman"/>
          <w:b/>
          <w:color w:val="000000"/>
        </w:rPr>
        <w:t>274</w:t>
      </w:r>
      <w:r>
        <w:rPr>
          <w:rFonts w:ascii="Times New Roman" w:eastAsia="Times New Roman" w:hAnsi="Times New Roman" w:cs="Times New Roman"/>
          <w:color w:val="000000"/>
        </w:rPr>
        <w:t>(3): 481-90.</w:t>
      </w:r>
    </w:p>
    <w:p w14:paraId="000000D3" w14:textId="77777777" w:rsidR="00433217" w:rsidRDefault="00CA652C">
      <w:pPr>
        <w:spacing w:line="480" w:lineRule="auto"/>
        <w:rPr>
          <w:rFonts w:ascii="Times New Roman" w:eastAsia="Times New Roman" w:hAnsi="Times New Roman" w:cs="Times New Roman"/>
        </w:rPr>
      </w:pPr>
      <w:r>
        <w:rPr>
          <w:rFonts w:ascii="Times New Roman" w:eastAsia="Times New Roman" w:hAnsi="Times New Roman" w:cs="Times New Roman"/>
        </w:rPr>
        <w:t xml:space="preserve">22. </w:t>
      </w:r>
      <w:r>
        <w:rPr>
          <w:rFonts w:ascii="Times New Roman" w:eastAsia="Times New Roman" w:hAnsi="Times New Roman" w:cs="Times New Roman"/>
        </w:rPr>
        <w:tab/>
        <w:t xml:space="preserve">Negre Buso M, Estorch Cabrera M, Mitjavila Casanovas M, et al. PET/CT in nuclear endocrinology: results of the survey diffused through different social networks of the SEMNIM in Spain. </w:t>
      </w:r>
      <w:r>
        <w:rPr>
          <w:rFonts w:ascii="Times New Roman" w:eastAsia="Times New Roman" w:hAnsi="Times New Roman" w:cs="Times New Roman"/>
          <w:i/>
        </w:rPr>
        <w:t xml:space="preserve">Rev Esp Med Nucl Imagen Mol (Engl Ed) </w:t>
      </w:r>
      <w:r>
        <w:rPr>
          <w:rFonts w:ascii="Times New Roman" w:eastAsia="Times New Roman" w:hAnsi="Times New Roman" w:cs="Times New Roman"/>
        </w:rPr>
        <w:t xml:space="preserve">2023; </w:t>
      </w:r>
      <w:r>
        <w:rPr>
          <w:rFonts w:ascii="Times New Roman" w:eastAsia="Times New Roman" w:hAnsi="Times New Roman" w:cs="Times New Roman"/>
          <w:b/>
        </w:rPr>
        <w:t>42</w:t>
      </w:r>
      <w:r>
        <w:rPr>
          <w:rFonts w:ascii="Times New Roman" w:eastAsia="Times New Roman" w:hAnsi="Times New Roman" w:cs="Times New Roman"/>
        </w:rPr>
        <w:t>(2): 77-82.</w:t>
      </w:r>
    </w:p>
    <w:p w14:paraId="000000D4" w14:textId="77777777" w:rsidR="00433217" w:rsidRDefault="00CA652C">
      <w:pPr>
        <w:spacing w:line="480" w:lineRule="auto"/>
        <w:rPr>
          <w:rFonts w:ascii="Times New Roman" w:eastAsia="Times New Roman" w:hAnsi="Times New Roman" w:cs="Times New Roman"/>
        </w:rPr>
      </w:pPr>
      <w:r>
        <w:rPr>
          <w:rFonts w:ascii="Times New Roman" w:eastAsia="Times New Roman" w:hAnsi="Times New Roman" w:cs="Times New Roman"/>
        </w:rPr>
        <w:t xml:space="preserve">23. </w:t>
      </w:r>
      <w:r>
        <w:rPr>
          <w:rFonts w:ascii="Times New Roman" w:eastAsia="Times New Roman" w:hAnsi="Times New Roman" w:cs="Times New Roman"/>
        </w:rPr>
        <w:tab/>
        <w:t xml:space="preserve">Wolin EM, Leyden J, Goldstein G, et al. Patient-reported experience of diagnosis, management, and burden of neuroendocrine tumors: results from a large patient survey in the United States. </w:t>
      </w:r>
      <w:r>
        <w:rPr>
          <w:rFonts w:ascii="Times New Roman" w:eastAsia="Times New Roman" w:hAnsi="Times New Roman" w:cs="Times New Roman"/>
          <w:i/>
        </w:rPr>
        <w:t>Pancreas</w:t>
      </w:r>
      <w:r>
        <w:rPr>
          <w:rFonts w:ascii="Times New Roman" w:eastAsia="Times New Roman" w:hAnsi="Times New Roman" w:cs="Times New Roman"/>
        </w:rPr>
        <w:t xml:space="preserve"> 2017; </w:t>
      </w:r>
      <w:r>
        <w:rPr>
          <w:rFonts w:ascii="Times New Roman" w:eastAsia="Times New Roman" w:hAnsi="Times New Roman" w:cs="Times New Roman"/>
          <w:b/>
        </w:rPr>
        <w:t>46</w:t>
      </w:r>
      <w:r>
        <w:rPr>
          <w:rFonts w:ascii="Times New Roman" w:eastAsia="Times New Roman" w:hAnsi="Times New Roman" w:cs="Times New Roman"/>
        </w:rPr>
        <w:t xml:space="preserve">(5): 639-647. </w:t>
      </w:r>
    </w:p>
    <w:p w14:paraId="000000D5" w14:textId="77777777" w:rsidR="00433217" w:rsidRDefault="00CA652C">
      <w:pPr>
        <w:spacing w:line="480" w:lineRule="auto"/>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t xml:space="preserve">Wegen S, Nestle U, Zamboglou C, et al. Implementation of PET/CT in radiation oncology - a patterns-of-care analysis of the German Society of Nuclear Medicine and the German Society of Radiation Oncology. </w:t>
      </w:r>
      <w:r>
        <w:rPr>
          <w:rFonts w:ascii="Times New Roman" w:eastAsia="Times New Roman" w:hAnsi="Times New Roman" w:cs="Times New Roman"/>
          <w:i/>
        </w:rPr>
        <w:t xml:space="preserve">Strahlenther Onkol </w:t>
      </w:r>
      <w:r>
        <w:rPr>
          <w:rFonts w:ascii="Times New Roman" w:eastAsia="Times New Roman" w:hAnsi="Times New Roman" w:cs="Times New Roman"/>
        </w:rPr>
        <w:t xml:space="preserve">2024; </w:t>
      </w:r>
      <w:r>
        <w:rPr>
          <w:rFonts w:ascii="Times New Roman" w:eastAsia="Times New Roman" w:hAnsi="Times New Roman" w:cs="Times New Roman"/>
          <w:b/>
        </w:rPr>
        <w:t>200</w:t>
      </w:r>
      <w:r>
        <w:rPr>
          <w:rFonts w:ascii="Times New Roman" w:eastAsia="Times New Roman" w:hAnsi="Times New Roman" w:cs="Times New Roman"/>
        </w:rPr>
        <w:t xml:space="preserve">(11): 931-941.  </w:t>
      </w:r>
    </w:p>
    <w:p w14:paraId="000000D6" w14:textId="77777777" w:rsidR="00433217" w:rsidRDefault="00CA652C">
      <w:pPr>
        <w:spacing w:line="480" w:lineRule="auto"/>
        <w:rPr>
          <w:rFonts w:ascii="Times New Roman" w:eastAsia="Times New Roman" w:hAnsi="Times New Roman" w:cs="Times New Roman"/>
        </w:rPr>
      </w:pPr>
      <w:r>
        <w:rPr>
          <w:rFonts w:ascii="Times New Roman" w:eastAsia="Times New Roman" w:hAnsi="Times New Roman" w:cs="Times New Roman"/>
        </w:rPr>
        <w:t xml:space="preserve">25. </w:t>
      </w:r>
      <w:r>
        <w:rPr>
          <w:rFonts w:ascii="Times New Roman" w:eastAsia="Times New Roman" w:hAnsi="Times New Roman" w:cs="Times New Roman"/>
        </w:rPr>
        <w:tab/>
        <w:t xml:space="preserve">Dureja S, McDonnell M, Van Genechten D, et al. Global challenges in access to diagnostics and treatment for neuroendocrine tumor (NET) patients. </w:t>
      </w:r>
      <w:r>
        <w:rPr>
          <w:rFonts w:ascii="Times New Roman" w:eastAsia="Times New Roman" w:hAnsi="Times New Roman" w:cs="Times New Roman"/>
          <w:i/>
        </w:rPr>
        <w:t>J Neuroendocrinol</w:t>
      </w:r>
      <w:r>
        <w:rPr>
          <w:rFonts w:ascii="Times New Roman" w:eastAsia="Times New Roman" w:hAnsi="Times New Roman" w:cs="Times New Roman"/>
        </w:rPr>
        <w:t xml:space="preserve"> 2023; </w:t>
      </w:r>
      <w:r>
        <w:rPr>
          <w:rFonts w:ascii="Times New Roman" w:eastAsia="Times New Roman" w:hAnsi="Times New Roman" w:cs="Times New Roman"/>
          <w:b/>
        </w:rPr>
        <w:t>35</w:t>
      </w:r>
      <w:r>
        <w:rPr>
          <w:rFonts w:ascii="Times New Roman" w:eastAsia="Times New Roman" w:hAnsi="Times New Roman" w:cs="Times New Roman"/>
        </w:rPr>
        <w:t xml:space="preserve">(6):e13310. </w:t>
      </w:r>
    </w:p>
    <w:p w14:paraId="000000D7"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6</w:t>
      </w:r>
      <w:r>
        <w:rPr>
          <w:rFonts w:ascii="Times New Roman" w:eastAsia="Times New Roman" w:hAnsi="Times New Roman" w:cs="Times New Roman"/>
          <w:color w:val="000000"/>
        </w:rPr>
        <w:t>.</w:t>
      </w:r>
      <w:r>
        <w:rPr>
          <w:rFonts w:ascii="Times New Roman" w:eastAsia="Times New Roman" w:hAnsi="Times New Roman" w:cs="Times New Roman"/>
          <w:color w:val="000000"/>
        </w:rPr>
        <w:tab/>
      </w:r>
      <w:r>
        <w:rPr>
          <w:rFonts w:ascii="Times New Roman" w:eastAsia="Times New Roman" w:hAnsi="Times New Roman" w:cs="Times New Roman"/>
          <w:color w:val="000000"/>
        </w:rPr>
        <w:t xml:space="preserve">Clavien PA, Barkun J, de Oliveira ML, et al. The Clavien-Dindo classification of surgical complications: five-year experience. </w:t>
      </w:r>
      <w:r>
        <w:rPr>
          <w:rFonts w:ascii="Times New Roman" w:eastAsia="Times New Roman" w:hAnsi="Times New Roman" w:cs="Times New Roman"/>
          <w:i/>
          <w:color w:val="000000"/>
        </w:rPr>
        <w:t>Ann Surg</w:t>
      </w:r>
      <w:r>
        <w:rPr>
          <w:rFonts w:ascii="Times New Roman" w:eastAsia="Times New Roman" w:hAnsi="Times New Roman" w:cs="Times New Roman"/>
          <w:color w:val="000000"/>
        </w:rPr>
        <w:t xml:space="preserve"> 2009; </w:t>
      </w:r>
      <w:r>
        <w:rPr>
          <w:rFonts w:ascii="Times New Roman" w:eastAsia="Times New Roman" w:hAnsi="Times New Roman" w:cs="Times New Roman"/>
          <w:b/>
          <w:color w:val="000000"/>
        </w:rPr>
        <w:t>250</w:t>
      </w:r>
      <w:r>
        <w:rPr>
          <w:rFonts w:ascii="Times New Roman" w:eastAsia="Times New Roman" w:hAnsi="Times New Roman" w:cs="Times New Roman"/>
          <w:color w:val="000000"/>
        </w:rPr>
        <w:t>(2): 187-96.</w:t>
      </w:r>
    </w:p>
    <w:p w14:paraId="000000D8"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rPr>
        <w:t>7</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Modlin IM, Lye KD, Kidd M. A 5-decade analysis of 13,715 carcinoid tumors. </w:t>
      </w:r>
      <w:r>
        <w:rPr>
          <w:rFonts w:ascii="Times New Roman" w:eastAsia="Times New Roman" w:hAnsi="Times New Roman" w:cs="Times New Roman"/>
          <w:i/>
          <w:color w:val="000000"/>
        </w:rPr>
        <w:t>Cancer</w:t>
      </w:r>
      <w:r>
        <w:rPr>
          <w:rFonts w:ascii="Times New Roman" w:eastAsia="Times New Roman" w:hAnsi="Times New Roman" w:cs="Times New Roman"/>
          <w:color w:val="000000"/>
        </w:rPr>
        <w:t xml:space="preserve"> 2003; </w:t>
      </w:r>
      <w:r>
        <w:rPr>
          <w:rFonts w:ascii="Times New Roman" w:eastAsia="Times New Roman" w:hAnsi="Times New Roman" w:cs="Times New Roman"/>
          <w:b/>
          <w:color w:val="000000"/>
        </w:rPr>
        <w:t>97</w:t>
      </w:r>
      <w:r>
        <w:rPr>
          <w:rFonts w:ascii="Times New Roman" w:eastAsia="Times New Roman" w:hAnsi="Times New Roman" w:cs="Times New Roman"/>
          <w:color w:val="000000"/>
        </w:rPr>
        <w:t>(4): 934-59.</w:t>
      </w:r>
    </w:p>
    <w:p w14:paraId="000000D9"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rPr>
      </w:pPr>
      <w:r>
        <w:rPr>
          <w:rFonts w:ascii="Times New Roman" w:eastAsia="Times New Roman" w:hAnsi="Times New Roman" w:cs="Times New Roman"/>
        </w:rPr>
        <w:lastRenderedPageBreak/>
        <w:t xml:space="preserve">28. Xu Z, Wang L, Dai S, et al. Epidemiologic trends of and factors associated with overall survival for patients with gastroenteropancreatic neuroendocrine tumors in the United States. </w:t>
      </w:r>
      <w:r>
        <w:rPr>
          <w:rFonts w:ascii="Times New Roman" w:eastAsia="Times New Roman" w:hAnsi="Times New Roman" w:cs="Times New Roman"/>
          <w:i/>
        </w:rPr>
        <w:t xml:space="preserve">JAMA Netw Open </w:t>
      </w:r>
      <w:r>
        <w:rPr>
          <w:rFonts w:ascii="Times New Roman" w:eastAsia="Times New Roman" w:hAnsi="Times New Roman" w:cs="Times New Roman"/>
        </w:rPr>
        <w:t xml:space="preserve">2021; </w:t>
      </w:r>
      <w:r>
        <w:rPr>
          <w:rFonts w:ascii="Times New Roman" w:eastAsia="Times New Roman" w:hAnsi="Times New Roman" w:cs="Times New Roman"/>
          <w:b/>
        </w:rPr>
        <w:t>4</w:t>
      </w:r>
      <w:r>
        <w:rPr>
          <w:rFonts w:ascii="Times New Roman" w:eastAsia="Times New Roman" w:hAnsi="Times New Roman" w:cs="Times New Roman"/>
        </w:rPr>
        <w:t xml:space="preserve">(9):e2124750  </w:t>
      </w:r>
    </w:p>
    <w:p w14:paraId="000000DA"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29. Wu Z, Wang W, Zhang K, et al. The impact of surgery and survival prediction in patients with gastroenteropancreatic neuroendocrine tumours: a population-based cohort study. </w:t>
      </w:r>
      <w:r>
        <w:rPr>
          <w:rFonts w:ascii="Times New Roman" w:eastAsia="Times New Roman" w:hAnsi="Times New Roman" w:cs="Times New Roman"/>
          <w:i/>
        </w:rPr>
        <w:t xml:space="preserve">Int J Surg </w:t>
      </w:r>
      <w:r>
        <w:rPr>
          <w:rFonts w:ascii="Times New Roman" w:eastAsia="Times New Roman" w:hAnsi="Times New Roman" w:cs="Times New Roman"/>
        </w:rPr>
        <w:t xml:space="preserve">2023; </w:t>
      </w:r>
      <w:r>
        <w:rPr>
          <w:rFonts w:ascii="Times New Roman" w:eastAsia="Times New Roman" w:hAnsi="Times New Roman" w:cs="Times New Roman"/>
          <w:b/>
        </w:rPr>
        <w:t>109</w:t>
      </w:r>
      <w:r>
        <w:rPr>
          <w:rFonts w:ascii="Times New Roman" w:eastAsia="Times New Roman" w:hAnsi="Times New Roman" w:cs="Times New Roman"/>
        </w:rPr>
        <w:t xml:space="preserve">(6):1629-1638.  </w:t>
      </w:r>
    </w:p>
    <w:p w14:paraId="000000DB"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30</w:t>
      </w:r>
      <w:r>
        <w:rPr>
          <w:rFonts w:ascii="Times New Roman" w:eastAsia="Times New Roman" w:hAnsi="Times New Roman" w:cs="Times New Roman"/>
          <w:color w:val="000000"/>
        </w:rPr>
        <w:t>.</w:t>
      </w:r>
      <w:r>
        <w:rPr>
          <w:rFonts w:ascii="Times New Roman" w:eastAsia="Times New Roman" w:hAnsi="Times New Roman" w:cs="Times New Roman"/>
          <w:color w:val="000000"/>
        </w:rPr>
        <w:tab/>
      </w:r>
      <w:r>
        <w:rPr>
          <w:rFonts w:ascii="Times New Roman" w:eastAsia="Times New Roman" w:hAnsi="Times New Roman" w:cs="Times New Roman"/>
          <w:color w:val="000000"/>
        </w:rPr>
        <w:t xml:space="preserve">Gudmundsdottir H, Habermann EB, Vierkant RA, et al. Survival and Symptomatic Relief After Cytoreductive Hepatectomy for Neuroendocrine Tumor Liver Metastases: Long-Term Follow-up Evaluation of More Than 500 Patients. </w:t>
      </w:r>
      <w:r>
        <w:rPr>
          <w:rFonts w:ascii="Times New Roman" w:eastAsia="Times New Roman" w:hAnsi="Times New Roman" w:cs="Times New Roman"/>
          <w:i/>
          <w:color w:val="000000"/>
        </w:rPr>
        <w:t>Ann Surg Oncol</w:t>
      </w:r>
      <w:r>
        <w:rPr>
          <w:rFonts w:ascii="Times New Roman" w:eastAsia="Times New Roman" w:hAnsi="Times New Roman" w:cs="Times New Roman"/>
          <w:color w:val="000000"/>
        </w:rPr>
        <w:t xml:space="preserve"> 2023; </w:t>
      </w:r>
      <w:r>
        <w:rPr>
          <w:rFonts w:ascii="Times New Roman" w:eastAsia="Times New Roman" w:hAnsi="Times New Roman" w:cs="Times New Roman"/>
          <w:b/>
          <w:color w:val="000000"/>
        </w:rPr>
        <w:t>30</w:t>
      </w:r>
      <w:r>
        <w:rPr>
          <w:rFonts w:ascii="Times New Roman" w:eastAsia="Times New Roman" w:hAnsi="Times New Roman" w:cs="Times New Roman"/>
          <w:color w:val="000000"/>
        </w:rPr>
        <w:t>(8): 4840-51.</w:t>
      </w:r>
    </w:p>
    <w:p w14:paraId="000000DC"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31</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Frilling A, Sotiropoulos GC, Radtke A, et al. The impact of 68Ga-DOTATOC positron emission tomography/computed tomography on the multimodal management of patients with neuroendocrine tumors. </w:t>
      </w:r>
      <w:r>
        <w:rPr>
          <w:rFonts w:ascii="Times New Roman" w:eastAsia="Times New Roman" w:hAnsi="Times New Roman" w:cs="Times New Roman"/>
          <w:i/>
          <w:color w:val="000000"/>
        </w:rPr>
        <w:t>Ann Surg</w:t>
      </w:r>
      <w:r>
        <w:rPr>
          <w:rFonts w:ascii="Times New Roman" w:eastAsia="Times New Roman" w:hAnsi="Times New Roman" w:cs="Times New Roman"/>
          <w:color w:val="000000"/>
        </w:rPr>
        <w:t xml:space="preserve"> 2010; </w:t>
      </w:r>
      <w:r>
        <w:rPr>
          <w:rFonts w:ascii="Times New Roman" w:eastAsia="Times New Roman" w:hAnsi="Times New Roman" w:cs="Times New Roman"/>
          <w:b/>
          <w:color w:val="000000"/>
        </w:rPr>
        <w:t>252</w:t>
      </w:r>
      <w:r>
        <w:rPr>
          <w:rFonts w:ascii="Times New Roman" w:eastAsia="Times New Roman" w:hAnsi="Times New Roman" w:cs="Times New Roman"/>
          <w:color w:val="000000"/>
        </w:rPr>
        <w:t>(5): 850-6.</w:t>
      </w:r>
    </w:p>
    <w:p w14:paraId="000000DD"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32</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Lugat A, Frampas E, Touchefeu Y, et al. Prospective Multicentric Assessment of (68)Ga-DOTANOC PET/CT in Grade 1-2 GEP-NET. </w:t>
      </w:r>
      <w:r>
        <w:rPr>
          <w:rFonts w:ascii="Times New Roman" w:eastAsia="Times New Roman" w:hAnsi="Times New Roman" w:cs="Times New Roman"/>
          <w:i/>
          <w:color w:val="000000"/>
        </w:rPr>
        <w:t>Cancers (Basel)</w:t>
      </w:r>
      <w:r>
        <w:rPr>
          <w:rFonts w:ascii="Times New Roman" w:eastAsia="Times New Roman" w:hAnsi="Times New Roman" w:cs="Times New Roman"/>
          <w:color w:val="000000"/>
        </w:rPr>
        <w:t xml:space="preserve"> 2023; </w:t>
      </w:r>
      <w:r>
        <w:rPr>
          <w:rFonts w:ascii="Times New Roman" w:eastAsia="Times New Roman" w:hAnsi="Times New Roman" w:cs="Times New Roman"/>
          <w:b/>
          <w:color w:val="000000"/>
        </w:rPr>
        <w:t>15</w:t>
      </w:r>
      <w:r>
        <w:rPr>
          <w:rFonts w:ascii="Times New Roman" w:eastAsia="Times New Roman" w:hAnsi="Times New Roman" w:cs="Times New Roman"/>
          <w:color w:val="000000"/>
        </w:rPr>
        <w:t>(2).</w:t>
      </w:r>
    </w:p>
    <w:p w14:paraId="000000DE"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33</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Bodei L, Herrmann K, Schoder H, Scott AM, Lewis JS. Radiotheranostics in oncology: current challenges and emerging opportunities. </w:t>
      </w:r>
      <w:r>
        <w:rPr>
          <w:rFonts w:ascii="Times New Roman" w:eastAsia="Times New Roman" w:hAnsi="Times New Roman" w:cs="Times New Roman"/>
          <w:i/>
          <w:color w:val="000000"/>
        </w:rPr>
        <w:t>Nat Rev Clin Oncol</w:t>
      </w:r>
      <w:r>
        <w:rPr>
          <w:rFonts w:ascii="Times New Roman" w:eastAsia="Times New Roman" w:hAnsi="Times New Roman" w:cs="Times New Roman"/>
          <w:color w:val="000000"/>
        </w:rPr>
        <w:t xml:space="preserve"> 2022; </w:t>
      </w:r>
      <w:r>
        <w:rPr>
          <w:rFonts w:ascii="Times New Roman" w:eastAsia="Times New Roman" w:hAnsi="Times New Roman" w:cs="Times New Roman"/>
          <w:b/>
          <w:color w:val="000000"/>
        </w:rPr>
        <w:t>19</w:t>
      </w:r>
      <w:r>
        <w:rPr>
          <w:rFonts w:ascii="Times New Roman" w:eastAsia="Times New Roman" w:hAnsi="Times New Roman" w:cs="Times New Roman"/>
          <w:color w:val="000000"/>
        </w:rPr>
        <w:t>(8): 534-50.</w:t>
      </w:r>
    </w:p>
    <w:p w14:paraId="000000DF"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34</w:t>
      </w:r>
      <w:r>
        <w:rPr>
          <w:rFonts w:ascii="Times New Roman" w:eastAsia="Times New Roman" w:hAnsi="Times New Roman" w:cs="Times New Roman"/>
          <w:color w:val="000000"/>
        </w:rPr>
        <w:t>.</w:t>
      </w:r>
      <w:r>
        <w:rPr>
          <w:rFonts w:ascii="Times New Roman" w:eastAsia="Times New Roman" w:hAnsi="Times New Roman" w:cs="Times New Roman"/>
          <w:color w:val="000000"/>
        </w:rPr>
        <w:tab/>
      </w:r>
      <w:r>
        <w:rPr>
          <w:rFonts w:ascii="Times New Roman" w:eastAsia="Times New Roman" w:hAnsi="Times New Roman" w:cs="Times New Roman"/>
          <w:color w:val="000000"/>
        </w:rPr>
        <w:t xml:space="preserve">Woltering EA, Voros BA, Beyer DT, et al. Aggressive Surgical Approach to the Management of Neuroendocrine Tumors: A Report of 1,000 Surgical Cytoreductions by a Single Institution. </w:t>
      </w:r>
      <w:r>
        <w:rPr>
          <w:rFonts w:ascii="Times New Roman" w:eastAsia="Times New Roman" w:hAnsi="Times New Roman" w:cs="Times New Roman"/>
          <w:i/>
          <w:color w:val="000000"/>
        </w:rPr>
        <w:t>J Am Coll Surg</w:t>
      </w:r>
      <w:r>
        <w:rPr>
          <w:rFonts w:ascii="Times New Roman" w:eastAsia="Times New Roman" w:hAnsi="Times New Roman" w:cs="Times New Roman"/>
          <w:color w:val="000000"/>
        </w:rPr>
        <w:t xml:space="preserve"> 2017; </w:t>
      </w:r>
      <w:r>
        <w:rPr>
          <w:rFonts w:ascii="Times New Roman" w:eastAsia="Times New Roman" w:hAnsi="Times New Roman" w:cs="Times New Roman"/>
          <w:b/>
          <w:color w:val="000000"/>
        </w:rPr>
        <w:t>224</w:t>
      </w:r>
      <w:r>
        <w:rPr>
          <w:rFonts w:ascii="Times New Roman" w:eastAsia="Times New Roman" w:hAnsi="Times New Roman" w:cs="Times New Roman"/>
          <w:color w:val="000000"/>
        </w:rPr>
        <w:t>(4): 434-47.</w:t>
      </w:r>
    </w:p>
    <w:p w14:paraId="000000E0"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35</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Maspero M, Rossi RE, Sposito C, Coppa J, Citterio D, Mazzaferro V. Long-term outcomes of resection versus transplantation for neuroendocrine liver metastases meeting the Milan criteria. </w:t>
      </w:r>
      <w:r>
        <w:rPr>
          <w:rFonts w:ascii="Times New Roman" w:eastAsia="Times New Roman" w:hAnsi="Times New Roman" w:cs="Times New Roman"/>
          <w:i/>
          <w:color w:val="000000"/>
        </w:rPr>
        <w:t>Am J Transplant</w:t>
      </w:r>
      <w:r>
        <w:rPr>
          <w:rFonts w:ascii="Times New Roman" w:eastAsia="Times New Roman" w:hAnsi="Times New Roman" w:cs="Times New Roman"/>
          <w:color w:val="000000"/>
        </w:rPr>
        <w:t xml:space="preserve"> 2022; </w:t>
      </w:r>
      <w:r>
        <w:rPr>
          <w:rFonts w:ascii="Times New Roman" w:eastAsia="Times New Roman" w:hAnsi="Times New Roman" w:cs="Times New Roman"/>
          <w:b/>
          <w:color w:val="000000"/>
        </w:rPr>
        <w:t>22</w:t>
      </w:r>
      <w:r>
        <w:rPr>
          <w:rFonts w:ascii="Times New Roman" w:eastAsia="Times New Roman" w:hAnsi="Times New Roman" w:cs="Times New Roman"/>
          <w:color w:val="000000"/>
        </w:rPr>
        <w:t>(11): 2598-607.</w:t>
      </w:r>
    </w:p>
    <w:p w14:paraId="000000E1"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color w:val="000000"/>
        </w:rPr>
        <w:t>3</w:t>
      </w:r>
      <w:r>
        <w:rPr>
          <w:rFonts w:ascii="Times New Roman" w:eastAsia="Times New Roman" w:hAnsi="Times New Roman" w:cs="Times New Roman"/>
        </w:rPr>
        <w:t>6</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Saxena A, Chua TC, Perera M, Chu F, Morris DL. Surgical resection of hepatic metastases from neuroendocrine neoplasms: a systematic review. </w:t>
      </w:r>
      <w:r>
        <w:rPr>
          <w:rFonts w:ascii="Times New Roman" w:eastAsia="Times New Roman" w:hAnsi="Times New Roman" w:cs="Times New Roman"/>
          <w:i/>
          <w:color w:val="000000"/>
        </w:rPr>
        <w:t>Surg Oncol</w:t>
      </w:r>
      <w:r>
        <w:rPr>
          <w:rFonts w:ascii="Times New Roman" w:eastAsia="Times New Roman" w:hAnsi="Times New Roman" w:cs="Times New Roman"/>
          <w:color w:val="000000"/>
        </w:rPr>
        <w:t xml:space="preserve"> 2012; </w:t>
      </w:r>
      <w:r>
        <w:rPr>
          <w:rFonts w:ascii="Times New Roman" w:eastAsia="Times New Roman" w:hAnsi="Times New Roman" w:cs="Times New Roman"/>
          <w:b/>
          <w:color w:val="000000"/>
        </w:rPr>
        <w:t>21</w:t>
      </w:r>
      <w:r>
        <w:rPr>
          <w:rFonts w:ascii="Times New Roman" w:eastAsia="Times New Roman" w:hAnsi="Times New Roman" w:cs="Times New Roman"/>
          <w:color w:val="000000"/>
        </w:rPr>
        <w:t>(3): e131-41.</w:t>
      </w:r>
    </w:p>
    <w:p w14:paraId="000000E2"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rPr>
      </w:pPr>
      <w:r>
        <w:rPr>
          <w:rFonts w:ascii="Times New Roman" w:eastAsia="Times New Roman" w:hAnsi="Times New Roman" w:cs="Times New Roman"/>
        </w:rPr>
        <w:t>37.</w:t>
      </w:r>
      <w:r>
        <w:rPr>
          <w:rFonts w:ascii="Times New Roman" w:eastAsia="Times New Roman" w:hAnsi="Times New Roman" w:cs="Times New Roman"/>
        </w:rPr>
        <w:tab/>
        <w:t xml:space="preserve">Ruzzenente A, Bagante F, Bertuzzo F, et al. A novel nomogram to predict the prognosis of patients undergoing liver resection for neuroendocrine liver metastases: ana analysis of the italian neuroendocrine liver metastases database. </w:t>
      </w:r>
      <w:r>
        <w:rPr>
          <w:rFonts w:ascii="Times New Roman" w:eastAsia="Times New Roman" w:hAnsi="Times New Roman" w:cs="Times New Roman"/>
          <w:i/>
        </w:rPr>
        <w:t xml:space="preserve">J Gastrointest Surg </w:t>
      </w:r>
      <w:r>
        <w:rPr>
          <w:rFonts w:ascii="Times New Roman" w:eastAsia="Times New Roman" w:hAnsi="Times New Roman" w:cs="Times New Roman"/>
        </w:rPr>
        <w:t xml:space="preserve">2017; </w:t>
      </w:r>
      <w:r>
        <w:rPr>
          <w:rFonts w:ascii="Times New Roman" w:eastAsia="Times New Roman" w:hAnsi="Times New Roman" w:cs="Times New Roman"/>
          <w:b/>
        </w:rPr>
        <w:t>21</w:t>
      </w:r>
      <w:r>
        <w:rPr>
          <w:rFonts w:ascii="Times New Roman" w:eastAsia="Times New Roman" w:hAnsi="Times New Roman" w:cs="Times New Roman"/>
        </w:rPr>
        <w:t xml:space="preserve">(1): 41-48. </w:t>
      </w:r>
    </w:p>
    <w:p w14:paraId="000000E3"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rPr>
      </w:pPr>
      <w:r>
        <w:rPr>
          <w:rFonts w:ascii="Times New Roman" w:eastAsia="Times New Roman" w:hAnsi="Times New Roman" w:cs="Times New Roman"/>
        </w:rPr>
        <w:lastRenderedPageBreak/>
        <w:t xml:space="preserve">38.  </w:t>
      </w:r>
      <w:r>
        <w:rPr>
          <w:rFonts w:ascii="Times New Roman" w:eastAsia="Times New Roman" w:hAnsi="Times New Roman" w:cs="Times New Roman"/>
        </w:rPr>
        <w:tab/>
        <w:t xml:space="preserve">Xiang JX, Zhang XF, Weiss M, et al. Multi-institutional Development and External Validation of a Nomogram Predicting Recurrence After Curative Liver Resection for Neuroendocrine Liver Metastasis. </w:t>
      </w:r>
      <w:r>
        <w:rPr>
          <w:rFonts w:ascii="Times New Roman" w:eastAsia="Times New Roman" w:hAnsi="Times New Roman" w:cs="Times New Roman"/>
          <w:i/>
        </w:rPr>
        <w:t>Ann Surg Oncol</w:t>
      </w:r>
      <w:r>
        <w:rPr>
          <w:rFonts w:ascii="Times New Roman" w:eastAsia="Times New Roman" w:hAnsi="Times New Roman" w:cs="Times New Roman"/>
        </w:rPr>
        <w:t xml:space="preserve"> 2020; </w:t>
      </w:r>
      <w:r>
        <w:rPr>
          <w:rFonts w:ascii="Times New Roman" w:eastAsia="Times New Roman" w:hAnsi="Times New Roman" w:cs="Times New Roman"/>
          <w:b/>
        </w:rPr>
        <w:t>27</w:t>
      </w:r>
      <w:r>
        <w:rPr>
          <w:rFonts w:ascii="Times New Roman" w:eastAsia="Times New Roman" w:hAnsi="Times New Roman" w:cs="Times New Roman"/>
        </w:rPr>
        <w:t>(10):3717-3726.</w:t>
      </w:r>
    </w:p>
    <w:p w14:paraId="000000E4"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39. </w:t>
      </w:r>
      <w:r>
        <w:rPr>
          <w:rFonts w:ascii="Times New Roman" w:eastAsia="Times New Roman" w:hAnsi="Times New Roman" w:cs="Times New Roman"/>
        </w:rPr>
        <w:tab/>
        <w:t xml:space="preserve">Zhang XF, Beal EW, Weiss M, et al. Timing of disease occurrence and hepatic resection on long-term outcome of patients witrh neuroendocrine liver metastases. </w:t>
      </w:r>
      <w:r>
        <w:rPr>
          <w:rFonts w:ascii="Times New Roman" w:eastAsia="Times New Roman" w:hAnsi="Times New Roman" w:cs="Times New Roman"/>
          <w:i/>
        </w:rPr>
        <w:t>J Surg Oncol</w:t>
      </w:r>
      <w:r>
        <w:rPr>
          <w:rFonts w:ascii="Times New Roman" w:eastAsia="Times New Roman" w:hAnsi="Times New Roman" w:cs="Times New Roman"/>
        </w:rPr>
        <w:t xml:space="preserve"> 2018; </w:t>
      </w:r>
      <w:r>
        <w:rPr>
          <w:rFonts w:ascii="Times New Roman" w:eastAsia="Times New Roman" w:hAnsi="Times New Roman" w:cs="Times New Roman"/>
          <w:b/>
        </w:rPr>
        <w:t>117</w:t>
      </w:r>
      <w:r>
        <w:rPr>
          <w:rFonts w:ascii="Times New Roman" w:eastAsia="Times New Roman" w:hAnsi="Times New Roman" w:cs="Times New Roman"/>
        </w:rPr>
        <w:t xml:space="preserve">(2): 171-181.  </w:t>
      </w:r>
    </w:p>
    <w:p w14:paraId="000000E5"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40</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Kianmanesh R, Farges O, Abdalla EK, Sauvanet A, Ruszniewski P, Belghiti J. Right portal vein ligation: a new planned two-step all-surgical approach for complete resection of primary gastrointestinal tumors with multiple bilateral liver metastases. </w:t>
      </w:r>
      <w:r>
        <w:rPr>
          <w:rFonts w:ascii="Times New Roman" w:eastAsia="Times New Roman" w:hAnsi="Times New Roman" w:cs="Times New Roman"/>
          <w:i/>
          <w:color w:val="000000"/>
        </w:rPr>
        <w:t>J Am Coll Surg</w:t>
      </w:r>
      <w:r>
        <w:rPr>
          <w:rFonts w:ascii="Times New Roman" w:eastAsia="Times New Roman" w:hAnsi="Times New Roman" w:cs="Times New Roman"/>
          <w:color w:val="000000"/>
        </w:rPr>
        <w:t xml:space="preserve"> 2003; </w:t>
      </w:r>
      <w:r>
        <w:rPr>
          <w:rFonts w:ascii="Times New Roman" w:eastAsia="Times New Roman" w:hAnsi="Times New Roman" w:cs="Times New Roman"/>
          <w:b/>
          <w:color w:val="000000"/>
        </w:rPr>
        <w:t>197</w:t>
      </w:r>
      <w:r>
        <w:rPr>
          <w:rFonts w:ascii="Times New Roman" w:eastAsia="Times New Roman" w:hAnsi="Times New Roman" w:cs="Times New Roman"/>
          <w:color w:val="000000"/>
        </w:rPr>
        <w:t>(1): 164-70.</w:t>
      </w:r>
    </w:p>
    <w:p w14:paraId="000000E6"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41</w:t>
      </w:r>
      <w:r>
        <w:rPr>
          <w:rFonts w:ascii="Times New Roman" w:eastAsia="Times New Roman" w:hAnsi="Times New Roman" w:cs="Times New Roman"/>
          <w:color w:val="000000"/>
        </w:rPr>
        <w:t>.</w:t>
      </w:r>
      <w:r>
        <w:rPr>
          <w:rFonts w:ascii="Times New Roman" w:eastAsia="Times New Roman" w:hAnsi="Times New Roman" w:cs="Times New Roman"/>
          <w:color w:val="000000"/>
        </w:rPr>
        <w:tab/>
      </w:r>
      <w:r>
        <w:rPr>
          <w:rFonts w:ascii="Times New Roman" w:eastAsia="Times New Roman" w:hAnsi="Times New Roman" w:cs="Times New Roman"/>
          <w:color w:val="000000"/>
        </w:rPr>
        <w:t xml:space="preserve">Linecker M, Kambakamba P, Raptis DA, et al. ALPPS in neuroendocrine liver metastases not amenable for conventional resection - lessons learned from an interim analysis of the International ALPPS Registry. </w:t>
      </w:r>
      <w:r>
        <w:rPr>
          <w:rFonts w:ascii="Times New Roman" w:eastAsia="Times New Roman" w:hAnsi="Times New Roman" w:cs="Times New Roman"/>
          <w:i/>
          <w:color w:val="000000"/>
        </w:rPr>
        <w:t xml:space="preserve">HPB </w:t>
      </w:r>
      <w:r>
        <w:rPr>
          <w:rFonts w:ascii="Times New Roman" w:eastAsia="Times New Roman" w:hAnsi="Times New Roman" w:cs="Times New Roman"/>
          <w:color w:val="000000"/>
        </w:rPr>
        <w:t xml:space="preserve">2020; </w:t>
      </w:r>
      <w:r>
        <w:rPr>
          <w:rFonts w:ascii="Times New Roman" w:eastAsia="Times New Roman" w:hAnsi="Times New Roman" w:cs="Times New Roman"/>
          <w:b/>
          <w:color w:val="000000"/>
        </w:rPr>
        <w:t>22</w:t>
      </w:r>
      <w:r>
        <w:rPr>
          <w:rFonts w:ascii="Times New Roman" w:eastAsia="Times New Roman" w:hAnsi="Times New Roman" w:cs="Times New Roman"/>
          <w:color w:val="000000"/>
        </w:rPr>
        <w:t>(4): 537-44.</w:t>
      </w:r>
    </w:p>
    <w:p w14:paraId="000000E7"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42</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Vouche M, Lewandowski RJ, Atassi R, et al. Radiation lobectomy: time-dependent analysis of future liver remnant volume in unresectable liver cancer as a bridge to resection. </w:t>
      </w:r>
      <w:r>
        <w:rPr>
          <w:rFonts w:ascii="Times New Roman" w:eastAsia="Times New Roman" w:hAnsi="Times New Roman" w:cs="Times New Roman"/>
          <w:i/>
          <w:color w:val="000000"/>
        </w:rPr>
        <w:t>J Hepatol</w:t>
      </w:r>
      <w:r>
        <w:rPr>
          <w:rFonts w:ascii="Times New Roman" w:eastAsia="Times New Roman" w:hAnsi="Times New Roman" w:cs="Times New Roman"/>
          <w:color w:val="000000"/>
        </w:rPr>
        <w:t xml:space="preserve"> 2013; </w:t>
      </w:r>
      <w:r>
        <w:rPr>
          <w:rFonts w:ascii="Times New Roman" w:eastAsia="Times New Roman" w:hAnsi="Times New Roman" w:cs="Times New Roman"/>
          <w:b/>
          <w:color w:val="000000"/>
        </w:rPr>
        <w:t>59</w:t>
      </w:r>
      <w:r>
        <w:rPr>
          <w:rFonts w:ascii="Times New Roman" w:eastAsia="Times New Roman" w:hAnsi="Times New Roman" w:cs="Times New Roman"/>
          <w:color w:val="000000"/>
        </w:rPr>
        <w:t>(5): 1029-36.</w:t>
      </w:r>
    </w:p>
    <w:p w14:paraId="000000E8"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43</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Stoeltzing O, Loss M, Huber E, et al. Staged surgery with neoadjuvant 90Y-DOTATOC therapy for down-sizing synchronous bilobular hepatic metastases from a neuroendocrine pancreatic tumor. </w:t>
      </w:r>
      <w:r>
        <w:rPr>
          <w:rFonts w:ascii="Times New Roman" w:eastAsia="Times New Roman" w:hAnsi="Times New Roman" w:cs="Times New Roman"/>
          <w:i/>
          <w:color w:val="000000"/>
        </w:rPr>
        <w:t>Langenbecks Arch Surg</w:t>
      </w:r>
      <w:r>
        <w:rPr>
          <w:rFonts w:ascii="Times New Roman" w:eastAsia="Times New Roman" w:hAnsi="Times New Roman" w:cs="Times New Roman"/>
          <w:color w:val="000000"/>
        </w:rPr>
        <w:t xml:space="preserve"> 2010; </w:t>
      </w:r>
      <w:r>
        <w:rPr>
          <w:rFonts w:ascii="Times New Roman" w:eastAsia="Times New Roman" w:hAnsi="Times New Roman" w:cs="Times New Roman"/>
          <w:b/>
          <w:color w:val="000000"/>
        </w:rPr>
        <w:t>395</w:t>
      </w:r>
      <w:r>
        <w:rPr>
          <w:rFonts w:ascii="Times New Roman" w:eastAsia="Times New Roman" w:hAnsi="Times New Roman" w:cs="Times New Roman"/>
          <w:color w:val="000000"/>
        </w:rPr>
        <w:t>(2): 185-92.</w:t>
      </w:r>
    </w:p>
    <w:p w14:paraId="000000E9"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44. </w:t>
      </w:r>
      <w:r>
        <w:rPr>
          <w:rFonts w:ascii="Times New Roman" w:eastAsia="Times New Roman" w:hAnsi="Times New Roman" w:cs="Times New Roman"/>
        </w:rPr>
        <w:tab/>
        <w:t xml:space="preserve">Sham JG, Ejaz A, Gage MM, et al. The impact of extent of liver resection among patients with neuroendocrine liver metastases: an international multi-institutional study. </w:t>
      </w:r>
      <w:r>
        <w:rPr>
          <w:rFonts w:ascii="Times New Roman" w:eastAsia="Times New Roman" w:hAnsi="Times New Roman" w:cs="Times New Roman"/>
          <w:i/>
        </w:rPr>
        <w:t xml:space="preserve">J Gastrointest Surg </w:t>
      </w:r>
      <w:r>
        <w:rPr>
          <w:rFonts w:ascii="Times New Roman" w:eastAsia="Times New Roman" w:hAnsi="Times New Roman" w:cs="Times New Roman"/>
        </w:rPr>
        <w:t xml:space="preserve">2019; </w:t>
      </w:r>
      <w:r>
        <w:rPr>
          <w:rFonts w:ascii="Times New Roman" w:eastAsia="Times New Roman" w:hAnsi="Times New Roman" w:cs="Times New Roman"/>
          <w:b/>
        </w:rPr>
        <w:t>23</w:t>
      </w:r>
      <w:r>
        <w:rPr>
          <w:rFonts w:ascii="Times New Roman" w:eastAsia="Times New Roman" w:hAnsi="Times New Roman" w:cs="Times New Roman"/>
        </w:rPr>
        <w:t>(3): 484-491.</w:t>
      </w:r>
    </w:p>
    <w:p w14:paraId="000000EA"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45</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Maxwell JE, Sherman SK, O'Dorisio TM, Bellizzi AM, Howe JR. Liver-directed surgery of neuroendocrine metastases: What is the optimal strategy? </w:t>
      </w:r>
      <w:r>
        <w:rPr>
          <w:rFonts w:ascii="Times New Roman" w:eastAsia="Times New Roman" w:hAnsi="Times New Roman" w:cs="Times New Roman"/>
          <w:i/>
          <w:color w:val="000000"/>
        </w:rPr>
        <w:t>Surgery</w:t>
      </w:r>
      <w:r>
        <w:rPr>
          <w:rFonts w:ascii="Times New Roman" w:eastAsia="Times New Roman" w:hAnsi="Times New Roman" w:cs="Times New Roman"/>
          <w:color w:val="000000"/>
        </w:rPr>
        <w:t xml:space="preserve"> 2016; </w:t>
      </w:r>
      <w:r>
        <w:rPr>
          <w:rFonts w:ascii="Times New Roman" w:eastAsia="Times New Roman" w:hAnsi="Times New Roman" w:cs="Times New Roman"/>
          <w:b/>
          <w:color w:val="000000"/>
        </w:rPr>
        <w:t>159</w:t>
      </w:r>
      <w:r>
        <w:rPr>
          <w:rFonts w:ascii="Times New Roman" w:eastAsia="Times New Roman" w:hAnsi="Times New Roman" w:cs="Times New Roman"/>
          <w:color w:val="000000"/>
        </w:rPr>
        <w:t>(1): 320-33.</w:t>
      </w:r>
    </w:p>
    <w:p w14:paraId="000000EB"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46</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Spolverato G, Bagante F, Aldrighetti L, et al. Management and outcomes of patients with recurrent neuroendocrine liver metastasis after curative surgery: An international multi-institutional analysis. </w:t>
      </w:r>
      <w:r>
        <w:rPr>
          <w:rFonts w:ascii="Times New Roman" w:eastAsia="Times New Roman" w:hAnsi="Times New Roman" w:cs="Times New Roman"/>
          <w:i/>
          <w:color w:val="000000"/>
        </w:rPr>
        <w:t>J Surg Oncol</w:t>
      </w:r>
      <w:r>
        <w:rPr>
          <w:rFonts w:ascii="Times New Roman" w:eastAsia="Times New Roman" w:hAnsi="Times New Roman" w:cs="Times New Roman"/>
          <w:color w:val="000000"/>
        </w:rPr>
        <w:t xml:space="preserve"> 2017; </w:t>
      </w:r>
      <w:r>
        <w:rPr>
          <w:rFonts w:ascii="Times New Roman" w:eastAsia="Times New Roman" w:hAnsi="Times New Roman" w:cs="Times New Roman"/>
          <w:b/>
          <w:color w:val="000000"/>
        </w:rPr>
        <w:t>116</w:t>
      </w:r>
      <w:r>
        <w:rPr>
          <w:rFonts w:ascii="Times New Roman" w:eastAsia="Times New Roman" w:hAnsi="Times New Roman" w:cs="Times New Roman"/>
          <w:color w:val="000000"/>
        </w:rPr>
        <w:t>(3): 298-306.</w:t>
      </w:r>
    </w:p>
    <w:p w14:paraId="000000EC"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rPr>
      </w:pPr>
      <w:r>
        <w:rPr>
          <w:rFonts w:ascii="Times New Roman" w:eastAsia="Times New Roman" w:hAnsi="Times New Roman" w:cs="Times New Roman"/>
        </w:rPr>
        <w:lastRenderedPageBreak/>
        <w:t xml:space="preserve">47. </w:t>
      </w:r>
      <w:r>
        <w:rPr>
          <w:rFonts w:ascii="Times New Roman" w:eastAsia="Times New Roman" w:hAnsi="Times New Roman" w:cs="Times New Roman"/>
        </w:rPr>
        <w:tab/>
        <w:t xml:space="preserve">Shah T, Manas DM, Ford SJ, et al. Where are we now with liver transplantation in neuroendocrine neoplasms? The place of liver transplantation for grades 1 and 2 well-differentiated unresectable liver metastatic neuroendocrine tumours. </w:t>
      </w:r>
      <w:r>
        <w:rPr>
          <w:rFonts w:ascii="Times New Roman" w:eastAsia="Times New Roman" w:hAnsi="Times New Roman" w:cs="Times New Roman"/>
          <w:i/>
        </w:rPr>
        <w:t>Curr Oncol Rep</w:t>
      </w:r>
      <w:r>
        <w:rPr>
          <w:rFonts w:ascii="Times New Roman" w:eastAsia="Times New Roman" w:hAnsi="Times New Roman" w:cs="Times New Roman"/>
        </w:rPr>
        <w:t xml:space="preserve"> 2023; </w:t>
      </w:r>
      <w:r>
        <w:rPr>
          <w:rFonts w:ascii="Times New Roman" w:eastAsia="Times New Roman" w:hAnsi="Times New Roman" w:cs="Times New Roman"/>
          <w:b/>
        </w:rPr>
        <w:t>25</w:t>
      </w:r>
      <w:r>
        <w:rPr>
          <w:rFonts w:ascii="Times New Roman" w:eastAsia="Times New Roman" w:hAnsi="Times New Roman" w:cs="Times New Roman"/>
        </w:rPr>
        <w:t xml:space="preserve">(2): 135-144. </w:t>
      </w:r>
    </w:p>
    <w:p w14:paraId="000000ED"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rPr>
      </w:pPr>
      <w:r>
        <w:rPr>
          <w:rFonts w:ascii="Times New Roman" w:eastAsia="Times New Roman" w:hAnsi="Times New Roman" w:cs="Times New Roman"/>
        </w:rPr>
        <w:t>48.</w:t>
      </w:r>
      <w:r>
        <w:rPr>
          <w:rFonts w:ascii="Times New Roman" w:eastAsia="Times New Roman" w:hAnsi="Times New Roman" w:cs="Times New Roman"/>
        </w:rPr>
        <w:tab/>
      </w:r>
      <w:r>
        <w:rPr>
          <w:rFonts w:ascii="Times New Roman" w:eastAsia="Times New Roman" w:hAnsi="Times New Roman" w:cs="Times New Roman"/>
        </w:rPr>
        <w:t xml:space="preserve">Citterio D, Coppa J, Sposito C, et al. The role of liver transplantation in the treatment of liver metastases from neuroendocrine tumors. </w:t>
      </w:r>
      <w:r>
        <w:rPr>
          <w:rFonts w:ascii="Times New Roman" w:eastAsia="Times New Roman" w:hAnsi="Times New Roman" w:cs="Times New Roman"/>
          <w:i/>
        </w:rPr>
        <w:t xml:space="preserve">Curr Treat Options Oncol </w:t>
      </w:r>
      <w:r>
        <w:rPr>
          <w:rFonts w:ascii="Times New Roman" w:eastAsia="Times New Roman" w:hAnsi="Times New Roman" w:cs="Times New Roman"/>
        </w:rPr>
        <w:t xml:space="preserve">2023; </w:t>
      </w:r>
      <w:r>
        <w:rPr>
          <w:rFonts w:ascii="Times New Roman" w:eastAsia="Times New Roman" w:hAnsi="Times New Roman" w:cs="Times New Roman"/>
          <w:b/>
        </w:rPr>
        <w:t>24</w:t>
      </w:r>
      <w:r>
        <w:rPr>
          <w:rFonts w:ascii="Times New Roman" w:eastAsia="Times New Roman" w:hAnsi="Times New Roman" w:cs="Times New Roman"/>
        </w:rPr>
        <w:t>(11): 1651-1665.</w:t>
      </w:r>
    </w:p>
    <w:p w14:paraId="000000EE"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49. Sposito C, Rossi RE, Monteleone M, et al. Postrecurrence survival after liver transplantation for liver metastases from neuroendocrine tumors. </w:t>
      </w:r>
      <w:r>
        <w:rPr>
          <w:rFonts w:ascii="Times New Roman" w:eastAsia="Times New Roman" w:hAnsi="Times New Roman" w:cs="Times New Roman"/>
          <w:i/>
        </w:rPr>
        <w:t xml:space="preserve">Transplantation </w:t>
      </w:r>
      <w:r>
        <w:rPr>
          <w:rFonts w:ascii="Times New Roman" w:eastAsia="Times New Roman" w:hAnsi="Times New Roman" w:cs="Times New Roman"/>
        </w:rPr>
        <w:t xml:space="preserve">2021; </w:t>
      </w:r>
      <w:r>
        <w:rPr>
          <w:rFonts w:ascii="Times New Roman" w:eastAsia="Times New Roman" w:hAnsi="Times New Roman" w:cs="Times New Roman"/>
          <w:b/>
        </w:rPr>
        <w:t>105</w:t>
      </w:r>
      <w:r>
        <w:rPr>
          <w:rFonts w:ascii="Times New Roman" w:eastAsia="Times New Roman" w:hAnsi="Times New Roman" w:cs="Times New Roman"/>
        </w:rPr>
        <w:t xml:space="preserve">(12): 2579-2586. </w:t>
      </w:r>
    </w:p>
    <w:p w14:paraId="000000EF"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50</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Le Treut YP, Gregoire E, Klempnauer J, et al. Liver transplantation for neuroendocrine tumors in Europe-results and trends in patient selection: a 213-case European liver transplant registry study. </w:t>
      </w:r>
      <w:r>
        <w:rPr>
          <w:rFonts w:ascii="Times New Roman" w:eastAsia="Times New Roman" w:hAnsi="Times New Roman" w:cs="Times New Roman"/>
          <w:i/>
          <w:color w:val="000000"/>
        </w:rPr>
        <w:t>Ann Surg</w:t>
      </w:r>
      <w:r>
        <w:rPr>
          <w:rFonts w:ascii="Times New Roman" w:eastAsia="Times New Roman" w:hAnsi="Times New Roman" w:cs="Times New Roman"/>
          <w:color w:val="000000"/>
        </w:rPr>
        <w:t xml:space="preserve"> 2013; </w:t>
      </w:r>
      <w:r>
        <w:rPr>
          <w:rFonts w:ascii="Times New Roman" w:eastAsia="Times New Roman" w:hAnsi="Times New Roman" w:cs="Times New Roman"/>
          <w:b/>
          <w:color w:val="000000"/>
        </w:rPr>
        <w:t>257</w:t>
      </w:r>
      <w:r>
        <w:rPr>
          <w:rFonts w:ascii="Times New Roman" w:eastAsia="Times New Roman" w:hAnsi="Times New Roman" w:cs="Times New Roman"/>
          <w:color w:val="000000"/>
        </w:rPr>
        <w:t>(5): 807-15.</w:t>
      </w:r>
    </w:p>
    <w:p w14:paraId="000000F0"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51</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Frilling A, Malago M, Weber F, et al. Liver transplantation for patients with metastatic endocrine tumors: single-center experience with 15 patients. </w:t>
      </w:r>
      <w:r>
        <w:rPr>
          <w:rFonts w:ascii="Times New Roman" w:eastAsia="Times New Roman" w:hAnsi="Times New Roman" w:cs="Times New Roman"/>
          <w:i/>
          <w:color w:val="000000"/>
        </w:rPr>
        <w:t>Liver Transpl</w:t>
      </w:r>
      <w:r>
        <w:rPr>
          <w:rFonts w:ascii="Times New Roman" w:eastAsia="Times New Roman" w:hAnsi="Times New Roman" w:cs="Times New Roman"/>
          <w:color w:val="000000"/>
        </w:rPr>
        <w:t xml:space="preserve"> 2006; </w:t>
      </w:r>
      <w:r>
        <w:rPr>
          <w:rFonts w:ascii="Times New Roman" w:eastAsia="Times New Roman" w:hAnsi="Times New Roman" w:cs="Times New Roman"/>
          <w:b/>
          <w:color w:val="000000"/>
        </w:rPr>
        <w:t>12</w:t>
      </w:r>
      <w:r>
        <w:rPr>
          <w:rFonts w:ascii="Times New Roman" w:eastAsia="Times New Roman" w:hAnsi="Times New Roman" w:cs="Times New Roman"/>
          <w:color w:val="000000"/>
        </w:rPr>
        <w:t>(7): 1089-96.</w:t>
      </w:r>
    </w:p>
    <w:p w14:paraId="000000F1"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52. </w:t>
      </w:r>
      <w:r>
        <w:rPr>
          <w:rFonts w:ascii="Times New Roman" w:eastAsia="Times New Roman" w:hAnsi="Times New Roman" w:cs="Times New Roman"/>
        </w:rPr>
        <w:tab/>
        <w:t xml:space="preserve">Eshmuminov D, Studer DJ, Lopez VL, et al. Controversy over liver transplantation or resection for neuroendocrine liver metastasis: tumor biology cuts the deal. </w:t>
      </w:r>
      <w:r>
        <w:rPr>
          <w:rFonts w:ascii="Times New Roman" w:eastAsia="Times New Roman" w:hAnsi="Times New Roman" w:cs="Times New Roman"/>
          <w:i/>
        </w:rPr>
        <w:t>Ann Surg</w:t>
      </w:r>
      <w:r>
        <w:rPr>
          <w:rFonts w:ascii="Times New Roman" w:eastAsia="Times New Roman" w:hAnsi="Times New Roman" w:cs="Times New Roman"/>
        </w:rPr>
        <w:t xml:space="preserve"> 2023; </w:t>
      </w:r>
      <w:r>
        <w:rPr>
          <w:rFonts w:ascii="Times New Roman" w:eastAsia="Times New Roman" w:hAnsi="Times New Roman" w:cs="Times New Roman"/>
          <w:b/>
        </w:rPr>
        <w:t>277</w:t>
      </w:r>
      <w:r>
        <w:rPr>
          <w:rFonts w:ascii="Times New Roman" w:eastAsia="Times New Roman" w:hAnsi="Times New Roman" w:cs="Times New Roman"/>
        </w:rPr>
        <w:t xml:space="preserve">(5): e1063-1071. </w:t>
      </w:r>
    </w:p>
    <w:p w14:paraId="000000F2"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53</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Kennedy A, Bester L, Salem R, et al. Role of hepatic intra-arterial therapies in metastatic neuroendocrine tumours (NET): guidelines from the NET-Liver-Metastases Consensus Conference. </w:t>
      </w:r>
      <w:r>
        <w:rPr>
          <w:rFonts w:ascii="Times New Roman" w:eastAsia="Times New Roman" w:hAnsi="Times New Roman" w:cs="Times New Roman"/>
          <w:i/>
          <w:color w:val="000000"/>
        </w:rPr>
        <w:t xml:space="preserve">HPB </w:t>
      </w:r>
      <w:r>
        <w:rPr>
          <w:rFonts w:ascii="Times New Roman" w:eastAsia="Times New Roman" w:hAnsi="Times New Roman" w:cs="Times New Roman"/>
          <w:color w:val="000000"/>
        </w:rPr>
        <w:t xml:space="preserve">2015; </w:t>
      </w:r>
      <w:r>
        <w:rPr>
          <w:rFonts w:ascii="Times New Roman" w:eastAsia="Times New Roman" w:hAnsi="Times New Roman" w:cs="Times New Roman"/>
          <w:b/>
          <w:color w:val="000000"/>
        </w:rPr>
        <w:t>17</w:t>
      </w:r>
      <w:r>
        <w:rPr>
          <w:rFonts w:ascii="Times New Roman" w:eastAsia="Times New Roman" w:hAnsi="Times New Roman" w:cs="Times New Roman"/>
          <w:color w:val="000000"/>
        </w:rPr>
        <w:t>(1): 29-37.</w:t>
      </w:r>
    </w:p>
    <w:p w14:paraId="000000F3"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54. </w:t>
      </w:r>
      <w:r>
        <w:rPr>
          <w:rFonts w:ascii="Times New Roman" w:eastAsia="Times New Roman" w:hAnsi="Times New Roman" w:cs="Times New Roman"/>
        </w:rPr>
        <w:tab/>
      </w:r>
      <w:r>
        <w:rPr>
          <w:rFonts w:ascii="Times New Roman" w:eastAsia="Times New Roman" w:hAnsi="Times New Roman" w:cs="Times New Roman"/>
        </w:rPr>
        <w:t xml:space="preserve">Frilling A, Clift AK, Braat AJAT, et al. Radioembolisation with 90Y microspheres for neuroendocrine liver metastases: an institutional case series, systematic review and meta-analysis. </w:t>
      </w:r>
      <w:r>
        <w:rPr>
          <w:rFonts w:ascii="Times New Roman" w:eastAsia="Times New Roman" w:hAnsi="Times New Roman" w:cs="Times New Roman"/>
          <w:i/>
        </w:rPr>
        <w:t xml:space="preserve">HPB </w:t>
      </w:r>
      <w:r>
        <w:rPr>
          <w:rFonts w:ascii="Times New Roman" w:eastAsia="Times New Roman" w:hAnsi="Times New Roman" w:cs="Times New Roman"/>
        </w:rPr>
        <w:t xml:space="preserve">2019; </w:t>
      </w:r>
      <w:r>
        <w:rPr>
          <w:rFonts w:ascii="Times New Roman" w:eastAsia="Times New Roman" w:hAnsi="Times New Roman" w:cs="Times New Roman"/>
          <w:b/>
        </w:rPr>
        <w:t>21</w:t>
      </w:r>
      <w:r>
        <w:rPr>
          <w:rFonts w:ascii="Times New Roman" w:eastAsia="Times New Roman" w:hAnsi="Times New Roman" w:cs="Times New Roman"/>
        </w:rPr>
        <w:t xml:space="preserve">(7): 773-783. </w:t>
      </w:r>
    </w:p>
    <w:p w14:paraId="000000F4"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55</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Liu Y, Liu H, Chen W, et al. Prolonged progression-free survival achieved by octreotide LAR plus transarterial embolization in low-to-intermediate grade neuroendocrine tumor liver metastases with high hepatic tumor burden. </w:t>
      </w:r>
      <w:r>
        <w:rPr>
          <w:rFonts w:ascii="Times New Roman" w:eastAsia="Times New Roman" w:hAnsi="Times New Roman" w:cs="Times New Roman"/>
          <w:i/>
          <w:color w:val="000000"/>
        </w:rPr>
        <w:t>Cancer Med</w:t>
      </w:r>
      <w:r>
        <w:rPr>
          <w:rFonts w:ascii="Times New Roman" w:eastAsia="Times New Roman" w:hAnsi="Times New Roman" w:cs="Times New Roman"/>
          <w:color w:val="000000"/>
        </w:rPr>
        <w:t xml:space="preserve"> 2022; </w:t>
      </w:r>
      <w:r>
        <w:rPr>
          <w:rFonts w:ascii="Times New Roman" w:eastAsia="Times New Roman" w:hAnsi="Times New Roman" w:cs="Times New Roman"/>
          <w:b/>
          <w:color w:val="000000"/>
        </w:rPr>
        <w:t>11</w:t>
      </w:r>
      <w:r>
        <w:rPr>
          <w:rFonts w:ascii="Times New Roman" w:eastAsia="Times New Roman" w:hAnsi="Times New Roman" w:cs="Times New Roman"/>
          <w:color w:val="000000"/>
        </w:rPr>
        <w:t>(13): 2588-600.</w:t>
      </w:r>
    </w:p>
    <w:p w14:paraId="000000F5"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56</w:t>
      </w:r>
      <w:r>
        <w:rPr>
          <w:rFonts w:ascii="Times New Roman" w:eastAsia="Times New Roman" w:hAnsi="Times New Roman" w:cs="Times New Roman"/>
          <w:color w:val="000000"/>
        </w:rPr>
        <w:t>.</w:t>
      </w:r>
      <w:r>
        <w:rPr>
          <w:rFonts w:ascii="Times New Roman" w:eastAsia="Times New Roman" w:hAnsi="Times New Roman" w:cs="Times New Roman"/>
          <w:color w:val="000000"/>
        </w:rPr>
        <w:tab/>
      </w:r>
      <w:r>
        <w:rPr>
          <w:rFonts w:ascii="Times New Roman" w:eastAsia="Times New Roman" w:hAnsi="Times New Roman" w:cs="Times New Roman"/>
          <w:color w:val="000000"/>
        </w:rPr>
        <w:t xml:space="preserve">Braat A, Ahmadzadehfar H, Kappadath SC, et al. Radioembolization with (90)Y Resin Microspheres of Neuroendocrine Liver Metastases After Initial Peptide Receptor Radionuclide Therapy. </w:t>
      </w:r>
      <w:r>
        <w:rPr>
          <w:rFonts w:ascii="Times New Roman" w:eastAsia="Times New Roman" w:hAnsi="Times New Roman" w:cs="Times New Roman"/>
          <w:i/>
          <w:color w:val="000000"/>
        </w:rPr>
        <w:t>Cardiovasc Intervent Radiol</w:t>
      </w:r>
      <w:r>
        <w:rPr>
          <w:rFonts w:ascii="Times New Roman" w:eastAsia="Times New Roman" w:hAnsi="Times New Roman" w:cs="Times New Roman"/>
          <w:color w:val="000000"/>
        </w:rPr>
        <w:t xml:space="preserve"> 2020; </w:t>
      </w:r>
      <w:r>
        <w:rPr>
          <w:rFonts w:ascii="Times New Roman" w:eastAsia="Times New Roman" w:hAnsi="Times New Roman" w:cs="Times New Roman"/>
          <w:b/>
          <w:color w:val="000000"/>
        </w:rPr>
        <w:t>43</w:t>
      </w:r>
      <w:r>
        <w:rPr>
          <w:rFonts w:ascii="Times New Roman" w:eastAsia="Times New Roman" w:hAnsi="Times New Roman" w:cs="Times New Roman"/>
          <w:color w:val="000000"/>
        </w:rPr>
        <w:t>(2): 246-53.</w:t>
      </w:r>
    </w:p>
    <w:p w14:paraId="000000F6"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lastRenderedPageBreak/>
        <w:t>57</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Strosberg J, Kunz PL, Hendifar A, et al. Impact of liver tumour burden, alkaline phosphatase elevation, and target lesion size on treatment outcomes with (177)Lu-Dotatate: an analysis of the NETTER-1 study. </w:t>
      </w:r>
      <w:r>
        <w:rPr>
          <w:rFonts w:ascii="Times New Roman" w:eastAsia="Times New Roman" w:hAnsi="Times New Roman" w:cs="Times New Roman"/>
          <w:i/>
          <w:color w:val="000000"/>
        </w:rPr>
        <w:t>Eur J Nucl Med Mol Imaging</w:t>
      </w:r>
      <w:r>
        <w:rPr>
          <w:rFonts w:ascii="Times New Roman" w:eastAsia="Times New Roman" w:hAnsi="Times New Roman" w:cs="Times New Roman"/>
          <w:color w:val="000000"/>
        </w:rPr>
        <w:t xml:space="preserve"> 2020; </w:t>
      </w:r>
      <w:r>
        <w:rPr>
          <w:rFonts w:ascii="Times New Roman" w:eastAsia="Times New Roman" w:hAnsi="Times New Roman" w:cs="Times New Roman"/>
          <w:b/>
          <w:color w:val="000000"/>
        </w:rPr>
        <w:t>47</w:t>
      </w:r>
      <w:r>
        <w:rPr>
          <w:rFonts w:ascii="Times New Roman" w:eastAsia="Times New Roman" w:hAnsi="Times New Roman" w:cs="Times New Roman"/>
          <w:color w:val="000000"/>
        </w:rPr>
        <w:t>(10): 2372-82.</w:t>
      </w:r>
    </w:p>
    <w:p w14:paraId="000000F7"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58</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Kidd M, Kitz A, Drozdov I, Modlin I. Neuroendocrine Tumor Omic Gene Cluster Analysis Amplifies the Prognostic Accuracy of the NETest. </w:t>
      </w:r>
      <w:r>
        <w:rPr>
          <w:rFonts w:ascii="Times New Roman" w:eastAsia="Times New Roman" w:hAnsi="Times New Roman" w:cs="Times New Roman"/>
          <w:i/>
          <w:color w:val="000000"/>
        </w:rPr>
        <w:t>Neuroendocrinology</w:t>
      </w:r>
      <w:r>
        <w:rPr>
          <w:rFonts w:ascii="Times New Roman" w:eastAsia="Times New Roman" w:hAnsi="Times New Roman" w:cs="Times New Roman"/>
          <w:color w:val="000000"/>
        </w:rPr>
        <w:t xml:space="preserve"> 2021; </w:t>
      </w:r>
      <w:r>
        <w:rPr>
          <w:rFonts w:ascii="Times New Roman" w:eastAsia="Times New Roman" w:hAnsi="Times New Roman" w:cs="Times New Roman"/>
          <w:b/>
          <w:color w:val="000000"/>
        </w:rPr>
        <w:t>111</w:t>
      </w:r>
      <w:r>
        <w:rPr>
          <w:rFonts w:ascii="Times New Roman" w:eastAsia="Times New Roman" w:hAnsi="Times New Roman" w:cs="Times New Roman"/>
          <w:color w:val="000000"/>
        </w:rPr>
        <w:t>(5): 490-504.</w:t>
      </w:r>
    </w:p>
    <w:p w14:paraId="000000F8"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59</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Norheim I, Oberg K, Theodorsson-Norheim E, et al. Malignant carcinoid tumors. An analysis of 103 patients with regard to tumor localization, hormone production, and survival. </w:t>
      </w:r>
      <w:r>
        <w:rPr>
          <w:rFonts w:ascii="Times New Roman" w:eastAsia="Times New Roman" w:hAnsi="Times New Roman" w:cs="Times New Roman"/>
          <w:i/>
          <w:color w:val="000000"/>
        </w:rPr>
        <w:t>Ann Surg</w:t>
      </w:r>
      <w:r>
        <w:rPr>
          <w:rFonts w:ascii="Times New Roman" w:eastAsia="Times New Roman" w:hAnsi="Times New Roman" w:cs="Times New Roman"/>
          <w:color w:val="000000"/>
        </w:rPr>
        <w:t xml:space="preserve"> 1987; </w:t>
      </w:r>
      <w:r>
        <w:rPr>
          <w:rFonts w:ascii="Times New Roman" w:eastAsia="Times New Roman" w:hAnsi="Times New Roman" w:cs="Times New Roman"/>
          <w:b/>
          <w:color w:val="000000"/>
        </w:rPr>
        <w:t>206</w:t>
      </w:r>
      <w:r>
        <w:rPr>
          <w:rFonts w:ascii="Times New Roman" w:eastAsia="Times New Roman" w:hAnsi="Times New Roman" w:cs="Times New Roman"/>
          <w:color w:val="000000"/>
        </w:rPr>
        <w:t>(2): 115-25.</w:t>
      </w:r>
    </w:p>
    <w:p w14:paraId="000000F9"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60</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Bevere M, Masetto F, Carazzolo ME, et al. An Overview of Circulating Biomarkers in Neuroendocrine Neoplasms: A Clinical Guide. </w:t>
      </w:r>
      <w:r>
        <w:rPr>
          <w:rFonts w:ascii="Times New Roman" w:eastAsia="Times New Roman" w:hAnsi="Times New Roman" w:cs="Times New Roman"/>
          <w:i/>
          <w:color w:val="000000"/>
        </w:rPr>
        <w:t>Diagnostics (Basel)</w:t>
      </w:r>
      <w:r>
        <w:rPr>
          <w:rFonts w:ascii="Times New Roman" w:eastAsia="Times New Roman" w:hAnsi="Times New Roman" w:cs="Times New Roman"/>
          <w:color w:val="000000"/>
        </w:rPr>
        <w:t xml:space="preserve"> 2023; </w:t>
      </w:r>
      <w:r>
        <w:rPr>
          <w:rFonts w:ascii="Times New Roman" w:eastAsia="Times New Roman" w:hAnsi="Times New Roman" w:cs="Times New Roman"/>
          <w:b/>
          <w:color w:val="000000"/>
        </w:rPr>
        <w:t>13</w:t>
      </w:r>
      <w:r>
        <w:rPr>
          <w:rFonts w:ascii="Times New Roman" w:eastAsia="Times New Roman" w:hAnsi="Times New Roman" w:cs="Times New Roman"/>
          <w:color w:val="000000"/>
        </w:rPr>
        <w:t>(17).</w:t>
      </w:r>
    </w:p>
    <w:p w14:paraId="000000FA"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61</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van Treijen MJC, van der Zee D, Heeres BC, et al. Blood Molecular Genomic Analysis Predicts the Disease Course of Gastroenteropancreatic Neuroendocrine Tumor Patients: A Validation Study of the Predictive Value of the NETest(R). </w:t>
      </w:r>
      <w:r>
        <w:rPr>
          <w:rFonts w:ascii="Times New Roman" w:eastAsia="Times New Roman" w:hAnsi="Times New Roman" w:cs="Times New Roman"/>
          <w:i/>
          <w:color w:val="000000"/>
        </w:rPr>
        <w:t>Neuroendocrinology</w:t>
      </w:r>
      <w:r>
        <w:rPr>
          <w:rFonts w:ascii="Times New Roman" w:eastAsia="Times New Roman" w:hAnsi="Times New Roman" w:cs="Times New Roman"/>
          <w:color w:val="000000"/>
        </w:rPr>
        <w:t xml:space="preserve"> 2021; </w:t>
      </w:r>
      <w:r>
        <w:rPr>
          <w:rFonts w:ascii="Times New Roman" w:eastAsia="Times New Roman" w:hAnsi="Times New Roman" w:cs="Times New Roman"/>
          <w:b/>
          <w:color w:val="000000"/>
        </w:rPr>
        <w:t>111</w:t>
      </w:r>
      <w:r>
        <w:rPr>
          <w:rFonts w:ascii="Times New Roman" w:eastAsia="Times New Roman" w:hAnsi="Times New Roman" w:cs="Times New Roman"/>
          <w:color w:val="000000"/>
        </w:rPr>
        <w:t>(6): 586-98.</w:t>
      </w:r>
    </w:p>
    <w:p w14:paraId="000000FB" w14:textId="77777777" w:rsidR="00433217" w:rsidRDefault="00CA652C">
      <w:pPr>
        <w:pBdr>
          <w:top w:val="nil"/>
          <w:left w:val="nil"/>
          <w:bottom w:val="nil"/>
          <w:right w:val="nil"/>
          <w:between w:val="nil"/>
        </w:pBdr>
        <w:spacing w:after="0" w:line="480" w:lineRule="auto"/>
        <w:rPr>
          <w:rFonts w:ascii="Times New Roman" w:eastAsia="Times New Roman" w:hAnsi="Times New Roman" w:cs="Times New Roman"/>
          <w:color w:val="000000"/>
        </w:rPr>
      </w:pPr>
      <w:r>
        <w:rPr>
          <w:rFonts w:ascii="Times New Roman" w:eastAsia="Times New Roman" w:hAnsi="Times New Roman" w:cs="Times New Roman"/>
        </w:rPr>
        <w:t>62</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Filosso PL, Kidd M, Roffinella M, et al. The utility of blood neuroendocrine gene transcript measurement in the diagnosis of bronchopulmonary neuroendocrine tumours and as a tool to evaluate surgical resection and disease progression. </w:t>
      </w:r>
      <w:r>
        <w:rPr>
          <w:rFonts w:ascii="Times New Roman" w:eastAsia="Times New Roman" w:hAnsi="Times New Roman" w:cs="Times New Roman"/>
          <w:i/>
          <w:color w:val="000000"/>
        </w:rPr>
        <w:t>Eur J Cardiothorac Surg</w:t>
      </w:r>
      <w:r>
        <w:rPr>
          <w:rFonts w:ascii="Times New Roman" w:eastAsia="Times New Roman" w:hAnsi="Times New Roman" w:cs="Times New Roman"/>
          <w:color w:val="000000"/>
        </w:rPr>
        <w:t xml:space="preserve"> 2018; </w:t>
      </w:r>
      <w:r>
        <w:rPr>
          <w:rFonts w:ascii="Times New Roman" w:eastAsia="Times New Roman" w:hAnsi="Times New Roman" w:cs="Times New Roman"/>
          <w:b/>
          <w:color w:val="000000"/>
        </w:rPr>
        <w:t>53</w:t>
      </w:r>
      <w:r>
        <w:rPr>
          <w:rFonts w:ascii="Times New Roman" w:eastAsia="Times New Roman" w:hAnsi="Times New Roman" w:cs="Times New Roman"/>
          <w:color w:val="000000"/>
        </w:rPr>
        <w:t>(3): 631-9.</w:t>
      </w:r>
    </w:p>
    <w:p w14:paraId="000000FC" w14:textId="77777777" w:rsidR="00433217" w:rsidRDefault="00CA652C">
      <w:pPr>
        <w:pBdr>
          <w:top w:val="nil"/>
          <w:left w:val="nil"/>
          <w:bottom w:val="nil"/>
          <w:right w:val="nil"/>
          <w:between w:val="nil"/>
        </w:pBdr>
        <w:spacing w:line="480" w:lineRule="auto"/>
        <w:rPr>
          <w:rFonts w:ascii="Times New Roman" w:eastAsia="Times New Roman" w:hAnsi="Times New Roman" w:cs="Times New Roman"/>
          <w:color w:val="000000"/>
        </w:rPr>
      </w:pPr>
      <w:r>
        <w:rPr>
          <w:rFonts w:ascii="Times New Roman" w:eastAsia="Times New Roman" w:hAnsi="Times New Roman" w:cs="Times New Roman"/>
        </w:rPr>
        <w:t>63</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Clift AK, Hagness M, Lehmann K, et al. Transplantation for metastatic liver disease. </w:t>
      </w:r>
      <w:r>
        <w:rPr>
          <w:rFonts w:ascii="Times New Roman" w:eastAsia="Times New Roman" w:hAnsi="Times New Roman" w:cs="Times New Roman"/>
          <w:i/>
          <w:color w:val="000000"/>
        </w:rPr>
        <w:t>J Hepatol</w:t>
      </w:r>
      <w:r>
        <w:rPr>
          <w:rFonts w:ascii="Times New Roman" w:eastAsia="Times New Roman" w:hAnsi="Times New Roman" w:cs="Times New Roman"/>
          <w:color w:val="000000"/>
        </w:rPr>
        <w:t xml:space="preserve"> 2023; </w:t>
      </w:r>
      <w:r>
        <w:rPr>
          <w:rFonts w:ascii="Times New Roman" w:eastAsia="Times New Roman" w:hAnsi="Times New Roman" w:cs="Times New Roman"/>
          <w:b/>
          <w:color w:val="000000"/>
        </w:rPr>
        <w:t>78</w:t>
      </w:r>
      <w:r>
        <w:rPr>
          <w:rFonts w:ascii="Times New Roman" w:eastAsia="Times New Roman" w:hAnsi="Times New Roman" w:cs="Times New Roman"/>
          <w:color w:val="000000"/>
        </w:rPr>
        <w:t>(6): 1137-46.</w:t>
      </w:r>
    </w:p>
    <w:p w14:paraId="000000FD" w14:textId="77777777" w:rsidR="00433217" w:rsidRDefault="00433217">
      <w:pPr>
        <w:pBdr>
          <w:top w:val="nil"/>
          <w:left w:val="nil"/>
          <w:bottom w:val="nil"/>
          <w:right w:val="nil"/>
          <w:between w:val="nil"/>
        </w:pBdr>
        <w:spacing w:line="480" w:lineRule="auto"/>
        <w:rPr>
          <w:rFonts w:ascii="Times New Roman" w:eastAsia="Times New Roman" w:hAnsi="Times New Roman" w:cs="Times New Roman"/>
        </w:rPr>
      </w:pPr>
    </w:p>
    <w:p w14:paraId="000000FE" w14:textId="77777777" w:rsidR="00433217" w:rsidRDefault="00433217">
      <w:pPr>
        <w:spacing w:line="480" w:lineRule="auto"/>
        <w:rPr>
          <w:rFonts w:ascii="Times New Roman" w:eastAsia="Times New Roman" w:hAnsi="Times New Roman" w:cs="Times New Roman"/>
        </w:rPr>
      </w:pPr>
    </w:p>
    <w:p w14:paraId="000000FF" w14:textId="77777777" w:rsidR="00433217" w:rsidRDefault="00433217">
      <w:pPr>
        <w:spacing w:line="480" w:lineRule="auto"/>
        <w:rPr>
          <w:rFonts w:ascii="Times New Roman" w:eastAsia="Times New Roman" w:hAnsi="Times New Roman" w:cs="Times New Roman"/>
        </w:rPr>
      </w:pPr>
    </w:p>
    <w:p w14:paraId="00000100" w14:textId="77777777" w:rsidR="00433217" w:rsidRDefault="00433217">
      <w:pPr>
        <w:spacing w:line="480" w:lineRule="auto"/>
        <w:rPr>
          <w:rFonts w:ascii="Times New Roman" w:eastAsia="Times New Roman" w:hAnsi="Times New Roman" w:cs="Times New Roman"/>
        </w:rPr>
      </w:pPr>
    </w:p>
    <w:p w14:paraId="00000101" w14:textId="77777777" w:rsidR="00433217" w:rsidRDefault="00433217">
      <w:pPr>
        <w:spacing w:line="480" w:lineRule="auto"/>
        <w:rPr>
          <w:rFonts w:ascii="Times New Roman" w:eastAsia="Times New Roman" w:hAnsi="Times New Roman" w:cs="Times New Roman"/>
        </w:rPr>
      </w:pPr>
    </w:p>
    <w:p w14:paraId="00000102" w14:textId="77777777" w:rsidR="00433217" w:rsidRDefault="00CA652C">
      <w:pPr>
        <w:spacing w:line="480" w:lineRule="auto"/>
        <w:rPr>
          <w:rFonts w:ascii="Times New Roman" w:eastAsia="Times New Roman" w:hAnsi="Times New Roman" w:cs="Times New Roman"/>
        </w:rPr>
      </w:pPr>
      <w:r>
        <w:rPr>
          <w:rFonts w:ascii="Times New Roman" w:eastAsia="Times New Roman" w:hAnsi="Times New Roman" w:cs="Times New Roman"/>
          <w:b/>
        </w:rPr>
        <w:t xml:space="preserve">Figure legends </w:t>
      </w:r>
    </w:p>
    <w:p w14:paraId="00000103" w14:textId="77777777" w:rsidR="00433217" w:rsidRDefault="00CA652C">
      <w:pPr>
        <w:spacing w:line="480" w:lineRule="auto"/>
        <w:rPr>
          <w:rFonts w:ascii="Times New Roman" w:eastAsia="Times New Roman" w:hAnsi="Times New Roman" w:cs="Times New Roman"/>
        </w:rPr>
      </w:pPr>
      <w:r>
        <w:rPr>
          <w:rFonts w:ascii="Times New Roman" w:eastAsia="Times New Roman" w:hAnsi="Times New Roman" w:cs="Times New Roman"/>
        </w:rPr>
        <w:lastRenderedPageBreak/>
        <w:t xml:space="preserve">Figure 1. Trends in the use of different treatment modalities by each decade-specific period during the study. </w:t>
      </w:r>
    </w:p>
    <w:p w14:paraId="00000104" w14:textId="77777777" w:rsidR="00433217" w:rsidRDefault="00CA652C">
      <w:pPr>
        <w:spacing w:line="480" w:lineRule="auto"/>
        <w:rPr>
          <w:rFonts w:ascii="Times New Roman" w:eastAsia="Times New Roman" w:hAnsi="Times New Roman" w:cs="Times New Roman"/>
        </w:rPr>
      </w:pPr>
      <w:r>
        <w:rPr>
          <w:rFonts w:ascii="Times New Roman" w:eastAsia="Times New Roman" w:hAnsi="Times New Roman" w:cs="Times New Roman"/>
        </w:rPr>
        <w:t xml:space="preserve">Figure 2. Kaplan-Meier survival curve demonstrating the overall survival up to 10 years for all individuals in the cohort studied. CI = confidence interval. </w:t>
      </w:r>
    </w:p>
    <w:p w14:paraId="00000105" w14:textId="77777777" w:rsidR="00433217" w:rsidRDefault="00CA652C">
      <w:pPr>
        <w:spacing w:line="480" w:lineRule="auto"/>
        <w:rPr>
          <w:rFonts w:ascii="Times New Roman" w:eastAsia="Times New Roman" w:hAnsi="Times New Roman" w:cs="Times New Roman"/>
        </w:rPr>
      </w:pPr>
      <w:r>
        <w:rPr>
          <w:rFonts w:ascii="Times New Roman" w:eastAsia="Times New Roman" w:hAnsi="Times New Roman" w:cs="Times New Roman"/>
        </w:rPr>
        <w:t xml:space="preserve">Figure 3. Kaplan-Meier survival curves demonstrating the overall survival for decade-specific periods in the study. For this analysis, where applicable, participants had their follow-up truncated to the end of the period in which they entered the study cohort. CI = confidence interval. </w:t>
      </w:r>
    </w:p>
    <w:p w14:paraId="00000106" w14:textId="77777777" w:rsidR="00433217" w:rsidRDefault="00CA652C">
      <w:pPr>
        <w:spacing w:line="480" w:lineRule="auto"/>
        <w:rPr>
          <w:rFonts w:ascii="Times New Roman" w:eastAsia="Times New Roman" w:hAnsi="Times New Roman" w:cs="Times New Roman"/>
        </w:rPr>
      </w:pPr>
      <w:r>
        <w:rPr>
          <w:rFonts w:ascii="Times New Roman" w:eastAsia="Times New Roman" w:hAnsi="Times New Roman" w:cs="Times New Roman"/>
        </w:rPr>
        <w:t xml:space="preserve">Figure 4. The treatment recommendations above are based on combinations of individual randomised clinical trials, and/or current society guidelines. *= everolimus indicated for pancreatic primaries, ^ = neuroendocrine carcinoma based on being grade 3 but with poor/lack of differentiation. NEN = neuroendocrine neoplasm, NET = neuroendocrine tumour, NEC = neuroendocrine carcinoma, G = grade, PRRT = peptide receptor radionuclide therapy, TARE = transarterial radioembolisation, LTx = liver transplantation, SSA </w:t>
      </w:r>
      <w:r>
        <w:rPr>
          <w:rFonts w:ascii="Times New Roman" w:eastAsia="Times New Roman" w:hAnsi="Times New Roman" w:cs="Times New Roman"/>
        </w:rPr>
        <w:t xml:space="preserve">= somatostatin analogues, LM = liver metastases, EHD = extrahepatic disease, STZ = streptozotocin, CAPTEM = capecitabine and temozolomide chemotherapy. </w:t>
      </w:r>
    </w:p>
    <w:p w14:paraId="00000107" w14:textId="77777777" w:rsidR="00433217" w:rsidRDefault="00433217">
      <w:pPr>
        <w:spacing w:line="480" w:lineRule="auto"/>
        <w:rPr>
          <w:rFonts w:ascii="Times New Roman" w:eastAsia="Times New Roman" w:hAnsi="Times New Roman" w:cs="Times New Roman"/>
        </w:rPr>
      </w:pPr>
    </w:p>
    <w:sectPr w:rsidR="00433217">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A6A4AA" w14:textId="77777777" w:rsidR="00CA652C" w:rsidRDefault="00CA652C">
      <w:pPr>
        <w:spacing w:after="0" w:line="240" w:lineRule="auto"/>
      </w:pPr>
      <w:r>
        <w:separator/>
      </w:r>
    </w:p>
  </w:endnote>
  <w:endnote w:type="continuationSeparator" w:id="0">
    <w:p w14:paraId="5403CA61" w14:textId="77777777" w:rsidR="00CA652C" w:rsidRDefault="00CA6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0000000000000000000"/>
    <w:charset w:val="00"/>
    <w:family w:val="roman"/>
    <w:notTrueType/>
    <w:pitch w:val="default"/>
  </w:font>
  <w:font w:name="Georgia">
    <w:panose1 w:val="02040502050405020303"/>
    <w:charset w:val="00"/>
    <w:family w:val="auto"/>
    <w:pitch w:val="default"/>
  </w:font>
  <w:font w:name="Gungsuh">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BFA752" w14:textId="77777777" w:rsidR="00CA652C" w:rsidRDefault="00CA652C">
      <w:pPr>
        <w:spacing w:after="0" w:line="240" w:lineRule="auto"/>
      </w:pPr>
      <w:r>
        <w:separator/>
      </w:r>
    </w:p>
  </w:footnote>
  <w:footnote w:type="continuationSeparator" w:id="0">
    <w:p w14:paraId="4C2430D6" w14:textId="77777777" w:rsidR="00CA652C" w:rsidRDefault="00CA65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08" w14:textId="141E161D" w:rsidR="00433217" w:rsidRDefault="00CA652C">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109" w14:textId="77777777" w:rsidR="00433217" w:rsidRDefault="00433217">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217"/>
    <w:rsid w:val="00264208"/>
    <w:rsid w:val="00433217"/>
    <w:rsid w:val="00CA6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C4C953-0DFD-4460-B372-D87DBD62D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4E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B734E8"/>
    <w:rPr>
      <w:color w:val="0000FF"/>
      <w:u w:val="single"/>
    </w:rPr>
  </w:style>
  <w:style w:type="character" w:styleId="CommentReference">
    <w:name w:val="annotation reference"/>
    <w:basedOn w:val="DefaultParagraphFont"/>
    <w:uiPriority w:val="99"/>
    <w:semiHidden/>
    <w:unhideWhenUsed/>
    <w:rsid w:val="00B734E8"/>
    <w:rPr>
      <w:sz w:val="16"/>
      <w:szCs w:val="16"/>
    </w:rPr>
  </w:style>
  <w:style w:type="paragraph" w:styleId="CommentText">
    <w:name w:val="annotation text"/>
    <w:basedOn w:val="Normal"/>
    <w:link w:val="CommentTextChar"/>
    <w:uiPriority w:val="99"/>
    <w:unhideWhenUsed/>
    <w:rsid w:val="00B734E8"/>
    <w:pPr>
      <w:spacing w:line="240" w:lineRule="auto"/>
    </w:pPr>
    <w:rPr>
      <w:sz w:val="20"/>
      <w:szCs w:val="20"/>
    </w:rPr>
  </w:style>
  <w:style w:type="character" w:customStyle="1" w:styleId="CommentTextChar">
    <w:name w:val="Comment Text Char"/>
    <w:basedOn w:val="DefaultParagraphFont"/>
    <w:link w:val="CommentText"/>
    <w:uiPriority w:val="99"/>
    <w:rsid w:val="00B734E8"/>
    <w:rPr>
      <w:sz w:val="20"/>
      <w:szCs w:val="20"/>
    </w:rPr>
  </w:style>
  <w:style w:type="paragraph" w:styleId="BalloonText">
    <w:name w:val="Balloon Text"/>
    <w:basedOn w:val="Normal"/>
    <w:link w:val="BalloonTextChar"/>
    <w:uiPriority w:val="99"/>
    <w:semiHidden/>
    <w:unhideWhenUsed/>
    <w:rsid w:val="00B734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34E8"/>
    <w:rPr>
      <w:rFonts w:ascii="Segoe UI" w:hAnsi="Segoe UI" w:cs="Segoe UI"/>
      <w:sz w:val="18"/>
      <w:szCs w:val="18"/>
    </w:rPr>
  </w:style>
  <w:style w:type="paragraph" w:styleId="Header">
    <w:name w:val="header"/>
    <w:basedOn w:val="Normal"/>
    <w:link w:val="HeaderChar"/>
    <w:uiPriority w:val="99"/>
    <w:unhideWhenUsed/>
    <w:rsid w:val="00B734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4E8"/>
  </w:style>
  <w:style w:type="paragraph" w:styleId="Footer">
    <w:name w:val="footer"/>
    <w:basedOn w:val="Normal"/>
    <w:link w:val="FooterChar"/>
    <w:uiPriority w:val="99"/>
    <w:unhideWhenUsed/>
    <w:rsid w:val="00B734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4E8"/>
  </w:style>
  <w:style w:type="paragraph" w:customStyle="1" w:styleId="skip-numbering">
    <w:name w:val="skip-numbering"/>
    <w:basedOn w:val="Normal"/>
    <w:rsid w:val="00B734E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B734E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B734E8"/>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B734E8"/>
    <w:rPr>
      <w:rFonts w:ascii="Calibri" w:hAnsi="Calibri" w:cs="Calibri"/>
      <w:noProof/>
      <w:lang w:val="en-US"/>
    </w:rPr>
  </w:style>
  <w:style w:type="paragraph" w:customStyle="1" w:styleId="EndNoteBibliography">
    <w:name w:val="EndNote Bibliography"/>
    <w:basedOn w:val="Normal"/>
    <w:link w:val="EndNoteBibliographyChar"/>
    <w:rsid w:val="00B734E8"/>
    <w:pPr>
      <w:spacing w:line="240" w:lineRule="auto"/>
    </w:pPr>
    <w:rPr>
      <w:noProof/>
      <w:lang w:val="en-US"/>
    </w:rPr>
  </w:style>
  <w:style w:type="character" w:customStyle="1" w:styleId="EndNoteBibliographyChar">
    <w:name w:val="EndNote Bibliography Char"/>
    <w:basedOn w:val="DefaultParagraphFont"/>
    <w:link w:val="EndNoteBibliography"/>
    <w:rsid w:val="00B734E8"/>
    <w:rPr>
      <w:rFonts w:ascii="Calibri" w:hAnsi="Calibri" w:cs="Calibri"/>
      <w:noProof/>
      <w:lang w:val="en-US"/>
    </w:rPr>
  </w:style>
  <w:style w:type="character" w:styleId="PlaceholderText">
    <w:name w:val="Placeholder Text"/>
    <w:basedOn w:val="DefaultParagraphFont"/>
    <w:uiPriority w:val="99"/>
    <w:semiHidden/>
    <w:rsid w:val="00B734E8"/>
    <w:rPr>
      <w:color w:val="666666"/>
    </w:rPr>
  </w:style>
  <w:style w:type="paragraph" w:styleId="Revision">
    <w:name w:val="Revision"/>
    <w:hidden/>
    <w:uiPriority w:val="99"/>
    <w:semiHidden/>
    <w:rsid w:val="00B734E8"/>
    <w:pPr>
      <w:spacing w:after="0" w:line="240" w:lineRule="auto"/>
    </w:pPr>
  </w:style>
  <w:style w:type="paragraph" w:styleId="CommentSubject">
    <w:name w:val="annotation subject"/>
    <w:basedOn w:val="CommentText"/>
    <w:next w:val="CommentText"/>
    <w:link w:val="CommentSubjectChar"/>
    <w:uiPriority w:val="99"/>
    <w:semiHidden/>
    <w:unhideWhenUsed/>
    <w:rsid w:val="00B734E8"/>
    <w:rPr>
      <w:b/>
      <w:bCs/>
    </w:rPr>
  </w:style>
  <w:style w:type="character" w:customStyle="1" w:styleId="CommentSubjectChar">
    <w:name w:val="Comment Subject Char"/>
    <w:basedOn w:val="CommentTextChar"/>
    <w:link w:val="CommentSubject"/>
    <w:uiPriority w:val="99"/>
    <w:semiHidden/>
    <w:rsid w:val="00B734E8"/>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frilling@imperial.ac.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hTTXA2+ESo6rwuCARtcGuNHPA==">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yCGguZ2pkZ3hzMgloLjMwajB6bGw4AHIhMTVhRFZtYnM4bUY3S2lKaTdRb0F4M28wY29JSG8xUVN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8560</Words>
  <Characters>48797</Characters>
  <Application>Microsoft Office Word</Application>
  <DocSecurity>0</DocSecurity>
  <Lines>406</Lines>
  <Paragraphs>114</Paragraphs>
  <ScaleCrop>false</ScaleCrop>
  <Company/>
  <LinksUpToDate>false</LinksUpToDate>
  <CharactersWithSpaces>57243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Clift</dc:creator>
  <cp:lastModifiedBy>Frilling, Andrea</cp:lastModifiedBy>
  <cp:revision>2</cp:revision>
  <dcterms:created xsi:type="dcterms:W3CDTF">2025-01-02T18:26:00Z</dcterms:created>
  <dcterms:modified xsi:type="dcterms:W3CDTF">2025-01-02T18:26:00Z</dcterms:modified>
</cp:coreProperties>
</file>