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1A5CFA" w14:textId="77777777" w:rsidR="00063E33" w:rsidRPr="00416DAE" w:rsidRDefault="00063E33" w:rsidP="00063E33">
      <w:pPr>
        <w:spacing w:line="480" w:lineRule="auto"/>
        <w:jc w:val="center"/>
        <w:rPr>
          <w:rFonts w:ascii="Arial" w:hAnsi="Arial" w:cs="Arial"/>
          <w:b/>
          <w:bCs/>
          <w:color w:val="000000" w:themeColor="text1"/>
          <w:u w:val="single"/>
          <w:shd w:val="clear" w:color="auto" w:fill="FFFFFF"/>
        </w:rPr>
      </w:pPr>
      <w:r w:rsidRPr="00416DAE">
        <w:rPr>
          <w:rFonts w:ascii="Arial" w:hAnsi="Arial" w:cs="Arial"/>
          <w:b/>
          <w:bCs/>
          <w:color w:val="000000" w:themeColor="text1"/>
          <w:u w:val="single"/>
          <w:shd w:val="clear" w:color="auto" w:fill="FFFFFF"/>
        </w:rPr>
        <w:t xml:space="preserve">Systematic review and meta-analysis of </w:t>
      </w:r>
      <w:r>
        <w:rPr>
          <w:rFonts w:ascii="Arial" w:hAnsi="Arial" w:cs="Arial"/>
          <w:b/>
          <w:bCs/>
          <w:color w:val="000000" w:themeColor="text1"/>
          <w:u w:val="single"/>
          <w:shd w:val="clear" w:color="auto" w:fill="FFFFFF"/>
        </w:rPr>
        <w:t>the additional benefit of pharmacological thromboprophylaxis</w:t>
      </w:r>
      <w:r w:rsidRPr="00416DAE">
        <w:rPr>
          <w:rFonts w:ascii="Arial" w:hAnsi="Arial" w:cs="Arial"/>
          <w:b/>
          <w:bCs/>
          <w:color w:val="000000" w:themeColor="text1"/>
          <w:u w:val="single"/>
          <w:shd w:val="clear" w:color="auto" w:fill="FFFFFF"/>
        </w:rPr>
        <w:t xml:space="preserve"> </w:t>
      </w:r>
      <w:r>
        <w:rPr>
          <w:rFonts w:ascii="Arial" w:hAnsi="Arial" w:cs="Arial"/>
          <w:b/>
          <w:bCs/>
          <w:color w:val="000000" w:themeColor="text1"/>
          <w:u w:val="single"/>
          <w:shd w:val="clear" w:color="auto" w:fill="FFFFFF"/>
        </w:rPr>
        <w:t>for</w:t>
      </w:r>
      <w:r w:rsidRPr="00416DAE">
        <w:rPr>
          <w:rFonts w:ascii="Arial" w:hAnsi="Arial" w:cs="Arial"/>
          <w:b/>
          <w:bCs/>
          <w:color w:val="000000" w:themeColor="text1"/>
          <w:u w:val="single"/>
          <w:shd w:val="clear" w:color="auto" w:fill="FFFFFF"/>
        </w:rPr>
        <w:t xml:space="preserve"> endovenous varicose vein </w:t>
      </w:r>
      <w:r>
        <w:rPr>
          <w:rFonts w:ascii="Arial" w:hAnsi="Arial" w:cs="Arial"/>
          <w:b/>
          <w:bCs/>
          <w:color w:val="000000" w:themeColor="text1"/>
          <w:u w:val="single"/>
          <w:shd w:val="clear" w:color="auto" w:fill="FFFFFF"/>
        </w:rPr>
        <w:t>interventions</w:t>
      </w:r>
    </w:p>
    <w:p w14:paraId="0B6DB7F1" w14:textId="77777777" w:rsidR="00063E33" w:rsidRPr="00416DAE" w:rsidRDefault="00063E33" w:rsidP="00063E33">
      <w:pPr>
        <w:spacing w:line="480" w:lineRule="auto"/>
        <w:jc w:val="both"/>
        <w:rPr>
          <w:rFonts w:ascii="Arial" w:hAnsi="Arial" w:cs="Arial"/>
          <w:b/>
          <w:bCs/>
          <w:color w:val="000000" w:themeColor="text1"/>
          <w:u w:val="single"/>
          <w:shd w:val="clear" w:color="auto" w:fill="FFFFFF"/>
        </w:rPr>
      </w:pPr>
    </w:p>
    <w:p w14:paraId="0B365938" w14:textId="77777777" w:rsidR="00063E33" w:rsidRPr="00416DAE" w:rsidRDefault="00063E33" w:rsidP="00063E33">
      <w:pPr>
        <w:spacing w:line="480" w:lineRule="auto"/>
        <w:jc w:val="both"/>
        <w:rPr>
          <w:rFonts w:ascii="Arial" w:hAnsi="Arial" w:cs="Arial"/>
          <w:color w:val="000000" w:themeColor="text1"/>
          <w:shd w:val="clear" w:color="auto" w:fill="FFFFFF"/>
        </w:rPr>
      </w:pPr>
      <w:r w:rsidRPr="00416DAE">
        <w:rPr>
          <w:rFonts w:ascii="Arial" w:hAnsi="Arial" w:cs="Arial"/>
          <w:color w:val="000000" w:themeColor="text1"/>
          <w:shd w:val="clear" w:color="auto" w:fill="FFFFFF"/>
        </w:rPr>
        <w:t>B</w:t>
      </w:r>
      <w:r>
        <w:rPr>
          <w:rFonts w:ascii="Arial" w:hAnsi="Arial" w:cs="Arial"/>
          <w:color w:val="000000" w:themeColor="text1"/>
          <w:shd w:val="clear" w:color="auto" w:fill="FFFFFF"/>
        </w:rPr>
        <w:t xml:space="preserve">enedict </w:t>
      </w:r>
      <w:r w:rsidRPr="00416DAE">
        <w:rPr>
          <w:rFonts w:ascii="Arial" w:hAnsi="Arial" w:cs="Arial"/>
          <w:color w:val="000000" w:themeColor="text1"/>
          <w:shd w:val="clear" w:color="auto" w:fill="FFFFFF"/>
        </w:rPr>
        <w:t>RH Turner</w:t>
      </w:r>
      <w:r>
        <w:rPr>
          <w:rFonts w:ascii="Arial" w:hAnsi="Arial" w:cs="Arial"/>
          <w:color w:val="000000" w:themeColor="text1"/>
          <w:shd w:val="clear" w:color="auto" w:fill="FFFFFF"/>
        </w:rPr>
        <w:t xml:space="preserve"> </w:t>
      </w:r>
      <w:proofErr w:type="spellStart"/>
      <w:r>
        <w:rPr>
          <w:rFonts w:ascii="Arial" w:hAnsi="Arial" w:cs="Arial"/>
          <w:color w:val="000000" w:themeColor="text1"/>
          <w:shd w:val="clear" w:color="auto" w:fill="FFFFFF"/>
        </w:rPr>
        <w:t>MBChB</w:t>
      </w:r>
      <w:r w:rsidRPr="00416DAE">
        <w:rPr>
          <w:rFonts w:ascii="Arial" w:hAnsi="Arial" w:cs="Arial"/>
          <w:color w:val="000000" w:themeColor="text1"/>
          <w:shd w:val="clear" w:color="auto" w:fill="FFFFFF"/>
          <w:vertAlign w:val="superscript"/>
        </w:rPr>
        <w:t>a</w:t>
      </w:r>
      <w:proofErr w:type="spellEnd"/>
      <w:r w:rsidRPr="00416DAE">
        <w:rPr>
          <w:rFonts w:ascii="Arial" w:hAnsi="Arial" w:cs="Arial"/>
          <w:color w:val="000000" w:themeColor="text1"/>
          <w:shd w:val="clear" w:color="auto" w:fill="FFFFFF"/>
        </w:rPr>
        <w:t>, M</w:t>
      </w:r>
      <w:r>
        <w:rPr>
          <w:rFonts w:ascii="Arial" w:hAnsi="Arial" w:cs="Arial"/>
          <w:color w:val="000000" w:themeColor="text1"/>
          <w:shd w:val="clear" w:color="auto" w:fill="FFFFFF"/>
        </w:rPr>
        <w:t>atthew</w:t>
      </w:r>
      <w:r w:rsidRPr="00416DAE">
        <w:rPr>
          <w:rFonts w:ascii="Arial" w:hAnsi="Arial" w:cs="Arial"/>
          <w:color w:val="000000" w:themeColor="text1"/>
          <w:shd w:val="clear" w:color="auto" w:fill="FFFFFF"/>
        </w:rPr>
        <w:t xml:space="preserve"> Machin</w:t>
      </w:r>
      <w:r>
        <w:rPr>
          <w:rFonts w:ascii="Arial" w:hAnsi="Arial" w:cs="Arial"/>
          <w:color w:val="000000" w:themeColor="text1"/>
          <w:shd w:val="clear" w:color="auto" w:fill="FFFFFF"/>
        </w:rPr>
        <w:t xml:space="preserve"> </w:t>
      </w:r>
      <w:proofErr w:type="spellStart"/>
      <w:r>
        <w:rPr>
          <w:rFonts w:ascii="Arial" w:hAnsi="Arial" w:cs="Arial"/>
          <w:color w:val="000000" w:themeColor="text1"/>
          <w:shd w:val="clear" w:color="auto" w:fill="FFFFFF"/>
        </w:rPr>
        <w:t>MBBS</w:t>
      </w:r>
      <w:r w:rsidRPr="00416DAE">
        <w:rPr>
          <w:rFonts w:ascii="Arial" w:hAnsi="Arial" w:cs="Arial"/>
          <w:color w:val="000000" w:themeColor="text1"/>
          <w:shd w:val="clear" w:color="auto" w:fill="FFFFFF"/>
          <w:vertAlign w:val="superscript"/>
        </w:rPr>
        <w:t>a</w:t>
      </w:r>
      <w:proofErr w:type="spellEnd"/>
      <w:r w:rsidRPr="00416DAE">
        <w:rPr>
          <w:rFonts w:ascii="Arial" w:hAnsi="Arial" w:cs="Arial"/>
          <w:color w:val="000000" w:themeColor="text1"/>
          <w:shd w:val="clear" w:color="auto" w:fill="FFFFFF"/>
        </w:rPr>
        <w:t>, S</w:t>
      </w:r>
      <w:r>
        <w:rPr>
          <w:rFonts w:ascii="Arial" w:hAnsi="Arial" w:cs="Arial"/>
          <w:color w:val="000000" w:themeColor="text1"/>
          <w:shd w:val="clear" w:color="auto" w:fill="FFFFFF"/>
        </w:rPr>
        <w:t>ara</w:t>
      </w:r>
      <w:r w:rsidRPr="00416DAE">
        <w:rPr>
          <w:rFonts w:ascii="Arial" w:hAnsi="Arial" w:cs="Arial"/>
          <w:color w:val="000000" w:themeColor="text1"/>
          <w:shd w:val="clear" w:color="auto" w:fill="FFFFFF"/>
        </w:rPr>
        <w:t xml:space="preserve"> </w:t>
      </w:r>
      <w:proofErr w:type="spellStart"/>
      <w:r w:rsidRPr="00416DAE">
        <w:rPr>
          <w:rFonts w:ascii="Arial" w:hAnsi="Arial" w:cs="Arial"/>
          <w:color w:val="000000" w:themeColor="text1"/>
          <w:shd w:val="clear" w:color="auto" w:fill="FFFFFF"/>
        </w:rPr>
        <w:t>Jasionowska</w:t>
      </w:r>
      <w:proofErr w:type="spellEnd"/>
      <w:r>
        <w:rPr>
          <w:rFonts w:ascii="Arial" w:hAnsi="Arial" w:cs="Arial"/>
          <w:color w:val="000000" w:themeColor="text1"/>
          <w:shd w:val="clear" w:color="auto" w:fill="FFFFFF"/>
        </w:rPr>
        <w:t xml:space="preserve"> </w:t>
      </w:r>
      <w:proofErr w:type="spellStart"/>
      <w:r>
        <w:rPr>
          <w:rFonts w:ascii="Arial" w:hAnsi="Arial" w:cs="Arial"/>
          <w:color w:val="000000" w:themeColor="text1"/>
          <w:shd w:val="clear" w:color="auto" w:fill="FFFFFF"/>
        </w:rPr>
        <w:t>MBBS</w:t>
      </w:r>
      <w:r w:rsidRPr="00416DAE">
        <w:rPr>
          <w:rFonts w:ascii="Arial" w:hAnsi="Arial" w:cs="Arial"/>
          <w:color w:val="000000" w:themeColor="text1"/>
          <w:shd w:val="clear" w:color="auto" w:fill="FFFFFF"/>
          <w:vertAlign w:val="superscript"/>
        </w:rPr>
        <w:t>a</w:t>
      </w:r>
      <w:proofErr w:type="spellEnd"/>
      <w:r w:rsidRPr="00416DAE">
        <w:rPr>
          <w:rFonts w:ascii="Arial" w:hAnsi="Arial" w:cs="Arial"/>
          <w:color w:val="000000" w:themeColor="text1"/>
          <w:shd w:val="clear" w:color="auto" w:fill="FFFFFF"/>
        </w:rPr>
        <w:t xml:space="preserve">, </w:t>
      </w:r>
      <w:proofErr w:type="spellStart"/>
      <w:r>
        <w:rPr>
          <w:rFonts w:ascii="Arial" w:hAnsi="Arial" w:cs="Arial"/>
          <w:color w:val="000000" w:themeColor="text1"/>
          <w:shd w:val="clear" w:color="auto" w:fill="FFFFFF"/>
        </w:rPr>
        <w:t>Safa</w:t>
      </w:r>
      <w:proofErr w:type="spellEnd"/>
      <w:r>
        <w:rPr>
          <w:rFonts w:ascii="Arial" w:hAnsi="Arial" w:cs="Arial"/>
          <w:color w:val="000000" w:themeColor="text1"/>
          <w:shd w:val="clear" w:color="auto" w:fill="FFFFFF"/>
        </w:rPr>
        <w:t xml:space="preserve"> Salim </w:t>
      </w:r>
      <w:proofErr w:type="spellStart"/>
      <w:r>
        <w:rPr>
          <w:rFonts w:ascii="Arial" w:hAnsi="Arial" w:cs="Arial"/>
          <w:color w:val="000000" w:themeColor="text1"/>
          <w:shd w:val="clear" w:color="auto" w:fill="FFFFFF"/>
        </w:rPr>
        <w:t>MBBS</w:t>
      </w:r>
      <w:r w:rsidRPr="00416DAE">
        <w:rPr>
          <w:rFonts w:ascii="Arial" w:hAnsi="Arial" w:cs="Arial"/>
          <w:color w:val="000000" w:themeColor="text1"/>
          <w:shd w:val="clear" w:color="auto" w:fill="FFFFFF"/>
          <w:vertAlign w:val="superscript"/>
        </w:rPr>
        <w:t>a</w:t>
      </w:r>
      <w:proofErr w:type="spellEnd"/>
      <w:r>
        <w:rPr>
          <w:rFonts w:ascii="Arial" w:hAnsi="Arial" w:cs="Arial"/>
          <w:color w:val="000000" w:themeColor="text1"/>
          <w:shd w:val="clear" w:color="auto" w:fill="FFFFFF"/>
        </w:rPr>
        <w:t xml:space="preserve">, Sarah </w:t>
      </w:r>
      <w:proofErr w:type="spellStart"/>
      <w:r>
        <w:rPr>
          <w:rFonts w:ascii="Arial" w:hAnsi="Arial" w:cs="Arial"/>
          <w:color w:val="000000" w:themeColor="text1"/>
          <w:shd w:val="clear" w:color="auto" w:fill="FFFFFF"/>
        </w:rPr>
        <w:t>Onida</w:t>
      </w:r>
      <w:proofErr w:type="spellEnd"/>
      <w:r>
        <w:rPr>
          <w:rFonts w:ascii="Arial" w:hAnsi="Arial" w:cs="Arial"/>
          <w:color w:val="000000" w:themeColor="text1"/>
          <w:shd w:val="clear" w:color="auto" w:fill="FFFFFF"/>
        </w:rPr>
        <w:t xml:space="preserve"> </w:t>
      </w:r>
      <w:proofErr w:type="spellStart"/>
      <w:r>
        <w:rPr>
          <w:rFonts w:ascii="Arial" w:hAnsi="Arial" w:cs="Arial"/>
          <w:color w:val="000000" w:themeColor="text1"/>
          <w:shd w:val="clear" w:color="auto" w:fill="FFFFFF"/>
        </w:rPr>
        <w:t>PhD</w:t>
      </w:r>
      <w:r w:rsidRPr="00416DAE">
        <w:rPr>
          <w:rFonts w:ascii="Arial" w:hAnsi="Arial" w:cs="Arial"/>
          <w:color w:val="000000" w:themeColor="text1"/>
          <w:shd w:val="clear" w:color="auto" w:fill="FFFFFF"/>
          <w:vertAlign w:val="superscript"/>
        </w:rPr>
        <w:t>a</w:t>
      </w:r>
      <w:proofErr w:type="spellEnd"/>
      <w:r>
        <w:rPr>
          <w:rFonts w:ascii="Arial" w:hAnsi="Arial" w:cs="Arial"/>
          <w:color w:val="000000" w:themeColor="text1"/>
          <w:shd w:val="clear" w:color="auto" w:fill="FFFFFF"/>
        </w:rPr>
        <w:t xml:space="preserve">, </w:t>
      </w:r>
      <w:r w:rsidRPr="00416DAE">
        <w:rPr>
          <w:rFonts w:ascii="Arial" w:hAnsi="Arial" w:cs="Arial"/>
          <w:color w:val="000000" w:themeColor="text1"/>
          <w:shd w:val="clear" w:color="auto" w:fill="FFFFFF"/>
        </w:rPr>
        <w:t>J</w:t>
      </w:r>
      <w:r>
        <w:rPr>
          <w:rFonts w:ascii="Arial" w:hAnsi="Arial" w:cs="Arial"/>
          <w:color w:val="000000" w:themeColor="text1"/>
          <w:shd w:val="clear" w:color="auto" w:fill="FFFFFF"/>
        </w:rPr>
        <w:t>oseph</w:t>
      </w:r>
      <w:r w:rsidRPr="00416DAE">
        <w:rPr>
          <w:rFonts w:ascii="Arial" w:hAnsi="Arial" w:cs="Arial"/>
          <w:color w:val="000000" w:themeColor="text1"/>
          <w:shd w:val="clear" w:color="auto" w:fill="FFFFFF"/>
        </w:rPr>
        <w:t xml:space="preserve"> </w:t>
      </w:r>
      <w:proofErr w:type="spellStart"/>
      <w:r w:rsidRPr="00416DAE">
        <w:rPr>
          <w:rFonts w:ascii="Arial" w:hAnsi="Arial" w:cs="Arial"/>
          <w:color w:val="000000" w:themeColor="text1"/>
          <w:shd w:val="clear" w:color="auto" w:fill="FFFFFF"/>
        </w:rPr>
        <w:t>Shalhoub</w:t>
      </w:r>
      <w:proofErr w:type="spellEnd"/>
      <w:r>
        <w:rPr>
          <w:rFonts w:ascii="Arial" w:hAnsi="Arial" w:cs="Arial"/>
          <w:color w:val="000000" w:themeColor="text1"/>
          <w:shd w:val="clear" w:color="auto" w:fill="FFFFFF"/>
        </w:rPr>
        <w:t xml:space="preserve"> </w:t>
      </w:r>
      <w:proofErr w:type="spellStart"/>
      <w:r>
        <w:rPr>
          <w:rFonts w:ascii="Arial" w:hAnsi="Arial" w:cs="Arial"/>
          <w:color w:val="000000" w:themeColor="text1"/>
          <w:shd w:val="clear" w:color="auto" w:fill="FFFFFF"/>
        </w:rPr>
        <w:t>PhD</w:t>
      </w:r>
      <w:r w:rsidRPr="00416DAE">
        <w:rPr>
          <w:rFonts w:ascii="Arial" w:hAnsi="Arial" w:cs="Arial"/>
          <w:color w:val="000000" w:themeColor="text1"/>
          <w:shd w:val="clear" w:color="auto" w:fill="FFFFFF"/>
          <w:vertAlign w:val="superscript"/>
        </w:rPr>
        <w:t>a</w:t>
      </w:r>
      <w:proofErr w:type="spellEnd"/>
      <w:r w:rsidRPr="00416DAE">
        <w:rPr>
          <w:rFonts w:ascii="Arial" w:hAnsi="Arial" w:cs="Arial"/>
          <w:color w:val="000000" w:themeColor="text1"/>
          <w:shd w:val="clear" w:color="auto" w:fill="FFFFFF"/>
        </w:rPr>
        <w:t>, A</w:t>
      </w:r>
      <w:r>
        <w:rPr>
          <w:rFonts w:ascii="Arial" w:hAnsi="Arial" w:cs="Arial"/>
          <w:color w:val="000000" w:themeColor="text1"/>
          <w:shd w:val="clear" w:color="auto" w:fill="FFFFFF"/>
        </w:rPr>
        <w:t xml:space="preserve">lun </w:t>
      </w:r>
      <w:r w:rsidRPr="00416DAE">
        <w:rPr>
          <w:rFonts w:ascii="Arial" w:hAnsi="Arial" w:cs="Arial"/>
          <w:color w:val="000000" w:themeColor="text1"/>
          <w:shd w:val="clear" w:color="auto" w:fill="FFFFFF"/>
        </w:rPr>
        <w:t>H Davies</w:t>
      </w:r>
      <w:r>
        <w:rPr>
          <w:rFonts w:ascii="Arial" w:hAnsi="Arial" w:cs="Arial"/>
          <w:color w:val="000000" w:themeColor="text1"/>
          <w:shd w:val="clear" w:color="auto" w:fill="FFFFFF"/>
        </w:rPr>
        <w:t xml:space="preserve"> </w:t>
      </w:r>
      <w:proofErr w:type="spellStart"/>
      <w:r>
        <w:rPr>
          <w:rFonts w:ascii="Arial" w:hAnsi="Arial" w:cs="Arial"/>
          <w:color w:val="000000" w:themeColor="text1"/>
          <w:shd w:val="clear" w:color="auto" w:fill="FFFFFF"/>
        </w:rPr>
        <w:t>DSc</w:t>
      </w:r>
      <w:r w:rsidRPr="00416DAE">
        <w:rPr>
          <w:rFonts w:ascii="Arial" w:hAnsi="Arial" w:cs="Arial"/>
          <w:color w:val="000000" w:themeColor="text1"/>
          <w:shd w:val="clear" w:color="auto" w:fill="FFFFFF"/>
          <w:vertAlign w:val="superscript"/>
        </w:rPr>
        <w:t>a</w:t>
      </w:r>
      <w:proofErr w:type="spellEnd"/>
    </w:p>
    <w:p w14:paraId="3F096374" w14:textId="77777777" w:rsidR="00063E33" w:rsidRDefault="00063E33" w:rsidP="00063E33">
      <w:pPr>
        <w:spacing w:line="480" w:lineRule="auto"/>
        <w:jc w:val="both"/>
        <w:rPr>
          <w:rFonts w:ascii="Arial" w:hAnsi="Arial" w:cs="Arial"/>
          <w:color w:val="000000" w:themeColor="text1"/>
          <w:shd w:val="clear" w:color="auto" w:fill="FFFFFF"/>
          <w:vertAlign w:val="superscript"/>
        </w:rPr>
      </w:pPr>
    </w:p>
    <w:p w14:paraId="66393620" w14:textId="77777777" w:rsidR="00063E33" w:rsidRPr="00416DAE" w:rsidRDefault="00063E33" w:rsidP="00063E33">
      <w:pPr>
        <w:spacing w:line="480" w:lineRule="auto"/>
        <w:jc w:val="both"/>
        <w:rPr>
          <w:rFonts w:ascii="Arial" w:hAnsi="Arial" w:cs="Arial"/>
          <w:color w:val="000000" w:themeColor="text1"/>
          <w:shd w:val="clear" w:color="auto" w:fill="FFFFFF"/>
        </w:rPr>
      </w:pPr>
      <w:proofErr w:type="spellStart"/>
      <w:r w:rsidRPr="00416DAE">
        <w:rPr>
          <w:rFonts w:ascii="Arial" w:hAnsi="Arial" w:cs="Arial"/>
          <w:color w:val="000000" w:themeColor="text1"/>
          <w:shd w:val="clear" w:color="auto" w:fill="FFFFFF"/>
          <w:vertAlign w:val="superscript"/>
        </w:rPr>
        <w:t>a</w:t>
      </w:r>
      <w:r>
        <w:rPr>
          <w:rFonts w:ascii="Arial" w:hAnsi="Arial" w:cs="Arial"/>
          <w:color w:val="000000" w:themeColor="text1"/>
          <w:shd w:val="clear" w:color="auto" w:fill="FFFFFF"/>
        </w:rPr>
        <w:t>Academic</w:t>
      </w:r>
      <w:proofErr w:type="spellEnd"/>
      <w:r>
        <w:rPr>
          <w:rFonts w:ascii="Arial" w:hAnsi="Arial" w:cs="Arial"/>
          <w:color w:val="000000" w:themeColor="text1"/>
          <w:shd w:val="clear" w:color="auto" w:fill="FFFFFF"/>
        </w:rPr>
        <w:t xml:space="preserve"> S</w:t>
      </w:r>
      <w:r w:rsidRPr="00416DAE">
        <w:rPr>
          <w:rFonts w:ascii="Arial" w:hAnsi="Arial" w:cs="Arial"/>
          <w:color w:val="000000" w:themeColor="text1"/>
          <w:shd w:val="clear" w:color="auto" w:fill="FFFFFF"/>
        </w:rPr>
        <w:t xml:space="preserve">ection of Vascular Surgery, Department of Surgery and Cancer, </w:t>
      </w:r>
      <w:r>
        <w:rPr>
          <w:rFonts w:ascii="Arial" w:hAnsi="Arial" w:cs="Arial"/>
          <w:color w:val="000000" w:themeColor="text1"/>
          <w:shd w:val="clear" w:color="auto" w:fill="FFFFFF"/>
        </w:rPr>
        <w:t xml:space="preserve">Charing Cross Hospital, </w:t>
      </w:r>
      <w:r w:rsidRPr="00416DAE">
        <w:rPr>
          <w:rFonts w:ascii="Arial" w:hAnsi="Arial" w:cs="Arial"/>
          <w:color w:val="000000" w:themeColor="text1"/>
          <w:shd w:val="clear" w:color="auto" w:fill="FFFFFF"/>
        </w:rPr>
        <w:t>Imperial College London, London, UK</w:t>
      </w:r>
    </w:p>
    <w:p w14:paraId="58857B04" w14:textId="77777777" w:rsidR="00063E33" w:rsidRPr="00416DAE" w:rsidRDefault="00063E33" w:rsidP="00063E33">
      <w:pPr>
        <w:spacing w:line="480" w:lineRule="auto"/>
        <w:jc w:val="both"/>
        <w:rPr>
          <w:rFonts w:ascii="Arial" w:hAnsi="Arial" w:cs="Arial"/>
          <w:color w:val="000000" w:themeColor="text1"/>
          <w:shd w:val="clear" w:color="auto" w:fill="FFFFFF"/>
        </w:rPr>
      </w:pPr>
    </w:p>
    <w:p w14:paraId="13CD401E" w14:textId="77777777" w:rsidR="00063E33" w:rsidRPr="00416DAE" w:rsidRDefault="00063E33" w:rsidP="00063E33">
      <w:pPr>
        <w:spacing w:line="480" w:lineRule="auto"/>
        <w:jc w:val="both"/>
        <w:rPr>
          <w:rFonts w:ascii="Arial" w:hAnsi="Arial" w:cs="Arial"/>
          <w:color w:val="000000" w:themeColor="text1"/>
          <w:shd w:val="clear" w:color="auto" w:fill="FFFFFF"/>
        </w:rPr>
      </w:pPr>
      <w:r w:rsidRPr="00416DAE">
        <w:rPr>
          <w:rFonts w:ascii="Arial" w:hAnsi="Arial" w:cs="Arial"/>
          <w:color w:val="000000" w:themeColor="text1"/>
          <w:shd w:val="clear" w:color="auto" w:fill="FFFFFF"/>
        </w:rPr>
        <w:t>Corresponding author:</w:t>
      </w:r>
    </w:p>
    <w:p w14:paraId="44217572" w14:textId="77777777" w:rsidR="00063E33" w:rsidRPr="00416DAE" w:rsidRDefault="00063E33" w:rsidP="00063E33">
      <w:pPr>
        <w:spacing w:line="480" w:lineRule="auto"/>
        <w:jc w:val="both"/>
        <w:rPr>
          <w:rFonts w:ascii="Arial" w:hAnsi="Arial" w:cs="Arial"/>
          <w:color w:val="000000" w:themeColor="text1"/>
          <w:shd w:val="clear" w:color="auto" w:fill="FFFFFF"/>
        </w:rPr>
      </w:pPr>
      <w:r w:rsidRPr="00416DAE">
        <w:rPr>
          <w:rFonts w:ascii="Arial" w:hAnsi="Arial" w:cs="Arial"/>
          <w:color w:val="000000" w:themeColor="text1"/>
          <w:shd w:val="clear" w:color="auto" w:fill="FFFFFF"/>
        </w:rPr>
        <w:t>Alun Huw Davies</w:t>
      </w:r>
    </w:p>
    <w:p w14:paraId="52A3793E" w14:textId="77777777" w:rsidR="00063E33" w:rsidRPr="00416DAE" w:rsidRDefault="00063E33" w:rsidP="00063E33">
      <w:pPr>
        <w:spacing w:line="480" w:lineRule="auto"/>
        <w:jc w:val="both"/>
        <w:rPr>
          <w:rFonts w:ascii="Arial" w:hAnsi="Arial" w:cs="Arial"/>
          <w:color w:val="000000" w:themeColor="text1"/>
          <w:shd w:val="clear" w:color="auto" w:fill="FFFFFF"/>
        </w:rPr>
      </w:pPr>
      <w:r w:rsidRPr="00416DAE">
        <w:rPr>
          <w:rFonts w:ascii="Arial" w:hAnsi="Arial" w:cs="Arial"/>
          <w:color w:val="000000" w:themeColor="text1"/>
          <w:shd w:val="clear" w:color="auto" w:fill="FFFFFF"/>
        </w:rPr>
        <w:t>Professor of Vascular Surgery</w:t>
      </w:r>
      <w:r>
        <w:rPr>
          <w:rFonts w:ascii="Arial" w:hAnsi="Arial" w:cs="Arial"/>
          <w:color w:val="000000" w:themeColor="text1"/>
          <w:shd w:val="clear" w:color="auto" w:fill="FFFFFF"/>
        </w:rPr>
        <w:t xml:space="preserve"> and Honorary Consultant Vascular Surgeon</w:t>
      </w:r>
      <w:r w:rsidRPr="00416DAE">
        <w:rPr>
          <w:rFonts w:ascii="Arial" w:hAnsi="Arial" w:cs="Arial"/>
          <w:color w:val="000000" w:themeColor="text1"/>
          <w:shd w:val="clear" w:color="auto" w:fill="FFFFFF"/>
        </w:rPr>
        <w:t>, Academic Section of Vascular Surgery, Charing Cross Hospital, Imperial College London, UK</w:t>
      </w:r>
    </w:p>
    <w:p w14:paraId="646F2FC4" w14:textId="77777777" w:rsidR="00063E33" w:rsidRPr="00416DAE" w:rsidRDefault="00063E33" w:rsidP="00063E33">
      <w:pPr>
        <w:spacing w:line="480" w:lineRule="auto"/>
        <w:jc w:val="both"/>
        <w:rPr>
          <w:rFonts w:ascii="Arial" w:hAnsi="Arial" w:cs="Arial"/>
          <w:color w:val="000000" w:themeColor="text1"/>
          <w:shd w:val="clear" w:color="auto" w:fill="FFFFFF"/>
        </w:rPr>
      </w:pPr>
      <w:r w:rsidRPr="00416DAE">
        <w:rPr>
          <w:rFonts w:ascii="Arial" w:hAnsi="Arial" w:cs="Arial"/>
          <w:color w:val="000000" w:themeColor="text1"/>
          <w:shd w:val="clear" w:color="auto" w:fill="FFFFFF"/>
        </w:rPr>
        <w:t xml:space="preserve">Email: </w:t>
      </w:r>
      <w:r w:rsidRPr="00416DAE">
        <w:rPr>
          <w:rFonts w:ascii="Arial" w:hAnsi="Arial" w:cs="Arial"/>
          <w:shd w:val="clear" w:color="auto" w:fill="FFFFFF"/>
        </w:rPr>
        <w:t>a.h.davies@imperial.ac.uk</w:t>
      </w:r>
    </w:p>
    <w:p w14:paraId="18884FCB" w14:textId="77777777" w:rsidR="00063E33" w:rsidRDefault="00063E33" w:rsidP="00063E33">
      <w:pPr>
        <w:spacing w:line="480" w:lineRule="auto"/>
        <w:jc w:val="both"/>
        <w:rPr>
          <w:rFonts w:ascii="Arial" w:hAnsi="Arial" w:cs="Arial"/>
          <w:color w:val="000000" w:themeColor="text1"/>
          <w:shd w:val="clear" w:color="auto" w:fill="FFFFFF"/>
        </w:rPr>
      </w:pPr>
    </w:p>
    <w:p w14:paraId="35F20F0B" w14:textId="27B87EFB" w:rsidR="00063E33" w:rsidRDefault="00AC50EC" w:rsidP="00AC50EC">
      <w:pPr>
        <w:spacing w:line="480" w:lineRule="auto"/>
        <w:jc w:val="both"/>
        <w:rPr>
          <w:rFonts w:ascii="Arial" w:hAnsi="Arial" w:cs="Arial"/>
          <w:color w:val="000000" w:themeColor="text1"/>
          <w:shd w:val="clear" w:color="auto" w:fill="FFFFFF"/>
        </w:rPr>
      </w:pPr>
      <w:r w:rsidRPr="00AC50EC">
        <w:rPr>
          <w:rFonts w:ascii="Arial" w:hAnsi="Arial" w:cs="Arial"/>
          <w:color w:val="000000" w:themeColor="text1"/>
          <w:shd w:val="clear" w:color="auto" w:fill="FFFFFF"/>
        </w:rPr>
        <w:t>Conflicts of Interest and Source of Funding:</w:t>
      </w:r>
      <w:r>
        <w:rPr>
          <w:rFonts w:ascii="Arial" w:hAnsi="Arial" w:cs="Arial"/>
          <w:color w:val="000000" w:themeColor="text1"/>
          <w:shd w:val="clear" w:color="auto" w:fill="FFFFFF"/>
        </w:rPr>
        <w:t xml:space="preserve"> </w:t>
      </w:r>
      <w:r w:rsidRPr="00AC50EC">
        <w:rPr>
          <w:rFonts w:ascii="Arial" w:hAnsi="Arial" w:cs="Arial"/>
          <w:color w:val="000000" w:themeColor="text1"/>
          <w:shd w:val="clear" w:color="auto" w:fill="FFFFFF"/>
        </w:rPr>
        <w:t>This study did not receive any specific grant from funding agencies in the public, commercial, or not-for-profit sectors. Infrastructure support for this work was provided by the NIHR Imperial Biomedical Research Centre. AHD is supported by an NIHR Senior Investigator Award.</w:t>
      </w:r>
      <w:r>
        <w:rPr>
          <w:rFonts w:ascii="Arial" w:hAnsi="Arial" w:cs="Arial"/>
          <w:color w:val="000000" w:themeColor="text1"/>
          <w:shd w:val="clear" w:color="auto" w:fill="FFFFFF"/>
        </w:rPr>
        <w:t xml:space="preserve"> The authors have no conflicts of interest to declare.</w:t>
      </w:r>
    </w:p>
    <w:p w14:paraId="62451BF3" w14:textId="77777777" w:rsidR="00AC50EC" w:rsidRDefault="00AC50EC" w:rsidP="00AC50EC">
      <w:pPr>
        <w:spacing w:line="480" w:lineRule="auto"/>
        <w:jc w:val="both"/>
        <w:rPr>
          <w:rFonts w:ascii="Arial" w:hAnsi="Arial" w:cs="Arial"/>
          <w:color w:val="000000" w:themeColor="text1"/>
          <w:shd w:val="clear" w:color="auto" w:fill="FFFFFF"/>
        </w:rPr>
      </w:pPr>
    </w:p>
    <w:p w14:paraId="57140A82" w14:textId="6BC62755" w:rsidR="00AC50EC" w:rsidRPr="00416DAE" w:rsidRDefault="00AC50EC" w:rsidP="00AC50EC">
      <w:pPr>
        <w:spacing w:line="480" w:lineRule="auto"/>
        <w:jc w:val="both"/>
        <w:rPr>
          <w:rFonts w:ascii="Arial" w:hAnsi="Arial" w:cs="Arial"/>
          <w:color w:val="000000" w:themeColor="text1"/>
          <w:shd w:val="clear" w:color="auto" w:fill="FFFFFF"/>
        </w:rPr>
      </w:pPr>
      <w:r w:rsidRPr="00416DAE">
        <w:rPr>
          <w:rFonts w:ascii="Arial" w:hAnsi="Arial" w:cs="Arial"/>
          <w:color w:val="000000" w:themeColor="text1"/>
          <w:shd w:val="clear" w:color="auto" w:fill="FFFFFF"/>
        </w:rPr>
        <w:t xml:space="preserve">Word count: </w:t>
      </w:r>
      <w:r w:rsidR="00B52932">
        <w:rPr>
          <w:rFonts w:ascii="Arial" w:hAnsi="Arial" w:cs="Arial"/>
          <w:color w:val="000000" w:themeColor="text1"/>
          <w:shd w:val="clear" w:color="auto" w:fill="FFFFFF"/>
        </w:rPr>
        <w:t>31</w:t>
      </w:r>
      <w:r w:rsidR="00B8171F">
        <w:rPr>
          <w:rFonts w:ascii="Arial" w:hAnsi="Arial" w:cs="Arial"/>
          <w:color w:val="000000" w:themeColor="text1"/>
          <w:shd w:val="clear" w:color="auto" w:fill="FFFFFF"/>
        </w:rPr>
        <w:t>68</w:t>
      </w:r>
      <w:bookmarkStart w:id="0" w:name="_GoBack"/>
      <w:bookmarkEnd w:id="0"/>
    </w:p>
    <w:p w14:paraId="31705DBB" w14:textId="77777777" w:rsidR="00AC50EC" w:rsidRPr="00AC50EC" w:rsidRDefault="00AC50EC" w:rsidP="00063E33">
      <w:pPr>
        <w:spacing w:line="480" w:lineRule="auto"/>
        <w:jc w:val="both"/>
        <w:rPr>
          <w:rFonts w:ascii="Arial" w:hAnsi="Arial" w:cs="Arial"/>
          <w:b/>
          <w:bCs/>
          <w:color w:val="000000" w:themeColor="text1"/>
          <w:shd w:val="clear" w:color="auto" w:fill="FFFFFF"/>
        </w:rPr>
      </w:pPr>
    </w:p>
    <w:p w14:paraId="2237F9F5" w14:textId="16110076" w:rsidR="00063E33" w:rsidRPr="00416DAE" w:rsidRDefault="00AC50EC" w:rsidP="00063E33">
      <w:pPr>
        <w:spacing w:line="480" w:lineRule="auto"/>
        <w:jc w:val="both"/>
        <w:rPr>
          <w:rFonts w:ascii="Arial" w:hAnsi="Arial" w:cs="Arial"/>
          <w:color w:val="000000" w:themeColor="text1"/>
          <w:shd w:val="clear" w:color="auto" w:fill="FFFFFF"/>
        </w:rPr>
      </w:pPr>
      <w:r w:rsidRPr="00AC50EC">
        <w:rPr>
          <w:rFonts w:ascii="Arial" w:hAnsi="Arial" w:cs="Arial"/>
          <w:color w:val="000000" w:themeColor="text1"/>
          <w:shd w:val="clear" w:color="auto" w:fill="FFFFFF"/>
        </w:rPr>
        <w:t>Anticoagulation for endovenous intervention</w:t>
      </w:r>
    </w:p>
    <w:p w14:paraId="1EAFED0C" w14:textId="3251F041" w:rsidR="00063E33" w:rsidRPr="00AC50EC" w:rsidRDefault="00AC50EC" w:rsidP="00063E33">
      <w:pPr>
        <w:pStyle w:val="i4a-after-h6"/>
        <w:jc w:val="both"/>
        <w:rPr>
          <w:rFonts w:ascii="Helvetica Neue" w:hAnsi="Helvetica Neue"/>
          <w:b/>
          <w:bCs/>
          <w:color w:val="000000" w:themeColor="text1"/>
        </w:rPr>
      </w:pPr>
      <w:r w:rsidRPr="00AC50EC">
        <w:rPr>
          <w:rFonts w:ascii="Helvetica Neue" w:hAnsi="Helvetica Neue"/>
          <w:b/>
          <w:bCs/>
          <w:color w:val="000000" w:themeColor="text1"/>
        </w:rPr>
        <w:lastRenderedPageBreak/>
        <w:t>Mini-Abstract</w:t>
      </w:r>
    </w:p>
    <w:p w14:paraId="5E259576" w14:textId="32C067DF" w:rsidR="00063E33" w:rsidRDefault="00063E33" w:rsidP="00063E33">
      <w:pPr>
        <w:pStyle w:val="Heading1"/>
        <w:spacing w:line="480" w:lineRule="auto"/>
        <w:jc w:val="both"/>
        <w:rPr>
          <w:rFonts w:ascii="Arial" w:hAnsi="Arial" w:cs="Arial"/>
          <w:color w:val="000000"/>
          <w:sz w:val="24"/>
          <w:szCs w:val="24"/>
        </w:rPr>
      </w:pPr>
      <w:r>
        <w:rPr>
          <w:rFonts w:ascii="Arial" w:hAnsi="Arial" w:cs="Arial"/>
          <w:color w:val="000000"/>
          <w:sz w:val="24"/>
          <w:szCs w:val="24"/>
        </w:rPr>
        <w:t xml:space="preserve">This </w:t>
      </w:r>
      <w:r w:rsidR="00AC50EC">
        <w:rPr>
          <w:rFonts w:ascii="Arial" w:hAnsi="Arial" w:cs="Arial"/>
          <w:color w:val="000000"/>
          <w:sz w:val="24"/>
          <w:szCs w:val="24"/>
        </w:rPr>
        <w:t>study</w:t>
      </w:r>
      <w:r>
        <w:rPr>
          <w:rFonts w:ascii="Arial" w:hAnsi="Arial" w:cs="Arial"/>
          <w:color w:val="000000"/>
          <w:sz w:val="24"/>
          <w:szCs w:val="24"/>
        </w:rPr>
        <w:t xml:space="preserve"> describes the rate of </w:t>
      </w:r>
      <w:r w:rsidR="00AC50EC">
        <w:rPr>
          <w:rFonts w:ascii="Arial" w:hAnsi="Arial" w:cs="Arial"/>
          <w:color w:val="000000"/>
          <w:sz w:val="24"/>
          <w:szCs w:val="24"/>
        </w:rPr>
        <w:t>venous thromboembolism</w:t>
      </w:r>
      <w:r>
        <w:rPr>
          <w:rFonts w:ascii="Arial" w:hAnsi="Arial" w:cs="Arial"/>
          <w:color w:val="000000"/>
          <w:sz w:val="24"/>
          <w:szCs w:val="24"/>
        </w:rPr>
        <w:t xml:space="preserve"> after endovenous varicose vein intervention</w:t>
      </w:r>
      <w:r w:rsidR="00AC50EC">
        <w:rPr>
          <w:rFonts w:ascii="Arial" w:hAnsi="Arial" w:cs="Arial"/>
          <w:color w:val="000000"/>
          <w:sz w:val="24"/>
          <w:szCs w:val="24"/>
        </w:rPr>
        <w:t xml:space="preserve">, comparing those who received anticoagulation and compression therapy to those who received compression alone. </w:t>
      </w:r>
      <w:r>
        <w:rPr>
          <w:rFonts w:ascii="Arial" w:hAnsi="Arial" w:cs="Arial"/>
          <w:color w:val="000000"/>
          <w:sz w:val="24"/>
          <w:szCs w:val="24"/>
        </w:rPr>
        <w:t xml:space="preserve"> It demonstrates the rate of DVT is 75% lower </w:t>
      </w:r>
      <w:r w:rsidR="00AC50EC">
        <w:rPr>
          <w:rFonts w:ascii="Arial" w:hAnsi="Arial" w:cs="Arial"/>
          <w:color w:val="000000"/>
          <w:sz w:val="24"/>
          <w:szCs w:val="24"/>
        </w:rPr>
        <w:t>with additional</w:t>
      </w:r>
      <w:r w:rsidR="00C133DA">
        <w:rPr>
          <w:rFonts w:ascii="Arial" w:hAnsi="Arial" w:cs="Arial"/>
          <w:color w:val="000000"/>
          <w:sz w:val="24"/>
          <w:szCs w:val="24"/>
        </w:rPr>
        <w:t xml:space="preserve"> anticoagulation</w:t>
      </w:r>
      <w:r>
        <w:rPr>
          <w:rFonts w:ascii="Arial" w:hAnsi="Arial" w:cs="Arial"/>
          <w:color w:val="000000"/>
          <w:sz w:val="24"/>
          <w:szCs w:val="24"/>
        </w:rPr>
        <w:t xml:space="preserve"> in randomised trial arms</w:t>
      </w:r>
      <w:r w:rsidR="009200D1">
        <w:rPr>
          <w:rFonts w:ascii="Arial" w:hAnsi="Arial" w:cs="Arial"/>
          <w:color w:val="000000"/>
          <w:sz w:val="24"/>
          <w:szCs w:val="24"/>
        </w:rPr>
        <w:t>, with low rates of bleeding</w:t>
      </w:r>
      <w:r w:rsidR="00AC50EC">
        <w:rPr>
          <w:rFonts w:ascii="Arial" w:hAnsi="Arial" w:cs="Arial"/>
          <w:color w:val="000000"/>
          <w:sz w:val="24"/>
          <w:szCs w:val="24"/>
        </w:rPr>
        <w:t>. Anticoagulation</w:t>
      </w:r>
      <w:r>
        <w:rPr>
          <w:rFonts w:ascii="Arial" w:hAnsi="Arial" w:cs="Arial"/>
          <w:color w:val="000000"/>
          <w:sz w:val="24"/>
          <w:szCs w:val="24"/>
        </w:rPr>
        <w:t xml:space="preserve"> should be </w:t>
      </w:r>
      <w:r w:rsidR="00AC50EC">
        <w:rPr>
          <w:rFonts w:ascii="Arial" w:hAnsi="Arial" w:cs="Arial"/>
          <w:color w:val="000000"/>
          <w:sz w:val="24"/>
          <w:szCs w:val="24"/>
        </w:rPr>
        <w:t>routinely prescribed</w:t>
      </w:r>
      <w:r>
        <w:rPr>
          <w:rFonts w:ascii="Arial" w:hAnsi="Arial" w:cs="Arial"/>
          <w:color w:val="000000"/>
          <w:sz w:val="24"/>
          <w:szCs w:val="24"/>
        </w:rPr>
        <w:t xml:space="preserve"> following endovenous intervention</w:t>
      </w:r>
      <w:r w:rsidR="00AC50EC">
        <w:rPr>
          <w:rFonts w:ascii="Arial" w:hAnsi="Arial" w:cs="Arial"/>
          <w:color w:val="000000"/>
          <w:sz w:val="24"/>
          <w:szCs w:val="24"/>
        </w:rPr>
        <w:t>s</w:t>
      </w:r>
      <w:r>
        <w:rPr>
          <w:rFonts w:ascii="Arial" w:hAnsi="Arial" w:cs="Arial"/>
          <w:color w:val="000000"/>
          <w:sz w:val="24"/>
          <w:szCs w:val="24"/>
        </w:rPr>
        <w:t>.</w:t>
      </w:r>
    </w:p>
    <w:p w14:paraId="62E3C13B" w14:textId="77777777" w:rsidR="00063E33" w:rsidRDefault="00063E33" w:rsidP="00063E33">
      <w:pPr>
        <w:rPr>
          <w:rFonts w:ascii="Arial" w:hAnsi="Arial" w:cs="Arial"/>
          <w:b/>
        </w:rPr>
      </w:pPr>
      <w:r>
        <w:rPr>
          <w:rFonts w:ascii="Arial" w:hAnsi="Arial" w:cs="Arial"/>
          <w:b/>
        </w:rPr>
        <w:br w:type="page"/>
      </w:r>
    </w:p>
    <w:p w14:paraId="5678EDD1" w14:textId="0229BEF0" w:rsidR="00063E33" w:rsidRPr="00416DAE" w:rsidRDefault="00AC50EC" w:rsidP="00063E33">
      <w:pPr>
        <w:spacing w:line="480" w:lineRule="auto"/>
        <w:jc w:val="both"/>
        <w:rPr>
          <w:rFonts w:ascii="Arial" w:hAnsi="Arial" w:cs="Arial"/>
          <w:b/>
        </w:rPr>
      </w:pPr>
      <w:r>
        <w:rPr>
          <w:rFonts w:ascii="Arial" w:hAnsi="Arial" w:cs="Arial"/>
          <w:b/>
        </w:rPr>
        <w:lastRenderedPageBreak/>
        <w:t xml:space="preserve">Structured </w:t>
      </w:r>
      <w:r w:rsidR="00063E33" w:rsidRPr="00416DAE">
        <w:rPr>
          <w:rFonts w:ascii="Arial" w:hAnsi="Arial" w:cs="Arial"/>
          <w:b/>
        </w:rPr>
        <w:t>Abstract</w:t>
      </w:r>
    </w:p>
    <w:p w14:paraId="2FEFC5AF" w14:textId="77777777" w:rsidR="00AC50EC" w:rsidRPr="00416DAE" w:rsidRDefault="00AC50EC" w:rsidP="00AC50EC">
      <w:pPr>
        <w:spacing w:line="480" w:lineRule="auto"/>
        <w:jc w:val="both"/>
        <w:rPr>
          <w:rFonts w:ascii="Arial" w:hAnsi="Arial" w:cs="Arial"/>
          <w:i/>
          <w:iCs/>
          <w:color w:val="000000"/>
        </w:rPr>
      </w:pPr>
      <w:r w:rsidRPr="00416DAE">
        <w:rPr>
          <w:rFonts w:ascii="Arial" w:hAnsi="Arial" w:cs="Arial"/>
          <w:i/>
          <w:iCs/>
          <w:color w:val="000000"/>
        </w:rPr>
        <w:t>Objective</w:t>
      </w:r>
    </w:p>
    <w:p w14:paraId="1C7F882B" w14:textId="39E9C5D0" w:rsidR="00AC50EC" w:rsidRDefault="00AC50EC" w:rsidP="00AC50EC">
      <w:pPr>
        <w:spacing w:line="480" w:lineRule="auto"/>
        <w:jc w:val="both"/>
        <w:rPr>
          <w:rFonts w:ascii="Arial" w:hAnsi="Arial" w:cs="Arial"/>
          <w:color w:val="000000"/>
        </w:rPr>
      </w:pPr>
      <w:r>
        <w:rPr>
          <w:rFonts w:ascii="Arial" w:hAnsi="Arial" w:cs="Arial"/>
          <w:color w:val="000000"/>
        </w:rPr>
        <w:t>The primary objective of this systematic review and meta-analysis was to elucidate the rate of venous thromboembolism (VTE)</w:t>
      </w:r>
      <w:r w:rsidRPr="00647387">
        <w:rPr>
          <w:rFonts w:ascii="Arial" w:hAnsi="Arial" w:cs="Arial"/>
          <w:color w:val="000000"/>
        </w:rPr>
        <w:t xml:space="preserve"> </w:t>
      </w:r>
      <w:r>
        <w:rPr>
          <w:rFonts w:ascii="Arial" w:hAnsi="Arial" w:cs="Arial"/>
          <w:color w:val="000000"/>
        </w:rPr>
        <w:t>following endovenous varicose vein intervention with mechanical thromboprophylaxis and additional pharmacological thromboprophylaxis, versus mechanical thromboprophylaxis alone.</w:t>
      </w:r>
    </w:p>
    <w:p w14:paraId="49D2F552" w14:textId="77777777" w:rsidR="00AC50EC" w:rsidRDefault="00AC50EC" w:rsidP="00AC50EC">
      <w:pPr>
        <w:spacing w:line="480" w:lineRule="auto"/>
        <w:jc w:val="both"/>
        <w:rPr>
          <w:rFonts w:ascii="Arial" w:hAnsi="Arial" w:cs="Arial"/>
          <w:color w:val="000000"/>
        </w:rPr>
      </w:pPr>
    </w:p>
    <w:p w14:paraId="78484EA7" w14:textId="2504AE8D" w:rsidR="00063E33" w:rsidRDefault="00AC50EC" w:rsidP="00063E33">
      <w:pPr>
        <w:spacing w:line="480" w:lineRule="auto"/>
        <w:jc w:val="both"/>
        <w:rPr>
          <w:rFonts w:ascii="Arial" w:hAnsi="Arial" w:cs="Arial"/>
          <w:i/>
          <w:iCs/>
          <w:color w:val="000000"/>
        </w:rPr>
      </w:pPr>
      <w:r>
        <w:rPr>
          <w:rFonts w:ascii="Arial" w:hAnsi="Arial" w:cs="Arial"/>
          <w:i/>
          <w:iCs/>
          <w:color w:val="000000"/>
        </w:rPr>
        <w:t>Summary Background Data</w:t>
      </w:r>
    </w:p>
    <w:p w14:paraId="79E96775" w14:textId="4C0A1702" w:rsidR="00AC50EC" w:rsidRDefault="00063E33" w:rsidP="00063E33">
      <w:pPr>
        <w:spacing w:line="480" w:lineRule="auto"/>
        <w:jc w:val="both"/>
        <w:rPr>
          <w:rFonts w:ascii="Arial" w:hAnsi="Arial" w:cs="Arial"/>
          <w:color w:val="000000"/>
        </w:rPr>
      </w:pPr>
      <w:r>
        <w:rPr>
          <w:rFonts w:ascii="Arial" w:hAnsi="Arial" w:cs="Arial"/>
          <w:color w:val="000000"/>
        </w:rPr>
        <w:t>The VTE</w:t>
      </w:r>
      <w:r w:rsidR="00AC50EC">
        <w:rPr>
          <w:rFonts w:ascii="Arial" w:hAnsi="Arial" w:cs="Arial"/>
          <w:color w:val="000000"/>
        </w:rPr>
        <w:t xml:space="preserve"> rate</w:t>
      </w:r>
      <w:r>
        <w:rPr>
          <w:rFonts w:ascii="Arial" w:hAnsi="Arial" w:cs="Arial"/>
          <w:color w:val="000000"/>
        </w:rPr>
        <w:t xml:space="preserve"> following endovenous </w:t>
      </w:r>
      <w:r w:rsidR="00AC50EC">
        <w:rPr>
          <w:rFonts w:ascii="Arial" w:hAnsi="Arial" w:cs="Arial"/>
          <w:color w:val="000000"/>
        </w:rPr>
        <w:t>procedures</w:t>
      </w:r>
      <w:r>
        <w:rPr>
          <w:rFonts w:ascii="Arial" w:hAnsi="Arial" w:cs="Arial"/>
          <w:color w:val="000000"/>
        </w:rPr>
        <w:t xml:space="preserve"> is higher than other day-case procedures and could be reduced with pharmacological thromboprophylaxis.</w:t>
      </w:r>
      <w:r w:rsidR="00AC50EC">
        <w:rPr>
          <w:rFonts w:ascii="Arial" w:hAnsi="Arial" w:cs="Arial"/>
          <w:color w:val="000000"/>
        </w:rPr>
        <w:t xml:space="preserve"> </w:t>
      </w:r>
    </w:p>
    <w:p w14:paraId="600CB4E1" w14:textId="6283FBCB" w:rsidR="00AC50EC" w:rsidRDefault="00AC50EC" w:rsidP="00063E33">
      <w:pPr>
        <w:spacing w:line="480" w:lineRule="auto"/>
        <w:jc w:val="both"/>
        <w:rPr>
          <w:rFonts w:ascii="Arial" w:hAnsi="Arial" w:cs="Arial"/>
          <w:color w:val="000000"/>
        </w:rPr>
      </w:pPr>
    </w:p>
    <w:p w14:paraId="7C5F95B3" w14:textId="73734EF6" w:rsidR="00AC50EC" w:rsidRPr="00AC50EC" w:rsidRDefault="00AC50EC" w:rsidP="00063E33">
      <w:pPr>
        <w:spacing w:line="480" w:lineRule="auto"/>
        <w:jc w:val="both"/>
        <w:rPr>
          <w:rFonts w:ascii="Arial" w:hAnsi="Arial" w:cs="Arial"/>
          <w:i/>
          <w:iCs/>
          <w:color w:val="000000"/>
        </w:rPr>
      </w:pPr>
      <w:r>
        <w:rPr>
          <w:rFonts w:ascii="Arial" w:hAnsi="Arial" w:cs="Arial"/>
          <w:i/>
          <w:iCs/>
          <w:color w:val="000000"/>
        </w:rPr>
        <w:t>Methods</w:t>
      </w:r>
    </w:p>
    <w:p w14:paraId="2C5DA64D" w14:textId="7FC0DDF4" w:rsidR="000047AB" w:rsidRPr="00416DAE" w:rsidRDefault="00AC50EC" w:rsidP="00063E33">
      <w:pPr>
        <w:spacing w:line="480" w:lineRule="auto"/>
        <w:jc w:val="both"/>
        <w:rPr>
          <w:rFonts w:ascii="Arial" w:hAnsi="Arial" w:cs="Arial"/>
          <w:color w:val="000000"/>
        </w:rPr>
      </w:pPr>
      <w:r>
        <w:rPr>
          <w:rFonts w:ascii="Arial" w:hAnsi="Arial" w:cs="Arial"/>
          <w:color w:val="000000"/>
        </w:rPr>
        <w:t xml:space="preserve">The review followed </w:t>
      </w:r>
      <w:r w:rsidR="00063E33" w:rsidRPr="00416DAE">
        <w:rPr>
          <w:rFonts w:ascii="Arial" w:hAnsi="Arial" w:cs="Arial"/>
          <w:color w:val="000000"/>
        </w:rPr>
        <w:t xml:space="preserve">PRISMA guidelines </w:t>
      </w:r>
      <w:r w:rsidR="00063E33">
        <w:rPr>
          <w:rFonts w:ascii="Arial" w:hAnsi="Arial" w:cs="Arial"/>
          <w:color w:val="000000"/>
        </w:rPr>
        <w:t xml:space="preserve">with </w:t>
      </w:r>
      <w:r w:rsidR="00063E33" w:rsidRPr="00416DAE">
        <w:rPr>
          <w:rFonts w:ascii="Arial" w:hAnsi="Arial" w:cs="Arial"/>
          <w:color w:val="000000"/>
        </w:rPr>
        <w:t>a registered protocol (PROSPERO:</w:t>
      </w:r>
      <w:r w:rsidR="00063E33" w:rsidRPr="00416DAE">
        <w:rPr>
          <w:rFonts w:ascii="Arial" w:hAnsi="Arial" w:cs="Arial"/>
          <w:color w:val="333333"/>
          <w:shd w:val="clear" w:color="auto" w:fill="FFFFFF"/>
        </w:rPr>
        <w:t xml:space="preserve"> </w:t>
      </w:r>
      <w:r w:rsidR="00063E33" w:rsidRPr="00416DAE">
        <w:rPr>
          <w:rFonts w:ascii="Arial" w:hAnsi="Arial" w:cs="Arial"/>
          <w:color w:val="000000"/>
        </w:rPr>
        <w:t xml:space="preserve">CRD42021274963). </w:t>
      </w:r>
      <w:r>
        <w:rPr>
          <w:rFonts w:ascii="Arial" w:hAnsi="Arial" w:cs="Arial"/>
          <w:color w:val="000000"/>
        </w:rPr>
        <w:t xml:space="preserve">Studies of endovenous intervention for superficial venous incompetence reporting the predefined outcomes with at least 30 patients were eligible. </w:t>
      </w:r>
      <w:r w:rsidR="00063E33" w:rsidRPr="00416DAE">
        <w:rPr>
          <w:rFonts w:ascii="Arial" w:hAnsi="Arial" w:cs="Arial"/>
          <w:color w:val="000000"/>
        </w:rPr>
        <w:t>Data were pooled with a fixed effects model.</w:t>
      </w:r>
    </w:p>
    <w:p w14:paraId="68472E96" w14:textId="77777777" w:rsidR="00063E33" w:rsidRDefault="00063E33" w:rsidP="00063E33">
      <w:pPr>
        <w:spacing w:line="480" w:lineRule="auto"/>
        <w:jc w:val="both"/>
        <w:rPr>
          <w:rFonts w:ascii="Arial" w:hAnsi="Arial" w:cs="Arial"/>
          <w:i/>
          <w:iCs/>
          <w:color w:val="000000"/>
        </w:rPr>
      </w:pPr>
    </w:p>
    <w:p w14:paraId="0DD30DEE" w14:textId="77777777" w:rsidR="00063E33" w:rsidRPr="00075A37" w:rsidRDefault="00063E33" w:rsidP="00063E33">
      <w:pPr>
        <w:spacing w:line="480" w:lineRule="auto"/>
        <w:jc w:val="both"/>
        <w:rPr>
          <w:rFonts w:ascii="Arial" w:hAnsi="Arial" w:cs="Arial"/>
          <w:i/>
          <w:iCs/>
          <w:color w:val="000000"/>
        </w:rPr>
      </w:pPr>
      <w:r>
        <w:rPr>
          <w:rFonts w:ascii="Arial" w:hAnsi="Arial" w:cs="Arial"/>
          <w:i/>
          <w:iCs/>
          <w:color w:val="000000"/>
        </w:rPr>
        <w:t>Results</w:t>
      </w:r>
    </w:p>
    <w:p w14:paraId="74CA2A57" w14:textId="0D1785F9" w:rsidR="00063E33" w:rsidRPr="00E13204" w:rsidRDefault="00063E33" w:rsidP="00063E33">
      <w:pPr>
        <w:spacing w:line="480" w:lineRule="auto"/>
        <w:jc w:val="both"/>
        <w:rPr>
          <w:rFonts w:ascii="Arial" w:hAnsi="Arial" w:cs="Arial"/>
        </w:rPr>
      </w:pPr>
      <w:r>
        <w:rPr>
          <w:rFonts w:ascii="Arial" w:hAnsi="Arial" w:cs="Arial"/>
        </w:rPr>
        <w:t xml:space="preserve">There were </w:t>
      </w:r>
      <w:r w:rsidRPr="00416DAE">
        <w:rPr>
          <w:rFonts w:ascii="Arial" w:hAnsi="Arial" w:cs="Arial"/>
        </w:rPr>
        <w:t>22</w:t>
      </w:r>
      <w:r>
        <w:rPr>
          <w:rFonts w:ascii="Arial" w:hAnsi="Arial" w:cs="Arial"/>
        </w:rPr>
        <w:t>1</w:t>
      </w:r>
      <w:r w:rsidRPr="00416DAE">
        <w:rPr>
          <w:rFonts w:ascii="Arial" w:hAnsi="Arial" w:cs="Arial"/>
        </w:rPr>
        <w:t xml:space="preserve"> trials</w:t>
      </w:r>
      <w:r>
        <w:rPr>
          <w:rFonts w:ascii="Arial" w:hAnsi="Arial" w:cs="Arial"/>
        </w:rPr>
        <w:t xml:space="preserve"> included in the review</w:t>
      </w:r>
      <w:r w:rsidR="0025550B">
        <w:rPr>
          <w:rFonts w:ascii="Arial" w:hAnsi="Arial" w:cs="Arial"/>
        </w:rPr>
        <w:t xml:space="preserve"> </w:t>
      </w:r>
      <w:r w:rsidR="0025550B" w:rsidRPr="00525377">
        <w:rPr>
          <w:rFonts w:ascii="Arial" w:hAnsi="Arial" w:cs="Arial"/>
          <w:highlight w:val="yellow"/>
        </w:rPr>
        <w:t>(4</w:t>
      </w:r>
      <w:r w:rsidR="006667CC">
        <w:rPr>
          <w:rFonts w:ascii="Arial" w:hAnsi="Arial" w:cs="Arial"/>
          <w:highlight w:val="yellow"/>
        </w:rPr>
        <w:t>7</w:t>
      </w:r>
      <w:r w:rsidR="0025550B" w:rsidRPr="00525377">
        <w:rPr>
          <w:rFonts w:ascii="Arial" w:hAnsi="Arial" w:cs="Arial"/>
          <w:highlight w:val="yellow"/>
        </w:rPr>
        <w:t xml:space="preserve"> randomised trial</w:t>
      </w:r>
      <w:r w:rsidR="0025550B">
        <w:rPr>
          <w:rFonts w:ascii="Arial" w:hAnsi="Arial" w:cs="Arial"/>
          <w:highlight w:val="yellow"/>
        </w:rPr>
        <w:t xml:space="preserve"> arms</w:t>
      </w:r>
      <w:r w:rsidR="0025550B" w:rsidRPr="00525377">
        <w:rPr>
          <w:rFonts w:ascii="Arial" w:hAnsi="Arial" w:cs="Arial"/>
          <w:highlight w:val="yellow"/>
        </w:rPr>
        <w:t>, 10</w:t>
      </w:r>
      <w:r w:rsidR="006667CC">
        <w:rPr>
          <w:rFonts w:ascii="Arial" w:hAnsi="Arial" w:cs="Arial"/>
          <w:highlight w:val="yellow"/>
        </w:rPr>
        <w:t>5</w:t>
      </w:r>
      <w:r w:rsidR="0025550B" w:rsidRPr="00525377">
        <w:rPr>
          <w:rFonts w:ascii="Arial" w:hAnsi="Arial" w:cs="Arial"/>
          <w:highlight w:val="yellow"/>
        </w:rPr>
        <w:t xml:space="preserve"> prospective cohort studies and 6</w:t>
      </w:r>
      <w:r w:rsidR="006667CC">
        <w:rPr>
          <w:rFonts w:ascii="Arial" w:hAnsi="Arial" w:cs="Arial"/>
          <w:highlight w:val="yellow"/>
        </w:rPr>
        <w:t>9</w:t>
      </w:r>
      <w:r w:rsidR="0025550B" w:rsidRPr="00525377">
        <w:rPr>
          <w:rFonts w:ascii="Arial" w:hAnsi="Arial" w:cs="Arial"/>
          <w:highlight w:val="yellow"/>
        </w:rPr>
        <w:t xml:space="preserve"> retrospective studies)</w:t>
      </w:r>
      <w:r w:rsidRPr="00416DAE">
        <w:rPr>
          <w:rFonts w:ascii="Arial" w:hAnsi="Arial" w:cs="Arial"/>
        </w:rPr>
        <w:t xml:space="preserve">. </w:t>
      </w:r>
      <w:r>
        <w:rPr>
          <w:rFonts w:ascii="Arial" w:hAnsi="Arial" w:cs="Arial"/>
        </w:rPr>
        <w:t>In</w:t>
      </w:r>
      <w:r w:rsidRPr="00416DAE">
        <w:rPr>
          <w:rFonts w:ascii="Arial" w:hAnsi="Arial" w:cs="Arial"/>
        </w:rPr>
        <w:t xml:space="preserve"> randomised trial arms</w:t>
      </w:r>
      <w:r>
        <w:rPr>
          <w:rFonts w:ascii="Arial" w:hAnsi="Arial" w:cs="Arial"/>
        </w:rPr>
        <w:t xml:space="preserve">, the rate of </w:t>
      </w:r>
      <w:r w:rsidR="00AC50EC">
        <w:rPr>
          <w:rFonts w:ascii="Arial" w:hAnsi="Arial" w:cs="Arial"/>
        </w:rPr>
        <w:t>deep venous thrombosis</w:t>
      </w:r>
      <w:r w:rsidRPr="00416DAE">
        <w:rPr>
          <w:rFonts w:ascii="Arial" w:hAnsi="Arial" w:cs="Arial"/>
        </w:rPr>
        <w:t xml:space="preserve"> with</w:t>
      </w:r>
      <w:r>
        <w:rPr>
          <w:rFonts w:ascii="Arial" w:hAnsi="Arial" w:cs="Arial"/>
        </w:rPr>
        <w:t xml:space="preserve"> additional pharmacological thromboprophylaxis</w:t>
      </w:r>
      <w:r w:rsidRPr="00416DAE">
        <w:rPr>
          <w:rFonts w:ascii="Arial" w:hAnsi="Arial" w:cs="Arial"/>
        </w:rPr>
        <w:t xml:space="preserve"> was 0.52% </w:t>
      </w:r>
      <w:r>
        <w:rPr>
          <w:rFonts w:ascii="Arial" w:hAnsi="Arial" w:cs="Arial"/>
        </w:rPr>
        <w:t>(</w:t>
      </w:r>
      <w:r w:rsidRPr="00416DAE">
        <w:rPr>
          <w:rFonts w:ascii="Arial" w:hAnsi="Arial" w:cs="Arial"/>
        </w:rPr>
        <w:t xml:space="preserve">95% CI 0.23-1.19%) </w:t>
      </w:r>
      <w:r>
        <w:rPr>
          <w:rFonts w:ascii="Arial" w:hAnsi="Arial" w:cs="Arial"/>
        </w:rPr>
        <w:t>(9 studies; 1095 patients; 2 events)</w:t>
      </w:r>
      <w:r w:rsidRPr="00416DAE">
        <w:rPr>
          <w:rFonts w:ascii="Arial" w:hAnsi="Arial" w:cs="Arial"/>
        </w:rPr>
        <w:t xml:space="preserve">, </w:t>
      </w:r>
      <w:r>
        <w:rPr>
          <w:rFonts w:ascii="Arial" w:hAnsi="Arial" w:cs="Arial"/>
        </w:rPr>
        <w:t>versus</w:t>
      </w:r>
      <w:r w:rsidRPr="00416DAE">
        <w:rPr>
          <w:rFonts w:ascii="Arial" w:hAnsi="Arial" w:cs="Arial"/>
        </w:rPr>
        <w:t xml:space="preserve"> 2.26% (95% CI 1.81-2.82%) </w:t>
      </w:r>
      <w:r>
        <w:rPr>
          <w:rFonts w:ascii="Arial" w:hAnsi="Arial" w:cs="Arial"/>
        </w:rPr>
        <w:t>(3</w:t>
      </w:r>
      <w:r w:rsidR="006667CC">
        <w:rPr>
          <w:rFonts w:ascii="Arial" w:hAnsi="Arial" w:cs="Arial"/>
        </w:rPr>
        <w:t>8</w:t>
      </w:r>
      <w:r>
        <w:rPr>
          <w:rFonts w:ascii="Arial" w:hAnsi="Arial" w:cs="Arial"/>
        </w:rPr>
        <w:t xml:space="preserve"> studies; 6951 patients; 69 events) </w:t>
      </w:r>
      <w:r w:rsidRPr="00416DAE">
        <w:rPr>
          <w:rFonts w:ascii="Arial" w:hAnsi="Arial" w:cs="Arial"/>
        </w:rPr>
        <w:t xml:space="preserve">with mechanical </w:t>
      </w:r>
      <w:r>
        <w:rPr>
          <w:rFonts w:ascii="Arial" w:hAnsi="Arial" w:cs="Arial"/>
        </w:rPr>
        <w:t>thromboprophylaxis</w:t>
      </w:r>
      <w:r w:rsidRPr="00416DAE">
        <w:rPr>
          <w:rFonts w:ascii="Arial" w:hAnsi="Arial" w:cs="Arial"/>
        </w:rPr>
        <w:t xml:space="preserve"> alone. The rate of </w:t>
      </w:r>
      <w:r w:rsidR="00AC50EC">
        <w:rPr>
          <w:rFonts w:ascii="Arial" w:hAnsi="Arial" w:cs="Arial"/>
        </w:rPr>
        <w:t>pulmonary embolism</w:t>
      </w:r>
      <w:r w:rsidRPr="00416DAE">
        <w:rPr>
          <w:rFonts w:ascii="Arial" w:hAnsi="Arial" w:cs="Arial"/>
        </w:rPr>
        <w:t xml:space="preserve"> in randomised </w:t>
      </w:r>
      <w:r>
        <w:rPr>
          <w:rFonts w:ascii="Arial" w:hAnsi="Arial" w:cs="Arial"/>
        </w:rPr>
        <w:t>trial arms with additional pharmacological thromboprophylaxis</w:t>
      </w:r>
      <w:r w:rsidRPr="00416DAE">
        <w:rPr>
          <w:rFonts w:ascii="Arial" w:hAnsi="Arial" w:cs="Arial"/>
        </w:rPr>
        <w:t xml:space="preserve"> was 0.45% </w:t>
      </w:r>
      <w:r>
        <w:rPr>
          <w:rFonts w:ascii="Arial" w:hAnsi="Arial" w:cs="Arial"/>
        </w:rPr>
        <w:t>(</w:t>
      </w:r>
      <w:r w:rsidRPr="00416DAE">
        <w:rPr>
          <w:rFonts w:ascii="Arial" w:hAnsi="Arial" w:cs="Arial"/>
        </w:rPr>
        <w:t>95% CI 0.09-2.35</w:t>
      </w:r>
      <w:r>
        <w:rPr>
          <w:rFonts w:ascii="Arial" w:hAnsi="Arial" w:cs="Arial"/>
        </w:rPr>
        <w:t>)</w:t>
      </w:r>
      <w:r w:rsidRPr="00416DAE">
        <w:rPr>
          <w:rFonts w:ascii="Arial" w:hAnsi="Arial" w:cs="Arial"/>
        </w:rPr>
        <w:t xml:space="preserve"> (5</w:t>
      </w:r>
      <w:r>
        <w:rPr>
          <w:rFonts w:ascii="Arial" w:hAnsi="Arial" w:cs="Arial"/>
        </w:rPr>
        <w:t xml:space="preserve"> </w:t>
      </w:r>
      <w:r>
        <w:rPr>
          <w:rFonts w:ascii="Arial" w:hAnsi="Arial" w:cs="Arial"/>
        </w:rPr>
        <w:lastRenderedPageBreak/>
        <w:t>studies</w:t>
      </w:r>
      <w:r w:rsidRPr="00416DAE">
        <w:rPr>
          <w:rFonts w:ascii="Arial" w:hAnsi="Arial" w:cs="Arial"/>
        </w:rPr>
        <w:t>,</w:t>
      </w:r>
      <w:r>
        <w:rPr>
          <w:rFonts w:ascii="Arial" w:hAnsi="Arial" w:cs="Arial"/>
        </w:rPr>
        <w:t xml:space="preserve"> 460 participants,</w:t>
      </w:r>
      <w:r w:rsidRPr="00416DAE">
        <w:rPr>
          <w:rFonts w:ascii="Arial" w:hAnsi="Arial" w:cs="Arial"/>
        </w:rPr>
        <w:t xml:space="preserve"> </w:t>
      </w:r>
      <w:r>
        <w:rPr>
          <w:rFonts w:ascii="Arial" w:hAnsi="Arial" w:cs="Arial"/>
        </w:rPr>
        <w:t>1 event</w:t>
      </w:r>
      <w:r w:rsidRPr="00416DAE">
        <w:rPr>
          <w:rFonts w:ascii="Arial" w:hAnsi="Arial" w:cs="Arial"/>
        </w:rPr>
        <w:t>) versus 0.23% (95% CI 0.1-0.52%</w:t>
      </w:r>
      <w:r>
        <w:rPr>
          <w:rFonts w:ascii="Arial" w:hAnsi="Arial" w:cs="Arial"/>
        </w:rPr>
        <w:t>) (</w:t>
      </w:r>
      <w:r w:rsidRPr="00416DAE">
        <w:rPr>
          <w:rFonts w:ascii="Arial" w:hAnsi="Arial" w:cs="Arial"/>
        </w:rPr>
        <w:t>2</w:t>
      </w:r>
      <w:r>
        <w:rPr>
          <w:rFonts w:ascii="Arial" w:hAnsi="Arial" w:cs="Arial"/>
        </w:rPr>
        <w:t>8 studies</w:t>
      </w:r>
      <w:r w:rsidRPr="00416DAE">
        <w:rPr>
          <w:rFonts w:ascii="Arial" w:hAnsi="Arial" w:cs="Arial"/>
        </w:rPr>
        <w:t>,</w:t>
      </w:r>
      <w:r>
        <w:rPr>
          <w:rFonts w:ascii="Arial" w:hAnsi="Arial" w:cs="Arial"/>
        </w:rPr>
        <w:t xml:space="preserve"> 4834 participants</w:t>
      </w:r>
      <w:r w:rsidRPr="00416DAE">
        <w:rPr>
          <w:rFonts w:ascii="Arial" w:hAnsi="Arial" w:cs="Arial"/>
        </w:rPr>
        <w:t xml:space="preserve">, </w:t>
      </w:r>
      <w:r>
        <w:rPr>
          <w:rFonts w:ascii="Arial" w:hAnsi="Arial" w:cs="Arial"/>
        </w:rPr>
        <w:t>3 events</w:t>
      </w:r>
      <w:r w:rsidRPr="00416DAE">
        <w:rPr>
          <w:rFonts w:ascii="Arial" w:hAnsi="Arial" w:cs="Arial"/>
        </w:rPr>
        <w:t xml:space="preserve">) for mechanical </w:t>
      </w:r>
      <w:r>
        <w:rPr>
          <w:rFonts w:ascii="Arial" w:hAnsi="Arial" w:cs="Arial"/>
        </w:rPr>
        <w:t xml:space="preserve">measures </w:t>
      </w:r>
      <w:r w:rsidRPr="00416DAE">
        <w:rPr>
          <w:rFonts w:ascii="Arial" w:hAnsi="Arial" w:cs="Arial"/>
        </w:rPr>
        <w:t xml:space="preserve">alone. </w:t>
      </w:r>
      <w:r>
        <w:rPr>
          <w:rFonts w:ascii="Arial" w:hAnsi="Arial" w:cs="Arial"/>
        </w:rPr>
        <w:t>T</w:t>
      </w:r>
      <w:r w:rsidRPr="00416DAE">
        <w:rPr>
          <w:rFonts w:ascii="Arial" w:hAnsi="Arial" w:cs="Arial"/>
        </w:rPr>
        <w:t xml:space="preserve">he rate of </w:t>
      </w:r>
      <w:r>
        <w:rPr>
          <w:rFonts w:ascii="Arial" w:hAnsi="Arial" w:cs="Arial"/>
        </w:rPr>
        <w:t>EHIT grade III-IV</w:t>
      </w:r>
      <w:r w:rsidRPr="00416DAE">
        <w:rPr>
          <w:rFonts w:ascii="Arial" w:hAnsi="Arial" w:cs="Arial"/>
        </w:rPr>
        <w:t xml:space="preserve"> </w:t>
      </w:r>
      <w:r>
        <w:rPr>
          <w:rFonts w:ascii="Arial" w:hAnsi="Arial" w:cs="Arial"/>
        </w:rPr>
        <w:t xml:space="preserve">was </w:t>
      </w:r>
      <w:r w:rsidRPr="00416DAE">
        <w:rPr>
          <w:rFonts w:ascii="Arial" w:hAnsi="Arial" w:cs="Arial"/>
        </w:rPr>
        <w:t xml:space="preserve">0.35% (95% CI 0.09-1.40) </w:t>
      </w:r>
      <w:r>
        <w:rPr>
          <w:rFonts w:ascii="Arial" w:hAnsi="Arial" w:cs="Arial"/>
        </w:rPr>
        <w:t xml:space="preserve">versus </w:t>
      </w:r>
      <w:r w:rsidRPr="00416DAE">
        <w:rPr>
          <w:rFonts w:ascii="Arial" w:hAnsi="Arial" w:cs="Arial"/>
        </w:rPr>
        <w:t>0.88% (95% CI 0.28-2.70%)</w:t>
      </w:r>
      <w:r w:rsidR="00AC50EC">
        <w:rPr>
          <w:rFonts w:ascii="Arial" w:hAnsi="Arial" w:cs="Arial"/>
        </w:rPr>
        <w:t>. T</w:t>
      </w:r>
      <w:r>
        <w:rPr>
          <w:rFonts w:ascii="Arial" w:hAnsi="Arial" w:cs="Arial"/>
        </w:rPr>
        <w:t>here was one VTE-related mortality and one instance of major bleeding</w:t>
      </w:r>
      <w:r w:rsidR="009200D1">
        <w:rPr>
          <w:rFonts w:ascii="Arial" w:hAnsi="Arial" w:cs="Arial"/>
        </w:rPr>
        <w:t>, with low rates of minor bleeding</w:t>
      </w:r>
      <w:r>
        <w:rPr>
          <w:rFonts w:ascii="Arial" w:hAnsi="Arial" w:cs="Arial"/>
        </w:rPr>
        <w:t>.</w:t>
      </w:r>
    </w:p>
    <w:p w14:paraId="0AC7455E" w14:textId="77777777" w:rsidR="00063E33" w:rsidRPr="00416DAE" w:rsidRDefault="00063E33" w:rsidP="00063E33">
      <w:pPr>
        <w:spacing w:line="480" w:lineRule="auto"/>
        <w:jc w:val="both"/>
        <w:rPr>
          <w:rFonts w:ascii="Arial" w:hAnsi="Arial" w:cs="Arial"/>
          <w:color w:val="000000"/>
        </w:rPr>
      </w:pPr>
    </w:p>
    <w:p w14:paraId="19BCE112" w14:textId="712EE212" w:rsidR="00063E33" w:rsidRPr="00416DAE" w:rsidRDefault="00063E33" w:rsidP="00063E33">
      <w:pPr>
        <w:spacing w:line="480" w:lineRule="auto"/>
        <w:jc w:val="both"/>
        <w:rPr>
          <w:rFonts w:ascii="Arial" w:hAnsi="Arial" w:cs="Arial"/>
          <w:b/>
          <w:bCs/>
          <w:i/>
          <w:iCs/>
          <w:color w:val="000000"/>
        </w:rPr>
      </w:pPr>
      <w:r w:rsidRPr="00416DAE">
        <w:rPr>
          <w:rFonts w:ascii="Arial" w:hAnsi="Arial" w:cs="Arial"/>
          <w:i/>
          <w:iCs/>
          <w:color w:val="000000"/>
        </w:rPr>
        <w:t>Conclusions</w:t>
      </w:r>
    </w:p>
    <w:p w14:paraId="7E1332AC" w14:textId="53170CF9" w:rsidR="00063E33" w:rsidRPr="00B42F98" w:rsidRDefault="00063E33" w:rsidP="00063E33">
      <w:pPr>
        <w:spacing w:line="480" w:lineRule="auto"/>
        <w:jc w:val="both"/>
        <w:rPr>
          <w:rFonts w:ascii="Arial" w:hAnsi="Arial" w:cs="Arial"/>
          <w:color w:val="000000"/>
        </w:rPr>
      </w:pPr>
      <w:r w:rsidRPr="00416DAE">
        <w:rPr>
          <w:rFonts w:ascii="Arial" w:hAnsi="Arial" w:cs="Arial"/>
          <w:color w:val="000000"/>
        </w:rPr>
        <w:t>Th</w:t>
      </w:r>
      <w:r w:rsidR="00AC50EC">
        <w:rPr>
          <w:rFonts w:ascii="Arial" w:hAnsi="Arial" w:cs="Arial"/>
          <w:color w:val="000000"/>
        </w:rPr>
        <w:t xml:space="preserve">ere is a </w:t>
      </w:r>
      <w:r w:rsidRPr="00416DAE">
        <w:rPr>
          <w:rFonts w:ascii="Arial" w:hAnsi="Arial" w:cs="Arial"/>
          <w:color w:val="000000"/>
        </w:rPr>
        <w:t xml:space="preserve">significant reduction in the rate of </w:t>
      </w:r>
      <w:r>
        <w:rPr>
          <w:rFonts w:ascii="Arial" w:hAnsi="Arial" w:cs="Arial"/>
          <w:color w:val="000000"/>
        </w:rPr>
        <w:t>DVT</w:t>
      </w:r>
      <w:r w:rsidRPr="00416DAE">
        <w:rPr>
          <w:rFonts w:ascii="Arial" w:hAnsi="Arial" w:cs="Arial"/>
          <w:color w:val="000000"/>
        </w:rPr>
        <w:t xml:space="preserve"> with</w:t>
      </w:r>
      <w:r>
        <w:rPr>
          <w:rFonts w:ascii="Arial" w:hAnsi="Arial" w:cs="Arial"/>
          <w:color w:val="000000"/>
        </w:rPr>
        <w:t xml:space="preserve"> additional pharmacological</w:t>
      </w:r>
      <w:r w:rsidRPr="00416DAE">
        <w:rPr>
          <w:rFonts w:ascii="Arial" w:hAnsi="Arial" w:cs="Arial"/>
          <w:color w:val="000000"/>
        </w:rPr>
        <w:t xml:space="preserve"> </w:t>
      </w:r>
      <w:r>
        <w:rPr>
          <w:rFonts w:ascii="Arial" w:hAnsi="Arial" w:cs="Arial"/>
          <w:color w:val="000000"/>
        </w:rPr>
        <w:t xml:space="preserve">thromboprophylaxis </w:t>
      </w:r>
      <w:r w:rsidRPr="00416DAE">
        <w:rPr>
          <w:rFonts w:ascii="Arial" w:hAnsi="Arial" w:cs="Arial"/>
          <w:color w:val="000000"/>
        </w:rPr>
        <w:t xml:space="preserve">and routine </w:t>
      </w:r>
      <w:r>
        <w:rPr>
          <w:rFonts w:ascii="Arial" w:hAnsi="Arial" w:cs="Arial"/>
          <w:color w:val="000000"/>
        </w:rPr>
        <w:t>prescription of anticoagulation fo</w:t>
      </w:r>
      <w:r w:rsidR="00AC50EC">
        <w:rPr>
          <w:rFonts w:ascii="Arial" w:hAnsi="Arial" w:cs="Arial"/>
          <w:color w:val="000000"/>
        </w:rPr>
        <w:t>llowing</w:t>
      </w:r>
      <w:r>
        <w:rPr>
          <w:rFonts w:ascii="Arial" w:hAnsi="Arial" w:cs="Arial"/>
          <w:color w:val="000000"/>
        </w:rPr>
        <w:t xml:space="preserve"> endovenous varicose vein intervention</w:t>
      </w:r>
      <w:r w:rsidR="00AC50EC">
        <w:rPr>
          <w:rFonts w:ascii="Arial" w:hAnsi="Arial" w:cs="Arial"/>
          <w:color w:val="000000"/>
        </w:rPr>
        <w:t xml:space="preserve"> should be considered</w:t>
      </w:r>
      <w:r>
        <w:rPr>
          <w:rFonts w:ascii="Arial" w:hAnsi="Arial" w:cs="Arial"/>
          <w:color w:val="000000"/>
        </w:rPr>
        <w:t xml:space="preserve">. </w:t>
      </w:r>
      <w:r w:rsidR="0025550B" w:rsidRPr="008C03DA">
        <w:rPr>
          <w:rFonts w:ascii="Arial" w:hAnsi="Arial" w:cs="Arial"/>
          <w:color w:val="000000"/>
          <w:highlight w:val="yellow"/>
        </w:rPr>
        <w:t>VTE risk for individual study participants is heterogeneous and risk stratification in future randomised interventional studies is critical to establish the clinical effectiveness and safety of additional pharmacological thromboprophylaxis.</w:t>
      </w:r>
      <w:r w:rsidRPr="00416DAE">
        <w:rPr>
          <w:rFonts w:ascii="Arial" w:hAnsi="Arial" w:cs="Arial"/>
          <w:color w:val="000000"/>
        </w:rPr>
        <w:br w:type="page"/>
      </w:r>
    </w:p>
    <w:p w14:paraId="418BE719" w14:textId="77777777" w:rsidR="00063E33" w:rsidRPr="00416DAE" w:rsidRDefault="00063E33" w:rsidP="00063E33">
      <w:pPr>
        <w:spacing w:line="480" w:lineRule="auto"/>
        <w:jc w:val="both"/>
        <w:rPr>
          <w:rFonts w:ascii="Arial" w:hAnsi="Arial" w:cs="Arial"/>
        </w:rPr>
      </w:pPr>
      <w:r w:rsidRPr="00416DAE">
        <w:rPr>
          <w:rFonts w:ascii="Arial" w:hAnsi="Arial" w:cs="Arial"/>
          <w:b/>
        </w:rPr>
        <w:lastRenderedPageBreak/>
        <w:t>Background</w:t>
      </w:r>
    </w:p>
    <w:p w14:paraId="2F2D723D" w14:textId="692EFCAD" w:rsidR="00063E33" w:rsidRDefault="00063E33" w:rsidP="00063E33">
      <w:pPr>
        <w:spacing w:line="480" w:lineRule="auto"/>
        <w:jc w:val="both"/>
        <w:rPr>
          <w:rFonts w:ascii="Arial" w:hAnsi="Arial" w:cs="Arial"/>
        </w:rPr>
      </w:pPr>
      <w:r w:rsidRPr="00416DAE">
        <w:rPr>
          <w:rFonts w:ascii="Arial" w:hAnsi="Arial" w:cs="Arial"/>
        </w:rPr>
        <w:t xml:space="preserve">The rate of </w:t>
      </w:r>
      <w:r>
        <w:rPr>
          <w:rFonts w:ascii="Arial" w:hAnsi="Arial" w:cs="Arial"/>
        </w:rPr>
        <w:t xml:space="preserve">venous thromboembolism (VTE) </w:t>
      </w:r>
      <w:r w:rsidRPr="00416DAE">
        <w:rPr>
          <w:rFonts w:ascii="Arial" w:hAnsi="Arial" w:cs="Arial"/>
        </w:rPr>
        <w:t xml:space="preserve">after endovenous </w:t>
      </w:r>
      <w:r>
        <w:rPr>
          <w:rFonts w:ascii="Arial" w:hAnsi="Arial" w:cs="Arial"/>
        </w:rPr>
        <w:t>intervention for superficial venous incompetence has been the topic of considerable debate</w:t>
      </w:r>
      <w:r w:rsidRPr="00851C0C">
        <w:rPr>
          <w:rFonts w:ascii="Arial" w:hAnsi="Arial" w:cs="Arial"/>
          <w:noProof/>
          <w:vertAlign w:val="superscript"/>
        </w:rPr>
        <w:t>1-</w:t>
      </w:r>
      <w:proofErr w:type="gramStart"/>
      <w:r w:rsidRPr="00851C0C">
        <w:rPr>
          <w:rFonts w:ascii="Arial" w:hAnsi="Arial" w:cs="Arial"/>
          <w:noProof/>
          <w:vertAlign w:val="superscript"/>
        </w:rPr>
        <w:t>3</w:t>
      </w:r>
      <w:r>
        <w:rPr>
          <w:rFonts w:ascii="Arial" w:hAnsi="Arial" w:cs="Arial"/>
        </w:rPr>
        <w:t>,</w:t>
      </w:r>
      <w:r w:rsidR="007A1EAE">
        <w:rPr>
          <w:rFonts w:ascii="Arial" w:hAnsi="Arial" w:cs="Arial"/>
        </w:rPr>
        <w:t xml:space="preserve"> </w:t>
      </w:r>
      <w:r>
        <w:rPr>
          <w:rFonts w:ascii="Arial" w:hAnsi="Arial" w:cs="Arial"/>
        </w:rPr>
        <w:t>but</w:t>
      </w:r>
      <w:proofErr w:type="gramEnd"/>
      <w:r w:rsidRPr="00416DAE">
        <w:rPr>
          <w:rFonts w:ascii="Arial" w:hAnsi="Arial" w:cs="Arial"/>
        </w:rPr>
        <w:t xml:space="preserve"> remains higher than other</w:t>
      </w:r>
      <w:r>
        <w:rPr>
          <w:rFonts w:ascii="Arial" w:hAnsi="Arial" w:cs="Arial"/>
        </w:rPr>
        <w:t xml:space="preserve"> day-case </w:t>
      </w:r>
      <w:r w:rsidRPr="00416DAE">
        <w:rPr>
          <w:rFonts w:ascii="Arial" w:hAnsi="Arial" w:cs="Arial"/>
        </w:rPr>
        <w:t>surgical procedures such as laparoscopic cholecystectomy</w:t>
      </w:r>
      <w:r>
        <w:rPr>
          <w:rFonts w:ascii="Arial" w:hAnsi="Arial" w:cs="Arial"/>
        </w:rPr>
        <w:t>, or major abdominal procedures such as colectomy</w:t>
      </w:r>
      <w:r w:rsidRPr="00851C0C">
        <w:rPr>
          <w:rFonts w:ascii="Arial" w:hAnsi="Arial" w:cs="Arial"/>
          <w:noProof/>
          <w:vertAlign w:val="superscript"/>
        </w:rPr>
        <w:t>4-6</w:t>
      </w:r>
      <w:r>
        <w:rPr>
          <w:rFonts w:ascii="Arial" w:hAnsi="Arial" w:cs="Arial"/>
        </w:rPr>
        <w:t xml:space="preserve">. </w:t>
      </w:r>
      <w:r w:rsidRPr="00416DAE">
        <w:rPr>
          <w:rFonts w:ascii="Arial" w:hAnsi="Arial" w:cs="Arial"/>
        </w:rPr>
        <w:t>Though the overall</w:t>
      </w:r>
      <w:r>
        <w:rPr>
          <w:rFonts w:ascii="Arial" w:hAnsi="Arial" w:cs="Arial"/>
        </w:rPr>
        <w:t xml:space="preserve"> mortality</w:t>
      </w:r>
      <w:r w:rsidRPr="00416DAE">
        <w:rPr>
          <w:rFonts w:ascii="Arial" w:hAnsi="Arial" w:cs="Arial"/>
        </w:rPr>
        <w:t xml:space="preserve"> rate is low, deaths following endovenous </w:t>
      </w:r>
      <w:r>
        <w:rPr>
          <w:rFonts w:ascii="Arial" w:hAnsi="Arial" w:cs="Arial"/>
        </w:rPr>
        <w:t>procedures</w:t>
      </w:r>
      <w:r w:rsidRPr="00416DAE">
        <w:rPr>
          <w:rFonts w:ascii="Arial" w:hAnsi="Arial" w:cs="Arial"/>
        </w:rPr>
        <w:t xml:space="preserve"> </w:t>
      </w:r>
      <w:r>
        <w:rPr>
          <w:rFonts w:ascii="Arial" w:hAnsi="Arial" w:cs="Arial"/>
        </w:rPr>
        <w:t>have been noted in the media, secondary to pulmonary emboli (PE) from deep venous thromboses (DVT)</w:t>
      </w:r>
      <w:r w:rsidRPr="00851C0C">
        <w:rPr>
          <w:rFonts w:ascii="Arial" w:hAnsi="Arial" w:cs="Arial"/>
          <w:noProof/>
          <w:vertAlign w:val="superscript"/>
        </w:rPr>
        <w:t>7,8</w:t>
      </w:r>
      <w:r w:rsidRPr="00416DAE">
        <w:rPr>
          <w:rFonts w:ascii="Arial" w:hAnsi="Arial" w:cs="Arial"/>
        </w:rPr>
        <w:t xml:space="preserve">. Of those developing VTE, 30% will </w:t>
      </w:r>
      <w:r>
        <w:rPr>
          <w:rFonts w:ascii="Arial" w:hAnsi="Arial" w:cs="Arial"/>
        </w:rPr>
        <w:t>experience</w:t>
      </w:r>
      <w:r w:rsidRPr="00416DAE">
        <w:rPr>
          <w:rFonts w:ascii="Arial" w:hAnsi="Arial" w:cs="Arial"/>
        </w:rPr>
        <w:t xml:space="preserve"> a recurrence within 10 years</w:t>
      </w:r>
      <w:r>
        <w:rPr>
          <w:rFonts w:ascii="Arial" w:hAnsi="Arial" w:cs="Arial"/>
        </w:rPr>
        <w:t xml:space="preserve"> and</w:t>
      </w:r>
      <w:r w:rsidRPr="00416DAE">
        <w:rPr>
          <w:rFonts w:ascii="Arial" w:hAnsi="Arial" w:cs="Arial"/>
        </w:rPr>
        <w:t xml:space="preserve"> 20% of patients with PE will die before diagnosis</w:t>
      </w:r>
      <w:r w:rsidRPr="00851C0C">
        <w:rPr>
          <w:rFonts w:ascii="Arial" w:hAnsi="Arial" w:cs="Arial"/>
          <w:noProof/>
          <w:vertAlign w:val="superscript"/>
        </w:rPr>
        <w:t>9</w:t>
      </w:r>
      <w:r w:rsidRPr="00416DAE">
        <w:rPr>
          <w:rFonts w:ascii="Arial" w:hAnsi="Arial" w:cs="Arial"/>
        </w:rPr>
        <w:t>. Moreover, DVT carries a</w:t>
      </w:r>
      <w:r>
        <w:rPr>
          <w:rFonts w:ascii="Arial" w:hAnsi="Arial" w:cs="Arial"/>
        </w:rPr>
        <w:t xml:space="preserve"> serious risk of morbidity through the development</w:t>
      </w:r>
      <w:r w:rsidRPr="00416DAE">
        <w:rPr>
          <w:rFonts w:ascii="Arial" w:hAnsi="Arial" w:cs="Arial"/>
        </w:rPr>
        <w:t xml:space="preserve"> of post-thrombotic syndrome in 40% after iliofemoral DVT and 30% </w:t>
      </w:r>
      <w:r>
        <w:rPr>
          <w:rFonts w:ascii="Arial" w:hAnsi="Arial" w:cs="Arial"/>
        </w:rPr>
        <w:t>after distal DVT</w:t>
      </w:r>
      <w:r w:rsidRPr="00851C0C">
        <w:rPr>
          <w:rFonts w:ascii="Arial" w:hAnsi="Arial" w:cs="Arial"/>
          <w:noProof/>
          <w:vertAlign w:val="superscript"/>
        </w:rPr>
        <w:t>10,11</w:t>
      </w:r>
      <w:r w:rsidRPr="00416DAE">
        <w:rPr>
          <w:rFonts w:ascii="Arial" w:hAnsi="Arial" w:cs="Arial"/>
        </w:rPr>
        <w:t>.</w:t>
      </w:r>
    </w:p>
    <w:p w14:paraId="7D8464EC" w14:textId="77777777" w:rsidR="00063E33" w:rsidRDefault="00063E33" w:rsidP="00063E33">
      <w:pPr>
        <w:spacing w:line="480" w:lineRule="auto"/>
        <w:jc w:val="both"/>
        <w:rPr>
          <w:rFonts w:ascii="Arial" w:hAnsi="Arial" w:cs="Arial"/>
        </w:rPr>
      </w:pPr>
    </w:p>
    <w:p w14:paraId="5B20BEF9" w14:textId="314D77D8" w:rsidR="00063E33" w:rsidRDefault="00063E33" w:rsidP="00063E33">
      <w:pPr>
        <w:spacing w:line="480" w:lineRule="auto"/>
        <w:jc w:val="both"/>
        <w:rPr>
          <w:rFonts w:ascii="Arial" w:hAnsi="Arial" w:cs="Arial"/>
        </w:rPr>
      </w:pPr>
      <w:r w:rsidRPr="00416DAE">
        <w:rPr>
          <w:rFonts w:ascii="Arial" w:hAnsi="Arial" w:cs="Arial"/>
        </w:rPr>
        <w:t xml:space="preserve">Thromboprophylaxis </w:t>
      </w:r>
      <w:r>
        <w:rPr>
          <w:rFonts w:ascii="Arial" w:hAnsi="Arial" w:cs="Arial"/>
        </w:rPr>
        <w:t xml:space="preserve">can be used to reduce the occurrence of VTE and is subdivided into </w:t>
      </w:r>
      <w:r w:rsidRPr="00416DAE">
        <w:rPr>
          <w:rFonts w:ascii="Arial" w:hAnsi="Arial" w:cs="Arial"/>
        </w:rPr>
        <w:t xml:space="preserve">mechanical </w:t>
      </w:r>
      <w:r>
        <w:rPr>
          <w:rFonts w:ascii="Arial" w:hAnsi="Arial" w:cs="Arial"/>
        </w:rPr>
        <w:t xml:space="preserve">measures, such as compression stockings or compression bandages, </w:t>
      </w:r>
      <w:r w:rsidRPr="00416DAE">
        <w:rPr>
          <w:rFonts w:ascii="Arial" w:hAnsi="Arial" w:cs="Arial"/>
        </w:rPr>
        <w:t xml:space="preserve">and pharmacological </w:t>
      </w:r>
      <w:r>
        <w:rPr>
          <w:rFonts w:ascii="Arial" w:hAnsi="Arial" w:cs="Arial"/>
        </w:rPr>
        <w:t>measures, such as anticoagulant medications</w:t>
      </w:r>
      <w:r w:rsidRPr="00416DAE">
        <w:rPr>
          <w:rFonts w:ascii="Arial" w:hAnsi="Arial" w:cs="Arial"/>
        </w:rPr>
        <w:t xml:space="preserve">. </w:t>
      </w:r>
      <w:r>
        <w:rPr>
          <w:rFonts w:ascii="Arial" w:hAnsi="Arial" w:cs="Arial"/>
        </w:rPr>
        <w:t xml:space="preserve">The most recent </w:t>
      </w:r>
      <w:r w:rsidRPr="00416DAE">
        <w:rPr>
          <w:rFonts w:ascii="Arial" w:hAnsi="Arial" w:cs="Arial"/>
        </w:rPr>
        <w:t xml:space="preserve">European Society of Vascular Surgery </w:t>
      </w:r>
      <w:r>
        <w:rPr>
          <w:rFonts w:ascii="Arial" w:hAnsi="Arial" w:cs="Arial"/>
        </w:rPr>
        <w:t xml:space="preserve">(ESVS) </w:t>
      </w:r>
      <w:r w:rsidRPr="00416DAE">
        <w:rPr>
          <w:rFonts w:ascii="Arial" w:hAnsi="Arial" w:cs="Arial"/>
        </w:rPr>
        <w:t xml:space="preserve">guidelines suggest an individualised VTE risk assessment for every patient undergoing varicose vein </w:t>
      </w:r>
      <w:r w:rsidR="000047AB">
        <w:rPr>
          <w:rFonts w:ascii="Arial" w:hAnsi="Arial" w:cs="Arial"/>
        </w:rPr>
        <w:t>intervention</w:t>
      </w:r>
      <w:r w:rsidRPr="00851C0C">
        <w:rPr>
          <w:rFonts w:ascii="Arial" w:hAnsi="Arial" w:cs="Arial"/>
          <w:noProof/>
          <w:vertAlign w:val="superscript"/>
        </w:rPr>
        <w:t>12</w:t>
      </w:r>
      <w:r>
        <w:rPr>
          <w:rFonts w:ascii="Arial" w:hAnsi="Arial" w:cs="Arial"/>
        </w:rPr>
        <w:t>. Alt</w:t>
      </w:r>
      <w:r w:rsidRPr="00416DAE">
        <w:rPr>
          <w:rFonts w:ascii="Arial" w:hAnsi="Arial" w:cs="Arial"/>
        </w:rPr>
        <w:t xml:space="preserve">hough </w:t>
      </w:r>
      <w:r>
        <w:rPr>
          <w:rFonts w:ascii="Arial" w:hAnsi="Arial" w:cs="Arial"/>
        </w:rPr>
        <w:t>anticoagulants</w:t>
      </w:r>
      <w:r w:rsidRPr="00416DAE">
        <w:rPr>
          <w:rFonts w:ascii="Arial" w:hAnsi="Arial" w:cs="Arial"/>
        </w:rPr>
        <w:t xml:space="preserve"> are commonly administered following varicose vein </w:t>
      </w:r>
      <w:r w:rsidR="000047AB">
        <w:rPr>
          <w:rFonts w:ascii="Arial" w:hAnsi="Arial" w:cs="Arial"/>
        </w:rPr>
        <w:t>intervention</w:t>
      </w:r>
      <w:r w:rsidRPr="00851C0C">
        <w:rPr>
          <w:rFonts w:ascii="Arial" w:hAnsi="Arial" w:cs="Arial"/>
          <w:noProof/>
          <w:vertAlign w:val="superscript"/>
        </w:rPr>
        <w:t>13</w:t>
      </w:r>
      <w:r w:rsidRPr="00416DAE">
        <w:rPr>
          <w:rFonts w:ascii="Arial" w:hAnsi="Arial" w:cs="Arial"/>
        </w:rPr>
        <w:t xml:space="preserve">, </w:t>
      </w:r>
      <w:r>
        <w:rPr>
          <w:rFonts w:ascii="Arial" w:hAnsi="Arial" w:cs="Arial"/>
        </w:rPr>
        <w:t xml:space="preserve">there is a lack of consensus as to the optimal pharmacological thromboprophylaxis strategy. </w:t>
      </w:r>
      <w:r w:rsidRPr="00416DAE">
        <w:rPr>
          <w:rFonts w:ascii="Arial" w:hAnsi="Arial" w:cs="Arial"/>
        </w:rPr>
        <w:t xml:space="preserve">This study aimed to </w:t>
      </w:r>
      <w:r>
        <w:rPr>
          <w:rFonts w:ascii="Arial" w:hAnsi="Arial" w:cs="Arial"/>
        </w:rPr>
        <w:t xml:space="preserve">pool previously published data, </w:t>
      </w:r>
      <w:r w:rsidRPr="00416DAE">
        <w:rPr>
          <w:rFonts w:ascii="Arial" w:hAnsi="Arial" w:cs="Arial"/>
        </w:rPr>
        <w:t xml:space="preserve">to </w:t>
      </w:r>
      <w:r>
        <w:rPr>
          <w:rFonts w:ascii="Arial" w:hAnsi="Arial" w:cs="Arial"/>
        </w:rPr>
        <w:t>elicit the rate of DVT and PE in trial arms with</w:t>
      </w:r>
      <w:r w:rsidRPr="00416DAE">
        <w:rPr>
          <w:rFonts w:ascii="Arial" w:hAnsi="Arial" w:cs="Arial"/>
        </w:rPr>
        <w:t xml:space="preserve"> </w:t>
      </w:r>
      <w:r>
        <w:rPr>
          <w:rFonts w:ascii="Arial" w:hAnsi="Arial" w:cs="Arial"/>
        </w:rPr>
        <w:t>mechanical and additional pharmacological thrombo</w:t>
      </w:r>
      <w:r w:rsidRPr="00416DAE">
        <w:rPr>
          <w:rFonts w:ascii="Arial" w:hAnsi="Arial" w:cs="Arial"/>
        </w:rPr>
        <w:t xml:space="preserve">prophylaxis </w:t>
      </w:r>
      <w:r>
        <w:rPr>
          <w:rFonts w:ascii="Arial" w:hAnsi="Arial" w:cs="Arial"/>
        </w:rPr>
        <w:t>versus mechanical thromboprophylaxis alone.</w:t>
      </w:r>
    </w:p>
    <w:p w14:paraId="124B3F6F" w14:textId="77777777" w:rsidR="00063E33" w:rsidRPr="00416DAE" w:rsidRDefault="00063E33" w:rsidP="00063E33">
      <w:pPr>
        <w:spacing w:line="480" w:lineRule="auto"/>
        <w:jc w:val="both"/>
        <w:rPr>
          <w:rFonts w:ascii="Arial" w:hAnsi="Arial" w:cs="Arial"/>
        </w:rPr>
      </w:pPr>
    </w:p>
    <w:p w14:paraId="6BCD4B28" w14:textId="77777777" w:rsidR="00063E33" w:rsidRPr="00416DAE" w:rsidRDefault="00063E33" w:rsidP="00063E33">
      <w:pPr>
        <w:spacing w:line="480" w:lineRule="auto"/>
        <w:jc w:val="both"/>
        <w:rPr>
          <w:rFonts w:ascii="Arial" w:hAnsi="Arial" w:cs="Arial"/>
          <w:b/>
          <w:bCs/>
        </w:rPr>
      </w:pPr>
      <w:r w:rsidRPr="00416DAE">
        <w:rPr>
          <w:rFonts w:ascii="Arial" w:hAnsi="Arial" w:cs="Arial"/>
          <w:b/>
          <w:bCs/>
        </w:rPr>
        <w:t>Methods</w:t>
      </w:r>
    </w:p>
    <w:p w14:paraId="3DC92276" w14:textId="77777777" w:rsidR="00063E33" w:rsidRPr="00416DAE" w:rsidRDefault="00063E33" w:rsidP="00063E33">
      <w:pPr>
        <w:spacing w:line="480" w:lineRule="auto"/>
        <w:jc w:val="both"/>
        <w:rPr>
          <w:rFonts w:ascii="Arial" w:hAnsi="Arial" w:cs="Arial"/>
          <w:color w:val="000000" w:themeColor="text1"/>
        </w:rPr>
      </w:pPr>
      <w:r w:rsidRPr="00416DAE">
        <w:rPr>
          <w:rFonts w:ascii="Arial" w:hAnsi="Arial" w:cs="Arial"/>
          <w:color w:val="000000" w:themeColor="text1"/>
        </w:rPr>
        <w:lastRenderedPageBreak/>
        <w:t>The Preferred Reporting Items for Systematic Reviews and Meta-Analysis (PRISMA) guidance was followed in conducting database searches</w:t>
      </w:r>
      <w:r w:rsidRPr="00851C0C">
        <w:rPr>
          <w:rFonts w:ascii="Arial" w:hAnsi="Arial" w:cs="Arial"/>
          <w:noProof/>
          <w:color w:val="000000" w:themeColor="text1"/>
          <w:vertAlign w:val="superscript"/>
        </w:rPr>
        <w:t>14</w:t>
      </w:r>
      <w:r w:rsidRPr="00416DAE">
        <w:rPr>
          <w:rFonts w:ascii="Arial" w:hAnsi="Arial" w:cs="Arial"/>
          <w:color w:val="000000" w:themeColor="text1"/>
        </w:rPr>
        <w:t xml:space="preserve">. The study protocol was pre-registered and </w:t>
      </w:r>
      <w:r>
        <w:rPr>
          <w:rFonts w:ascii="Arial" w:hAnsi="Arial" w:cs="Arial"/>
          <w:color w:val="000000" w:themeColor="text1"/>
        </w:rPr>
        <w:t xml:space="preserve">is </w:t>
      </w:r>
      <w:r w:rsidRPr="00416DAE">
        <w:rPr>
          <w:rFonts w:ascii="Arial" w:hAnsi="Arial" w:cs="Arial"/>
          <w:color w:val="000000" w:themeColor="text1"/>
        </w:rPr>
        <w:t xml:space="preserve">freely accessible </w:t>
      </w:r>
      <w:r w:rsidRPr="00416DAE">
        <w:rPr>
          <w:rFonts w:ascii="Arial" w:hAnsi="Arial" w:cs="Arial"/>
          <w:color w:val="000000"/>
        </w:rPr>
        <w:t>(PROSPERO:</w:t>
      </w:r>
      <w:r w:rsidRPr="00416DAE">
        <w:rPr>
          <w:rFonts w:ascii="Arial" w:hAnsi="Arial" w:cs="Arial"/>
          <w:color w:val="333333"/>
          <w:shd w:val="clear" w:color="auto" w:fill="FFFFFF"/>
        </w:rPr>
        <w:t xml:space="preserve"> </w:t>
      </w:r>
      <w:r w:rsidRPr="00416DAE">
        <w:rPr>
          <w:rFonts w:ascii="Arial" w:hAnsi="Arial" w:cs="Arial"/>
          <w:color w:val="000000"/>
        </w:rPr>
        <w:t>CRD42021274963)</w:t>
      </w:r>
      <w:r>
        <w:rPr>
          <w:rFonts w:ascii="Arial" w:hAnsi="Arial" w:cs="Arial"/>
          <w:color w:val="000000"/>
        </w:rPr>
        <w:t>.</w:t>
      </w:r>
    </w:p>
    <w:p w14:paraId="683BD61E" w14:textId="77777777" w:rsidR="00063E33" w:rsidRPr="00416DAE" w:rsidRDefault="00063E33" w:rsidP="00063E33">
      <w:pPr>
        <w:spacing w:line="480" w:lineRule="auto"/>
        <w:jc w:val="both"/>
        <w:rPr>
          <w:rFonts w:ascii="Arial" w:hAnsi="Arial" w:cs="Arial"/>
          <w:color w:val="000000" w:themeColor="text1"/>
        </w:rPr>
      </w:pPr>
    </w:p>
    <w:p w14:paraId="5A922127" w14:textId="77777777" w:rsidR="00063E33" w:rsidRPr="00416DAE" w:rsidRDefault="00063E33" w:rsidP="00063E33">
      <w:pPr>
        <w:pStyle w:val="Heading2"/>
        <w:spacing w:line="480" w:lineRule="auto"/>
        <w:jc w:val="both"/>
        <w:rPr>
          <w:rFonts w:ascii="Arial" w:hAnsi="Arial" w:cs="Arial"/>
          <w:i/>
          <w:iCs/>
          <w:color w:val="000000" w:themeColor="text1"/>
          <w:sz w:val="24"/>
          <w:szCs w:val="24"/>
        </w:rPr>
      </w:pPr>
      <w:r w:rsidRPr="00416DAE">
        <w:rPr>
          <w:rFonts w:ascii="Arial" w:hAnsi="Arial" w:cs="Arial"/>
          <w:i/>
          <w:iCs/>
          <w:color w:val="000000" w:themeColor="text1"/>
          <w:sz w:val="24"/>
          <w:szCs w:val="24"/>
        </w:rPr>
        <w:t>Search strategy</w:t>
      </w:r>
    </w:p>
    <w:p w14:paraId="330EB05B" w14:textId="7B611360" w:rsidR="00063E33" w:rsidRPr="00416DAE" w:rsidRDefault="00063E33" w:rsidP="00063E33">
      <w:pPr>
        <w:spacing w:line="480" w:lineRule="auto"/>
        <w:jc w:val="both"/>
        <w:rPr>
          <w:rFonts w:ascii="Arial" w:hAnsi="Arial" w:cs="Arial"/>
          <w:color w:val="000000" w:themeColor="text1"/>
        </w:rPr>
      </w:pPr>
      <w:r>
        <w:rPr>
          <w:rFonts w:ascii="Arial" w:hAnsi="Arial" w:cs="Arial"/>
          <w:color w:val="000000" w:themeColor="text1"/>
        </w:rPr>
        <w:t>The M</w:t>
      </w:r>
      <w:r w:rsidRPr="00416DAE">
        <w:rPr>
          <w:rFonts w:ascii="Arial" w:hAnsi="Arial" w:cs="Arial"/>
          <w:color w:val="000000" w:themeColor="text1"/>
        </w:rPr>
        <w:t xml:space="preserve">EDLINE, Embase and Cochrane databases were accessed </w:t>
      </w:r>
      <w:r>
        <w:rPr>
          <w:rFonts w:ascii="Arial" w:hAnsi="Arial" w:cs="Arial"/>
          <w:color w:val="000000" w:themeColor="text1"/>
        </w:rPr>
        <w:t>i</w:t>
      </w:r>
      <w:r w:rsidRPr="00416DAE">
        <w:rPr>
          <w:rFonts w:ascii="Arial" w:hAnsi="Arial" w:cs="Arial"/>
          <w:color w:val="000000" w:themeColor="text1"/>
        </w:rPr>
        <w:t xml:space="preserve">n </w:t>
      </w:r>
      <w:r>
        <w:rPr>
          <w:rFonts w:ascii="Arial" w:hAnsi="Arial" w:cs="Arial"/>
          <w:color w:val="000000" w:themeColor="text1"/>
        </w:rPr>
        <w:t xml:space="preserve">December </w:t>
      </w:r>
      <w:r w:rsidRPr="00416DAE">
        <w:rPr>
          <w:rFonts w:ascii="Arial" w:hAnsi="Arial" w:cs="Arial"/>
          <w:color w:val="000000" w:themeColor="text1"/>
        </w:rPr>
        <w:t>202</w:t>
      </w:r>
      <w:r>
        <w:rPr>
          <w:rFonts w:ascii="Arial" w:hAnsi="Arial" w:cs="Arial"/>
          <w:color w:val="000000" w:themeColor="text1"/>
        </w:rPr>
        <w:t>1</w:t>
      </w:r>
      <w:r w:rsidRPr="00416DAE">
        <w:rPr>
          <w:rFonts w:ascii="Arial" w:hAnsi="Arial" w:cs="Arial"/>
          <w:color w:val="000000" w:themeColor="text1"/>
        </w:rPr>
        <w:t xml:space="preserve">, without </w:t>
      </w:r>
      <w:r>
        <w:rPr>
          <w:rFonts w:ascii="Arial" w:hAnsi="Arial" w:cs="Arial"/>
          <w:color w:val="000000" w:themeColor="text1"/>
        </w:rPr>
        <w:t xml:space="preserve">search </w:t>
      </w:r>
      <w:r w:rsidRPr="00416DAE">
        <w:rPr>
          <w:rFonts w:ascii="Arial" w:hAnsi="Arial" w:cs="Arial"/>
          <w:color w:val="000000" w:themeColor="text1"/>
        </w:rPr>
        <w:t xml:space="preserve">limitations imposed. Unpublished literature was screened by searching for trials on ClinicalTrials.gov®, European Union Clinical Trials® and the International Standard Randomised Controlled Trial Number® (ISRCTN). Searches </w:t>
      </w:r>
      <w:r>
        <w:rPr>
          <w:rFonts w:ascii="Arial" w:hAnsi="Arial" w:cs="Arial"/>
          <w:color w:val="000000" w:themeColor="text1"/>
        </w:rPr>
        <w:t>used appropriate</w:t>
      </w:r>
      <w:r w:rsidRPr="00416DAE">
        <w:rPr>
          <w:rFonts w:ascii="Arial" w:hAnsi="Arial" w:cs="Arial"/>
          <w:color w:val="000000" w:themeColor="text1"/>
        </w:rPr>
        <w:t xml:space="preserve"> terms for varicose veins, </w:t>
      </w:r>
      <w:r>
        <w:rPr>
          <w:rFonts w:ascii="Arial" w:hAnsi="Arial" w:cs="Arial"/>
          <w:color w:val="000000" w:themeColor="text1"/>
        </w:rPr>
        <w:t>VTE</w:t>
      </w:r>
      <w:r w:rsidRPr="00416DAE">
        <w:rPr>
          <w:rFonts w:ascii="Arial" w:hAnsi="Arial" w:cs="Arial"/>
          <w:color w:val="000000" w:themeColor="text1"/>
        </w:rPr>
        <w:t xml:space="preserve"> and any endovenous varicose vein </w:t>
      </w:r>
      <w:r>
        <w:rPr>
          <w:rFonts w:ascii="Arial" w:hAnsi="Arial" w:cs="Arial"/>
          <w:color w:val="000000" w:themeColor="text1"/>
        </w:rPr>
        <w:t>interventions (see</w:t>
      </w:r>
      <w:r w:rsidRPr="00416DAE">
        <w:rPr>
          <w:rFonts w:ascii="Arial" w:hAnsi="Arial" w:cs="Arial"/>
          <w:color w:val="000000" w:themeColor="text1"/>
        </w:rPr>
        <w:t xml:space="preserve"> </w:t>
      </w:r>
      <w:r w:rsidR="00217766">
        <w:rPr>
          <w:rFonts w:ascii="Arial" w:hAnsi="Arial" w:cs="Arial"/>
          <w:color w:val="000000" w:themeColor="text1"/>
        </w:rPr>
        <w:t>Figure, Supplemental Digital Content 1</w:t>
      </w:r>
      <w:r>
        <w:rPr>
          <w:rFonts w:ascii="Arial" w:hAnsi="Arial" w:cs="Arial"/>
          <w:color w:val="000000" w:themeColor="text1"/>
        </w:rPr>
        <w:t>)</w:t>
      </w:r>
      <w:r w:rsidRPr="00416DAE">
        <w:rPr>
          <w:rFonts w:ascii="Arial" w:hAnsi="Arial" w:cs="Arial"/>
          <w:color w:val="000000" w:themeColor="text1"/>
        </w:rPr>
        <w:t>.</w:t>
      </w:r>
    </w:p>
    <w:p w14:paraId="55906F12" w14:textId="77777777" w:rsidR="00063E33" w:rsidRPr="00416DAE" w:rsidRDefault="00063E33" w:rsidP="00063E33">
      <w:pPr>
        <w:spacing w:line="480" w:lineRule="auto"/>
        <w:jc w:val="both"/>
        <w:rPr>
          <w:rFonts w:ascii="Arial" w:hAnsi="Arial" w:cs="Arial"/>
          <w:color w:val="000000" w:themeColor="text1"/>
        </w:rPr>
      </w:pPr>
    </w:p>
    <w:p w14:paraId="2101E17A" w14:textId="77777777" w:rsidR="00063E33" w:rsidRPr="00416DAE" w:rsidRDefault="00063E33" w:rsidP="00063E33">
      <w:pPr>
        <w:pStyle w:val="Heading2"/>
        <w:spacing w:line="480" w:lineRule="auto"/>
        <w:jc w:val="both"/>
        <w:rPr>
          <w:rFonts w:ascii="Arial" w:hAnsi="Arial" w:cs="Arial"/>
          <w:i/>
          <w:iCs/>
          <w:color w:val="000000" w:themeColor="text1"/>
          <w:sz w:val="24"/>
          <w:szCs w:val="24"/>
        </w:rPr>
      </w:pPr>
      <w:r w:rsidRPr="00416DAE">
        <w:rPr>
          <w:rFonts w:ascii="Arial" w:hAnsi="Arial" w:cs="Arial"/>
          <w:i/>
          <w:iCs/>
          <w:color w:val="000000" w:themeColor="text1"/>
          <w:sz w:val="24"/>
          <w:szCs w:val="24"/>
        </w:rPr>
        <w:t>Eligibility criteria</w:t>
      </w:r>
    </w:p>
    <w:p w14:paraId="6033DA4A" w14:textId="77777777" w:rsidR="00063E33" w:rsidRPr="00416DAE" w:rsidRDefault="00063E33" w:rsidP="00063E33">
      <w:pPr>
        <w:spacing w:line="480" w:lineRule="auto"/>
        <w:jc w:val="both"/>
        <w:rPr>
          <w:rFonts w:ascii="Arial" w:hAnsi="Arial" w:cs="Arial"/>
        </w:rPr>
      </w:pPr>
      <w:r w:rsidRPr="00416DAE">
        <w:rPr>
          <w:rFonts w:ascii="Arial" w:hAnsi="Arial" w:cs="Arial"/>
        </w:rPr>
        <w:t xml:space="preserve">Included articles </w:t>
      </w:r>
      <w:r>
        <w:rPr>
          <w:rFonts w:ascii="Arial" w:hAnsi="Arial" w:cs="Arial"/>
        </w:rPr>
        <w:t>had</w:t>
      </w:r>
      <w:r w:rsidRPr="00416DAE">
        <w:rPr>
          <w:rFonts w:ascii="Arial" w:hAnsi="Arial" w:cs="Arial"/>
        </w:rPr>
        <w:t xml:space="preserve"> the following characteristics:</w:t>
      </w:r>
    </w:p>
    <w:p w14:paraId="404A21F9" w14:textId="77777777" w:rsidR="00063E33" w:rsidRPr="00416DAE" w:rsidRDefault="00063E33" w:rsidP="00063E33">
      <w:pPr>
        <w:pStyle w:val="ListParagraph"/>
        <w:numPr>
          <w:ilvl w:val="0"/>
          <w:numId w:val="1"/>
        </w:numPr>
        <w:spacing w:after="160" w:line="480" w:lineRule="auto"/>
        <w:jc w:val="both"/>
        <w:rPr>
          <w:rFonts w:ascii="Arial" w:hAnsi="Arial" w:cs="Arial"/>
        </w:rPr>
      </w:pPr>
      <w:r>
        <w:rPr>
          <w:rFonts w:ascii="Arial" w:hAnsi="Arial" w:cs="Arial"/>
        </w:rPr>
        <w:t>Studies or trial arms reporting the rate of DVT or PE</w:t>
      </w:r>
    </w:p>
    <w:p w14:paraId="7706262B" w14:textId="77777777" w:rsidR="00063E33" w:rsidRPr="00416DAE" w:rsidRDefault="00063E33" w:rsidP="00063E33">
      <w:pPr>
        <w:pStyle w:val="ListParagraph"/>
        <w:numPr>
          <w:ilvl w:val="0"/>
          <w:numId w:val="1"/>
        </w:numPr>
        <w:spacing w:after="160" w:line="480" w:lineRule="auto"/>
        <w:jc w:val="both"/>
        <w:rPr>
          <w:rFonts w:ascii="Arial" w:hAnsi="Arial" w:cs="Arial"/>
        </w:rPr>
      </w:pPr>
      <w:r w:rsidRPr="00416DAE">
        <w:rPr>
          <w:rFonts w:ascii="Arial" w:hAnsi="Arial" w:cs="Arial"/>
        </w:rPr>
        <w:t xml:space="preserve">Patients with superficial venous reflux undergoing endovenous </w:t>
      </w:r>
      <w:r>
        <w:rPr>
          <w:rFonts w:ascii="Arial" w:hAnsi="Arial" w:cs="Arial"/>
        </w:rPr>
        <w:t>intervention</w:t>
      </w:r>
      <w:r w:rsidRPr="00416DAE">
        <w:rPr>
          <w:rFonts w:ascii="Arial" w:hAnsi="Arial" w:cs="Arial"/>
        </w:rPr>
        <w:t xml:space="preserve"> to obliterate truncal reflux</w:t>
      </w:r>
    </w:p>
    <w:p w14:paraId="41F34239" w14:textId="77777777" w:rsidR="00063E33" w:rsidRPr="00416DAE" w:rsidRDefault="00063E33" w:rsidP="00063E33">
      <w:pPr>
        <w:pStyle w:val="ListParagraph"/>
        <w:numPr>
          <w:ilvl w:val="0"/>
          <w:numId w:val="1"/>
        </w:numPr>
        <w:spacing w:after="160" w:line="480" w:lineRule="auto"/>
        <w:jc w:val="both"/>
        <w:rPr>
          <w:rFonts w:ascii="Arial" w:hAnsi="Arial" w:cs="Arial"/>
        </w:rPr>
      </w:pPr>
      <w:r>
        <w:rPr>
          <w:rFonts w:ascii="Arial" w:hAnsi="Arial" w:cs="Arial"/>
        </w:rPr>
        <w:t>30 patients or more</w:t>
      </w:r>
    </w:p>
    <w:p w14:paraId="2C404F43" w14:textId="77777777" w:rsidR="00063E33" w:rsidRPr="008A07F4" w:rsidRDefault="00063E33" w:rsidP="00063E33">
      <w:pPr>
        <w:spacing w:line="480" w:lineRule="auto"/>
        <w:jc w:val="both"/>
        <w:rPr>
          <w:rFonts w:ascii="Arial" w:hAnsi="Arial" w:cs="Arial"/>
        </w:rPr>
      </w:pPr>
      <w:r w:rsidRPr="00416DAE">
        <w:rPr>
          <w:rFonts w:ascii="Arial" w:hAnsi="Arial" w:cs="Arial"/>
        </w:rPr>
        <w:t>Excluded articles ha</w:t>
      </w:r>
      <w:r>
        <w:rPr>
          <w:rFonts w:ascii="Arial" w:hAnsi="Arial" w:cs="Arial"/>
        </w:rPr>
        <w:t>d</w:t>
      </w:r>
      <w:r w:rsidRPr="00416DAE">
        <w:rPr>
          <w:rFonts w:ascii="Arial" w:hAnsi="Arial" w:cs="Arial"/>
        </w:rPr>
        <w:t xml:space="preserve"> the following characteristics:</w:t>
      </w:r>
    </w:p>
    <w:p w14:paraId="3A2D8CEA" w14:textId="77777777" w:rsidR="00063E33" w:rsidRDefault="00063E33" w:rsidP="00063E33">
      <w:pPr>
        <w:pStyle w:val="ListParagraph"/>
        <w:numPr>
          <w:ilvl w:val="0"/>
          <w:numId w:val="2"/>
        </w:numPr>
        <w:spacing w:after="160" w:line="480" w:lineRule="auto"/>
        <w:jc w:val="both"/>
        <w:rPr>
          <w:rFonts w:ascii="Arial" w:hAnsi="Arial" w:cs="Arial"/>
        </w:rPr>
      </w:pPr>
      <w:r w:rsidRPr="00416DAE">
        <w:rPr>
          <w:rFonts w:ascii="Arial" w:hAnsi="Arial" w:cs="Arial"/>
        </w:rPr>
        <w:t>Open surgery for venous reflux</w:t>
      </w:r>
    </w:p>
    <w:p w14:paraId="0083C31B" w14:textId="77777777" w:rsidR="00063E33" w:rsidRPr="00416DAE" w:rsidRDefault="00063E33" w:rsidP="00063E33">
      <w:pPr>
        <w:pStyle w:val="ListParagraph"/>
        <w:numPr>
          <w:ilvl w:val="0"/>
          <w:numId w:val="2"/>
        </w:numPr>
        <w:spacing w:after="160" w:line="480" w:lineRule="auto"/>
        <w:jc w:val="both"/>
        <w:rPr>
          <w:rFonts w:ascii="Arial" w:hAnsi="Arial" w:cs="Arial"/>
        </w:rPr>
      </w:pPr>
      <w:r>
        <w:rPr>
          <w:rFonts w:ascii="Arial" w:hAnsi="Arial" w:cs="Arial"/>
        </w:rPr>
        <w:t>Omission of mechanical thromboprophylaxis</w:t>
      </w:r>
    </w:p>
    <w:p w14:paraId="59E08AF8" w14:textId="77777777" w:rsidR="00063E33" w:rsidRPr="00253D78" w:rsidRDefault="00063E33" w:rsidP="00063E33">
      <w:pPr>
        <w:pStyle w:val="ListParagraph"/>
        <w:numPr>
          <w:ilvl w:val="0"/>
          <w:numId w:val="2"/>
        </w:numPr>
        <w:spacing w:after="160" w:line="480" w:lineRule="auto"/>
        <w:jc w:val="both"/>
        <w:rPr>
          <w:rFonts w:ascii="Arial" w:hAnsi="Arial" w:cs="Arial"/>
        </w:rPr>
      </w:pPr>
      <w:r w:rsidRPr="008A07F4">
        <w:rPr>
          <w:rFonts w:ascii="Arial" w:hAnsi="Arial" w:cs="Arial"/>
        </w:rPr>
        <w:t xml:space="preserve">Full text not available in </w:t>
      </w:r>
      <w:r>
        <w:rPr>
          <w:rFonts w:ascii="Arial" w:hAnsi="Arial" w:cs="Arial"/>
        </w:rPr>
        <w:t xml:space="preserve">the </w:t>
      </w:r>
      <w:r w:rsidRPr="008A07F4">
        <w:rPr>
          <w:rFonts w:ascii="Arial" w:hAnsi="Arial" w:cs="Arial"/>
        </w:rPr>
        <w:t>English</w:t>
      </w:r>
      <w:r>
        <w:rPr>
          <w:rFonts w:ascii="Arial" w:hAnsi="Arial" w:cs="Arial"/>
        </w:rPr>
        <w:t xml:space="preserve"> language</w:t>
      </w:r>
      <w:r w:rsidRPr="008A07F4">
        <w:rPr>
          <w:rFonts w:ascii="Arial" w:hAnsi="Arial" w:cs="Arial"/>
        </w:rPr>
        <w:t>, review articles, case reports, conference abstracts, duplicate publications</w:t>
      </w:r>
    </w:p>
    <w:p w14:paraId="164033B9" w14:textId="77777777" w:rsidR="00063E33" w:rsidRPr="00416DAE" w:rsidRDefault="00063E33" w:rsidP="00063E33">
      <w:pPr>
        <w:pStyle w:val="Heading2"/>
        <w:spacing w:line="480" w:lineRule="auto"/>
        <w:jc w:val="both"/>
        <w:rPr>
          <w:rFonts w:ascii="Arial" w:hAnsi="Arial" w:cs="Arial"/>
          <w:i/>
          <w:iCs/>
          <w:color w:val="000000" w:themeColor="text1"/>
          <w:sz w:val="24"/>
          <w:szCs w:val="24"/>
        </w:rPr>
      </w:pPr>
      <w:r w:rsidRPr="00416DAE">
        <w:rPr>
          <w:rFonts w:ascii="Arial" w:hAnsi="Arial" w:cs="Arial"/>
          <w:i/>
          <w:iCs/>
          <w:color w:val="000000" w:themeColor="text1"/>
          <w:sz w:val="24"/>
          <w:szCs w:val="24"/>
        </w:rPr>
        <w:lastRenderedPageBreak/>
        <w:t>Article screening</w:t>
      </w:r>
    </w:p>
    <w:p w14:paraId="380D072A" w14:textId="77777777" w:rsidR="00063E33" w:rsidRPr="00416DAE" w:rsidRDefault="00063E33" w:rsidP="00063E33">
      <w:pPr>
        <w:spacing w:line="480" w:lineRule="auto"/>
        <w:jc w:val="both"/>
        <w:rPr>
          <w:rFonts w:ascii="Arial" w:hAnsi="Arial" w:cs="Arial"/>
          <w:color w:val="000000" w:themeColor="text1"/>
        </w:rPr>
      </w:pPr>
      <w:r w:rsidRPr="00416DAE">
        <w:rPr>
          <w:rFonts w:ascii="Arial" w:hAnsi="Arial" w:cs="Arial"/>
          <w:color w:val="000000" w:themeColor="text1"/>
        </w:rPr>
        <w:t xml:space="preserve">The articles were screened independently against the eligibility criteria by two reviewers (BT, SJ); any discrepancies were mediated by a third reviewer (MM). </w:t>
      </w:r>
      <w:r>
        <w:rPr>
          <w:rFonts w:ascii="Arial" w:hAnsi="Arial" w:cs="Arial"/>
          <w:color w:val="000000" w:themeColor="text1"/>
        </w:rPr>
        <w:t xml:space="preserve">The reference lists of all included articles were screened. </w:t>
      </w:r>
      <w:r w:rsidRPr="00416DAE">
        <w:rPr>
          <w:rFonts w:ascii="Arial" w:hAnsi="Arial" w:cs="Arial"/>
          <w:color w:val="000000" w:themeColor="text1"/>
        </w:rPr>
        <w:t>The screening process was conducted on EndNote X9® with titles and abstracts screened before full text review.</w:t>
      </w:r>
    </w:p>
    <w:p w14:paraId="66D8B09F" w14:textId="77777777" w:rsidR="00063E33" w:rsidRPr="00416DAE" w:rsidRDefault="00063E33" w:rsidP="00063E33">
      <w:pPr>
        <w:spacing w:line="480" w:lineRule="auto"/>
        <w:jc w:val="both"/>
        <w:rPr>
          <w:rFonts w:ascii="Arial" w:hAnsi="Arial" w:cs="Arial"/>
          <w:color w:val="000000" w:themeColor="text1"/>
        </w:rPr>
      </w:pPr>
    </w:p>
    <w:p w14:paraId="21FC9FDA" w14:textId="77777777" w:rsidR="00063E33" w:rsidRPr="00416DAE" w:rsidRDefault="00063E33" w:rsidP="00063E33">
      <w:pPr>
        <w:pStyle w:val="Heading2"/>
        <w:spacing w:line="480" w:lineRule="auto"/>
        <w:jc w:val="both"/>
        <w:rPr>
          <w:rFonts w:ascii="Arial" w:hAnsi="Arial" w:cs="Arial"/>
          <w:i/>
          <w:iCs/>
          <w:color w:val="000000" w:themeColor="text1"/>
          <w:sz w:val="24"/>
          <w:szCs w:val="24"/>
        </w:rPr>
      </w:pPr>
      <w:r w:rsidRPr="00416DAE">
        <w:rPr>
          <w:rFonts w:ascii="Arial" w:hAnsi="Arial" w:cs="Arial"/>
          <w:i/>
          <w:iCs/>
          <w:color w:val="000000" w:themeColor="text1"/>
          <w:sz w:val="24"/>
          <w:szCs w:val="24"/>
        </w:rPr>
        <w:t>Data extraction</w:t>
      </w:r>
      <w:r>
        <w:rPr>
          <w:rFonts w:ascii="Arial" w:hAnsi="Arial" w:cs="Arial"/>
          <w:i/>
          <w:iCs/>
          <w:color w:val="000000" w:themeColor="text1"/>
          <w:sz w:val="24"/>
          <w:szCs w:val="24"/>
        </w:rPr>
        <w:t xml:space="preserve"> and q</w:t>
      </w:r>
      <w:r w:rsidRPr="00416DAE">
        <w:rPr>
          <w:rFonts w:ascii="Arial" w:hAnsi="Arial" w:cs="Arial"/>
          <w:i/>
          <w:iCs/>
          <w:color w:val="000000" w:themeColor="text1"/>
          <w:sz w:val="24"/>
          <w:szCs w:val="24"/>
        </w:rPr>
        <w:t>uality assessment</w:t>
      </w:r>
    </w:p>
    <w:p w14:paraId="738D2ABC" w14:textId="022AD5E8" w:rsidR="00063E33" w:rsidRPr="00416DAE" w:rsidRDefault="00063E33" w:rsidP="00063E33">
      <w:pPr>
        <w:spacing w:line="480" w:lineRule="auto"/>
        <w:jc w:val="both"/>
        <w:rPr>
          <w:rFonts w:ascii="Arial" w:hAnsi="Arial" w:cs="Arial"/>
          <w:b/>
          <w:color w:val="000000" w:themeColor="text1"/>
        </w:rPr>
      </w:pPr>
      <w:r>
        <w:rPr>
          <w:rFonts w:ascii="Arial" w:hAnsi="Arial" w:cs="Arial"/>
          <w:color w:val="000000" w:themeColor="text1"/>
        </w:rPr>
        <w:t xml:space="preserve">Extraction of data and </w:t>
      </w:r>
      <w:r w:rsidR="00144293">
        <w:rPr>
          <w:rFonts w:ascii="Arial" w:hAnsi="Arial" w:cs="Arial"/>
          <w:color w:val="000000" w:themeColor="text1"/>
        </w:rPr>
        <w:t xml:space="preserve">quality </w:t>
      </w:r>
      <w:r w:rsidRPr="00416DAE">
        <w:rPr>
          <w:rFonts w:ascii="Arial" w:hAnsi="Arial" w:cs="Arial"/>
          <w:color w:val="000000" w:themeColor="text1"/>
        </w:rPr>
        <w:t xml:space="preserve">assessment was performed </w:t>
      </w:r>
      <w:r>
        <w:rPr>
          <w:rFonts w:ascii="Arial" w:hAnsi="Arial" w:cs="Arial"/>
          <w:color w:val="000000" w:themeColor="text1"/>
        </w:rPr>
        <w:t xml:space="preserve">independently by two reviewers (BT, SJ) </w:t>
      </w:r>
      <w:r w:rsidRPr="00416DAE">
        <w:rPr>
          <w:rFonts w:ascii="Arial" w:hAnsi="Arial" w:cs="Arial"/>
          <w:color w:val="000000" w:themeColor="text1"/>
        </w:rPr>
        <w:t xml:space="preserve">using the </w:t>
      </w:r>
      <w:r w:rsidR="00144293">
        <w:rPr>
          <w:rFonts w:ascii="Arial" w:hAnsi="Arial" w:cs="Arial"/>
          <w:color w:val="000000" w:themeColor="text1"/>
        </w:rPr>
        <w:t>Cochrane Risk of Bias and Risk of Bias in Non-Randomised Studies of Interventions (ROBINS-I) tools.</w:t>
      </w:r>
      <w:r w:rsidRPr="00416DAE">
        <w:rPr>
          <w:rFonts w:ascii="Arial" w:hAnsi="Arial" w:cs="Arial"/>
          <w:color w:val="000000" w:themeColor="text1"/>
        </w:rPr>
        <w:t xml:space="preserve"> </w:t>
      </w:r>
      <w:r w:rsidR="00144293">
        <w:rPr>
          <w:rFonts w:ascii="Arial" w:hAnsi="Arial" w:cs="Arial"/>
          <w:color w:val="000000" w:themeColor="text1"/>
          <w:shd w:val="clear" w:color="auto" w:fill="FFFFFF"/>
        </w:rPr>
        <w:t>Any d</w:t>
      </w:r>
      <w:r w:rsidRPr="00416DAE">
        <w:rPr>
          <w:rFonts w:ascii="Arial" w:hAnsi="Arial" w:cs="Arial"/>
          <w:color w:val="000000" w:themeColor="text1"/>
          <w:shd w:val="clear" w:color="auto" w:fill="FFFFFF"/>
        </w:rPr>
        <w:t>iscrepancies were mediated by a third reviewer (MM).</w:t>
      </w:r>
      <w:r w:rsidRPr="00A61AFD">
        <w:rPr>
          <w:rFonts w:ascii="Arial" w:hAnsi="Arial" w:cs="Arial"/>
        </w:rPr>
        <w:t xml:space="preserve"> </w:t>
      </w:r>
      <w:r w:rsidRPr="00416DAE">
        <w:rPr>
          <w:rFonts w:ascii="Arial" w:hAnsi="Arial" w:cs="Arial"/>
        </w:rPr>
        <w:t xml:space="preserve">Where details were not given, the data were treated pragmatically and concordance with NICE </w:t>
      </w:r>
      <w:r>
        <w:rPr>
          <w:rFonts w:ascii="Arial" w:hAnsi="Arial" w:cs="Arial"/>
        </w:rPr>
        <w:t xml:space="preserve">guidance, which mandates </w:t>
      </w:r>
      <w:r w:rsidRPr="00416DAE">
        <w:rPr>
          <w:rFonts w:ascii="Arial" w:hAnsi="Arial" w:cs="Arial"/>
        </w:rPr>
        <w:t xml:space="preserve">compression stockings for one week after varicose vein </w:t>
      </w:r>
      <w:r>
        <w:rPr>
          <w:rFonts w:ascii="Arial" w:hAnsi="Arial" w:cs="Arial"/>
        </w:rPr>
        <w:t xml:space="preserve">intervention, </w:t>
      </w:r>
      <w:r w:rsidRPr="00416DAE">
        <w:rPr>
          <w:rFonts w:ascii="Arial" w:hAnsi="Arial" w:cs="Arial"/>
        </w:rPr>
        <w:t xml:space="preserve">was assumed. Studies that administered compression for less than the </w:t>
      </w:r>
      <w:r>
        <w:rPr>
          <w:rFonts w:ascii="Arial" w:hAnsi="Arial" w:cs="Arial"/>
        </w:rPr>
        <w:t>recommended</w:t>
      </w:r>
      <w:r w:rsidRPr="00416DAE">
        <w:rPr>
          <w:rFonts w:ascii="Arial" w:hAnsi="Arial" w:cs="Arial"/>
        </w:rPr>
        <w:t xml:space="preserve"> one-week period were included with further subgroup analysis planned.</w:t>
      </w:r>
    </w:p>
    <w:p w14:paraId="09AD6583" w14:textId="77777777" w:rsidR="00063E33" w:rsidRPr="00416DAE" w:rsidRDefault="00063E33" w:rsidP="00063E33">
      <w:pPr>
        <w:spacing w:line="480" w:lineRule="auto"/>
      </w:pPr>
    </w:p>
    <w:p w14:paraId="5C1C05C4" w14:textId="77777777" w:rsidR="00063E33" w:rsidRPr="00416DAE" w:rsidRDefault="00063E33" w:rsidP="00063E33">
      <w:pPr>
        <w:pStyle w:val="Heading2"/>
        <w:spacing w:before="0" w:line="480" w:lineRule="auto"/>
        <w:jc w:val="both"/>
        <w:rPr>
          <w:rFonts w:ascii="Arial" w:hAnsi="Arial" w:cs="Arial"/>
          <w:i/>
          <w:iCs/>
          <w:color w:val="000000" w:themeColor="text1"/>
          <w:sz w:val="24"/>
          <w:szCs w:val="24"/>
        </w:rPr>
      </w:pPr>
      <w:r>
        <w:rPr>
          <w:rFonts w:ascii="Arial" w:hAnsi="Arial" w:cs="Arial"/>
          <w:i/>
          <w:iCs/>
          <w:color w:val="000000" w:themeColor="text1"/>
          <w:sz w:val="24"/>
          <w:szCs w:val="24"/>
        </w:rPr>
        <w:t>Statistical analysis</w:t>
      </w:r>
    </w:p>
    <w:p w14:paraId="3A160C5E" w14:textId="126418F9" w:rsidR="00063E33" w:rsidRPr="00416DAE" w:rsidRDefault="00063E33" w:rsidP="00063E33">
      <w:pPr>
        <w:spacing w:line="480" w:lineRule="auto"/>
        <w:jc w:val="both"/>
        <w:rPr>
          <w:rFonts w:ascii="Arial" w:hAnsi="Arial" w:cs="Arial"/>
          <w:color w:val="000000" w:themeColor="text1"/>
        </w:rPr>
      </w:pPr>
      <w:r>
        <w:rPr>
          <w:rFonts w:ascii="Arial" w:hAnsi="Arial" w:cs="Arial"/>
          <w:color w:val="000000" w:themeColor="text1"/>
        </w:rPr>
        <w:t xml:space="preserve">Outcome </w:t>
      </w:r>
      <w:r w:rsidRPr="00416DAE">
        <w:rPr>
          <w:rFonts w:ascii="Arial" w:hAnsi="Arial" w:cs="Arial"/>
          <w:color w:val="000000" w:themeColor="text1"/>
        </w:rPr>
        <w:t xml:space="preserve">data were </w:t>
      </w:r>
      <w:r>
        <w:rPr>
          <w:rFonts w:ascii="Arial" w:hAnsi="Arial" w:cs="Arial"/>
          <w:color w:val="000000" w:themeColor="text1"/>
        </w:rPr>
        <w:t>pooled with a meta-</w:t>
      </w:r>
      <w:proofErr w:type="gramStart"/>
      <w:r>
        <w:rPr>
          <w:rFonts w:ascii="Arial" w:hAnsi="Arial" w:cs="Arial"/>
          <w:color w:val="000000" w:themeColor="text1"/>
        </w:rPr>
        <w:t>proportions</w:t>
      </w:r>
      <w:proofErr w:type="gramEnd"/>
      <w:r>
        <w:rPr>
          <w:rFonts w:ascii="Arial" w:hAnsi="Arial" w:cs="Arial"/>
          <w:color w:val="000000" w:themeColor="text1"/>
        </w:rPr>
        <w:t xml:space="preserve"> analysis in the</w:t>
      </w:r>
      <w:r w:rsidRPr="00416DAE">
        <w:rPr>
          <w:rFonts w:ascii="Arial" w:hAnsi="Arial" w:cs="Arial"/>
          <w:color w:val="000000" w:themeColor="text1"/>
        </w:rPr>
        <w:t xml:space="preserve"> programme R®</w:t>
      </w:r>
      <w:r>
        <w:rPr>
          <w:rFonts w:ascii="Arial" w:hAnsi="Arial" w:cs="Arial"/>
          <w:color w:val="000000" w:themeColor="text1"/>
        </w:rPr>
        <w:t xml:space="preserve"> using the </w:t>
      </w:r>
      <w:r>
        <w:rPr>
          <w:rFonts w:ascii="Arial" w:hAnsi="Arial" w:cs="Arial"/>
          <w:i/>
          <w:iCs/>
          <w:color w:val="000000" w:themeColor="text1"/>
        </w:rPr>
        <w:t xml:space="preserve">meta </w:t>
      </w:r>
      <w:r>
        <w:rPr>
          <w:rFonts w:ascii="Arial" w:hAnsi="Arial" w:cs="Arial"/>
          <w:color w:val="000000" w:themeColor="text1"/>
        </w:rPr>
        <w:t>package</w:t>
      </w:r>
      <w:r w:rsidRPr="00416DAE">
        <w:rPr>
          <w:rFonts w:ascii="Arial" w:hAnsi="Arial" w:cs="Arial"/>
          <w:color w:val="000000" w:themeColor="text1"/>
        </w:rPr>
        <w:t xml:space="preserve">. Narrative synthesis was conducted where data were not suitable for meta-analysis. Where heterogeneity was suitably low, a fixed-effects model was used to pool data. A logit transformation was used </w:t>
      </w:r>
      <w:r>
        <w:rPr>
          <w:rFonts w:ascii="Arial" w:hAnsi="Arial" w:cs="Arial"/>
          <w:color w:val="000000" w:themeColor="text1"/>
        </w:rPr>
        <w:t xml:space="preserve">normalise the data, </w:t>
      </w:r>
      <w:r w:rsidRPr="00416DAE">
        <w:rPr>
          <w:rFonts w:ascii="Arial" w:hAnsi="Arial" w:cs="Arial"/>
          <w:color w:val="000000" w:themeColor="text1"/>
        </w:rPr>
        <w:t xml:space="preserve">in light of the </w:t>
      </w:r>
      <w:r>
        <w:rPr>
          <w:rFonts w:ascii="Arial" w:hAnsi="Arial" w:cs="Arial"/>
          <w:color w:val="000000" w:themeColor="text1"/>
        </w:rPr>
        <w:t xml:space="preserve">skewed distribution expected from the </w:t>
      </w:r>
      <w:r w:rsidRPr="00416DAE">
        <w:rPr>
          <w:rFonts w:ascii="Arial" w:hAnsi="Arial" w:cs="Arial"/>
          <w:color w:val="000000" w:themeColor="text1"/>
        </w:rPr>
        <w:t>low proportion of events</w:t>
      </w:r>
      <w:r w:rsidRPr="00851C0C">
        <w:rPr>
          <w:rFonts w:ascii="Arial" w:hAnsi="Arial" w:cs="Arial"/>
          <w:noProof/>
          <w:color w:val="000000" w:themeColor="text1"/>
          <w:vertAlign w:val="superscript"/>
        </w:rPr>
        <w:t>15</w:t>
      </w:r>
      <w:r w:rsidRPr="00416DAE">
        <w:rPr>
          <w:rFonts w:ascii="Arial" w:hAnsi="Arial" w:cs="Arial"/>
          <w:color w:val="000000" w:themeColor="text1"/>
        </w:rPr>
        <w:t>.</w:t>
      </w:r>
    </w:p>
    <w:p w14:paraId="7AE535A8" w14:textId="77777777" w:rsidR="00063E33" w:rsidRPr="00416DAE" w:rsidRDefault="00063E33" w:rsidP="00063E33">
      <w:pPr>
        <w:spacing w:line="480" w:lineRule="auto"/>
        <w:jc w:val="both"/>
        <w:rPr>
          <w:rFonts w:ascii="Arial" w:hAnsi="Arial" w:cs="Arial"/>
          <w:color w:val="000000" w:themeColor="text1"/>
        </w:rPr>
      </w:pPr>
    </w:p>
    <w:p w14:paraId="4648611F" w14:textId="77777777" w:rsidR="00063E33" w:rsidRPr="00416DAE" w:rsidRDefault="00063E33" w:rsidP="00063E33">
      <w:pPr>
        <w:pStyle w:val="Heading1"/>
        <w:spacing w:line="480" w:lineRule="auto"/>
        <w:jc w:val="both"/>
        <w:rPr>
          <w:rFonts w:ascii="Arial" w:hAnsi="Arial" w:cs="Arial"/>
          <w:b/>
          <w:bCs/>
          <w:color w:val="000000" w:themeColor="text1"/>
          <w:sz w:val="24"/>
          <w:szCs w:val="24"/>
        </w:rPr>
      </w:pPr>
      <w:r w:rsidRPr="00416DAE">
        <w:rPr>
          <w:rFonts w:ascii="Arial" w:hAnsi="Arial" w:cs="Arial"/>
          <w:b/>
          <w:bCs/>
          <w:color w:val="000000" w:themeColor="text1"/>
          <w:sz w:val="24"/>
          <w:szCs w:val="24"/>
        </w:rPr>
        <w:lastRenderedPageBreak/>
        <w:t>Results</w:t>
      </w:r>
    </w:p>
    <w:p w14:paraId="61C2BC19" w14:textId="05EB1D93" w:rsidR="00063E33" w:rsidRPr="00416DAE" w:rsidRDefault="00063E33" w:rsidP="00063E33">
      <w:pPr>
        <w:spacing w:line="480" w:lineRule="auto"/>
        <w:jc w:val="both"/>
        <w:rPr>
          <w:rFonts w:ascii="Arial" w:hAnsi="Arial" w:cs="Arial"/>
        </w:rPr>
      </w:pPr>
      <w:r w:rsidRPr="00416DAE">
        <w:rPr>
          <w:rFonts w:ascii="Arial" w:hAnsi="Arial" w:cs="Arial"/>
        </w:rPr>
        <w:t>In total, 22</w:t>
      </w:r>
      <w:r>
        <w:rPr>
          <w:rFonts w:ascii="Arial" w:hAnsi="Arial" w:cs="Arial"/>
        </w:rPr>
        <w:t>1</w:t>
      </w:r>
      <w:r w:rsidRPr="00416DAE">
        <w:rPr>
          <w:rFonts w:ascii="Arial" w:hAnsi="Arial" w:cs="Arial"/>
        </w:rPr>
        <w:t xml:space="preserve"> trial </w:t>
      </w:r>
      <w:r w:rsidR="009200D1">
        <w:rPr>
          <w:rFonts w:ascii="Arial" w:hAnsi="Arial" w:cs="Arial"/>
        </w:rPr>
        <w:t xml:space="preserve">arms </w:t>
      </w:r>
      <w:r w:rsidRPr="00416DAE">
        <w:rPr>
          <w:rFonts w:ascii="Arial" w:hAnsi="Arial" w:cs="Arial"/>
        </w:rPr>
        <w:t xml:space="preserve">and </w:t>
      </w:r>
      <w:r w:rsidR="009200D1">
        <w:rPr>
          <w:rFonts w:ascii="Arial" w:hAnsi="Arial" w:cs="Arial"/>
        </w:rPr>
        <w:t xml:space="preserve">studies </w:t>
      </w:r>
      <w:r w:rsidRPr="00416DAE">
        <w:rPr>
          <w:rFonts w:ascii="Arial" w:hAnsi="Arial" w:cs="Arial"/>
        </w:rPr>
        <w:t>were included in the quantitative meta-analysis with a total of 476,266 participants</w:t>
      </w:r>
      <w:r w:rsidR="00217766">
        <w:rPr>
          <w:rFonts w:ascii="Arial" w:hAnsi="Arial" w:cs="Arial"/>
        </w:rPr>
        <w:t xml:space="preserve"> (see Figure, Supplemental Digital content 2, PRISMA flow diagram of included studies)</w:t>
      </w:r>
      <w:r w:rsidRPr="00416DAE">
        <w:rPr>
          <w:rFonts w:ascii="Arial" w:hAnsi="Arial" w:cs="Arial"/>
        </w:rPr>
        <w:t xml:space="preserve">. </w:t>
      </w:r>
      <w:r w:rsidRPr="0025550B">
        <w:rPr>
          <w:rFonts w:ascii="Arial" w:hAnsi="Arial" w:cs="Arial"/>
          <w:highlight w:val="yellow"/>
        </w:rPr>
        <w:t>Studies consisted of 4</w:t>
      </w:r>
      <w:r w:rsidR="006667CC">
        <w:rPr>
          <w:rFonts w:ascii="Arial" w:hAnsi="Arial" w:cs="Arial"/>
          <w:highlight w:val="yellow"/>
        </w:rPr>
        <w:t>7</w:t>
      </w:r>
      <w:r w:rsidRPr="0025550B">
        <w:rPr>
          <w:rFonts w:ascii="Arial" w:hAnsi="Arial" w:cs="Arial"/>
          <w:highlight w:val="yellow"/>
        </w:rPr>
        <w:t xml:space="preserve"> randomised trials, 105 prospective cohort studies, </w:t>
      </w:r>
      <w:r w:rsidR="0025550B" w:rsidRPr="0025550B">
        <w:rPr>
          <w:rFonts w:ascii="Arial" w:hAnsi="Arial" w:cs="Arial"/>
          <w:highlight w:val="yellow"/>
        </w:rPr>
        <w:t>6</w:t>
      </w:r>
      <w:r w:rsidR="006667CC">
        <w:rPr>
          <w:rFonts w:ascii="Arial" w:hAnsi="Arial" w:cs="Arial"/>
          <w:highlight w:val="yellow"/>
        </w:rPr>
        <w:t>7</w:t>
      </w:r>
      <w:r w:rsidRPr="0025550B">
        <w:rPr>
          <w:rFonts w:ascii="Arial" w:hAnsi="Arial" w:cs="Arial"/>
          <w:highlight w:val="yellow"/>
        </w:rPr>
        <w:t xml:space="preserve"> retrospective cohort studies and 2 case control studies</w:t>
      </w:r>
      <w:r w:rsidR="00217766">
        <w:rPr>
          <w:rFonts w:ascii="Arial" w:hAnsi="Arial" w:cs="Arial"/>
        </w:rPr>
        <w:t xml:space="preserve"> (see Table, Supplemental Digital Content 3, for</w:t>
      </w:r>
      <w:r w:rsidRPr="00416DAE">
        <w:rPr>
          <w:rFonts w:ascii="Arial" w:hAnsi="Arial" w:cs="Arial"/>
        </w:rPr>
        <w:t xml:space="preserve"> a further summary of </w:t>
      </w:r>
      <w:r>
        <w:rPr>
          <w:rFonts w:ascii="Arial" w:hAnsi="Arial" w:cs="Arial"/>
        </w:rPr>
        <w:t>baseline study</w:t>
      </w:r>
      <w:r w:rsidRPr="00416DAE">
        <w:rPr>
          <w:rFonts w:ascii="Arial" w:hAnsi="Arial" w:cs="Arial"/>
        </w:rPr>
        <w:t xml:space="preserve"> data</w:t>
      </w:r>
      <w:r w:rsidR="00217766">
        <w:rPr>
          <w:rFonts w:ascii="Arial" w:hAnsi="Arial" w:cs="Arial"/>
        </w:rPr>
        <w:t>)</w:t>
      </w:r>
      <w:r w:rsidRPr="00416DAE">
        <w:rPr>
          <w:rFonts w:ascii="Arial" w:hAnsi="Arial" w:cs="Arial"/>
        </w:rPr>
        <w:t>.</w:t>
      </w:r>
      <w:r>
        <w:rPr>
          <w:rFonts w:ascii="Arial" w:hAnsi="Arial" w:cs="Arial"/>
        </w:rPr>
        <w:t xml:space="preserve"> </w:t>
      </w:r>
      <w:r w:rsidR="0025550B" w:rsidRPr="003B0151">
        <w:rPr>
          <w:rFonts w:ascii="Arial" w:hAnsi="Arial" w:cs="Arial"/>
          <w:color w:val="000000"/>
          <w:highlight w:val="yellow"/>
        </w:rPr>
        <w:t xml:space="preserve">The indication for endovenous treatment in all studies was superficial venous incompetence, </w:t>
      </w:r>
      <w:r w:rsidR="0025550B" w:rsidRPr="003B0151">
        <w:rPr>
          <w:rFonts w:ascii="Arial" w:hAnsi="Arial" w:cs="Arial"/>
          <w:highlight w:val="yellow"/>
        </w:rPr>
        <w:t>most commonly defined as &gt;0.5 seconds in the standing position</w:t>
      </w:r>
      <w:r w:rsidR="0025550B" w:rsidRPr="003B0151">
        <w:rPr>
          <w:rFonts w:ascii="Arial" w:hAnsi="Arial" w:cs="Arial"/>
          <w:color w:val="000000"/>
          <w:highlight w:val="yellow"/>
        </w:rPr>
        <w:t xml:space="preserve">, with a range of </w:t>
      </w:r>
      <w:r w:rsidR="0025550B" w:rsidRPr="003B0151">
        <w:rPr>
          <w:rFonts w:ascii="Arial" w:hAnsi="Arial" w:cs="Arial"/>
          <w:highlight w:val="yellow"/>
        </w:rPr>
        <w:t>CEAP class 1-6</w:t>
      </w:r>
      <w:r w:rsidR="0025550B" w:rsidRPr="003B0151">
        <w:rPr>
          <w:rFonts w:ascii="Arial" w:hAnsi="Arial" w:cs="Arial"/>
          <w:color w:val="000000"/>
          <w:highlight w:val="yellow"/>
        </w:rPr>
        <w:t xml:space="preserve"> chronic venous insufficiency. Patient symptomatology and indication for the procedure could not be extracted from the majority of studies.</w:t>
      </w:r>
      <w:r w:rsidR="0025550B">
        <w:rPr>
          <w:rFonts w:ascii="Arial" w:hAnsi="Arial" w:cs="Arial"/>
          <w:color w:val="000000"/>
        </w:rPr>
        <w:t xml:space="preserve"> </w:t>
      </w:r>
      <w:r w:rsidRPr="00416DAE">
        <w:rPr>
          <w:rFonts w:ascii="Arial" w:hAnsi="Arial" w:cs="Arial"/>
        </w:rPr>
        <w:t>The studies utilised a mixture of endovenous techniques including endovenous laser ablation (EVLA), radiofrequency ablation (RFA), mechanochemical ablation (MOCA), cyanoacrylate glue</w:t>
      </w:r>
      <w:r>
        <w:rPr>
          <w:rFonts w:ascii="Arial" w:hAnsi="Arial" w:cs="Arial"/>
        </w:rPr>
        <w:t>,</w:t>
      </w:r>
      <w:r w:rsidRPr="00416DAE">
        <w:rPr>
          <w:rFonts w:ascii="Arial" w:hAnsi="Arial" w:cs="Arial"/>
        </w:rPr>
        <w:t xml:space="preserve"> and ultrasound</w:t>
      </w:r>
      <w:r>
        <w:rPr>
          <w:rFonts w:ascii="Arial" w:hAnsi="Arial" w:cs="Arial"/>
        </w:rPr>
        <w:t>-</w:t>
      </w:r>
      <w:r w:rsidRPr="00416DAE">
        <w:rPr>
          <w:rFonts w:ascii="Arial" w:hAnsi="Arial" w:cs="Arial"/>
        </w:rPr>
        <w:t xml:space="preserve">guided foam sclerotherapy (UGFS). </w:t>
      </w:r>
      <w:r>
        <w:rPr>
          <w:rFonts w:ascii="Arial" w:hAnsi="Arial" w:cs="Arial"/>
        </w:rPr>
        <w:t>The majority of studies</w:t>
      </w:r>
      <w:r w:rsidRPr="00416DAE">
        <w:rPr>
          <w:rFonts w:ascii="Arial" w:hAnsi="Arial" w:cs="Arial"/>
        </w:rPr>
        <w:t xml:space="preserve"> </w:t>
      </w:r>
      <w:r>
        <w:rPr>
          <w:rFonts w:ascii="Arial" w:hAnsi="Arial" w:cs="Arial"/>
        </w:rPr>
        <w:t>examined</w:t>
      </w:r>
      <w:r w:rsidRPr="00416DAE">
        <w:rPr>
          <w:rFonts w:ascii="Arial" w:hAnsi="Arial" w:cs="Arial"/>
        </w:rPr>
        <w:t xml:space="preserve"> the great saphenous vein (GSV) in isolation</w:t>
      </w:r>
      <w:r>
        <w:rPr>
          <w:rFonts w:ascii="Arial" w:hAnsi="Arial" w:cs="Arial"/>
        </w:rPr>
        <w:t xml:space="preserve">; </w:t>
      </w:r>
      <w:r w:rsidRPr="00416DAE">
        <w:rPr>
          <w:rFonts w:ascii="Arial" w:hAnsi="Arial" w:cs="Arial"/>
        </w:rPr>
        <w:t xml:space="preserve">studies </w:t>
      </w:r>
      <w:r>
        <w:rPr>
          <w:rFonts w:ascii="Arial" w:hAnsi="Arial" w:cs="Arial"/>
        </w:rPr>
        <w:t>treating reflux in</w:t>
      </w:r>
      <w:r w:rsidRPr="00416DAE">
        <w:rPr>
          <w:rFonts w:ascii="Arial" w:hAnsi="Arial" w:cs="Arial"/>
        </w:rPr>
        <w:t xml:space="preserve"> the </w:t>
      </w:r>
      <w:r>
        <w:rPr>
          <w:rFonts w:ascii="Arial" w:hAnsi="Arial" w:cs="Arial"/>
        </w:rPr>
        <w:t>small</w:t>
      </w:r>
      <w:r w:rsidRPr="00416DAE">
        <w:rPr>
          <w:rFonts w:ascii="Arial" w:hAnsi="Arial" w:cs="Arial"/>
        </w:rPr>
        <w:t xml:space="preserve"> saphenous vein (SSV) and anterior accessory saphenous vein (ASV)</w:t>
      </w:r>
      <w:r>
        <w:rPr>
          <w:rFonts w:ascii="Arial" w:hAnsi="Arial" w:cs="Arial"/>
        </w:rPr>
        <w:t xml:space="preserve"> were also included</w:t>
      </w:r>
      <w:r w:rsidRPr="00416DAE">
        <w:rPr>
          <w:rFonts w:ascii="Arial" w:hAnsi="Arial" w:cs="Arial"/>
        </w:rPr>
        <w:t>. The adjunctive use of mini-phlebectomies</w:t>
      </w:r>
      <w:r>
        <w:rPr>
          <w:rFonts w:ascii="Arial" w:hAnsi="Arial" w:cs="Arial"/>
        </w:rPr>
        <w:t>,</w:t>
      </w:r>
      <w:r w:rsidRPr="00416DAE">
        <w:rPr>
          <w:rFonts w:ascii="Arial" w:hAnsi="Arial" w:cs="Arial"/>
        </w:rPr>
        <w:t xml:space="preserve"> avulsions</w:t>
      </w:r>
      <w:r>
        <w:rPr>
          <w:rFonts w:ascii="Arial" w:hAnsi="Arial" w:cs="Arial"/>
        </w:rPr>
        <w:t xml:space="preserve"> and/or</w:t>
      </w:r>
      <w:r w:rsidRPr="00416DAE">
        <w:rPr>
          <w:rFonts w:ascii="Arial" w:hAnsi="Arial" w:cs="Arial"/>
        </w:rPr>
        <w:t xml:space="preserve"> sclerotherapy </w:t>
      </w:r>
      <w:r>
        <w:rPr>
          <w:rFonts w:ascii="Arial" w:hAnsi="Arial" w:cs="Arial"/>
        </w:rPr>
        <w:t xml:space="preserve">for management </w:t>
      </w:r>
      <w:r w:rsidRPr="00416DAE">
        <w:rPr>
          <w:rFonts w:ascii="Arial" w:hAnsi="Arial" w:cs="Arial"/>
        </w:rPr>
        <w:t xml:space="preserve">of </w:t>
      </w:r>
      <w:r>
        <w:rPr>
          <w:rFonts w:ascii="Arial" w:hAnsi="Arial" w:cs="Arial"/>
        </w:rPr>
        <w:t xml:space="preserve">tributaries or </w:t>
      </w:r>
      <w:r w:rsidRPr="00416DAE">
        <w:rPr>
          <w:rFonts w:ascii="Arial" w:hAnsi="Arial" w:cs="Arial"/>
        </w:rPr>
        <w:t>perforators was ubiquitous</w:t>
      </w:r>
      <w:r>
        <w:rPr>
          <w:rFonts w:ascii="Arial" w:hAnsi="Arial" w:cs="Arial"/>
        </w:rPr>
        <w:t>, thus this data was not collected. The vast majority of studies excluded participants with a past history of VTE.</w:t>
      </w:r>
    </w:p>
    <w:p w14:paraId="06B7031F" w14:textId="77777777" w:rsidR="00063E33" w:rsidRPr="00416DAE" w:rsidRDefault="00063E33" w:rsidP="00063E33">
      <w:pPr>
        <w:spacing w:line="480" w:lineRule="auto"/>
        <w:jc w:val="both"/>
        <w:rPr>
          <w:rFonts w:ascii="Arial" w:hAnsi="Arial" w:cs="Arial"/>
        </w:rPr>
      </w:pPr>
    </w:p>
    <w:p w14:paraId="35FF6F4A" w14:textId="7AE8E057" w:rsidR="00063E33" w:rsidRDefault="00063E33" w:rsidP="00063E33">
      <w:pPr>
        <w:spacing w:line="480" w:lineRule="auto"/>
        <w:jc w:val="both"/>
        <w:rPr>
          <w:rFonts w:ascii="Arial" w:hAnsi="Arial" w:cs="Arial"/>
        </w:rPr>
      </w:pPr>
      <w:r w:rsidRPr="00416DAE">
        <w:rPr>
          <w:rFonts w:ascii="Arial" w:hAnsi="Arial" w:cs="Arial"/>
        </w:rPr>
        <w:t xml:space="preserve">There were 43 </w:t>
      </w:r>
      <w:r w:rsidR="006667CC">
        <w:rPr>
          <w:rFonts w:ascii="Arial" w:hAnsi="Arial" w:cs="Arial"/>
        </w:rPr>
        <w:t>study</w:t>
      </w:r>
      <w:r>
        <w:rPr>
          <w:rFonts w:ascii="Arial" w:hAnsi="Arial" w:cs="Arial"/>
        </w:rPr>
        <w:t xml:space="preserve"> arms</w:t>
      </w:r>
      <w:r w:rsidRPr="00416DAE">
        <w:rPr>
          <w:rFonts w:ascii="Arial" w:hAnsi="Arial" w:cs="Arial"/>
        </w:rPr>
        <w:t xml:space="preserve"> (13,839 participants) </w:t>
      </w:r>
      <w:r>
        <w:rPr>
          <w:rFonts w:ascii="Arial" w:hAnsi="Arial" w:cs="Arial"/>
        </w:rPr>
        <w:t>in which mechanical and additional pharmacological thromboprophylaxis were administered,</w:t>
      </w:r>
      <w:r w:rsidRPr="00416DAE">
        <w:rPr>
          <w:rFonts w:ascii="Arial" w:hAnsi="Arial" w:cs="Arial"/>
        </w:rPr>
        <w:t xml:space="preserve"> compared to 184 </w:t>
      </w:r>
      <w:r w:rsidR="006667CC">
        <w:rPr>
          <w:rFonts w:ascii="Arial" w:hAnsi="Arial" w:cs="Arial"/>
        </w:rPr>
        <w:t>study</w:t>
      </w:r>
      <w:r>
        <w:rPr>
          <w:rFonts w:ascii="Arial" w:hAnsi="Arial" w:cs="Arial"/>
        </w:rPr>
        <w:t xml:space="preserve"> arms</w:t>
      </w:r>
      <w:r w:rsidRPr="00416DAE">
        <w:rPr>
          <w:rFonts w:ascii="Arial" w:hAnsi="Arial" w:cs="Arial"/>
        </w:rPr>
        <w:t xml:space="preserve"> (462,397 participants) with mechanical thromboprophylaxis alone. Of studies administer</w:t>
      </w:r>
      <w:r>
        <w:rPr>
          <w:rFonts w:ascii="Arial" w:hAnsi="Arial" w:cs="Arial"/>
        </w:rPr>
        <w:t>ing</w:t>
      </w:r>
      <w:r w:rsidRPr="00416DAE">
        <w:rPr>
          <w:rFonts w:ascii="Arial" w:hAnsi="Arial" w:cs="Arial"/>
        </w:rPr>
        <w:t xml:space="preserve"> </w:t>
      </w:r>
      <w:r>
        <w:rPr>
          <w:rFonts w:ascii="Arial" w:hAnsi="Arial" w:cs="Arial"/>
        </w:rPr>
        <w:t>anticoagulants</w:t>
      </w:r>
      <w:r w:rsidRPr="00416DAE">
        <w:rPr>
          <w:rFonts w:ascii="Arial" w:hAnsi="Arial" w:cs="Arial"/>
        </w:rPr>
        <w:t>, 12 opted for a single</w:t>
      </w:r>
      <w:r>
        <w:rPr>
          <w:rFonts w:ascii="Arial" w:hAnsi="Arial" w:cs="Arial"/>
        </w:rPr>
        <w:t xml:space="preserve"> prophylactic dose of </w:t>
      </w:r>
      <w:r w:rsidRPr="00416DAE">
        <w:rPr>
          <w:rFonts w:ascii="Arial" w:hAnsi="Arial" w:cs="Arial"/>
        </w:rPr>
        <w:t>low molecular weight heparin (LMWH)</w:t>
      </w:r>
      <w:r>
        <w:rPr>
          <w:rFonts w:ascii="Arial" w:hAnsi="Arial" w:cs="Arial"/>
        </w:rPr>
        <w:t xml:space="preserve">. Extended pharmacological thromboprophylaxis was defined </w:t>
      </w:r>
      <w:r>
        <w:rPr>
          <w:rFonts w:ascii="Arial" w:hAnsi="Arial" w:cs="Arial"/>
        </w:rPr>
        <w:lastRenderedPageBreak/>
        <w:t>as any continued administration of anticoagulation more than a single one-off dose and</w:t>
      </w:r>
      <w:r w:rsidRPr="00416DAE">
        <w:rPr>
          <w:rFonts w:ascii="Arial" w:hAnsi="Arial" w:cs="Arial"/>
        </w:rPr>
        <w:t xml:space="preserve"> 29</w:t>
      </w:r>
      <w:r>
        <w:rPr>
          <w:rFonts w:ascii="Arial" w:hAnsi="Arial" w:cs="Arial"/>
        </w:rPr>
        <w:t xml:space="preserve"> adopted this</w:t>
      </w:r>
      <w:r w:rsidRPr="00416DAE">
        <w:rPr>
          <w:rFonts w:ascii="Arial" w:hAnsi="Arial" w:cs="Arial"/>
        </w:rPr>
        <w:t xml:space="preserve"> </w:t>
      </w:r>
      <w:r>
        <w:rPr>
          <w:rFonts w:ascii="Arial" w:hAnsi="Arial" w:cs="Arial"/>
        </w:rPr>
        <w:t>with a further</w:t>
      </w:r>
      <w:r w:rsidRPr="00416DAE">
        <w:rPr>
          <w:rFonts w:ascii="Arial" w:hAnsi="Arial" w:cs="Arial"/>
        </w:rPr>
        <w:t xml:space="preserve"> two studies us</w:t>
      </w:r>
      <w:r>
        <w:rPr>
          <w:rFonts w:ascii="Arial" w:hAnsi="Arial" w:cs="Arial"/>
        </w:rPr>
        <w:t>ing</w:t>
      </w:r>
      <w:r w:rsidRPr="00416DAE">
        <w:rPr>
          <w:rFonts w:ascii="Arial" w:hAnsi="Arial" w:cs="Arial"/>
        </w:rPr>
        <w:t xml:space="preserve"> a combination of single</w:t>
      </w:r>
      <w:r>
        <w:rPr>
          <w:rFonts w:ascii="Arial" w:hAnsi="Arial" w:cs="Arial"/>
        </w:rPr>
        <w:t xml:space="preserve">-dose </w:t>
      </w:r>
      <w:r w:rsidRPr="00416DAE">
        <w:rPr>
          <w:rFonts w:ascii="Arial" w:hAnsi="Arial" w:cs="Arial"/>
        </w:rPr>
        <w:t xml:space="preserve">and extended </w:t>
      </w:r>
      <w:r>
        <w:rPr>
          <w:rFonts w:ascii="Arial" w:hAnsi="Arial" w:cs="Arial"/>
        </w:rPr>
        <w:t>pharmacological thrombo</w:t>
      </w:r>
      <w:r w:rsidRPr="00416DAE">
        <w:rPr>
          <w:rFonts w:ascii="Arial" w:hAnsi="Arial" w:cs="Arial"/>
        </w:rPr>
        <w:t>prophylaxis. Extended regimes included 3-14 days of prophylactic dose LMWH, vitamin K antagonists and direct oral anticoagulants (DOAC</w:t>
      </w:r>
      <w:r>
        <w:rPr>
          <w:rFonts w:ascii="Arial" w:hAnsi="Arial" w:cs="Arial"/>
        </w:rPr>
        <w:t>).</w:t>
      </w:r>
      <w:r w:rsidRPr="00416DAE">
        <w:rPr>
          <w:rFonts w:ascii="Arial" w:hAnsi="Arial" w:cs="Arial"/>
        </w:rPr>
        <w:t xml:space="preserve"> Overall, LMWH was the most commonly used </w:t>
      </w:r>
      <w:r>
        <w:rPr>
          <w:rFonts w:ascii="Arial" w:hAnsi="Arial" w:cs="Arial"/>
        </w:rPr>
        <w:t xml:space="preserve">anticoagulant </w:t>
      </w:r>
      <w:r w:rsidRPr="00416DAE">
        <w:rPr>
          <w:rFonts w:ascii="Arial" w:hAnsi="Arial" w:cs="Arial"/>
        </w:rPr>
        <w:t>agent.</w:t>
      </w:r>
    </w:p>
    <w:p w14:paraId="235D381C" w14:textId="77777777" w:rsidR="00063E33" w:rsidRDefault="00063E33" w:rsidP="00063E33">
      <w:pPr>
        <w:spacing w:line="480" w:lineRule="auto"/>
        <w:jc w:val="both"/>
        <w:rPr>
          <w:rFonts w:ascii="Arial" w:hAnsi="Arial" w:cs="Arial"/>
        </w:rPr>
      </w:pPr>
    </w:p>
    <w:p w14:paraId="4A3E55ED" w14:textId="77777777" w:rsidR="00063E33" w:rsidRPr="00416DAE" w:rsidRDefault="00063E33" w:rsidP="00063E33">
      <w:pPr>
        <w:spacing w:line="480" w:lineRule="auto"/>
        <w:jc w:val="both"/>
        <w:rPr>
          <w:rFonts w:ascii="Arial" w:hAnsi="Arial" w:cs="Arial"/>
        </w:rPr>
      </w:pPr>
      <w:r w:rsidRPr="00416DAE">
        <w:rPr>
          <w:rFonts w:ascii="Arial" w:hAnsi="Arial" w:cs="Arial"/>
        </w:rPr>
        <w:t xml:space="preserve">Mechanical thromboprophylaxis was mostly </w:t>
      </w:r>
      <w:r>
        <w:rPr>
          <w:rFonts w:ascii="Arial" w:hAnsi="Arial" w:cs="Arial"/>
        </w:rPr>
        <w:t>commonly</w:t>
      </w:r>
      <w:r w:rsidRPr="00416DAE">
        <w:rPr>
          <w:rFonts w:ascii="Arial" w:hAnsi="Arial" w:cs="Arial"/>
        </w:rPr>
        <w:t xml:space="preserve"> </w:t>
      </w:r>
      <w:r>
        <w:rPr>
          <w:rFonts w:ascii="Arial" w:hAnsi="Arial" w:cs="Arial"/>
        </w:rPr>
        <w:t xml:space="preserve">delivered with </w:t>
      </w:r>
      <w:r w:rsidRPr="00416DAE">
        <w:rPr>
          <w:rFonts w:ascii="Arial" w:hAnsi="Arial" w:cs="Arial"/>
        </w:rPr>
        <w:t>compression stockings</w:t>
      </w:r>
      <w:r>
        <w:rPr>
          <w:rFonts w:ascii="Arial" w:hAnsi="Arial" w:cs="Arial"/>
        </w:rPr>
        <w:t>,</w:t>
      </w:r>
      <w:r w:rsidRPr="00416DAE">
        <w:rPr>
          <w:rFonts w:ascii="Arial" w:hAnsi="Arial" w:cs="Arial"/>
        </w:rPr>
        <w:t xml:space="preserve"> or compression bandaging </w:t>
      </w:r>
      <w:r>
        <w:rPr>
          <w:rFonts w:ascii="Arial" w:hAnsi="Arial" w:cs="Arial"/>
        </w:rPr>
        <w:t>in the case of</w:t>
      </w:r>
      <w:r w:rsidRPr="00416DAE">
        <w:rPr>
          <w:rFonts w:ascii="Arial" w:hAnsi="Arial" w:cs="Arial"/>
        </w:rPr>
        <w:t xml:space="preserve"> venous leg ulcer</w:t>
      </w:r>
      <w:r>
        <w:rPr>
          <w:rFonts w:ascii="Arial" w:hAnsi="Arial" w:cs="Arial"/>
        </w:rPr>
        <w:t>ation</w:t>
      </w:r>
      <w:r w:rsidRPr="00416DAE">
        <w:rPr>
          <w:rFonts w:ascii="Arial" w:hAnsi="Arial" w:cs="Arial"/>
        </w:rPr>
        <w:t>. The reporting of the details of compression therapy w</w:t>
      </w:r>
      <w:r>
        <w:rPr>
          <w:rFonts w:ascii="Arial" w:hAnsi="Arial" w:cs="Arial"/>
        </w:rPr>
        <w:t>as</w:t>
      </w:r>
      <w:r w:rsidRPr="00416DAE">
        <w:rPr>
          <w:rFonts w:ascii="Arial" w:hAnsi="Arial" w:cs="Arial"/>
        </w:rPr>
        <w:t xml:space="preserve"> highly variable; where possible, </w:t>
      </w:r>
      <w:r>
        <w:rPr>
          <w:rFonts w:ascii="Arial" w:hAnsi="Arial" w:cs="Arial"/>
        </w:rPr>
        <w:t>class</w:t>
      </w:r>
      <w:r w:rsidRPr="00416DAE">
        <w:rPr>
          <w:rFonts w:ascii="Arial" w:hAnsi="Arial" w:cs="Arial"/>
        </w:rPr>
        <w:t xml:space="preserve"> of compression</w:t>
      </w:r>
      <w:r>
        <w:rPr>
          <w:rFonts w:ascii="Arial" w:hAnsi="Arial" w:cs="Arial"/>
        </w:rPr>
        <w:t xml:space="preserve">, </w:t>
      </w:r>
      <w:r w:rsidRPr="00416DAE">
        <w:rPr>
          <w:rFonts w:ascii="Arial" w:hAnsi="Arial" w:cs="Arial"/>
        </w:rPr>
        <w:t xml:space="preserve">duration of use </w:t>
      </w:r>
      <w:r>
        <w:rPr>
          <w:rFonts w:ascii="Arial" w:hAnsi="Arial" w:cs="Arial"/>
        </w:rPr>
        <w:t xml:space="preserve">and adherence with compression </w:t>
      </w:r>
      <w:r w:rsidRPr="00416DAE">
        <w:rPr>
          <w:rFonts w:ascii="Arial" w:hAnsi="Arial" w:cs="Arial"/>
        </w:rPr>
        <w:t>were collected.</w:t>
      </w:r>
    </w:p>
    <w:p w14:paraId="54733113" w14:textId="77777777" w:rsidR="00063E33" w:rsidRPr="00416DAE" w:rsidRDefault="00063E33" w:rsidP="00063E33">
      <w:pPr>
        <w:spacing w:line="480" w:lineRule="auto"/>
        <w:jc w:val="both"/>
        <w:rPr>
          <w:rFonts w:ascii="Arial" w:hAnsi="Arial" w:cs="Arial"/>
        </w:rPr>
      </w:pPr>
    </w:p>
    <w:p w14:paraId="622E86C8" w14:textId="77777777" w:rsidR="00063E33" w:rsidRPr="00416DAE" w:rsidRDefault="00063E33" w:rsidP="00063E33">
      <w:pPr>
        <w:spacing w:line="480" w:lineRule="auto"/>
        <w:jc w:val="both"/>
        <w:rPr>
          <w:rFonts w:ascii="Arial" w:hAnsi="Arial" w:cs="Arial"/>
          <w:i/>
          <w:iCs/>
        </w:rPr>
      </w:pPr>
      <w:r w:rsidRPr="00416DAE">
        <w:rPr>
          <w:rFonts w:ascii="Arial" w:hAnsi="Arial" w:cs="Arial"/>
          <w:i/>
          <w:iCs/>
        </w:rPr>
        <w:t>DVT</w:t>
      </w:r>
    </w:p>
    <w:p w14:paraId="2DF5A18A" w14:textId="4BEABA83" w:rsidR="00063E33" w:rsidRDefault="00063E33" w:rsidP="00063E33">
      <w:pPr>
        <w:spacing w:line="480" w:lineRule="auto"/>
        <w:jc w:val="both"/>
        <w:rPr>
          <w:rFonts w:ascii="Arial" w:hAnsi="Arial" w:cs="Arial"/>
        </w:rPr>
      </w:pPr>
      <w:r w:rsidRPr="00416DAE">
        <w:rPr>
          <w:rFonts w:ascii="Arial" w:hAnsi="Arial" w:cs="Arial"/>
        </w:rPr>
        <w:t xml:space="preserve">The rate of DVT was </w:t>
      </w:r>
      <w:r>
        <w:rPr>
          <w:rFonts w:ascii="Arial" w:hAnsi="Arial" w:cs="Arial"/>
        </w:rPr>
        <w:t>extracted</w:t>
      </w:r>
      <w:r w:rsidRPr="00416DAE">
        <w:rPr>
          <w:rFonts w:ascii="Arial" w:hAnsi="Arial" w:cs="Arial"/>
        </w:rPr>
        <w:t xml:space="preserve"> in all 22</w:t>
      </w:r>
      <w:r>
        <w:rPr>
          <w:rFonts w:ascii="Arial" w:hAnsi="Arial" w:cs="Arial"/>
        </w:rPr>
        <w:t>1</w:t>
      </w:r>
      <w:r w:rsidRPr="00416DAE">
        <w:rPr>
          <w:rFonts w:ascii="Arial" w:hAnsi="Arial" w:cs="Arial"/>
        </w:rPr>
        <w:t xml:space="preserve"> </w:t>
      </w:r>
      <w:r>
        <w:rPr>
          <w:rFonts w:ascii="Arial" w:hAnsi="Arial" w:cs="Arial"/>
        </w:rPr>
        <w:t>studies</w:t>
      </w:r>
      <w:r w:rsidRPr="00416DAE">
        <w:rPr>
          <w:rFonts w:ascii="Arial" w:hAnsi="Arial" w:cs="Arial"/>
        </w:rPr>
        <w:t>. For randomised trial arms</w:t>
      </w:r>
      <w:r>
        <w:rPr>
          <w:rFonts w:ascii="Arial" w:hAnsi="Arial" w:cs="Arial"/>
        </w:rPr>
        <w:t>, the rate of DVT in the mechanical and additional pharmacological thromboprophylaxis</w:t>
      </w:r>
      <w:r w:rsidRPr="00416DAE">
        <w:rPr>
          <w:rFonts w:ascii="Arial" w:hAnsi="Arial" w:cs="Arial"/>
        </w:rPr>
        <w:t xml:space="preserve"> </w:t>
      </w:r>
      <w:r>
        <w:rPr>
          <w:rFonts w:ascii="Arial" w:hAnsi="Arial" w:cs="Arial"/>
        </w:rPr>
        <w:t>arms</w:t>
      </w:r>
      <w:r w:rsidRPr="00416DAE">
        <w:rPr>
          <w:rFonts w:ascii="Arial" w:hAnsi="Arial" w:cs="Arial"/>
        </w:rPr>
        <w:t xml:space="preserve"> was 0.52% </w:t>
      </w:r>
      <w:r>
        <w:rPr>
          <w:rFonts w:ascii="Arial" w:hAnsi="Arial" w:cs="Arial"/>
        </w:rPr>
        <w:t>(</w:t>
      </w:r>
      <w:r w:rsidRPr="00416DAE">
        <w:rPr>
          <w:rFonts w:ascii="Arial" w:hAnsi="Arial" w:cs="Arial"/>
        </w:rPr>
        <w:t xml:space="preserve">95% confidence interval (CI) 0.23-1.19%) </w:t>
      </w:r>
      <w:r>
        <w:rPr>
          <w:rFonts w:ascii="Arial" w:hAnsi="Arial" w:cs="Arial"/>
        </w:rPr>
        <w:t xml:space="preserve">(9 trial arms; 1095 patients; 2 events) </w:t>
      </w:r>
      <w:r w:rsidRPr="00416DAE">
        <w:rPr>
          <w:rFonts w:ascii="Arial" w:hAnsi="Arial" w:cs="Arial"/>
        </w:rPr>
        <w:t>(Figure 1)</w:t>
      </w:r>
      <w:r>
        <w:rPr>
          <w:rFonts w:ascii="Arial" w:hAnsi="Arial" w:cs="Arial"/>
        </w:rPr>
        <w:t>.</w:t>
      </w:r>
      <w:r w:rsidRPr="00416DAE">
        <w:rPr>
          <w:rFonts w:ascii="Arial" w:hAnsi="Arial" w:cs="Arial"/>
        </w:rPr>
        <w:t xml:space="preserve"> </w:t>
      </w:r>
      <w:r>
        <w:rPr>
          <w:rFonts w:ascii="Arial" w:hAnsi="Arial" w:cs="Arial"/>
        </w:rPr>
        <w:t xml:space="preserve">For </w:t>
      </w:r>
      <w:r w:rsidRPr="00416DAE">
        <w:rPr>
          <w:rFonts w:ascii="Arial" w:hAnsi="Arial" w:cs="Arial"/>
        </w:rPr>
        <w:t xml:space="preserve">mechanical </w:t>
      </w:r>
      <w:r>
        <w:rPr>
          <w:rFonts w:ascii="Arial" w:hAnsi="Arial" w:cs="Arial"/>
        </w:rPr>
        <w:t>thrombo</w:t>
      </w:r>
      <w:r w:rsidRPr="00416DAE">
        <w:rPr>
          <w:rFonts w:ascii="Arial" w:hAnsi="Arial" w:cs="Arial"/>
        </w:rPr>
        <w:t xml:space="preserve">prophylaxis </w:t>
      </w:r>
      <w:r>
        <w:rPr>
          <w:rFonts w:ascii="Arial" w:hAnsi="Arial" w:cs="Arial"/>
        </w:rPr>
        <w:t>alone, the rate of DVT was</w:t>
      </w:r>
      <w:r w:rsidRPr="00416DAE">
        <w:rPr>
          <w:rFonts w:ascii="Arial" w:hAnsi="Arial" w:cs="Arial"/>
        </w:rPr>
        <w:t xml:space="preserve"> 2.26% (95% CI 1.81-2.82%) </w:t>
      </w:r>
      <w:r>
        <w:rPr>
          <w:rFonts w:ascii="Arial" w:hAnsi="Arial" w:cs="Arial"/>
        </w:rPr>
        <w:t>(3</w:t>
      </w:r>
      <w:r w:rsidR="006667CC">
        <w:rPr>
          <w:rFonts w:ascii="Arial" w:hAnsi="Arial" w:cs="Arial"/>
        </w:rPr>
        <w:t>8</w:t>
      </w:r>
      <w:r>
        <w:rPr>
          <w:rFonts w:ascii="Arial" w:hAnsi="Arial" w:cs="Arial"/>
        </w:rPr>
        <w:t xml:space="preserve"> trial arms; 6951 patients; 69 events) </w:t>
      </w:r>
      <w:r w:rsidRPr="00416DAE">
        <w:rPr>
          <w:rFonts w:ascii="Arial" w:hAnsi="Arial" w:cs="Arial"/>
        </w:rPr>
        <w:t>(Figure 2). Heterogeneity, expressed via I</w:t>
      </w:r>
      <w:r w:rsidRPr="00416DAE">
        <w:rPr>
          <w:rFonts w:ascii="Arial" w:hAnsi="Arial" w:cs="Arial"/>
          <w:vertAlign w:val="superscript"/>
        </w:rPr>
        <w:t>2</w:t>
      </w:r>
      <w:r w:rsidRPr="00416DAE">
        <w:rPr>
          <w:rFonts w:ascii="Arial" w:hAnsi="Arial" w:cs="Arial"/>
        </w:rPr>
        <w:t>, was 0% and 62%</w:t>
      </w:r>
      <w:r>
        <w:rPr>
          <w:rFonts w:ascii="Arial" w:hAnsi="Arial" w:cs="Arial"/>
        </w:rPr>
        <w:t>,</w:t>
      </w:r>
      <w:r w:rsidRPr="00416DAE">
        <w:rPr>
          <w:rFonts w:ascii="Arial" w:hAnsi="Arial" w:cs="Arial"/>
        </w:rPr>
        <w:t xml:space="preserve"> respectively. Across all prospective study designs, the rate of DVT </w:t>
      </w:r>
      <w:r>
        <w:rPr>
          <w:rFonts w:ascii="Arial" w:hAnsi="Arial" w:cs="Arial"/>
        </w:rPr>
        <w:t>in the additional pharmacological thromboprophylaxis</w:t>
      </w:r>
      <w:r w:rsidRPr="00416DAE">
        <w:rPr>
          <w:rFonts w:ascii="Arial" w:hAnsi="Arial" w:cs="Arial"/>
        </w:rPr>
        <w:t xml:space="preserve"> </w:t>
      </w:r>
      <w:r>
        <w:rPr>
          <w:rFonts w:ascii="Arial" w:hAnsi="Arial" w:cs="Arial"/>
        </w:rPr>
        <w:t>arms</w:t>
      </w:r>
      <w:r w:rsidRPr="00416DAE">
        <w:rPr>
          <w:rFonts w:ascii="Arial" w:hAnsi="Arial" w:cs="Arial"/>
        </w:rPr>
        <w:t xml:space="preserve"> was 0.73% (95% CI 0.52-1.02%</w:t>
      </w:r>
      <w:r>
        <w:rPr>
          <w:rFonts w:ascii="Arial" w:hAnsi="Arial" w:cs="Arial"/>
        </w:rPr>
        <w:t>) (</w:t>
      </w:r>
      <w:r w:rsidRPr="00416DAE">
        <w:rPr>
          <w:rFonts w:ascii="Arial" w:hAnsi="Arial" w:cs="Arial"/>
        </w:rPr>
        <w:t>31</w:t>
      </w:r>
      <w:r>
        <w:rPr>
          <w:rFonts w:ascii="Arial" w:hAnsi="Arial" w:cs="Arial"/>
        </w:rPr>
        <w:t xml:space="preserve"> </w:t>
      </w:r>
      <w:r w:rsidR="009200D1">
        <w:rPr>
          <w:rFonts w:ascii="Arial" w:hAnsi="Arial" w:cs="Arial"/>
        </w:rPr>
        <w:t>study</w:t>
      </w:r>
      <w:r>
        <w:rPr>
          <w:rFonts w:ascii="Arial" w:hAnsi="Arial" w:cs="Arial"/>
        </w:rPr>
        <w:t xml:space="preserve"> arms</w:t>
      </w:r>
      <w:r w:rsidRPr="00416DAE">
        <w:rPr>
          <w:rFonts w:ascii="Arial" w:hAnsi="Arial" w:cs="Arial"/>
        </w:rPr>
        <w:t xml:space="preserve">, </w:t>
      </w:r>
      <w:r>
        <w:rPr>
          <w:rFonts w:ascii="Arial" w:hAnsi="Arial" w:cs="Arial"/>
        </w:rPr>
        <w:t xml:space="preserve">6151 participants, 23 events, </w:t>
      </w:r>
      <w:r w:rsidRPr="00416DAE">
        <w:rPr>
          <w:rFonts w:ascii="Arial" w:hAnsi="Arial" w:cs="Arial"/>
        </w:rPr>
        <w:t>I</w:t>
      </w:r>
      <w:r w:rsidRPr="00416DAE">
        <w:rPr>
          <w:rFonts w:ascii="Arial" w:hAnsi="Arial" w:cs="Arial"/>
          <w:vertAlign w:val="superscript"/>
        </w:rPr>
        <w:t>2</w:t>
      </w:r>
      <w:r w:rsidRPr="00416DAE">
        <w:rPr>
          <w:rFonts w:ascii="Arial" w:hAnsi="Arial" w:cs="Arial"/>
        </w:rPr>
        <w:t>=0%), versus 1.31% (95% CI 1.16-1.48%</w:t>
      </w:r>
      <w:r>
        <w:rPr>
          <w:rFonts w:ascii="Arial" w:hAnsi="Arial" w:cs="Arial"/>
        </w:rPr>
        <w:t>) (</w:t>
      </w:r>
      <w:r w:rsidRPr="00416DAE">
        <w:rPr>
          <w:rFonts w:ascii="Arial" w:hAnsi="Arial" w:cs="Arial"/>
        </w:rPr>
        <w:t>123</w:t>
      </w:r>
      <w:r>
        <w:rPr>
          <w:rFonts w:ascii="Arial" w:hAnsi="Arial" w:cs="Arial"/>
        </w:rPr>
        <w:t xml:space="preserve"> </w:t>
      </w:r>
      <w:r w:rsidR="009200D1">
        <w:rPr>
          <w:rFonts w:ascii="Arial" w:hAnsi="Arial" w:cs="Arial"/>
        </w:rPr>
        <w:t>study</w:t>
      </w:r>
      <w:r>
        <w:rPr>
          <w:rFonts w:ascii="Arial" w:hAnsi="Arial" w:cs="Arial"/>
        </w:rPr>
        <w:t xml:space="preserve"> arms</w:t>
      </w:r>
      <w:r w:rsidRPr="00416DAE">
        <w:rPr>
          <w:rFonts w:ascii="Arial" w:hAnsi="Arial" w:cs="Arial"/>
        </w:rPr>
        <w:t xml:space="preserve">, </w:t>
      </w:r>
      <w:r>
        <w:rPr>
          <w:rFonts w:ascii="Arial" w:hAnsi="Arial" w:cs="Arial"/>
        </w:rPr>
        <w:t xml:space="preserve">36,418 participants, 214 events, </w:t>
      </w:r>
      <w:r w:rsidRPr="00416DAE">
        <w:rPr>
          <w:rFonts w:ascii="Arial" w:hAnsi="Arial" w:cs="Arial"/>
        </w:rPr>
        <w:t>I</w:t>
      </w:r>
      <w:r w:rsidRPr="00416DAE">
        <w:rPr>
          <w:rFonts w:ascii="Arial" w:hAnsi="Arial" w:cs="Arial"/>
          <w:vertAlign w:val="superscript"/>
        </w:rPr>
        <w:t>2</w:t>
      </w:r>
      <w:r w:rsidRPr="00416DAE">
        <w:rPr>
          <w:rFonts w:ascii="Arial" w:hAnsi="Arial" w:cs="Arial"/>
        </w:rPr>
        <w:t>=60%)</w:t>
      </w:r>
      <w:r>
        <w:rPr>
          <w:rFonts w:ascii="Arial" w:hAnsi="Arial" w:cs="Arial"/>
        </w:rPr>
        <w:t xml:space="preserve"> for mechanical thromboprophylaxis alone</w:t>
      </w:r>
      <w:r w:rsidRPr="00416DAE">
        <w:rPr>
          <w:rFonts w:ascii="Arial" w:hAnsi="Arial" w:cs="Arial"/>
        </w:rPr>
        <w:t xml:space="preserve">. </w:t>
      </w:r>
      <w:r w:rsidR="009200D1" w:rsidRPr="00A11118">
        <w:rPr>
          <w:rFonts w:ascii="Arial" w:hAnsi="Arial" w:cs="Arial"/>
          <w:shd w:val="clear" w:color="auto" w:fill="FFFF00"/>
        </w:rPr>
        <w:t>For the</w:t>
      </w:r>
      <w:r w:rsidR="00A11118" w:rsidRPr="00A11118">
        <w:rPr>
          <w:rFonts w:ascii="Arial" w:hAnsi="Arial" w:cs="Arial"/>
          <w:shd w:val="clear" w:color="auto" w:fill="FFFF00"/>
        </w:rPr>
        <w:t xml:space="preserve"> combined</w:t>
      </w:r>
      <w:r w:rsidR="009200D1" w:rsidRPr="00A11118">
        <w:rPr>
          <w:rFonts w:ascii="Arial" w:hAnsi="Arial" w:cs="Arial"/>
          <w:shd w:val="clear" w:color="auto" w:fill="FFFF00"/>
        </w:rPr>
        <w:t xml:space="preserve"> </w:t>
      </w:r>
      <w:r w:rsidR="00A87844">
        <w:rPr>
          <w:rFonts w:ascii="Arial" w:hAnsi="Arial" w:cs="Arial"/>
          <w:shd w:val="clear" w:color="auto" w:fill="FFFF00"/>
        </w:rPr>
        <w:t xml:space="preserve">study arms (all </w:t>
      </w:r>
      <w:r w:rsidRPr="00A11118">
        <w:rPr>
          <w:rFonts w:ascii="Arial" w:hAnsi="Arial" w:cs="Arial"/>
          <w:shd w:val="clear" w:color="auto" w:fill="FFFF00"/>
        </w:rPr>
        <w:t xml:space="preserve">retrospective and prospective </w:t>
      </w:r>
      <w:r w:rsidR="009200D1" w:rsidRPr="00A11118">
        <w:rPr>
          <w:rFonts w:ascii="Arial" w:hAnsi="Arial" w:cs="Arial"/>
          <w:shd w:val="clear" w:color="auto" w:fill="FFFF00"/>
        </w:rPr>
        <w:t xml:space="preserve">study </w:t>
      </w:r>
      <w:r w:rsidRPr="00A11118">
        <w:rPr>
          <w:rFonts w:ascii="Arial" w:hAnsi="Arial" w:cs="Arial"/>
          <w:shd w:val="clear" w:color="auto" w:fill="FFFF00"/>
        </w:rPr>
        <w:t>designs</w:t>
      </w:r>
      <w:r w:rsidR="00A87844">
        <w:rPr>
          <w:rFonts w:ascii="Arial" w:hAnsi="Arial" w:cs="Arial"/>
          <w:shd w:val="clear" w:color="auto" w:fill="FFFF00"/>
        </w:rPr>
        <w:t>)</w:t>
      </w:r>
      <w:r w:rsidRPr="00A11118">
        <w:rPr>
          <w:rFonts w:ascii="Arial" w:hAnsi="Arial" w:cs="Arial"/>
          <w:shd w:val="clear" w:color="auto" w:fill="FFFF00"/>
        </w:rPr>
        <w:t>,</w:t>
      </w:r>
      <w:r w:rsidRPr="00416DAE">
        <w:rPr>
          <w:rFonts w:ascii="Arial" w:hAnsi="Arial" w:cs="Arial"/>
        </w:rPr>
        <w:t xml:space="preserve"> the DVT rate for </w:t>
      </w:r>
      <w:r>
        <w:rPr>
          <w:rFonts w:ascii="Arial" w:hAnsi="Arial" w:cs="Arial"/>
        </w:rPr>
        <w:t>the additional pharmacological thromboprophylaxis</w:t>
      </w:r>
      <w:r w:rsidRPr="00416DAE">
        <w:rPr>
          <w:rFonts w:ascii="Arial" w:hAnsi="Arial" w:cs="Arial"/>
        </w:rPr>
        <w:t xml:space="preserve"> </w:t>
      </w:r>
      <w:r>
        <w:rPr>
          <w:rFonts w:ascii="Arial" w:hAnsi="Arial" w:cs="Arial"/>
        </w:rPr>
        <w:t>arms</w:t>
      </w:r>
      <w:r w:rsidRPr="00416DAE">
        <w:rPr>
          <w:rFonts w:ascii="Arial" w:hAnsi="Arial" w:cs="Arial"/>
        </w:rPr>
        <w:t xml:space="preserve"> </w:t>
      </w:r>
      <w:r>
        <w:rPr>
          <w:rFonts w:ascii="Arial" w:hAnsi="Arial" w:cs="Arial"/>
        </w:rPr>
        <w:t xml:space="preserve">was </w:t>
      </w:r>
      <w:r w:rsidRPr="00416DAE">
        <w:rPr>
          <w:rFonts w:ascii="Arial" w:hAnsi="Arial" w:cs="Arial"/>
        </w:rPr>
        <w:t>0.71% (95% CI 0.57-0.89%</w:t>
      </w:r>
      <w:r>
        <w:rPr>
          <w:rFonts w:ascii="Arial" w:hAnsi="Arial" w:cs="Arial"/>
        </w:rPr>
        <w:t>) (</w:t>
      </w:r>
      <w:r w:rsidRPr="00416DAE">
        <w:rPr>
          <w:rFonts w:ascii="Arial" w:hAnsi="Arial" w:cs="Arial"/>
        </w:rPr>
        <w:t>4</w:t>
      </w:r>
      <w:r w:rsidR="006667CC">
        <w:rPr>
          <w:rFonts w:ascii="Arial" w:hAnsi="Arial" w:cs="Arial"/>
        </w:rPr>
        <w:t>3</w:t>
      </w:r>
      <w:r>
        <w:rPr>
          <w:rFonts w:ascii="Arial" w:hAnsi="Arial" w:cs="Arial"/>
        </w:rPr>
        <w:t xml:space="preserve"> trial </w:t>
      </w:r>
      <w:r>
        <w:rPr>
          <w:rFonts w:ascii="Arial" w:hAnsi="Arial" w:cs="Arial"/>
        </w:rPr>
        <w:lastRenderedPageBreak/>
        <w:t>arms</w:t>
      </w:r>
      <w:r w:rsidRPr="00416DAE">
        <w:rPr>
          <w:rFonts w:ascii="Arial" w:hAnsi="Arial" w:cs="Arial"/>
        </w:rPr>
        <w:t xml:space="preserve">, </w:t>
      </w:r>
      <w:r>
        <w:rPr>
          <w:rFonts w:ascii="Arial" w:hAnsi="Arial" w:cs="Arial"/>
        </w:rPr>
        <w:t xml:space="preserve">13,869 participants, 63 events, </w:t>
      </w:r>
      <w:r w:rsidRPr="00416DAE">
        <w:rPr>
          <w:rFonts w:ascii="Arial" w:hAnsi="Arial" w:cs="Arial"/>
        </w:rPr>
        <w:t>I</w:t>
      </w:r>
      <w:r w:rsidRPr="00416DAE">
        <w:rPr>
          <w:rFonts w:ascii="Arial" w:hAnsi="Arial" w:cs="Arial"/>
          <w:vertAlign w:val="superscript"/>
        </w:rPr>
        <w:t>2</w:t>
      </w:r>
      <w:r w:rsidRPr="00416DAE">
        <w:rPr>
          <w:rFonts w:ascii="Arial" w:hAnsi="Arial" w:cs="Arial"/>
        </w:rPr>
        <w:t xml:space="preserve">=0%). For mechanical </w:t>
      </w:r>
      <w:r>
        <w:rPr>
          <w:rFonts w:ascii="Arial" w:hAnsi="Arial" w:cs="Arial"/>
        </w:rPr>
        <w:t>thrombo</w:t>
      </w:r>
      <w:r w:rsidRPr="00416DAE">
        <w:rPr>
          <w:rFonts w:ascii="Arial" w:hAnsi="Arial" w:cs="Arial"/>
        </w:rPr>
        <w:t>prophylaxis alone, the heterogeneity of 93% precluded</w:t>
      </w:r>
      <w:r>
        <w:rPr>
          <w:rFonts w:ascii="Arial" w:hAnsi="Arial" w:cs="Arial"/>
        </w:rPr>
        <w:t xml:space="preserve"> quantitative synthesis </w:t>
      </w:r>
      <w:r w:rsidRPr="00416DAE">
        <w:rPr>
          <w:rFonts w:ascii="Arial" w:hAnsi="Arial" w:cs="Arial"/>
        </w:rPr>
        <w:t xml:space="preserve">and prompted further </w:t>
      </w:r>
      <w:r>
        <w:rPr>
          <w:rFonts w:ascii="Arial" w:hAnsi="Arial" w:cs="Arial"/>
        </w:rPr>
        <w:t>e</w:t>
      </w:r>
      <w:r w:rsidRPr="00416DAE">
        <w:rPr>
          <w:rFonts w:ascii="Arial" w:hAnsi="Arial" w:cs="Arial"/>
        </w:rPr>
        <w:t xml:space="preserve">nquiry into between study differences. </w:t>
      </w:r>
    </w:p>
    <w:p w14:paraId="434300C7" w14:textId="77777777" w:rsidR="00063E33" w:rsidRPr="00416DAE" w:rsidRDefault="00063E33" w:rsidP="00063E33">
      <w:pPr>
        <w:spacing w:line="480" w:lineRule="auto"/>
        <w:jc w:val="both"/>
        <w:rPr>
          <w:rFonts w:ascii="Arial" w:hAnsi="Arial" w:cs="Arial"/>
        </w:rPr>
      </w:pPr>
    </w:p>
    <w:p w14:paraId="6A821F26" w14:textId="0E878950" w:rsidR="00B52932" w:rsidRDefault="00B52932" w:rsidP="00B52932">
      <w:pPr>
        <w:spacing w:line="480" w:lineRule="auto"/>
        <w:jc w:val="both"/>
        <w:rPr>
          <w:rFonts w:ascii="Arial" w:hAnsi="Arial" w:cs="Arial"/>
        </w:rPr>
      </w:pPr>
      <w:r w:rsidRPr="00416DAE">
        <w:rPr>
          <w:rFonts w:ascii="Arial" w:hAnsi="Arial" w:cs="Arial"/>
        </w:rPr>
        <w:t xml:space="preserve">A multivariate model was used to examine for </w:t>
      </w:r>
      <w:r>
        <w:rPr>
          <w:rFonts w:ascii="Arial" w:hAnsi="Arial" w:cs="Arial"/>
        </w:rPr>
        <w:t xml:space="preserve">significant </w:t>
      </w:r>
      <w:r w:rsidRPr="00416DAE">
        <w:rPr>
          <w:rFonts w:ascii="Arial" w:hAnsi="Arial" w:cs="Arial"/>
        </w:rPr>
        <w:t xml:space="preserve">moderators </w:t>
      </w:r>
      <w:r>
        <w:rPr>
          <w:rFonts w:ascii="Arial" w:hAnsi="Arial" w:cs="Arial"/>
        </w:rPr>
        <w:t xml:space="preserve">of </w:t>
      </w:r>
      <w:r w:rsidRPr="00416DAE">
        <w:rPr>
          <w:rFonts w:ascii="Arial" w:hAnsi="Arial" w:cs="Arial"/>
        </w:rPr>
        <w:t>outcome</w:t>
      </w:r>
      <w:r>
        <w:rPr>
          <w:rFonts w:ascii="Arial" w:hAnsi="Arial" w:cs="Arial"/>
        </w:rPr>
        <w:t>, and a Bonferroni correction applied to the significance threshold in light of the multiple analyses. In randomised trial arms of</w:t>
      </w:r>
      <w:r w:rsidRPr="00416DAE">
        <w:rPr>
          <w:rFonts w:ascii="Arial" w:hAnsi="Arial" w:cs="Arial"/>
        </w:rPr>
        <w:t xml:space="preserve"> </w:t>
      </w:r>
      <w:r>
        <w:rPr>
          <w:rFonts w:ascii="Arial" w:hAnsi="Arial" w:cs="Arial"/>
        </w:rPr>
        <w:t>additional pharmacological thromboprophylaxis</w:t>
      </w:r>
      <w:r w:rsidRPr="00416DAE">
        <w:rPr>
          <w:rFonts w:ascii="Arial" w:hAnsi="Arial" w:cs="Arial"/>
        </w:rPr>
        <w:t>, moderators included in the model were symptomatic</w:t>
      </w:r>
      <w:r>
        <w:rPr>
          <w:rFonts w:ascii="Arial" w:hAnsi="Arial" w:cs="Arial"/>
        </w:rPr>
        <w:t xml:space="preserve"> (imaging confirmed)</w:t>
      </w:r>
      <w:r w:rsidRPr="00416DAE">
        <w:rPr>
          <w:rFonts w:ascii="Arial" w:hAnsi="Arial" w:cs="Arial"/>
        </w:rPr>
        <w:t xml:space="preserve"> v</w:t>
      </w:r>
      <w:r>
        <w:rPr>
          <w:rFonts w:ascii="Arial" w:hAnsi="Arial" w:cs="Arial"/>
        </w:rPr>
        <w:t>ersu</w:t>
      </w:r>
      <w:r w:rsidRPr="00416DAE">
        <w:rPr>
          <w:rFonts w:ascii="Arial" w:hAnsi="Arial" w:cs="Arial"/>
        </w:rPr>
        <w:t>s asymptomatic</w:t>
      </w:r>
      <w:r>
        <w:rPr>
          <w:rFonts w:ascii="Arial" w:hAnsi="Arial" w:cs="Arial"/>
        </w:rPr>
        <w:t xml:space="preserve"> (screen-detected) duplex</w:t>
      </w:r>
      <w:r w:rsidRPr="00416DAE">
        <w:rPr>
          <w:rFonts w:ascii="Arial" w:hAnsi="Arial" w:cs="Arial"/>
        </w:rPr>
        <w:t xml:space="preserve"> scanning, single</w:t>
      </w:r>
      <w:r>
        <w:rPr>
          <w:rFonts w:ascii="Arial" w:hAnsi="Arial" w:cs="Arial"/>
        </w:rPr>
        <w:t>-dose</w:t>
      </w:r>
      <w:r w:rsidRPr="00416DAE">
        <w:rPr>
          <w:rFonts w:ascii="Arial" w:hAnsi="Arial" w:cs="Arial"/>
        </w:rPr>
        <w:t xml:space="preserve"> v</w:t>
      </w:r>
      <w:r>
        <w:rPr>
          <w:rFonts w:ascii="Arial" w:hAnsi="Arial" w:cs="Arial"/>
        </w:rPr>
        <w:t>ersu</w:t>
      </w:r>
      <w:r w:rsidRPr="00416DAE">
        <w:rPr>
          <w:rFonts w:ascii="Arial" w:hAnsi="Arial" w:cs="Arial"/>
        </w:rPr>
        <w:t>s extended pharmac</w:t>
      </w:r>
      <w:r>
        <w:rPr>
          <w:rFonts w:ascii="Arial" w:hAnsi="Arial" w:cs="Arial"/>
        </w:rPr>
        <w:t>ological thromboprophylaxis,</w:t>
      </w:r>
      <w:r w:rsidRPr="00416DAE">
        <w:rPr>
          <w:rFonts w:ascii="Arial" w:hAnsi="Arial" w:cs="Arial"/>
        </w:rPr>
        <w:t xml:space="preserve"> and compression</w:t>
      </w:r>
      <w:r>
        <w:rPr>
          <w:rFonts w:ascii="Arial" w:hAnsi="Arial" w:cs="Arial"/>
        </w:rPr>
        <w:t xml:space="preserve"> therapy</w:t>
      </w:r>
      <w:r w:rsidRPr="00416DAE">
        <w:rPr>
          <w:rFonts w:ascii="Arial" w:hAnsi="Arial" w:cs="Arial"/>
        </w:rPr>
        <w:t xml:space="preserve"> for one week or more.</w:t>
      </w:r>
      <w:r>
        <w:rPr>
          <w:rFonts w:ascii="Arial" w:hAnsi="Arial" w:cs="Arial"/>
        </w:rPr>
        <w:t xml:space="preserve"> For mechanical thromboprophylaxis alone, pharmacological thromboprophylaxis was omitted from the model. </w:t>
      </w:r>
      <w:r w:rsidRPr="00D6236F">
        <w:rPr>
          <w:rFonts w:ascii="Arial" w:hAnsi="Arial" w:cs="Arial"/>
          <w:highlight w:val="yellow"/>
        </w:rPr>
        <w:t>None of the moderators in the model demonstrated any effect on DVT rate in the pharmacological thromboprophylaxis arms (p=0.97), nor mechanical thromboprophylaxis alone arms (p=0.13). Post-hoc analysis revealed no difference in DVT rate between single-dose and extended pharmacological thromboprophylaxis (p=0.38), with a rate of 0.43% (95% CI 0.22 – 0.86%) for single-dose versus 0.75% (95% CI 0.47-1.19%)</w:t>
      </w:r>
      <w:r w:rsidR="009200D1">
        <w:rPr>
          <w:rFonts w:ascii="Arial" w:hAnsi="Arial" w:cs="Arial"/>
          <w:highlight w:val="yellow"/>
        </w:rPr>
        <w:t xml:space="preserve"> for extended pharmacological thromboprophylaxis (2 days or more)</w:t>
      </w:r>
      <w:r w:rsidRPr="00D6236F">
        <w:rPr>
          <w:rFonts w:ascii="Arial" w:hAnsi="Arial" w:cs="Arial"/>
          <w:highlight w:val="yellow"/>
        </w:rPr>
        <w:t>.</w:t>
      </w:r>
      <w:r>
        <w:rPr>
          <w:rFonts w:ascii="Arial" w:hAnsi="Arial" w:cs="Arial"/>
        </w:rPr>
        <w:t xml:space="preserve"> </w:t>
      </w:r>
    </w:p>
    <w:p w14:paraId="137F1F81" w14:textId="77777777" w:rsidR="00063E33" w:rsidRPr="00416DAE" w:rsidRDefault="00063E33" w:rsidP="00063E33">
      <w:pPr>
        <w:spacing w:line="480" w:lineRule="auto"/>
        <w:jc w:val="both"/>
        <w:rPr>
          <w:rFonts w:ascii="Arial" w:hAnsi="Arial" w:cs="Arial"/>
        </w:rPr>
      </w:pPr>
    </w:p>
    <w:p w14:paraId="0EE85130" w14:textId="77777777" w:rsidR="00063E33" w:rsidRPr="00416DAE" w:rsidRDefault="00063E33" w:rsidP="00063E33">
      <w:pPr>
        <w:spacing w:line="480" w:lineRule="auto"/>
        <w:jc w:val="both"/>
        <w:rPr>
          <w:rFonts w:ascii="Arial" w:hAnsi="Arial" w:cs="Arial"/>
          <w:i/>
          <w:iCs/>
        </w:rPr>
      </w:pPr>
      <w:r w:rsidRPr="00416DAE">
        <w:rPr>
          <w:rFonts w:ascii="Arial" w:hAnsi="Arial" w:cs="Arial"/>
          <w:i/>
          <w:iCs/>
        </w:rPr>
        <w:t>PE</w:t>
      </w:r>
    </w:p>
    <w:p w14:paraId="03C0A547" w14:textId="04144F9C" w:rsidR="00A11118" w:rsidRPr="00416DAE" w:rsidRDefault="00063E33" w:rsidP="00A11118">
      <w:pPr>
        <w:spacing w:line="480" w:lineRule="auto"/>
        <w:jc w:val="both"/>
        <w:rPr>
          <w:rFonts w:ascii="Arial" w:hAnsi="Arial" w:cs="Arial"/>
        </w:rPr>
      </w:pPr>
      <w:r>
        <w:rPr>
          <w:rFonts w:ascii="Arial" w:hAnsi="Arial" w:cs="Arial"/>
        </w:rPr>
        <w:t>There were 138 trial arms that reported</w:t>
      </w:r>
      <w:r w:rsidRPr="00416DAE">
        <w:rPr>
          <w:rFonts w:ascii="Arial" w:hAnsi="Arial" w:cs="Arial"/>
        </w:rPr>
        <w:t xml:space="preserve"> PE as an outcome. The rate of PE in randomised study designs was 0.45% </w:t>
      </w:r>
      <w:r>
        <w:rPr>
          <w:rFonts w:ascii="Arial" w:hAnsi="Arial" w:cs="Arial"/>
        </w:rPr>
        <w:t>(</w:t>
      </w:r>
      <w:r w:rsidRPr="00416DAE">
        <w:rPr>
          <w:rFonts w:ascii="Arial" w:hAnsi="Arial" w:cs="Arial"/>
        </w:rPr>
        <w:t>95% CI 0.09-2.35</w:t>
      </w:r>
      <w:r>
        <w:rPr>
          <w:rFonts w:ascii="Arial" w:hAnsi="Arial" w:cs="Arial"/>
        </w:rPr>
        <w:t>)</w:t>
      </w:r>
      <w:r w:rsidRPr="00416DAE">
        <w:rPr>
          <w:rFonts w:ascii="Arial" w:hAnsi="Arial" w:cs="Arial"/>
        </w:rPr>
        <w:t xml:space="preserve"> (5</w:t>
      </w:r>
      <w:r>
        <w:rPr>
          <w:rFonts w:ascii="Arial" w:hAnsi="Arial" w:cs="Arial"/>
        </w:rPr>
        <w:t xml:space="preserve"> studies</w:t>
      </w:r>
      <w:r w:rsidRPr="00416DAE">
        <w:rPr>
          <w:rFonts w:ascii="Arial" w:hAnsi="Arial" w:cs="Arial"/>
        </w:rPr>
        <w:t>,</w:t>
      </w:r>
      <w:r>
        <w:rPr>
          <w:rFonts w:ascii="Arial" w:hAnsi="Arial" w:cs="Arial"/>
        </w:rPr>
        <w:t xml:space="preserve"> 460 participants,</w:t>
      </w:r>
      <w:r w:rsidRPr="00416DAE">
        <w:rPr>
          <w:rFonts w:ascii="Arial" w:hAnsi="Arial" w:cs="Arial"/>
        </w:rPr>
        <w:t xml:space="preserve"> </w:t>
      </w:r>
      <w:r>
        <w:rPr>
          <w:rFonts w:ascii="Arial" w:hAnsi="Arial" w:cs="Arial"/>
        </w:rPr>
        <w:t xml:space="preserve">1 event, </w:t>
      </w:r>
      <w:r w:rsidRPr="00416DAE">
        <w:rPr>
          <w:rFonts w:ascii="Arial" w:hAnsi="Arial" w:cs="Arial"/>
        </w:rPr>
        <w:t>I</w:t>
      </w:r>
      <w:r w:rsidRPr="00416DAE">
        <w:rPr>
          <w:rFonts w:ascii="Arial" w:hAnsi="Arial" w:cs="Arial"/>
          <w:vertAlign w:val="superscript"/>
        </w:rPr>
        <w:t>2</w:t>
      </w:r>
      <w:r w:rsidRPr="00416DAE">
        <w:rPr>
          <w:rFonts w:ascii="Arial" w:hAnsi="Arial" w:cs="Arial"/>
        </w:rPr>
        <w:t xml:space="preserve">=0%) for </w:t>
      </w:r>
      <w:r>
        <w:rPr>
          <w:rFonts w:ascii="Arial" w:hAnsi="Arial" w:cs="Arial"/>
        </w:rPr>
        <w:t>additional pharmacological thromboprophylaxis</w:t>
      </w:r>
      <w:r w:rsidRPr="00416DAE">
        <w:rPr>
          <w:rFonts w:ascii="Arial" w:hAnsi="Arial" w:cs="Arial"/>
        </w:rPr>
        <w:t xml:space="preserve"> </w:t>
      </w:r>
      <w:r>
        <w:rPr>
          <w:rFonts w:ascii="Arial" w:hAnsi="Arial" w:cs="Arial"/>
        </w:rPr>
        <w:t>arms</w:t>
      </w:r>
      <w:r w:rsidRPr="00416DAE" w:rsidDel="007B54B6">
        <w:rPr>
          <w:rFonts w:ascii="Arial" w:hAnsi="Arial" w:cs="Arial"/>
        </w:rPr>
        <w:t xml:space="preserve"> </w:t>
      </w:r>
      <w:r w:rsidRPr="00416DAE">
        <w:rPr>
          <w:rFonts w:ascii="Arial" w:hAnsi="Arial" w:cs="Arial"/>
        </w:rPr>
        <w:t>versus 0.23% (95% CI 0.1-0.52%</w:t>
      </w:r>
      <w:r>
        <w:rPr>
          <w:rFonts w:ascii="Arial" w:hAnsi="Arial" w:cs="Arial"/>
        </w:rPr>
        <w:t>) (</w:t>
      </w:r>
      <w:r w:rsidRPr="00416DAE">
        <w:rPr>
          <w:rFonts w:ascii="Arial" w:hAnsi="Arial" w:cs="Arial"/>
        </w:rPr>
        <w:t>2</w:t>
      </w:r>
      <w:r>
        <w:rPr>
          <w:rFonts w:ascii="Arial" w:hAnsi="Arial" w:cs="Arial"/>
        </w:rPr>
        <w:t>8 studies</w:t>
      </w:r>
      <w:r w:rsidRPr="00416DAE">
        <w:rPr>
          <w:rFonts w:ascii="Arial" w:hAnsi="Arial" w:cs="Arial"/>
        </w:rPr>
        <w:t>,</w:t>
      </w:r>
      <w:r>
        <w:rPr>
          <w:rFonts w:ascii="Arial" w:hAnsi="Arial" w:cs="Arial"/>
        </w:rPr>
        <w:t xml:space="preserve"> 4834 participants</w:t>
      </w:r>
      <w:r w:rsidRPr="00416DAE">
        <w:rPr>
          <w:rFonts w:ascii="Arial" w:hAnsi="Arial" w:cs="Arial"/>
        </w:rPr>
        <w:t xml:space="preserve">, </w:t>
      </w:r>
      <w:r>
        <w:rPr>
          <w:rFonts w:ascii="Arial" w:hAnsi="Arial" w:cs="Arial"/>
        </w:rPr>
        <w:t xml:space="preserve">3 events, </w:t>
      </w:r>
      <w:r w:rsidRPr="00416DAE">
        <w:rPr>
          <w:rFonts w:ascii="Arial" w:hAnsi="Arial" w:cs="Arial"/>
        </w:rPr>
        <w:t>I</w:t>
      </w:r>
      <w:r w:rsidRPr="00416DAE">
        <w:rPr>
          <w:rFonts w:ascii="Arial" w:hAnsi="Arial" w:cs="Arial"/>
          <w:vertAlign w:val="superscript"/>
        </w:rPr>
        <w:t>2</w:t>
      </w:r>
      <w:r w:rsidRPr="00416DAE">
        <w:rPr>
          <w:rFonts w:ascii="Arial" w:hAnsi="Arial" w:cs="Arial"/>
        </w:rPr>
        <w:t xml:space="preserve">=0%) for mechanical </w:t>
      </w:r>
      <w:r>
        <w:rPr>
          <w:rFonts w:ascii="Arial" w:hAnsi="Arial" w:cs="Arial"/>
        </w:rPr>
        <w:t>thrombo</w:t>
      </w:r>
      <w:r w:rsidRPr="00416DAE">
        <w:rPr>
          <w:rFonts w:ascii="Arial" w:hAnsi="Arial" w:cs="Arial"/>
        </w:rPr>
        <w:t xml:space="preserve">prophylaxis alone. </w:t>
      </w:r>
      <w:r w:rsidR="00A11118" w:rsidRPr="00A11118">
        <w:rPr>
          <w:rFonts w:ascii="Arial" w:hAnsi="Arial" w:cs="Arial"/>
          <w:shd w:val="clear" w:color="auto" w:fill="FFFF00"/>
        </w:rPr>
        <w:t>For the combined study arms,</w:t>
      </w:r>
      <w:r w:rsidR="00A11118" w:rsidRPr="00416DAE">
        <w:rPr>
          <w:rFonts w:ascii="Arial" w:hAnsi="Arial" w:cs="Arial"/>
        </w:rPr>
        <w:t xml:space="preserve"> the rate of PE </w:t>
      </w:r>
      <w:r w:rsidR="00A11118" w:rsidRPr="00416DAE">
        <w:rPr>
          <w:rFonts w:ascii="Arial" w:hAnsi="Arial" w:cs="Arial"/>
        </w:rPr>
        <w:lastRenderedPageBreak/>
        <w:t xml:space="preserve">for </w:t>
      </w:r>
      <w:r w:rsidR="00A11118">
        <w:rPr>
          <w:rFonts w:ascii="Arial" w:hAnsi="Arial" w:cs="Arial"/>
        </w:rPr>
        <w:t>the pharmacological thromboprophylaxis</w:t>
      </w:r>
      <w:r w:rsidR="00A11118" w:rsidRPr="00416DAE">
        <w:rPr>
          <w:rFonts w:ascii="Arial" w:hAnsi="Arial" w:cs="Arial"/>
        </w:rPr>
        <w:t xml:space="preserve"> </w:t>
      </w:r>
      <w:r w:rsidR="00A11118">
        <w:rPr>
          <w:rFonts w:ascii="Arial" w:hAnsi="Arial" w:cs="Arial"/>
        </w:rPr>
        <w:t>study arms</w:t>
      </w:r>
      <w:r w:rsidR="00A11118" w:rsidRPr="00416DAE" w:rsidDel="007B54B6">
        <w:rPr>
          <w:rFonts w:ascii="Arial" w:hAnsi="Arial" w:cs="Arial"/>
        </w:rPr>
        <w:t xml:space="preserve"> </w:t>
      </w:r>
      <w:r w:rsidR="00A11118" w:rsidRPr="00416DAE">
        <w:rPr>
          <w:rFonts w:ascii="Arial" w:hAnsi="Arial" w:cs="Arial"/>
        </w:rPr>
        <w:t>was 0.14% (95% CI 0.07-0.28%</w:t>
      </w:r>
      <w:r w:rsidR="00A11118">
        <w:rPr>
          <w:rFonts w:ascii="Arial" w:hAnsi="Arial" w:cs="Arial"/>
        </w:rPr>
        <w:t>) (26 studies, 9798 participants, 6 events</w:t>
      </w:r>
      <w:r w:rsidR="00A11118" w:rsidRPr="00416DAE">
        <w:rPr>
          <w:rFonts w:ascii="Arial" w:hAnsi="Arial" w:cs="Arial"/>
        </w:rPr>
        <w:t>, I</w:t>
      </w:r>
      <w:r w:rsidR="00A11118" w:rsidRPr="00416DAE">
        <w:rPr>
          <w:rFonts w:ascii="Arial" w:hAnsi="Arial" w:cs="Arial"/>
          <w:vertAlign w:val="superscript"/>
        </w:rPr>
        <w:t>2</w:t>
      </w:r>
      <w:r w:rsidR="00A11118" w:rsidRPr="00416DAE">
        <w:rPr>
          <w:rFonts w:ascii="Arial" w:hAnsi="Arial" w:cs="Arial"/>
        </w:rPr>
        <w:t xml:space="preserve">=0%). For mechanical </w:t>
      </w:r>
      <w:r w:rsidR="00A11118">
        <w:rPr>
          <w:rFonts w:ascii="Arial" w:hAnsi="Arial" w:cs="Arial"/>
        </w:rPr>
        <w:t>thrombo</w:t>
      </w:r>
      <w:r w:rsidR="00A11118" w:rsidRPr="00416DAE">
        <w:rPr>
          <w:rFonts w:ascii="Arial" w:hAnsi="Arial" w:cs="Arial"/>
        </w:rPr>
        <w:t>prophylaxis alone</w:t>
      </w:r>
      <w:r w:rsidR="00A11118">
        <w:rPr>
          <w:rFonts w:ascii="Arial" w:hAnsi="Arial" w:cs="Arial"/>
        </w:rPr>
        <w:t xml:space="preserve"> in </w:t>
      </w:r>
      <w:r w:rsidR="00A11118" w:rsidRPr="00A11118">
        <w:rPr>
          <w:rFonts w:ascii="Arial" w:hAnsi="Arial" w:cs="Arial"/>
          <w:shd w:val="clear" w:color="auto" w:fill="FFFF00"/>
        </w:rPr>
        <w:t>combined study arms</w:t>
      </w:r>
      <w:r w:rsidR="00A11118" w:rsidRPr="00416DAE">
        <w:rPr>
          <w:rFonts w:ascii="Arial" w:hAnsi="Arial" w:cs="Arial"/>
        </w:rPr>
        <w:t>, the rate of PE was 0.16% (95% CI 0.15-0.18%</w:t>
      </w:r>
      <w:r w:rsidR="00A11118">
        <w:rPr>
          <w:rFonts w:ascii="Arial" w:hAnsi="Arial" w:cs="Arial"/>
        </w:rPr>
        <w:t>) (</w:t>
      </w:r>
      <w:r w:rsidR="00A11118" w:rsidRPr="00416DAE">
        <w:rPr>
          <w:rFonts w:ascii="Arial" w:hAnsi="Arial" w:cs="Arial"/>
        </w:rPr>
        <w:t>112</w:t>
      </w:r>
      <w:r w:rsidR="00A11118">
        <w:rPr>
          <w:rFonts w:ascii="Arial" w:hAnsi="Arial" w:cs="Arial"/>
        </w:rPr>
        <w:t xml:space="preserve"> studies</w:t>
      </w:r>
      <w:r w:rsidR="00A11118" w:rsidRPr="00416DAE">
        <w:rPr>
          <w:rFonts w:ascii="Arial" w:hAnsi="Arial" w:cs="Arial"/>
        </w:rPr>
        <w:t xml:space="preserve">, </w:t>
      </w:r>
      <w:r w:rsidR="00A11118">
        <w:rPr>
          <w:rFonts w:ascii="Arial" w:hAnsi="Arial" w:cs="Arial"/>
        </w:rPr>
        <w:t xml:space="preserve">358,316 participants, 458 events, </w:t>
      </w:r>
      <w:r w:rsidR="00A11118" w:rsidRPr="00416DAE">
        <w:rPr>
          <w:rFonts w:ascii="Arial" w:hAnsi="Arial" w:cs="Arial"/>
        </w:rPr>
        <w:t>I</w:t>
      </w:r>
      <w:r w:rsidR="00A11118" w:rsidRPr="00416DAE">
        <w:rPr>
          <w:rFonts w:ascii="Arial" w:hAnsi="Arial" w:cs="Arial"/>
          <w:vertAlign w:val="superscript"/>
        </w:rPr>
        <w:t>2</w:t>
      </w:r>
      <w:r w:rsidR="00A11118" w:rsidRPr="00416DAE">
        <w:rPr>
          <w:rFonts w:ascii="Arial" w:hAnsi="Arial" w:cs="Arial"/>
        </w:rPr>
        <w:t xml:space="preserve">=0%). </w:t>
      </w:r>
      <w:r w:rsidR="00A11118">
        <w:rPr>
          <w:rFonts w:ascii="Arial" w:hAnsi="Arial" w:cs="Arial"/>
        </w:rPr>
        <w:t>The multivariate model demonstrated no significant moderators of outcome amongst study design and duration of compression.</w:t>
      </w:r>
    </w:p>
    <w:p w14:paraId="0C3432A8" w14:textId="109159F4" w:rsidR="00063E33" w:rsidRPr="00416DAE" w:rsidRDefault="00063E33" w:rsidP="00063E33">
      <w:pPr>
        <w:spacing w:line="480" w:lineRule="auto"/>
        <w:jc w:val="both"/>
        <w:rPr>
          <w:rFonts w:ascii="Arial" w:hAnsi="Arial" w:cs="Arial"/>
        </w:rPr>
      </w:pPr>
    </w:p>
    <w:p w14:paraId="49881C1E" w14:textId="77777777" w:rsidR="00063E33" w:rsidRPr="00416DAE" w:rsidRDefault="00063E33" w:rsidP="00063E33">
      <w:pPr>
        <w:spacing w:line="480" w:lineRule="auto"/>
        <w:jc w:val="both"/>
        <w:rPr>
          <w:rFonts w:ascii="Arial" w:hAnsi="Arial" w:cs="Arial"/>
          <w:i/>
          <w:iCs/>
        </w:rPr>
      </w:pPr>
      <w:r w:rsidRPr="00416DAE">
        <w:rPr>
          <w:rFonts w:ascii="Arial" w:hAnsi="Arial" w:cs="Arial"/>
          <w:i/>
          <w:iCs/>
        </w:rPr>
        <w:t>E</w:t>
      </w:r>
      <w:r>
        <w:rPr>
          <w:rFonts w:ascii="Arial" w:hAnsi="Arial" w:cs="Arial"/>
          <w:i/>
          <w:iCs/>
        </w:rPr>
        <w:t>ndovenous heat-induced thrombosis (E</w:t>
      </w:r>
      <w:r w:rsidRPr="00416DAE">
        <w:rPr>
          <w:rFonts w:ascii="Arial" w:hAnsi="Arial" w:cs="Arial"/>
          <w:i/>
          <w:iCs/>
        </w:rPr>
        <w:t>HIT</w:t>
      </w:r>
      <w:r>
        <w:rPr>
          <w:rFonts w:ascii="Arial" w:hAnsi="Arial" w:cs="Arial"/>
          <w:i/>
          <w:iCs/>
        </w:rPr>
        <w:t>)</w:t>
      </w:r>
    </w:p>
    <w:p w14:paraId="05AB7C03" w14:textId="77777777" w:rsidR="00063E33" w:rsidRPr="00416DAE" w:rsidRDefault="00063E33" w:rsidP="00063E33">
      <w:pPr>
        <w:spacing w:line="480" w:lineRule="auto"/>
        <w:jc w:val="both"/>
        <w:rPr>
          <w:rFonts w:ascii="Arial" w:hAnsi="Arial" w:cs="Arial"/>
        </w:rPr>
      </w:pPr>
      <w:r w:rsidRPr="00416DAE">
        <w:rPr>
          <w:rFonts w:ascii="Arial" w:hAnsi="Arial" w:cs="Arial"/>
        </w:rPr>
        <w:t xml:space="preserve">Of the studies reporting DVT rate, 16 documented the individual grade of EHIT. As EHIT grade </w:t>
      </w:r>
      <w:r>
        <w:rPr>
          <w:rFonts w:ascii="Arial" w:hAnsi="Arial" w:cs="Arial"/>
        </w:rPr>
        <w:t>I</w:t>
      </w:r>
      <w:r w:rsidRPr="00416DAE">
        <w:rPr>
          <w:rFonts w:ascii="Arial" w:hAnsi="Arial" w:cs="Arial"/>
        </w:rPr>
        <w:t xml:space="preserve"> and </w:t>
      </w:r>
      <w:r>
        <w:rPr>
          <w:rFonts w:ascii="Arial" w:hAnsi="Arial" w:cs="Arial"/>
        </w:rPr>
        <w:t>II</w:t>
      </w:r>
      <w:r w:rsidRPr="00416DAE">
        <w:rPr>
          <w:rFonts w:ascii="Arial" w:hAnsi="Arial" w:cs="Arial"/>
        </w:rPr>
        <w:t xml:space="preserve"> are </w:t>
      </w:r>
      <w:r>
        <w:rPr>
          <w:rFonts w:ascii="Arial" w:hAnsi="Arial" w:cs="Arial"/>
        </w:rPr>
        <w:t xml:space="preserve">generally considered a spectrum of treatment effect </w:t>
      </w:r>
      <w:r w:rsidRPr="00416DAE">
        <w:rPr>
          <w:rFonts w:ascii="Arial" w:hAnsi="Arial" w:cs="Arial"/>
        </w:rPr>
        <w:t>and do not require treatment</w:t>
      </w:r>
      <w:r w:rsidRPr="00851C0C">
        <w:rPr>
          <w:rFonts w:ascii="Arial" w:hAnsi="Arial" w:cs="Arial"/>
          <w:noProof/>
          <w:vertAlign w:val="superscript"/>
        </w:rPr>
        <w:t>12</w:t>
      </w:r>
      <w:r w:rsidRPr="00416DAE">
        <w:rPr>
          <w:rFonts w:ascii="Arial" w:hAnsi="Arial" w:cs="Arial"/>
        </w:rPr>
        <w:t xml:space="preserve">, </w:t>
      </w:r>
      <w:r>
        <w:rPr>
          <w:rFonts w:ascii="Arial" w:hAnsi="Arial" w:cs="Arial"/>
        </w:rPr>
        <w:t>only</w:t>
      </w:r>
      <w:r w:rsidRPr="00416DAE">
        <w:rPr>
          <w:rFonts w:ascii="Arial" w:hAnsi="Arial" w:cs="Arial"/>
        </w:rPr>
        <w:t xml:space="preserve"> the rate of EHIT </w:t>
      </w:r>
      <w:r>
        <w:rPr>
          <w:rFonts w:ascii="Arial" w:hAnsi="Arial" w:cs="Arial"/>
        </w:rPr>
        <w:t>III</w:t>
      </w:r>
      <w:r w:rsidRPr="00416DAE">
        <w:rPr>
          <w:rFonts w:ascii="Arial" w:hAnsi="Arial" w:cs="Arial"/>
        </w:rPr>
        <w:t xml:space="preserve"> and </w:t>
      </w:r>
      <w:r>
        <w:rPr>
          <w:rFonts w:ascii="Arial" w:hAnsi="Arial" w:cs="Arial"/>
        </w:rPr>
        <w:t>IV</w:t>
      </w:r>
      <w:r w:rsidRPr="00416DAE">
        <w:rPr>
          <w:rFonts w:ascii="Arial" w:hAnsi="Arial" w:cs="Arial"/>
        </w:rPr>
        <w:t xml:space="preserve"> </w:t>
      </w:r>
      <w:r>
        <w:rPr>
          <w:rFonts w:ascii="Arial" w:hAnsi="Arial" w:cs="Arial"/>
        </w:rPr>
        <w:t>are reported</w:t>
      </w:r>
      <w:r w:rsidRPr="00416DAE">
        <w:rPr>
          <w:rFonts w:ascii="Arial" w:hAnsi="Arial" w:cs="Arial"/>
        </w:rPr>
        <w:t xml:space="preserve">. In the </w:t>
      </w:r>
      <w:r>
        <w:rPr>
          <w:rFonts w:ascii="Arial" w:hAnsi="Arial" w:cs="Arial"/>
        </w:rPr>
        <w:t>additional pharmacological thromboprophylaxis</w:t>
      </w:r>
      <w:r w:rsidRPr="00416DAE">
        <w:rPr>
          <w:rFonts w:ascii="Arial" w:hAnsi="Arial" w:cs="Arial"/>
        </w:rPr>
        <w:t xml:space="preserve"> </w:t>
      </w:r>
      <w:r>
        <w:rPr>
          <w:rFonts w:ascii="Arial" w:hAnsi="Arial" w:cs="Arial"/>
        </w:rPr>
        <w:t>arms</w:t>
      </w:r>
      <w:r w:rsidRPr="00416DAE">
        <w:rPr>
          <w:rFonts w:ascii="Arial" w:hAnsi="Arial" w:cs="Arial"/>
        </w:rPr>
        <w:t>, the rate of EHIT</w:t>
      </w:r>
      <w:r>
        <w:rPr>
          <w:rFonts w:ascii="Arial" w:hAnsi="Arial" w:cs="Arial"/>
        </w:rPr>
        <w:t xml:space="preserve"> grade III-IV</w:t>
      </w:r>
      <w:r w:rsidRPr="00416DAE">
        <w:rPr>
          <w:rFonts w:ascii="Arial" w:hAnsi="Arial" w:cs="Arial"/>
        </w:rPr>
        <w:t xml:space="preserve"> was 0.35% (95% CI 0.09-1.40) </w:t>
      </w:r>
      <w:r>
        <w:rPr>
          <w:rFonts w:ascii="Arial" w:hAnsi="Arial" w:cs="Arial"/>
        </w:rPr>
        <w:t xml:space="preserve">(3 studies, 822 participants, 5 events) </w:t>
      </w:r>
      <w:r w:rsidRPr="00416DAE">
        <w:rPr>
          <w:rFonts w:ascii="Arial" w:hAnsi="Arial" w:cs="Arial"/>
        </w:rPr>
        <w:t xml:space="preserve">versus 0.88% (95% CI 0.28-2.70%) </w:t>
      </w:r>
      <w:r>
        <w:rPr>
          <w:rFonts w:ascii="Arial" w:hAnsi="Arial" w:cs="Arial"/>
        </w:rPr>
        <w:t xml:space="preserve">(11 studies, 48,177 participants, 155 events) </w:t>
      </w:r>
      <w:r w:rsidRPr="00416DAE">
        <w:rPr>
          <w:rFonts w:ascii="Arial" w:hAnsi="Arial" w:cs="Arial"/>
        </w:rPr>
        <w:t xml:space="preserve">in </w:t>
      </w:r>
      <w:r>
        <w:rPr>
          <w:rFonts w:ascii="Arial" w:hAnsi="Arial" w:cs="Arial"/>
        </w:rPr>
        <w:t xml:space="preserve">the </w:t>
      </w:r>
      <w:r w:rsidRPr="00416DAE">
        <w:rPr>
          <w:rFonts w:ascii="Arial" w:hAnsi="Arial" w:cs="Arial"/>
        </w:rPr>
        <w:t>mechanical alone</w:t>
      </w:r>
      <w:r>
        <w:rPr>
          <w:rFonts w:ascii="Arial" w:hAnsi="Arial" w:cs="Arial"/>
        </w:rPr>
        <w:t xml:space="preserve"> arms</w:t>
      </w:r>
      <w:r w:rsidRPr="00416DAE">
        <w:rPr>
          <w:rFonts w:ascii="Arial" w:hAnsi="Arial" w:cs="Arial"/>
        </w:rPr>
        <w:t>.</w:t>
      </w:r>
    </w:p>
    <w:p w14:paraId="1EC13770" w14:textId="77777777" w:rsidR="00063E33" w:rsidRDefault="00063E33" w:rsidP="00063E33">
      <w:pPr>
        <w:spacing w:line="480" w:lineRule="auto"/>
        <w:jc w:val="both"/>
        <w:rPr>
          <w:rFonts w:ascii="Arial" w:hAnsi="Arial" w:cs="Arial"/>
        </w:rPr>
      </w:pPr>
    </w:p>
    <w:p w14:paraId="75788DF0" w14:textId="77777777" w:rsidR="00063E33" w:rsidRDefault="00063E33" w:rsidP="00063E33">
      <w:pPr>
        <w:spacing w:line="480" w:lineRule="auto"/>
        <w:jc w:val="both"/>
        <w:rPr>
          <w:rFonts w:ascii="Arial" w:hAnsi="Arial" w:cs="Arial"/>
          <w:i/>
          <w:iCs/>
        </w:rPr>
      </w:pPr>
      <w:r>
        <w:rPr>
          <w:rFonts w:ascii="Arial" w:hAnsi="Arial" w:cs="Arial"/>
          <w:i/>
          <w:iCs/>
        </w:rPr>
        <w:t>Safety endpoints</w:t>
      </w:r>
    </w:p>
    <w:p w14:paraId="2CEA309E" w14:textId="77777777" w:rsidR="00063E33" w:rsidRDefault="00063E33" w:rsidP="00063E33">
      <w:pPr>
        <w:spacing w:line="480" w:lineRule="auto"/>
        <w:jc w:val="both"/>
        <w:rPr>
          <w:rFonts w:ascii="Arial" w:hAnsi="Arial" w:cs="Arial"/>
        </w:rPr>
      </w:pPr>
      <w:r>
        <w:rPr>
          <w:rFonts w:ascii="Arial" w:hAnsi="Arial" w:cs="Arial"/>
        </w:rPr>
        <w:t>Major and minor bleeding were defined as per the International Society on Thrombosis and Haemostasis guidelines</w:t>
      </w:r>
      <w:r w:rsidRPr="00BC138C">
        <w:rPr>
          <w:rFonts w:ascii="Arial" w:hAnsi="Arial" w:cs="Arial"/>
          <w:noProof/>
          <w:vertAlign w:val="superscript"/>
        </w:rPr>
        <w:t>16</w:t>
      </w:r>
      <w:r>
        <w:rPr>
          <w:rFonts w:ascii="Arial" w:hAnsi="Arial" w:cs="Arial"/>
        </w:rPr>
        <w:t xml:space="preserve">. </w:t>
      </w:r>
      <w:r w:rsidRPr="00416DAE">
        <w:rPr>
          <w:rFonts w:ascii="Arial" w:hAnsi="Arial" w:cs="Arial"/>
        </w:rPr>
        <w:t>Of the 12 trial</w:t>
      </w:r>
      <w:r>
        <w:rPr>
          <w:rFonts w:ascii="Arial" w:hAnsi="Arial" w:cs="Arial"/>
        </w:rPr>
        <w:t xml:space="preserve"> arm</w:t>
      </w:r>
      <w:r w:rsidRPr="00416DAE">
        <w:rPr>
          <w:rFonts w:ascii="Arial" w:hAnsi="Arial" w:cs="Arial"/>
        </w:rPr>
        <w:t>s that reported on bleeding</w:t>
      </w:r>
      <w:r>
        <w:rPr>
          <w:rFonts w:ascii="Arial" w:hAnsi="Arial" w:cs="Arial"/>
        </w:rPr>
        <w:t xml:space="preserve"> following pharmacological thromboprophylaxis</w:t>
      </w:r>
      <w:r w:rsidRPr="00416DAE">
        <w:rPr>
          <w:rFonts w:ascii="Arial" w:hAnsi="Arial" w:cs="Arial"/>
        </w:rPr>
        <w:t xml:space="preserve">, there was one </w:t>
      </w:r>
      <w:r>
        <w:rPr>
          <w:rFonts w:ascii="Arial" w:hAnsi="Arial" w:cs="Arial"/>
        </w:rPr>
        <w:t>instance</w:t>
      </w:r>
      <w:r w:rsidRPr="00416DAE">
        <w:rPr>
          <w:rFonts w:ascii="Arial" w:hAnsi="Arial" w:cs="Arial"/>
        </w:rPr>
        <w:t xml:space="preserve"> of </w:t>
      </w:r>
      <w:r>
        <w:rPr>
          <w:rFonts w:ascii="Arial" w:hAnsi="Arial" w:cs="Arial"/>
        </w:rPr>
        <w:t>major bleeding;</w:t>
      </w:r>
      <w:r w:rsidRPr="00416DAE">
        <w:rPr>
          <w:rFonts w:ascii="Arial" w:hAnsi="Arial" w:cs="Arial"/>
        </w:rPr>
        <w:t xml:space="preserve"> associated with the </w:t>
      </w:r>
      <w:r>
        <w:rPr>
          <w:rFonts w:ascii="Arial" w:hAnsi="Arial" w:cs="Arial"/>
        </w:rPr>
        <w:t>co-</w:t>
      </w:r>
      <w:r w:rsidRPr="00416DAE">
        <w:rPr>
          <w:rFonts w:ascii="Arial" w:hAnsi="Arial" w:cs="Arial"/>
        </w:rPr>
        <w:t xml:space="preserve">administration of LMWH </w:t>
      </w:r>
      <w:r>
        <w:rPr>
          <w:rFonts w:ascii="Arial" w:hAnsi="Arial" w:cs="Arial"/>
        </w:rPr>
        <w:t>and</w:t>
      </w:r>
      <w:r w:rsidRPr="00416DAE">
        <w:rPr>
          <w:rFonts w:ascii="Arial" w:hAnsi="Arial" w:cs="Arial"/>
        </w:rPr>
        <w:t xml:space="preserve"> ibuprofen</w:t>
      </w:r>
      <w:r w:rsidRPr="00BC138C">
        <w:rPr>
          <w:rFonts w:ascii="Arial" w:hAnsi="Arial" w:cs="Arial"/>
          <w:noProof/>
          <w:vertAlign w:val="superscript"/>
        </w:rPr>
        <w:t>17</w:t>
      </w:r>
      <w:r w:rsidRPr="00416DAE">
        <w:rPr>
          <w:rFonts w:ascii="Arial" w:hAnsi="Arial" w:cs="Arial"/>
        </w:rPr>
        <w:t xml:space="preserve">. Other trials </w:t>
      </w:r>
      <w:r>
        <w:rPr>
          <w:rFonts w:ascii="Arial" w:hAnsi="Arial" w:cs="Arial"/>
        </w:rPr>
        <w:t>that</w:t>
      </w:r>
      <w:r w:rsidRPr="00416DAE">
        <w:rPr>
          <w:rFonts w:ascii="Arial" w:hAnsi="Arial" w:cs="Arial"/>
        </w:rPr>
        <w:t xml:space="preserve"> considered minor bleeding rates noted </w:t>
      </w:r>
      <w:r>
        <w:rPr>
          <w:rFonts w:ascii="Arial" w:hAnsi="Arial" w:cs="Arial"/>
        </w:rPr>
        <w:t>a range from 0%</w:t>
      </w:r>
      <w:r w:rsidRPr="00BC138C">
        <w:rPr>
          <w:rFonts w:ascii="Arial" w:hAnsi="Arial" w:cs="Arial"/>
          <w:noProof/>
          <w:vertAlign w:val="superscript"/>
        </w:rPr>
        <w:t>17-21</w:t>
      </w:r>
      <w:r>
        <w:rPr>
          <w:rFonts w:ascii="Arial" w:hAnsi="Arial" w:cs="Arial"/>
        </w:rPr>
        <w:t xml:space="preserve"> up to 10%</w:t>
      </w:r>
      <w:r w:rsidRPr="00BC138C">
        <w:rPr>
          <w:rFonts w:ascii="Arial" w:hAnsi="Arial" w:cs="Arial"/>
          <w:noProof/>
          <w:vertAlign w:val="superscript"/>
        </w:rPr>
        <w:t>22-28</w:t>
      </w:r>
      <w:r>
        <w:rPr>
          <w:rFonts w:ascii="Arial" w:hAnsi="Arial" w:cs="Arial"/>
        </w:rPr>
        <w:t xml:space="preserve">. There was </w:t>
      </w:r>
      <w:r w:rsidRPr="00416DAE">
        <w:rPr>
          <w:rFonts w:ascii="Arial" w:hAnsi="Arial" w:cs="Arial"/>
        </w:rPr>
        <w:t>no significant difference</w:t>
      </w:r>
      <w:r>
        <w:rPr>
          <w:rFonts w:ascii="Arial" w:hAnsi="Arial" w:cs="Arial"/>
        </w:rPr>
        <w:t xml:space="preserve"> in bleeding events</w:t>
      </w:r>
      <w:r w:rsidRPr="00416DAE">
        <w:rPr>
          <w:rFonts w:ascii="Arial" w:hAnsi="Arial" w:cs="Arial"/>
        </w:rPr>
        <w:t xml:space="preserve"> between 3 days of Fondaparinux v</w:t>
      </w:r>
      <w:r>
        <w:rPr>
          <w:rFonts w:ascii="Arial" w:hAnsi="Arial" w:cs="Arial"/>
        </w:rPr>
        <w:t>ersus</w:t>
      </w:r>
      <w:r w:rsidRPr="00416DAE">
        <w:rPr>
          <w:rFonts w:ascii="Arial" w:hAnsi="Arial" w:cs="Arial"/>
        </w:rPr>
        <w:t xml:space="preserve"> Rivaroxaban</w:t>
      </w:r>
      <w:r>
        <w:rPr>
          <w:rFonts w:ascii="Arial" w:hAnsi="Arial" w:cs="Arial"/>
        </w:rPr>
        <w:t>, nor</w:t>
      </w:r>
      <w:r w:rsidRPr="00416DAE">
        <w:rPr>
          <w:rFonts w:ascii="Arial" w:hAnsi="Arial" w:cs="Arial"/>
        </w:rPr>
        <w:t xml:space="preserve"> between Rivaroxaban 10mg OD for 5 days v</w:t>
      </w:r>
      <w:r>
        <w:rPr>
          <w:rFonts w:ascii="Arial" w:hAnsi="Arial" w:cs="Arial"/>
        </w:rPr>
        <w:t>ersu</w:t>
      </w:r>
      <w:r w:rsidRPr="00416DAE">
        <w:rPr>
          <w:rFonts w:ascii="Arial" w:hAnsi="Arial" w:cs="Arial"/>
        </w:rPr>
        <w:t>s 10</w:t>
      </w:r>
      <w:r>
        <w:rPr>
          <w:rFonts w:ascii="Arial" w:hAnsi="Arial" w:cs="Arial"/>
        </w:rPr>
        <w:t xml:space="preserve"> days</w:t>
      </w:r>
      <w:r w:rsidRPr="00BC138C">
        <w:rPr>
          <w:rFonts w:ascii="Arial" w:hAnsi="Arial" w:cs="Arial"/>
          <w:noProof/>
          <w:vertAlign w:val="superscript"/>
        </w:rPr>
        <w:t>23,24</w:t>
      </w:r>
      <w:r w:rsidRPr="00416DAE">
        <w:rPr>
          <w:rFonts w:ascii="Arial" w:hAnsi="Arial" w:cs="Arial"/>
        </w:rPr>
        <w:t>.</w:t>
      </w:r>
      <w:r>
        <w:rPr>
          <w:rFonts w:ascii="Arial" w:hAnsi="Arial" w:cs="Arial"/>
        </w:rPr>
        <w:t xml:space="preserve"> Of the 11 trial arms that included VTE-related mortality as an outcome, there was one </w:t>
      </w:r>
      <w:r>
        <w:rPr>
          <w:rFonts w:ascii="Arial" w:hAnsi="Arial" w:cs="Arial"/>
        </w:rPr>
        <w:lastRenderedPageBreak/>
        <w:t>VTE-related death that occurred in the mechanical thromboprophylaxis alone group following a pulmonary embolism from an iliofemoral DVT</w:t>
      </w:r>
      <w:r w:rsidRPr="00BC138C">
        <w:rPr>
          <w:rFonts w:ascii="Arial" w:hAnsi="Arial" w:cs="Arial"/>
          <w:noProof/>
          <w:vertAlign w:val="superscript"/>
        </w:rPr>
        <w:t>29</w:t>
      </w:r>
      <w:r>
        <w:rPr>
          <w:rFonts w:ascii="Arial" w:hAnsi="Arial" w:cs="Arial"/>
        </w:rPr>
        <w:t>.</w:t>
      </w:r>
    </w:p>
    <w:p w14:paraId="2F57DDC3" w14:textId="77777777" w:rsidR="00063E33" w:rsidRPr="00416DAE" w:rsidRDefault="00063E33" w:rsidP="00063E33">
      <w:pPr>
        <w:spacing w:line="480" w:lineRule="auto"/>
        <w:jc w:val="both"/>
        <w:rPr>
          <w:rFonts w:ascii="Arial" w:hAnsi="Arial" w:cs="Arial"/>
        </w:rPr>
      </w:pPr>
    </w:p>
    <w:p w14:paraId="58E35CCD" w14:textId="77777777" w:rsidR="00063E33" w:rsidRPr="00416DAE" w:rsidRDefault="00063E33" w:rsidP="00063E33">
      <w:pPr>
        <w:spacing w:line="480" w:lineRule="auto"/>
        <w:jc w:val="both"/>
        <w:rPr>
          <w:rFonts w:ascii="Arial" w:hAnsi="Arial" w:cs="Arial"/>
          <w:i/>
          <w:iCs/>
        </w:rPr>
      </w:pPr>
      <w:r w:rsidRPr="00416DAE">
        <w:rPr>
          <w:rFonts w:ascii="Arial" w:hAnsi="Arial" w:cs="Arial"/>
          <w:i/>
          <w:iCs/>
        </w:rPr>
        <w:t xml:space="preserve">Risk of </w:t>
      </w:r>
      <w:r>
        <w:rPr>
          <w:rFonts w:ascii="Arial" w:hAnsi="Arial" w:cs="Arial"/>
          <w:i/>
          <w:iCs/>
        </w:rPr>
        <w:t>b</w:t>
      </w:r>
      <w:r w:rsidRPr="00416DAE">
        <w:rPr>
          <w:rFonts w:ascii="Arial" w:hAnsi="Arial" w:cs="Arial"/>
          <w:i/>
          <w:iCs/>
        </w:rPr>
        <w:t>ias</w:t>
      </w:r>
    </w:p>
    <w:p w14:paraId="256C11F2" w14:textId="0581E151" w:rsidR="00063E33" w:rsidRPr="00416DAE" w:rsidRDefault="00063E33" w:rsidP="00063E33">
      <w:pPr>
        <w:spacing w:line="480" w:lineRule="auto"/>
        <w:jc w:val="both"/>
        <w:rPr>
          <w:rFonts w:ascii="Arial" w:hAnsi="Arial" w:cs="Arial"/>
        </w:rPr>
      </w:pPr>
      <w:r w:rsidRPr="00416DAE">
        <w:rPr>
          <w:rFonts w:ascii="Arial" w:hAnsi="Arial" w:cs="Arial"/>
        </w:rPr>
        <w:t xml:space="preserve">Studies were assessed for risk of bias using the ROBINS-I tool for non-randomised studies </w:t>
      </w:r>
      <w:r>
        <w:rPr>
          <w:rFonts w:ascii="Arial" w:hAnsi="Arial" w:cs="Arial"/>
        </w:rPr>
        <w:t xml:space="preserve">of interventions </w:t>
      </w:r>
      <w:r w:rsidRPr="00416DAE">
        <w:rPr>
          <w:rFonts w:ascii="Arial" w:hAnsi="Arial" w:cs="Arial"/>
        </w:rPr>
        <w:t>and the Cochrane Risk of Bias tool for randomised trials</w:t>
      </w:r>
      <w:r>
        <w:rPr>
          <w:rFonts w:ascii="Arial" w:hAnsi="Arial" w:cs="Arial"/>
        </w:rPr>
        <w:t xml:space="preserve"> (see </w:t>
      </w:r>
      <w:r w:rsidR="00217766">
        <w:rPr>
          <w:rFonts w:ascii="Arial" w:hAnsi="Arial" w:cs="Arial"/>
        </w:rPr>
        <w:t>Table, Supplemental Digital Content 4</w:t>
      </w:r>
      <w:r>
        <w:rPr>
          <w:rFonts w:ascii="Arial" w:hAnsi="Arial" w:cs="Arial"/>
        </w:rPr>
        <w:t>)</w:t>
      </w:r>
      <w:r w:rsidRPr="00416DAE">
        <w:rPr>
          <w:rFonts w:ascii="Arial" w:hAnsi="Arial" w:cs="Arial"/>
        </w:rPr>
        <w:t xml:space="preserve">. </w:t>
      </w:r>
      <w:r>
        <w:rPr>
          <w:rFonts w:ascii="Arial" w:hAnsi="Arial" w:cs="Arial"/>
        </w:rPr>
        <w:t>R</w:t>
      </w:r>
      <w:r w:rsidRPr="00416DAE">
        <w:rPr>
          <w:rFonts w:ascii="Arial" w:hAnsi="Arial" w:cs="Arial"/>
        </w:rPr>
        <w:t xml:space="preserve">andomised trials were generally at high or unclear risk of bias, primarily due to the lack of registered protocols, high rates of attrition and potential for performance biases due to lack of blinding. For non-randomised </w:t>
      </w:r>
      <w:r>
        <w:rPr>
          <w:rFonts w:ascii="Arial" w:hAnsi="Arial" w:cs="Arial"/>
        </w:rPr>
        <w:t>studies</w:t>
      </w:r>
      <w:r w:rsidRPr="00416DAE">
        <w:rPr>
          <w:rFonts w:ascii="Arial" w:hAnsi="Arial" w:cs="Arial"/>
        </w:rPr>
        <w:t>, there was a critical risk of selection bias through confounding by indication as well as significant attrition bias and high potential for reporting bias.</w:t>
      </w:r>
    </w:p>
    <w:p w14:paraId="3DF932DA" w14:textId="77777777" w:rsidR="00063E33" w:rsidRPr="00416DAE" w:rsidRDefault="00063E33" w:rsidP="00063E33">
      <w:pPr>
        <w:spacing w:line="480" w:lineRule="auto"/>
        <w:jc w:val="both"/>
        <w:rPr>
          <w:rFonts w:ascii="Arial" w:hAnsi="Arial" w:cs="Arial"/>
        </w:rPr>
      </w:pPr>
    </w:p>
    <w:p w14:paraId="1C20A90B" w14:textId="77777777" w:rsidR="00063E33" w:rsidRPr="00416DAE" w:rsidRDefault="00063E33" w:rsidP="00063E33">
      <w:pPr>
        <w:spacing w:line="480" w:lineRule="auto"/>
        <w:jc w:val="both"/>
        <w:rPr>
          <w:rFonts w:ascii="Arial" w:hAnsi="Arial" w:cs="Arial"/>
          <w:i/>
          <w:iCs/>
        </w:rPr>
      </w:pPr>
      <w:r w:rsidRPr="00416DAE">
        <w:rPr>
          <w:rFonts w:ascii="Arial" w:hAnsi="Arial" w:cs="Arial"/>
          <w:i/>
          <w:iCs/>
        </w:rPr>
        <w:t xml:space="preserve">Quality </w:t>
      </w:r>
      <w:r>
        <w:rPr>
          <w:rFonts w:ascii="Arial" w:hAnsi="Arial" w:cs="Arial"/>
          <w:i/>
          <w:iCs/>
        </w:rPr>
        <w:t>a</w:t>
      </w:r>
      <w:r w:rsidRPr="00416DAE">
        <w:rPr>
          <w:rFonts w:ascii="Arial" w:hAnsi="Arial" w:cs="Arial"/>
          <w:i/>
          <w:iCs/>
        </w:rPr>
        <w:t>ssessment</w:t>
      </w:r>
    </w:p>
    <w:p w14:paraId="7DBA6DB4" w14:textId="6B011C3A" w:rsidR="00B52932" w:rsidRPr="00416DAE" w:rsidRDefault="00B52932" w:rsidP="00B52932">
      <w:pPr>
        <w:spacing w:line="480" w:lineRule="auto"/>
        <w:jc w:val="both"/>
        <w:rPr>
          <w:rFonts w:ascii="Arial" w:hAnsi="Arial" w:cs="Arial"/>
          <w:color w:val="000000" w:themeColor="text1"/>
        </w:rPr>
      </w:pPr>
      <w:r w:rsidRPr="007550FB">
        <w:rPr>
          <w:rFonts w:ascii="Arial" w:hAnsi="Arial" w:cs="Arial"/>
          <w:color w:val="000000" w:themeColor="text1"/>
          <w:highlight w:val="yellow"/>
        </w:rPr>
        <w:t>In the randomised trial arms, the quality of evidence for the rates of DVT and PE were judged as moderate in light of the risk of bias. The quality of evidence amongst non-randomised studies was very low in light of the very serious risk of bias introduced by observational studies, confounding and the degree of imprecision in the results.</w:t>
      </w:r>
    </w:p>
    <w:p w14:paraId="5B6D88B0" w14:textId="77777777" w:rsidR="00063E33" w:rsidRPr="00416DAE" w:rsidRDefault="00063E33" w:rsidP="00063E33">
      <w:pPr>
        <w:spacing w:line="480" w:lineRule="auto"/>
        <w:jc w:val="both"/>
        <w:rPr>
          <w:rFonts w:ascii="Arial" w:hAnsi="Arial" w:cs="Arial"/>
        </w:rPr>
      </w:pPr>
    </w:p>
    <w:p w14:paraId="14219E8F" w14:textId="77777777" w:rsidR="00063E33" w:rsidRPr="00660E68" w:rsidRDefault="00063E33" w:rsidP="00063E33">
      <w:pPr>
        <w:spacing w:line="480" w:lineRule="auto"/>
        <w:jc w:val="both"/>
        <w:rPr>
          <w:rFonts w:ascii="Arial" w:hAnsi="Arial" w:cs="Arial"/>
          <w:b/>
          <w:bCs/>
        </w:rPr>
      </w:pPr>
      <w:r w:rsidRPr="00416DAE">
        <w:rPr>
          <w:rFonts w:ascii="Arial" w:hAnsi="Arial" w:cs="Arial"/>
          <w:b/>
          <w:bCs/>
        </w:rPr>
        <w:t>Discussion</w:t>
      </w:r>
    </w:p>
    <w:p w14:paraId="68CC8686" w14:textId="77777777" w:rsidR="00063E33" w:rsidRDefault="00063E33" w:rsidP="00063E33">
      <w:pPr>
        <w:spacing w:line="480" w:lineRule="auto"/>
        <w:jc w:val="both"/>
        <w:rPr>
          <w:rFonts w:ascii="Arial" w:hAnsi="Arial" w:cs="Arial"/>
        </w:rPr>
      </w:pPr>
      <w:r w:rsidRPr="00416DAE">
        <w:rPr>
          <w:rFonts w:ascii="Arial" w:hAnsi="Arial" w:cs="Arial"/>
        </w:rPr>
        <w:t xml:space="preserve">The true rate of VTE after endovenous varicose vein </w:t>
      </w:r>
      <w:r>
        <w:rPr>
          <w:rFonts w:ascii="Arial" w:hAnsi="Arial" w:cs="Arial"/>
        </w:rPr>
        <w:t>intervention</w:t>
      </w:r>
      <w:r w:rsidRPr="00416DAE">
        <w:rPr>
          <w:rFonts w:ascii="Arial" w:hAnsi="Arial" w:cs="Arial"/>
        </w:rPr>
        <w:t xml:space="preserve"> has been an area of significant debate, ranging from 0-</w:t>
      </w:r>
      <w:r>
        <w:rPr>
          <w:rFonts w:ascii="Arial" w:hAnsi="Arial" w:cs="Arial"/>
        </w:rPr>
        <w:t>5.6</w:t>
      </w:r>
      <w:r w:rsidRPr="00416DAE">
        <w:rPr>
          <w:rFonts w:ascii="Arial" w:hAnsi="Arial" w:cs="Arial"/>
        </w:rPr>
        <w:t>% even in randomised trial arms</w:t>
      </w:r>
      <w:r w:rsidRPr="00BC138C">
        <w:rPr>
          <w:rFonts w:ascii="Arial" w:hAnsi="Arial" w:cs="Arial"/>
          <w:noProof/>
          <w:vertAlign w:val="superscript"/>
        </w:rPr>
        <w:t>30,31</w:t>
      </w:r>
      <w:r>
        <w:rPr>
          <w:rFonts w:ascii="Arial" w:hAnsi="Arial" w:cs="Arial"/>
        </w:rPr>
        <w:t>.</w:t>
      </w:r>
      <w:r w:rsidRPr="00416DAE">
        <w:rPr>
          <w:rFonts w:ascii="Arial" w:hAnsi="Arial" w:cs="Arial"/>
        </w:rPr>
        <w:t xml:space="preserve"> </w:t>
      </w:r>
      <w:r>
        <w:rPr>
          <w:rFonts w:ascii="Arial" w:hAnsi="Arial" w:cs="Arial"/>
        </w:rPr>
        <w:t>A previous review from 2018</w:t>
      </w:r>
      <w:r w:rsidRPr="00416DAE">
        <w:rPr>
          <w:rFonts w:ascii="Arial" w:hAnsi="Arial" w:cs="Arial"/>
        </w:rPr>
        <w:t xml:space="preserve"> </w:t>
      </w:r>
      <w:r>
        <w:rPr>
          <w:rFonts w:ascii="Arial" w:hAnsi="Arial" w:cs="Arial"/>
        </w:rPr>
        <w:t xml:space="preserve">reported </w:t>
      </w:r>
      <w:r w:rsidRPr="00416DAE">
        <w:rPr>
          <w:rFonts w:ascii="Arial" w:hAnsi="Arial" w:cs="Arial"/>
        </w:rPr>
        <w:t>a deep venous thrombo</w:t>
      </w:r>
      <w:r>
        <w:rPr>
          <w:rFonts w:ascii="Arial" w:hAnsi="Arial" w:cs="Arial"/>
        </w:rPr>
        <w:t>sis</w:t>
      </w:r>
      <w:r w:rsidRPr="00416DAE">
        <w:rPr>
          <w:rFonts w:ascii="Arial" w:hAnsi="Arial" w:cs="Arial"/>
        </w:rPr>
        <w:t xml:space="preserve"> event rate of 1.7%, including DVT and EHIT </w:t>
      </w:r>
      <w:r>
        <w:rPr>
          <w:rFonts w:ascii="Arial" w:hAnsi="Arial" w:cs="Arial"/>
        </w:rPr>
        <w:t>II</w:t>
      </w:r>
      <w:r w:rsidRPr="00416DAE">
        <w:rPr>
          <w:rFonts w:ascii="Arial" w:hAnsi="Arial" w:cs="Arial"/>
        </w:rPr>
        <w:t>-</w:t>
      </w:r>
      <w:r>
        <w:rPr>
          <w:rFonts w:ascii="Arial" w:hAnsi="Arial" w:cs="Arial"/>
        </w:rPr>
        <w:t>IV</w:t>
      </w:r>
      <w:r w:rsidRPr="00BC138C">
        <w:rPr>
          <w:rFonts w:ascii="Arial" w:hAnsi="Arial" w:cs="Arial"/>
          <w:noProof/>
          <w:vertAlign w:val="superscript"/>
        </w:rPr>
        <w:t>32</w:t>
      </w:r>
      <w:r>
        <w:rPr>
          <w:rFonts w:ascii="Arial" w:hAnsi="Arial" w:cs="Arial"/>
        </w:rPr>
        <w:t xml:space="preserve">. Although data on pharmacological thromboprophylaxis regimes were collected in the review, the authors did not analyse the impact of anticoagulants on the rate of thrombotic complications. Furthermore, the authors analysed only </w:t>
      </w:r>
      <w:r>
        <w:rPr>
          <w:rFonts w:ascii="Arial" w:hAnsi="Arial" w:cs="Arial"/>
        </w:rPr>
        <w:lastRenderedPageBreak/>
        <w:t>prospective data and adopted a random-effects model in light of statistically significant heterogeneity. Altogether, these reasons may explain the differences in the total observed rates of thrombotic complications, although it is reassuring that both the reviews report overall similar VTE rates.</w:t>
      </w:r>
    </w:p>
    <w:p w14:paraId="0951B3D3" w14:textId="77777777" w:rsidR="00063E33" w:rsidRDefault="00063E33" w:rsidP="00063E33">
      <w:pPr>
        <w:spacing w:line="480" w:lineRule="auto"/>
        <w:jc w:val="both"/>
        <w:rPr>
          <w:rFonts w:ascii="Arial" w:hAnsi="Arial" w:cs="Arial"/>
        </w:rPr>
      </w:pPr>
    </w:p>
    <w:p w14:paraId="1E6C63C5" w14:textId="77777777" w:rsidR="00063E33" w:rsidRPr="00416DAE" w:rsidRDefault="00063E33" w:rsidP="00063E33">
      <w:pPr>
        <w:spacing w:line="480" w:lineRule="auto"/>
        <w:jc w:val="both"/>
        <w:rPr>
          <w:rFonts w:ascii="Arial" w:hAnsi="Arial" w:cs="Arial"/>
        </w:rPr>
      </w:pPr>
      <w:r>
        <w:rPr>
          <w:rFonts w:ascii="Arial" w:hAnsi="Arial" w:cs="Arial"/>
        </w:rPr>
        <w:t>Retrospective trial arms were included in this review, with the aim of generating the most comprehensive overview to date of thrombotic complications following endovenous varicose vein interventions. However, high heterogeneity introduced by the inclusion of retrospective trial arms, as indicated by an I</w:t>
      </w:r>
      <w:r w:rsidRPr="00F61495">
        <w:rPr>
          <w:rFonts w:ascii="Arial" w:hAnsi="Arial" w:cs="Arial"/>
          <w:vertAlign w:val="superscript"/>
        </w:rPr>
        <w:t>2</w:t>
      </w:r>
      <w:r>
        <w:rPr>
          <w:rFonts w:ascii="Arial" w:hAnsi="Arial" w:cs="Arial"/>
        </w:rPr>
        <w:t xml:space="preserve"> value of &gt;90%, precluded quantitative synthesis by fixed or random effects. The heterogeneity has highlighted significant differences between prospective and retrospective studies, particularly the report from a large retrospective registry with over 250,000 participants</w:t>
      </w:r>
      <w:r w:rsidRPr="00851C0C">
        <w:rPr>
          <w:rFonts w:ascii="Arial" w:hAnsi="Arial" w:cs="Arial"/>
          <w:noProof/>
          <w:vertAlign w:val="superscript"/>
        </w:rPr>
        <w:t>2</w:t>
      </w:r>
      <w:r>
        <w:rPr>
          <w:rFonts w:ascii="Arial" w:hAnsi="Arial" w:cs="Arial"/>
        </w:rPr>
        <w:t xml:space="preserve">. This registry reports a DVT rate of </w:t>
      </w:r>
      <w:r w:rsidRPr="00416DAE">
        <w:rPr>
          <w:rFonts w:ascii="Arial" w:hAnsi="Arial" w:cs="Arial"/>
        </w:rPr>
        <w:t>3.1</w:t>
      </w:r>
      <w:r>
        <w:rPr>
          <w:rFonts w:ascii="Arial" w:hAnsi="Arial" w:cs="Arial"/>
        </w:rPr>
        <w:t>%</w:t>
      </w:r>
      <w:r w:rsidRPr="00851C0C">
        <w:rPr>
          <w:rFonts w:ascii="Arial" w:hAnsi="Arial" w:cs="Arial"/>
          <w:noProof/>
          <w:vertAlign w:val="superscript"/>
        </w:rPr>
        <w:t>2</w:t>
      </w:r>
      <w:r>
        <w:rPr>
          <w:rFonts w:ascii="Arial" w:hAnsi="Arial" w:cs="Arial"/>
        </w:rPr>
        <w:t xml:space="preserve"> and purports the reason for the higher than average rates to be registry data more closely reflecting real-world practice outside of a controlled clinical trial setting. However, the study fails to distinguish between EHIT and DVT during ultrasound follow-up, which severely limits its external validity; this, at least in part, explains the above average DVT rate. Even with exclusion of this trial, the I</w:t>
      </w:r>
      <w:r w:rsidRPr="00F61495">
        <w:rPr>
          <w:rFonts w:ascii="Arial" w:hAnsi="Arial" w:cs="Arial"/>
          <w:vertAlign w:val="superscript"/>
        </w:rPr>
        <w:t>2</w:t>
      </w:r>
      <w:r>
        <w:rPr>
          <w:rFonts w:ascii="Arial" w:hAnsi="Arial" w:cs="Arial"/>
        </w:rPr>
        <w:t xml:space="preserve"> value remains &gt;80% for pooled prospective and retrospective studies, suggesting unaccounted confounding variables that preclude any further data pooling.</w:t>
      </w:r>
    </w:p>
    <w:p w14:paraId="3F3C464C" w14:textId="77777777" w:rsidR="00063E33" w:rsidRPr="00416DAE" w:rsidRDefault="00063E33" w:rsidP="00063E33">
      <w:pPr>
        <w:spacing w:line="480" w:lineRule="auto"/>
        <w:jc w:val="both"/>
        <w:rPr>
          <w:rFonts w:ascii="Arial" w:hAnsi="Arial" w:cs="Arial"/>
        </w:rPr>
      </w:pPr>
    </w:p>
    <w:p w14:paraId="0661A143" w14:textId="6E05CEEF" w:rsidR="00063E33" w:rsidRDefault="00063E33" w:rsidP="00063E33">
      <w:pPr>
        <w:spacing w:line="480" w:lineRule="auto"/>
        <w:jc w:val="both"/>
        <w:rPr>
          <w:rFonts w:ascii="Arial" w:hAnsi="Arial" w:cs="Arial"/>
        </w:rPr>
      </w:pPr>
      <w:r w:rsidRPr="00416DAE">
        <w:rPr>
          <w:rFonts w:ascii="Arial" w:hAnsi="Arial" w:cs="Arial"/>
        </w:rPr>
        <w:t xml:space="preserve">The latest </w:t>
      </w:r>
      <w:r>
        <w:rPr>
          <w:rFonts w:ascii="Arial" w:hAnsi="Arial" w:cs="Arial"/>
        </w:rPr>
        <w:t>ESVS</w:t>
      </w:r>
      <w:r w:rsidRPr="00416DAE">
        <w:rPr>
          <w:rFonts w:ascii="Arial" w:hAnsi="Arial" w:cs="Arial"/>
        </w:rPr>
        <w:t xml:space="preserve"> guidelines suggest peri-operative </w:t>
      </w:r>
      <w:r>
        <w:rPr>
          <w:rFonts w:ascii="Arial" w:hAnsi="Arial" w:cs="Arial"/>
        </w:rPr>
        <w:t>anticoagulants</w:t>
      </w:r>
      <w:r w:rsidRPr="00416DAE">
        <w:rPr>
          <w:rFonts w:ascii="Arial" w:hAnsi="Arial" w:cs="Arial"/>
        </w:rPr>
        <w:t xml:space="preserve"> </w:t>
      </w:r>
      <w:r>
        <w:rPr>
          <w:rFonts w:ascii="Arial" w:hAnsi="Arial" w:cs="Arial"/>
        </w:rPr>
        <w:t>should be</w:t>
      </w:r>
      <w:r w:rsidRPr="00416DAE">
        <w:rPr>
          <w:rFonts w:ascii="Arial" w:hAnsi="Arial" w:cs="Arial"/>
        </w:rPr>
        <w:t xml:space="preserve"> considered for patients undergoing varicose vein surgery and a personalised risk assessment </w:t>
      </w:r>
      <w:r>
        <w:rPr>
          <w:rFonts w:ascii="Arial" w:hAnsi="Arial" w:cs="Arial"/>
        </w:rPr>
        <w:t xml:space="preserve">should be </w:t>
      </w:r>
      <w:r w:rsidRPr="00416DAE">
        <w:rPr>
          <w:rFonts w:ascii="Arial" w:hAnsi="Arial" w:cs="Arial"/>
        </w:rPr>
        <w:t>undertaken for individual patients</w:t>
      </w:r>
      <w:r w:rsidRPr="00851C0C">
        <w:rPr>
          <w:rFonts w:ascii="Arial" w:hAnsi="Arial" w:cs="Arial"/>
          <w:noProof/>
          <w:vertAlign w:val="superscript"/>
        </w:rPr>
        <w:t>12</w:t>
      </w:r>
      <w:r w:rsidRPr="00416DAE">
        <w:rPr>
          <w:rFonts w:ascii="Arial" w:hAnsi="Arial" w:cs="Arial"/>
        </w:rPr>
        <w:t xml:space="preserve">. In the absence of prescriptive guidance, consensus studies have sought to ascertain how surgeons manage the risk of VTE following endovenous varicose vein </w:t>
      </w:r>
      <w:r>
        <w:rPr>
          <w:rFonts w:ascii="Arial" w:hAnsi="Arial" w:cs="Arial"/>
        </w:rPr>
        <w:t>intervention</w:t>
      </w:r>
      <w:r w:rsidRPr="00416DAE">
        <w:rPr>
          <w:rFonts w:ascii="Arial" w:hAnsi="Arial" w:cs="Arial"/>
        </w:rPr>
        <w:t xml:space="preserve">. </w:t>
      </w:r>
      <w:r>
        <w:rPr>
          <w:rFonts w:ascii="Arial" w:hAnsi="Arial" w:cs="Arial"/>
        </w:rPr>
        <w:t xml:space="preserve">The most </w:t>
      </w:r>
      <w:r>
        <w:rPr>
          <w:rFonts w:ascii="Arial" w:hAnsi="Arial" w:cs="Arial"/>
        </w:rPr>
        <w:lastRenderedPageBreak/>
        <w:t>recent consensus showed</w:t>
      </w:r>
      <w:r w:rsidRPr="00416DAE">
        <w:rPr>
          <w:rFonts w:ascii="Arial" w:hAnsi="Arial" w:cs="Arial"/>
        </w:rPr>
        <w:t xml:space="preserve"> the greatest perceived risk factors for DVT after endovenous ablation were inherited thrombophilia, personal history of VTE</w:t>
      </w:r>
      <w:r>
        <w:rPr>
          <w:rFonts w:ascii="Arial" w:hAnsi="Arial" w:cs="Arial"/>
        </w:rPr>
        <w:t xml:space="preserve">, </w:t>
      </w:r>
      <w:r w:rsidRPr="00416DAE">
        <w:rPr>
          <w:rFonts w:ascii="Arial" w:hAnsi="Arial" w:cs="Arial"/>
        </w:rPr>
        <w:t>reduced mobility</w:t>
      </w:r>
      <w:r>
        <w:rPr>
          <w:rFonts w:ascii="Arial" w:hAnsi="Arial" w:cs="Arial"/>
        </w:rPr>
        <w:t xml:space="preserve">, </w:t>
      </w:r>
      <w:r w:rsidRPr="00416DAE">
        <w:rPr>
          <w:rFonts w:ascii="Arial" w:hAnsi="Arial" w:cs="Arial"/>
        </w:rPr>
        <w:t xml:space="preserve">obesity, </w:t>
      </w:r>
      <w:r>
        <w:rPr>
          <w:rFonts w:ascii="Arial" w:hAnsi="Arial" w:cs="Arial"/>
        </w:rPr>
        <w:t>previous</w:t>
      </w:r>
      <w:r w:rsidRPr="00416DAE">
        <w:rPr>
          <w:rFonts w:ascii="Arial" w:hAnsi="Arial" w:cs="Arial"/>
        </w:rPr>
        <w:t xml:space="preserve"> malignancy and major surgery in last 12 weeks</w:t>
      </w:r>
      <w:r w:rsidRPr="00851C0C">
        <w:rPr>
          <w:rFonts w:ascii="Arial" w:hAnsi="Arial" w:cs="Arial"/>
          <w:noProof/>
          <w:vertAlign w:val="superscript"/>
        </w:rPr>
        <w:t>13</w:t>
      </w:r>
      <w:r w:rsidRPr="00416DAE">
        <w:rPr>
          <w:rFonts w:ascii="Arial" w:hAnsi="Arial" w:cs="Arial"/>
        </w:rPr>
        <w:t xml:space="preserve">. In the UK, the Department of Health risk </w:t>
      </w:r>
      <w:r>
        <w:rPr>
          <w:rFonts w:ascii="Arial" w:hAnsi="Arial" w:cs="Arial"/>
        </w:rPr>
        <w:t>assessment tool</w:t>
      </w:r>
      <w:r w:rsidRPr="00416DAE">
        <w:rPr>
          <w:rFonts w:ascii="Arial" w:hAnsi="Arial" w:cs="Arial"/>
        </w:rPr>
        <w:t xml:space="preserve"> is used to individually stratify the risk of VTE in every patient pre-operatively</w:t>
      </w:r>
      <w:r>
        <w:rPr>
          <w:rFonts w:ascii="Arial" w:hAnsi="Arial" w:cs="Arial"/>
        </w:rPr>
        <w:t>. H</w:t>
      </w:r>
      <w:r w:rsidRPr="00416DAE">
        <w:rPr>
          <w:rFonts w:ascii="Arial" w:hAnsi="Arial" w:cs="Arial"/>
        </w:rPr>
        <w:t xml:space="preserve">owever, this scoring system fails to account for some of the strongest perceived risk factors identified by consensus. </w:t>
      </w:r>
      <w:r>
        <w:rPr>
          <w:rFonts w:ascii="Arial" w:hAnsi="Arial" w:cs="Arial"/>
        </w:rPr>
        <w:t>This</w:t>
      </w:r>
      <w:r w:rsidRPr="00416DAE">
        <w:rPr>
          <w:rFonts w:ascii="Arial" w:hAnsi="Arial" w:cs="Arial"/>
        </w:rPr>
        <w:t xml:space="preserve"> study also demonstrated that the most commonly prescribed peri-operative thromboprophylaxis regime was a single </w:t>
      </w:r>
      <w:r>
        <w:rPr>
          <w:rFonts w:ascii="Arial" w:hAnsi="Arial" w:cs="Arial"/>
        </w:rPr>
        <w:t>dose</w:t>
      </w:r>
      <w:r w:rsidRPr="00416DAE">
        <w:rPr>
          <w:rFonts w:ascii="Arial" w:hAnsi="Arial" w:cs="Arial"/>
        </w:rPr>
        <w:t xml:space="preserve"> of LMWH for moderate</w:t>
      </w:r>
      <w:r>
        <w:rPr>
          <w:rFonts w:ascii="Arial" w:hAnsi="Arial" w:cs="Arial"/>
        </w:rPr>
        <w:t>-</w:t>
      </w:r>
      <w:r w:rsidRPr="00416DAE">
        <w:rPr>
          <w:rFonts w:ascii="Arial" w:hAnsi="Arial" w:cs="Arial"/>
        </w:rPr>
        <w:t xml:space="preserve">risk patients and </w:t>
      </w:r>
      <w:proofErr w:type="gramStart"/>
      <w:r w:rsidRPr="00416DAE">
        <w:rPr>
          <w:rFonts w:ascii="Arial" w:hAnsi="Arial" w:cs="Arial"/>
        </w:rPr>
        <w:t>5-7</w:t>
      </w:r>
      <w:r w:rsidR="00C149E8">
        <w:rPr>
          <w:rFonts w:ascii="Arial" w:hAnsi="Arial" w:cs="Arial"/>
        </w:rPr>
        <w:t xml:space="preserve"> </w:t>
      </w:r>
      <w:r w:rsidRPr="00416DAE">
        <w:rPr>
          <w:rFonts w:ascii="Arial" w:hAnsi="Arial" w:cs="Arial"/>
        </w:rPr>
        <w:t>day</w:t>
      </w:r>
      <w:proofErr w:type="gramEnd"/>
      <w:r>
        <w:rPr>
          <w:rFonts w:ascii="Arial" w:hAnsi="Arial" w:cs="Arial"/>
        </w:rPr>
        <w:t xml:space="preserve"> course</w:t>
      </w:r>
      <w:r w:rsidRPr="00416DAE">
        <w:rPr>
          <w:rFonts w:ascii="Arial" w:hAnsi="Arial" w:cs="Arial"/>
        </w:rPr>
        <w:t xml:space="preserve"> of LMWH for </w:t>
      </w:r>
      <w:r>
        <w:rPr>
          <w:rFonts w:ascii="Arial" w:hAnsi="Arial" w:cs="Arial"/>
        </w:rPr>
        <w:t xml:space="preserve">those at </w:t>
      </w:r>
      <w:r w:rsidRPr="00416DAE">
        <w:rPr>
          <w:rFonts w:ascii="Arial" w:hAnsi="Arial" w:cs="Arial"/>
        </w:rPr>
        <w:t>high risk</w:t>
      </w:r>
      <w:r>
        <w:rPr>
          <w:rFonts w:ascii="Arial" w:hAnsi="Arial" w:cs="Arial"/>
        </w:rPr>
        <w:t xml:space="preserve">. An alternative risk score is the </w:t>
      </w:r>
      <w:proofErr w:type="spellStart"/>
      <w:r>
        <w:rPr>
          <w:rFonts w:ascii="Arial" w:hAnsi="Arial" w:cs="Arial"/>
        </w:rPr>
        <w:t>Caprini</w:t>
      </w:r>
      <w:proofErr w:type="spellEnd"/>
      <w:r>
        <w:rPr>
          <w:rFonts w:ascii="Arial" w:hAnsi="Arial" w:cs="Arial"/>
        </w:rPr>
        <w:t xml:space="preserve"> score, which is widely validated for use in surgical patients</w:t>
      </w:r>
      <w:r w:rsidRPr="00BC138C">
        <w:rPr>
          <w:rFonts w:ascii="Arial" w:hAnsi="Arial" w:cs="Arial"/>
          <w:noProof/>
          <w:vertAlign w:val="superscript"/>
        </w:rPr>
        <w:t>33,34</w:t>
      </w:r>
      <w:r>
        <w:rPr>
          <w:rFonts w:ascii="Arial" w:hAnsi="Arial" w:cs="Arial"/>
        </w:rPr>
        <w:t>. Risk</w:t>
      </w:r>
      <w:r w:rsidRPr="00416DAE">
        <w:rPr>
          <w:rFonts w:ascii="Arial" w:hAnsi="Arial" w:cs="Arial"/>
        </w:rPr>
        <w:t xml:space="preserve"> stratification to determine thromboprophylaxis regime has been </w:t>
      </w:r>
      <w:r>
        <w:rPr>
          <w:rFonts w:ascii="Arial" w:hAnsi="Arial" w:cs="Arial"/>
        </w:rPr>
        <w:t>reported</w:t>
      </w:r>
      <w:r w:rsidRPr="00416DAE">
        <w:rPr>
          <w:rFonts w:ascii="Arial" w:hAnsi="Arial" w:cs="Arial"/>
        </w:rPr>
        <w:t xml:space="preserve"> infrequently</w:t>
      </w:r>
      <w:r>
        <w:rPr>
          <w:rFonts w:ascii="Arial" w:hAnsi="Arial" w:cs="Arial"/>
        </w:rPr>
        <w:t xml:space="preserve"> in the literature. </w:t>
      </w:r>
      <w:r w:rsidRPr="00416DAE">
        <w:rPr>
          <w:rFonts w:ascii="Arial" w:hAnsi="Arial" w:cs="Arial"/>
        </w:rPr>
        <w:t xml:space="preserve">Obi et al. </w:t>
      </w:r>
      <w:r>
        <w:rPr>
          <w:rFonts w:ascii="Arial" w:hAnsi="Arial" w:cs="Arial"/>
        </w:rPr>
        <w:t>prescribed</w:t>
      </w:r>
      <w:r w:rsidRPr="00416DAE">
        <w:rPr>
          <w:rFonts w:ascii="Arial" w:hAnsi="Arial" w:cs="Arial"/>
        </w:rPr>
        <w:t xml:space="preserve"> patients with a </w:t>
      </w:r>
      <w:proofErr w:type="spellStart"/>
      <w:r w:rsidRPr="00416DAE">
        <w:rPr>
          <w:rFonts w:ascii="Arial" w:hAnsi="Arial" w:cs="Arial"/>
        </w:rPr>
        <w:t>Caprini</w:t>
      </w:r>
      <w:proofErr w:type="spellEnd"/>
      <w:r w:rsidRPr="00416DAE">
        <w:rPr>
          <w:rFonts w:ascii="Arial" w:hAnsi="Arial" w:cs="Arial"/>
        </w:rPr>
        <w:t xml:space="preserve"> score &gt;8 extended LMWH thromboprophylaxis for 7 days, with those at moderate risk (5 or more) receiving a single </w:t>
      </w:r>
      <w:r>
        <w:rPr>
          <w:rFonts w:ascii="Arial" w:hAnsi="Arial" w:cs="Arial"/>
        </w:rPr>
        <w:t>dose</w:t>
      </w:r>
      <w:r w:rsidRPr="00416DAE">
        <w:rPr>
          <w:rFonts w:ascii="Arial" w:hAnsi="Arial" w:cs="Arial"/>
        </w:rPr>
        <w:t xml:space="preserve"> of unfractionated heparin peri-operatively and low </w:t>
      </w:r>
      <w:r>
        <w:rPr>
          <w:rFonts w:ascii="Arial" w:hAnsi="Arial" w:cs="Arial"/>
        </w:rPr>
        <w:t>risk patients</w:t>
      </w:r>
      <w:r w:rsidRPr="00416DAE">
        <w:rPr>
          <w:rFonts w:ascii="Arial" w:hAnsi="Arial" w:cs="Arial"/>
        </w:rPr>
        <w:t xml:space="preserve"> receiving </w:t>
      </w:r>
      <w:r>
        <w:rPr>
          <w:rFonts w:ascii="Arial" w:hAnsi="Arial" w:cs="Arial"/>
        </w:rPr>
        <w:t>no pharmacological thromboprophylaxis</w:t>
      </w:r>
      <w:r w:rsidRPr="00BC138C">
        <w:rPr>
          <w:rFonts w:ascii="Arial" w:hAnsi="Arial" w:cs="Arial"/>
          <w:noProof/>
          <w:vertAlign w:val="superscript"/>
        </w:rPr>
        <w:t>35</w:t>
      </w:r>
      <w:r w:rsidRPr="00416DAE">
        <w:rPr>
          <w:rFonts w:ascii="Arial" w:hAnsi="Arial" w:cs="Arial"/>
        </w:rPr>
        <w:t xml:space="preserve">. </w:t>
      </w:r>
      <w:r>
        <w:rPr>
          <w:rFonts w:ascii="Arial" w:hAnsi="Arial" w:cs="Arial"/>
        </w:rPr>
        <w:t>There were</w:t>
      </w:r>
      <w:r w:rsidRPr="00416DAE">
        <w:rPr>
          <w:rFonts w:ascii="Arial" w:hAnsi="Arial" w:cs="Arial"/>
        </w:rPr>
        <w:t xml:space="preserve"> no difference</w:t>
      </w:r>
      <w:r>
        <w:rPr>
          <w:rFonts w:ascii="Arial" w:hAnsi="Arial" w:cs="Arial"/>
        </w:rPr>
        <w:t>s</w:t>
      </w:r>
      <w:r w:rsidRPr="00416DAE">
        <w:rPr>
          <w:rFonts w:ascii="Arial" w:hAnsi="Arial" w:cs="Arial"/>
        </w:rPr>
        <w:t xml:space="preserve"> in DVT rate</w:t>
      </w:r>
      <w:r>
        <w:rPr>
          <w:rFonts w:ascii="Arial" w:hAnsi="Arial" w:cs="Arial"/>
        </w:rPr>
        <w:t>s</w:t>
      </w:r>
      <w:r w:rsidRPr="00416DAE">
        <w:rPr>
          <w:rFonts w:ascii="Arial" w:hAnsi="Arial" w:cs="Arial"/>
        </w:rPr>
        <w:t xml:space="preserve"> between the risk groups, though the study was not powered to detect the small absolute risk reduction. Similarly, Knipp et al. utilised the </w:t>
      </w:r>
      <w:proofErr w:type="spellStart"/>
      <w:r w:rsidRPr="00416DAE">
        <w:rPr>
          <w:rFonts w:ascii="Arial" w:hAnsi="Arial" w:cs="Arial"/>
        </w:rPr>
        <w:t>Caprini</w:t>
      </w:r>
      <w:proofErr w:type="spellEnd"/>
      <w:r w:rsidRPr="00416DAE">
        <w:rPr>
          <w:rFonts w:ascii="Arial" w:hAnsi="Arial" w:cs="Arial"/>
        </w:rPr>
        <w:t xml:space="preserve"> score in implementing a risk-adjusted protocol for no thromboprophylaxis</w:t>
      </w:r>
      <w:r>
        <w:rPr>
          <w:rFonts w:ascii="Arial" w:hAnsi="Arial" w:cs="Arial"/>
        </w:rPr>
        <w:t>,</w:t>
      </w:r>
      <w:r w:rsidRPr="00416DAE">
        <w:rPr>
          <w:rFonts w:ascii="Arial" w:hAnsi="Arial" w:cs="Arial"/>
        </w:rPr>
        <w:t xml:space="preserve"> single</w:t>
      </w:r>
      <w:r>
        <w:rPr>
          <w:rFonts w:ascii="Arial" w:hAnsi="Arial" w:cs="Arial"/>
        </w:rPr>
        <w:t>-dose</w:t>
      </w:r>
      <w:r w:rsidRPr="00416DAE">
        <w:rPr>
          <w:rFonts w:ascii="Arial" w:hAnsi="Arial" w:cs="Arial"/>
        </w:rPr>
        <w:t xml:space="preserve"> of unfractionated heparin o</w:t>
      </w:r>
      <w:r>
        <w:rPr>
          <w:rFonts w:ascii="Arial" w:hAnsi="Arial" w:cs="Arial"/>
        </w:rPr>
        <w:t>r</w:t>
      </w:r>
      <w:r w:rsidRPr="00416DAE">
        <w:rPr>
          <w:rFonts w:ascii="Arial" w:hAnsi="Arial" w:cs="Arial"/>
        </w:rPr>
        <w:t xml:space="preserve"> LMWH</w:t>
      </w:r>
      <w:r>
        <w:rPr>
          <w:rFonts w:ascii="Arial" w:hAnsi="Arial" w:cs="Arial"/>
        </w:rPr>
        <w:t>, or</w:t>
      </w:r>
      <w:r w:rsidRPr="00416DAE">
        <w:rPr>
          <w:rFonts w:ascii="Arial" w:hAnsi="Arial" w:cs="Arial"/>
        </w:rPr>
        <w:t xml:space="preserve"> extended LMWH prophylaxis for 7 days</w:t>
      </w:r>
      <w:r w:rsidRPr="00BC138C">
        <w:rPr>
          <w:rFonts w:ascii="Arial" w:hAnsi="Arial" w:cs="Arial"/>
          <w:noProof/>
          <w:vertAlign w:val="superscript"/>
        </w:rPr>
        <w:t>36</w:t>
      </w:r>
      <w:r w:rsidRPr="00416DAE">
        <w:rPr>
          <w:rFonts w:ascii="Arial" w:hAnsi="Arial" w:cs="Arial"/>
        </w:rPr>
        <w:t xml:space="preserve">. </w:t>
      </w:r>
      <w:r>
        <w:rPr>
          <w:rFonts w:ascii="Arial" w:hAnsi="Arial" w:cs="Arial"/>
        </w:rPr>
        <w:t>T</w:t>
      </w:r>
      <w:r w:rsidRPr="00416DAE">
        <w:rPr>
          <w:rFonts w:ascii="Arial" w:hAnsi="Arial" w:cs="Arial"/>
        </w:rPr>
        <w:t>hey demonstrated no difference in DVT rate before v</w:t>
      </w:r>
      <w:r>
        <w:rPr>
          <w:rFonts w:ascii="Arial" w:hAnsi="Arial" w:cs="Arial"/>
        </w:rPr>
        <w:t>ersu</w:t>
      </w:r>
      <w:r w:rsidRPr="00416DAE">
        <w:rPr>
          <w:rFonts w:ascii="Arial" w:hAnsi="Arial" w:cs="Arial"/>
        </w:rPr>
        <w:t>s after the introduction of this risk stratification protocol</w:t>
      </w:r>
      <w:r>
        <w:rPr>
          <w:rFonts w:ascii="Arial" w:hAnsi="Arial" w:cs="Arial"/>
        </w:rPr>
        <w:t>. A</w:t>
      </w:r>
      <w:r w:rsidRPr="00416DAE">
        <w:rPr>
          <w:rFonts w:ascii="Arial" w:hAnsi="Arial" w:cs="Arial"/>
        </w:rPr>
        <w:t xml:space="preserve">s the number of participants who received </w:t>
      </w:r>
      <w:r>
        <w:rPr>
          <w:rFonts w:ascii="Arial" w:hAnsi="Arial" w:cs="Arial"/>
        </w:rPr>
        <w:t xml:space="preserve">pharmacological thromboprophylaxis and </w:t>
      </w:r>
      <w:r w:rsidRPr="00416DAE">
        <w:rPr>
          <w:rFonts w:ascii="Arial" w:hAnsi="Arial" w:cs="Arial"/>
        </w:rPr>
        <w:t xml:space="preserve">DVT </w:t>
      </w:r>
      <w:r>
        <w:rPr>
          <w:rFonts w:ascii="Arial" w:hAnsi="Arial" w:cs="Arial"/>
        </w:rPr>
        <w:t>was</w:t>
      </w:r>
      <w:r w:rsidRPr="00416DAE">
        <w:rPr>
          <w:rFonts w:ascii="Arial" w:hAnsi="Arial" w:cs="Arial"/>
        </w:rPr>
        <w:t xml:space="preserve"> not reported, the risk stratified arm could not be included in the quantitative synthesis. Altogether, the literature and guidelines reflect great uncertainty and inconsistency </w:t>
      </w:r>
      <w:r>
        <w:rPr>
          <w:rFonts w:ascii="Arial" w:hAnsi="Arial" w:cs="Arial"/>
        </w:rPr>
        <w:t>around</w:t>
      </w:r>
      <w:r w:rsidRPr="00416DAE">
        <w:rPr>
          <w:rFonts w:ascii="Arial" w:hAnsi="Arial" w:cs="Arial"/>
        </w:rPr>
        <w:t xml:space="preserve"> </w:t>
      </w:r>
      <w:r>
        <w:rPr>
          <w:rFonts w:ascii="Arial" w:hAnsi="Arial" w:cs="Arial"/>
        </w:rPr>
        <w:t xml:space="preserve">risk stratification and </w:t>
      </w:r>
      <w:r w:rsidRPr="00416DAE">
        <w:rPr>
          <w:rFonts w:ascii="Arial" w:hAnsi="Arial" w:cs="Arial"/>
        </w:rPr>
        <w:t xml:space="preserve">appropriate </w:t>
      </w:r>
      <w:r>
        <w:rPr>
          <w:rFonts w:ascii="Arial" w:hAnsi="Arial" w:cs="Arial"/>
        </w:rPr>
        <w:lastRenderedPageBreak/>
        <w:t>pharmacological thromboprophylaxis, likely due to an absence of level I evidence</w:t>
      </w:r>
      <w:r w:rsidRPr="00416DAE">
        <w:rPr>
          <w:rFonts w:ascii="Arial" w:hAnsi="Arial" w:cs="Arial"/>
        </w:rPr>
        <w:t xml:space="preserve">. </w:t>
      </w:r>
      <w:r>
        <w:rPr>
          <w:rFonts w:ascii="Arial" w:hAnsi="Arial" w:cs="Arial"/>
        </w:rPr>
        <w:t>Randomised controlled</w:t>
      </w:r>
      <w:r w:rsidRPr="00416DAE">
        <w:rPr>
          <w:rFonts w:ascii="Arial" w:hAnsi="Arial" w:cs="Arial"/>
        </w:rPr>
        <w:t xml:space="preserve"> trials </w:t>
      </w:r>
      <w:r>
        <w:rPr>
          <w:rFonts w:ascii="Arial" w:hAnsi="Arial" w:cs="Arial"/>
        </w:rPr>
        <w:t>are urgently needed.</w:t>
      </w:r>
    </w:p>
    <w:p w14:paraId="6A743E09" w14:textId="77777777" w:rsidR="00063E33" w:rsidRDefault="00063E33" w:rsidP="00063E33">
      <w:pPr>
        <w:spacing w:line="480" w:lineRule="auto"/>
        <w:jc w:val="both"/>
        <w:rPr>
          <w:rFonts w:ascii="Arial" w:hAnsi="Arial" w:cs="Arial"/>
        </w:rPr>
      </w:pPr>
    </w:p>
    <w:p w14:paraId="372607C1" w14:textId="77777777" w:rsidR="00B52932" w:rsidRPr="00416DAE" w:rsidRDefault="00B52932" w:rsidP="00B52932">
      <w:pPr>
        <w:spacing w:line="480" w:lineRule="auto"/>
        <w:jc w:val="both"/>
        <w:rPr>
          <w:rFonts w:ascii="Arial" w:hAnsi="Arial" w:cs="Arial"/>
        </w:rPr>
      </w:pPr>
      <w:r w:rsidRPr="00416DAE">
        <w:rPr>
          <w:rFonts w:ascii="Arial" w:hAnsi="Arial" w:cs="Arial"/>
        </w:rPr>
        <w:t xml:space="preserve">The inherent risk of pharmacological thromboprophylaxis is the risk of bleeding. </w:t>
      </w:r>
      <w:r>
        <w:rPr>
          <w:rFonts w:ascii="Arial" w:hAnsi="Arial" w:cs="Arial"/>
        </w:rPr>
        <w:t>T</w:t>
      </w:r>
      <w:r w:rsidRPr="00416DAE">
        <w:rPr>
          <w:rFonts w:ascii="Arial" w:hAnsi="Arial" w:cs="Arial"/>
        </w:rPr>
        <w:t>here was insufficient reporting of th</w:t>
      </w:r>
      <w:r>
        <w:rPr>
          <w:rFonts w:ascii="Arial" w:hAnsi="Arial" w:cs="Arial"/>
        </w:rPr>
        <w:t>is</w:t>
      </w:r>
      <w:r w:rsidRPr="00416DAE">
        <w:rPr>
          <w:rFonts w:ascii="Arial" w:hAnsi="Arial" w:cs="Arial"/>
        </w:rPr>
        <w:t xml:space="preserve"> outcome to perform a quantitative analysis</w:t>
      </w:r>
      <w:r>
        <w:rPr>
          <w:rFonts w:ascii="Arial" w:hAnsi="Arial" w:cs="Arial"/>
        </w:rPr>
        <w:t>, so a narrative review was performed</w:t>
      </w:r>
      <w:r w:rsidRPr="00416DAE">
        <w:rPr>
          <w:rFonts w:ascii="Arial" w:hAnsi="Arial" w:cs="Arial"/>
        </w:rPr>
        <w:t xml:space="preserve">. Qualitative studies have demonstrated reticence of patients to engage with </w:t>
      </w:r>
      <w:r>
        <w:rPr>
          <w:rFonts w:ascii="Arial" w:hAnsi="Arial" w:cs="Arial"/>
        </w:rPr>
        <w:t>thrombo</w:t>
      </w:r>
      <w:r w:rsidRPr="00416DAE">
        <w:rPr>
          <w:rFonts w:ascii="Arial" w:hAnsi="Arial" w:cs="Arial"/>
        </w:rPr>
        <w:t xml:space="preserve">prophylaxis regimes, chiefly due to lack of education about the risks of VTE, lack of involvement in the risk assessment process and </w:t>
      </w:r>
      <w:r>
        <w:rPr>
          <w:rFonts w:ascii="Arial" w:hAnsi="Arial" w:cs="Arial"/>
        </w:rPr>
        <w:t>low acceptability of</w:t>
      </w:r>
      <w:r w:rsidRPr="00416DAE">
        <w:rPr>
          <w:rFonts w:ascii="Arial" w:hAnsi="Arial" w:cs="Arial"/>
        </w:rPr>
        <w:t xml:space="preserve"> self-injection</w:t>
      </w:r>
      <w:r w:rsidRPr="00BC138C">
        <w:rPr>
          <w:rFonts w:ascii="Arial" w:hAnsi="Arial" w:cs="Arial"/>
          <w:noProof/>
          <w:vertAlign w:val="superscript"/>
        </w:rPr>
        <w:t>37</w:t>
      </w:r>
      <w:r w:rsidRPr="00416DAE">
        <w:rPr>
          <w:rFonts w:ascii="Arial" w:hAnsi="Arial" w:cs="Arial"/>
        </w:rPr>
        <w:t xml:space="preserve">. </w:t>
      </w:r>
      <w:r>
        <w:rPr>
          <w:rFonts w:ascii="Arial" w:hAnsi="Arial" w:cs="Arial"/>
        </w:rPr>
        <w:t>DOAC</w:t>
      </w:r>
      <w:r w:rsidRPr="00416DAE">
        <w:rPr>
          <w:rFonts w:ascii="Arial" w:hAnsi="Arial" w:cs="Arial"/>
        </w:rPr>
        <w:t xml:space="preserve">s have been used for </w:t>
      </w:r>
      <w:r>
        <w:rPr>
          <w:rFonts w:ascii="Arial" w:hAnsi="Arial" w:cs="Arial"/>
        </w:rPr>
        <w:t>pharmacological thrombo</w:t>
      </w:r>
      <w:r w:rsidRPr="00416DAE">
        <w:rPr>
          <w:rFonts w:ascii="Arial" w:hAnsi="Arial" w:cs="Arial"/>
        </w:rPr>
        <w:t>prophylaxis after surgery without increasing the major bleeding risk, however minor bleeding events were more common</w:t>
      </w:r>
      <w:r w:rsidRPr="00BC138C">
        <w:rPr>
          <w:rFonts w:ascii="Arial" w:hAnsi="Arial" w:cs="Arial"/>
          <w:noProof/>
          <w:vertAlign w:val="superscript"/>
        </w:rPr>
        <w:t>38</w:t>
      </w:r>
      <w:r>
        <w:rPr>
          <w:rFonts w:ascii="Arial" w:hAnsi="Arial" w:cs="Arial"/>
        </w:rPr>
        <w:t xml:space="preserve">. </w:t>
      </w:r>
      <w:r w:rsidRPr="006F4AB2">
        <w:rPr>
          <w:rFonts w:ascii="Arial" w:hAnsi="Arial" w:cs="Arial"/>
          <w:highlight w:val="yellow"/>
        </w:rPr>
        <w:t>The data collected in this study support a similar hypothesis, with low rates of minor bleeding and just one instance of major bleeding across all the studies, due to NSAID and LMWH co-administration.</w:t>
      </w:r>
      <w:r w:rsidRPr="00416DAE">
        <w:rPr>
          <w:rFonts w:ascii="Arial" w:hAnsi="Arial" w:cs="Arial"/>
        </w:rPr>
        <w:t xml:space="preserve"> </w:t>
      </w:r>
      <w:r>
        <w:rPr>
          <w:rFonts w:ascii="Arial" w:hAnsi="Arial" w:cs="Arial"/>
        </w:rPr>
        <w:t xml:space="preserve">Given the relative lack of safety data, </w:t>
      </w:r>
      <w:r w:rsidRPr="00416DAE">
        <w:rPr>
          <w:rFonts w:ascii="Arial" w:hAnsi="Arial" w:cs="Arial"/>
        </w:rPr>
        <w:t xml:space="preserve">it is imperative that </w:t>
      </w:r>
      <w:r>
        <w:rPr>
          <w:rFonts w:ascii="Arial" w:hAnsi="Arial" w:cs="Arial"/>
        </w:rPr>
        <w:t xml:space="preserve">primary safety endpoints such as </w:t>
      </w:r>
      <w:r w:rsidRPr="00416DAE">
        <w:rPr>
          <w:rFonts w:ascii="Arial" w:hAnsi="Arial" w:cs="Arial"/>
        </w:rPr>
        <w:t xml:space="preserve">bleeding </w:t>
      </w:r>
      <w:r>
        <w:rPr>
          <w:rFonts w:ascii="Arial" w:hAnsi="Arial" w:cs="Arial"/>
        </w:rPr>
        <w:t xml:space="preserve">and VTE-related mortality </w:t>
      </w:r>
      <w:r w:rsidRPr="00416DAE">
        <w:rPr>
          <w:rFonts w:ascii="Arial" w:hAnsi="Arial" w:cs="Arial"/>
        </w:rPr>
        <w:t>are reported</w:t>
      </w:r>
      <w:r>
        <w:rPr>
          <w:rFonts w:ascii="Arial" w:hAnsi="Arial" w:cs="Arial"/>
        </w:rPr>
        <w:t xml:space="preserve"> by all future observational and interventional studies as per </w:t>
      </w:r>
      <w:r w:rsidRPr="00416DAE">
        <w:rPr>
          <w:rFonts w:ascii="Arial" w:hAnsi="Arial" w:cs="Arial"/>
        </w:rPr>
        <w:t>established international guidance</w:t>
      </w:r>
      <w:r w:rsidRPr="00BC138C">
        <w:rPr>
          <w:rFonts w:ascii="Arial" w:hAnsi="Arial" w:cs="Arial"/>
          <w:noProof/>
          <w:vertAlign w:val="superscript"/>
        </w:rPr>
        <w:t>16</w:t>
      </w:r>
      <w:r w:rsidRPr="00416DAE">
        <w:rPr>
          <w:rFonts w:ascii="Arial" w:hAnsi="Arial" w:cs="Arial"/>
        </w:rPr>
        <w:t>.</w:t>
      </w:r>
    </w:p>
    <w:p w14:paraId="3745D145" w14:textId="77777777" w:rsidR="00063E33" w:rsidRPr="00416DAE" w:rsidRDefault="00063E33" w:rsidP="00063E33">
      <w:pPr>
        <w:spacing w:line="480" w:lineRule="auto"/>
        <w:jc w:val="both"/>
        <w:rPr>
          <w:rFonts w:ascii="Arial" w:hAnsi="Arial" w:cs="Arial"/>
        </w:rPr>
      </w:pPr>
    </w:p>
    <w:p w14:paraId="0C7A2268" w14:textId="77777777" w:rsidR="00063E33" w:rsidRPr="00416DAE" w:rsidRDefault="00063E33" w:rsidP="00063E33">
      <w:pPr>
        <w:spacing w:line="480" w:lineRule="auto"/>
        <w:jc w:val="both"/>
        <w:rPr>
          <w:rFonts w:ascii="Arial" w:hAnsi="Arial" w:cs="Arial"/>
        </w:rPr>
      </w:pPr>
      <w:r>
        <w:rPr>
          <w:rFonts w:ascii="Arial" w:hAnsi="Arial" w:cs="Arial"/>
        </w:rPr>
        <w:t>I</w:t>
      </w:r>
      <w:r w:rsidRPr="00416DAE">
        <w:rPr>
          <w:rFonts w:ascii="Arial" w:hAnsi="Arial" w:cs="Arial"/>
        </w:rPr>
        <w:t xml:space="preserve">n this </w:t>
      </w:r>
      <w:r>
        <w:rPr>
          <w:rFonts w:ascii="Arial" w:hAnsi="Arial" w:cs="Arial"/>
        </w:rPr>
        <w:t>study,</w:t>
      </w:r>
      <w:r w:rsidRPr="00416DAE">
        <w:rPr>
          <w:rFonts w:ascii="Arial" w:hAnsi="Arial" w:cs="Arial"/>
        </w:rPr>
        <w:t xml:space="preserve"> all</w:t>
      </w:r>
      <w:r>
        <w:rPr>
          <w:rFonts w:ascii="Arial" w:hAnsi="Arial" w:cs="Arial"/>
        </w:rPr>
        <w:t xml:space="preserve"> endovenous treatment</w:t>
      </w:r>
      <w:r w:rsidRPr="00416DAE">
        <w:rPr>
          <w:rFonts w:ascii="Arial" w:hAnsi="Arial" w:cs="Arial"/>
        </w:rPr>
        <w:t xml:space="preserve"> modalities were considered together, to enhance the amount of literature that could be analysed. No significant difference in </w:t>
      </w:r>
      <w:r>
        <w:rPr>
          <w:rFonts w:ascii="Arial" w:hAnsi="Arial" w:cs="Arial"/>
        </w:rPr>
        <w:t>DVT</w:t>
      </w:r>
      <w:r w:rsidRPr="00416DAE">
        <w:rPr>
          <w:rFonts w:ascii="Arial" w:hAnsi="Arial" w:cs="Arial"/>
        </w:rPr>
        <w:t xml:space="preserve"> rate</w:t>
      </w:r>
      <w:r>
        <w:rPr>
          <w:rFonts w:ascii="Arial" w:hAnsi="Arial" w:cs="Arial"/>
        </w:rPr>
        <w:t>s</w:t>
      </w:r>
      <w:r w:rsidRPr="00416DAE">
        <w:rPr>
          <w:rFonts w:ascii="Arial" w:hAnsi="Arial" w:cs="Arial"/>
        </w:rPr>
        <w:t xml:space="preserve"> </w:t>
      </w:r>
      <w:r>
        <w:rPr>
          <w:rFonts w:ascii="Arial" w:hAnsi="Arial" w:cs="Arial"/>
        </w:rPr>
        <w:t>for</w:t>
      </w:r>
      <w:r w:rsidRPr="00416DAE">
        <w:rPr>
          <w:rFonts w:ascii="Arial" w:hAnsi="Arial" w:cs="Arial"/>
        </w:rPr>
        <w:t xml:space="preserve"> different endovenous closure modalities has been reliably demonstrated</w:t>
      </w:r>
      <w:r>
        <w:rPr>
          <w:rFonts w:ascii="Arial" w:hAnsi="Arial" w:cs="Arial"/>
        </w:rPr>
        <w:t xml:space="preserve"> and post-hoc analysis demonstrated no correlation between type of intervention and rate of DVT</w:t>
      </w:r>
      <w:r w:rsidRPr="00416DAE">
        <w:rPr>
          <w:rFonts w:ascii="Arial" w:hAnsi="Arial" w:cs="Arial"/>
        </w:rPr>
        <w:t xml:space="preserve">. In </w:t>
      </w:r>
      <w:r>
        <w:rPr>
          <w:rFonts w:ascii="Arial" w:hAnsi="Arial" w:cs="Arial"/>
        </w:rPr>
        <w:t>the same way,</w:t>
      </w:r>
      <w:r w:rsidRPr="00416DAE">
        <w:rPr>
          <w:rFonts w:ascii="Arial" w:hAnsi="Arial" w:cs="Arial"/>
        </w:rPr>
        <w:t xml:space="preserve"> </w:t>
      </w:r>
      <w:r>
        <w:rPr>
          <w:rFonts w:ascii="Arial" w:hAnsi="Arial" w:cs="Arial"/>
        </w:rPr>
        <w:t>treatment of incompetent SSV and AASV were included in quantitative analyses</w:t>
      </w:r>
      <w:r w:rsidRPr="00416DAE">
        <w:rPr>
          <w:rFonts w:ascii="Arial" w:hAnsi="Arial" w:cs="Arial"/>
        </w:rPr>
        <w:t xml:space="preserve">. </w:t>
      </w:r>
      <w:r>
        <w:rPr>
          <w:rFonts w:ascii="Arial" w:hAnsi="Arial" w:cs="Arial"/>
        </w:rPr>
        <w:t>Although</w:t>
      </w:r>
      <w:r w:rsidRPr="00416DAE">
        <w:rPr>
          <w:rFonts w:ascii="Arial" w:hAnsi="Arial" w:cs="Arial"/>
        </w:rPr>
        <w:t xml:space="preserve"> some have discussed a trend towards </w:t>
      </w:r>
      <w:r>
        <w:rPr>
          <w:rFonts w:ascii="Arial" w:hAnsi="Arial" w:cs="Arial"/>
        </w:rPr>
        <w:t xml:space="preserve">a </w:t>
      </w:r>
      <w:r w:rsidRPr="00416DAE">
        <w:rPr>
          <w:rFonts w:ascii="Arial" w:hAnsi="Arial" w:cs="Arial"/>
        </w:rPr>
        <w:t xml:space="preserve">higher DVT rate </w:t>
      </w:r>
      <w:r>
        <w:rPr>
          <w:rFonts w:ascii="Arial" w:hAnsi="Arial" w:cs="Arial"/>
        </w:rPr>
        <w:t>when</w:t>
      </w:r>
      <w:r w:rsidRPr="00416DAE">
        <w:rPr>
          <w:rFonts w:ascii="Arial" w:hAnsi="Arial" w:cs="Arial"/>
        </w:rPr>
        <w:t xml:space="preserve"> treat</w:t>
      </w:r>
      <w:r>
        <w:rPr>
          <w:rFonts w:ascii="Arial" w:hAnsi="Arial" w:cs="Arial"/>
        </w:rPr>
        <w:t>ing the</w:t>
      </w:r>
      <w:r w:rsidRPr="00416DAE">
        <w:rPr>
          <w:rFonts w:ascii="Arial" w:hAnsi="Arial" w:cs="Arial"/>
        </w:rPr>
        <w:t xml:space="preserve"> SSV</w:t>
      </w:r>
      <w:r w:rsidRPr="00851C0C">
        <w:rPr>
          <w:rFonts w:ascii="Arial" w:hAnsi="Arial" w:cs="Arial"/>
          <w:noProof/>
          <w:vertAlign w:val="superscript"/>
        </w:rPr>
        <w:t>39</w:t>
      </w:r>
      <w:r w:rsidRPr="00416DAE">
        <w:rPr>
          <w:rFonts w:ascii="Arial" w:hAnsi="Arial" w:cs="Arial"/>
        </w:rPr>
        <w:t xml:space="preserve">, the majority of trials have not documented such a </w:t>
      </w:r>
      <w:r w:rsidRPr="00416DAE">
        <w:rPr>
          <w:rFonts w:ascii="Arial" w:hAnsi="Arial" w:cs="Arial"/>
        </w:rPr>
        <w:lastRenderedPageBreak/>
        <w:t xml:space="preserve">phenomenon. </w:t>
      </w:r>
      <w:r>
        <w:rPr>
          <w:rFonts w:ascii="Arial" w:hAnsi="Arial" w:cs="Arial"/>
        </w:rPr>
        <w:t>Further p</w:t>
      </w:r>
      <w:r w:rsidRPr="00416DAE">
        <w:rPr>
          <w:rFonts w:ascii="Arial" w:hAnsi="Arial" w:cs="Arial"/>
        </w:rPr>
        <w:t>ost-hoc analys</w:t>
      </w:r>
      <w:r>
        <w:rPr>
          <w:rFonts w:ascii="Arial" w:hAnsi="Arial" w:cs="Arial"/>
        </w:rPr>
        <w:t>i</w:t>
      </w:r>
      <w:r w:rsidRPr="00416DAE">
        <w:rPr>
          <w:rFonts w:ascii="Arial" w:hAnsi="Arial" w:cs="Arial"/>
        </w:rPr>
        <w:t xml:space="preserve">s </w:t>
      </w:r>
      <w:r>
        <w:rPr>
          <w:rFonts w:ascii="Arial" w:hAnsi="Arial" w:cs="Arial"/>
        </w:rPr>
        <w:t xml:space="preserve">did </w:t>
      </w:r>
      <w:r w:rsidRPr="00416DAE">
        <w:rPr>
          <w:rFonts w:ascii="Arial" w:hAnsi="Arial" w:cs="Arial"/>
        </w:rPr>
        <w:t xml:space="preserve">not demonstrate any </w:t>
      </w:r>
      <w:r>
        <w:rPr>
          <w:rFonts w:ascii="Arial" w:hAnsi="Arial" w:cs="Arial"/>
        </w:rPr>
        <w:t>correlation between</w:t>
      </w:r>
      <w:r w:rsidRPr="00416DAE">
        <w:rPr>
          <w:rFonts w:ascii="Arial" w:hAnsi="Arial" w:cs="Arial"/>
        </w:rPr>
        <w:t xml:space="preserve"> </w:t>
      </w:r>
      <w:r>
        <w:rPr>
          <w:rFonts w:ascii="Arial" w:hAnsi="Arial" w:cs="Arial"/>
        </w:rPr>
        <w:t>treatment of GSV versus SSV and DVT rate.</w:t>
      </w:r>
    </w:p>
    <w:p w14:paraId="44869732" w14:textId="77777777" w:rsidR="00063E33" w:rsidRPr="00416DAE" w:rsidRDefault="00063E33" w:rsidP="00063E33">
      <w:pPr>
        <w:spacing w:line="480" w:lineRule="auto"/>
        <w:jc w:val="both"/>
        <w:rPr>
          <w:rFonts w:ascii="Arial" w:hAnsi="Arial" w:cs="Arial"/>
        </w:rPr>
      </w:pPr>
    </w:p>
    <w:p w14:paraId="7A632177" w14:textId="77777777" w:rsidR="00063E33" w:rsidRPr="00416DAE" w:rsidRDefault="00063E33" w:rsidP="00063E33">
      <w:pPr>
        <w:spacing w:line="480" w:lineRule="auto"/>
        <w:jc w:val="both"/>
        <w:rPr>
          <w:rFonts w:ascii="Arial" w:hAnsi="Arial" w:cs="Arial"/>
          <w:i/>
          <w:iCs/>
        </w:rPr>
      </w:pPr>
      <w:r w:rsidRPr="00416DAE">
        <w:rPr>
          <w:rFonts w:ascii="Arial" w:hAnsi="Arial" w:cs="Arial"/>
          <w:i/>
          <w:iCs/>
        </w:rPr>
        <w:t>Limitations</w:t>
      </w:r>
    </w:p>
    <w:p w14:paraId="4807DD4C" w14:textId="77777777" w:rsidR="00063E33" w:rsidRDefault="00063E33" w:rsidP="00063E33">
      <w:pPr>
        <w:spacing w:line="480" w:lineRule="auto"/>
        <w:jc w:val="both"/>
        <w:rPr>
          <w:rFonts w:ascii="Arial" w:hAnsi="Arial" w:cs="Arial"/>
        </w:rPr>
      </w:pPr>
      <w:r w:rsidRPr="00416DAE">
        <w:rPr>
          <w:rFonts w:ascii="Arial" w:hAnsi="Arial" w:cs="Arial"/>
        </w:rPr>
        <w:t xml:space="preserve">The most significant limitation of this meta-analysis is the lack of direct head-to-head randomised trials comparing </w:t>
      </w:r>
      <w:r>
        <w:rPr>
          <w:rFonts w:ascii="Arial" w:hAnsi="Arial" w:cs="Arial"/>
        </w:rPr>
        <w:t xml:space="preserve">additional </w:t>
      </w:r>
      <w:r w:rsidRPr="00416DAE">
        <w:rPr>
          <w:rFonts w:ascii="Arial" w:hAnsi="Arial" w:cs="Arial"/>
        </w:rPr>
        <w:t>pharmacological</w:t>
      </w:r>
      <w:r>
        <w:rPr>
          <w:rFonts w:ascii="Arial" w:hAnsi="Arial" w:cs="Arial"/>
        </w:rPr>
        <w:t xml:space="preserve"> </w:t>
      </w:r>
      <w:r w:rsidRPr="00416DAE">
        <w:rPr>
          <w:rFonts w:ascii="Arial" w:hAnsi="Arial" w:cs="Arial"/>
        </w:rPr>
        <w:t xml:space="preserve">thromboprophylaxis to mechanical </w:t>
      </w:r>
      <w:r>
        <w:rPr>
          <w:rFonts w:ascii="Arial" w:hAnsi="Arial" w:cs="Arial"/>
        </w:rPr>
        <w:t>measures</w:t>
      </w:r>
      <w:r w:rsidRPr="00416DAE">
        <w:rPr>
          <w:rFonts w:ascii="Arial" w:hAnsi="Arial" w:cs="Arial"/>
        </w:rPr>
        <w:t xml:space="preserve"> alone. Therefore, network and standard meta-analysis were precluded, and a meta-proportions approach was taken to aggregate the data from </w:t>
      </w:r>
      <w:r>
        <w:rPr>
          <w:rFonts w:ascii="Arial" w:hAnsi="Arial" w:cs="Arial"/>
        </w:rPr>
        <w:t xml:space="preserve">randomised </w:t>
      </w:r>
      <w:r w:rsidRPr="00416DAE">
        <w:rPr>
          <w:rFonts w:ascii="Arial" w:hAnsi="Arial" w:cs="Arial"/>
        </w:rPr>
        <w:t xml:space="preserve">trial arms and </w:t>
      </w:r>
      <w:r>
        <w:rPr>
          <w:rFonts w:ascii="Arial" w:hAnsi="Arial" w:cs="Arial"/>
        </w:rPr>
        <w:t>observational</w:t>
      </w:r>
      <w:r w:rsidRPr="00416DAE">
        <w:rPr>
          <w:rFonts w:ascii="Arial" w:hAnsi="Arial" w:cs="Arial"/>
        </w:rPr>
        <w:t xml:space="preserve"> studies. Th</w:t>
      </w:r>
      <w:r>
        <w:rPr>
          <w:rFonts w:ascii="Arial" w:hAnsi="Arial" w:cs="Arial"/>
        </w:rPr>
        <w:t>e</w:t>
      </w:r>
      <w:r w:rsidRPr="00416DAE">
        <w:rPr>
          <w:rFonts w:ascii="Arial" w:hAnsi="Arial" w:cs="Arial"/>
        </w:rPr>
        <w:t xml:space="preserve"> </w:t>
      </w:r>
      <w:r>
        <w:rPr>
          <w:rFonts w:ascii="Arial" w:hAnsi="Arial" w:cs="Arial"/>
        </w:rPr>
        <w:t>observational study arms</w:t>
      </w:r>
      <w:r w:rsidRPr="00416DAE">
        <w:rPr>
          <w:rFonts w:ascii="Arial" w:hAnsi="Arial" w:cs="Arial"/>
        </w:rPr>
        <w:t xml:space="preserve"> introduced a significant amount of bias into the analysis, chiefly through confounding by indication. Trial arms in which pharmacological thromboprophylaxis was administered </w:t>
      </w:r>
      <w:r>
        <w:rPr>
          <w:rFonts w:ascii="Arial" w:hAnsi="Arial" w:cs="Arial"/>
        </w:rPr>
        <w:t>may have done so for</w:t>
      </w:r>
      <w:r w:rsidRPr="00416DAE">
        <w:rPr>
          <w:rFonts w:ascii="Arial" w:hAnsi="Arial" w:cs="Arial"/>
        </w:rPr>
        <w:t xml:space="preserve"> a perceived higher risk of thrombosis in the cohort. Likewise, participants in the mechanical thromboprophylaxis alone trial arms are more likely to have been recruited to the trial because of their low perceived </w:t>
      </w:r>
      <w:r>
        <w:rPr>
          <w:rFonts w:ascii="Arial" w:hAnsi="Arial" w:cs="Arial"/>
        </w:rPr>
        <w:t xml:space="preserve">VTE </w:t>
      </w:r>
      <w:r w:rsidRPr="00416DAE">
        <w:rPr>
          <w:rFonts w:ascii="Arial" w:hAnsi="Arial" w:cs="Arial"/>
        </w:rPr>
        <w:t>risk.</w:t>
      </w:r>
      <w:r>
        <w:rPr>
          <w:rFonts w:ascii="Arial" w:hAnsi="Arial" w:cs="Arial"/>
        </w:rPr>
        <w:t xml:space="preserve"> However, this bias is likely to diminish the effect size reported rather than increasing it i.e., the VTE rate may be overestimated for</w:t>
      </w:r>
      <w:r w:rsidRPr="00416DAE">
        <w:rPr>
          <w:rFonts w:ascii="Arial" w:hAnsi="Arial" w:cs="Arial"/>
        </w:rPr>
        <w:t xml:space="preserve"> </w:t>
      </w:r>
      <w:r>
        <w:rPr>
          <w:rFonts w:ascii="Arial" w:hAnsi="Arial" w:cs="Arial"/>
        </w:rPr>
        <w:t>pharmacological in addition to mechanical thromboprophylaxis</w:t>
      </w:r>
      <w:r w:rsidRPr="00416DAE">
        <w:rPr>
          <w:rFonts w:ascii="Arial" w:hAnsi="Arial" w:cs="Arial"/>
        </w:rPr>
        <w:t>.</w:t>
      </w:r>
      <w:r>
        <w:rPr>
          <w:rFonts w:ascii="Arial" w:hAnsi="Arial" w:cs="Arial"/>
        </w:rPr>
        <w:t xml:space="preserve"> </w:t>
      </w:r>
      <w:r w:rsidRPr="00416DAE">
        <w:rPr>
          <w:rFonts w:ascii="Arial" w:hAnsi="Arial" w:cs="Arial"/>
        </w:rPr>
        <w:t xml:space="preserve">This selection bias makes the quality of evidence for the pooled rate of DVT inherently weaker and explains the </w:t>
      </w:r>
      <w:r>
        <w:rPr>
          <w:rFonts w:ascii="Arial" w:hAnsi="Arial" w:cs="Arial"/>
        </w:rPr>
        <w:t xml:space="preserve">downgrading of evidence from high to moderate quality in the </w:t>
      </w:r>
      <w:r w:rsidRPr="00416DAE">
        <w:rPr>
          <w:rFonts w:ascii="Arial" w:hAnsi="Arial" w:cs="Arial"/>
        </w:rPr>
        <w:t xml:space="preserve">GRADE assessment. Though no direct head-to-head comparisons, the data extracted from randomised trial arms </w:t>
      </w:r>
      <w:r>
        <w:rPr>
          <w:rFonts w:ascii="Arial" w:hAnsi="Arial" w:cs="Arial"/>
        </w:rPr>
        <w:t xml:space="preserve">limits the level of confounding by indication and </w:t>
      </w:r>
      <w:r w:rsidRPr="00416DAE">
        <w:rPr>
          <w:rFonts w:ascii="Arial" w:hAnsi="Arial" w:cs="Arial"/>
        </w:rPr>
        <w:t xml:space="preserve">provides a less biased review of the pooled VTE rate for </w:t>
      </w:r>
      <w:r>
        <w:rPr>
          <w:rFonts w:ascii="Arial" w:hAnsi="Arial" w:cs="Arial"/>
        </w:rPr>
        <w:t>pharmacological in addition to mechanical thromboprophylaxis</w:t>
      </w:r>
      <w:r w:rsidRPr="00416DAE">
        <w:rPr>
          <w:rFonts w:ascii="Arial" w:hAnsi="Arial" w:cs="Arial"/>
        </w:rPr>
        <w:t xml:space="preserve"> v</w:t>
      </w:r>
      <w:r>
        <w:rPr>
          <w:rFonts w:ascii="Arial" w:hAnsi="Arial" w:cs="Arial"/>
        </w:rPr>
        <w:t>ersu</w:t>
      </w:r>
      <w:r w:rsidRPr="00416DAE">
        <w:rPr>
          <w:rFonts w:ascii="Arial" w:hAnsi="Arial" w:cs="Arial"/>
        </w:rPr>
        <w:t>s mechanical thromboprophylaxis</w:t>
      </w:r>
      <w:r>
        <w:rPr>
          <w:rFonts w:ascii="Arial" w:hAnsi="Arial" w:cs="Arial"/>
        </w:rPr>
        <w:t xml:space="preserve"> alone.</w:t>
      </w:r>
      <w:r w:rsidRPr="00416DAE">
        <w:rPr>
          <w:rFonts w:ascii="Arial" w:hAnsi="Arial" w:cs="Arial"/>
        </w:rPr>
        <w:t xml:space="preserve"> </w:t>
      </w:r>
      <w:r>
        <w:rPr>
          <w:rFonts w:ascii="Arial" w:hAnsi="Arial" w:cs="Arial"/>
        </w:rPr>
        <w:t>Thus,</w:t>
      </w:r>
      <w:r w:rsidRPr="00416DAE">
        <w:rPr>
          <w:rFonts w:ascii="Arial" w:hAnsi="Arial" w:cs="Arial"/>
        </w:rPr>
        <w:t xml:space="preserve"> </w:t>
      </w:r>
      <w:r>
        <w:rPr>
          <w:rFonts w:ascii="Arial" w:hAnsi="Arial" w:cs="Arial"/>
        </w:rPr>
        <w:t>the randomised data are the most important findings presented</w:t>
      </w:r>
      <w:r w:rsidRPr="00416DAE">
        <w:rPr>
          <w:rFonts w:ascii="Arial" w:hAnsi="Arial" w:cs="Arial"/>
        </w:rPr>
        <w:t>.</w:t>
      </w:r>
    </w:p>
    <w:p w14:paraId="70C18B3E" w14:textId="77777777" w:rsidR="00063E33" w:rsidRPr="00416DAE" w:rsidRDefault="00063E33" w:rsidP="00063E33">
      <w:pPr>
        <w:spacing w:line="480" w:lineRule="auto"/>
        <w:jc w:val="both"/>
        <w:rPr>
          <w:rFonts w:ascii="Arial" w:hAnsi="Arial" w:cs="Arial"/>
        </w:rPr>
      </w:pPr>
    </w:p>
    <w:p w14:paraId="641F4A43" w14:textId="77777777" w:rsidR="00B52932" w:rsidRDefault="00B52932" w:rsidP="00B52932">
      <w:pPr>
        <w:spacing w:line="480" w:lineRule="auto"/>
        <w:jc w:val="both"/>
        <w:rPr>
          <w:rFonts w:ascii="Arial" w:hAnsi="Arial" w:cs="Arial"/>
        </w:rPr>
      </w:pPr>
      <w:r w:rsidRPr="00416DAE">
        <w:rPr>
          <w:rFonts w:ascii="Arial" w:hAnsi="Arial" w:cs="Arial"/>
        </w:rPr>
        <w:lastRenderedPageBreak/>
        <w:t xml:space="preserve">Data were treated pragmatically; those studies that did not state </w:t>
      </w:r>
      <w:r>
        <w:rPr>
          <w:rFonts w:ascii="Arial" w:hAnsi="Arial" w:cs="Arial"/>
        </w:rPr>
        <w:t xml:space="preserve">the class duration or use of </w:t>
      </w:r>
      <w:r w:rsidRPr="00416DAE">
        <w:rPr>
          <w:rFonts w:ascii="Arial" w:hAnsi="Arial" w:cs="Arial"/>
        </w:rPr>
        <w:t xml:space="preserve">compression were still included in the analysis </w:t>
      </w:r>
      <w:r>
        <w:rPr>
          <w:rFonts w:ascii="Arial" w:hAnsi="Arial" w:cs="Arial"/>
        </w:rPr>
        <w:t>with</w:t>
      </w:r>
      <w:r w:rsidRPr="00416DAE">
        <w:rPr>
          <w:rFonts w:ascii="Arial" w:hAnsi="Arial" w:cs="Arial"/>
        </w:rPr>
        <w:t xml:space="preserve"> the assumption that national </w:t>
      </w:r>
      <w:r>
        <w:rPr>
          <w:rFonts w:ascii="Arial" w:hAnsi="Arial" w:cs="Arial"/>
        </w:rPr>
        <w:t>and manufacturer guidance were</w:t>
      </w:r>
      <w:r w:rsidRPr="00416DAE">
        <w:rPr>
          <w:rFonts w:ascii="Arial" w:hAnsi="Arial" w:cs="Arial"/>
        </w:rPr>
        <w:t xml:space="preserve"> followed. Overall, the reporting of compression therapy, including the </w:t>
      </w:r>
      <w:r>
        <w:rPr>
          <w:rFonts w:ascii="Arial" w:hAnsi="Arial" w:cs="Arial"/>
        </w:rPr>
        <w:t xml:space="preserve">class, </w:t>
      </w:r>
      <w:r w:rsidRPr="00416DAE">
        <w:rPr>
          <w:rFonts w:ascii="Arial" w:hAnsi="Arial" w:cs="Arial"/>
        </w:rPr>
        <w:t xml:space="preserve">duration </w:t>
      </w:r>
      <w:r>
        <w:rPr>
          <w:rFonts w:ascii="Arial" w:hAnsi="Arial" w:cs="Arial"/>
        </w:rPr>
        <w:t>and adherence</w:t>
      </w:r>
      <w:r w:rsidRPr="00416DAE">
        <w:rPr>
          <w:rFonts w:ascii="Arial" w:hAnsi="Arial" w:cs="Arial"/>
        </w:rPr>
        <w:t>, w</w:t>
      </w:r>
      <w:r>
        <w:rPr>
          <w:rFonts w:ascii="Arial" w:hAnsi="Arial" w:cs="Arial"/>
        </w:rPr>
        <w:t>as</w:t>
      </w:r>
      <w:r w:rsidRPr="00416DAE">
        <w:rPr>
          <w:rFonts w:ascii="Arial" w:hAnsi="Arial" w:cs="Arial"/>
        </w:rPr>
        <w:t xml:space="preserve"> </w:t>
      </w:r>
      <w:r>
        <w:rPr>
          <w:rFonts w:ascii="Arial" w:hAnsi="Arial" w:cs="Arial"/>
        </w:rPr>
        <w:t>poor</w:t>
      </w:r>
      <w:r w:rsidRPr="00416DAE">
        <w:rPr>
          <w:rFonts w:ascii="Arial" w:hAnsi="Arial" w:cs="Arial"/>
        </w:rPr>
        <w:t xml:space="preserve"> and</w:t>
      </w:r>
      <w:r>
        <w:rPr>
          <w:rFonts w:ascii="Arial" w:hAnsi="Arial" w:cs="Arial"/>
        </w:rPr>
        <w:t>,</w:t>
      </w:r>
      <w:r w:rsidRPr="00416DAE">
        <w:rPr>
          <w:rFonts w:ascii="Arial" w:hAnsi="Arial" w:cs="Arial"/>
        </w:rPr>
        <w:t xml:space="preserve"> </w:t>
      </w:r>
      <w:r>
        <w:rPr>
          <w:rFonts w:ascii="Arial" w:hAnsi="Arial" w:cs="Arial"/>
        </w:rPr>
        <w:t xml:space="preserve">given all three of these variables were rarely reported in any study, the trial arms were still included without description of mechanical thromboprophylaxis regime. </w:t>
      </w:r>
      <w:r w:rsidRPr="00523653">
        <w:rPr>
          <w:rFonts w:ascii="Arial" w:hAnsi="Arial" w:cs="Arial"/>
          <w:highlight w:val="yellow"/>
        </w:rPr>
        <w:t xml:space="preserve">Similarly, in the anticoagulation study arms, the </w:t>
      </w:r>
      <w:r>
        <w:rPr>
          <w:rFonts w:ascii="Arial" w:hAnsi="Arial" w:cs="Arial"/>
          <w:highlight w:val="yellow"/>
        </w:rPr>
        <w:t>differences</w:t>
      </w:r>
      <w:r w:rsidRPr="00523653">
        <w:rPr>
          <w:rFonts w:ascii="Arial" w:hAnsi="Arial" w:cs="Arial"/>
          <w:highlight w:val="yellow"/>
        </w:rPr>
        <w:t xml:space="preserve"> in agent</w:t>
      </w:r>
      <w:r>
        <w:rPr>
          <w:rFonts w:ascii="Arial" w:hAnsi="Arial" w:cs="Arial"/>
          <w:highlight w:val="yellow"/>
        </w:rPr>
        <w:t xml:space="preserve">, dose and duration </w:t>
      </w:r>
      <w:r w:rsidRPr="00523653">
        <w:rPr>
          <w:rFonts w:ascii="Arial" w:hAnsi="Arial" w:cs="Arial"/>
          <w:highlight w:val="yellow"/>
        </w:rPr>
        <w:t>may explain why no difference was observed in DVT rate between single-dose and extended thromboprophylaxis.</w:t>
      </w:r>
      <w:r>
        <w:rPr>
          <w:rFonts w:ascii="Arial" w:hAnsi="Arial" w:cs="Arial"/>
        </w:rPr>
        <w:t xml:space="preserve"> Indeed, the heterogeneity in mechanical thromboprophylaxis reporting may account for a degree</w:t>
      </w:r>
      <w:r w:rsidRPr="00416DAE">
        <w:rPr>
          <w:rFonts w:ascii="Arial" w:hAnsi="Arial" w:cs="Arial"/>
        </w:rPr>
        <w:t xml:space="preserve"> of </w:t>
      </w:r>
      <w:r>
        <w:rPr>
          <w:rFonts w:ascii="Arial" w:hAnsi="Arial" w:cs="Arial"/>
        </w:rPr>
        <w:t xml:space="preserve">the total observed </w:t>
      </w:r>
      <w:r w:rsidRPr="00416DAE">
        <w:rPr>
          <w:rFonts w:ascii="Arial" w:hAnsi="Arial" w:cs="Arial"/>
        </w:rPr>
        <w:t>heterogeneity</w:t>
      </w:r>
      <w:r>
        <w:rPr>
          <w:rFonts w:ascii="Arial" w:hAnsi="Arial" w:cs="Arial"/>
        </w:rPr>
        <w:t xml:space="preserve">. </w:t>
      </w:r>
      <w:r>
        <w:rPr>
          <w:rFonts w:ascii="Arial" w:hAnsi="Arial" w:cs="Arial"/>
          <w:highlight w:val="yellow"/>
        </w:rPr>
        <w:t>C</w:t>
      </w:r>
      <w:r w:rsidRPr="001148C0">
        <w:rPr>
          <w:rFonts w:ascii="Arial" w:hAnsi="Arial" w:cs="Arial"/>
          <w:highlight w:val="yellow"/>
        </w:rPr>
        <w:t>ompression data missingness in the retrospective cohort studies was 35% compared to 8% and 6% for prospective studies and randomised trial arms respectively</w:t>
      </w:r>
      <w:r>
        <w:rPr>
          <w:rFonts w:ascii="Arial" w:hAnsi="Arial" w:cs="Arial"/>
          <w:highlight w:val="yellow"/>
        </w:rPr>
        <w:t xml:space="preserve"> and may give further reason for the very high heterogeneity observed in the combined prospective and retrospective studies for mechanical thromboprophylaxis alone that precluded meta-analysis</w:t>
      </w:r>
      <w:r w:rsidRPr="001148C0">
        <w:rPr>
          <w:rFonts w:ascii="Arial" w:hAnsi="Arial" w:cs="Arial"/>
          <w:highlight w:val="yellow"/>
        </w:rPr>
        <w:t>.</w:t>
      </w:r>
      <w:r>
        <w:rPr>
          <w:rFonts w:ascii="Arial" w:hAnsi="Arial" w:cs="Arial"/>
        </w:rPr>
        <w:t xml:space="preserve"> </w:t>
      </w:r>
    </w:p>
    <w:p w14:paraId="5E717D51" w14:textId="77777777" w:rsidR="00063E33" w:rsidRPr="00416DAE" w:rsidRDefault="00063E33" w:rsidP="00063E33">
      <w:pPr>
        <w:spacing w:line="480" w:lineRule="auto"/>
        <w:jc w:val="both"/>
        <w:rPr>
          <w:rFonts w:ascii="Arial" w:hAnsi="Arial" w:cs="Arial"/>
        </w:rPr>
      </w:pPr>
    </w:p>
    <w:p w14:paraId="42E18091" w14:textId="77777777" w:rsidR="00063E33" w:rsidRPr="00416DAE" w:rsidRDefault="00063E33" w:rsidP="00063E33">
      <w:pPr>
        <w:spacing w:line="480" w:lineRule="auto"/>
        <w:jc w:val="both"/>
        <w:rPr>
          <w:rFonts w:ascii="Arial" w:hAnsi="Arial" w:cs="Arial"/>
          <w:b/>
          <w:bCs/>
        </w:rPr>
      </w:pPr>
      <w:r w:rsidRPr="00416DAE">
        <w:rPr>
          <w:rFonts w:ascii="Arial" w:hAnsi="Arial" w:cs="Arial"/>
          <w:b/>
          <w:bCs/>
        </w:rPr>
        <w:t>Conclusion</w:t>
      </w:r>
    </w:p>
    <w:p w14:paraId="44997CCE" w14:textId="77777777" w:rsidR="00B52932" w:rsidRDefault="00B52932" w:rsidP="00B52932">
      <w:pPr>
        <w:spacing w:line="480" w:lineRule="auto"/>
        <w:jc w:val="both"/>
        <w:rPr>
          <w:rFonts w:ascii="Arial" w:hAnsi="Arial" w:cs="Arial"/>
          <w:b/>
          <w:bCs/>
          <w:color w:val="000000"/>
        </w:rPr>
      </w:pPr>
      <w:r w:rsidRPr="00416DAE">
        <w:rPr>
          <w:rFonts w:ascii="Arial" w:hAnsi="Arial" w:cs="Arial"/>
        </w:rPr>
        <w:t xml:space="preserve">The rate of VTE following endovenous varicose vein </w:t>
      </w:r>
      <w:r>
        <w:rPr>
          <w:rFonts w:ascii="Arial" w:hAnsi="Arial" w:cs="Arial"/>
        </w:rPr>
        <w:t>intervention</w:t>
      </w:r>
      <w:r w:rsidRPr="00416DAE">
        <w:rPr>
          <w:rFonts w:ascii="Arial" w:hAnsi="Arial" w:cs="Arial"/>
        </w:rPr>
        <w:t xml:space="preserve"> may be higher than previously anticipated and carries a small but significant morbidity and mortality. There is evidence that </w:t>
      </w:r>
      <w:r>
        <w:rPr>
          <w:rFonts w:ascii="Arial" w:hAnsi="Arial" w:cs="Arial"/>
        </w:rPr>
        <w:t>additional pharmacological thromboprophylaxis</w:t>
      </w:r>
      <w:r w:rsidRPr="00416DAE">
        <w:rPr>
          <w:rFonts w:ascii="Arial" w:hAnsi="Arial" w:cs="Arial"/>
        </w:rPr>
        <w:t xml:space="preserve"> </w:t>
      </w:r>
      <w:r>
        <w:rPr>
          <w:rFonts w:ascii="Arial" w:hAnsi="Arial" w:cs="Arial"/>
        </w:rPr>
        <w:t>reduces the</w:t>
      </w:r>
      <w:r w:rsidRPr="00416DAE">
        <w:rPr>
          <w:rFonts w:ascii="Arial" w:hAnsi="Arial" w:cs="Arial"/>
        </w:rPr>
        <w:t xml:space="preserve"> rate of DVT</w:t>
      </w:r>
      <w:r>
        <w:rPr>
          <w:rFonts w:ascii="Arial" w:hAnsi="Arial" w:cs="Arial"/>
        </w:rPr>
        <w:t xml:space="preserve"> and it is recommended that anticoagulant agents are considered for endovenous varicose vein procedures. </w:t>
      </w:r>
      <w:r w:rsidRPr="006537D1">
        <w:rPr>
          <w:rFonts w:ascii="Arial" w:hAnsi="Arial" w:cs="Arial"/>
          <w:highlight w:val="yellow"/>
        </w:rPr>
        <w:t>There is a strong likelihood of selection bias inherent within the analysed studies; the pooled data from randomised trial arms are the most robust but are still limited by lack of head-to-head comparisons.</w:t>
      </w:r>
      <w:r>
        <w:rPr>
          <w:rFonts w:ascii="Arial" w:hAnsi="Arial" w:cs="Arial"/>
        </w:rPr>
        <w:t xml:space="preserve"> Critical</w:t>
      </w:r>
      <w:r w:rsidRPr="00416DAE">
        <w:rPr>
          <w:rFonts w:ascii="Arial" w:hAnsi="Arial" w:cs="Arial"/>
        </w:rPr>
        <w:t xml:space="preserve"> safety endpoints</w:t>
      </w:r>
      <w:r>
        <w:rPr>
          <w:rFonts w:ascii="Arial" w:hAnsi="Arial" w:cs="Arial"/>
        </w:rPr>
        <w:t xml:space="preserve">, such as major and minor bleeding, are generally underreported and raise the question </w:t>
      </w:r>
      <w:r>
        <w:rPr>
          <w:rFonts w:ascii="Arial" w:hAnsi="Arial" w:cs="Arial"/>
        </w:rPr>
        <w:lastRenderedPageBreak/>
        <w:t xml:space="preserve">of the most appropriate pharmacological thromboprophylaxis agent in the era of oral substitutes. </w:t>
      </w:r>
      <w:r w:rsidRPr="008C03DA">
        <w:rPr>
          <w:rFonts w:ascii="Arial" w:hAnsi="Arial" w:cs="Arial"/>
          <w:highlight w:val="yellow"/>
        </w:rPr>
        <w:t>Studies demonstrate highly variable VTE risk between participants and risk stratification using a validated scoring system may be useful for future randomised controlled trials to ensure equipoise to randomisation and establish the efficacy and safety of this intervention.</w:t>
      </w:r>
    </w:p>
    <w:p w14:paraId="14953BE4" w14:textId="77777777" w:rsidR="00063E33" w:rsidRPr="00416DAE" w:rsidRDefault="00063E33" w:rsidP="00063E33">
      <w:pPr>
        <w:spacing w:line="480" w:lineRule="auto"/>
        <w:jc w:val="both"/>
        <w:rPr>
          <w:rFonts w:ascii="Arial" w:hAnsi="Arial" w:cs="Arial"/>
          <w:b/>
          <w:bCs/>
          <w:color w:val="000000"/>
        </w:rPr>
      </w:pPr>
    </w:p>
    <w:p w14:paraId="3C27521A" w14:textId="77777777" w:rsidR="00063E33" w:rsidRDefault="00063E33" w:rsidP="00063E33">
      <w:pPr>
        <w:spacing w:line="480" w:lineRule="auto"/>
        <w:jc w:val="both"/>
        <w:rPr>
          <w:rFonts w:ascii="Arial" w:hAnsi="Arial" w:cs="Arial"/>
          <w:b/>
          <w:bCs/>
          <w:color w:val="000000"/>
        </w:rPr>
      </w:pPr>
      <w:r w:rsidRPr="00416DAE">
        <w:rPr>
          <w:rFonts w:ascii="Arial" w:hAnsi="Arial" w:cs="Arial"/>
          <w:b/>
          <w:bCs/>
          <w:color w:val="000000"/>
        </w:rPr>
        <w:t>Acknowledgements</w:t>
      </w:r>
    </w:p>
    <w:p w14:paraId="598F4E1E" w14:textId="284FF8CC" w:rsidR="00063E33" w:rsidRDefault="00C133DA" w:rsidP="00063E33">
      <w:pPr>
        <w:rPr>
          <w:rFonts w:ascii="Arial" w:hAnsi="Arial" w:cs="Arial"/>
          <w:b/>
          <w:bCs/>
          <w:color w:val="000000"/>
        </w:rPr>
      </w:pPr>
      <w:r>
        <w:rPr>
          <w:rFonts w:ascii="Arial" w:hAnsi="Arial" w:cs="Arial"/>
          <w:color w:val="000000"/>
        </w:rPr>
        <w:t>None.</w:t>
      </w:r>
      <w:r w:rsidR="00063E33">
        <w:rPr>
          <w:rFonts w:ascii="Arial" w:hAnsi="Arial" w:cs="Arial"/>
          <w:b/>
          <w:bCs/>
          <w:color w:val="000000"/>
        </w:rPr>
        <w:br w:type="page"/>
      </w:r>
    </w:p>
    <w:p w14:paraId="69B4BB19" w14:textId="77777777" w:rsidR="00063E33" w:rsidRDefault="00063E33" w:rsidP="00063E33">
      <w:pPr>
        <w:spacing w:line="480" w:lineRule="auto"/>
        <w:jc w:val="both"/>
        <w:rPr>
          <w:rFonts w:ascii="Arial" w:hAnsi="Arial" w:cs="Arial"/>
        </w:rPr>
      </w:pPr>
      <w:r w:rsidRPr="00416DAE">
        <w:rPr>
          <w:rFonts w:ascii="Arial" w:hAnsi="Arial" w:cs="Arial"/>
          <w:b/>
          <w:bCs/>
        </w:rPr>
        <w:lastRenderedPageBreak/>
        <w:t>References</w:t>
      </w:r>
    </w:p>
    <w:p w14:paraId="557AA4FE"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1.</w:t>
      </w:r>
      <w:r w:rsidRPr="001610CF">
        <w:rPr>
          <w:rFonts w:ascii="Arial" w:eastAsiaTheme="minorHAnsi" w:hAnsi="Arial" w:cs="Arial"/>
          <w:noProof/>
          <w:lang w:val="en-US" w:eastAsia="en-US"/>
        </w:rPr>
        <w:tab/>
        <w:t xml:space="preserve">Hingorani AP, Ascher E, Markevich N, et al. Deep venous thrombosis after radiofrequency ablation of greater saphenous vein: a word of caution. </w:t>
      </w:r>
      <w:r w:rsidRPr="001610CF">
        <w:rPr>
          <w:rFonts w:ascii="Arial" w:eastAsiaTheme="minorHAnsi" w:hAnsi="Arial" w:cs="Arial"/>
          <w:i/>
          <w:noProof/>
          <w:lang w:val="en-US" w:eastAsia="en-US"/>
        </w:rPr>
        <w:t>Journal of Vascular Surgery</w:t>
      </w:r>
      <w:r w:rsidRPr="001610CF">
        <w:rPr>
          <w:rFonts w:ascii="Arial" w:eastAsiaTheme="minorHAnsi" w:hAnsi="Arial" w:cs="Arial"/>
          <w:noProof/>
          <w:lang w:val="en-US" w:eastAsia="en-US"/>
        </w:rPr>
        <w:t xml:space="preserve"> 2004; 40(3):500-</w:t>
      </w:r>
      <w:r w:rsidR="00063E33">
        <w:rPr>
          <w:rFonts w:ascii="Arial" w:eastAsiaTheme="minorHAnsi" w:hAnsi="Arial" w:cs="Arial"/>
          <w:noProof/>
          <w:lang w:val="en-US" w:eastAsia="en-US"/>
        </w:rPr>
        <w:t>50</w:t>
      </w:r>
      <w:r w:rsidRPr="001610CF">
        <w:rPr>
          <w:rFonts w:ascii="Arial" w:eastAsiaTheme="minorHAnsi" w:hAnsi="Arial" w:cs="Arial"/>
          <w:noProof/>
          <w:lang w:val="en-US" w:eastAsia="en-US"/>
        </w:rPr>
        <w:t>4.</w:t>
      </w:r>
    </w:p>
    <w:p w14:paraId="5D18883A"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2.</w:t>
      </w:r>
      <w:r w:rsidRPr="001610CF">
        <w:rPr>
          <w:rFonts w:ascii="Arial" w:eastAsiaTheme="minorHAnsi" w:hAnsi="Arial" w:cs="Arial"/>
          <w:noProof/>
          <w:lang w:val="en-US" w:eastAsia="en-US"/>
        </w:rPr>
        <w:tab/>
        <w:t xml:space="preserve">Itoga NK, Rothenberg KA, Deslarzes-Dubuis C, et al. Incidence and Risk Factors for Deep Vein Thrombosis after Radiofrequency and Laser Ablation of the Lower Extremity Veins. </w:t>
      </w:r>
      <w:r w:rsidRPr="001610CF">
        <w:rPr>
          <w:rFonts w:ascii="Arial" w:eastAsiaTheme="minorHAnsi" w:hAnsi="Arial" w:cs="Arial"/>
          <w:i/>
          <w:noProof/>
          <w:lang w:val="en-US" w:eastAsia="en-US"/>
        </w:rPr>
        <w:t>Ann Vasc Surg</w:t>
      </w:r>
      <w:r w:rsidRPr="001610CF">
        <w:rPr>
          <w:rFonts w:ascii="Arial" w:eastAsiaTheme="minorHAnsi" w:hAnsi="Arial" w:cs="Arial"/>
          <w:noProof/>
          <w:lang w:val="en-US" w:eastAsia="en-US"/>
        </w:rPr>
        <w:t xml:space="preserve"> 2020; 62:45-50 e2.</w:t>
      </w:r>
    </w:p>
    <w:p w14:paraId="112EFEC0"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3.</w:t>
      </w:r>
      <w:r w:rsidRPr="001610CF">
        <w:rPr>
          <w:rFonts w:ascii="Arial" w:eastAsiaTheme="minorHAnsi" w:hAnsi="Arial" w:cs="Arial"/>
          <w:noProof/>
          <w:lang w:val="en-US" w:eastAsia="en-US"/>
        </w:rPr>
        <w:tab/>
        <w:t xml:space="preserve">Marsh P, Price BA, Holdstock J, et al. Deep vein thrombosis (DVT) after venous thermoablation techniques: rates of endovenous heat-induced thrombosis (EHIT) and classical DVT after radiofrequency and endovenous laser ablation in a single centre. </w:t>
      </w:r>
      <w:r w:rsidRPr="001610CF">
        <w:rPr>
          <w:rFonts w:ascii="Arial" w:eastAsiaTheme="minorHAnsi" w:hAnsi="Arial" w:cs="Arial"/>
          <w:i/>
          <w:noProof/>
          <w:lang w:val="en-US" w:eastAsia="en-US"/>
        </w:rPr>
        <w:t>European Journal of Vascular &amp; Endovascular Surgery</w:t>
      </w:r>
      <w:r w:rsidRPr="001610CF">
        <w:rPr>
          <w:rFonts w:ascii="Arial" w:eastAsiaTheme="minorHAnsi" w:hAnsi="Arial" w:cs="Arial"/>
          <w:noProof/>
          <w:lang w:val="en-US" w:eastAsia="en-US"/>
        </w:rPr>
        <w:t xml:space="preserve"> 2010; 40(4):521-</w:t>
      </w:r>
      <w:r w:rsidR="00063E33">
        <w:rPr>
          <w:rFonts w:ascii="Arial" w:eastAsiaTheme="minorHAnsi" w:hAnsi="Arial" w:cs="Arial"/>
          <w:noProof/>
          <w:lang w:val="en-US" w:eastAsia="en-US"/>
        </w:rPr>
        <w:t>52</w:t>
      </w:r>
      <w:r w:rsidRPr="001610CF">
        <w:rPr>
          <w:rFonts w:ascii="Arial" w:eastAsiaTheme="minorHAnsi" w:hAnsi="Arial" w:cs="Arial"/>
          <w:noProof/>
          <w:lang w:val="en-US" w:eastAsia="en-US"/>
        </w:rPr>
        <w:t>7.</w:t>
      </w:r>
    </w:p>
    <w:p w14:paraId="52EFD1E2"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4.</w:t>
      </w:r>
      <w:r w:rsidRPr="001610CF">
        <w:rPr>
          <w:rFonts w:ascii="Arial" w:eastAsiaTheme="minorHAnsi" w:hAnsi="Arial" w:cs="Arial"/>
          <w:noProof/>
          <w:lang w:val="en-US" w:eastAsia="en-US"/>
        </w:rPr>
        <w:tab/>
        <w:t xml:space="preserve">Balachandran R, Jensen KK, Burcharth J, et al. Incidence of Venous Thromboembolism Following Major Emergency Abdominal Surgery. </w:t>
      </w:r>
      <w:r w:rsidRPr="001610CF">
        <w:rPr>
          <w:rFonts w:ascii="Arial" w:eastAsiaTheme="minorHAnsi" w:hAnsi="Arial" w:cs="Arial"/>
          <w:i/>
          <w:noProof/>
          <w:lang w:val="en-US" w:eastAsia="en-US"/>
        </w:rPr>
        <w:t>World J Surg</w:t>
      </w:r>
      <w:r w:rsidRPr="001610CF">
        <w:rPr>
          <w:rFonts w:ascii="Arial" w:eastAsiaTheme="minorHAnsi" w:hAnsi="Arial" w:cs="Arial"/>
          <w:noProof/>
          <w:lang w:val="en-US" w:eastAsia="en-US"/>
        </w:rPr>
        <w:t xml:space="preserve"> 2020; 44(3):704-710.</w:t>
      </w:r>
    </w:p>
    <w:p w14:paraId="5553A58A"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5.</w:t>
      </w:r>
      <w:r w:rsidRPr="001610CF">
        <w:rPr>
          <w:rFonts w:ascii="Arial" w:eastAsiaTheme="minorHAnsi" w:hAnsi="Arial" w:cs="Arial"/>
          <w:noProof/>
          <w:lang w:val="en-US" w:eastAsia="en-US"/>
        </w:rPr>
        <w:tab/>
        <w:t xml:space="preserve">Fleming FJ, Kim MJ, Salloum RM, et al. How much do we need to worry about venous thromboembolism after hospital discharge? A study of colorectal surgery patients using the National Surgical Quality Improvement Program database. </w:t>
      </w:r>
      <w:r w:rsidRPr="001610CF">
        <w:rPr>
          <w:rFonts w:ascii="Arial" w:eastAsiaTheme="minorHAnsi" w:hAnsi="Arial" w:cs="Arial"/>
          <w:i/>
          <w:noProof/>
          <w:lang w:val="en-US" w:eastAsia="en-US"/>
        </w:rPr>
        <w:t>Dis Colon Rectum</w:t>
      </w:r>
      <w:r w:rsidRPr="001610CF">
        <w:rPr>
          <w:rFonts w:ascii="Arial" w:eastAsiaTheme="minorHAnsi" w:hAnsi="Arial" w:cs="Arial"/>
          <w:noProof/>
          <w:lang w:val="en-US" w:eastAsia="en-US"/>
        </w:rPr>
        <w:t xml:space="preserve"> 2010; 53(10):1355-</w:t>
      </w:r>
      <w:r w:rsidR="00063E33">
        <w:rPr>
          <w:rFonts w:ascii="Arial" w:eastAsiaTheme="minorHAnsi" w:hAnsi="Arial" w:cs="Arial"/>
          <w:noProof/>
          <w:lang w:val="en-US" w:eastAsia="en-US"/>
        </w:rPr>
        <w:t>13</w:t>
      </w:r>
      <w:r w:rsidRPr="001610CF">
        <w:rPr>
          <w:rFonts w:ascii="Arial" w:eastAsiaTheme="minorHAnsi" w:hAnsi="Arial" w:cs="Arial"/>
          <w:noProof/>
          <w:lang w:val="en-US" w:eastAsia="en-US"/>
        </w:rPr>
        <w:t>60.</w:t>
      </w:r>
    </w:p>
    <w:p w14:paraId="05028231"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6.</w:t>
      </w:r>
      <w:r w:rsidRPr="001610CF">
        <w:rPr>
          <w:rFonts w:ascii="Arial" w:eastAsiaTheme="minorHAnsi" w:hAnsi="Arial" w:cs="Arial"/>
          <w:noProof/>
          <w:lang w:val="en-US" w:eastAsia="en-US"/>
        </w:rPr>
        <w:tab/>
        <w:t xml:space="preserve">Henry ML, Abdul-Sultan A, Walker AJ, et al. Duration and Magnitude of Postoperative Risk of Venous Thromboembolism after Cholecystectomy: A Population-Based Cohort Study. </w:t>
      </w:r>
      <w:r w:rsidRPr="001610CF">
        <w:rPr>
          <w:rFonts w:ascii="Arial" w:eastAsiaTheme="minorHAnsi" w:hAnsi="Arial" w:cs="Arial"/>
          <w:i/>
          <w:noProof/>
          <w:lang w:val="en-US" w:eastAsia="en-US"/>
        </w:rPr>
        <w:t>Dig Surg</w:t>
      </w:r>
      <w:r w:rsidRPr="001610CF">
        <w:rPr>
          <w:rFonts w:ascii="Arial" w:eastAsiaTheme="minorHAnsi" w:hAnsi="Arial" w:cs="Arial"/>
          <w:noProof/>
          <w:lang w:val="en-US" w:eastAsia="en-US"/>
        </w:rPr>
        <w:t xml:space="preserve"> 2020; 37(1):32-38.</w:t>
      </w:r>
    </w:p>
    <w:p w14:paraId="4C494A39"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7.</w:t>
      </w:r>
      <w:r w:rsidRPr="001610CF">
        <w:rPr>
          <w:rFonts w:ascii="Arial" w:eastAsiaTheme="minorHAnsi" w:hAnsi="Arial" w:cs="Arial"/>
          <w:noProof/>
          <w:lang w:val="en-US" w:eastAsia="en-US"/>
        </w:rPr>
        <w:tab/>
        <w:t>Nicky Tweedy varicose vein surgery 'caused clot death'.  BBC News. Online: BBC, 2015.</w:t>
      </w:r>
    </w:p>
    <w:p w14:paraId="32B13DEE"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lastRenderedPageBreak/>
        <w:t>8.</w:t>
      </w:r>
      <w:r w:rsidRPr="001610CF">
        <w:rPr>
          <w:rFonts w:ascii="Arial" w:eastAsiaTheme="minorHAnsi" w:hAnsi="Arial" w:cs="Arial"/>
          <w:noProof/>
          <w:lang w:val="en-US" w:eastAsia="en-US"/>
        </w:rPr>
        <w:tab/>
        <w:t>Mum of three died after varicose-vein surgery.  The Independent. Online: The Independent, 2016.</w:t>
      </w:r>
    </w:p>
    <w:p w14:paraId="54A1A967"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9.</w:t>
      </w:r>
      <w:r w:rsidRPr="001610CF">
        <w:rPr>
          <w:rFonts w:ascii="Arial" w:eastAsiaTheme="minorHAnsi" w:hAnsi="Arial" w:cs="Arial"/>
          <w:noProof/>
          <w:lang w:val="en-US" w:eastAsia="en-US"/>
        </w:rPr>
        <w:tab/>
        <w:t xml:space="preserve">Di Nisio M, van Es N, Buller HR. Deep vein thrombosis and pulmonary embolism. </w:t>
      </w:r>
      <w:r w:rsidRPr="001610CF">
        <w:rPr>
          <w:rFonts w:ascii="Arial" w:eastAsiaTheme="minorHAnsi" w:hAnsi="Arial" w:cs="Arial"/>
          <w:i/>
          <w:noProof/>
          <w:lang w:val="en-US" w:eastAsia="en-US"/>
        </w:rPr>
        <w:t>Lancet</w:t>
      </w:r>
      <w:r w:rsidRPr="001610CF">
        <w:rPr>
          <w:rFonts w:ascii="Arial" w:eastAsiaTheme="minorHAnsi" w:hAnsi="Arial" w:cs="Arial"/>
          <w:noProof/>
          <w:lang w:val="en-US" w:eastAsia="en-US"/>
        </w:rPr>
        <w:t xml:space="preserve"> 2016; 388(10063):3060-3073.</w:t>
      </w:r>
    </w:p>
    <w:p w14:paraId="58ECBB5E"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10.</w:t>
      </w:r>
      <w:r w:rsidRPr="001610CF">
        <w:rPr>
          <w:rFonts w:ascii="Arial" w:eastAsiaTheme="minorHAnsi" w:hAnsi="Arial" w:cs="Arial"/>
          <w:noProof/>
          <w:lang w:val="en-US" w:eastAsia="en-US"/>
        </w:rPr>
        <w:tab/>
        <w:t xml:space="preserve">Galanaud JP, Monreal M, Kahn SR. Epidemiology of the post-thrombotic syndrome. </w:t>
      </w:r>
      <w:r w:rsidRPr="001610CF">
        <w:rPr>
          <w:rFonts w:ascii="Arial" w:eastAsiaTheme="minorHAnsi" w:hAnsi="Arial" w:cs="Arial"/>
          <w:i/>
          <w:noProof/>
          <w:lang w:val="en-US" w:eastAsia="en-US"/>
        </w:rPr>
        <w:t>Thromb Res</w:t>
      </w:r>
      <w:r w:rsidRPr="001610CF">
        <w:rPr>
          <w:rFonts w:ascii="Arial" w:eastAsiaTheme="minorHAnsi" w:hAnsi="Arial" w:cs="Arial"/>
          <w:noProof/>
          <w:lang w:val="en-US" w:eastAsia="en-US"/>
        </w:rPr>
        <w:t xml:space="preserve"> 2018; 164:100-109.</w:t>
      </w:r>
    </w:p>
    <w:p w14:paraId="0CDCF505"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11.</w:t>
      </w:r>
      <w:r w:rsidRPr="001610CF">
        <w:rPr>
          <w:rFonts w:ascii="Arial" w:eastAsiaTheme="minorHAnsi" w:hAnsi="Arial" w:cs="Arial"/>
          <w:noProof/>
          <w:lang w:val="en-US" w:eastAsia="en-US"/>
        </w:rPr>
        <w:tab/>
        <w:t xml:space="preserve">Galanaud JP, Righini M, Le Collen L, et al. Long-term risk of postthrombotic syndrome after symptomatic distal deep vein thrombosis: The CACTUS-PTS study. </w:t>
      </w:r>
      <w:r w:rsidRPr="001610CF">
        <w:rPr>
          <w:rFonts w:ascii="Arial" w:eastAsiaTheme="minorHAnsi" w:hAnsi="Arial" w:cs="Arial"/>
          <w:i/>
          <w:noProof/>
          <w:lang w:val="en-US" w:eastAsia="en-US"/>
        </w:rPr>
        <w:t>J Thromb Haemost</w:t>
      </w:r>
      <w:r w:rsidRPr="001610CF">
        <w:rPr>
          <w:rFonts w:ascii="Arial" w:eastAsiaTheme="minorHAnsi" w:hAnsi="Arial" w:cs="Arial"/>
          <w:noProof/>
          <w:lang w:val="en-US" w:eastAsia="en-US"/>
        </w:rPr>
        <w:t xml:space="preserve"> 2020; 18(4):857-864.</w:t>
      </w:r>
    </w:p>
    <w:p w14:paraId="13B07B90"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12.</w:t>
      </w:r>
      <w:r w:rsidRPr="001610CF">
        <w:rPr>
          <w:rFonts w:ascii="Arial" w:eastAsiaTheme="minorHAnsi" w:hAnsi="Arial" w:cs="Arial"/>
          <w:noProof/>
          <w:lang w:val="en-US" w:eastAsia="en-US"/>
        </w:rPr>
        <w:tab/>
        <w:t xml:space="preserve">De Maeseneer MG, Kakkos SK, Aherne T, et al. Editor's Choice - European Society for Vascular Surgery (ESVS) 2022 Clinical Practice Guidelines on the Management of Chronic Venous Disease of the Lower Limbs. </w:t>
      </w:r>
      <w:r w:rsidRPr="001610CF">
        <w:rPr>
          <w:rFonts w:ascii="Arial" w:eastAsiaTheme="minorHAnsi" w:hAnsi="Arial" w:cs="Arial"/>
          <w:i/>
          <w:noProof/>
          <w:lang w:val="en-US" w:eastAsia="en-US"/>
        </w:rPr>
        <w:t>Eur J Vasc Endovasc Surg</w:t>
      </w:r>
      <w:r w:rsidRPr="001610CF">
        <w:rPr>
          <w:rFonts w:ascii="Arial" w:eastAsiaTheme="minorHAnsi" w:hAnsi="Arial" w:cs="Arial"/>
          <w:noProof/>
          <w:lang w:val="en-US" w:eastAsia="en-US"/>
        </w:rPr>
        <w:t xml:space="preserve"> 2022; 63(2):184-267.</w:t>
      </w:r>
    </w:p>
    <w:p w14:paraId="7481065F"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13.</w:t>
      </w:r>
      <w:r w:rsidRPr="001610CF">
        <w:rPr>
          <w:rFonts w:ascii="Arial" w:eastAsiaTheme="minorHAnsi" w:hAnsi="Arial" w:cs="Arial"/>
          <w:noProof/>
          <w:lang w:val="en-US" w:eastAsia="en-US"/>
        </w:rPr>
        <w:tab/>
        <w:t xml:space="preserve">Dattani N, Shalhoub J, Nandhra S, et al. Reducing the risk of venous thromboembolism following superficial endovenous treatment: A UK and Republic of Ireland consensus study. </w:t>
      </w:r>
      <w:r w:rsidRPr="001610CF">
        <w:rPr>
          <w:rFonts w:ascii="Arial" w:eastAsiaTheme="minorHAnsi" w:hAnsi="Arial" w:cs="Arial"/>
          <w:i/>
          <w:noProof/>
          <w:lang w:val="en-US" w:eastAsia="en-US"/>
        </w:rPr>
        <w:t>Phlebology</w:t>
      </w:r>
      <w:r w:rsidRPr="001610CF">
        <w:rPr>
          <w:rFonts w:ascii="Arial" w:eastAsiaTheme="minorHAnsi" w:hAnsi="Arial" w:cs="Arial"/>
          <w:noProof/>
          <w:lang w:val="en-US" w:eastAsia="en-US"/>
        </w:rPr>
        <w:t xml:space="preserve"> 2020; 35(9):706-714.</w:t>
      </w:r>
    </w:p>
    <w:p w14:paraId="14DE5A28"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14.</w:t>
      </w:r>
      <w:r w:rsidRPr="001610CF">
        <w:rPr>
          <w:rFonts w:ascii="Arial" w:eastAsiaTheme="minorHAnsi" w:hAnsi="Arial" w:cs="Arial"/>
          <w:noProof/>
          <w:lang w:val="en-US" w:eastAsia="en-US"/>
        </w:rPr>
        <w:tab/>
        <w:t xml:space="preserve">Moher D, Liberati A, Tetzlaff J, et al. Preferred reporting items for systematic reviews and meta-analyses: the PRISMA statement. </w:t>
      </w:r>
      <w:r w:rsidRPr="001610CF">
        <w:rPr>
          <w:rFonts w:ascii="Arial" w:eastAsiaTheme="minorHAnsi" w:hAnsi="Arial" w:cs="Arial"/>
          <w:i/>
          <w:noProof/>
          <w:lang w:val="en-US" w:eastAsia="en-US"/>
        </w:rPr>
        <w:t>PLoS Med</w:t>
      </w:r>
      <w:r w:rsidRPr="001610CF">
        <w:rPr>
          <w:rFonts w:ascii="Arial" w:eastAsiaTheme="minorHAnsi" w:hAnsi="Arial" w:cs="Arial"/>
          <w:noProof/>
          <w:lang w:val="en-US" w:eastAsia="en-US"/>
        </w:rPr>
        <w:t xml:space="preserve"> 2009; 6(7):e1000097.</w:t>
      </w:r>
    </w:p>
    <w:p w14:paraId="31357CE2"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15.</w:t>
      </w:r>
      <w:r w:rsidRPr="001610CF">
        <w:rPr>
          <w:rFonts w:ascii="Arial" w:eastAsiaTheme="minorHAnsi" w:hAnsi="Arial" w:cs="Arial"/>
          <w:noProof/>
          <w:lang w:val="en-US" w:eastAsia="en-US"/>
        </w:rPr>
        <w:tab/>
        <w:t xml:space="preserve">Warton DI, Hui FK. The arcsine is asinine: the analysis of proportions in ecology. </w:t>
      </w:r>
      <w:r w:rsidRPr="001610CF">
        <w:rPr>
          <w:rFonts w:ascii="Arial" w:eastAsiaTheme="minorHAnsi" w:hAnsi="Arial" w:cs="Arial"/>
          <w:i/>
          <w:noProof/>
          <w:lang w:val="en-US" w:eastAsia="en-US"/>
        </w:rPr>
        <w:t>Ecology</w:t>
      </w:r>
      <w:r w:rsidRPr="001610CF">
        <w:rPr>
          <w:rFonts w:ascii="Arial" w:eastAsiaTheme="minorHAnsi" w:hAnsi="Arial" w:cs="Arial"/>
          <w:noProof/>
          <w:lang w:val="en-US" w:eastAsia="en-US"/>
        </w:rPr>
        <w:t xml:space="preserve"> 2011; 92(1):3-10.</w:t>
      </w:r>
    </w:p>
    <w:p w14:paraId="6C04C776"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16.</w:t>
      </w:r>
      <w:r w:rsidRPr="001610CF">
        <w:rPr>
          <w:rFonts w:ascii="Arial" w:eastAsiaTheme="minorHAnsi" w:hAnsi="Arial" w:cs="Arial"/>
          <w:noProof/>
          <w:lang w:val="en-US" w:eastAsia="en-US"/>
        </w:rPr>
        <w:tab/>
        <w:t xml:space="preserve">Schulman S, Angeras U, Bergqvist D, et al. Definition of major bleeding in clinical investigations of antihemostatic medicinal products in surgical patients. </w:t>
      </w:r>
      <w:r w:rsidRPr="001610CF">
        <w:rPr>
          <w:rFonts w:ascii="Arial" w:eastAsiaTheme="minorHAnsi" w:hAnsi="Arial" w:cs="Arial"/>
          <w:i/>
          <w:noProof/>
          <w:lang w:val="en-US" w:eastAsia="en-US"/>
        </w:rPr>
        <w:t>J Thromb Haemost</w:t>
      </w:r>
      <w:r w:rsidRPr="001610CF">
        <w:rPr>
          <w:rFonts w:ascii="Arial" w:eastAsiaTheme="minorHAnsi" w:hAnsi="Arial" w:cs="Arial"/>
          <w:noProof/>
          <w:lang w:val="en-US" w:eastAsia="en-US"/>
        </w:rPr>
        <w:t xml:space="preserve"> 2010; 8(1):202-</w:t>
      </w:r>
      <w:r w:rsidR="00063E33">
        <w:rPr>
          <w:rFonts w:ascii="Arial" w:eastAsiaTheme="minorHAnsi" w:hAnsi="Arial" w:cs="Arial"/>
          <w:noProof/>
          <w:lang w:val="en-US" w:eastAsia="en-US"/>
        </w:rPr>
        <w:t>20</w:t>
      </w:r>
      <w:r w:rsidRPr="001610CF">
        <w:rPr>
          <w:rFonts w:ascii="Arial" w:eastAsiaTheme="minorHAnsi" w:hAnsi="Arial" w:cs="Arial"/>
          <w:noProof/>
          <w:lang w:val="en-US" w:eastAsia="en-US"/>
        </w:rPr>
        <w:t>4.</w:t>
      </w:r>
    </w:p>
    <w:p w14:paraId="0E64E026"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lastRenderedPageBreak/>
        <w:t>17.</w:t>
      </w:r>
      <w:r w:rsidRPr="001610CF">
        <w:rPr>
          <w:rFonts w:ascii="Arial" w:eastAsiaTheme="minorHAnsi" w:hAnsi="Arial" w:cs="Arial"/>
          <w:noProof/>
          <w:lang w:val="en-US" w:eastAsia="en-US"/>
        </w:rPr>
        <w:tab/>
        <w:t xml:space="preserve">Rass K, Frings N, Glowacki P, et al. Comparable effectiveness of endovenous laser ablation and high ligation with stripping of the great saphenous vein: two-year results of a randomized clinical trial (RELACS study). </w:t>
      </w:r>
      <w:r w:rsidRPr="001610CF">
        <w:rPr>
          <w:rFonts w:ascii="Arial" w:eastAsiaTheme="minorHAnsi" w:hAnsi="Arial" w:cs="Arial"/>
          <w:i/>
          <w:noProof/>
          <w:lang w:val="en-US" w:eastAsia="en-US"/>
        </w:rPr>
        <w:t>Arch Dermatol</w:t>
      </w:r>
      <w:r w:rsidRPr="001610CF">
        <w:rPr>
          <w:rFonts w:ascii="Arial" w:eastAsiaTheme="minorHAnsi" w:hAnsi="Arial" w:cs="Arial"/>
          <w:noProof/>
          <w:lang w:val="en-US" w:eastAsia="en-US"/>
        </w:rPr>
        <w:t xml:space="preserve"> 2012; 148(1):49-58.</w:t>
      </w:r>
    </w:p>
    <w:p w14:paraId="4EF7C308"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18.</w:t>
      </w:r>
      <w:r w:rsidRPr="001610CF">
        <w:rPr>
          <w:rFonts w:ascii="Arial" w:eastAsiaTheme="minorHAnsi" w:hAnsi="Arial" w:cs="Arial"/>
          <w:noProof/>
          <w:lang w:val="en-US" w:eastAsia="en-US"/>
        </w:rPr>
        <w:tab/>
        <w:t xml:space="preserve">Keo HH, Spinedi L, Staub D, et al. Duration of pharmacological thromboprophylaxis after outpatient endovenous laser ablation: a propensity score-matched analysis. </w:t>
      </w:r>
      <w:r w:rsidRPr="001610CF">
        <w:rPr>
          <w:rFonts w:ascii="Arial" w:eastAsiaTheme="minorHAnsi" w:hAnsi="Arial" w:cs="Arial"/>
          <w:i/>
          <w:noProof/>
          <w:lang w:val="en-US" w:eastAsia="en-US"/>
        </w:rPr>
        <w:t>Swiss Medical Weekly</w:t>
      </w:r>
      <w:r w:rsidRPr="001610CF">
        <w:rPr>
          <w:rFonts w:ascii="Arial" w:eastAsiaTheme="minorHAnsi" w:hAnsi="Arial" w:cs="Arial"/>
          <w:noProof/>
          <w:lang w:val="en-US" w:eastAsia="en-US"/>
        </w:rPr>
        <w:t xml:space="preserve"> 2019; 149:w20166.</w:t>
      </w:r>
    </w:p>
    <w:p w14:paraId="1201F0B6"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19.</w:t>
      </w:r>
      <w:r w:rsidRPr="001610CF">
        <w:rPr>
          <w:rFonts w:ascii="Arial" w:eastAsiaTheme="minorHAnsi" w:hAnsi="Arial" w:cs="Arial"/>
          <w:noProof/>
          <w:lang w:val="en-US" w:eastAsia="en-US"/>
        </w:rPr>
        <w:tab/>
        <w:t xml:space="preserve">Rustempasic N, Cvorak A, Agincic A. Outcome of endovenous laser ablation of varicose veins. </w:t>
      </w:r>
      <w:r w:rsidRPr="001610CF">
        <w:rPr>
          <w:rFonts w:ascii="Arial" w:eastAsiaTheme="minorHAnsi" w:hAnsi="Arial" w:cs="Arial"/>
          <w:i/>
          <w:noProof/>
          <w:lang w:val="en-US" w:eastAsia="en-US"/>
        </w:rPr>
        <w:t>Acta Informatica Medica</w:t>
      </w:r>
      <w:r w:rsidRPr="001610CF">
        <w:rPr>
          <w:rFonts w:ascii="Arial" w:eastAsiaTheme="minorHAnsi" w:hAnsi="Arial" w:cs="Arial"/>
          <w:noProof/>
          <w:lang w:val="en-US" w:eastAsia="en-US"/>
        </w:rPr>
        <w:t xml:space="preserve"> 2014; 22(5):329-32.</w:t>
      </w:r>
    </w:p>
    <w:p w14:paraId="6F7C31AF"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20.</w:t>
      </w:r>
      <w:r w:rsidRPr="001610CF">
        <w:rPr>
          <w:rFonts w:ascii="Arial" w:eastAsiaTheme="minorHAnsi" w:hAnsi="Arial" w:cs="Arial"/>
          <w:noProof/>
          <w:lang w:val="en-US" w:eastAsia="en-US"/>
        </w:rPr>
        <w:tab/>
        <w:t xml:space="preserve">Spinedi L, Stricker H, Keo HH, et al. Feasibility and safety of flush endovenous laser ablation of the great saphenous vein up to the saphenofemoral junction. </w:t>
      </w:r>
      <w:r w:rsidRPr="001610CF">
        <w:rPr>
          <w:rFonts w:ascii="Arial" w:eastAsiaTheme="minorHAnsi" w:hAnsi="Arial" w:cs="Arial"/>
          <w:i/>
          <w:noProof/>
          <w:lang w:val="en-US" w:eastAsia="en-US"/>
        </w:rPr>
        <w:t>Journal of Vascular Surgery</w:t>
      </w:r>
      <w:r w:rsidRPr="001610CF">
        <w:rPr>
          <w:rFonts w:ascii="Arial" w:eastAsiaTheme="minorHAnsi" w:hAnsi="Arial" w:cs="Arial"/>
          <w:noProof/>
          <w:lang w:val="en-US" w:eastAsia="en-US"/>
        </w:rPr>
        <w:t xml:space="preserve"> 2020; 8(6):1006-1013.</w:t>
      </w:r>
    </w:p>
    <w:p w14:paraId="0A8AEFED"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21.</w:t>
      </w:r>
      <w:r w:rsidRPr="001610CF">
        <w:rPr>
          <w:rFonts w:ascii="Arial" w:eastAsiaTheme="minorHAnsi" w:hAnsi="Arial" w:cs="Arial"/>
          <w:noProof/>
          <w:lang w:val="en-US" w:eastAsia="en-US"/>
        </w:rPr>
        <w:tab/>
        <w:t xml:space="preserve">von Hodenberg E, Zerweck C, Knittel M, et al. Endovenous laser ablation of varicose veins with the 1470 nm diode laser using a radial fiber - 1-year follow-up. </w:t>
      </w:r>
      <w:r w:rsidRPr="001610CF">
        <w:rPr>
          <w:rFonts w:ascii="Arial" w:eastAsiaTheme="minorHAnsi" w:hAnsi="Arial" w:cs="Arial"/>
          <w:i/>
          <w:noProof/>
          <w:lang w:val="en-US" w:eastAsia="en-US"/>
        </w:rPr>
        <w:t>Phlebology</w:t>
      </w:r>
      <w:r w:rsidRPr="001610CF">
        <w:rPr>
          <w:rFonts w:ascii="Arial" w:eastAsiaTheme="minorHAnsi" w:hAnsi="Arial" w:cs="Arial"/>
          <w:noProof/>
          <w:lang w:val="en-US" w:eastAsia="en-US"/>
        </w:rPr>
        <w:t xml:space="preserve"> 2015; 30(2):86-90.</w:t>
      </w:r>
    </w:p>
    <w:p w14:paraId="0F231990"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22.</w:t>
      </w:r>
      <w:r w:rsidRPr="001610CF">
        <w:rPr>
          <w:rFonts w:ascii="Arial" w:eastAsiaTheme="minorHAnsi" w:hAnsi="Arial" w:cs="Arial"/>
          <w:noProof/>
          <w:lang w:val="en-US" w:eastAsia="en-US"/>
        </w:rPr>
        <w:tab/>
        <w:t xml:space="preserve">Eroglu E, Yasim A. A Randomised Clinical Trial Comparing N-Butyl Cyanoacrylate, Radiofrequency Ablation and Endovenous Laser Ablation for the Treatment of Superficial Venous Incompetence: Two Year Follow up Results. </w:t>
      </w:r>
      <w:r w:rsidRPr="001610CF">
        <w:rPr>
          <w:rFonts w:ascii="Arial" w:eastAsiaTheme="minorHAnsi" w:hAnsi="Arial" w:cs="Arial"/>
          <w:i/>
          <w:noProof/>
          <w:lang w:val="en-US" w:eastAsia="en-US"/>
        </w:rPr>
        <w:t>European Journal of Vascular &amp; Endovascular Surgery</w:t>
      </w:r>
      <w:r w:rsidRPr="001610CF">
        <w:rPr>
          <w:rFonts w:ascii="Arial" w:eastAsiaTheme="minorHAnsi" w:hAnsi="Arial" w:cs="Arial"/>
          <w:noProof/>
          <w:lang w:val="en-US" w:eastAsia="en-US"/>
        </w:rPr>
        <w:t xml:space="preserve"> 2018; 56(4):553-560.</w:t>
      </w:r>
    </w:p>
    <w:p w14:paraId="50986135"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23.</w:t>
      </w:r>
      <w:r w:rsidRPr="001610CF">
        <w:rPr>
          <w:rFonts w:ascii="Arial" w:eastAsiaTheme="minorHAnsi" w:hAnsi="Arial" w:cs="Arial"/>
          <w:noProof/>
          <w:lang w:val="en-US" w:eastAsia="en-US"/>
        </w:rPr>
        <w:tab/>
        <w:t xml:space="preserve">Keo HH, Baumann F, Diehm N, et al. Rivaroxaban versus fondaparinux for thromboprophylaxis after endovenous laser ablation. </w:t>
      </w:r>
      <w:r w:rsidRPr="001610CF">
        <w:rPr>
          <w:rFonts w:ascii="Arial" w:eastAsiaTheme="minorHAnsi" w:hAnsi="Arial" w:cs="Arial"/>
          <w:i/>
          <w:noProof/>
          <w:lang w:val="en-US" w:eastAsia="en-US"/>
        </w:rPr>
        <w:t>Journal of Vascular Surgery</w:t>
      </w:r>
      <w:r w:rsidRPr="001610CF">
        <w:rPr>
          <w:rFonts w:ascii="Arial" w:eastAsiaTheme="minorHAnsi" w:hAnsi="Arial" w:cs="Arial"/>
          <w:noProof/>
          <w:lang w:val="en-US" w:eastAsia="en-US"/>
        </w:rPr>
        <w:t xml:space="preserve"> 2017; 5(6):817-823.</w:t>
      </w:r>
    </w:p>
    <w:p w14:paraId="00D61B6E"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24.</w:t>
      </w:r>
      <w:r w:rsidRPr="001610CF">
        <w:rPr>
          <w:rFonts w:ascii="Arial" w:eastAsiaTheme="minorHAnsi" w:hAnsi="Arial" w:cs="Arial"/>
          <w:noProof/>
          <w:lang w:val="en-US" w:eastAsia="en-US"/>
        </w:rPr>
        <w:tab/>
        <w:t xml:space="preserve">Keo HH, Spinedi L, Staub D, et al. Safety and efficacy of outpatient endovenous laser ablation in patients 75 years and older: a propensity score-matched analysis. </w:t>
      </w:r>
      <w:r w:rsidRPr="001610CF">
        <w:rPr>
          <w:rFonts w:ascii="Arial" w:eastAsiaTheme="minorHAnsi" w:hAnsi="Arial" w:cs="Arial"/>
          <w:i/>
          <w:noProof/>
          <w:lang w:val="en-US" w:eastAsia="en-US"/>
        </w:rPr>
        <w:t>Swiss Medical Weekly</w:t>
      </w:r>
      <w:r w:rsidRPr="001610CF">
        <w:rPr>
          <w:rFonts w:ascii="Arial" w:eastAsiaTheme="minorHAnsi" w:hAnsi="Arial" w:cs="Arial"/>
          <w:noProof/>
          <w:lang w:val="en-US" w:eastAsia="en-US"/>
        </w:rPr>
        <w:t xml:space="preserve"> 2019; 149:w20083.</w:t>
      </w:r>
    </w:p>
    <w:p w14:paraId="30E6F107"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lastRenderedPageBreak/>
        <w:t>25.</w:t>
      </w:r>
      <w:r w:rsidRPr="001610CF">
        <w:rPr>
          <w:rFonts w:ascii="Arial" w:eastAsiaTheme="minorHAnsi" w:hAnsi="Arial" w:cs="Arial"/>
          <w:noProof/>
          <w:lang w:val="en-US" w:eastAsia="en-US"/>
        </w:rPr>
        <w:tab/>
        <w:t xml:space="preserve">Sufian S, Arnez A, Labropoulos N, et al. Endothermal venous ablation of the saphenous vein on patients who are on anticoagulation therapy. </w:t>
      </w:r>
      <w:r w:rsidRPr="001610CF">
        <w:rPr>
          <w:rFonts w:ascii="Arial" w:eastAsiaTheme="minorHAnsi" w:hAnsi="Arial" w:cs="Arial"/>
          <w:i/>
          <w:noProof/>
          <w:lang w:val="en-US" w:eastAsia="en-US"/>
        </w:rPr>
        <w:t>International Angiology</w:t>
      </w:r>
      <w:r w:rsidRPr="001610CF">
        <w:rPr>
          <w:rFonts w:ascii="Arial" w:eastAsiaTheme="minorHAnsi" w:hAnsi="Arial" w:cs="Arial"/>
          <w:noProof/>
          <w:lang w:val="en-US" w:eastAsia="en-US"/>
        </w:rPr>
        <w:t xml:space="preserve"> 2017; 36(3):268-274.</w:t>
      </w:r>
    </w:p>
    <w:p w14:paraId="26B95783"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26.</w:t>
      </w:r>
      <w:r w:rsidRPr="001610CF">
        <w:rPr>
          <w:rFonts w:ascii="Arial" w:eastAsiaTheme="minorHAnsi" w:hAnsi="Arial" w:cs="Arial"/>
          <w:noProof/>
          <w:lang w:val="en-US" w:eastAsia="en-US"/>
        </w:rPr>
        <w:tab/>
        <w:t xml:space="preserve">Takahashi K, Ito H, Katsube T, et al. Association between antithrombotic therapy and risk of postoperative complications among patients undergoing endovenous laser ablation. </w:t>
      </w:r>
      <w:r w:rsidRPr="001610CF">
        <w:rPr>
          <w:rFonts w:ascii="Arial" w:eastAsiaTheme="minorHAnsi" w:hAnsi="Arial" w:cs="Arial"/>
          <w:i/>
          <w:noProof/>
          <w:lang w:val="en-US" w:eastAsia="en-US"/>
        </w:rPr>
        <w:t>Journal of Vascular Surgery</w:t>
      </w:r>
      <w:r w:rsidRPr="001610CF">
        <w:rPr>
          <w:rFonts w:ascii="Arial" w:eastAsiaTheme="minorHAnsi" w:hAnsi="Arial" w:cs="Arial"/>
          <w:noProof/>
          <w:lang w:val="en-US" w:eastAsia="en-US"/>
        </w:rPr>
        <w:t xml:space="preserve"> 2017; 5(3):339-345.</w:t>
      </w:r>
    </w:p>
    <w:p w14:paraId="2F5F03E3"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27.</w:t>
      </w:r>
      <w:r w:rsidRPr="001610CF">
        <w:rPr>
          <w:rFonts w:ascii="Arial" w:eastAsiaTheme="minorHAnsi" w:hAnsi="Arial" w:cs="Arial"/>
          <w:noProof/>
          <w:lang w:val="en-US" w:eastAsia="en-US"/>
        </w:rPr>
        <w:tab/>
        <w:t xml:space="preserve">Uthoff H, Holtz D, Broz P, et al. Rivaroxaban for thrombosis prophylaxis in endovenous laser ablation with and without phlebectomy. </w:t>
      </w:r>
      <w:r w:rsidRPr="001610CF">
        <w:rPr>
          <w:rFonts w:ascii="Arial" w:eastAsiaTheme="minorHAnsi" w:hAnsi="Arial" w:cs="Arial"/>
          <w:i/>
          <w:noProof/>
          <w:lang w:val="en-US" w:eastAsia="en-US"/>
        </w:rPr>
        <w:t>J Vasc Surg Venous Lymphat Disord</w:t>
      </w:r>
      <w:r w:rsidRPr="001610CF">
        <w:rPr>
          <w:rFonts w:ascii="Arial" w:eastAsiaTheme="minorHAnsi" w:hAnsi="Arial" w:cs="Arial"/>
          <w:noProof/>
          <w:lang w:val="en-US" w:eastAsia="en-US"/>
        </w:rPr>
        <w:t xml:space="preserve"> 2017; 5(4):515-523.</w:t>
      </w:r>
    </w:p>
    <w:p w14:paraId="6B24DBA3"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28.</w:t>
      </w:r>
      <w:r w:rsidRPr="001610CF">
        <w:rPr>
          <w:rFonts w:ascii="Arial" w:eastAsiaTheme="minorHAnsi" w:hAnsi="Arial" w:cs="Arial"/>
          <w:noProof/>
          <w:lang w:val="en-US" w:eastAsia="en-US"/>
        </w:rPr>
        <w:tab/>
        <w:t xml:space="preserve">Yamamoto K, Miwa S, Yamada T, et al. Strategy to prevent nerve injury and deep vein thrombosis in radiofrequency segmental thermal ablation of the saphenous veins using a new objective pain scale. </w:t>
      </w:r>
      <w:r w:rsidRPr="001610CF">
        <w:rPr>
          <w:rFonts w:ascii="Arial" w:eastAsiaTheme="minorHAnsi" w:hAnsi="Arial" w:cs="Arial"/>
          <w:i/>
          <w:noProof/>
          <w:lang w:val="en-US" w:eastAsia="en-US"/>
        </w:rPr>
        <w:t>Phlebology</w:t>
      </w:r>
      <w:r w:rsidRPr="001610CF">
        <w:rPr>
          <w:rFonts w:ascii="Arial" w:eastAsiaTheme="minorHAnsi" w:hAnsi="Arial" w:cs="Arial"/>
          <w:noProof/>
          <w:lang w:val="en-US" w:eastAsia="en-US"/>
        </w:rPr>
        <w:t xml:space="preserve"> 2021; 36(8):659-664.</w:t>
      </w:r>
    </w:p>
    <w:p w14:paraId="000AFF4E"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29.</w:t>
      </w:r>
      <w:r w:rsidRPr="001610CF">
        <w:rPr>
          <w:rFonts w:ascii="Arial" w:eastAsiaTheme="minorHAnsi" w:hAnsi="Arial" w:cs="Arial"/>
          <w:noProof/>
          <w:lang w:val="en-US" w:eastAsia="en-US"/>
        </w:rPr>
        <w:tab/>
        <w:t xml:space="preserve">de Aguiar ET, Dos Santos JB, Carvalho DD. Venous thromboembolism after ultrasound guided foam sclerotherapy. </w:t>
      </w:r>
      <w:r w:rsidRPr="001610CF">
        <w:rPr>
          <w:rFonts w:ascii="Arial" w:eastAsiaTheme="minorHAnsi" w:hAnsi="Arial" w:cs="Arial"/>
          <w:i/>
          <w:noProof/>
          <w:lang w:val="en-US" w:eastAsia="en-US"/>
        </w:rPr>
        <w:t>Phlebology</w:t>
      </w:r>
      <w:r w:rsidRPr="001610CF">
        <w:rPr>
          <w:rFonts w:ascii="Arial" w:eastAsiaTheme="minorHAnsi" w:hAnsi="Arial" w:cs="Arial"/>
          <w:noProof/>
          <w:lang w:val="en-US" w:eastAsia="en-US"/>
        </w:rPr>
        <w:t xml:space="preserve"> 2021; 36(3):233-239.</w:t>
      </w:r>
    </w:p>
    <w:p w14:paraId="40F1119A"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30.</w:t>
      </w:r>
      <w:r w:rsidRPr="001610CF">
        <w:rPr>
          <w:rFonts w:ascii="Arial" w:eastAsiaTheme="minorHAnsi" w:hAnsi="Arial" w:cs="Arial"/>
          <w:noProof/>
          <w:lang w:val="en-US" w:eastAsia="en-US"/>
        </w:rPr>
        <w:tab/>
        <w:t xml:space="preserve">Todd KL, 3rd, Wright DI, Group V-I. The VANISH-2 study: a randomized, blinded, multicenter study to evaluate the efficacy and safety of polidocanol endovenous microfoam 0.5% and 1.0% compared with placebo for the treatment of saphenofemoral junction incompetence. </w:t>
      </w:r>
      <w:r w:rsidRPr="001610CF">
        <w:rPr>
          <w:rFonts w:ascii="Arial" w:eastAsiaTheme="minorHAnsi" w:hAnsi="Arial" w:cs="Arial"/>
          <w:i/>
          <w:noProof/>
          <w:lang w:val="en-US" w:eastAsia="en-US"/>
        </w:rPr>
        <w:t>Phlebology</w:t>
      </w:r>
      <w:r w:rsidRPr="001610CF">
        <w:rPr>
          <w:rFonts w:ascii="Arial" w:eastAsiaTheme="minorHAnsi" w:hAnsi="Arial" w:cs="Arial"/>
          <w:noProof/>
          <w:lang w:val="en-US" w:eastAsia="en-US"/>
        </w:rPr>
        <w:t xml:space="preserve"> 2014; 29(9):608-18.</w:t>
      </w:r>
    </w:p>
    <w:p w14:paraId="7B3D189C"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31.</w:t>
      </w:r>
      <w:r w:rsidRPr="001610CF">
        <w:rPr>
          <w:rFonts w:ascii="Arial" w:eastAsiaTheme="minorHAnsi" w:hAnsi="Arial" w:cs="Arial"/>
          <w:noProof/>
          <w:lang w:val="en-US" w:eastAsia="en-US"/>
        </w:rPr>
        <w:tab/>
        <w:t xml:space="preserve">Watanabe S, Okamura A, Iwamoto M, et al. A randomized controlled trial to evaluate the safety and efficacy of transluminal injection of foam sclerotherapy compared with ultrasound-guided foam sclerotherapy during endovenous catheter ablation in patients with varicose veins. </w:t>
      </w:r>
      <w:r w:rsidRPr="001610CF">
        <w:rPr>
          <w:rFonts w:ascii="Arial" w:eastAsiaTheme="minorHAnsi" w:hAnsi="Arial" w:cs="Arial"/>
          <w:i/>
          <w:noProof/>
          <w:lang w:val="en-US" w:eastAsia="en-US"/>
        </w:rPr>
        <w:t>Journal of Vascular Surgery</w:t>
      </w:r>
      <w:r w:rsidRPr="001610CF">
        <w:rPr>
          <w:rFonts w:ascii="Arial" w:eastAsiaTheme="minorHAnsi" w:hAnsi="Arial" w:cs="Arial"/>
          <w:noProof/>
          <w:lang w:val="en-US" w:eastAsia="en-US"/>
        </w:rPr>
        <w:t xml:space="preserve"> 2021; 10:10.</w:t>
      </w:r>
    </w:p>
    <w:p w14:paraId="71E61413"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32.</w:t>
      </w:r>
      <w:r w:rsidRPr="001610CF">
        <w:rPr>
          <w:rFonts w:ascii="Arial" w:eastAsiaTheme="minorHAnsi" w:hAnsi="Arial" w:cs="Arial"/>
          <w:noProof/>
          <w:lang w:val="en-US" w:eastAsia="en-US"/>
        </w:rPr>
        <w:tab/>
        <w:t xml:space="preserve">Healy DA, Kimura S, Power D, et al. A Systematic Review and Meta-analysis of Thrombotic Events Following Endovenous Thermal Ablation of the Great Saphenous Vein. </w:t>
      </w:r>
      <w:r w:rsidRPr="001610CF">
        <w:rPr>
          <w:rFonts w:ascii="Arial" w:eastAsiaTheme="minorHAnsi" w:hAnsi="Arial" w:cs="Arial"/>
          <w:i/>
          <w:noProof/>
          <w:lang w:val="en-US" w:eastAsia="en-US"/>
        </w:rPr>
        <w:t>Eur J Vasc Endovasc Surg</w:t>
      </w:r>
      <w:r w:rsidRPr="001610CF">
        <w:rPr>
          <w:rFonts w:ascii="Arial" w:eastAsiaTheme="minorHAnsi" w:hAnsi="Arial" w:cs="Arial"/>
          <w:noProof/>
          <w:lang w:val="en-US" w:eastAsia="en-US"/>
        </w:rPr>
        <w:t xml:space="preserve"> 2018; 56(3):410-424.</w:t>
      </w:r>
    </w:p>
    <w:p w14:paraId="229D2367"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lastRenderedPageBreak/>
        <w:t>33.</w:t>
      </w:r>
      <w:r w:rsidRPr="001610CF">
        <w:rPr>
          <w:rFonts w:ascii="Arial" w:eastAsiaTheme="minorHAnsi" w:hAnsi="Arial" w:cs="Arial"/>
          <w:noProof/>
          <w:lang w:val="en-US" w:eastAsia="en-US"/>
        </w:rPr>
        <w:tab/>
        <w:t xml:space="preserve">Fuentes HE, Paz LH, Al-Ogaili A, et al. Validation of a Patient-Completed Caprini Risk Score for Venous Thromboembolism Risk Assessment. </w:t>
      </w:r>
      <w:r w:rsidRPr="001610CF">
        <w:rPr>
          <w:rFonts w:ascii="Arial" w:eastAsiaTheme="minorHAnsi" w:hAnsi="Arial" w:cs="Arial"/>
          <w:i/>
          <w:noProof/>
          <w:lang w:val="en-US" w:eastAsia="en-US"/>
        </w:rPr>
        <w:t>TH Open</w:t>
      </w:r>
      <w:r w:rsidRPr="001610CF">
        <w:rPr>
          <w:rFonts w:ascii="Arial" w:eastAsiaTheme="minorHAnsi" w:hAnsi="Arial" w:cs="Arial"/>
          <w:noProof/>
          <w:lang w:val="en-US" w:eastAsia="en-US"/>
        </w:rPr>
        <w:t xml:space="preserve"> 2017; 1(2):e106-e112.</w:t>
      </w:r>
    </w:p>
    <w:p w14:paraId="0163DBB2"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34.</w:t>
      </w:r>
      <w:r w:rsidRPr="001610CF">
        <w:rPr>
          <w:rFonts w:ascii="Arial" w:eastAsiaTheme="minorHAnsi" w:hAnsi="Arial" w:cs="Arial"/>
          <w:noProof/>
          <w:lang w:val="en-US" w:eastAsia="en-US"/>
        </w:rPr>
        <w:tab/>
        <w:t xml:space="preserve">Obi AT, Pannucci CJ, Nackashi A, et al. Validation of the Caprini Venous Thromboembolism Risk Assessment Model in Critically Ill Surgical Patients. </w:t>
      </w:r>
      <w:r w:rsidRPr="001610CF">
        <w:rPr>
          <w:rFonts w:ascii="Arial" w:eastAsiaTheme="minorHAnsi" w:hAnsi="Arial" w:cs="Arial"/>
          <w:i/>
          <w:noProof/>
          <w:lang w:val="en-US" w:eastAsia="en-US"/>
        </w:rPr>
        <w:t>JAMA Surg</w:t>
      </w:r>
      <w:r w:rsidRPr="001610CF">
        <w:rPr>
          <w:rFonts w:ascii="Arial" w:eastAsiaTheme="minorHAnsi" w:hAnsi="Arial" w:cs="Arial"/>
          <w:noProof/>
          <w:lang w:val="en-US" w:eastAsia="en-US"/>
        </w:rPr>
        <w:t xml:space="preserve"> 2015; 150(10):941-</w:t>
      </w:r>
      <w:r w:rsidR="00063E33">
        <w:rPr>
          <w:rFonts w:ascii="Arial" w:eastAsiaTheme="minorHAnsi" w:hAnsi="Arial" w:cs="Arial"/>
          <w:noProof/>
          <w:lang w:val="en-US" w:eastAsia="en-US"/>
        </w:rPr>
        <w:t>94</w:t>
      </w:r>
      <w:r w:rsidRPr="001610CF">
        <w:rPr>
          <w:rFonts w:ascii="Arial" w:eastAsiaTheme="minorHAnsi" w:hAnsi="Arial" w:cs="Arial"/>
          <w:noProof/>
          <w:lang w:val="en-US" w:eastAsia="en-US"/>
        </w:rPr>
        <w:t>8.</w:t>
      </w:r>
    </w:p>
    <w:p w14:paraId="6EEFF4C2"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35.</w:t>
      </w:r>
      <w:r w:rsidRPr="001610CF">
        <w:rPr>
          <w:rFonts w:ascii="Arial" w:eastAsiaTheme="minorHAnsi" w:hAnsi="Arial" w:cs="Arial"/>
          <w:noProof/>
          <w:lang w:val="en-US" w:eastAsia="en-US"/>
        </w:rPr>
        <w:tab/>
        <w:t xml:space="preserve">Obi AT, Reames BN, Rook TJ, et al. Outcomes associated with ablation compared to combined ablation and transilluminated powered phlebectomy in the treatment of venous varicosities. </w:t>
      </w:r>
      <w:r w:rsidRPr="001610CF">
        <w:rPr>
          <w:rFonts w:ascii="Arial" w:eastAsiaTheme="minorHAnsi" w:hAnsi="Arial" w:cs="Arial"/>
          <w:i/>
          <w:noProof/>
          <w:lang w:val="en-US" w:eastAsia="en-US"/>
        </w:rPr>
        <w:t>Phlebology</w:t>
      </w:r>
      <w:r w:rsidRPr="001610CF">
        <w:rPr>
          <w:rFonts w:ascii="Arial" w:eastAsiaTheme="minorHAnsi" w:hAnsi="Arial" w:cs="Arial"/>
          <w:noProof/>
          <w:lang w:val="en-US" w:eastAsia="en-US"/>
        </w:rPr>
        <w:t xml:space="preserve"> 2016; 31(9):618-</w:t>
      </w:r>
      <w:r w:rsidR="00063E33">
        <w:rPr>
          <w:rFonts w:ascii="Arial" w:eastAsiaTheme="minorHAnsi" w:hAnsi="Arial" w:cs="Arial"/>
          <w:noProof/>
          <w:lang w:val="en-US" w:eastAsia="en-US"/>
        </w:rPr>
        <w:t>6</w:t>
      </w:r>
      <w:r w:rsidRPr="001610CF">
        <w:rPr>
          <w:rFonts w:ascii="Arial" w:eastAsiaTheme="minorHAnsi" w:hAnsi="Arial" w:cs="Arial"/>
          <w:noProof/>
          <w:lang w:val="en-US" w:eastAsia="en-US"/>
        </w:rPr>
        <w:t>24.</w:t>
      </w:r>
    </w:p>
    <w:p w14:paraId="068DA00E"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36.</w:t>
      </w:r>
      <w:r w:rsidRPr="001610CF">
        <w:rPr>
          <w:rFonts w:ascii="Arial" w:eastAsiaTheme="minorHAnsi" w:hAnsi="Arial" w:cs="Arial"/>
          <w:noProof/>
          <w:lang w:val="en-US" w:eastAsia="en-US"/>
        </w:rPr>
        <w:tab/>
        <w:t xml:space="preserve">Knipp BS, Blackburn SA, Bloom JR, et al. Endovenous laser ablation: venous outcomes and thrombotic complications are independent of the presence of deep venous insufficiency. </w:t>
      </w:r>
      <w:r w:rsidRPr="001610CF">
        <w:rPr>
          <w:rFonts w:ascii="Arial" w:eastAsiaTheme="minorHAnsi" w:hAnsi="Arial" w:cs="Arial"/>
          <w:i/>
          <w:noProof/>
          <w:lang w:val="en-US" w:eastAsia="en-US"/>
        </w:rPr>
        <w:t>Journal of Vascular Surgery</w:t>
      </w:r>
      <w:r w:rsidRPr="001610CF">
        <w:rPr>
          <w:rFonts w:ascii="Arial" w:eastAsiaTheme="minorHAnsi" w:hAnsi="Arial" w:cs="Arial"/>
          <w:noProof/>
          <w:lang w:val="en-US" w:eastAsia="en-US"/>
        </w:rPr>
        <w:t xml:space="preserve"> 2008; 48(6):1538-</w:t>
      </w:r>
      <w:r w:rsidR="00063E33">
        <w:rPr>
          <w:rFonts w:ascii="Arial" w:eastAsiaTheme="minorHAnsi" w:hAnsi="Arial" w:cs="Arial"/>
          <w:noProof/>
          <w:lang w:val="en-US" w:eastAsia="en-US"/>
        </w:rPr>
        <w:t>15</w:t>
      </w:r>
      <w:r w:rsidRPr="001610CF">
        <w:rPr>
          <w:rFonts w:ascii="Arial" w:eastAsiaTheme="minorHAnsi" w:hAnsi="Arial" w:cs="Arial"/>
          <w:noProof/>
          <w:lang w:val="en-US" w:eastAsia="en-US"/>
        </w:rPr>
        <w:t>45.</w:t>
      </w:r>
    </w:p>
    <w:p w14:paraId="0241F58F"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37.</w:t>
      </w:r>
      <w:r w:rsidRPr="001610CF">
        <w:rPr>
          <w:rFonts w:ascii="Arial" w:eastAsiaTheme="minorHAnsi" w:hAnsi="Arial" w:cs="Arial"/>
          <w:noProof/>
          <w:lang w:val="en-US" w:eastAsia="en-US"/>
        </w:rPr>
        <w:tab/>
        <w:t xml:space="preserve">Apenteng PN, Fitzmaurice D, Litchfield I, et al. Patients' perceptions and experiences of the prevention of hospital-acquired thrombosis: a qualitative study. </w:t>
      </w:r>
      <w:r w:rsidRPr="001610CF">
        <w:rPr>
          <w:rFonts w:ascii="Arial" w:eastAsiaTheme="minorHAnsi" w:hAnsi="Arial" w:cs="Arial"/>
          <w:i/>
          <w:noProof/>
          <w:lang w:val="en-US" w:eastAsia="en-US"/>
        </w:rPr>
        <w:t>BMJ Open</w:t>
      </w:r>
      <w:r w:rsidRPr="001610CF">
        <w:rPr>
          <w:rFonts w:ascii="Arial" w:eastAsiaTheme="minorHAnsi" w:hAnsi="Arial" w:cs="Arial"/>
          <w:noProof/>
          <w:lang w:val="en-US" w:eastAsia="en-US"/>
        </w:rPr>
        <w:t xml:space="preserve"> 2016; 6(12):e013839.</w:t>
      </w:r>
    </w:p>
    <w:p w14:paraId="37761277"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38.</w:t>
      </w:r>
      <w:r w:rsidRPr="001610CF">
        <w:rPr>
          <w:rFonts w:ascii="Arial" w:eastAsiaTheme="minorHAnsi" w:hAnsi="Arial" w:cs="Arial"/>
          <w:noProof/>
          <w:lang w:val="en-US" w:eastAsia="en-US"/>
        </w:rPr>
        <w:tab/>
        <w:t xml:space="preserve">Duggan ST. Rivaroxaban: a review of its use for the prophylaxis of venous thromboembolism after total hip or knee replacement surgery. </w:t>
      </w:r>
      <w:r w:rsidRPr="001610CF">
        <w:rPr>
          <w:rFonts w:ascii="Arial" w:eastAsiaTheme="minorHAnsi" w:hAnsi="Arial" w:cs="Arial"/>
          <w:i/>
          <w:noProof/>
          <w:lang w:val="en-US" w:eastAsia="en-US"/>
        </w:rPr>
        <w:t>Am J Cardiovasc Drugs</w:t>
      </w:r>
      <w:r w:rsidRPr="001610CF">
        <w:rPr>
          <w:rFonts w:ascii="Arial" w:eastAsiaTheme="minorHAnsi" w:hAnsi="Arial" w:cs="Arial"/>
          <w:noProof/>
          <w:lang w:val="en-US" w:eastAsia="en-US"/>
        </w:rPr>
        <w:t xml:space="preserve"> 2012; 12(1):57-72.</w:t>
      </w:r>
    </w:p>
    <w:p w14:paraId="47AF3CD1" w14:textId="77777777" w:rsidR="001610CF" w:rsidRPr="001610CF" w:rsidRDefault="00A13C18" w:rsidP="00063E33">
      <w:pPr>
        <w:spacing w:line="480" w:lineRule="auto"/>
        <w:rPr>
          <w:rFonts w:ascii="Arial" w:eastAsiaTheme="minorHAnsi" w:hAnsi="Arial" w:cs="Arial"/>
          <w:noProof/>
          <w:lang w:val="en-US" w:eastAsia="en-US"/>
        </w:rPr>
      </w:pPr>
      <w:r w:rsidRPr="001610CF">
        <w:rPr>
          <w:rFonts w:ascii="Arial" w:eastAsiaTheme="minorHAnsi" w:hAnsi="Arial" w:cs="Arial"/>
          <w:noProof/>
          <w:lang w:val="en-US" w:eastAsia="en-US"/>
        </w:rPr>
        <w:t>39.</w:t>
      </w:r>
      <w:r w:rsidRPr="001610CF">
        <w:rPr>
          <w:rFonts w:ascii="Arial" w:eastAsiaTheme="minorHAnsi" w:hAnsi="Arial" w:cs="Arial"/>
          <w:noProof/>
          <w:lang w:val="en-US" w:eastAsia="en-US"/>
        </w:rPr>
        <w:tab/>
        <w:t xml:space="preserve">Jacobs CE, Pinzon MM, Orozco J, et al. Deep venous thrombosis after saphenous endovenous radiofrequency ablation: is it predictable? </w:t>
      </w:r>
      <w:r w:rsidRPr="001610CF">
        <w:rPr>
          <w:rFonts w:ascii="Arial" w:eastAsiaTheme="minorHAnsi" w:hAnsi="Arial" w:cs="Arial"/>
          <w:i/>
          <w:noProof/>
          <w:lang w:val="en-US" w:eastAsia="en-US"/>
        </w:rPr>
        <w:t>Annals of Vascular Surgery</w:t>
      </w:r>
      <w:r w:rsidRPr="001610CF">
        <w:rPr>
          <w:rFonts w:ascii="Arial" w:eastAsiaTheme="minorHAnsi" w:hAnsi="Arial" w:cs="Arial"/>
          <w:noProof/>
          <w:lang w:val="en-US" w:eastAsia="en-US"/>
        </w:rPr>
        <w:t xml:space="preserve"> 2014; 28(3):679-</w:t>
      </w:r>
      <w:r w:rsidR="00063E33">
        <w:rPr>
          <w:rFonts w:ascii="Arial" w:eastAsiaTheme="minorHAnsi" w:hAnsi="Arial" w:cs="Arial"/>
          <w:noProof/>
          <w:lang w:val="en-US" w:eastAsia="en-US"/>
        </w:rPr>
        <w:t>6</w:t>
      </w:r>
      <w:r w:rsidRPr="001610CF">
        <w:rPr>
          <w:rFonts w:ascii="Arial" w:eastAsiaTheme="minorHAnsi" w:hAnsi="Arial" w:cs="Arial"/>
          <w:noProof/>
          <w:lang w:val="en-US" w:eastAsia="en-US"/>
        </w:rPr>
        <w:t>85.</w:t>
      </w:r>
    </w:p>
    <w:p w14:paraId="28BD09C0" w14:textId="77777777" w:rsidR="00063E33" w:rsidRDefault="00063E33" w:rsidP="00063E33">
      <w:pPr>
        <w:spacing w:line="480" w:lineRule="auto"/>
      </w:pPr>
      <w:r>
        <w:br w:type="page"/>
      </w:r>
    </w:p>
    <w:p w14:paraId="772BCCD5" w14:textId="77777777" w:rsidR="00063E33" w:rsidRPr="00416DAE" w:rsidRDefault="00063E33" w:rsidP="00063E33">
      <w:pPr>
        <w:spacing w:line="480" w:lineRule="auto"/>
        <w:jc w:val="both"/>
        <w:rPr>
          <w:rFonts w:ascii="Arial" w:hAnsi="Arial" w:cs="Arial"/>
          <w:b/>
          <w:bCs/>
          <w:color w:val="000000"/>
        </w:rPr>
      </w:pPr>
      <w:r w:rsidRPr="00416DAE">
        <w:rPr>
          <w:rFonts w:ascii="Arial" w:hAnsi="Arial" w:cs="Arial"/>
          <w:b/>
          <w:bCs/>
          <w:color w:val="000000"/>
        </w:rPr>
        <w:lastRenderedPageBreak/>
        <w:t xml:space="preserve">Figure </w:t>
      </w:r>
      <w:r>
        <w:rPr>
          <w:rFonts w:ascii="Arial" w:hAnsi="Arial" w:cs="Arial"/>
          <w:b/>
          <w:bCs/>
          <w:color w:val="000000"/>
        </w:rPr>
        <w:t>l</w:t>
      </w:r>
      <w:r w:rsidRPr="00416DAE">
        <w:rPr>
          <w:rFonts w:ascii="Arial" w:hAnsi="Arial" w:cs="Arial"/>
          <w:b/>
          <w:bCs/>
          <w:color w:val="000000"/>
        </w:rPr>
        <w:t>egends</w:t>
      </w:r>
    </w:p>
    <w:p w14:paraId="665E0F86" w14:textId="2F47806A" w:rsidR="00063E33" w:rsidRDefault="00063E33" w:rsidP="00063E33">
      <w:pPr>
        <w:spacing w:line="480" w:lineRule="auto"/>
        <w:jc w:val="both"/>
        <w:rPr>
          <w:rFonts w:ascii="Arial" w:hAnsi="Arial" w:cs="Arial"/>
        </w:rPr>
      </w:pPr>
      <w:r w:rsidRPr="00416DAE">
        <w:rPr>
          <w:rFonts w:ascii="Arial" w:hAnsi="Arial" w:cs="Arial"/>
        </w:rPr>
        <w:t xml:space="preserve">Figure </w:t>
      </w:r>
      <w:r>
        <w:rPr>
          <w:rFonts w:ascii="Arial" w:hAnsi="Arial" w:cs="Arial"/>
        </w:rPr>
        <w:t>1</w:t>
      </w:r>
      <w:r w:rsidRPr="00416DAE">
        <w:rPr>
          <w:rFonts w:ascii="Arial" w:hAnsi="Arial" w:cs="Arial"/>
        </w:rPr>
        <w:t xml:space="preserve"> – </w:t>
      </w:r>
      <w:r w:rsidR="00B52932" w:rsidRPr="004B2CF6">
        <w:rPr>
          <w:rFonts w:ascii="Arial" w:hAnsi="Arial" w:cs="Arial"/>
          <w:highlight w:val="yellow"/>
        </w:rPr>
        <w:t>The pooled incidence of DVT with anticoagulation and mechanical thromboprophylaxis for endovenous varicose vein surgery in randomised trial arms. The rate of DVT is 0.52% (95% CI 0.23-1.19%) (9 studies; 1095 patients; 2 events).</w:t>
      </w:r>
    </w:p>
    <w:p w14:paraId="65162019" w14:textId="77777777" w:rsidR="00B52932" w:rsidRPr="00416DAE" w:rsidRDefault="00B52932" w:rsidP="00063E33">
      <w:pPr>
        <w:spacing w:line="480" w:lineRule="auto"/>
        <w:jc w:val="both"/>
        <w:rPr>
          <w:rFonts w:ascii="Arial" w:hAnsi="Arial" w:cs="Arial"/>
        </w:rPr>
      </w:pPr>
    </w:p>
    <w:p w14:paraId="4186632B" w14:textId="1E5685F4" w:rsidR="00063E33" w:rsidRDefault="00063E33" w:rsidP="00063E33">
      <w:pPr>
        <w:pStyle w:val="EndNoteBibliography"/>
        <w:spacing w:line="480" w:lineRule="auto"/>
        <w:jc w:val="both"/>
      </w:pPr>
      <w:r w:rsidRPr="00416DAE">
        <w:t xml:space="preserve">Figure </w:t>
      </w:r>
      <w:r>
        <w:t>2</w:t>
      </w:r>
      <w:r w:rsidRPr="00416DAE">
        <w:t xml:space="preserve"> </w:t>
      </w:r>
      <w:r>
        <w:t>–</w:t>
      </w:r>
      <w:r w:rsidRPr="00416DAE">
        <w:t xml:space="preserve"> </w:t>
      </w:r>
      <w:r w:rsidR="00B52932" w:rsidRPr="004B2CF6">
        <w:rPr>
          <w:highlight w:val="yellow"/>
        </w:rPr>
        <w:t>The pooled incidence of DVT with mechanical thromboprophylaxis alone for endovenous varicose vein surgery in randomised trial arms. The rate of DVT is 2.26% (95% CI 1.81-2.82%) (37 studies; 6951 patients; 69 events).</w:t>
      </w:r>
    </w:p>
    <w:p w14:paraId="5B973A24" w14:textId="77777777" w:rsidR="00063E33" w:rsidRPr="00416DAE" w:rsidRDefault="00063E33" w:rsidP="00063E33">
      <w:pPr>
        <w:spacing w:line="480" w:lineRule="auto"/>
        <w:jc w:val="both"/>
        <w:rPr>
          <w:rFonts w:ascii="Arial" w:hAnsi="Arial" w:cs="Arial"/>
        </w:rPr>
      </w:pPr>
    </w:p>
    <w:p w14:paraId="539E68E5" w14:textId="621DE2EC" w:rsidR="00063E33" w:rsidRDefault="00063E33" w:rsidP="00063E33">
      <w:pPr>
        <w:spacing w:line="480" w:lineRule="auto"/>
        <w:jc w:val="both"/>
        <w:rPr>
          <w:rFonts w:ascii="Arial" w:hAnsi="Arial" w:cs="Arial"/>
          <w:b/>
          <w:bCs/>
          <w:color w:val="000000"/>
        </w:rPr>
      </w:pPr>
      <w:r w:rsidRPr="00416DAE">
        <w:rPr>
          <w:rFonts w:ascii="Arial" w:hAnsi="Arial" w:cs="Arial"/>
          <w:b/>
          <w:bCs/>
          <w:color w:val="000000"/>
        </w:rPr>
        <w:t>Supplementa</w:t>
      </w:r>
      <w:r w:rsidR="006078FE">
        <w:rPr>
          <w:rFonts w:ascii="Arial" w:hAnsi="Arial" w:cs="Arial"/>
          <w:b/>
          <w:bCs/>
          <w:color w:val="000000"/>
        </w:rPr>
        <w:t>l</w:t>
      </w:r>
      <w:r w:rsidRPr="00416DAE">
        <w:rPr>
          <w:rFonts w:ascii="Arial" w:hAnsi="Arial" w:cs="Arial"/>
          <w:b/>
          <w:bCs/>
          <w:color w:val="000000"/>
        </w:rPr>
        <w:t xml:space="preserve"> </w:t>
      </w:r>
      <w:r w:rsidR="006078FE">
        <w:rPr>
          <w:rFonts w:ascii="Arial" w:hAnsi="Arial" w:cs="Arial"/>
          <w:b/>
          <w:bCs/>
          <w:color w:val="000000"/>
        </w:rPr>
        <w:t>Digital Content Legends</w:t>
      </w:r>
    </w:p>
    <w:p w14:paraId="658FB119" w14:textId="4A4207EB" w:rsidR="006078FE" w:rsidRDefault="006078FE" w:rsidP="006078FE">
      <w:pPr>
        <w:spacing w:line="480" w:lineRule="auto"/>
        <w:jc w:val="both"/>
        <w:rPr>
          <w:rFonts w:ascii="Arial" w:hAnsi="Arial" w:cs="Arial"/>
        </w:rPr>
      </w:pPr>
      <w:r>
        <w:rPr>
          <w:rFonts w:ascii="Arial" w:hAnsi="Arial" w:cs="Arial"/>
        </w:rPr>
        <w:t>Supplemental Digital Content 1 – Search terms used to screen the literature.</w:t>
      </w:r>
    </w:p>
    <w:p w14:paraId="4C659375" w14:textId="77777777" w:rsidR="006078FE" w:rsidRDefault="006078FE" w:rsidP="006078FE">
      <w:pPr>
        <w:spacing w:line="480" w:lineRule="auto"/>
        <w:jc w:val="both"/>
        <w:rPr>
          <w:rFonts w:ascii="Arial" w:hAnsi="Arial" w:cs="Arial"/>
        </w:rPr>
      </w:pPr>
    </w:p>
    <w:p w14:paraId="5799CF06" w14:textId="1AEC62AD" w:rsidR="006078FE" w:rsidRDefault="006078FE" w:rsidP="006078FE">
      <w:pPr>
        <w:spacing w:line="480" w:lineRule="auto"/>
        <w:jc w:val="both"/>
        <w:rPr>
          <w:rFonts w:ascii="Arial" w:hAnsi="Arial" w:cs="Arial"/>
        </w:rPr>
      </w:pPr>
      <w:r>
        <w:rPr>
          <w:rFonts w:ascii="Arial" w:hAnsi="Arial" w:cs="Arial"/>
          <w:color w:val="000000"/>
        </w:rPr>
        <w:t xml:space="preserve">Supplemental Digital Content 2 – </w:t>
      </w:r>
      <w:r w:rsidRPr="00416DAE">
        <w:rPr>
          <w:rFonts w:ascii="Arial" w:hAnsi="Arial" w:cs="Arial"/>
        </w:rPr>
        <w:t>PRISMA flow diagram of included studies.</w:t>
      </w:r>
    </w:p>
    <w:p w14:paraId="79925958" w14:textId="77777777" w:rsidR="006078FE" w:rsidRDefault="006078FE" w:rsidP="006078FE">
      <w:pPr>
        <w:spacing w:line="480" w:lineRule="auto"/>
        <w:jc w:val="both"/>
        <w:rPr>
          <w:rFonts w:ascii="Arial" w:hAnsi="Arial" w:cs="Arial"/>
        </w:rPr>
      </w:pPr>
    </w:p>
    <w:p w14:paraId="7F2AEFA8" w14:textId="7617A066" w:rsidR="00063E33" w:rsidRDefault="006078FE" w:rsidP="006078FE">
      <w:pPr>
        <w:spacing w:line="480" w:lineRule="auto"/>
        <w:jc w:val="both"/>
        <w:rPr>
          <w:rFonts w:ascii="Arial" w:hAnsi="Arial" w:cs="Arial"/>
        </w:rPr>
      </w:pPr>
      <w:r>
        <w:rPr>
          <w:rFonts w:ascii="Arial" w:hAnsi="Arial" w:cs="Arial"/>
        </w:rPr>
        <w:t>Supplemental Digital Content 3</w:t>
      </w:r>
      <w:r w:rsidR="00063E33" w:rsidRPr="00416DAE">
        <w:rPr>
          <w:rFonts w:ascii="Arial" w:hAnsi="Arial" w:cs="Arial"/>
        </w:rPr>
        <w:t xml:space="preserve"> – The summary data collected from each study included in the meta-analysis. </w:t>
      </w:r>
      <w:r>
        <w:rPr>
          <w:rFonts w:ascii="Arial" w:hAnsi="Arial" w:cs="Arial"/>
        </w:rPr>
        <w:t xml:space="preserve">Abbreviations list: </w:t>
      </w:r>
      <w:r w:rsidR="00063E33">
        <w:rPr>
          <w:rFonts w:ascii="Arial" w:hAnsi="Arial" w:cs="Arial"/>
        </w:rPr>
        <w:t>Anterior Accessory Saphenous Vein (ASV); Clinical Manifestations, Etiologic, Anatomic and Pathophysiological classification (CEAP); Endovenous Laser Ablation (EVLA); Great Saphenous Vein (GSV); International Units (IU); Low Molecular Weight Heparin (LMWH); Mechanochemical Ablation (MOCA); Once Daily (OD); Radiofrequency Ablation (RFA); Randomised Controlled Trial (RCT); Small Saphenous Vein (SSV); Ultrasound Guided Foam Sclerotherapy (UGFS).</w:t>
      </w:r>
    </w:p>
    <w:p w14:paraId="2D38F166" w14:textId="77777777" w:rsidR="00063E33" w:rsidRDefault="00063E33" w:rsidP="00063E33">
      <w:pPr>
        <w:spacing w:line="480" w:lineRule="auto"/>
        <w:jc w:val="both"/>
        <w:rPr>
          <w:rFonts w:ascii="Arial" w:hAnsi="Arial" w:cs="Arial"/>
        </w:rPr>
      </w:pPr>
    </w:p>
    <w:p w14:paraId="7C91A926" w14:textId="5758C03F" w:rsidR="00063E33" w:rsidRDefault="006078FE" w:rsidP="00063E33">
      <w:pPr>
        <w:spacing w:line="480" w:lineRule="auto"/>
        <w:jc w:val="both"/>
        <w:rPr>
          <w:rFonts w:ascii="Arial" w:hAnsi="Arial" w:cs="Arial"/>
        </w:rPr>
      </w:pPr>
      <w:r>
        <w:rPr>
          <w:rFonts w:ascii="Arial" w:hAnsi="Arial" w:cs="Arial"/>
        </w:rPr>
        <w:t>Supplemental Digital Content 4</w:t>
      </w:r>
      <w:r w:rsidR="00063E33">
        <w:rPr>
          <w:rFonts w:ascii="Arial" w:hAnsi="Arial" w:cs="Arial"/>
        </w:rPr>
        <w:t xml:space="preserve"> – Cochrane risk of bias assessment for randomised trials.</w:t>
      </w:r>
    </w:p>
    <w:p w14:paraId="7B130180" w14:textId="77777777" w:rsidR="00063E33" w:rsidRPr="00416DAE" w:rsidRDefault="00063E33" w:rsidP="00063E33">
      <w:pPr>
        <w:spacing w:line="480" w:lineRule="auto"/>
        <w:jc w:val="both"/>
        <w:rPr>
          <w:rFonts w:ascii="Arial" w:hAnsi="Arial" w:cs="Arial"/>
        </w:rPr>
      </w:pPr>
    </w:p>
    <w:p w14:paraId="309B1387" w14:textId="77777777" w:rsidR="00B0710C" w:rsidRDefault="00B0710C" w:rsidP="006078FE">
      <w:pPr>
        <w:spacing w:line="480" w:lineRule="auto"/>
        <w:jc w:val="both"/>
        <w:rPr>
          <w:rFonts w:ascii="Arial" w:hAnsi="Arial" w:cs="Arial"/>
          <w:b/>
          <w:bCs/>
        </w:rPr>
      </w:pPr>
    </w:p>
    <w:p w14:paraId="57443EB8" w14:textId="3D52E800" w:rsidR="006078FE" w:rsidRPr="006078FE" w:rsidRDefault="006078FE" w:rsidP="006078FE">
      <w:pPr>
        <w:spacing w:line="480" w:lineRule="auto"/>
        <w:jc w:val="both"/>
        <w:rPr>
          <w:rFonts w:ascii="Arial" w:hAnsi="Arial" w:cs="Arial"/>
          <w:b/>
          <w:bCs/>
        </w:rPr>
      </w:pPr>
      <w:r w:rsidRPr="006078FE">
        <w:rPr>
          <w:rFonts w:ascii="Arial" w:hAnsi="Arial" w:cs="Arial"/>
          <w:b/>
          <w:bCs/>
        </w:rPr>
        <w:t xml:space="preserve">List of Supplemental Digital Content </w:t>
      </w:r>
    </w:p>
    <w:p w14:paraId="399BC1E8" w14:textId="6735CAF2" w:rsidR="006078FE" w:rsidRDefault="006078FE" w:rsidP="006078FE">
      <w:pPr>
        <w:spacing w:line="480" w:lineRule="auto"/>
      </w:pPr>
      <w:r>
        <w:rPr>
          <w:rFonts w:ascii="Arial" w:hAnsi="Arial" w:cs="Arial"/>
        </w:rPr>
        <w:t>Supplemental Digital Content 1 .doc</w:t>
      </w:r>
    </w:p>
    <w:p w14:paraId="276AB7AD" w14:textId="055FF995" w:rsidR="006078FE" w:rsidRDefault="006078FE" w:rsidP="006078FE">
      <w:pPr>
        <w:spacing w:line="480" w:lineRule="auto"/>
      </w:pPr>
      <w:r>
        <w:rPr>
          <w:rFonts w:ascii="Arial" w:hAnsi="Arial" w:cs="Arial"/>
          <w:color w:val="000000"/>
        </w:rPr>
        <w:t>Supplemental Digital Content 2 .doc</w:t>
      </w:r>
    </w:p>
    <w:p w14:paraId="7B4B5A57" w14:textId="40DEC5B1" w:rsidR="006078FE" w:rsidRPr="00B0710C" w:rsidRDefault="006078FE" w:rsidP="00B0710C">
      <w:pPr>
        <w:spacing w:line="480" w:lineRule="auto"/>
      </w:pPr>
      <w:r>
        <w:rPr>
          <w:rFonts w:ascii="Arial" w:hAnsi="Arial" w:cs="Arial"/>
        </w:rPr>
        <w:t>Supplemental Digital Content 3</w:t>
      </w:r>
      <w:r w:rsidRPr="00416DAE">
        <w:rPr>
          <w:rFonts w:ascii="Arial" w:hAnsi="Arial" w:cs="Arial"/>
        </w:rPr>
        <w:t xml:space="preserve"> </w:t>
      </w:r>
      <w:r w:rsidR="00B0710C">
        <w:rPr>
          <w:rFonts w:ascii="Arial" w:hAnsi="Arial" w:cs="Arial"/>
        </w:rPr>
        <w:t xml:space="preserve">and 4 </w:t>
      </w:r>
      <w:r>
        <w:rPr>
          <w:rFonts w:ascii="Arial" w:hAnsi="Arial" w:cs="Arial"/>
        </w:rPr>
        <w:t>.doc</w:t>
      </w:r>
    </w:p>
    <w:p w14:paraId="584C6823" w14:textId="18463EFE" w:rsidR="00602377" w:rsidRDefault="00B23661"/>
    <w:sectPr w:rsidR="00602377" w:rsidSect="00B11535">
      <w:headerReference w:type="even" r:id="rId7"/>
      <w:headerReference w:type="default" r:id="rId8"/>
      <w:footerReference w:type="even" r:id="rId9"/>
      <w:footerReference w:type="default" r:id="rId10"/>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4D4CF6" w14:textId="77777777" w:rsidR="00B23661" w:rsidRDefault="00B23661" w:rsidP="00AC50EC">
      <w:r>
        <w:separator/>
      </w:r>
    </w:p>
  </w:endnote>
  <w:endnote w:type="continuationSeparator" w:id="0">
    <w:p w14:paraId="7BC456C8" w14:textId="77777777" w:rsidR="00B23661" w:rsidRDefault="00B23661" w:rsidP="00AC5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665847"/>
      <w:docPartObj>
        <w:docPartGallery w:val="Page Numbers (Bottom of Page)"/>
        <w:docPartUnique/>
      </w:docPartObj>
    </w:sdtPr>
    <w:sdtEndPr>
      <w:rPr>
        <w:rStyle w:val="PageNumber"/>
      </w:rPr>
    </w:sdtEndPr>
    <w:sdtContent>
      <w:p w14:paraId="64553121" w14:textId="77777777" w:rsidR="00851C0C" w:rsidRDefault="00A13C18" w:rsidP="006055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4ABDB1" w14:textId="77777777" w:rsidR="00851C0C" w:rsidRDefault="00B23661" w:rsidP="006055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6DFB80" w14:textId="77777777" w:rsidR="00851C0C" w:rsidRDefault="00B23661" w:rsidP="006055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0D8621" w14:textId="77777777" w:rsidR="00B23661" w:rsidRDefault="00B23661" w:rsidP="00AC50EC">
      <w:r>
        <w:separator/>
      </w:r>
    </w:p>
  </w:footnote>
  <w:footnote w:type="continuationSeparator" w:id="0">
    <w:p w14:paraId="09378158" w14:textId="77777777" w:rsidR="00B23661" w:rsidRDefault="00B23661" w:rsidP="00AC5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39795758"/>
      <w:docPartObj>
        <w:docPartGallery w:val="Page Numbers (Top of Page)"/>
        <w:docPartUnique/>
      </w:docPartObj>
    </w:sdtPr>
    <w:sdtEndPr>
      <w:rPr>
        <w:rStyle w:val="PageNumber"/>
      </w:rPr>
    </w:sdtEndPr>
    <w:sdtContent>
      <w:p w14:paraId="484D0BE0" w14:textId="38318002" w:rsidR="00AC50EC" w:rsidRDefault="00AC50EC" w:rsidP="002D385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EBCC90" w14:textId="77777777" w:rsidR="00AC50EC" w:rsidRDefault="00AC50EC" w:rsidP="00AC50E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11415674"/>
      <w:docPartObj>
        <w:docPartGallery w:val="Page Numbers (Top of Page)"/>
        <w:docPartUnique/>
      </w:docPartObj>
    </w:sdtPr>
    <w:sdtEndPr>
      <w:rPr>
        <w:rStyle w:val="PageNumber"/>
        <w:rFonts w:ascii="Arial" w:hAnsi="Arial" w:cs="Arial"/>
      </w:rPr>
    </w:sdtEndPr>
    <w:sdtContent>
      <w:p w14:paraId="1618DE9E" w14:textId="703646B6" w:rsidR="002D3854" w:rsidRPr="002D3854" w:rsidRDefault="002D3854" w:rsidP="00C6058D">
        <w:pPr>
          <w:pStyle w:val="Header"/>
          <w:framePr w:wrap="none" w:vAnchor="text" w:hAnchor="margin" w:xAlign="right" w:y="1"/>
          <w:rPr>
            <w:rStyle w:val="PageNumber"/>
            <w:rFonts w:ascii="Arial" w:hAnsi="Arial" w:cs="Arial"/>
          </w:rPr>
        </w:pPr>
        <w:r w:rsidRPr="002D3854">
          <w:rPr>
            <w:rStyle w:val="PageNumber"/>
            <w:rFonts w:ascii="Arial" w:hAnsi="Arial" w:cs="Arial"/>
          </w:rPr>
          <w:fldChar w:fldCharType="begin"/>
        </w:r>
        <w:r w:rsidRPr="002D3854">
          <w:rPr>
            <w:rStyle w:val="PageNumber"/>
            <w:rFonts w:ascii="Arial" w:hAnsi="Arial" w:cs="Arial"/>
          </w:rPr>
          <w:instrText xml:space="preserve"> PAGE </w:instrText>
        </w:r>
        <w:r w:rsidRPr="002D3854">
          <w:rPr>
            <w:rStyle w:val="PageNumber"/>
            <w:rFonts w:ascii="Arial" w:hAnsi="Arial" w:cs="Arial"/>
          </w:rPr>
          <w:fldChar w:fldCharType="separate"/>
        </w:r>
        <w:r w:rsidRPr="002D3854">
          <w:rPr>
            <w:rStyle w:val="PageNumber"/>
            <w:rFonts w:ascii="Arial" w:hAnsi="Arial" w:cs="Arial"/>
            <w:noProof/>
          </w:rPr>
          <w:t>1</w:t>
        </w:r>
        <w:r w:rsidRPr="002D3854">
          <w:rPr>
            <w:rStyle w:val="PageNumber"/>
            <w:rFonts w:ascii="Arial" w:hAnsi="Arial" w:cs="Arial"/>
          </w:rPr>
          <w:fldChar w:fldCharType="end"/>
        </w:r>
      </w:p>
    </w:sdtContent>
  </w:sdt>
  <w:p w14:paraId="4B6E148C" w14:textId="72C0F556" w:rsidR="00851C0C" w:rsidRPr="00253D78" w:rsidRDefault="00B23661" w:rsidP="00AC50EC">
    <w:pPr>
      <w:pStyle w:val="Header"/>
      <w:ind w:right="360"/>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64917"/>
    <w:multiLevelType w:val="hybridMultilevel"/>
    <w:tmpl w:val="99EC9DA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 w15:restartNumberingAfterBreak="0">
    <w:nsid w:val="370A2A85"/>
    <w:multiLevelType w:val="hybridMultilevel"/>
    <w:tmpl w:val="E1C86F5E"/>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E33"/>
    <w:rsid w:val="000047AB"/>
    <w:rsid w:val="000151DE"/>
    <w:rsid w:val="00027AF2"/>
    <w:rsid w:val="00063E33"/>
    <w:rsid w:val="0007431B"/>
    <w:rsid w:val="000932CD"/>
    <w:rsid w:val="00095FAF"/>
    <w:rsid w:val="00111B93"/>
    <w:rsid w:val="00130156"/>
    <w:rsid w:val="00144293"/>
    <w:rsid w:val="00163D7E"/>
    <w:rsid w:val="001E0614"/>
    <w:rsid w:val="001E0728"/>
    <w:rsid w:val="001E13AE"/>
    <w:rsid w:val="00217766"/>
    <w:rsid w:val="0025550B"/>
    <w:rsid w:val="00267388"/>
    <w:rsid w:val="00272670"/>
    <w:rsid w:val="002D3854"/>
    <w:rsid w:val="002F0413"/>
    <w:rsid w:val="0031603F"/>
    <w:rsid w:val="0033127A"/>
    <w:rsid w:val="00351277"/>
    <w:rsid w:val="00386128"/>
    <w:rsid w:val="003B2945"/>
    <w:rsid w:val="003B7AC1"/>
    <w:rsid w:val="003F6001"/>
    <w:rsid w:val="00412844"/>
    <w:rsid w:val="00414779"/>
    <w:rsid w:val="00434202"/>
    <w:rsid w:val="00495E88"/>
    <w:rsid w:val="004A6506"/>
    <w:rsid w:val="004D1353"/>
    <w:rsid w:val="00501B9F"/>
    <w:rsid w:val="00586DE8"/>
    <w:rsid w:val="00587378"/>
    <w:rsid w:val="005905AA"/>
    <w:rsid w:val="00594F4A"/>
    <w:rsid w:val="005D5230"/>
    <w:rsid w:val="006078FE"/>
    <w:rsid w:val="0064057C"/>
    <w:rsid w:val="006667CC"/>
    <w:rsid w:val="00672FD7"/>
    <w:rsid w:val="00690654"/>
    <w:rsid w:val="00691F7F"/>
    <w:rsid w:val="00697AEB"/>
    <w:rsid w:val="006A29A5"/>
    <w:rsid w:val="006A2AD5"/>
    <w:rsid w:val="006F098E"/>
    <w:rsid w:val="00712FD4"/>
    <w:rsid w:val="00731070"/>
    <w:rsid w:val="00743B65"/>
    <w:rsid w:val="007A1EAE"/>
    <w:rsid w:val="00880692"/>
    <w:rsid w:val="008A0B72"/>
    <w:rsid w:val="008D4DAF"/>
    <w:rsid w:val="008E55C6"/>
    <w:rsid w:val="008F3C11"/>
    <w:rsid w:val="00912A43"/>
    <w:rsid w:val="009200D1"/>
    <w:rsid w:val="00955D9D"/>
    <w:rsid w:val="009B6F37"/>
    <w:rsid w:val="009D4CE2"/>
    <w:rsid w:val="00A11118"/>
    <w:rsid w:val="00A1242D"/>
    <w:rsid w:val="00A13C18"/>
    <w:rsid w:val="00A308D4"/>
    <w:rsid w:val="00A87844"/>
    <w:rsid w:val="00AC50EC"/>
    <w:rsid w:val="00B0710C"/>
    <w:rsid w:val="00B11535"/>
    <w:rsid w:val="00B23661"/>
    <w:rsid w:val="00B4726F"/>
    <w:rsid w:val="00B52932"/>
    <w:rsid w:val="00B8171F"/>
    <w:rsid w:val="00C133DA"/>
    <w:rsid w:val="00C149E8"/>
    <w:rsid w:val="00C45EDF"/>
    <w:rsid w:val="00CF2869"/>
    <w:rsid w:val="00D326A4"/>
    <w:rsid w:val="00D750CF"/>
    <w:rsid w:val="00D75E09"/>
    <w:rsid w:val="00D87B6A"/>
    <w:rsid w:val="00E124D7"/>
    <w:rsid w:val="00E12EC4"/>
    <w:rsid w:val="00E275DC"/>
    <w:rsid w:val="00EA3078"/>
    <w:rsid w:val="00EC398B"/>
    <w:rsid w:val="00F764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FCEF"/>
  <w14:defaultImageDpi w14:val="32767"/>
  <w15:chartTrackingRefBased/>
  <w15:docId w15:val="{1BA442F3-A7CE-204A-B3A3-6527E528F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63E33"/>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063E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63E3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EC4"/>
    <w:rPr>
      <w:sz w:val="18"/>
      <w:szCs w:val="18"/>
    </w:rPr>
  </w:style>
  <w:style w:type="character" w:customStyle="1" w:styleId="BalloonTextChar">
    <w:name w:val="Balloon Text Char"/>
    <w:basedOn w:val="DefaultParagraphFont"/>
    <w:link w:val="BalloonText"/>
    <w:uiPriority w:val="99"/>
    <w:semiHidden/>
    <w:rsid w:val="00E12EC4"/>
    <w:rPr>
      <w:rFonts w:ascii="Times New Roman" w:hAnsi="Times New Roman" w:cs="Times New Roman"/>
      <w:sz w:val="18"/>
      <w:szCs w:val="18"/>
    </w:rPr>
  </w:style>
  <w:style w:type="character" w:customStyle="1" w:styleId="Heading1Char">
    <w:name w:val="Heading 1 Char"/>
    <w:basedOn w:val="DefaultParagraphFont"/>
    <w:link w:val="Heading1"/>
    <w:uiPriority w:val="9"/>
    <w:rsid w:val="00063E33"/>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uiPriority w:val="9"/>
    <w:rsid w:val="00063E33"/>
    <w:rPr>
      <w:rFonts w:asciiTheme="majorHAnsi" w:eastAsiaTheme="majorEastAsia" w:hAnsiTheme="majorHAnsi" w:cstheme="majorBidi"/>
      <w:color w:val="2F5496" w:themeColor="accent1" w:themeShade="BF"/>
      <w:sz w:val="26"/>
      <w:szCs w:val="26"/>
      <w:lang w:eastAsia="en-GB"/>
    </w:rPr>
  </w:style>
  <w:style w:type="paragraph" w:customStyle="1" w:styleId="EndNoteBibliography">
    <w:name w:val="EndNote Bibliography"/>
    <w:basedOn w:val="Normal"/>
    <w:link w:val="EndNoteBibliographyChar"/>
    <w:rsid w:val="00063E33"/>
    <w:rPr>
      <w:rFonts w:ascii="Arial" w:eastAsiaTheme="minorHAnsi" w:hAnsi="Arial" w:cs="Arial"/>
      <w:lang w:val="en-US" w:eastAsia="en-US"/>
    </w:rPr>
  </w:style>
  <w:style w:type="character" w:customStyle="1" w:styleId="EndNoteBibliographyChar">
    <w:name w:val="EndNote Bibliography Char"/>
    <w:basedOn w:val="DefaultParagraphFont"/>
    <w:link w:val="EndNoteBibliography"/>
    <w:rsid w:val="00063E33"/>
    <w:rPr>
      <w:rFonts w:ascii="Arial" w:hAnsi="Arial" w:cs="Arial"/>
      <w:lang w:val="en-US"/>
    </w:rPr>
  </w:style>
  <w:style w:type="paragraph" w:styleId="ListParagraph">
    <w:name w:val="List Paragraph"/>
    <w:basedOn w:val="Normal"/>
    <w:uiPriority w:val="34"/>
    <w:qFormat/>
    <w:rsid w:val="00063E33"/>
    <w:pPr>
      <w:ind w:left="720"/>
      <w:contextualSpacing/>
    </w:pPr>
  </w:style>
  <w:style w:type="paragraph" w:styleId="Header">
    <w:name w:val="header"/>
    <w:basedOn w:val="Normal"/>
    <w:link w:val="HeaderChar"/>
    <w:uiPriority w:val="99"/>
    <w:unhideWhenUsed/>
    <w:rsid w:val="00063E33"/>
    <w:pPr>
      <w:tabs>
        <w:tab w:val="center" w:pos="4513"/>
        <w:tab w:val="right" w:pos="9026"/>
      </w:tabs>
    </w:pPr>
  </w:style>
  <w:style w:type="character" w:customStyle="1" w:styleId="HeaderChar">
    <w:name w:val="Header Char"/>
    <w:basedOn w:val="DefaultParagraphFont"/>
    <w:link w:val="Header"/>
    <w:uiPriority w:val="99"/>
    <w:rsid w:val="00063E33"/>
    <w:rPr>
      <w:rFonts w:ascii="Times New Roman" w:eastAsia="Times New Roman" w:hAnsi="Times New Roman" w:cs="Times New Roman"/>
      <w:lang w:eastAsia="en-GB"/>
    </w:rPr>
  </w:style>
  <w:style w:type="paragraph" w:styleId="Footer">
    <w:name w:val="footer"/>
    <w:basedOn w:val="Normal"/>
    <w:link w:val="FooterChar"/>
    <w:uiPriority w:val="99"/>
    <w:unhideWhenUsed/>
    <w:rsid w:val="00063E33"/>
    <w:pPr>
      <w:tabs>
        <w:tab w:val="center" w:pos="4513"/>
        <w:tab w:val="right" w:pos="9026"/>
      </w:tabs>
    </w:pPr>
  </w:style>
  <w:style w:type="character" w:customStyle="1" w:styleId="FooterChar">
    <w:name w:val="Footer Char"/>
    <w:basedOn w:val="DefaultParagraphFont"/>
    <w:link w:val="Footer"/>
    <w:uiPriority w:val="99"/>
    <w:rsid w:val="00063E33"/>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063E33"/>
  </w:style>
  <w:style w:type="paragraph" w:customStyle="1" w:styleId="i4a-after-h6">
    <w:name w:val="i4a-after-h6"/>
    <w:basedOn w:val="Normal"/>
    <w:rsid w:val="00063E33"/>
    <w:pPr>
      <w:spacing w:before="100" w:beforeAutospacing="1" w:after="100" w:afterAutospacing="1"/>
    </w:pPr>
  </w:style>
  <w:style w:type="character" w:styleId="CommentReference">
    <w:name w:val="annotation reference"/>
    <w:basedOn w:val="DefaultParagraphFont"/>
    <w:uiPriority w:val="99"/>
    <w:semiHidden/>
    <w:unhideWhenUsed/>
    <w:rsid w:val="0025550B"/>
    <w:rPr>
      <w:sz w:val="16"/>
      <w:szCs w:val="16"/>
    </w:rPr>
  </w:style>
  <w:style w:type="paragraph" w:styleId="CommentText">
    <w:name w:val="annotation text"/>
    <w:basedOn w:val="Normal"/>
    <w:link w:val="CommentTextChar"/>
    <w:uiPriority w:val="99"/>
    <w:semiHidden/>
    <w:unhideWhenUsed/>
    <w:rsid w:val="0025550B"/>
    <w:rPr>
      <w:sz w:val="20"/>
      <w:szCs w:val="20"/>
    </w:rPr>
  </w:style>
  <w:style w:type="character" w:customStyle="1" w:styleId="CommentTextChar">
    <w:name w:val="Comment Text Char"/>
    <w:basedOn w:val="DefaultParagraphFont"/>
    <w:link w:val="CommentText"/>
    <w:uiPriority w:val="99"/>
    <w:semiHidden/>
    <w:rsid w:val="0025550B"/>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5550B"/>
    <w:rPr>
      <w:b/>
      <w:bCs/>
    </w:rPr>
  </w:style>
  <w:style w:type="character" w:customStyle="1" w:styleId="CommentSubjectChar">
    <w:name w:val="Comment Subject Char"/>
    <w:basedOn w:val="CommentTextChar"/>
    <w:link w:val="CommentSubject"/>
    <w:uiPriority w:val="99"/>
    <w:semiHidden/>
    <w:rsid w:val="0025550B"/>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038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25</Pages>
  <Words>5279</Words>
  <Characters>30093</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Turner</dc:creator>
  <cp:keywords/>
  <dc:description/>
  <cp:lastModifiedBy>Ben Turner</cp:lastModifiedBy>
  <cp:revision>8</cp:revision>
  <dcterms:created xsi:type="dcterms:W3CDTF">2022-06-01T10:14:00Z</dcterms:created>
  <dcterms:modified xsi:type="dcterms:W3CDTF">2022-06-08T13:07:00Z</dcterms:modified>
</cp:coreProperties>
</file>