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0DB2DB" w14:textId="77777777" w:rsidR="00413524" w:rsidRDefault="00413524" w:rsidP="00F52F10">
      <w:pPr>
        <w:spacing w:line="480" w:lineRule="auto"/>
        <w:jc w:val="both"/>
        <w:rPr>
          <w:rFonts w:ascii="Times New Roman" w:hAnsi="Times New Roman" w:cs="Times New Roman"/>
          <w:b/>
        </w:rPr>
      </w:pPr>
      <w:bookmarkStart w:id="0" w:name="_GoBack"/>
      <w:bookmarkEnd w:id="0"/>
      <w:r>
        <w:rPr>
          <w:rFonts w:ascii="Times New Roman" w:hAnsi="Times New Roman" w:cs="Times New Roman"/>
          <w:b/>
        </w:rPr>
        <w:t>Abstract</w:t>
      </w:r>
    </w:p>
    <w:p w14:paraId="0974BE76" w14:textId="77777777" w:rsidR="00413524" w:rsidRDefault="00413524" w:rsidP="00F52F10">
      <w:pPr>
        <w:spacing w:line="480" w:lineRule="auto"/>
        <w:jc w:val="both"/>
        <w:rPr>
          <w:rFonts w:ascii="Times New Roman" w:hAnsi="Times New Roman" w:cs="Times New Roman"/>
          <w:b/>
        </w:rPr>
      </w:pPr>
    </w:p>
    <w:p w14:paraId="56843A11" w14:textId="60932EBC" w:rsidR="00413524" w:rsidRDefault="00413524" w:rsidP="00F52F10">
      <w:pPr>
        <w:spacing w:line="480" w:lineRule="auto"/>
        <w:jc w:val="both"/>
        <w:rPr>
          <w:rFonts w:ascii="Times New Roman" w:hAnsi="Times New Roman" w:cs="Times New Roman"/>
          <w:b/>
        </w:rPr>
      </w:pPr>
      <w:r>
        <w:rPr>
          <w:rFonts w:ascii="Times New Roman" w:hAnsi="Times New Roman" w:cs="Times New Roman"/>
          <w:b/>
        </w:rPr>
        <w:t>Objectives</w:t>
      </w:r>
    </w:p>
    <w:p w14:paraId="29B46F8D" w14:textId="6B89AA71" w:rsidR="00413524" w:rsidRDefault="00413524" w:rsidP="00F52F10">
      <w:pPr>
        <w:spacing w:line="480" w:lineRule="auto"/>
        <w:jc w:val="both"/>
        <w:rPr>
          <w:rFonts w:ascii="Times New Roman" w:hAnsi="Times New Roman" w:cs="Times New Roman"/>
        </w:rPr>
      </w:pPr>
      <w:r>
        <w:rPr>
          <w:rFonts w:ascii="Times New Roman" w:hAnsi="Times New Roman" w:cs="Times New Roman"/>
        </w:rPr>
        <w:t xml:space="preserve">To assess the impact </w:t>
      </w:r>
      <w:r w:rsidR="00530DCF">
        <w:rPr>
          <w:rFonts w:ascii="Times New Roman" w:hAnsi="Times New Roman" w:cs="Times New Roman"/>
        </w:rPr>
        <w:t>of Public Health England’s recent ‘</w:t>
      </w:r>
      <w:proofErr w:type="gramStart"/>
      <w:r w:rsidR="00530DCF">
        <w:rPr>
          <w:rFonts w:ascii="Times New Roman" w:hAnsi="Times New Roman" w:cs="Times New Roman"/>
        </w:rPr>
        <w:t>Be</w:t>
      </w:r>
      <w:proofErr w:type="gramEnd"/>
      <w:r w:rsidR="00530DCF">
        <w:rPr>
          <w:rFonts w:ascii="Times New Roman" w:hAnsi="Times New Roman" w:cs="Times New Roman"/>
        </w:rPr>
        <w:t xml:space="preserve"> clear on cancer: Blood in the pee’ mass media campaign </w:t>
      </w:r>
      <w:r>
        <w:rPr>
          <w:rFonts w:ascii="Times New Roman" w:hAnsi="Times New Roman" w:cs="Times New Roman"/>
        </w:rPr>
        <w:t>on suspected cancer referral bur</w:t>
      </w:r>
      <w:r w:rsidR="00530DCF">
        <w:rPr>
          <w:rFonts w:ascii="Times New Roman" w:hAnsi="Times New Roman" w:cs="Times New Roman"/>
        </w:rPr>
        <w:t>den and new cancer diagnosis.</w:t>
      </w:r>
    </w:p>
    <w:p w14:paraId="667420F9" w14:textId="77777777" w:rsidR="00413524" w:rsidRPr="00413524" w:rsidRDefault="00413524" w:rsidP="00F52F10">
      <w:pPr>
        <w:spacing w:line="480" w:lineRule="auto"/>
        <w:jc w:val="both"/>
        <w:rPr>
          <w:rFonts w:ascii="Times New Roman" w:hAnsi="Times New Roman" w:cs="Times New Roman"/>
        </w:rPr>
      </w:pPr>
    </w:p>
    <w:p w14:paraId="4308FE5F" w14:textId="3E74D544" w:rsidR="00413524" w:rsidRDefault="00413524" w:rsidP="00F52F10">
      <w:pPr>
        <w:spacing w:line="480" w:lineRule="auto"/>
        <w:jc w:val="both"/>
        <w:rPr>
          <w:rFonts w:ascii="Times New Roman" w:hAnsi="Times New Roman" w:cs="Times New Roman"/>
          <w:b/>
        </w:rPr>
      </w:pPr>
      <w:r>
        <w:rPr>
          <w:rFonts w:ascii="Times New Roman" w:hAnsi="Times New Roman" w:cs="Times New Roman"/>
          <w:b/>
        </w:rPr>
        <w:t>Methods</w:t>
      </w:r>
    </w:p>
    <w:p w14:paraId="5905EDF7" w14:textId="55A8B13F" w:rsidR="00413524" w:rsidRDefault="00413524" w:rsidP="00413524">
      <w:pPr>
        <w:spacing w:line="480" w:lineRule="auto"/>
        <w:jc w:val="both"/>
        <w:rPr>
          <w:rFonts w:ascii="Times New Roman" w:hAnsi="Times New Roman" w:cs="Times New Roman"/>
        </w:rPr>
      </w:pPr>
      <w:r>
        <w:rPr>
          <w:rFonts w:ascii="Times New Roman" w:hAnsi="Times New Roman" w:cs="Times New Roman"/>
        </w:rPr>
        <w:t xml:space="preserve">A retrospective cohort study design was used; for two distinct time periods, August 2012 to May 2013 and August 2013 to May 2014, all referrals deemed to be at risk of urological cancer by the referring primary health care physician to Imperial College NHS Healthcare Trust were screened. Data points collected were: </w:t>
      </w:r>
      <w:r w:rsidR="00324D52">
        <w:rPr>
          <w:rFonts w:ascii="Times New Roman" w:hAnsi="Times New Roman" w:cs="Times New Roman"/>
        </w:rPr>
        <w:t xml:space="preserve">age and sex, </w:t>
      </w:r>
      <w:r>
        <w:rPr>
          <w:rFonts w:ascii="Times New Roman" w:hAnsi="Times New Roman" w:cs="Times New Roman"/>
        </w:rPr>
        <w:t>whether the referral was for visible haematuria, non-visible haematuria or other suspected urological cancer.  In addition to referral data, hospital episode data of all new renal cell, and upper and lower tract transitional cell carcinoma for the same time periods was obtained.</w:t>
      </w:r>
    </w:p>
    <w:p w14:paraId="4B134CC4" w14:textId="77777777" w:rsidR="00413524" w:rsidRDefault="00413524" w:rsidP="00F52F10">
      <w:pPr>
        <w:spacing w:line="480" w:lineRule="auto"/>
        <w:jc w:val="both"/>
        <w:rPr>
          <w:rFonts w:ascii="Times New Roman" w:hAnsi="Times New Roman" w:cs="Times New Roman"/>
          <w:b/>
        </w:rPr>
      </w:pPr>
    </w:p>
    <w:p w14:paraId="23267848" w14:textId="7ADBED6C" w:rsidR="00413524" w:rsidRDefault="00413524" w:rsidP="00F52F10">
      <w:pPr>
        <w:spacing w:line="480" w:lineRule="auto"/>
        <w:jc w:val="both"/>
        <w:rPr>
          <w:rFonts w:ascii="Times New Roman" w:hAnsi="Times New Roman" w:cs="Times New Roman"/>
          <w:b/>
        </w:rPr>
      </w:pPr>
      <w:r>
        <w:rPr>
          <w:rFonts w:ascii="Times New Roman" w:hAnsi="Times New Roman" w:cs="Times New Roman"/>
          <w:b/>
        </w:rPr>
        <w:t>Results</w:t>
      </w:r>
    </w:p>
    <w:p w14:paraId="65E3DC0F" w14:textId="77723A78" w:rsidR="00413524" w:rsidRDefault="00413524" w:rsidP="00413524">
      <w:pPr>
        <w:spacing w:line="480" w:lineRule="auto"/>
        <w:jc w:val="both"/>
        <w:rPr>
          <w:rFonts w:ascii="Times New Roman" w:hAnsi="Times New Roman" w:cs="Times New Roman"/>
        </w:rPr>
      </w:pPr>
      <w:r>
        <w:rPr>
          <w:rFonts w:ascii="Times New Roman" w:hAnsi="Times New Roman" w:cs="Times New Roman"/>
        </w:rPr>
        <w:t xml:space="preserve">Over </w:t>
      </w:r>
      <w:r w:rsidR="0098542A">
        <w:rPr>
          <w:rFonts w:ascii="Times New Roman" w:hAnsi="Times New Roman" w:cs="Times New Roman"/>
        </w:rPr>
        <w:t xml:space="preserve">campaign period and the subsequent three months the number of haematuria referrals increased by </w:t>
      </w:r>
      <w:r w:rsidR="00893429">
        <w:rPr>
          <w:rFonts w:ascii="Times New Roman" w:hAnsi="Times New Roman" w:cs="Times New Roman"/>
        </w:rPr>
        <w:t>92% (p=0.013) when compared to the same period a year earlier. This</w:t>
      </w:r>
      <w:r>
        <w:rPr>
          <w:rFonts w:ascii="Times New Roman" w:hAnsi="Times New Roman" w:cs="Times New Roman"/>
        </w:rPr>
        <w:t xml:space="preserve"> increase in referrals was not associated with a significant corresponding rise in cancer diagnosis; instead </w:t>
      </w:r>
      <w:r w:rsidR="00893429">
        <w:rPr>
          <w:rFonts w:ascii="Times New Roman" w:hAnsi="Times New Roman" w:cs="Times New Roman"/>
        </w:rPr>
        <w:t>changes of 26.8% (p=</w:t>
      </w:r>
      <w:r>
        <w:rPr>
          <w:rFonts w:ascii="Times New Roman" w:hAnsi="Times New Roman" w:cs="Times New Roman"/>
        </w:rPr>
        <w:t>0.56)</w:t>
      </w:r>
      <w:r w:rsidR="00893429">
        <w:rPr>
          <w:rFonts w:ascii="Times New Roman" w:hAnsi="Times New Roman" w:cs="Times New Roman"/>
        </w:rPr>
        <w:t xml:space="preserve"> and -3.3% (p=0.84) were seen in renal and transitional cell carcinomas respectively.</w:t>
      </w:r>
    </w:p>
    <w:p w14:paraId="717E0CB4" w14:textId="77777777" w:rsidR="00413524" w:rsidRDefault="00413524" w:rsidP="00F52F10">
      <w:pPr>
        <w:spacing w:line="480" w:lineRule="auto"/>
        <w:jc w:val="both"/>
        <w:rPr>
          <w:rFonts w:ascii="Times New Roman" w:hAnsi="Times New Roman" w:cs="Times New Roman"/>
          <w:b/>
        </w:rPr>
      </w:pPr>
    </w:p>
    <w:p w14:paraId="62302FC9" w14:textId="164FC687" w:rsidR="00413524" w:rsidRDefault="00413524" w:rsidP="00F52F10">
      <w:pPr>
        <w:spacing w:line="480" w:lineRule="auto"/>
        <w:jc w:val="both"/>
        <w:rPr>
          <w:rFonts w:ascii="Times New Roman" w:hAnsi="Times New Roman" w:cs="Times New Roman"/>
          <w:b/>
        </w:rPr>
      </w:pPr>
      <w:r>
        <w:rPr>
          <w:rFonts w:ascii="Times New Roman" w:hAnsi="Times New Roman" w:cs="Times New Roman"/>
          <w:b/>
        </w:rPr>
        <w:t>Conclusion</w:t>
      </w:r>
    </w:p>
    <w:p w14:paraId="7C86D321" w14:textId="7BB98E04" w:rsidR="00BA051F" w:rsidRDefault="00BA051F" w:rsidP="00BA051F">
      <w:pPr>
        <w:spacing w:line="480" w:lineRule="auto"/>
        <w:jc w:val="both"/>
        <w:rPr>
          <w:rFonts w:ascii="Times New Roman" w:hAnsi="Times New Roman" w:cs="Times New Roman"/>
        </w:rPr>
      </w:pPr>
      <w:r>
        <w:rPr>
          <w:rFonts w:ascii="Times New Roman" w:hAnsi="Times New Roman" w:cs="Times New Roman"/>
        </w:rPr>
        <w:lastRenderedPageBreak/>
        <w:t>This study has demonstrated that the ‘</w:t>
      </w:r>
      <w:proofErr w:type="gramStart"/>
      <w:r>
        <w:rPr>
          <w:rFonts w:ascii="Times New Roman" w:hAnsi="Times New Roman" w:cs="Times New Roman"/>
        </w:rPr>
        <w:t>Be</w:t>
      </w:r>
      <w:proofErr w:type="gramEnd"/>
      <w:r>
        <w:rPr>
          <w:rFonts w:ascii="Times New Roman" w:hAnsi="Times New Roman" w:cs="Times New Roman"/>
        </w:rPr>
        <w:t xml:space="preserve"> clear on cancer: Blood in pee’ mass media campaign significantly increased the number of new suspected cancer referrals with no significant effect on the diagnosis of target cancers across a large catchment. </w:t>
      </w:r>
      <w:r w:rsidR="00324D52">
        <w:rPr>
          <w:rFonts w:ascii="Times New Roman" w:hAnsi="Times New Roman" w:cs="Times New Roman"/>
        </w:rPr>
        <w:t xml:space="preserve">In the future similar mass media campaigns should have a step of pre-planned assessment, in the form of a well-designed prospective study, to ensure that they confer a rise in cancer diagnosis and public awareness. </w:t>
      </w:r>
      <w:r w:rsidR="00893429">
        <w:rPr>
          <w:rFonts w:ascii="Times New Roman" w:hAnsi="Times New Roman" w:cs="Times New Roman"/>
        </w:rPr>
        <w:t xml:space="preserve"> </w:t>
      </w:r>
      <w:r w:rsidR="00324D52">
        <w:rPr>
          <w:rFonts w:ascii="Times New Roman" w:hAnsi="Times New Roman" w:cs="Times New Roman"/>
        </w:rPr>
        <w:t>In addition they should be preceded by the dissemination of information to primary physicians and secondary care providers to educate them regarding the management of the pathology, and to allow appropriate preparation for the increased referral burden.</w:t>
      </w:r>
    </w:p>
    <w:p w14:paraId="6DA60D0E" w14:textId="77777777" w:rsidR="00413524" w:rsidRDefault="00413524" w:rsidP="00F52F10">
      <w:pPr>
        <w:spacing w:line="480" w:lineRule="auto"/>
        <w:jc w:val="both"/>
        <w:rPr>
          <w:rFonts w:ascii="Times New Roman" w:hAnsi="Times New Roman" w:cs="Times New Roman"/>
          <w:b/>
        </w:rPr>
      </w:pPr>
    </w:p>
    <w:p w14:paraId="0D7FE703" w14:textId="0D916ACD" w:rsidR="00413524" w:rsidRPr="00D9449D" w:rsidRDefault="00413524" w:rsidP="00F52F10">
      <w:pPr>
        <w:spacing w:line="480" w:lineRule="auto"/>
        <w:jc w:val="both"/>
        <w:rPr>
          <w:rFonts w:ascii="Times New Roman" w:hAnsi="Times New Roman" w:cs="Times New Roman"/>
        </w:rPr>
      </w:pPr>
      <w:r>
        <w:rPr>
          <w:rFonts w:ascii="Times New Roman" w:hAnsi="Times New Roman" w:cs="Times New Roman"/>
          <w:b/>
        </w:rPr>
        <w:t>Key words:</w:t>
      </w:r>
      <w:r w:rsidR="00D9449D">
        <w:rPr>
          <w:rFonts w:ascii="Times New Roman" w:hAnsi="Times New Roman" w:cs="Times New Roman"/>
          <w:b/>
        </w:rPr>
        <w:t xml:space="preserve"> </w:t>
      </w:r>
      <w:r w:rsidR="00D9449D">
        <w:rPr>
          <w:rFonts w:ascii="Times New Roman" w:hAnsi="Times New Roman" w:cs="Times New Roman"/>
        </w:rPr>
        <w:t xml:space="preserve">haematuria; renal cell carcinoma; transitional cell carcinoma; public health; </w:t>
      </w:r>
      <w:r w:rsidR="00530DCF">
        <w:rPr>
          <w:rFonts w:ascii="Times New Roman" w:hAnsi="Times New Roman" w:cs="Times New Roman"/>
        </w:rPr>
        <w:t>cancer; campaign</w:t>
      </w:r>
    </w:p>
    <w:p w14:paraId="7ECE19E1" w14:textId="77777777" w:rsidR="00413524" w:rsidRDefault="00413524" w:rsidP="00F52F10">
      <w:pPr>
        <w:spacing w:line="480" w:lineRule="auto"/>
        <w:jc w:val="both"/>
        <w:rPr>
          <w:rFonts w:ascii="Times New Roman" w:hAnsi="Times New Roman" w:cs="Times New Roman"/>
          <w:b/>
        </w:rPr>
      </w:pPr>
    </w:p>
    <w:p w14:paraId="4B93DE9A" w14:textId="77777777" w:rsidR="00D9449D" w:rsidRDefault="00D9449D" w:rsidP="00F52F10">
      <w:pPr>
        <w:spacing w:line="480" w:lineRule="auto"/>
        <w:jc w:val="both"/>
        <w:rPr>
          <w:rFonts w:ascii="Times New Roman" w:hAnsi="Times New Roman" w:cs="Times New Roman"/>
          <w:b/>
        </w:rPr>
      </w:pPr>
    </w:p>
    <w:p w14:paraId="02CF8A6C" w14:textId="77777777" w:rsidR="00D9449D" w:rsidRDefault="00D9449D" w:rsidP="00F52F10">
      <w:pPr>
        <w:spacing w:line="480" w:lineRule="auto"/>
        <w:jc w:val="both"/>
        <w:rPr>
          <w:rFonts w:ascii="Times New Roman" w:hAnsi="Times New Roman" w:cs="Times New Roman"/>
          <w:b/>
        </w:rPr>
      </w:pPr>
    </w:p>
    <w:p w14:paraId="6EFE07DB" w14:textId="77777777" w:rsidR="00D9449D" w:rsidRDefault="00D9449D" w:rsidP="00F52F10">
      <w:pPr>
        <w:spacing w:line="480" w:lineRule="auto"/>
        <w:jc w:val="both"/>
        <w:rPr>
          <w:rFonts w:ascii="Times New Roman" w:hAnsi="Times New Roman" w:cs="Times New Roman"/>
          <w:b/>
        </w:rPr>
      </w:pPr>
    </w:p>
    <w:p w14:paraId="2280465D" w14:textId="77777777" w:rsidR="00D9449D" w:rsidRDefault="00D9449D" w:rsidP="00F52F10">
      <w:pPr>
        <w:spacing w:line="480" w:lineRule="auto"/>
        <w:jc w:val="both"/>
        <w:rPr>
          <w:rFonts w:ascii="Times New Roman" w:hAnsi="Times New Roman" w:cs="Times New Roman"/>
          <w:b/>
        </w:rPr>
      </w:pPr>
    </w:p>
    <w:p w14:paraId="2E181442" w14:textId="77777777" w:rsidR="00D9449D" w:rsidRDefault="00D9449D" w:rsidP="00F52F10">
      <w:pPr>
        <w:spacing w:line="480" w:lineRule="auto"/>
        <w:jc w:val="both"/>
        <w:rPr>
          <w:rFonts w:ascii="Times New Roman" w:hAnsi="Times New Roman" w:cs="Times New Roman"/>
          <w:b/>
        </w:rPr>
      </w:pPr>
    </w:p>
    <w:p w14:paraId="6CCE03D6" w14:textId="77777777" w:rsidR="00D9449D" w:rsidRDefault="00D9449D" w:rsidP="00F52F10">
      <w:pPr>
        <w:spacing w:line="480" w:lineRule="auto"/>
        <w:jc w:val="both"/>
        <w:rPr>
          <w:rFonts w:ascii="Times New Roman" w:hAnsi="Times New Roman" w:cs="Times New Roman"/>
          <w:b/>
        </w:rPr>
      </w:pPr>
    </w:p>
    <w:p w14:paraId="36761D1B" w14:textId="77777777" w:rsidR="00D9449D" w:rsidRDefault="00D9449D" w:rsidP="00F52F10">
      <w:pPr>
        <w:spacing w:line="480" w:lineRule="auto"/>
        <w:jc w:val="both"/>
        <w:rPr>
          <w:rFonts w:ascii="Times New Roman" w:hAnsi="Times New Roman" w:cs="Times New Roman"/>
          <w:b/>
        </w:rPr>
      </w:pPr>
    </w:p>
    <w:p w14:paraId="5E7F79BB" w14:textId="77777777" w:rsidR="00193C6B" w:rsidRDefault="00193C6B" w:rsidP="00F52F10">
      <w:pPr>
        <w:spacing w:line="480" w:lineRule="auto"/>
        <w:jc w:val="both"/>
        <w:rPr>
          <w:rFonts w:ascii="Times New Roman" w:hAnsi="Times New Roman" w:cs="Times New Roman"/>
          <w:b/>
        </w:rPr>
      </w:pPr>
    </w:p>
    <w:p w14:paraId="6C477218" w14:textId="77777777" w:rsidR="00D9449D" w:rsidRDefault="00D9449D" w:rsidP="00F52F10">
      <w:pPr>
        <w:spacing w:line="480" w:lineRule="auto"/>
        <w:jc w:val="both"/>
        <w:rPr>
          <w:rFonts w:ascii="Times New Roman" w:hAnsi="Times New Roman" w:cs="Times New Roman"/>
          <w:b/>
        </w:rPr>
      </w:pPr>
    </w:p>
    <w:p w14:paraId="331C022E" w14:textId="77777777" w:rsidR="00D9449D" w:rsidRDefault="00D9449D" w:rsidP="00F52F10">
      <w:pPr>
        <w:spacing w:line="480" w:lineRule="auto"/>
        <w:jc w:val="both"/>
        <w:rPr>
          <w:rFonts w:ascii="Times New Roman" w:hAnsi="Times New Roman" w:cs="Times New Roman"/>
          <w:b/>
        </w:rPr>
      </w:pPr>
    </w:p>
    <w:p w14:paraId="548C7E2B" w14:textId="77777777" w:rsidR="00D9449D" w:rsidRDefault="00D9449D" w:rsidP="00F52F10">
      <w:pPr>
        <w:spacing w:line="480" w:lineRule="auto"/>
        <w:jc w:val="both"/>
        <w:rPr>
          <w:rFonts w:ascii="Times New Roman" w:hAnsi="Times New Roman" w:cs="Times New Roman"/>
          <w:b/>
        </w:rPr>
      </w:pPr>
    </w:p>
    <w:p w14:paraId="2CD12132" w14:textId="77777777" w:rsidR="00D9449D" w:rsidRDefault="00D9449D" w:rsidP="00F52F10">
      <w:pPr>
        <w:spacing w:line="480" w:lineRule="auto"/>
        <w:jc w:val="both"/>
        <w:rPr>
          <w:rFonts w:ascii="Times New Roman" w:hAnsi="Times New Roman" w:cs="Times New Roman"/>
          <w:b/>
        </w:rPr>
      </w:pPr>
    </w:p>
    <w:p w14:paraId="6DF35261" w14:textId="77777777" w:rsidR="00D9449D" w:rsidRDefault="00D9449D" w:rsidP="00F52F10">
      <w:pPr>
        <w:spacing w:line="480" w:lineRule="auto"/>
        <w:jc w:val="both"/>
        <w:rPr>
          <w:rFonts w:ascii="Times New Roman" w:hAnsi="Times New Roman" w:cs="Times New Roman"/>
          <w:b/>
        </w:rPr>
      </w:pPr>
    </w:p>
    <w:p w14:paraId="21301C74" w14:textId="379D6973" w:rsidR="007C6F9E" w:rsidRPr="00D353B6" w:rsidRDefault="007C6F9E" w:rsidP="00F52F10">
      <w:pPr>
        <w:spacing w:line="480" w:lineRule="auto"/>
        <w:jc w:val="both"/>
        <w:rPr>
          <w:rFonts w:ascii="Times New Roman" w:hAnsi="Times New Roman" w:cs="Times New Roman"/>
          <w:b/>
        </w:rPr>
      </w:pPr>
      <w:r w:rsidRPr="00D353B6">
        <w:rPr>
          <w:rFonts w:ascii="Times New Roman" w:hAnsi="Times New Roman" w:cs="Times New Roman"/>
          <w:b/>
        </w:rPr>
        <w:t>Introduction</w:t>
      </w:r>
    </w:p>
    <w:p w14:paraId="22334344" w14:textId="77777777" w:rsidR="00837697" w:rsidRDefault="00837697" w:rsidP="00837697">
      <w:pPr>
        <w:spacing w:line="480" w:lineRule="auto"/>
        <w:jc w:val="both"/>
        <w:rPr>
          <w:rFonts w:ascii="Times New Roman" w:hAnsi="Times New Roman" w:cs="Times New Roman"/>
        </w:rPr>
      </w:pPr>
    </w:p>
    <w:p w14:paraId="458BE093" w14:textId="67B90469" w:rsidR="00837697" w:rsidRPr="001E3505" w:rsidRDefault="00837697" w:rsidP="00837697">
      <w:pPr>
        <w:spacing w:line="480" w:lineRule="auto"/>
        <w:jc w:val="both"/>
        <w:rPr>
          <w:rFonts w:ascii="Times New Roman" w:hAnsi="Times New Roman" w:cs="Times New Roman"/>
        </w:rPr>
      </w:pPr>
      <w:r>
        <w:rPr>
          <w:rFonts w:ascii="Times New Roman" w:hAnsi="Times New Roman" w:cs="Times New Roman"/>
        </w:rPr>
        <w:t>Public health campaigns are a corner stone of secondary prevention and have repeatedly been shown to reduce cancer mortality</w:t>
      </w:r>
      <w:r w:rsidR="00574CE3">
        <w:rPr>
          <w:rFonts w:ascii="Times New Roman" w:hAnsi="Times New Roman" w:cs="Times New Roman"/>
        </w:rPr>
        <w:t xml:space="preserve"> </w:t>
      </w:r>
      <w:r w:rsidR="003C2ADD">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"10.1136/bmjopen-2013-003987", "ISSN" : "2044-6055", "PMID" : "24969782", "abstract" : "OBJECTIVE: This study estimated the health impact, cost and cost-effectiveness of an integrated prevention campaign (IPC) focused on diarrhoea, malaria and HIV in 70 countries ranked by per capita disability-adjusted life-year (DALY) burden for the three diseases.\n\nMETHODS: We constructed a deterministic cost-effectiveness model portraying an IPC combining counselling and testing, cotrimoxazole prophylaxis, referral to treatment and condom distribution for HIV prevention; bed nets for malaria prevention; and provision of household water filters for diarrhoea prevention. We developed a mix of empirical and modelled cost and health impact estimates applied to all 70 countries. One-way, multiway and scenario sensitivity analyses were conducted to document the strength of our findings. We used a healthcare payer's perspective, discounted costs and DALYs at 3% per year and denominated cost in 2012 US dollars.\n\nPRIMARY AND SECONDARY OUTCOMES: The primary outcome was cost-effectiveness expressed as net cost per DALY averted. Other outcomes included cost of the IPC; net IPC costs adjusted for averted and additional medical costs and DALYs averted.\n\nRESULTS: Implementation of the IPC in the 10 most cost-effective countries at 15% population coverage would cost US$583 million over 3\u2005years (adjusted costs of US$398 million), averting 8.0 million DALYs. Extending IPC programmes to all 70 of the identified high-burden countries at 15% coverage would cost an adjusted US$51.3 billion and avert 78.7 million DALYs. Incremental cost-effectiveness ranged from US$49 per DALY averted for the 10 countries with the most favourable cost-effectiveness to US$119, US$181, US$335, US$1692 and US$8340 per DALY averted as each successive group of 10 countries is added ordered by decreasing cost-effectiveness.\n\nCONCLUSIONS: IPC appears cost-effective in many settings, and has the potential to substantially reduce the burden of disease in resource-poor countries. This study increases confidence that IPC can be an important new approach for enhancing global health.", "author" : [ { "dropping-particle" : "", "family" : "Marseille", "given" : "Elliot", "non-dropping-particle" : "", "parse-names" : false, "suffix" : "" }, { "dropping-particle" : "", "family" : "Jiwani", "given" : "Aliya", "non-dropping-particle" : "", "parse-names" : false, "suffix" : "" }, { "dropping-particle" : "", "family" : "Raut", "given" : "Abhishek", "non-dropping-particle" : "", "parse-names" : false, "suffix" : "" }, { "dropping-particle" : "", "family" : "Verguet", "given" : "St\u00e9phane", "non-dropping-particle" : "", "parse-names" : false, "suffix" : "" }, { "dropping-particle" : "", "family" : "Walson", "given" : "Judd", "non-dropping-particle" : "", "parse-names" : false, "suffix" : "" }, { "dropping-particle" : "", "family" : "Kahn", "given" : "James G", "non-dropping-particle" : "", "parse-names" : false, "suffix" : "" } ], "container-title" : "BMJ open", "id" : "ITEM-1", "issue" : "6", "issued" : { "date-parts" : [ [ "2014", "1" ] ] }, "page" : "e003987", "title" : "Scaling up integrated prevention campaigns for global health: costs and cost-effectiveness in 70 countries.", "type" : "article-journal", "volume" : "4" }, "uris" : [ "http://www.mendeley.com/documents/?uuid=c672b419-da34-471f-bd95-c9e69fe7f6bf" ] } ], "mendeley" : { "formattedCitation" : "[1]", "plainTextFormattedCitation" : "[1]", "previouslyFormattedCitation" : "[1]" }, "properties" : { "noteIndex" : 0 }, "schema" : "https://github.com/citation-style-language/schema/raw/master/csl-citation.json" }</w:instrText>
      </w:r>
      <w:r w:rsidR="003C2ADD">
        <w:rPr>
          <w:rFonts w:ascii="Times New Roman" w:hAnsi="Times New Roman" w:cs="Times New Roman"/>
        </w:rPr>
        <w:fldChar w:fldCharType="separate"/>
      </w:r>
      <w:r w:rsidR="003C2ADD" w:rsidRPr="003C2ADD">
        <w:rPr>
          <w:rFonts w:ascii="Times New Roman" w:hAnsi="Times New Roman" w:cs="Times New Roman"/>
          <w:noProof/>
        </w:rPr>
        <w:t>[1]</w:t>
      </w:r>
      <w:r w:rsidR="003C2ADD">
        <w:rPr>
          <w:rFonts w:ascii="Times New Roman" w:hAnsi="Times New Roman" w:cs="Times New Roman"/>
        </w:rPr>
        <w:fldChar w:fldCharType="end"/>
      </w:r>
      <w:r>
        <w:rPr>
          <w:rFonts w:ascii="Times New Roman" w:hAnsi="Times New Roman" w:cs="Times New Roman"/>
        </w:rPr>
        <w:t>.</w:t>
      </w:r>
      <w:r w:rsidR="00035E0C">
        <w:rPr>
          <w:rFonts w:ascii="Times New Roman" w:hAnsi="Times New Roman" w:cs="Times New Roman"/>
        </w:rPr>
        <w:t xml:space="preserve"> </w:t>
      </w:r>
      <w:r>
        <w:rPr>
          <w:rFonts w:ascii="Times New Roman" w:hAnsi="Times New Roman" w:cs="Times New Roman"/>
        </w:rPr>
        <w:t>Historically these campaigns have focused on behaviour modification</w:t>
      </w:r>
      <w:r w:rsidR="00842663">
        <w:rPr>
          <w:rFonts w:ascii="Times New Roman" w:hAnsi="Times New Roman" w:cs="Times New Roman"/>
        </w:rPr>
        <w:t>,</w:t>
      </w:r>
      <w:r>
        <w:rPr>
          <w:rFonts w:ascii="Times New Roman" w:hAnsi="Times New Roman" w:cs="Times New Roman"/>
        </w:rPr>
        <w:t xml:space="preserve"> aiming to mitigate for the ill effects of specific behaviours deemed to be detrimental to health. Recently</w:t>
      </w:r>
      <w:r w:rsidR="00C5341B">
        <w:rPr>
          <w:rFonts w:ascii="Times New Roman" w:hAnsi="Times New Roman" w:cs="Times New Roman"/>
        </w:rPr>
        <w:t xml:space="preserve"> </w:t>
      </w:r>
      <w:r w:rsidR="00C82A4B">
        <w:rPr>
          <w:rFonts w:ascii="Times New Roman" w:hAnsi="Times New Roman" w:cs="Times New Roman"/>
        </w:rPr>
        <w:t>Public Health England</w:t>
      </w:r>
      <w:r w:rsidRPr="001E3505">
        <w:rPr>
          <w:rFonts w:ascii="Times New Roman" w:hAnsi="Times New Roman" w:cs="Times New Roman"/>
        </w:rPr>
        <w:t xml:space="preserve"> has embarked on a number of </w:t>
      </w:r>
      <w:r>
        <w:rPr>
          <w:rFonts w:ascii="Times New Roman" w:hAnsi="Times New Roman" w:cs="Times New Roman"/>
        </w:rPr>
        <w:t xml:space="preserve">short </w:t>
      </w:r>
      <w:r w:rsidR="005F1502">
        <w:rPr>
          <w:rFonts w:ascii="Times New Roman" w:hAnsi="Times New Roman" w:cs="Times New Roman"/>
        </w:rPr>
        <w:t>duration</w:t>
      </w:r>
      <w:r>
        <w:rPr>
          <w:rFonts w:ascii="Times New Roman" w:hAnsi="Times New Roman" w:cs="Times New Roman"/>
        </w:rPr>
        <w:t xml:space="preserve">, </w:t>
      </w:r>
      <w:r w:rsidRPr="001E3505">
        <w:rPr>
          <w:rFonts w:ascii="Times New Roman" w:hAnsi="Times New Roman" w:cs="Times New Roman"/>
        </w:rPr>
        <w:t>mass media public health campaigns</w:t>
      </w:r>
      <w:r w:rsidR="00755408">
        <w:rPr>
          <w:rFonts w:ascii="Times New Roman" w:hAnsi="Times New Roman" w:cs="Times New Roman"/>
        </w:rPr>
        <w:t xml:space="preserve">. </w:t>
      </w:r>
      <w:r w:rsidR="007701BF">
        <w:rPr>
          <w:rFonts w:ascii="Times New Roman" w:hAnsi="Times New Roman" w:cs="Times New Roman"/>
        </w:rPr>
        <w:t xml:space="preserve">In contrast </w:t>
      </w:r>
      <w:r w:rsidR="00406D02">
        <w:rPr>
          <w:rFonts w:ascii="Times New Roman" w:hAnsi="Times New Roman" w:cs="Times New Roman"/>
        </w:rPr>
        <w:t>to</w:t>
      </w:r>
      <w:r w:rsidR="007701BF">
        <w:rPr>
          <w:rFonts w:ascii="Times New Roman" w:hAnsi="Times New Roman" w:cs="Times New Roman"/>
        </w:rPr>
        <w:t xml:space="preserve"> more traditional public heath drives these campaigns have </w:t>
      </w:r>
      <w:r w:rsidR="004F07D8">
        <w:rPr>
          <w:rFonts w:ascii="Times New Roman" w:hAnsi="Times New Roman" w:cs="Times New Roman"/>
        </w:rPr>
        <w:t xml:space="preserve">had the intention of </w:t>
      </w:r>
      <w:r w:rsidRPr="001E3505">
        <w:rPr>
          <w:rFonts w:ascii="Times New Roman" w:hAnsi="Times New Roman" w:cs="Times New Roman"/>
        </w:rPr>
        <w:t>increas</w:t>
      </w:r>
      <w:r w:rsidR="005444AF">
        <w:rPr>
          <w:rFonts w:ascii="Times New Roman" w:hAnsi="Times New Roman" w:cs="Times New Roman"/>
        </w:rPr>
        <w:t>ing</w:t>
      </w:r>
      <w:r w:rsidRPr="001E3505">
        <w:rPr>
          <w:rFonts w:ascii="Times New Roman" w:hAnsi="Times New Roman" w:cs="Times New Roman"/>
        </w:rPr>
        <w:t xml:space="preserve"> </w:t>
      </w:r>
      <w:r>
        <w:rPr>
          <w:rFonts w:ascii="Times New Roman" w:hAnsi="Times New Roman" w:cs="Times New Roman"/>
        </w:rPr>
        <w:t>patient</w:t>
      </w:r>
      <w:r w:rsidR="0081183C">
        <w:rPr>
          <w:rFonts w:ascii="Times New Roman" w:hAnsi="Times New Roman" w:cs="Times New Roman"/>
        </w:rPr>
        <w:t xml:space="preserve"> numbers</w:t>
      </w:r>
      <w:r>
        <w:rPr>
          <w:rFonts w:ascii="Times New Roman" w:hAnsi="Times New Roman" w:cs="Times New Roman"/>
        </w:rPr>
        <w:t xml:space="preserve"> </w:t>
      </w:r>
      <w:r w:rsidR="00C7426B">
        <w:rPr>
          <w:rFonts w:ascii="Times New Roman" w:hAnsi="Times New Roman" w:cs="Times New Roman"/>
        </w:rPr>
        <w:t xml:space="preserve">seeking medical opinion </w:t>
      </w:r>
      <w:r>
        <w:rPr>
          <w:rFonts w:ascii="Times New Roman" w:hAnsi="Times New Roman" w:cs="Times New Roman"/>
        </w:rPr>
        <w:t>wh</w:t>
      </w:r>
      <w:r w:rsidR="00C7426B">
        <w:rPr>
          <w:rFonts w:ascii="Times New Roman" w:hAnsi="Times New Roman" w:cs="Times New Roman"/>
        </w:rPr>
        <w:t>en</w:t>
      </w:r>
      <w:r>
        <w:rPr>
          <w:rFonts w:ascii="Times New Roman" w:hAnsi="Times New Roman" w:cs="Times New Roman"/>
        </w:rPr>
        <w:t xml:space="preserve"> exhibit</w:t>
      </w:r>
      <w:r w:rsidR="00C7426B">
        <w:rPr>
          <w:rFonts w:ascii="Times New Roman" w:hAnsi="Times New Roman" w:cs="Times New Roman"/>
        </w:rPr>
        <w:t>ing</w:t>
      </w:r>
      <w:r w:rsidR="007331D8">
        <w:rPr>
          <w:rFonts w:ascii="Times New Roman" w:hAnsi="Times New Roman" w:cs="Times New Roman"/>
        </w:rPr>
        <w:t xml:space="preserve"> symptom</w:t>
      </w:r>
      <w:r>
        <w:rPr>
          <w:rFonts w:ascii="Times New Roman" w:hAnsi="Times New Roman" w:cs="Times New Roman"/>
        </w:rPr>
        <w:t xml:space="preserve"> specific ‘red flag’</w:t>
      </w:r>
      <w:r w:rsidR="007331D8">
        <w:rPr>
          <w:rFonts w:ascii="Times New Roman" w:hAnsi="Times New Roman" w:cs="Times New Roman"/>
        </w:rPr>
        <w:t xml:space="preserve"> symptoms</w:t>
      </w:r>
      <w:r w:rsidRPr="001E3505">
        <w:rPr>
          <w:rFonts w:ascii="Times New Roman" w:hAnsi="Times New Roman" w:cs="Times New Roman"/>
        </w:rPr>
        <w:t>.</w:t>
      </w:r>
      <w:r w:rsidR="00574CE3">
        <w:rPr>
          <w:rFonts w:ascii="Times New Roman" w:hAnsi="Times New Roman" w:cs="Times New Roman"/>
        </w:rPr>
        <w:t xml:space="preserve"> These mass media public health campaigns offer </w:t>
      </w:r>
      <w:r w:rsidR="00A671E0">
        <w:rPr>
          <w:rFonts w:ascii="Times New Roman" w:hAnsi="Times New Roman" w:cs="Times New Roman"/>
        </w:rPr>
        <w:t>significant potential benefits, namely that they are</w:t>
      </w:r>
      <w:r w:rsidR="00574CE3">
        <w:rPr>
          <w:rFonts w:ascii="Times New Roman" w:hAnsi="Times New Roman" w:cs="Times New Roman"/>
        </w:rPr>
        <w:t xml:space="preserve"> able to </w:t>
      </w:r>
      <w:r w:rsidR="00AC1739">
        <w:rPr>
          <w:rFonts w:ascii="Times New Roman" w:hAnsi="Times New Roman" w:cs="Times New Roman"/>
        </w:rPr>
        <w:t>deliver focu</w:t>
      </w:r>
      <w:r w:rsidR="00C45686">
        <w:rPr>
          <w:rFonts w:ascii="Times New Roman" w:hAnsi="Times New Roman" w:cs="Times New Roman"/>
        </w:rPr>
        <w:t xml:space="preserve">sed messages, to large audiences, repeatedly, at a relatively low cost per head </w:t>
      </w:r>
      <w:r w:rsidR="00C45686">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"10.1016/S0140-6736(10)60809-4", "ISSN" : "1474-547X", "PMID" : "20933263", "abstract" : "Mass media campaigns are widely used to expose high proportions of large populations to messages through routine uses of existing media, such as television, radio, and newspapers. Exposure to such messages is, therefore, generally passive. Such campaigns are frequently competing with factors, such as pervasive product marketing, powerful social norms, and behaviours driven by addiction or habit. In this Review we discuss the outcomes of mass media campaigns in the context of various health-risk behaviours (eg, use of tobacco, alcohol, and other drugs, heart disease risk factors, sex-related behaviours, road safety, cancer screening and prevention, child survival, and organ or blood donation). We conclude that mass media campaigns can produce positive changes or prevent negative changes in health-related behaviours across large populations. We assess what contributes to these outcomes, such as concurrent availability of required services and products, availability of community-based programmes, and policies that support behaviour change. Finally, we propose areas for improvement, such as investment in longer better-funded campaigns to achieve adequate population exposure to media messages.", "author" : [ { "dropping-particle" : "", "family" : "Wakefield", "given" : "Melanie", "non-dropping-particle" : "", "parse-names" : false, "suffix" : "" }, { "dropping-particle" : "", "family" : "Loken", "given" : "Barbara", "non-dropping-particle" : "", "parse-names" : false, "suffix" : "" }, { "dropping-particle" : "", "family" : "Hornik", "given" : "Robert C", "non-dropping-particle" : "", "parse-names" : false, "suffix" : "" } ], "container-title" : "Lancet", "id" : "ITEM-1", "issue" : "9748", "issued" : { "date-parts" : [ [ "2010", "10", "9" ] ] }, "page" : "1261-71", "title" : "Use of mass media campaigns to change health behaviour.", "type" : "article-journal", "volume" : "376" }, "uris" : [ "http://www.mendeley.com/documents/?uuid=733ad6e4-0ba2-40b9-9ebd-513a4bde5876" ] } ], "mendeley" : { "formattedCitation" : "[2]", "plainTextFormattedCitation" : "[2]", "previouslyFormattedCitation" : "[2]" }, "properties" : { "noteIndex" : 0 }, "schema" : "https://github.com/citation-style-language/schema/raw/master/csl-citation.json" }</w:instrText>
      </w:r>
      <w:r w:rsidR="00C45686">
        <w:rPr>
          <w:rFonts w:ascii="Times New Roman" w:hAnsi="Times New Roman" w:cs="Times New Roman"/>
        </w:rPr>
        <w:fldChar w:fldCharType="separate"/>
      </w:r>
      <w:r w:rsidR="00C45686" w:rsidRPr="00C45686">
        <w:rPr>
          <w:rFonts w:ascii="Times New Roman" w:hAnsi="Times New Roman" w:cs="Times New Roman"/>
          <w:noProof/>
        </w:rPr>
        <w:t>[2]</w:t>
      </w:r>
      <w:r w:rsidR="00C45686">
        <w:rPr>
          <w:rFonts w:ascii="Times New Roman" w:hAnsi="Times New Roman" w:cs="Times New Roman"/>
        </w:rPr>
        <w:fldChar w:fldCharType="end"/>
      </w:r>
      <w:r w:rsidR="00C45686">
        <w:rPr>
          <w:rFonts w:ascii="Times New Roman" w:hAnsi="Times New Roman" w:cs="Times New Roman"/>
        </w:rPr>
        <w:t>.</w:t>
      </w:r>
      <w:r w:rsidR="00035E0C">
        <w:rPr>
          <w:rFonts w:ascii="Times New Roman" w:hAnsi="Times New Roman" w:cs="Times New Roman"/>
        </w:rPr>
        <w:t xml:space="preserve"> </w:t>
      </w:r>
      <w:r w:rsidR="003F48A3">
        <w:rPr>
          <w:rFonts w:ascii="Times New Roman" w:hAnsi="Times New Roman" w:cs="Times New Roman"/>
        </w:rPr>
        <w:t>Despite the potential benefits</w:t>
      </w:r>
      <w:r w:rsidR="0081183C">
        <w:rPr>
          <w:rFonts w:ascii="Times New Roman" w:hAnsi="Times New Roman" w:cs="Times New Roman"/>
        </w:rPr>
        <w:t>,</w:t>
      </w:r>
      <w:r w:rsidR="003F48A3">
        <w:rPr>
          <w:rFonts w:ascii="Times New Roman" w:hAnsi="Times New Roman" w:cs="Times New Roman"/>
        </w:rPr>
        <w:t xml:space="preserve"> t</w:t>
      </w:r>
      <w:r>
        <w:rPr>
          <w:rFonts w:ascii="Times New Roman" w:hAnsi="Times New Roman" w:cs="Times New Roman"/>
        </w:rPr>
        <w:t xml:space="preserve">he evidence underpinning </w:t>
      </w:r>
      <w:r w:rsidR="007331D8">
        <w:rPr>
          <w:rFonts w:ascii="Times New Roman" w:hAnsi="Times New Roman" w:cs="Times New Roman"/>
        </w:rPr>
        <w:t>the use of</w:t>
      </w:r>
      <w:r w:rsidRPr="001E3505">
        <w:rPr>
          <w:rFonts w:ascii="Times New Roman" w:hAnsi="Times New Roman" w:cs="Times New Roman"/>
        </w:rPr>
        <w:t xml:space="preserve"> </w:t>
      </w:r>
      <w:r>
        <w:rPr>
          <w:rFonts w:ascii="Times New Roman" w:hAnsi="Times New Roman" w:cs="Times New Roman"/>
        </w:rPr>
        <w:t>mass media</w:t>
      </w:r>
      <w:r w:rsidRPr="001E3505">
        <w:rPr>
          <w:rFonts w:ascii="Times New Roman" w:hAnsi="Times New Roman" w:cs="Times New Roman"/>
        </w:rPr>
        <w:t xml:space="preserve"> campaigns is </w:t>
      </w:r>
      <w:r w:rsidR="00C45686">
        <w:rPr>
          <w:rFonts w:ascii="Times New Roman" w:hAnsi="Times New Roman" w:cs="Times New Roman"/>
        </w:rPr>
        <w:t>both limited and mixed</w:t>
      </w:r>
      <w:r w:rsidR="001663D4">
        <w:rPr>
          <w:rFonts w:ascii="Times New Roman" w:hAnsi="Times New Roman" w:cs="Times New Roman"/>
        </w:rPr>
        <w:t xml:space="preserve"> </w:t>
      </w:r>
      <w:r w:rsidR="001663D4">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"10.1136/postgradmedj-2012-131014", "ISSN" : "1469-0756", "PMID" : "23572594", "abstract" : "OBJECTIVES: To assess the impact of a 7-week public bowel cancer awareness campaign pilot by reviewing the number of 2-week referrals from general practitioners (GPs) to hospital, endoscopic procedures and new cancers diagnosed throughout the five acute hospitals in The Peninsular Cancer Network, UK.\n\nDESIGN: A retrospective before and after study.\n\nSETTING: The Peninsula Cancer Network in the South West of England, UK.\n\nMAIN OUTCOME MEASURES: For the period July 2010-July 2011, data were collected on the number of 2-week referrals, number of endoscopic procedures performed and number of new cancers diagnosed. The average for the 6 months before the campaign was compared with the immediate 3 months and then the fourth to sixth months following the campaign. Student's t test was used to compare the means of the three groups.\n\nRESULTS: There was a statistically significant increase in the number of 2-week referrals from GPs to hospital in the 3 months following the campaign but this effect disappeared after that. There was no statistical increase in the number of endoscopic procedures or new cancers diagnosed following the awareness campaign.\n\nCONCLUSIONS: The pilot 'Be Clear on Cancer' awareness campaign had a significant effect on the number of patients being referred from GPs to hospital; however, the effect was short lived and had returned to baseline by 3 months. The campaign had no effect on the number of new cancers diagnosed, which was the stated underlying aim of the pilot.", "author" : [ { "dropping-particle" : "", "family" : "Bethune", "given" : "Rob", "non-dropping-particle" : "", "parse-names" : false, "suffix" : "" }, { "dropping-particle" : "", "family" : "Marshall", "given" : "Morwena J", "non-dropping-particle" : "", "parse-names" : false, "suffix" : "" }, { "dropping-particle" : "", "family" : "Mitchell", "given" : "Stephen J", "non-dropping-particle" : "", "parse-names" : false, "suffix" : "" }, { "dropping-particle" : "", "family" : "Oppong", "given" : "Chris", "non-dropping-particle" : "", "parse-names" : false, "suffix" : "" }, { "dropping-particle" : "", "family" : "Cartmel", "given" : "Mark T", "non-dropping-particle" : "", "parse-names" : false, "suffix" : "" }, { "dropping-particle" : "", "family" : "Arumugam", "given" : "Ponnandai J", "non-dropping-particle" : "", "parse-names" : false, "suffix" : "" }, { "dropping-particle" : "", "family" : "Gee", "given" : "Andrew S", "non-dropping-particle" : "", "parse-names" : false, "suffix" : "" }, { "dropping-particle" : "", "family" : "Daniels", "given" : "Ian R", "non-dropping-particle" : "", "parse-names" : false, "suffix" : "" } ], "container-title" : "Postgraduate medical journal", "id" : "ITEM-1", "issue" : "1053", "issued" : { "date-parts" : [ [ "2013", "7" ] ] }, "page" : "390-3", "title" : "Did the 'Be Clear on Bowel Cancer' public awareness campaign pilot result in a higher rate of cancer detection?", "type" : "article-journal", "volume" : "89" }, "uris" : [ "http://www.mendeley.com/documents/?uuid=33dc2e2e-b14f-4c6b-8e38-dc17ed6bffd5" ] }, { "id" : "ITEM-2", "itemData" : { "DOI" : "10.1016/S0140-6736(10)60809-4", "ISSN" : "1474-547X", "PMID" : "20933263", "abstract" : "Mass media campaigns are widely used to expose high proportions of large populations to messages through routine uses of existing media, such as television, radio, and newspapers. Exposure to such messages is, therefore, generally passive. Such campaigns are frequently competing with factors, such as pervasive product marketing, powerful social norms, and behaviours driven by addiction or habit. In this Review we discuss the outcomes of mass media campaigns in the context of various health-risk behaviours (eg, use of tobacco, alcohol, and other drugs, heart disease risk factors, sex-related behaviours, road safety, cancer screening and prevention, child survival, and organ or blood donation). We conclude that mass media campaigns can produce positive changes or prevent negative changes in health-related behaviours across large populations. We assess what contributes to these outcomes, such as concurrent availability of required services and products, availability of community-based programmes, and policies that support behaviour change. Finally, we propose areas for improvement, such as investment in longer better-funded campaigns to achieve adequate population exposure to media messages.", "author" : [ { "dropping-particle" : "", "family" : "Wakefield", "given" : "Melanie", "non-dropping-particle" : "", "parse-names" : false, "suffix" : "" }, { "dropping-particle" : "", "family" : "Loken", "given" : "Barbara", "non-dropping-particle" : "", "parse-names" : false, "suffix" : "" }, { "dropping-particle" : "", "family" : "Hornik", "given" : "Robert C", "non-dropping-particle" : "", "parse-names" : false, "suffix" : "" } ], "container-title" : "Lancet", "id" : "ITEM-2", "issue" : "9748", "issued" : { "date-parts" : [ [ "2010", "10", "9" ] ] }, "page" : "1261-71", "title" : "Use of mass media campaigns to change health behaviour.", "type" : "article-journal", "volume" : "376" }, "uris" : [ "http://www.mendeley.com/documents/?uuid=733ad6e4-0ba2-40b9-9ebd-513a4bde5876" ] }, { "id" : "ITEM-3", "itemData" : { "DOI" : "10.1111/codi.12220", "ISSN" : "1463-1318", "PMID" : "23656572", "abstract" : "AIM: The National Bowel Cancer Awareness Campaign ('Be Clear on Cancer') was launched by the UK government in January 2012, encouraging people with bowel symptoms to present to primary care. Our aim was to evaluate the impact of the campaign on colorectal services in secondary care.\n\nMETHOD: Suspected cancer 2-week-wait (2WW) patients 3 months before and 3 months after the launch of the campaign were included. Demographics, reason for referral, investigations performed, cost analysis and eventual diagnoses were collected.\n\nRESULTS: Three hundred and forty-three patients [median age 70 (36-100) years, 194 (57%) women] were seen and investigated in the 3 months prior to the launch of the campaign at an average cost of \u00a3575 per patient. Twenty-seven (8%) were diagnosed with lower gastrointestinal cancer and 29 (8%) with polyps. In the 3 months following the launch, 544 patients [median age 68 (30-92) years, 290 (53%) women] were reviewed (59% increase; P = 0.004). The 'did not attend' rate fell from 10% to 1%. Thirty-two (6%) patients were diagnosed with a lower gastrointestinal cancer and 20 (4%) with colorectal polyps. The cost per colorectal cancer detected rose from \u00a37585.58 before the campaign to \u00a39662.72 after launch (P = 0.04).\n\nCONCLUSION: The 'Be Clear on Cancer' campaign has substantially increased the number of referrals under the 2WW rule, but mainly in the worried well. This has increased demands on both resources (59% more tests) and finance. Cost per cancer detected rose by 27% with no increase in funding to support the increased activity.", "author" : [ { "dropping-particle" : "", "family" : "Peacock", "given" : "O", "non-dropping-particle" : "", "parse-names" : false, "suffix" : "" }, { "dropping-particle" : "", "family" : "Clayton", "given" : "S", "non-dropping-particle" : "", "parse-names" : false, "suffix" : "" }, { "dropping-particle" : "", "family" : "Atkinson", "given" : "F", "non-dropping-particle" : "", "parse-names" : false, "suffix" : "" }, { "dropping-particle" : "", "family" : "Tierney", "given" : "G M", "non-dropping-particle" : "", "parse-names" : false, "suffix" : "" }, { "dropping-particle" : "", "family" : "Lund", "given" : "J N", "non-dropping-particle" : "", "parse-names" : false, "suffix" : "" } ], "container-title" : "Colorectal disease : the official journal of the Association of Coloproctology of Great Britain and Ireland", "id" : "ITEM-3", "issue" : "8", "issued" : { "date-parts" : [ [ "2013", "8" ] ] }, "page" : "963-7", "title" : "'Be Clear on Cancer': the impact of the UK National Bowel Cancer Awareness Campaign.", "type" : "article-journal", "volume" : "15" }, "uris" : [ "http://www.mendeley.com/documents/?uuid=9c42f51c-2ff4-4587-9aac-a74d7690f660" ] } ], "mendeley" : { "formattedCitation" : "[2\u20134]", "plainTextFormattedCitation" : "[2\u20134]", "previouslyFormattedCitation" : "[2\u20134]" }, "properties" : { "noteIndex" : 0 }, "schema" : "https://github.com/citation-style-language/schema/raw/master/csl-citation.json" }</w:instrText>
      </w:r>
      <w:r w:rsidR="001663D4">
        <w:rPr>
          <w:rFonts w:ascii="Times New Roman" w:hAnsi="Times New Roman" w:cs="Times New Roman"/>
        </w:rPr>
        <w:fldChar w:fldCharType="separate"/>
      </w:r>
      <w:r w:rsidR="00467672" w:rsidRPr="00467672">
        <w:rPr>
          <w:rFonts w:ascii="Times New Roman" w:hAnsi="Times New Roman" w:cs="Times New Roman"/>
          <w:noProof/>
        </w:rPr>
        <w:t>[2–4]</w:t>
      </w:r>
      <w:r w:rsidR="001663D4">
        <w:rPr>
          <w:rFonts w:ascii="Times New Roman" w:hAnsi="Times New Roman" w:cs="Times New Roman"/>
        </w:rPr>
        <w:fldChar w:fldCharType="end"/>
      </w:r>
      <w:r w:rsidRPr="001E3505">
        <w:rPr>
          <w:rFonts w:ascii="Times New Roman" w:hAnsi="Times New Roman" w:cs="Times New Roman"/>
        </w:rPr>
        <w:t>.</w:t>
      </w:r>
    </w:p>
    <w:p w14:paraId="0DA0E662" w14:textId="77777777" w:rsidR="00614601" w:rsidRPr="001E3505" w:rsidRDefault="00614601" w:rsidP="00F52F10">
      <w:pPr>
        <w:spacing w:line="480" w:lineRule="auto"/>
        <w:jc w:val="both"/>
        <w:rPr>
          <w:rFonts w:ascii="Times New Roman" w:hAnsi="Times New Roman" w:cs="Times New Roman"/>
        </w:rPr>
      </w:pPr>
    </w:p>
    <w:p w14:paraId="37B80CCD" w14:textId="380D2D28" w:rsidR="002748BC" w:rsidRPr="00D43E8E" w:rsidRDefault="009D64C9" w:rsidP="00F52F10">
      <w:pPr>
        <w:spacing w:line="480" w:lineRule="auto"/>
        <w:jc w:val="both"/>
        <w:rPr>
          <w:rFonts w:ascii="Times New Roman" w:hAnsi="Times New Roman" w:cs="Times New Roman"/>
        </w:rPr>
      </w:pPr>
      <w:r>
        <w:rPr>
          <w:rFonts w:ascii="Times New Roman" w:hAnsi="Times New Roman" w:cs="Times New Roman"/>
        </w:rPr>
        <w:t>One of t</w:t>
      </w:r>
      <w:r w:rsidR="003F48A3">
        <w:rPr>
          <w:rFonts w:ascii="Times New Roman" w:hAnsi="Times New Roman" w:cs="Times New Roman"/>
        </w:rPr>
        <w:t xml:space="preserve">he most recent </w:t>
      </w:r>
      <w:r w:rsidR="00651088">
        <w:rPr>
          <w:rFonts w:ascii="Times New Roman" w:hAnsi="Times New Roman" w:cs="Times New Roman"/>
        </w:rPr>
        <w:t>of Public Health England’s ‘Be clear on cancer’ mass media campaigns</w:t>
      </w:r>
      <w:r w:rsidR="003852DA">
        <w:rPr>
          <w:rFonts w:ascii="Times New Roman" w:hAnsi="Times New Roman" w:cs="Times New Roman"/>
        </w:rPr>
        <w:t xml:space="preserve"> </w:t>
      </w:r>
      <w:r w:rsidR="004F07D8">
        <w:rPr>
          <w:rFonts w:ascii="Times New Roman" w:hAnsi="Times New Roman" w:cs="Times New Roman"/>
        </w:rPr>
        <w:t xml:space="preserve">targeted </w:t>
      </w:r>
      <w:r w:rsidR="003F48A3">
        <w:rPr>
          <w:rFonts w:ascii="Times New Roman" w:hAnsi="Times New Roman" w:cs="Times New Roman"/>
        </w:rPr>
        <w:t>the attendance of patients to primary care with visible haematuria</w:t>
      </w:r>
      <w:r w:rsidR="00444F1A">
        <w:rPr>
          <w:rFonts w:ascii="Times New Roman" w:hAnsi="Times New Roman" w:cs="Times New Roman"/>
        </w:rPr>
        <w:t xml:space="preserve"> (Figure 1)</w:t>
      </w:r>
      <w:r w:rsidR="00734FA2">
        <w:rPr>
          <w:rFonts w:ascii="Times New Roman" w:hAnsi="Times New Roman" w:cs="Times New Roman"/>
        </w:rPr>
        <w:t>. T</w:t>
      </w:r>
      <w:r w:rsidR="00693D35">
        <w:rPr>
          <w:rFonts w:ascii="Times New Roman" w:hAnsi="Times New Roman" w:cs="Times New Roman"/>
        </w:rPr>
        <w:t>his national</w:t>
      </w:r>
      <w:r w:rsidR="00734FA2">
        <w:rPr>
          <w:rFonts w:ascii="Times New Roman" w:hAnsi="Times New Roman" w:cs="Times New Roman"/>
        </w:rPr>
        <w:t xml:space="preserve"> campaign was run across England between October and November 2013 and</w:t>
      </w:r>
      <w:r w:rsidR="003F48A3">
        <w:rPr>
          <w:rFonts w:ascii="Times New Roman" w:hAnsi="Times New Roman" w:cs="Times New Roman"/>
        </w:rPr>
        <w:t xml:space="preserve"> </w:t>
      </w:r>
      <w:r w:rsidR="00734FA2">
        <w:rPr>
          <w:rFonts w:ascii="Times New Roman" w:hAnsi="Times New Roman" w:cs="Times New Roman"/>
        </w:rPr>
        <w:t xml:space="preserve">was comprised of billboard, television and radio advertisements. </w:t>
      </w:r>
      <w:r w:rsidR="00C8681F">
        <w:rPr>
          <w:rFonts w:ascii="Times New Roman" w:hAnsi="Times New Roman" w:cs="Times New Roman"/>
        </w:rPr>
        <w:t xml:space="preserve">Up to 20% of patients with visible haematuria will be found to have an underlying malignancy </w:t>
      </w:r>
      <w:r w:rsidR="00C82A4B">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"10.1111/j.1464-410X.2006.05976.x", "ISSN" : "1464-4096", "PMID" : "16430634", "abstract" : "OBJECTIVE: To clarify the prevalence of disease as determined by age, sex and the degree of haematuria at presentation, and to ascertain the merits of using ultrasonography (US), i.v. urography (IVU) or both when imaging the upper urinary tract, in a prospective cohort of patients attending a protocol-based haematuria clinic.\n\nPATIENTS AND METHODS: In a two-tier protocol, as a part of first-line investigation, all 4020 patients attending the clinic between October 1998 and August 2003 had US and flexible cystoscopy. Subsequently, IVU was used where indicated following abnormal first-line tests and in patients with persistent haematuria where no abnormality had been detected.\n\nRESULTS: In all, 2627 men and 1393 women presented with microscopic (53.2%) or macroscopic haematuria (46.8%). The overall prevalence of malignant disease was 12.1%, but for macroscopic haematuria it was 18.9% and for microscopic haematuria 4.8%. Age and sex also influenced the observed rates of disease. Of the upper tract tumours, 70 were identified after abnormal US, with three cases of transitional cell carcinoma identified on IVU after a normal US.\n\nCONCLUSIONS: The study provides a rationale for the appropriate investigation of all patients, moderated by the age, sex and degree of haematuria, and the ubiquitous use of US with selective IVU based on age, sex and degree of (and persistence of) haematuria.", "author" : [ { "dropping-particle" : "", "family" : "Edwards", "given" : "Tom J", "non-dropping-particle" : "", "parse-names" : false, "suffix" : "" }, { "dropping-particle" : "", "family" : "Dickinson", "given" : "Andrew J", "non-dropping-particle" : "", "parse-names" : false, "suffix" : "" }, { "dropping-particle" : "", "family" : "Natale", "given" : "Salvatore", "non-dropping-particle" : "", "parse-names" : false, "suffix" : "" }, { "dropping-particle" : "", "family" : "Gosling", "given" : "Jane", "non-dropping-particle" : "", "parse-names" : false, "suffix" : "" }, { "dropping-particle" : "", "family" : "McGrath", "given" : "John S", "non-dropping-particle" : "", "parse-names" : false, "suffix" : "" } ], "container-title" : "BJU international", "id" : "ITEM-1", "issue" : "2", "issued" : { "date-parts" : [ [ "2006", "2" ] ] }, "page" : "301-5; discussion 305", "title" : "A prospective analysis of the diagnostic yield resulting from the attendance of 4020 patients at a protocol-driven haematuria clinic.", "type" : "article-journal", "volume" : "97" }, "uris" : [ "http://www.mendeley.com/documents/?uuid=f6d24aa4-0593-4eca-b98e-1e0dd47bd32a" ] }, { "id" : "ITEM-2", "itemData" : { "ISSN" : "0022-5347", "PMID" : "10647670", "abstract" : "PURPOSE: The commonly accepted diagnostic algorithm for hematuria includes excretory urography (IVP) and cystoscopy. Some have suggested that ultrasound of the upper urinary tract is adequate and that cystoscopy is not necessary in younger patients with microscopic hematuria. We ascertain whether a less intensive algorithm could be adopted while retaining diagnostic efficacy.\n\nMATERIALS AND METHODS: A total of 1,930 patients were enrolled prospectively in the study at a hematuria clinic between October 1994 and March 1997. Evaluation consisted of basic demographics, history and examination, routine blood tests, urinalysis and cytology. All patients underwent plain abdominal radiography, renal ultrasound, IVP and flexible cystoscopy.\n\nRESULTS: A total of 1,194 males and 736 females with a mean age of 58 years (range 17 to 96) were included in the study. Overall, 61% of patients had no basis found for hematuria, 12% had bladder cancer, 13% had urinary tract infection and 2% had stones. Kidney and upper tract tumors were noted in 14 patients (0.7%), including 4 who presented with microscopic hematuria. If only ultrasound or IVP had been performed 4 of these cases would have been missed. Of 982 patients presenting with microscopic hematuria 51 had cancer. Bladder cancer was found in 7 patients younger than 40 years.\n\nCONCLUSIONS: Our findings suggest that cystoscopy cannot be safely avoided even in younger patients with microscopic hematuria. Only a combination of ultrasound and IVP detected all upper tract tumors.", "author" : [ { "dropping-particle" : "", "family" : "Khadra", "given" : "MH H", "non-dropping-particle" : "", "parse-names" : false, "suffix" : "" }, { "dropping-particle" : "", "family" : "Pickard", "given" : "RS S", "non-dropping-particle" : "", "parse-names" : false, "suffix" : "" }, { "dropping-particle" : "", "family" : "Charlton", "given" : "M", "non-dropping-particle" : "", "parse-names" : false, "suffix" : "" }, { "dropping-particle" : "", "family" : "Powell", "given" : "P H", "non-dropping-particle" : "", "parse-names" : false, "suffix" : "" }, { "dropping-particle" : "", "family" : "Neal", "given" : "D E", "non-dropping-particle" : "", "parse-names" : false, "suffix" : "" } ], "container-title" : "The Journal of urology", "id" : "ITEM-2", "issue" : "2", "issued" : { "date-parts" : [ [ "2000", "2" ] ] }, "page" : "524-7", "title" : "A prospective analysis of 1,930 patients with hematuria to evaluate current diagnostic practice.", "type" : "article-journal", "volume" : "163" }, "uris" : [ "http://www.mendeley.com/documents/?uuid=ef3b2464-bf20-4045-b8d2-dffc55679316" ] } ], "mendeley" : { "formattedCitation" : "[5,6]", "plainTextFormattedCitation" : "[5,6]", "previouslyFormattedCitation" : "[5,6]" }, "properties" : { "noteIndex" : 0 }, "schema" : "https://github.com/citation-style-language/schema/raw/master/csl-citation.json" }</w:instrText>
      </w:r>
      <w:r w:rsidR="00C82A4B">
        <w:rPr>
          <w:rFonts w:ascii="Times New Roman" w:hAnsi="Times New Roman" w:cs="Times New Roman"/>
        </w:rPr>
        <w:fldChar w:fldCharType="separate"/>
      </w:r>
      <w:r w:rsidR="00467672" w:rsidRPr="00467672">
        <w:rPr>
          <w:rFonts w:ascii="Times New Roman" w:hAnsi="Times New Roman" w:cs="Times New Roman"/>
          <w:noProof/>
        </w:rPr>
        <w:t>[5,6]</w:t>
      </w:r>
      <w:r w:rsidR="00C82A4B">
        <w:rPr>
          <w:rFonts w:ascii="Times New Roman" w:hAnsi="Times New Roman" w:cs="Times New Roman"/>
        </w:rPr>
        <w:fldChar w:fldCharType="end"/>
      </w:r>
      <w:r w:rsidR="00C8681F">
        <w:rPr>
          <w:rFonts w:ascii="Times New Roman" w:hAnsi="Times New Roman" w:cs="Times New Roman"/>
        </w:rPr>
        <w:t xml:space="preserve"> using protocol driven investi</w:t>
      </w:r>
      <w:r w:rsidR="004D33E8">
        <w:rPr>
          <w:rFonts w:ascii="Times New Roman" w:hAnsi="Times New Roman" w:cs="Times New Roman"/>
        </w:rPr>
        <w:t>gation including urinary tract u</w:t>
      </w:r>
      <w:r w:rsidR="00651088">
        <w:rPr>
          <w:rFonts w:ascii="Times New Roman" w:hAnsi="Times New Roman" w:cs="Times New Roman"/>
        </w:rPr>
        <w:t>ltrasound, CT u</w:t>
      </w:r>
      <w:r w:rsidR="00C8681F">
        <w:rPr>
          <w:rFonts w:ascii="Times New Roman" w:hAnsi="Times New Roman" w:cs="Times New Roman"/>
        </w:rPr>
        <w:t xml:space="preserve">rogram </w:t>
      </w:r>
      <w:r w:rsidR="00467672">
        <w:rPr>
          <w:rFonts w:ascii="Times New Roman" w:hAnsi="Times New Roman" w:cs="Times New Roman"/>
        </w:rPr>
        <w:t>and</w:t>
      </w:r>
      <w:r w:rsidR="00C8681F">
        <w:rPr>
          <w:rFonts w:ascii="Times New Roman" w:hAnsi="Times New Roman" w:cs="Times New Roman"/>
        </w:rPr>
        <w:t xml:space="preserve"> flexible cystoscopy </w:t>
      </w:r>
      <w:r w:rsidR="00C82A4B">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"author" : [ { "dropping-particle" : "", "family" : "Rodgers", "given" : "M", "non-dropping-particle" : "", "parse-names" : false, "suffix" : "" }, { "dropping-particle" : "", "family" : "Nixon", "given" : "J", "non-dropping-particle" : "", "parse-names" : false, "suffix" : "" }, { "dropping-particle" : "", "family" : "Hempel", "given" : "S", "non-dropping-particle" : "", "parse-names" : false, "suffix" : "" }, { "dropping-particle" : "", "family" : "Aho", "given" : "T", "non-dropping-particle" : "", "parse-names" : false, "suffix" : "" }, { "dropping-particle" : "", "family" : "Kelly", "given" : "J", "non-dropping-particle" : "", "parse-names" : false, "suffix" : "" }, { "dropping-particle" : "", "family" : "Neal", "given" : "D", "non-dropping-particle" : "", "parse-names" : false, "suffix" : "" }, { "dropping-particle" : "", "family" : "Duffy", "given" : "S", "non-dropping-particle" : "", "parse-names" : false, "suffix" : "" }, { "dropping-particle" : "", "family" : "Ritchie", "given" : "G", "non-dropping-particle" : "", "parse-names" : false, "suffix" : "" }, { "dropping-particle" : "", "family" : "Kleijnen", "given" : "J", "non-dropping-particle" : "", "parse-names" : false, "suffix" : "" } ], "container-title" : "Health Technology Assessment", "id" : "ITEM-1", "issue" : "18", "issued" : { "date-parts" : [ [ "2006" ] ] }, "title" : "Diagnostic tests and algorithms used in the investigation of haematuria", "type" : "article-journal", "volume" : "10" }, "uris" : [ "http://www.mendeley.com/documents/?uuid=bccfbd08-7f58-4713-8ef0-1d5c27be99b1" ] } ], "mendeley" : { "formattedCitation" : "[7]", "plainTextFormattedCitation" : "[7]", "previouslyFormattedCitation" : "[7]" }, "properties" : { "noteIndex" : 0 }, "schema" : "https://github.com/citation-style-language/schema/raw/master/csl-citation.json" }</w:instrText>
      </w:r>
      <w:r w:rsidR="00C82A4B">
        <w:rPr>
          <w:rFonts w:ascii="Times New Roman" w:hAnsi="Times New Roman" w:cs="Times New Roman"/>
        </w:rPr>
        <w:fldChar w:fldCharType="separate"/>
      </w:r>
      <w:r w:rsidR="00467672" w:rsidRPr="00467672">
        <w:rPr>
          <w:rFonts w:ascii="Times New Roman" w:hAnsi="Times New Roman" w:cs="Times New Roman"/>
          <w:noProof/>
        </w:rPr>
        <w:t>[7]</w:t>
      </w:r>
      <w:r w:rsidR="00C82A4B">
        <w:rPr>
          <w:rFonts w:ascii="Times New Roman" w:hAnsi="Times New Roman" w:cs="Times New Roman"/>
        </w:rPr>
        <w:fldChar w:fldCharType="end"/>
      </w:r>
      <w:r w:rsidR="004C04E1">
        <w:rPr>
          <w:rFonts w:ascii="Times New Roman" w:hAnsi="Times New Roman" w:cs="Times New Roman"/>
        </w:rPr>
        <w:t xml:space="preserve">; </w:t>
      </w:r>
      <w:r w:rsidR="00C8681F">
        <w:rPr>
          <w:rFonts w:ascii="Times New Roman" w:hAnsi="Times New Roman" w:cs="Times New Roman"/>
        </w:rPr>
        <w:t>th</w:t>
      </w:r>
      <w:r w:rsidR="004C04E1">
        <w:rPr>
          <w:rFonts w:ascii="Times New Roman" w:hAnsi="Times New Roman" w:cs="Times New Roman"/>
        </w:rPr>
        <w:t>e</w:t>
      </w:r>
      <w:r w:rsidR="00C8681F">
        <w:rPr>
          <w:rFonts w:ascii="Times New Roman" w:hAnsi="Times New Roman" w:cs="Times New Roman"/>
        </w:rPr>
        <w:t xml:space="preserve"> combination </w:t>
      </w:r>
      <w:r w:rsidR="004C04E1">
        <w:rPr>
          <w:rFonts w:ascii="Times New Roman" w:hAnsi="Times New Roman" w:cs="Times New Roman"/>
        </w:rPr>
        <w:t xml:space="preserve">of which </w:t>
      </w:r>
      <w:r w:rsidR="00C8681F">
        <w:rPr>
          <w:rFonts w:ascii="Times New Roman" w:hAnsi="Times New Roman" w:cs="Times New Roman"/>
        </w:rPr>
        <w:t>has been shown to have high specificity and sensitivity for both re</w:t>
      </w:r>
      <w:r w:rsidR="004C04E1">
        <w:rPr>
          <w:rFonts w:ascii="Times New Roman" w:hAnsi="Times New Roman" w:cs="Times New Roman"/>
        </w:rPr>
        <w:t>n</w:t>
      </w:r>
      <w:r w:rsidR="00C8681F">
        <w:rPr>
          <w:rFonts w:ascii="Times New Roman" w:hAnsi="Times New Roman" w:cs="Times New Roman"/>
        </w:rPr>
        <w:t xml:space="preserve">al and transitional cell carcinoma </w:t>
      </w:r>
      <w:r w:rsidR="00F42707">
        <w:rPr>
          <w:rFonts w:ascii="Times New Roman" w:hAnsi="Times New Roman" w:cs="Times New Roman"/>
        </w:rPr>
        <w:t>d</w:t>
      </w:r>
      <w:r w:rsidR="00F75ECC">
        <w:rPr>
          <w:rFonts w:ascii="Times New Roman" w:hAnsi="Times New Roman" w:cs="Times New Roman"/>
        </w:rPr>
        <w:t>etection</w:t>
      </w:r>
      <w:r w:rsidR="00F42707">
        <w:rPr>
          <w:rFonts w:ascii="Times New Roman" w:hAnsi="Times New Roman" w:cs="Times New Roman"/>
        </w:rPr>
        <w:t xml:space="preserve"> </w:t>
      </w:r>
      <w:r w:rsidR="00C82A4B">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"10.1111/j.1464-410X.2006.05976.x", "ISSN" : "1464-4096", "PMID" : "16430634", "abstract" : "OBJECTIVE: To clarify the prevalence of disease as determined by age, sex and the degree of haematuria at presentation, and to ascertain the merits of using ultrasonography (US), i.v. urography (IVU) or both when imaging the upper urinary tract, in a prospective cohort of patients attending a protocol-based haematuria clinic.\n\nPATIENTS AND METHODS: In a two-tier protocol, as a part of first-line investigation, all 4020 patients attending the clinic between October 1998 and August 2003 had US and flexible cystoscopy. Subsequently, IVU was used where indicated following abnormal first-line tests and in patients with persistent haematuria where no abnormality had been detected.\n\nRESULTS: In all, 2627 men and 1393 women presented with microscopic (53.2%) or macroscopic haematuria (46.8%). The overall prevalence of malignant disease was 12.1%, but for macroscopic haematuria it was 18.9% and for microscopic haematuria 4.8%. Age and sex also influenced the observed rates of disease. Of the upper tract tumours, 70 were identified after abnormal US, with three cases of transitional cell carcinoma identified on IVU after a normal US.\n\nCONCLUSIONS: The study provides a rationale for the appropriate investigation of all patients, moderated by the age, sex and degree of haematuria, and the ubiquitous use of US with selective IVU based on age, sex and degree of (and persistence of) haematuria.", "author" : [ { "dropping-particle" : "", "family" : "Edwards", "given" : "Tom J", "non-dropping-particle" : "", "parse-names" : false, "suffix" : "" }, { "dropping-particle" : "", "family" : "Dickinson", "given" : "Andrew J", "non-dropping-particle" : "", "parse-names" : false, "suffix" : "" }, { "dropping-particle" : "", "family" : "Natale", "given" : "Salvatore", "non-dropping-particle" : "", "parse-names" : false, "suffix" : "" }, { "dropping-particle" : "", "family" : "Gosling", "given" : "Jane", "non-dropping-particle" : "", "parse-names" : false, "suffix" : "" }, { "dropping-particle" : "", "family" : "McGrath", "given" : "John S", "non-dropping-particle" : "", "parse-names" : false, "suffix" : "" } ], "container-title" : "BJU international", "id" : "ITEM-1", "issue" : "2", "issued" : { "date-parts" : [ [ "2006", "2" ] ] }, "page" : "301-5; discussion 305", "title" : "A prospective analysis of the diagnostic yield resulting from the attendance of 4020 patients at a protocol-driven haematuria clinic.", "type" : "article-journal", "volume" : "97" }, "uris" : [ "http://www.mendeley.com/documents/?uuid=f6d24aa4-0593-4eca-b98e-1e0dd47bd32a" ] }, { "id" : "ITEM-2", "itemData" : { "author" : [ { "dropping-particle" : "", "family" : "Rodgers", "given" : "M", "non-dropping-particle" : "", "parse-names" : false, "suffix" : "" }, { "dropping-particle" : "", "family" : "Nixon", "given" : "J", "non-dropping-particle" : "", "parse-names" : false, "suffix" : "" }, { "dropping-particle" : "", "family" : "Hempel", "given" : "S", "non-dropping-particle" : "", "parse-names" : false, "suffix" : "" }, { "dropping-particle" : "", "family" : "Aho", "given" : "T", "non-dropping-particle" : "", "parse-names" : false, "suffix" : "" }, { "dropping-particle" : "", "family" : "Kelly", "given" : "J", "non-dropping-particle" : "", "parse-names" : false, "suffix" : "" }, { "dropping-particle" : "", "family" : "Neal", "given" : "D", "non-dropping-particle" : "", "parse-names" : false, "suffix" : "" }, { "dropping-particle" : "", "family" : "Duffy", "given" : "S", "non-dropping-particle" : "", "parse-names" : false, "suffix" : "" }, { "dropping-particle" : "", "family" : "Ritchie", "given" : "G", "non-dropping-particle" : "", "parse-names" : false, "suffix" : "" }, { "dropping-particle" : "", "family" : "Kleijnen", "given" : "J", "non-dropping-particle" : "", "parse-names" : false, "suffix" : "" } ], "container-title" : "Health Technology Assessment", "id" : "ITEM-2", "issue" : "18", "issued" : { "date-parts" : [ [ "2006" ] ] }, "title" : "Diagnostic tests and algorithms used in the investigation of haematuria", "type" : "article-journal", "volume" : "10" }, "uris" : [ "http://www.mendeley.com/documents/?uuid=bccfbd08-7f58-4713-8ef0-1d5c27be99b1" ] } ], "mendeley" : { "formattedCitation" : "[5,7]", "plainTextFormattedCitation" : "[5,7]", "previouslyFormattedCitation" : "[5,7]" }, "properties" : { "noteIndex" : 0 }, "schema" : "https://github.com/citation-style-language/schema/raw/master/csl-citation.json" }</w:instrText>
      </w:r>
      <w:r w:rsidR="00C82A4B">
        <w:rPr>
          <w:rFonts w:ascii="Times New Roman" w:hAnsi="Times New Roman" w:cs="Times New Roman"/>
        </w:rPr>
        <w:fldChar w:fldCharType="separate"/>
      </w:r>
      <w:r w:rsidR="00467672" w:rsidRPr="00467672">
        <w:rPr>
          <w:rFonts w:ascii="Times New Roman" w:hAnsi="Times New Roman" w:cs="Times New Roman"/>
          <w:noProof/>
        </w:rPr>
        <w:t>[5,7]</w:t>
      </w:r>
      <w:r w:rsidR="00C82A4B">
        <w:rPr>
          <w:rFonts w:ascii="Times New Roman" w:hAnsi="Times New Roman" w:cs="Times New Roman"/>
        </w:rPr>
        <w:fldChar w:fldCharType="end"/>
      </w:r>
      <w:r w:rsidR="00C8681F">
        <w:rPr>
          <w:rFonts w:ascii="Times New Roman" w:hAnsi="Times New Roman" w:cs="Times New Roman"/>
        </w:rPr>
        <w:t xml:space="preserve">. </w:t>
      </w:r>
      <w:r w:rsidR="008F7EBF" w:rsidRPr="001E3505">
        <w:rPr>
          <w:rFonts w:ascii="Times New Roman" w:hAnsi="Times New Roman" w:cs="Times New Roman"/>
        </w:rPr>
        <w:t>Transitional and renal cell carcinomas represent a significant cancer burden</w:t>
      </w:r>
      <w:r w:rsidR="00707505">
        <w:rPr>
          <w:rFonts w:ascii="Times New Roman" w:hAnsi="Times New Roman" w:cs="Times New Roman"/>
        </w:rPr>
        <w:t>,</w:t>
      </w:r>
      <w:r w:rsidR="008F7EBF" w:rsidRPr="001E3505">
        <w:rPr>
          <w:rFonts w:ascii="Times New Roman" w:hAnsi="Times New Roman" w:cs="Times New Roman"/>
        </w:rPr>
        <w:t xml:space="preserve"> </w:t>
      </w:r>
      <w:r w:rsidR="009D31B2">
        <w:rPr>
          <w:rFonts w:ascii="Times New Roman" w:hAnsi="Times New Roman" w:cs="Times New Roman"/>
        </w:rPr>
        <w:t>with approximately 10,000</w:t>
      </w:r>
      <w:r w:rsidR="006E3AEA">
        <w:rPr>
          <w:rFonts w:ascii="Times New Roman" w:hAnsi="Times New Roman" w:cs="Times New Roman"/>
        </w:rPr>
        <w:t xml:space="preserve"> </w:t>
      </w:r>
      <w:r w:rsidR="00F417A3" w:rsidRPr="001E3505">
        <w:rPr>
          <w:rFonts w:ascii="Times New Roman" w:hAnsi="Times New Roman" w:cs="Times New Roman"/>
        </w:rPr>
        <w:t xml:space="preserve">new cancer diagnoses </w:t>
      </w:r>
      <w:r w:rsidR="009D31B2">
        <w:rPr>
          <w:rFonts w:ascii="Times New Roman" w:hAnsi="Times New Roman" w:cs="Times New Roman"/>
        </w:rPr>
        <w:t xml:space="preserve">of each </w:t>
      </w:r>
      <w:r w:rsidR="00F417A3" w:rsidRPr="001E3505">
        <w:rPr>
          <w:rFonts w:ascii="Times New Roman" w:hAnsi="Times New Roman" w:cs="Times New Roman"/>
        </w:rPr>
        <w:t>in the UK</w:t>
      </w:r>
      <w:r w:rsidR="006E3AEA">
        <w:rPr>
          <w:rFonts w:ascii="Times New Roman" w:hAnsi="Times New Roman" w:cs="Times New Roman"/>
        </w:rPr>
        <w:t xml:space="preserve"> per year</w:t>
      </w:r>
      <w:r w:rsidR="00D43E8E">
        <w:rPr>
          <w:rFonts w:ascii="Times New Roman" w:hAnsi="Times New Roman" w:cs="Times New Roman"/>
        </w:rPr>
        <w:t xml:space="preserve"> </w:t>
      </w:r>
      <w:r w:rsidR="00D43E8E">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"URL" : "http://www.cancerresearchuk.org/cancer-info/cancerstats/", "accessed" : { "date-parts" : [ [ "2014", "10", "27" ] ] }, "container-title" : "Cancer Research UK", "id" : "ITEM-1", "issued" : { "date-parts" : [ [ "2014" ] ] }, "title" : "Cancer Statistics", "type" : "webpage" }, "uris" : [ "http://www.mendeley.com/documents/?uuid=896fd6d5-44c1-4548-9f3b-a8c60a60582b" ] } ], "mendeley" : { "formattedCitation" : "[8]", "plainTextFormattedCitation" : "[8]", "previouslyFormattedCitation" : "[8]" }, "properties" : { "noteIndex" : 0 }, "schema" : "https://github.com/citation-style-language/schema/raw/master/csl-citation.json" }</w:instrText>
      </w:r>
      <w:r w:rsidR="00D43E8E">
        <w:rPr>
          <w:rFonts w:ascii="Times New Roman" w:hAnsi="Times New Roman" w:cs="Times New Roman"/>
        </w:rPr>
        <w:fldChar w:fldCharType="separate"/>
      </w:r>
      <w:r w:rsidR="00D43E8E" w:rsidRPr="00D43E8E">
        <w:rPr>
          <w:rFonts w:ascii="Times New Roman" w:hAnsi="Times New Roman" w:cs="Times New Roman"/>
          <w:noProof/>
        </w:rPr>
        <w:t>[8]</w:t>
      </w:r>
      <w:r w:rsidR="00D43E8E">
        <w:rPr>
          <w:rFonts w:ascii="Times New Roman" w:hAnsi="Times New Roman" w:cs="Times New Roman"/>
        </w:rPr>
        <w:fldChar w:fldCharType="end"/>
      </w:r>
      <w:r w:rsidR="00F417A3" w:rsidRPr="001E3505">
        <w:rPr>
          <w:rFonts w:ascii="Times New Roman" w:hAnsi="Times New Roman" w:cs="Times New Roman"/>
        </w:rPr>
        <w:t>.</w:t>
      </w:r>
      <w:r w:rsidR="00035E0C">
        <w:rPr>
          <w:rFonts w:ascii="Times New Roman" w:hAnsi="Times New Roman" w:cs="Times New Roman"/>
        </w:rPr>
        <w:t xml:space="preserve"> </w:t>
      </w:r>
      <w:r w:rsidR="00CB43CD">
        <w:rPr>
          <w:rFonts w:ascii="Times New Roman" w:hAnsi="Times New Roman" w:cs="Times New Roman"/>
        </w:rPr>
        <w:t xml:space="preserve">These factors combined make </w:t>
      </w:r>
      <w:r w:rsidR="00FB4A67">
        <w:rPr>
          <w:rFonts w:ascii="Times New Roman" w:hAnsi="Times New Roman" w:cs="Times New Roman"/>
        </w:rPr>
        <w:t xml:space="preserve">visible </w:t>
      </w:r>
      <w:r w:rsidR="00CB43CD">
        <w:rPr>
          <w:rFonts w:ascii="Times New Roman" w:hAnsi="Times New Roman" w:cs="Times New Roman"/>
        </w:rPr>
        <w:t xml:space="preserve">haematuria and the </w:t>
      </w:r>
      <w:r w:rsidR="006A6BE0">
        <w:rPr>
          <w:rFonts w:ascii="Times New Roman" w:hAnsi="Times New Roman" w:cs="Times New Roman"/>
        </w:rPr>
        <w:t>malignancies</w:t>
      </w:r>
      <w:r w:rsidR="00CB43CD">
        <w:rPr>
          <w:rFonts w:ascii="Times New Roman" w:hAnsi="Times New Roman" w:cs="Times New Roman"/>
        </w:rPr>
        <w:t xml:space="preserve"> that underlie it</w:t>
      </w:r>
      <w:r w:rsidR="006A6BE0">
        <w:rPr>
          <w:rFonts w:ascii="Times New Roman" w:hAnsi="Times New Roman" w:cs="Times New Roman"/>
        </w:rPr>
        <w:t>,</w:t>
      </w:r>
      <w:r w:rsidR="00CB43CD">
        <w:rPr>
          <w:rFonts w:ascii="Times New Roman" w:hAnsi="Times New Roman" w:cs="Times New Roman"/>
        </w:rPr>
        <w:t xml:space="preserve"> an ideal target for a mass media</w:t>
      </w:r>
      <w:r w:rsidR="00444F1A">
        <w:rPr>
          <w:rFonts w:ascii="Times New Roman" w:hAnsi="Times New Roman" w:cs="Times New Roman"/>
        </w:rPr>
        <w:t xml:space="preserve"> public health</w:t>
      </w:r>
      <w:r w:rsidR="00CB43CD">
        <w:rPr>
          <w:rFonts w:ascii="Times New Roman" w:hAnsi="Times New Roman" w:cs="Times New Roman"/>
        </w:rPr>
        <w:t xml:space="preserve"> campaign.</w:t>
      </w:r>
      <w:r w:rsidR="00444F1A">
        <w:rPr>
          <w:rFonts w:ascii="Times New Roman" w:hAnsi="Times New Roman" w:cs="Times New Roman"/>
          <w:color w:val="1C1C1C"/>
          <w:lang w:val="en-US"/>
        </w:rPr>
        <w:t xml:space="preserve"> </w:t>
      </w:r>
      <w:r w:rsidR="00251910">
        <w:rPr>
          <w:rFonts w:ascii="Times New Roman" w:hAnsi="Times New Roman" w:cs="Times New Roman"/>
        </w:rPr>
        <w:t>Th</w:t>
      </w:r>
      <w:r w:rsidR="007011E5">
        <w:rPr>
          <w:rFonts w:ascii="Times New Roman" w:hAnsi="Times New Roman" w:cs="Times New Roman"/>
        </w:rPr>
        <w:t xml:space="preserve">e primary objective of this paper was </w:t>
      </w:r>
      <w:r w:rsidR="00251910">
        <w:rPr>
          <w:rFonts w:ascii="Times New Roman" w:hAnsi="Times New Roman" w:cs="Times New Roman"/>
        </w:rPr>
        <w:t xml:space="preserve">to assess the impact and longevity of </w:t>
      </w:r>
      <w:r w:rsidR="00444F1A">
        <w:rPr>
          <w:rFonts w:ascii="Times New Roman" w:hAnsi="Times New Roman" w:cs="Times New Roman"/>
        </w:rPr>
        <w:t>th</w:t>
      </w:r>
      <w:r w:rsidR="007011E5">
        <w:rPr>
          <w:rFonts w:ascii="Times New Roman" w:hAnsi="Times New Roman" w:cs="Times New Roman"/>
        </w:rPr>
        <w:t>e</w:t>
      </w:r>
      <w:r w:rsidR="00251910">
        <w:rPr>
          <w:rFonts w:ascii="Times New Roman" w:hAnsi="Times New Roman" w:cs="Times New Roman"/>
        </w:rPr>
        <w:t xml:space="preserve"> </w:t>
      </w:r>
      <w:r w:rsidR="00567357">
        <w:rPr>
          <w:rFonts w:ascii="Times New Roman" w:hAnsi="Times New Roman" w:cs="Times New Roman"/>
        </w:rPr>
        <w:t>‘</w:t>
      </w:r>
      <w:proofErr w:type="gramStart"/>
      <w:r w:rsidR="00567357">
        <w:rPr>
          <w:rFonts w:ascii="Times New Roman" w:hAnsi="Times New Roman" w:cs="Times New Roman"/>
        </w:rPr>
        <w:t>Be</w:t>
      </w:r>
      <w:proofErr w:type="gramEnd"/>
      <w:r w:rsidR="00567357">
        <w:rPr>
          <w:rFonts w:ascii="Times New Roman" w:hAnsi="Times New Roman" w:cs="Times New Roman"/>
        </w:rPr>
        <w:t xml:space="preserve"> clear on cancer: blood in pee</w:t>
      </w:r>
      <w:r w:rsidR="004575AC">
        <w:rPr>
          <w:rFonts w:ascii="Times New Roman" w:hAnsi="Times New Roman" w:cs="Times New Roman"/>
        </w:rPr>
        <w:t xml:space="preserve">’ </w:t>
      </w:r>
      <w:r w:rsidR="00251910">
        <w:rPr>
          <w:rFonts w:ascii="Times New Roman" w:hAnsi="Times New Roman" w:cs="Times New Roman"/>
        </w:rPr>
        <w:t xml:space="preserve">campaign on cancer diagnosis and </w:t>
      </w:r>
      <w:r w:rsidR="00467672">
        <w:rPr>
          <w:rFonts w:ascii="Times New Roman" w:hAnsi="Times New Roman" w:cs="Times New Roman"/>
        </w:rPr>
        <w:t>referral burden</w:t>
      </w:r>
      <w:r w:rsidR="00251910">
        <w:rPr>
          <w:rFonts w:ascii="Times New Roman" w:hAnsi="Times New Roman" w:cs="Times New Roman"/>
        </w:rPr>
        <w:t>.</w:t>
      </w:r>
    </w:p>
    <w:p w14:paraId="3FF621C3" w14:textId="77515607" w:rsidR="003C7675" w:rsidRDefault="003C7675" w:rsidP="00F52F10">
      <w:pPr>
        <w:spacing w:line="480" w:lineRule="auto"/>
        <w:jc w:val="both"/>
        <w:rPr>
          <w:rFonts w:ascii="Times New Roman" w:hAnsi="Times New Roman" w:cs="Times New Roman"/>
        </w:rPr>
      </w:pPr>
    </w:p>
    <w:p w14:paraId="05806A0A" w14:textId="77777777" w:rsidR="00035BA7" w:rsidRPr="00D353B6" w:rsidRDefault="00035BA7" w:rsidP="00F52F10">
      <w:pPr>
        <w:spacing w:line="480" w:lineRule="auto"/>
        <w:jc w:val="both"/>
        <w:rPr>
          <w:rFonts w:ascii="Times New Roman" w:hAnsi="Times New Roman" w:cs="Times New Roman"/>
          <w:b/>
        </w:rPr>
      </w:pPr>
      <w:r w:rsidRPr="00D353B6">
        <w:rPr>
          <w:rFonts w:ascii="Times New Roman" w:hAnsi="Times New Roman" w:cs="Times New Roman"/>
          <w:b/>
        </w:rPr>
        <w:t>Methods</w:t>
      </w:r>
    </w:p>
    <w:p w14:paraId="2A70C42C" w14:textId="77777777" w:rsidR="00035BA7" w:rsidRDefault="00035BA7" w:rsidP="00F52F10">
      <w:pPr>
        <w:spacing w:line="480" w:lineRule="auto"/>
        <w:jc w:val="both"/>
        <w:rPr>
          <w:rFonts w:ascii="Times New Roman" w:hAnsi="Times New Roman" w:cs="Times New Roman"/>
        </w:rPr>
      </w:pPr>
    </w:p>
    <w:p w14:paraId="73E90377" w14:textId="6C8A36B0" w:rsidR="00102FC6" w:rsidRDefault="00035BA7" w:rsidP="00102FC6">
      <w:pPr>
        <w:spacing w:line="480" w:lineRule="auto"/>
        <w:jc w:val="both"/>
        <w:rPr>
          <w:rFonts w:ascii="Times New Roman" w:hAnsi="Times New Roman" w:cs="Times New Roman"/>
        </w:rPr>
      </w:pPr>
      <w:r>
        <w:rPr>
          <w:rFonts w:ascii="Times New Roman" w:hAnsi="Times New Roman" w:cs="Times New Roman"/>
        </w:rPr>
        <w:t xml:space="preserve">A retrospective cohort study </w:t>
      </w:r>
      <w:r w:rsidR="00F62033">
        <w:rPr>
          <w:rFonts w:ascii="Times New Roman" w:hAnsi="Times New Roman" w:cs="Times New Roman"/>
        </w:rPr>
        <w:t xml:space="preserve">design </w:t>
      </w:r>
      <w:r>
        <w:rPr>
          <w:rFonts w:ascii="Times New Roman" w:hAnsi="Times New Roman" w:cs="Times New Roman"/>
        </w:rPr>
        <w:t>was</w:t>
      </w:r>
      <w:r w:rsidR="00F62033">
        <w:rPr>
          <w:rFonts w:ascii="Times New Roman" w:hAnsi="Times New Roman" w:cs="Times New Roman"/>
        </w:rPr>
        <w:t xml:space="preserve"> used</w:t>
      </w:r>
      <w:r w:rsidR="00567357">
        <w:rPr>
          <w:rFonts w:ascii="Times New Roman" w:hAnsi="Times New Roman" w:cs="Times New Roman"/>
        </w:rPr>
        <w:t>;</w:t>
      </w:r>
      <w:r w:rsidR="00AE0220">
        <w:rPr>
          <w:rFonts w:ascii="Times New Roman" w:hAnsi="Times New Roman" w:cs="Times New Roman"/>
        </w:rPr>
        <w:t xml:space="preserve"> </w:t>
      </w:r>
      <w:r w:rsidR="000F57BB">
        <w:rPr>
          <w:rFonts w:ascii="Times New Roman" w:hAnsi="Times New Roman" w:cs="Times New Roman"/>
        </w:rPr>
        <w:t>for</w:t>
      </w:r>
      <w:r>
        <w:rPr>
          <w:rFonts w:ascii="Times New Roman" w:hAnsi="Times New Roman" w:cs="Times New Roman"/>
        </w:rPr>
        <w:t xml:space="preserve"> two distinct time periods, August </w:t>
      </w:r>
      <w:r w:rsidR="001A071C">
        <w:rPr>
          <w:rFonts w:ascii="Times New Roman" w:hAnsi="Times New Roman" w:cs="Times New Roman"/>
        </w:rPr>
        <w:t xml:space="preserve">2012 </w:t>
      </w:r>
      <w:r>
        <w:rPr>
          <w:rFonts w:ascii="Times New Roman" w:hAnsi="Times New Roman" w:cs="Times New Roman"/>
        </w:rPr>
        <w:t xml:space="preserve">to </w:t>
      </w:r>
      <w:r w:rsidR="009A7C39">
        <w:rPr>
          <w:rFonts w:ascii="Times New Roman" w:hAnsi="Times New Roman" w:cs="Times New Roman"/>
        </w:rPr>
        <w:t>May</w:t>
      </w:r>
      <w:r w:rsidR="001A071C">
        <w:rPr>
          <w:rFonts w:ascii="Times New Roman" w:hAnsi="Times New Roman" w:cs="Times New Roman"/>
        </w:rPr>
        <w:t xml:space="preserve"> 2013</w:t>
      </w:r>
      <w:r>
        <w:rPr>
          <w:rFonts w:ascii="Times New Roman" w:hAnsi="Times New Roman" w:cs="Times New Roman"/>
        </w:rPr>
        <w:t xml:space="preserve"> and</w:t>
      </w:r>
      <w:r w:rsidR="00BF490D">
        <w:rPr>
          <w:rFonts w:ascii="Times New Roman" w:hAnsi="Times New Roman" w:cs="Times New Roman"/>
        </w:rPr>
        <w:t xml:space="preserve"> </w:t>
      </w:r>
      <w:r w:rsidR="00876362">
        <w:rPr>
          <w:rFonts w:ascii="Times New Roman" w:hAnsi="Times New Roman" w:cs="Times New Roman"/>
        </w:rPr>
        <w:t>August 2013 to May 2014</w:t>
      </w:r>
      <w:r w:rsidR="000F57BB">
        <w:rPr>
          <w:rFonts w:ascii="Times New Roman" w:hAnsi="Times New Roman" w:cs="Times New Roman"/>
        </w:rPr>
        <w:t>, all referrals</w:t>
      </w:r>
      <w:r w:rsidR="002D46A1">
        <w:rPr>
          <w:rFonts w:ascii="Times New Roman" w:hAnsi="Times New Roman" w:cs="Times New Roman"/>
        </w:rPr>
        <w:t xml:space="preserve"> deemed to be at risk of </w:t>
      </w:r>
      <w:r w:rsidR="000F57BB">
        <w:rPr>
          <w:rFonts w:ascii="Times New Roman" w:hAnsi="Times New Roman" w:cs="Times New Roman"/>
        </w:rPr>
        <w:t xml:space="preserve">urological cancer </w:t>
      </w:r>
      <w:r w:rsidR="002D46A1">
        <w:rPr>
          <w:rFonts w:ascii="Times New Roman" w:hAnsi="Times New Roman" w:cs="Times New Roman"/>
        </w:rPr>
        <w:t xml:space="preserve">by the referring primary health care physician </w:t>
      </w:r>
      <w:r w:rsidR="000F57BB">
        <w:rPr>
          <w:rFonts w:ascii="Times New Roman" w:hAnsi="Times New Roman" w:cs="Times New Roman"/>
        </w:rPr>
        <w:t>to Imperial College NHS Healthcare Trust (ICHT) were screened.</w:t>
      </w:r>
      <w:r w:rsidR="00035E0C">
        <w:rPr>
          <w:rFonts w:ascii="Times New Roman" w:hAnsi="Times New Roman" w:cs="Times New Roman"/>
        </w:rPr>
        <w:t xml:space="preserve"> </w:t>
      </w:r>
      <w:r w:rsidR="009308E7">
        <w:rPr>
          <w:rFonts w:ascii="Times New Roman" w:hAnsi="Times New Roman" w:cs="Times New Roman"/>
        </w:rPr>
        <w:t>Data points collected were:</w:t>
      </w:r>
      <w:r w:rsidR="00311CBA">
        <w:rPr>
          <w:rFonts w:ascii="Times New Roman" w:hAnsi="Times New Roman" w:cs="Times New Roman"/>
        </w:rPr>
        <w:t xml:space="preserve"> age and sex of the patient,</w:t>
      </w:r>
      <w:r w:rsidR="00271760">
        <w:rPr>
          <w:rFonts w:ascii="Times New Roman" w:hAnsi="Times New Roman" w:cs="Times New Roman"/>
        </w:rPr>
        <w:t xml:space="preserve"> whether the referral was for visible haematuria, non-visible haematuria or </w:t>
      </w:r>
      <w:r w:rsidR="0086113C">
        <w:rPr>
          <w:rFonts w:ascii="Times New Roman" w:hAnsi="Times New Roman" w:cs="Times New Roman"/>
        </w:rPr>
        <w:t>an</w:t>
      </w:r>
      <w:r w:rsidR="00271760">
        <w:rPr>
          <w:rFonts w:ascii="Times New Roman" w:hAnsi="Times New Roman" w:cs="Times New Roman"/>
        </w:rPr>
        <w:t xml:space="preserve">other </w:t>
      </w:r>
      <w:r w:rsidR="0086113C">
        <w:rPr>
          <w:rFonts w:ascii="Times New Roman" w:hAnsi="Times New Roman" w:cs="Times New Roman"/>
        </w:rPr>
        <w:t xml:space="preserve">non-haematuria related </w:t>
      </w:r>
      <w:r w:rsidR="00271760">
        <w:rPr>
          <w:rFonts w:ascii="Times New Roman" w:hAnsi="Times New Roman" w:cs="Times New Roman"/>
        </w:rPr>
        <w:t xml:space="preserve">suspected urological cancer.  </w:t>
      </w:r>
      <w:r w:rsidR="00102FC6">
        <w:rPr>
          <w:rFonts w:ascii="Times New Roman" w:hAnsi="Times New Roman" w:cs="Times New Roman"/>
        </w:rPr>
        <w:t>In addition to referral data, hospital episode data of all new renal cell, and upper and lower tract transitional cell carcinoma for the same time periods was obtained</w:t>
      </w:r>
      <w:r w:rsidR="002F118D">
        <w:rPr>
          <w:rFonts w:ascii="Times New Roman" w:hAnsi="Times New Roman" w:cs="Times New Roman"/>
        </w:rPr>
        <w:t>, this second dataset set comprised all diagnoses for the periods in question including those not identified through the ‘suspected cancer’ pathway.</w:t>
      </w:r>
    </w:p>
    <w:p w14:paraId="4B677AB2" w14:textId="77777777" w:rsidR="00102FC6" w:rsidRDefault="00102FC6" w:rsidP="00102FC6">
      <w:pPr>
        <w:spacing w:line="480" w:lineRule="auto"/>
        <w:jc w:val="both"/>
        <w:rPr>
          <w:rFonts w:ascii="Times New Roman" w:hAnsi="Times New Roman" w:cs="Times New Roman"/>
        </w:rPr>
      </w:pPr>
    </w:p>
    <w:p w14:paraId="1ED62A99" w14:textId="77777777" w:rsidR="00102FC6" w:rsidRDefault="00880D98" w:rsidP="00880D98">
      <w:pPr>
        <w:spacing w:line="480" w:lineRule="auto"/>
        <w:jc w:val="both"/>
        <w:rPr>
          <w:rFonts w:ascii="Times New Roman" w:hAnsi="Times New Roman" w:cs="Times New Roman"/>
        </w:rPr>
      </w:pPr>
      <w:r>
        <w:rPr>
          <w:rFonts w:ascii="Times New Roman" w:hAnsi="Times New Roman" w:cs="Times New Roman"/>
        </w:rPr>
        <w:t>The 2012-13 time period was used as the comparator group to allow assessment of the impact of the ‘</w:t>
      </w:r>
      <w:proofErr w:type="gramStart"/>
      <w:r>
        <w:rPr>
          <w:rFonts w:ascii="Times New Roman" w:hAnsi="Times New Roman" w:cs="Times New Roman"/>
        </w:rPr>
        <w:t>Be</w:t>
      </w:r>
      <w:proofErr w:type="gramEnd"/>
      <w:r>
        <w:rPr>
          <w:rFonts w:ascii="Times New Roman" w:hAnsi="Times New Roman" w:cs="Times New Roman"/>
        </w:rPr>
        <w:t xml:space="preserve"> clear on cancer: blood in pee’ public health campaign that ran from October to November 2013. </w:t>
      </w:r>
    </w:p>
    <w:p w14:paraId="6CB5E999" w14:textId="77777777" w:rsidR="00102FC6" w:rsidRDefault="00102FC6" w:rsidP="00880D98">
      <w:pPr>
        <w:spacing w:line="480" w:lineRule="auto"/>
        <w:jc w:val="both"/>
        <w:rPr>
          <w:rFonts w:ascii="Times New Roman" w:hAnsi="Times New Roman" w:cs="Times New Roman"/>
        </w:rPr>
      </w:pPr>
    </w:p>
    <w:p w14:paraId="72C89250" w14:textId="5B30D1C6" w:rsidR="00880D98" w:rsidRDefault="00D34F0C" w:rsidP="00880D98">
      <w:pPr>
        <w:spacing w:line="480" w:lineRule="auto"/>
        <w:jc w:val="both"/>
        <w:rPr>
          <w:rFonts w:ascii="Times New Roman" w:hAnsi="Times New Roman" w:cs="Times New Roman"/>
        </w:rPr>
      </w:pPr>
      <w:r>
        <w:rPr>
          <w:rFonts w:ascii="Times New Roman" w:hAnsi="Times New Roman" w:cs="Times New Roman"/>
        </w:rPr>
        <w:t xml:space="preserve">A comparison </w:t>
      </w:r>
      <w:r w:rsidR="00102FC6">
        <w:rPr>
          <w:rFonts w:ascii="Times New Roman" w:hAnsi="Times New Roman" w:cs="Times New Roman"/>
        </w:rPr>
        <w:t>of the August to May time period</w:t>
      </w:r>
      <w:r>
        <w:rPr>
          <w:rFonts w:ascii="Times New Roman" w:hAnsi="Times New Roman" w:cs="Times New Roman"/>
        </w:rPr>
        <w:t>s</w:t>
      </w:r>
      <w:r w:rsidR="00102FC6">
        <w:rPr>
          <w:rFonts w:ascii="Times New Roman" w:hAnsi="Times New Roman" w:cs="Times New Roman"/>
        </w:rPr>
        <w:t xml:space="preserve"> </w:t>
      </w:r>
      <w:r>
        <w:rPr>
          <w:rFonts w:ascii="Times New Roman" w:hAnsi="Times New Roman" w:cs="Times New Roman"/>
        </w:rPr>
        <w:t xml:space="preserve">(2012-13 versus 2013-14) was </w:t>
      </w:r>
      <w:r w:rsidR="00102FC6">
        <w:rPr>
          <w:rFonts w:ascii="Times New Roman" w:hAnsi="Times New Roman" w:cs="Times New Roman"/>
        </w:rPr>
        <w:t xml:space="preserve">used to </w:t>
      </w:r>
      <w:r w:rsidR="003F748F">
        <w:rPr>
          <w:rFonts w:ascii="Times New Roman" w:hAnsi="Times New Roman" w:cs="Times New Roman"/>
        </w:rPr>
        <w:t>gain an understanding of the longevity of effect</w:t>
      </w:r>
      <w:r w:rsidR="00102FC6">
        <w:rPr>
          <w:rFonts w:ascii="Times New Roman" w:hAnsi="Times New Roman" w:cs="Times New Roman"/>
        </w:rPr>
        <w:t>. When undertaking comparisons to establish its efficacy the data was limited to the period</w:t>
      </w:r>
      <w:r>
        <w:rPr>
          <w:rFonts w:ascii="Times New Roman" w:hAnsi="Times New Roman" w:cs="Times New Roman"/>
        </w:rPr>
        <w:t>s</w:t>
      </w:r>
      <w:r w:rsidR="00102FC6">
        <w:rPr>
          <w:rFonts w:ascii="Times New Roman" w:hAnsi="Times New Roman" w:cs="Times New Roman"/>
        </w:rPr>
        <w:t xml:space="preserve"> of the campaign plus an additional three months</w:t>
      </w:r>
      <w:r w:rsidR="009B1067">
        <w:rPr>
          <w:rFonts w:ascii="Times New Roman" w:hAnsi="Times New Roman" w:cs="Times New Roman"/>
        </w:rPr>
        <w:t xml:space="preserve"> (October to February</w:t>
      </w:r>
      <w:r>
        <w:rPr>
          <w:rFonts w:ascii="Times New Roman" w:hAnsi="Times New Roman" w:cs="Times New Roman"/>
        </w:rPr>
        <w:t xml:space="preserve"> (2012-13 versus 2013-14</w:t>
      </w:r>
      <w:r w:rsidR="009B1067">
        <w:rPr>
          <w:rFonts w:ascii="Times New Roman" w:hAnsi="Times New Roman" w:cs="Times New Roman"/>
        </w:rPr>
        <w:t>)</w:t>
      </w:r>
      <w:r w:rsidR="00102FC6">
        <w:rPr>
          <w:rFonts w:ascii="Times New Roman" w:hAnsi="Times New Roman" w:cs="Times New Roman"/>
        </w:rPr>
        <w:t>, in order to restrict the comparison to the months of maximal potential efficacy.</w:t>
      </w:r>
    </w:p>
    <w:p w14:paraId="70C7627F" w14:textId="77777777" w:rsidR="001A0B99" w:rsidRDefault="001A0B99" w:rsidP="00F52F10">
      <w:pPr>
        <w:spacing w:line="480" w:lineRule="auto"/>
        <w:jc w:val="both"/>
        <w:rPr>
          <w:rFonts w:ascii="Times New Roman" w:hAnsi="Times New Roman" w:cs="Times New Roman"/>
        </w:rPr>
      </w:pPr>
    </w:p>
    <w:p w14:paraId="2C1A88F1" w14:textId="0D8211D4" w:rsidR="001A0B99" w:rsidRDefault="001A0B99" w:rsidP="00F52F10">
      <w:pPr>
        <w:spacing w:line="480" w:lineRule="auto"/>
        <w:jc w:val="both"/>
        <w:rPr>
          <w:rFonts w:ascii="Times New Roman" w:hAnsi="Times New Roman" w:cs="Times New Roman"/>
        </w:rPr>
      </w:pPr>
      <w:r>
        <w:rPr>
          <w:rFonts w:ascii="Times New Roman" w:hAnsi="Times New Roman" w:cs="Times New Roman"/>
        </w:rPr>
        <w:t xml:space="preserve">Study approval was obtained from the hospital’s ethical review body (Number </w:t>
      </w:r>
      <w:r w:rsidR="002D46A1">
        <w:rPr>
          <w:rFonts w:ascii="Times New Roman" w:hAnsi="Times New Roman" w:cs="Times New Roman"/>
        </w:rPr>
        <w:t>1671).</w:t>
      </w:r>
    </w:p>
    <w:p w14:paraId="7EE9D95D" w14:textId="77777777" w:rsidR="00102FC6" w:rsidRDefault="00102FC6" w:rsidP="00F52F10">
      <w:pPr>
        <w:spacing w:line="480" w:lineRule="auto"/>
        <w:jc w:val="both"/>
        <w:rPr>
          <w:rFonts w:ascii="Times New Roman" w:hAnsi="Times New Roman" w:cs="Times New Roman"/>
        </w:rPr>
      </w:pPr>
    </w:p>
    <w:p w14:paraId="7A06B81E" w14:textId="65369F45" w:rsidR="00B40D87" w:rsidRPr="00D353B6" w:rsidRDefault="002D46A1" w:rsidP="00F52F10">
      <w:pPr>
        <w:spacing w:line="480" w:lineRule="auto"/>
        <w:jc w:val="both"/>
        <w:rPr>
          <w:rFonts w:ascii="Times New Roman" w:hAnsi="Times New Roman" w:cs="Times New Roman"/>
          <w:i/>
        </w:rPr>
      </w:pPr>
      <w:r>
        <w:rPr>
          <w:rFonts w:ascii="Times New Roman" w:hAnsi="Times New Roman" w:cs="Times New Roman"/>
          <w:i/>
        </w:rPr>
        <w:t>S</w:t>
      </w:r>
      <w:r w:rsidR="00B40D87" w:rsidRPr="00D353B6">
        <w:rPr>
          <w:rFonts w:ascii="Times New Roman" w:hAnsi="Times New Roman" w:cs="Times New Roman"/>
          <w:i/>
        </w:rPr>
        <w:t>tatistical Analysis</w:t>
      </w:r>
    </w:p>
    <w:p w14:paraId="775393EE" w14:textId="05339AFD" w:rsidR="00CA6B75" w:rsidRDefault="00BD19C8" w:rsidP="00F52F10">
      <w:pPr>
        <w:spacing w:line="480" w:lineRule="auto"/>
        <w:jc w:val="both"/>
        <w:rPr>
          <w:rFonts w:ascii="Times New Roman" w:hAnsi="Times New Roman" w:cs="Times New Roman"/>
        </w:rPr>
      </w:pPr>
      <w:r>
        <w:rPr>
          <w:rFonts w:ascii="Times New Roman" w:hAnsi="Times New Roman" w:cs="Times New Roman"/>
        </w:rPr>
        <w:t>All statistical analysis was performed in Graphpad Prism</w:t>
      </w:r>
      <w:r w:rsidR="00AE0220">
        <w:rPr>
          <w:rFonts w:ascii="Times New Roman" w:hAnsi="Times New Roman" w:cs="Times New Roman"/>
        </w:rPr>
        <w:t xml:space="preserve"> (GraphPad Software Inc., La Jolla, California, USA)</w:t>
      </w:r>
      <w:r>
        <w:rPr>
          <w:rFonts w:ascii="Times New Roman" w:hAnsi="Times New Roman" w:cs="Times New Roman"/>
        </w:rPr>
        <w:t xml:space="preserve">. </w:t>
      </w:r>
      <w:r w:rsidR="005B1F62">
        <w:rPr>
          <w:rFonts w:ascii="Times New Roman" w:hAnsi="Times New Roman" w:cs="Times New Roman"/>
        </w:rPr>
        <w:t>When comparing the time periods in question t-tests were used</w:t>
      </w:r>
      <w:r w:rsidR="00311CBA">
        <w:rPr>
          <w:rFonts w:ascii="Times New Roman" w:hAnsi="Times New Roman" w:cs="Times New Roman"/>
        </w:rPr>
        <w:t xml:space="preserve"> for continuous data (paired and unpaired as appropriate) and the Chi-squared test was used for for the categorical data,</w:t>
      </w:r>
      <w:r w:rsidR="005B1F62">
        <w:rPr>
          <w:rFonts w:ascii="Times New Roman" w:hAnsi="Times New Roman" w:cs="Times New Roman"/>
        </w:rPr>
        <w:t xml:space="preserve"> to establish the level of statistical significance.</w:t>
      </w:r>
      <w:r w:rsidR="00035E0C">
        <w:rPr>
          <w:rFonts w:ascii="Times New Roman" w:hAnsi="Times New Roman" w:cs="Times New Roman"/>
        </w:rPr>
        <w:t xml:space="preserve"> </w:t>
      </w:r>
      <w:r w:rsidR="006F5D83">
        <w:rPr>
          <w:rFonts w:ascii="Times New Roman" w:hAnsi="Times New Roman" w:cs="Times New Roman"/>
        </w:rPr>
        <w:t>Pearson’s c</w:t>
      </w:r>
      <w:r w:rsidR="001B1D18">
        <w:rPr>
          <w:rFonts w:ascii="Times New Roman" w:hAnsi="Times New Roman" w:cs="Times New Roman"/>
        </w:rPr>
        <w:t>orrelation coefficients</w:t>
      </w:r>
      <w:r w:rsidR="006F5D83">
        <w:rPr>
          <w:rFonts w:ascii="Times New Roman" w:hAnsi="Times New Roman" w:cs="Times New Roman"/>
        </w:rPr>
        <w:t xml:space="preserve"> (r)</w:t>
      </w:r>
      <w:r w:rsidR="001B1D18">
        <w:rPr>
          <w:rFonts w:ascii="Times New Roman" w:hAnsi="Times New Roman" w:cs="Times New Roman"/>
        </w:rPr>
        <w:t xml:space="preserve"> were also c</w:t>
      </w:r>
      <w:r w:rsidR="00781DBE">
        <w:rPr>
          <w:rFonts w:ascii="Times New Roman" w:hAnsi="Times New Roman" w:cs="Times New Roman"/>
        </w:rPr>
        <w:t>alculated</w:t>
      </w:r>
      <w:r w:rsidR="001B1D18">
        <w:rPr>
          <w:rFonts w:ascii="Times New Roman" w:hAnsi="Times New Roman" w:cs="Times New Roman"/>
        </w:rPr>
        <w:t xml:space="preserve"> to establish the relationship between cancer diagnosis and the number of referrals made over the time period examined. </w:t>
      </w:r>
    </w:p>
    <w:p w14:paraId="187866D0" w14:textId="77777777" w:rsidR="000248E4" w:rsidRDefault="000248E4" w:rsidP="00F52F10">
      <w:pPr>
        <w:spacing w:line="480" w:lineRule="auto"/>
        <w:jc w:val="both"/>
        <w:rPr>
          <w:rFonts w:ascii="Times New Roman" w:hAnsi="Times New Roman" w:cs="Times New Roman"/>
          <w:b/>
        </w:rPr>
      </w:pPr>
    </w:p>
    <w:p w14:paraId="70E3E568" w14:textId="5C5EFBDC" w:rsidR="008F6C35" w:rsidRPr="00D353B6" w:rsidRDefault="00EA7FE3" w:rsidP="00F52F10">
      <w:pPr>
        <w:spacing w:line="480" w:lineRule="auto"/>
        <w:jc w:val="both"/>
        <w:rPr>
          <w:rFonts w:ascii="Times New Roman" w:hAnsi="Times New Roman" w:cs="Times New Roman"/>
          <w:b/>
        </w:rPr>
      </w:pPr>
      <w:r w:rsidRPr="00D353B6">
        <w:rPr>
          <w:rFonts w:ascii="Times New Roman" w:hAnsi="Times New Roman" w:cs="Times New Roman"/>
          <w:b/>
        </w:rPr>
        <w:t>Results</w:t>
      </w:r>
    </w:p>
    <w:p w14:paraId="117CE7BD" w14:textId="464563D8" w:rsidR="008853FA" w:rsidRPr="008853FA" w:rsidRDefault="00923A95" w:rsidP="004801DF">
      <w:pPr>
        <w:spacing w:line="480" w:lineRule="auto"/>
        <w:jc w:val="both"/>
        <w:rPr>
          <w:rFonts w:ascii="Times New Roman" w:hAnsi="Times New Roman" w:cs="Times New Roman"/>
          <w:i/>
        </w:rPr>
      </w:pPr>
      <w:r>
        <w:rPr>
          <w:rFonts w:ascii="Times New Roman" w:hAnsi="Times New Roman" w:cs="Times New Roman"/>
          <w:i/>
        </w:rPr>
        <w:t xml:space="preserve">Overall </w:t>
      </w:r>
      <w:r w:rsidR="008853FA" w:rsidRPr="008853FA">
        <w:rPr>
          <w:rFonts w:ascii="Times New Roman" w:hAnsi="Times New Roman" w:cs="Times New Roman"/>
          <w:i/>
        </w:rPr>
        <w:t>Referrals</w:t>
      </w:r>
    </w:p>
    <w:p w14:paraId="434E6953" w14:textId="1AC84C97" w:rsidR="00923A95" w:rsidRDefault="00923A95" w:rsidP="00923A95">
      <w:pPr>
        <w:spacing w:line="480" w:lineRule="auto"/>
        <w:jc w:val="both"/>
        <w:rPr>
          <w:rFonts w:ascii="Times New Roman" w:hAnsi="Times New Roman" w:cs="Times New Roman"/>
        </w:rPr>
      </w:pPr>
      <w:r>
        <w:rPr>
          <w:rFonts w:ascii="Times New Roman" w:hAnsi="Times New Roman" w:cs="Times New Roman"/>
        </w:rPr>
        <w:t xml:space="preserve">Over the course of the campaign an increase in all urological cancer referrals was observed (Figures </w:t>
      </w:r>
      <w:r w:rsidR="003154E9">
        <w:rPr>
          <w:rFonts w:ascii="Times New Roman" w:hAnsi="Times New Roman" w:cs="Times New Roman"/>
        </w:rPr>
        <w:t>2</w:t>
      </w:r>
      <w:r>
        <w:rPr>
          <w:rFonts w:ascii="Times New Roman" w:hAnsi="Times New Roman" w:cs="Times New Roman"/>
        </w:rPr>
        <w:t xml:space="preserve"> and </w:t>
      </w:r>
      <w:r w:rsidR="003154E9">
        <w:rPr>
          <w:rFonts w:ascii="Times New Roman" w:hAnsi="Times New Roman" w:cs="Times New Roman"/>
        </w:rPr>
        <w:t>3</w:t>
      </w:r>
      <w:r>
        <w:rPr>
          <w:rFonts w:ascii="Times New Roman" w:hAnsi="Times New Roman" w:cs="Times New Roman"/>
        </w:rPr>
        <w:t xml:space="preserve">) and was maintained for a period of approximately three months at which point it </w:t>
      </w:r>
      <w:r w:rsidR="00102FC6">
        <w:rPr>
          <w:rFonts w:ascii="Times New Roman" w:hAnsi="Times New Roman" w:cs="Times New Roman"/>
        </w:rPr>
        <w:t>appeared</w:t>
      </w:r>
      <w:r w:rsidR="00A22EFD">
        <w:rPr>
          <w:rFonts w:ascii="Times New Roman" w:hAnsi="Times New Roman" w:cs="Times New Roman"/>
        </w:rPr>
        <w:t xml:space="preserve"> to</w:t>
      </w:r>
      <w:r w:rsidR="00102FC6">
        <w:rPr>
          <w:rFonts w:ascii="Times New Roman" w:hAnsi="Times New Roman" w:cs="Times New Roman"/>
        </w:rPr>
        <w:t xml:space="preserve"> </w:t>
      </w:r>
      <w:r w:rsidR="00A22EFD">
        <w:rPr>
          <w:rFonts w:ascii="Times New Roman" w:hAnsi="Times New Roman" w:cs="Times New Roman"/>
        </w:rPr>
        <w:t>return</w:t>
      </w:r>
      <w:r>
        <w:rPr>
          <w:rFonts w:ascii="Times New Roman" w:hAnsi="Times New Roman" w:cs="Times New Roman"/>
        </w:rPr>
        <w:t xml:space="preserve"> to its baseline (Figure </w:t>
      </w:r>
      <w:r w:rsidR="003154E9">
        <w:rPr>
          <w:rFonts w:ascii="Times New Roman" w:hAnsi="Times New Roman" w:cs="Times New Roman"/>
        </w:rPr>
        <w:t>2</w:t>
      </w:r>
      <w:r>
        <w:rPr>
          <w:rFonts w:ascii="Times New Roman" w:hAnsi="Times New Roman" w:cs="Times New Roman"/>
        </w:rPr>
        <w:t>).</w:t>
      </w:r>
    </w:p>
    <w:p w14:paraId="322B6819" w14:textId="77777777" w:rsidR="00923A95" w:rsidRDefault="00923A95" w:rsidP="00923A95">
      <w:pPr>
        <w:spacing w:line="480" w:lineRule="auto"/>
        <w:jc w:val="both"/>
        <w:rPr>
          <w:rFonts w:ascii="Times New Roman" w:hAnsi="Times New Roman" w:cs="Times New Roman"/>
        </w:rPr>
      </w:pPr>
    </w:p>
    <w:p w14:paraId="2D49C170" w14:textId="3F679AED" w:rsidR="00923A95" w:rsidRDefault="00923A95" w:rsidP="00923A95">
      <w:pPr>
        <w:spacing w:line="480" w:lineRule="auto"/>
        <w:jc w:val="both"/>
        <w:rPr>
          <w:rFonts w:ascii="Times New Roman" w:hAnsi="Times New Roman" w:cs="Times New Roman"/>
        </w:rPr>
      </w:pPr>
      <w:r>
        <w:rPr>
          <w:rFonts w:ascii="Times New Roman" w:hAnsi="Times New Roman" w:cs="Times New Roman"/>
        </w:rPr>
        <w:t>In total 579 haematuria referrals were made between August 2013 and May 2014 representing a significant increase of 53.2% (p = 0.009) compared with the same time period a year earlier (Figure 2). The majority of this increase was seen in the period of, and immediately followin</w:t>
      </w:r>
      <w:r w:rsidR="009B1067">
        <w:rPr>
          <w:rFonts w:ascii="Times New Roman" w:hAnsi="Times New Roman" w:cs="Times New Roman"/>
        </w:rPr>
        <w:t>g (October</w:t>
      </w:r>
      <w:r w:rsidR="00A22EFD">
        <w:rPr>
          <w:rFonts w:ascii="Times New Roman" w:hAnsi="Times New Roman" w:cs="Times New Roman"/>
        </w:rPr>
        <w:t xml:space="preserve"> ‘13</w:t>
      </w:r>
      <w:r w:rsidR="009B1067">
        <w:rPr>
          <w:rFonts w:ascii="Times New Roman" w:hAnsi="Times New Roman" w:cs="Times New Roman"/>
        </w:rPr>
        <w:t xml:space="preserve"> to Feburary</w:t>
      </w:r>
      <w:r w:rsidR="00A22EFD">
        <w:rPr>
          <w:rFonts w:ascii="Times New Roman" w:hAnsi="Times New Roman" w:cs="Times New Roman"/>
        </w:rPr>
        <w:t xml:space="preserve"> ‘14</w:t>
      </w:r>
      <w:r w:rsidR="009B1067">
        <w:rPr>
          <w:rFonts w:ascii="Times New Roman" w:hAnsi="Times New Roman" w:cs="Times New Roman"/>
        </w:rPr>
        <w:t xml:space="preserve">), the ‘blood in pee’ campaign </w:t>
      </w:r>
      <w:r>
        <w:rPr>
          <w:rFonts w:ascii="Times New Roman" w:hAnsi="Times New Roman" w:cs="Times New Roman"/>
        </w:rPr>
        <w:t xml:space="preserve">with a 92% increase in haematuria referrals </w:t>
      </w:r>
      <w:r w:rsidR="009B1067">
        <w:rPr>
          <w:rFonts w:ascii="Times New Roman" w:hAnsi="Times New Roman" w:cs="Times New Roman"/>
        </w:rPr>
        <w:t xml:space="preserve">during this period </w:t>
      </w:r>
      <w:r>
        <w:rPr>
          <w:rFonts w:ascii="Times New Roman" w:hAnsi="Times New Roman" w:cs="Times New Roman"/>
        </w:rPr>
        <w:t>(p = 0.013, Table 1).</w:t>
      </w:r>
    </w:p>
    <w:p w14:paraId="2250374A" w14:textId="77777777" w:rsidR="008853FA" w:rsidRDefault="008853FA" w:rsidP="004801DF">
      <w:pPr>
        <w:spacing w:line="480" w:lineRule="auto"/>
        <w:jc w:val="both"/>
        <w:rPr>
          <w:rFonts w:ascii="Times New Roman" w:hAnsi="Times New Roman" w:cs="Times New Roman"/>
        </w:rPr>
      </w:pPr>
    </w:p>
    <w:p w14:paraId="2DD28647" w14:textId="53E878C3" w:rsidR="008853FA" w:rsidRPr="008853FA" w:rsidRDefault="008853FA" w:rsidP="004801DF">
      <w:pPr>
        <w:spacing w:line="480" w:lineRule="auto"/>
        <w:jc w:val="both"/>
        <w:rPr>
          <w:rFonts w:ascii="Times New Roman" w:hAnsi="Times New Roman" w:cs="Times New Roman"/>
          <w:i/>
        </w:rPr>
      </w:pPr>
      <w:r w:rsidRPr="008853FA">
        <w:rPr>
          <w:rFonts w:ascii="Times New Roman" w:hAnsi="Times New Roman" w:cs="Times New Roman"/>
          <w:i/>
        </w:rPr>
        <w:t>Visible, Non-Visible and suspected cancer referrals</w:t>
      </w:r>
    </w:p>
    <w:p w14:paraId="654B391B" w14:textId="112F0CBB" w:rsidR="00923A95" w:rsidRDefault="00923A95" w:rsidP="00923A95">
      <w:pPr>
        <w:spacing w:line="480" w:lineRule="auto"/>
        <w:jc w:val="both"/>
        <w:rPr>
          <w:rFonts w:ascii="Times New Roman" w:hAnsi="Times New Roman" w:cs="Times New Roman"/>
        </w:rPr>
      </w:pPr>
      <w:r>
        <w:rPr>
          <w:rFonts w:ascii="Times New Roman" w:hAnsi="Times New Roman" w:cs="Times New Roman"/>
        </w:rPr>
        <w:t>The increase in number of referrals was made up largely of visible and n</w:t>
      </w:r>
      <w:r w:rsidR="009B1067">
        <w:rPr>
          <w:rFonts w:ascii="Times New Roman" w:hAnsi="Times New Roman" w:cs="Times New Roman"/>
        </w:rPr>
        <w:t xml:space="preserve">on-visible haematuria referrals with respective increases of 102.9% (p = 0.038) and 79.2% (p &lt; 0.001) in the </w:t>
      </w:r>
      <w:r w:rsidR="003154E9">
        <w:rPr>
          <w:rFonts w:ascii="Times New Roman" w:hAnsi="Times New Roman" w:cs="Times New Roman"/>
        </w:rPr>
        <w:t xml:space="preserve">October to February </w:t>
      </w:r>
      <w:r w:rsidR="009B1067">
        <w:rPr>
          <w:rFonts w:ascii="Times New Roman" w:hAnsi="Times New Roman" w:cs="Times New Roman"/>
        </w:rPr>
        <w:t xml:space="preserve">time period (Table 1). </w:t>
      </w:r>
      <w:r>
        <w:rPr>
          <w:rFonts w:ascii="Times New Roman" w:hAnsi="Times New Roman" w:cs="Times New Roman"/>
        </w:rPr>
        <w:t xml:space="preserve">A significant increase was also seen in the number of other suspected urological cancer referrals made during the </w:t>
      </w:r>
      <w:r w:rsidR="009B1067">
        <w:rPr>
          <w:rFonts w:ascii="Times New Roman" w:hAnsi="Times New Roman" w:cs="Times New Roman"/>
        </w:rPr>
        <w:t>same period</w:t>
      </w:r>
      <w:r>
        <w:rPr>
          <w:rFonts w:ascii="Times New Roman" w:hAnsi="Times New Roman" w:cs="Times New Roman"/>
        </w:rPr>
        <w:t xml:space="preserve"> (51% increase, p = 0.009, Table 1).</w:t>
      </w:r>
    </w:p>
    <w:p w14:paraId="11DAB985" w14:textId="77777777" w:rsidR="00923A95" w:rsidRDefault="00923A95" w:rsidP="00923A95">
      <w:pPr>
        <w:spacing w:line="480" w:lineRule="auto"/>
        <w:jc w:val="both"/>
        <w:rPr>
          <w:rFonts w:ascii="Times New Roman" w:hAnsi="Times New Roman" w:cs="Times New Roman"/>
        </w:rPr>
      </w:pPr>
    </w:p>
    <w:p w14:paraId="4392975D" w14:textId="69C5A85E" w:rsidR="008853FA" w:rsidRDefault="008853FA" w:rsidP="004801DF">
      <w:pPr>
        <w:spacing w:line="480" w:lineRule="auto"/>
        <w:jc w:val="both"/>
        <w:rPr>
          <w:rFonts w:ascii="Times New Roman" w:hAnsi="Times New Roman" w:cs="Times New Roman"/>
          <w:i/>
        </w:rPr>
      </w:pPr>
      <w:r w:rsidRPr="008853FA">
        <w:rPr>
          <w:rFonts w:ascii="Times New Roman" w:hAnsi="Times New Roman" w:cs="Times New Roman"/>
          <w:i/>
        </w:rPr>
        <w:t>Cancer Diagnosis</w:t>
      </w:r>
    </w:p>
    <w:p w14:paraId="23F13379" w14:textId="77777777" w:rsidR="00E36FFA" w:rsidRDefault="00CE1B24" w:rsidP="00F52F10">
      <w:pPr>
        <w:spacing w:line="480" w:lineRule="auto"/>
        <w:jc w:val="both"/>
        <w:rPr>
          <w:rFonts w:ascii="Times New Roman" w:hAnsi="Times New Roman" w:cs="Times New Roman"/>
        </w:rPr>
      </w:pPr>
      <w:r>
        <w:rPr>
          <w:rFonts w:ascii="Times New Roman" w:hAnsi="Times New Roman" w:cs="Times New Roman"/>
        </w:rPr>
        <w:t>This significant increase i</w:t>
      </w:r>
      <w:r w:rsidR="00841085">
        <w:rPr>
          <w:rFonts w:ascii="Times New Roman" w:hAnsi="Times New Roman" w:cs="Times New Roman"/>
        </w:rPr>
        <w:t>n referrals was</w:t>
      </w:r>
      <w:r w:rsidR="00E26134">
        <w:rPr>
          <w:rFonts w:ascii="Times New Roman" w:hAnsi="Times New Roman" w:cs="Times New Roman"/>
        </w:rPr>
        <w:t xml:space="preserve"> not associated with a </w:t>
      </w:r>
      <w:r w:rsidR="00872E3A">
        <w:rPr>
          <w:rFonts w:ascii="Times New Roman" w:hAnsi="Times New Roman" w:cs="Times New Roman"/>
        </w:rPr>
        <w:t xml:space="preserve">statistically significant </w:t>
      </w:r>
      <w:r w:rsidR="00E26134">
        <w:rPr>
          <w:rFonts w:ascii="Times New Roman" w:hAnsi="Times New Roman" w:cs="Times New Roman"/>
        </w:rPr>
        <w:t>correspo</w:t>
      </w:r>
      <w:r w:rsidR="00872E3A">
        <w:rPr>
          <w:rFonts w:ascii="Times New Roman" w:hAnsi="Times New Roman" w:cs="Times New Roman"/>
        </w:rPr>
        <w:t xml:space="preserve">nding rise in cancer </w:t>
      </w:r>
      <w:r w:rsidR="00D97E0A">
        <w:rPr>
          <w:rFonts w:ascii="Times New Roman" w:hAnsi="Times New Roman" w:cs="Times New Roman"/>
        </w:rPr>
        <w:t>diagnosis;</w:t>
      </w:r>
      <w:r w:rsidR="00872E3A">
        <w:rPr>
          <w:rFonts w:ascii="Times New Roman" w:hAnsi="Times New Roman" w:cs="Times New Roman"/>
        </w:rPr>
        <w:t xml:space="preserve"> instead </w:t>
      </w:r>
      <w:r w:rsidR="00A451C7">
        <w:rPr>
          <w:rFonts w:ascii="Times New Roman" w:hAnsi="Times New Roman" w:cs="Times New Roman"/>
        </w:rPr>
        <w:t>an</w:t>
      </w:r>
      <w:r w:rsidR="00F6589D">
        <w:rPr>
          <w:rFonts w:ascii="Times New Roman" w:hAnsi="Times New Roman" w:cs="Times New Roman"/>
        </w:rPr>
        <w:t xml:space="preserve"> </w:t>
      </w:r>
      <w:r w:rsidR="005B1F62">
        <w:rPr>
          <w:rFonts w:ascii="Times New Roman" w:hAnsi="Times New Roman" w:cs="Times New Roman"/>
        </w:rPr>
        <w:t>insignificant</w:t>
      </w:r>
      <w:r w:rsidR="00A451C7">
        <w:rPr>
          <w:rFonts w:ascii="Times New Roman" w:hAnsi="Times New Roman" w:cs="Times New Roman"/>
        </w:rPr>
        <w:t xml:space="preserve"> </w:t>
      </w:r>
      <w:r w:rsidR="005B1F62">
        <w:rPr>
          <w:rFonts w:ascii="Times New Roman" w:hAnsi="Times New Roman" w:cs="Times New Roman"/>
        </w:rPr>
        <w:t xml:space="preserve">increase </w:t>
      </w:r>
      <w:r w:rsidR="00290D32">
        <w:rPr>
          <w:rFonts w:ascii="Times New Roman" w:hAnsi="Times New Roman" w:cs="Times New Roman"/>
        </w:rPr>
        <w:t>of 26.8</w:t>
      </w:r>
      <w:r w:rsidR="00A451C7">
        <w:rPr>
          <w:rFonts w:ascii="Times New Roman" w:hAnsi="Times New Roman" w:cs="Times New Roman"/>
        </w:rPr>
        <w:t xml:space="preserve">% (p = 0.56) was seen </w:t>
      </w:r>
      <w:r>
        <w:rPr>
          <w:rFonts w:ascii="Times New Roman" w:hAnsi="Times New Roman" w:cs="Times New Roman"/>
        </w:rPr>
        <w:t xml:space="preserve">in the number of renal cell </w:t>
      </w:r>
      <w:r w:rsidR="0093796F">
        <w:rPr>
          <w:rFonts w:ascii="Times New Roman" w:hAnsi="Times New Roman" w:cs="Times New Roman"/>
        </w:rPr>
        <w:t>carcinomas</w:t>
      </w:r>
      <w:r>
        <w:rPr>
          <w:rFonts w:ascii="Times New Roman" w:hAnsi="Times New Roman" w:cs="Times New Roman"/>
        </w:rPr>
        <w:t xml:space="preserve"> </w:t>
      </w:r>
      <w:r w:rsidR="006F18B1">
        <w:rPr>
          <w:rFonts w:ascii="Times New Roman" w:hAnsi="Times New Roman" w:cs="Times New Roman"/>
        </w:rPr>
        <w:t>diagnosed</w:t>
      </w:r>
      <w:r w:rsidR="00A451C7">
        <w:rPr>
          <w:rFonts w:ascii="Times New Roman" w:hAnsi="Times New Roman" w:cs="Times New Roman"/>
        </w:rPr>
        <w:t xml:space="preserve"> </w:t>
      </w:r>
      <w:r w:rsidR="00B64EF4">
        <w:rPr>
          <w:rFonts w:ascii="Times New Roman" w:hAnsi="Times New Roman" w:cs="Times New Roman"/>
        </w:rPr>
        <w:t>(Table 2</w:t>
      </w:r>
      <w:r w:rsidR="007A4F9C">
        <w:rPr>
          <w:rFonts w:ascii="Times New Roman" w:hAnsi="Times New Roman" w:cs="Times New Roman"/>
        </w:rPr>
        <w:t>)</w:t>
      </w:r>
      <w:r w:rsidR="00A451C7">
        <w:rPr>
          <w:rFonts w:ascii="Times New Roman" w:hAnsi="Times New Roman" w:cs="Times New Roman"/>
        </w:rPr>
        <w:t>, while a</w:t>
      </w:r>
      <w:r w:rsidR="00290D32">
        <w:rPr>
          <w:rFonts w:ascii="Times New Roman" w:hAnsi="Times New Roman" w:cs="Times New Roman"/>
        </w:rPr>
        <w:t>n</w:t>
      </w:r>
      <w:r w:rsidR="00A451C7">
        <w:rPr>
          <w:rFonts w:ascii="Times New Roman" w:hAnsi="Times New Roman" w:cs="Times New Roman"/>
        </w:rPr>
        <w:t xml:space="preserve"> insignificant decrease of 3.3% (p = 0.84) was seen in </w:t>
      </w:r>
      <w:r w:rsidR="00290D32">
        <w:rPr>
          <w:rFonts w:ascii="Times New Roman" w:hAnsi="Times New Roman" w:cs="Times New Roman"/>
        </w:rPr>
        <w:t>the diagnosis</w:t>
      </w:r>
      <w:r w:rsidR="00A451C7">
        <w:rPr>
          <w:rFonts w:ascii="Times New Roman" w:hAnsi="Times New Roman" w:cs="Times New Roman"/>
        </w:rPr>
        <w:t xml:space="preserve"> of transitional cell carcinomas</w:t>
      </w:r>
      <w:r w:rsidR="00C42AE7">
        <w:rPr>
          <w:rFonts w:ascii="Times New Roman" w:hAnsi="Times New Roman" w:cs="Times New Roman"/>
        </w:rPr>
        <w:t>.</w:t>
      </w:r>
    </w:p>
    <w:p w14:paraId="309DE7B4" w14:textId="77777777" w:rsidR="00E36FFA" w:rsidRDefault="00E36FFA" w:rsidP="00F52F10">
      <w:pPr>
        <w:spacing w:line="480" w:lineRule="auto"/>
        <w:jc w:val="both"/>
        <w:rPr>
          <w:rFonts w:ascii="Times New Roman" w:hAnsi="Times New Roman" w:cs="Times New Roman"/>
        </w:rPr>
      </w:pPr>
    </w:p>
    <w:p w14:paraId="37C0D97F" w14:textId="6B72D883" w:rsidR="00CE1B24" w:rsidRDefault="008D2493" w:rsidP="00F52F10">
      <w:pPr>
        <w:spacing w:line="480" w:lineRule="auto"/>
        <w:jc w:val="both"/>
        <w:rPr>
          <w:rFonts w:ascii="Times New Roman" w:hAnsi="Times New Roman" w:cs="Times New Roman"/>
        </w:rPr>
      </w:pPr>
      <w:r>
        <w:rPr>
          <w:rFonts w:ascii="Times New Roman" w:hAnsi="Times New Roman" w:cs="Times New Roman"/>
        </w:rPr>
        <w:t>With regards to</w:t>
      </w:r>
      <w:r w:rsidR="00E36FFA">
        <w:rPr>
          <w:rFonts w:ascii="Times New Roman" w:hAnsi="Times New Roman" w:cs="Times New Roman"/>
        </w:rPr>
        <w:t xml:space="preserve"> other urological cancers no significant increase was seen in the number of </w:t>
      </w:r>
      <w:r>
        <w:rPr>
          <w:rFonts w:ascii="Times New Roman" w:hAnsi="Times New Roman" w:cs="Times New Roman"/>
        </w:rPr>
        <w:t>testicular or prostate cancer in the periods examined (p = 0.35 and 0.71, respectively, Table 2)</w:t>
      </w:r>
    </w:p>
    <w:p w14:paraId="10815E93" w14:textId="77777777" w:rsidR="000C3308" w:rsidRDefault="000C3308" w:rsidP="00B36766">
      <w:pPr>
        <w:spacing w:line="480" w:lineRule="auto"/>
        <w:jc w:val="both"/>
        <w:rPr>
          <w:rFonts w:ascii="Times New Roman" w:hAnsi="Times New Roman" w:cs="Times New Roman"/>
        </w:rPr>
      </w:pPr>
    </w:p>
    <w:p w14:paraId="055EC7C8" w14:textId="187341D4" w:rsidR="00311CBA" w:rsidRDefault="006F5D83" w:rsidP="00B36766">
      <w:pPr>
        <w:spacing w:line="480" w:lineRule="auto"/>
        <w:jc w:val="both"/>
        <w:rPr>
          <w:rFonts w:ascii="Times New Roman" w:hAnsi="Times New Roman" w:cs="Times New Roman"/>
        </w:rPr>
      </w:pPr>
      <w:r>
        <w:rPr>
          <w:rFonts w:ascii="Times New Roman" w:hAnsi="Times New Roman" w:cs="Times New Roman"/>
        </w:rPr>
        <w:t xml:space="preserve">When assessing the </w:t>
      </w:r>
      <w:r w:rsidR="00887683">
        <w:rPr>
          <w:rFonts w:ascii="Times New Roman" w:hAnsi="Times New Roman" w:cs="Times New Roman"/>
        </w:rPr>
        <w:t>relationship between</w:t>
      </w:r>
      <w:r>
        <w:rPr>
          <w:rFonts w:ascii="Times New Roman" w:hAnsi="Times New Roman" w:cs="Times New Roman"/>
        </w:rPr>
        <w:t xml:space="preserve"> </w:t>
      </w:r>
      <w:r w:rsidR="00887683">
        <w:rPr>
          <w:rFonts w:ascii="Times New Roman" w:hAnsi="Times New Roman" w:cs="Times New Roman"/>
        </w:rPr>
        <w:t xml:space="preserve">the number of </w:t>
      </w:r>
      <w:r w:rsidR="008D2493">
        <w:rPr>
          <w:rFonts w:ascii="Times New Roman" w:hAnsi="Times New Roman" w:cs="Times New Roman"/>
        </w:rPr>
        <w:t xml:space="preserve">renal and </w:t>
      </w:r>
      <w:r w:rsidR="00A03961">
        <w:rPr>
          <w:rFonts w:ascii="Times New Roman" w:hAnsi="Times New Roman" w:cs="Times New Roman"/>
        </w:rPr>
        <w:t>transitional</w:t>
      </w:r>
      <w:r w:rsidR="008D2493">
        <w:rPr>
          <w:rFonts w:ascii="Times New Roman" w:hAnsi="Times New Roman" w:cs="Times New Roman"/>
        </w:rPr>
        <w:t xml:space="preserve"> cell carcinoma</w:t>
      </w:r>
      <w:r w:rsidR="00887683">
        <w:rPr>
          <w:rFonts w:ascii="Times New Roman" w:hAnsi="Times New Roman" w:cs="Times New Roman"/>
        </w:rPr>
        <w:t xml:space="preserve"> diagnoses</w:t>
      </w:r>
      <w:r>
        <w:rPr>
          <w:rFonts w:ascii="Times New Roman" w:hAnsi="Times New Roman" w:cs="Times New Roman"/>
        </w:rPr>
        <w:t xml:space="preserve"> and </w:t>
      </w:r>
      <w:r w:rsidR="00887683">
        <w:rPr>
          <w:rFonts w:ascii="Times New Roman" w:hAnsi="Times New Roman" w:cs="Times New Roman"/>
        </w:rPr>
        <w:t xml:space="preserve">the number of </w:t>
      </w:r>
      <w:r w:rsidR="00F30EC0">
        <w:rPr>
          <w:rFonts w:ascii="Times New Roman" w:hAnsi="Times New Roman" w:cs="Times New Roman"/>
        </w:rPr>
        <w:t xml:space="preserve">haematuria </w:t>
      </w:r>
      <w:r>
        <w:rPr>
          <w:rFonts w:ascii="Times New Roman" w:hAnsi="Times New Roman" w:cs="Times New Roman"/>
        </w:rPr>
        <w:t>referrals</w:t>
      </w:r>
      <w:r w:rsidR="007465F8">
        <w:rPr>
          <w:rFonts w:ascii="Times New Roman" w:hAnsi="Times New Roman" w:cs="Times New Roman"/>
        </w:rPr>
        <w:t xml:space="preserve"> </w:t>
      </w:r>
      <w:r>
        <w:rPr>
          <w:rFonts w:ascii="Times New Roman" w:hAnsi="Times New Roman" w:cs="Times New Roman"/>
        </w:rPr>
        <w:t>a stro</w:t>
      </w:r>
      <w:r w:rsidR="00B157F3">
        <w:rPr>
          <w:rFonts w:ascii="Times New Roman" w:hAnsi="Times New Roman" w:cs="Times New Roman"/>
        </w:rPr>
        <w:t xml:space="preserve">ng positive correlation </w:t>
      </w:r>
      <w:r w:rsidR="00887683">
        <w:rPr>
          <w:rFonts w:ascii="Times New Roman" w:hAnsi="Times New Roman" w:cs="Times New Roman"/>
        </w:rPr>
        <w:t xml:space="preserve">between the two variables </w:t>
      </w:r>
      <w:r w:rsidR="00B157F3">
        <w:rPr>
          <w:rFonts w:ascii="Times New Roman" w:hAnsi="Times New Roman" w:cs="Times New Roman"/>
        </w:rPr>
        <w:t>(r = 0.78</w:t>
      </w:r>
      <w:r>
        <w:rPr>
          <w:rFonts w:ascii="Times New Roman" w:hAnsi="Times New Roman" w:cs="Times New Roman"/>
        </w:rPr>
        <w:t xml:space="preserve">) was seen for the 2012-13 time period in comparison to a </w:t>
      </w:r>
      <w:r w:rsidR="006257A9">
        <w:rPr>
          <w:rFonts w:ascii="Times New Roman" w:hAnsi="Times New Roman" w:cs="Times New Roman"/>
        </w:rPr>
        <w:t xml:space="preserve">weak </w:t>
      </w:r>
      <w:r>
        <w:rPr>
          <w:rFonts w:ascii="Times New Roman" w:hAnsi="Times New Roman" w:cs="Times New Roman"/>
        </w:rPr>
        <w:t>negative correlation in the 2013-14 time period (</w:t>
      </w:r>
      <w:r w:rsidR="006257A9">
        <w:rPr>
          <w:rFonts w:ascii="Times New Roman" w:hAnsi="Times New Roman" w:cs="Times New Roman"/>
        </w:rPr>
        <w:t>r</w:t>
      </w:r>
      <w:r w:rsidR="007465F8">
        <w:rPr>
          <w:rFonts w:ascii="Times New Roman" w:hAnsi="Times New Roman" w:cs="Times New Roman"/>
        </w:rPr>
        <w:t xml:space="preserve"> = -0.36</w:t>
      </w:r>
      <w:r w:rsidR="00F30EC0">
        <w:rPr>
          <w:rFonts w:ascii="Times New Roman" w:hAnsi="Times New Roman" w:cs="Times New Roman"/>
        </w:rPr>
        <w:t>)</w:t>
      </w:r>
      <w:r w:rsidR="006257A9">
        <w:rPr>
          <w:rFonts w:ascii="Times New Roman" w:hAnsi="Times New Roman" w:cs="Times New Roman"/>
        </w:rPr>
        <w:t>.</w:t>
      </w:r>
    </w:p>
    <w:p w14:paraId="280DC224" w14:textId="18B12827" w:rsidR="00494AEE" w:rsidRDefault="00494AEE" w:rsidP="00F52F10">
      <w:pPr>
        <w:spacing w:line="480" w:lineRule="auto"/>
        <w:jc w:val="both"/>
        <w:rPr>
          <w:rFonts w:ascii="Times New Roman" w:hAnsi="Times New Roman" w:cs="Times New Roman"/>
        </w:rPr>
      </w:pPr>
      <w:r w:rsidRPr="00190F0B">
        <w:rPr>
          <w:rFonts w:ascii="Times New Roman" w:hAnsi="Times New Roman" w:cs="Times New Roman"/>
          <w:i/>
        </w:rPr>
        <w:t>Population Demographics</w:t>
      </w:r>
    </w:p>
    <w:p w14:paraId="3C46F77C" w14:textId="77290C64" w:rsidR="00494AEE" w:rsidRDefault="000C3C9D" w:rsidP="00F52F10">
      <w:pPr>
        <w:spacing w:line="480" w:lineRule="auto"/>
        <w:jc w:val="both"/>
        <w:rPr>
          <w:rFonts w:ascii="Times New Roman" w:hAnsi="Times New Roman" w:cs="Times New Roman"/>
        </w:rPr>
      </w:pPr>
      <w:r>
        <w:rPr>
          <w:rFonts w:ascii="Times New Roman" w:hAnsi="Times New Roman" w:cs="Times New Roman"/>
        </w:rPr>
        <w:t>As can be seen in Table 3, w</w:t>
      </w:r>
      <w:r w:rsidR="00494AEE">
        <w:rPr>
          <w:rFonts w:ascii="Times New Roman" w:hAnsi="Times New Roman" w:cs="Times New Roman"/>
        </w:rPr>
        <w:t>hen comparing the demographic data collected on the populations is question no statistically significant difference was seen in age or sex for haematuria overall</w:t>
      </w:r>
      <w:r>
        <w:rPr>
          <w:rFonts w:ascii="Times New Roman" w:hAnsi="Times New Roman" w:cs="Times New Roman"/>
        </w:rPr>
        <w:t>, and this remained true when substratifying by visible and non-visible haematuria.</w:t>
      </w:r>
    </w:p>
    <w:p w14:paraId="25BDEF41" w14:textId="77777777" w:rsidR="000C3C9D" w:rsidRDefault="000C3C9D" w:rsidP="00F52F10">
      <w:pPr>
        <w:spacing w:line="480" w:lineRule="auto"/>
        <w:jc w:val="both"/>
        <w:rPr>
          <w:rFonts w:ascii="Times New Roman" w:hAnsi="Times New Roman" w:cs="Times New Roman"/>
        </w:rPr>
      </w:pPr>
    </w:p>
    <w:p w14:paraId="7D4F3449" w14:textId="012ECE89" w:rsidR="00F21649" w:rsidRPr="00D353B6" w:rsidRDefault="004457A2" w:rsidP="00F52F10">
      <w:pPr>
        <w:spacing w:line="480" w:lineRule="auto"/>
        <w:jc w:val="both"/>
        <w:rPr>
          <w:rFonts w:ascii="Times New Roman" w:hAnsi="Times New Roman" w:cs="Times New Roman"/>
          <w:b/>
        </w:rPr>
      </w:pPr>
      <w:r w:rsidRPr="00D353B6">
        <w:rPr>
          <w:rFonts w:ascii="Times New Roman" w:hAnsi="Times New Roman" w:cs="Times New Roman"/>
          <w:b/>
        </w:rPr>
        <w:t>Discussion</w:t>
      </w:r>
    </w:p>
    <w:p w14:paraId="0EF83382" w14:textId="77777777" w:rsidR="0084079E" w:rsidRDefault="0084079E" w:rsidP="00F52F10">
      <w:pPr>
        <w:spacing w:line="480" w:lineRule="auto"/>
        <w:jc w:val="both"/>
        <w:rPr>
          <w:rFonts w:ascii="Times New Roman" w:hAnsi="Times New Roman" w:cs="Times New Roman"/>
        </w:rPr>
      </w:pPr>
    </w:p>
    <w:p w14:paraId="62DCC202" w14:textId="2AF27051" w:rsidR="0084079E" w:rsidRDefault="00412F33" w:rsidP="00F52F10">
      <w:pPr>
        <w:spacing w:line="480" w:lineRule="auto"/>
        <w:jc w:val="both"/>
        <w:rPr>
          <w:rFonts w:ascii="Times New Roman" w:hAnsi="Times New Roman" w:cs="Times New Roman"/>
        </w:rPr>
      </w:pPr>
      <w:r>
        <w:rPr>
          <w:rFonts w:ascii="Times New Roman" w:hAnsi="Times New Roman" w:cs="Times New Roman"/>
        </w:rPr>
        <w:t>Mass media p</w:t>
      </w:r>
      <w:r w:rsidR="00583921">
        <w:rPr>
          <w:rFonts w:ascii="Times New Roman" w:hAnsi="Times New Roman" w:cs="Times New Roman"/>
        </w:rPr>
        <w:t xml:space="preserve">ublic health </w:t>
      </w:r>
      <w:r w:rsidR="0084079E">
        <w:rPr>
          <w:rFonts w:ascii="Times New Roman" w:hAnsi="Times New Roman" w:cs="Times New Roman"/>
        </w:rPr>
        <w:t>campaigns are both expensive to run and</w:t>
      </w:r>
      <w:r w:rsidR="00583921">
        <w:rPr>
          <w:rFonts w:ascii="Times New Roman" w:hAnsi="Times New Roman" w:cs="Times New Roman"/>
        </w:rPr>
        <w:t xml:space="preserve"> have been shown to</w:t>
      </w:r>
      <w:r w:rsidR="0084079E">
        <w:rPr>
          <w:rFonts w:ascii="Times New Roman" w:hAnsi="Times New Roman" w:cs="Times New Roman"/>
        </w:rPr>
        <w:t xml:space="preserve"> increase </w:t>
      </w:r>
      <w:r w:rsidR="00B1396C">
        <w:rPr>
          <w:rFonts w:ascii="Times New Roman" w:hAnsi="Times New Roman" w:cs="Times New Roman"/>
        </w:rPr>
        <w:t xml:space="preserve">cancer specific referrals </w:t>
      </w:r>
      <w:r>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"10.1136/postgradmedj-2012-131014", "ISSN" : "1469-0756", "PMID" : "23572594", "abstract" : "OBJECTIVES: To assess the impact of a 7-week public bowel cancer awareness campaign pilot by reviewing the number of 2-week referrals from general practitioners (GPs) to hospital, endoscopic procedures and new cancers diagnosed throughout the five acute hospitals in The Peninsular Cancer Network, UK.\n\nDESIGN: A retrospective before and after study.\n\nSETTING: The Peninsula Cancer Network in the South West of England, UK.\n\nMAIN OUTCOME MEASURES: For the period July 2010-July 2011, data were collected on the number of 2-week referrals, number of endoscopic procedures performed and number of new cancers diagnosed. The average for the 6 months before the campaign was compared with the immediate 3 months and then the fourth to sixth months following the campaign. Student's t test was used to compare the means of the three groups.\n\nRESULTS: There was a statistically significant increase in the number of 2-week referrals from GPs to hospital in the 3 months following the campaign but this effect disappeared after that. There was no statistical increase in the number of endoscopic procedures or new cancers diagnosed following the awareness campaign.\n\nCONCLUSIONS: The pilot 'Be Clear on Cancer' awareness campaign had a significant effect on the number of patients being referred from GPs to hospital; however, the effect was short lived and had returned to baseline by 3 months. The campaign had no effect on the number of new cancers diagnosed, which was the stated underlying aim of the pilot.", "author" : [ { "dropping-particle" : "", "family" : "Bethune", "given" : "Rob", "non-dropping-particle" : "", "parse-names" : false, "suffix" : "" }, { "dropping-particle" : "", "family" : "Marshall", "given" : "Morwena J", "non-dropping-particle" : "", "parse-names" : false, "suffix" : "" }, { "dropping-particle" : "", "family" : "Mitchell", "given" : "Stephen J", "non-dropping-particle" : "", "parse-names" : false, "suffix" : "" }, { "dropping-particle" : "", "family" : "Oppong", "given" : "Chris", "non-dropping-particle" : "", "parse-names" : false, "suffix" : "" }, { "dropping-particle" : "", "family" : "Cartmel", "given" : "Mark T", "non-dropping-particle" : "", "parse-names" : false, "suffix" : "" }, { "dropping-particle" : "", "family" : "Arumugam", "given" : "Ponnandai J", "non-dropping-particle" : "", "parse-names" : false, "suffix" : "" }, { "dropping-particle" : "", "family" : "Gee", "given" : "Andrew S", "non-dropping-particle" : "", "parse-names" : false, "suffix" : "" }, { "dropping-particle" : "", "family" : "Daniels", "given" : "Ian R", "non-dropping-particle" : "", "parse-names" : false, "suffix" : "" } ], "container-title" : "Postgraduate medical journal", "id" : "ITEM-1", "issue" : "1053", "issued" : { "date-parts" : [ [ "2013", "7" ] ] }, "page" : "390-3", "title" : "Did the 'Be Clear on Bowel Cancer' public awareness campaign pilot result in a higher rate of cancer detection?", "type" : "article-journal", "volume" : "89" }, "uris" : [ "http://www.mendeley.com/documents/?uuid=33dc2e2e-b14f-4c6b-8e38-dc17ed6bffd5" ] }, { "id" : "ITEM-2", "itemData" : { "DOI" : "10.1111/codi.12220", "ISSN" : "1463-1318", "PMID" : "23656572", "abstract" : "AIM: The National Bowel Cancer Awareness Campaign ('Be Clear on Cancer') was launched by the UK government in January 2012, encouraging people with bowel symptoms to present to primary care. Our aim was to evaluate the impact of the campaign on colorectal services in secondary care.\n\nMETHOD: Suspected cancer 2-week-wait (2WW) patients 3 months before and 3 months after the launch of the campaign were included. Demographics, reason for referral, investigations performed, cost analysis and eventual diagnoses were collected.\n\nRESULTS: Three hundred and forty-three patients [median age 70 (36-100) years, 194 (57%) women] were seen and investigated in the 3 months prior to the launch of the campaign at an average cost of \u00a3575 per patient. Twenty-seven (8%) were diagnosed with lower gastrointestinal cancer and 29 (8%) with polyps. In the 3 months following the launch, 544 patients [median age 68 (30-92) years, 290 (53%) women] were reviewed (59% increase; P = 0.004). The 'did not attend' rate fell from 10% to 1%. Thirty-two (6%) patients were diagnosed with a lower gastrointestinal cancer and 20 (4%) with colorectal polyps. The cost per colorectal cancer detected rose from \u00a37585.58 before the campaign to \u00a39662.72 after launch (P = 0.04).\n\nCONCLUSION: The 'Be Clear on Cancer' campaign has substantially increased the number of referrals under the 2WW rule, but mainly in the worried well. This has increased demands on both resources (59% more tests) and finance. Cost per cancer detected rose by 27% with no increase in funding to support the increased activity.", "author" : [ { "dropping-particle" : "", "family" : "Peacock", "given" : "O", "non-dropping-particle" : "", "parse-names" : false, "suffix" : "" }, { "dropping-particle" : "", "family" : "Clayton", "given" : "S", "non-dropping-particle" : "", "parse-names" : false, "suffix" : "" }, { "dropping-particle" : "", "family" : "Atkinson", "given" : "F", "non-dropping-particle" : "", "parse-names" : false, "suffix" : "" }, { "dropping-particle" : "", "family" : "Tierney", "given" : "G M", "non-dropping-particle" : "", "parse-names" : false, "suffix" : "" }, { "dropping-particle" : "", "family" : "Lund", "given" : "J N", "non-dropping-particle" : "", "parse-names" : false, "suffix" : "" } ], "container-title" : "Colorectal disease : the official journal of the Association of Coloproctology of Great Britain and Ireland", "id" : "ITEM-2", "issue" : "8", "issued" : { "date-parts" : [ [ "2013", "8" ] ] }, "page" : "963-7", "title" : "'Be Clear on Cancer': the impact of the UK National Bowel Cancer Awareness Campaign.", "type" : "article-journal", "volume" : "15" }, "uris" : [ "http://www.mendeley.com/documents/?uuid=9c42f51c-2ff4-4587-9aac-a74d7690f660" ] } ], "mendeley" : { "formattedCitation" : "[3,4]", "plainTextFormattedCitation" : "[3,4]", "previouslyFormattedCitation" : "[3,4]" }, "properties" : { "noteIndex" : 0 }, "schema" : "https://github.com/citation-style-language/schema/raw/master/csl-citation.json" }</w:instrText>
      </w:r>
      <w:r>
        <w:rPr>
          <w:rFonts w:ascii="Times New Roman" w:hAnsi="Times New Roman" w:cs="Times New Roman"/>
        </w:rPr>
        <w:fldChar w:fldCharType="separate"/>
      </w:r>
      <w:r w:rsidR="00467672" w:rsidRPr="00467672">
        <w:rPr>
          <w:rFonts w:ascii="Times New Roman" w:hAnsi="Times New Roman" w:cs="Times New Roman"/>
          <w:noProof/>
        </w:rPr>
        <w:t>[3,4]</w:t>
      </w:r>
      <w:r>
        <w:rPr>
          <w:rFonts w:ascii="Times New Roman" w:hAnsi="Times New Roman" w:cs="Times New Roman"/>
        </w:rPr>
        <w:fldChar w:fldCharType="end"/>
      </w:r>
      <w:r w:rsidR="0084079E">
        <w:rPr>
          <w:rFonts w:ascii="Times New Roman" w:hAnsi="Times New Roman" w:cs="Times New Roman"/>
        </w:rPr>
        <w:t xml:space="preserve">, for these costs to be worthwhile they need to be offset by </w:t>
      </w:r>
      <w:r w:rsidR="005F13F9">
        <w:rPr>
          <w:rFonts w:ascii="Times New Roman" w:hAnsi="Times New Roman" w:cs="Times New Roman"/>
        </w:rPr>
        <w:t xml:space="preserve">a positive </w:t>
      </w:r>
      <w:r w:rsidR="00B157F3">
        <w:rPr>
          <w:rFonts w:ascii="Times New Roman" w:hAnsi="Times New Roman" w:cs="Times New Roman"/>
        </w:rPr>
        <w:t xml:space="preserve">and sustained </w:t>
      </w:r>
      <w:r w:rsidR="005F13F9">
        <w:rPr>
          <w:rFonts w:ascii="Times New Roman" w:hAnsi="Times New Roman" w:cs="Times New Roman"/>
        </w:rPr>
        <w:t>change in</w:t>
      </w:r>
      <w:r w:rsidR="0005523A">
        <w:rPr>
          <w:rFonts w:ascii="Times New Roman" w:hAnsi="Times New Roman" w:cs="Times New Roman"/>
        </w:rPr>
        <w:t xml:space="preserve"> the target health benefit.</w:t>
      </w:r>
      <w:r w:rsidR="00035E0C">
        <w:rPr>
          <w:rFonts w:ascii="Times New Roman" w:hAnsi="Times New Roman" w:cs="Times New Roman"/>
        </w:rPr>
        <w:t xml:space="preserve"> </w:t>
      </w:r>
      <w:r w:rsidR="0005523A">
        <w:rPr>
          <w:rFonts w:ascii="Times New Roman" w:hAnsi="Times New Roman" w:cs="Times New Roman"/>
        </w:rPr>
        <w:t xml:space="preserve">This study has demonstrated that the recent ‘Be clear on cancer: Blood in pee’ mass media campaign significantly increased </w:t>
      </w:r>
      <w:r w:rsidR="00B1396C">
        <w:rPr>
          <w:rFonts w:ascii="Times New Roman" w:hAnsi="Times New Roman" w:cs="Times New Roman"/>
        </w:rPr>
        <w:t>the number of new suspected cancer referrals</w:t>
      </w:r>
      <w:r w:rsidR="0005523A">
        <w:rPr>
          <w:rFonts w:ascii="Times New Roman" w:hAnsi="Times New Roman" w:cs="Times New Roman"/>
        </w:rPr>
        <w:t xml:space="preserve"> with no </w:t>
      </w:r>
      <w:r w:rsidR="00A451C7">
        <w:rPr>
          <w:rFonts w:ascii="Times New Roman" w:hAnsi="Times New Roman" w:cs="Times New Roman"/>
        </w:rPr>
        <w:t>significant</w:t>
      </w:r>
      <w:r w:rsidR="0005523A">
        <w:rPr>
          <w:rFonts w:ascii="Times New Roman" w:hAnsi="Times New Roman" w:cs="Times New Roman"/>
        </w:rPr>
        <w:t xml:space="preserve"> effect on the diagnosis of target cancers across a large catchment area</w:t>
      </w:r>
      <w:r w:rsidR="00331EEC">
        <w:rPr>
          <w:rFonts w:ascii="Times New Roman" w:hAnsi="Times New Roman" w:cs="Times New Roman"/>
        </w:rPr>
        <w:t xml:space="preserve"> of more than two million for cancer specific services</w:t>
      </w:r>
      <w:r w:rsidR="0005523A">
        <w:rPr>
          <w:rFonts w:ascii="Times New Roman" w:hAnsi="Times New Roman" w:cs="Times New Roman"/>
        </w:rPr>
        <w:t>.</w:t>
      </w:r>
      <w:r w:rsidR="00035E0C">
        <w:rPr>
          <w:rFonts w:ascii="Times New Roman" w:hAnsi="Times New Roman" w:cs="Times New Roman"/>
        </w:rPr>
        <w:t xml:space="preserve"> </w:t>
      </w:r>
      <w:r w:rsidR="0005523A">
        <w:rPr>
          <w:rFonts w:ascii="Times New Roman" w:hAnsi="Times New Roman" w:cs="Times New Roman"/>
        </w:rPr>
        <w:t xml:space="preserve">In addition to </w:t>
      </w:r>
      <w:r w:rsidR="003E28A9">
        <w:rPr>
          <w:rFonts w:ascii="Times New Roman" w:hAnsi="Times New Roman" w:cs="Times New Roman"/>
        </w:rPr>
        <w:t>an increase</w:t>
      </w:r>
      <w:r w:rsidR="00B1396C">
        <w:rPr>
          <w:rFonts w:ascii="Times New Roman" w:hAnsi="Times New Roman" w:cs="Times New Roman"/>
        </w:rPr>
        <w:t xml:space="preserve"> in the number of patients referred </w:t>
      </w:r>
      <w:r w:rsidR="0005523A">
        <w:rPr>
          <w:rFonts w:ascii="Times New Roman" w:hAnsi="Times New Roman" w:cs="Times New Roman"/>
        </w:rPr>
        <w:t xml:space="preserve">the </w:t>
      </w:r>
      <w:r w:rsidR="00E31E43">
        <w:rPr>
          <w:rFonts w:ascii="Times New Roman" w:hAnsi="Times New Roman" w:cs="Times New Roman"/>
        </w:rPr>
        <w:t>effect</w:t>
      </w:r>
      <w:r w:rsidR="003E28A9">
        <w:rPr>
          <w:rFonts w:ascii="Times New Roman" w:hAnsi="Times New Roman" w:cs="Times New Roman"/>
        </w:rPr>
        <w:t xml:space="preserve"> of the campaign seems to have been relatively short lived with referral numbers appearing to return to a baseline level less than six months after the cessation of the campaign, suggesting an fairly short lived increase in public awareness.</w:t>
      </w:r>
    </w:p>
    <w:p w14:paraId="3ED42F7B" w14:textId="77777777" w:rsidR="00DC4DE0" w:rsidRDefault="00DC4DE0" w:rsidP="00F52F10">
      <w:pPr>
        <w:spacing w:line="480" w:lineRule="auto"/>
        <w:jc w:val="both"/>
        <w:rPr>
          <w:rFonts w:ascii="Times New Roman" w:hAnsi="Times New Roman" w:cs="Times New Roman"/>
        </w:rPr>
      </w:pPr>
    </w:p>
    <w:p w14:paraId="2DD9F359" w14:textId="1137A8A6" w:rsidR="00DF5DA2" w:rsidRDefault="00DC4DE0" w:rsidP="00F52F10">
      <w:pPr>
        <w:spacing w:line="480" w:lineRule="auto"/>
        <w:jc w:val="both"/>
        <w:rPr>
          <w:rFonts w:ascii="Times New Roman" w:hAnsi="Times New Roman" w:cs="Times New Roman"/>
        </w:rPr>
      </w:pPr>
      <w:r>
        <w:rPr>
          <w:rFonts w:ascii="Times New Roman" w:hAnsi="Times New Roman" w:cs="Times New Roman"/>
        </w:rPr>
        <w:t>To date there is only a small evidence base examining the efficacy of these short duration mass media campaigns</w:t>
      </w:r>
      <w:r w:rsidR="00A34B6C">
        <w:rPr>
          <w:rFonts w:ascii="Times New Roman" w:hAnsi="Times New Roman" w:cs="Times New Roman"/>
        </w:rPr>
        <w:t xml:space="preserve"> </w:t>
      </w:r>
      <w:r w:rsidR="00A34B6C">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"10.1016/S0140-6736(10)60809-4", "ISSN" : "1474-547X", "PMID" : "20933263", "abstract" : "Mass media campaigns are widely used to expose high proportions of large populations to messages through routine uses of existing media, such as television, radio, and newspapers. Exposure to such messages is, therefore, generally passive. Such campaigns are frequently competing with factors, such as pervasive product marketing, powerful social norms, and behaviours driven by addiction or habit. In this Review we discuss the outcomes of mass media campaigns in the context of various health-risk behaviours (eg, use of tobacco, alcohol, and other drugs, heart disease risk factors, sex-related behaviours, road safety, cancer screening and prevention, child survival, and organ or blood donation). We conclude that mass media campaigns can produce positive changes or prevent negative changes in health-related behaviours across large populations. We assess what contributes to these outcomes, such as concurrent availability of required services and products, availability of community-based programmes, and policies that support behaviour change. Finally, we propose areas for improvement, such as investment in longer better-funded campaigns to achieve adequate population exposure to media messages.", "author" : [ { "dropping-particle" : "", "family" : "Wakefield", "given" : "Melanie", "non-dropping-particle" : "", "parse-names" : false, "suffix" : "" }, { "dropping-particle" : "", "family" : "Loken", "given" : "Barbara", "non-dropping-particle" : "", "parse-names" : false, "suffix" : "" }, { "dropping-particle" : "", "family" : "Hornik", "given" : "Robert C", "non-dropping-particle" : "", "parse-names" : false, "suffix" : "" } ], "container-title" : "Lancet", "id" : "ITEM-1", "issue" : "9748", "issued" : { "date-parts" : [ [ "2010", "10", "9" ] ] }, "page" : "1261-71", "title" : "Use of mass media campaigns to change health behaviour.", "type" : "article-journal", "volume" : "376" }, "uris" : [ "http://www.mendeley.com/documents/?uuid=733ad6e4-0ba2-40b9-9ebd-513a4bde5876" ] } ], "mendeley" : { "formattedCitation" : "[2]", "plainTextFormattedCitation" : "[2]", "previouslyFormattedCitation" : "[2]" }, "properties" : { "noteIndex" : 0 }, "schema" : "https://github.com/citation-style-language/schema/raw/master/csl-citation.json" }</w:instrText>
      </w:r>
      <w:r w:rsidR="00A34B6C">
        <w:rPr>
          <w:rFonts w:ascii="Times New Roman" w:hAnsi="Times New Roman" w:cs="Times New Roman"/>
        </w:rPr>
        <w:fldChar w:fldCharType="separate"/>
      </w:r>
      <w:r w:rsidR="00C45686" w:rsidRPr="00C45686">
        <w:rPr>
          <w:rFonts w:ascii="Times New Roman" w:hAnsi="Times New Roman" w:cs="Times New Roman"/>
          <w:noProof/>
        </w:rPr>
        <w:t>[2]</w:t>
      </w:r>
      <w:r w:rsidR="00A34B6C">
        <w:rPr>
          <w:rFonts w:ascii="Times New Roman" w:hAnsi="Times New Roman" w:cs="Times New Roman"/>
        </w:rPr>
        <w:fldChar w:fldCharType="end"/>
      </w:r>
      <w:r w:rsidR="00DF1DC4">
        <w:rPr>
          <w:rFonts w:ascii="Times New Roman" w:hAnsi="Times New Roman" w:cs="Times New Roman"/>
        </w:rPr>
        <w:t xml:space="preserve">. </w:t>
      </w:r>
      <w:r w:rsidR="009F6FDD">
        <w:rPr>
          <w:rFonts w:ascii="Times New Roman" w:hAnsi="Times New Roman" w:cs="Times New Roman"/>
        </w:rPr>
        <w:t>In</w:t>
      </w:r>
      <w:r w:rsidR="00DD2392">
        <w:rPr>
          <w:rFonts w:ascii="Times New Roman" w:hAnsi="Times New Roman" w:cs="Times New Roman"/>
        </w:rPr>
        <w:t xml:space="preserve"> previous stud</w:t>
      </w:r>
      <w:r w:rsidR="00B1396C">
        <w:rPr>
          <w:rFonts w:ascii="Times New Roman" w:hAnsi="Times New Roman" w:cs="Times New Roman"/>
        </w:rPr>
        <w:t>ies</w:t>
      </w:r>
      <w:r w:rsidR="00DD2392">
        <w:rPr>
          <w:rFonts w:ascii="Times New Roman" w:hAnsi="Times New Roman" w:cs="Times New Roman"/>
        </w:rPr>
        <w:t xml:space="preserve"> </w:t>
      </w:r>
      <w:r w:rsidR="00B1396C">
        <w:rPr>
          <w:rFonts w:ascii="Times New Roman" w:hAnsi="Times New Roman" w:cs="Times New Roman"/>
        </w:rPr>
        <w:t xml:space="preserve">examining </w:t>
      </w:r>
      <w:r w:rsidR="00DF1DC4">
        <w:rPr>
          <w:rFonts w:ascii="Times New Roman" w:hAnsi="Times New Roman" w:cs="Times New Roman"/>
        </w:rPr>
        <w:t>the effects of similar campaign</w:t>
      </w:r>
      <w:r w:rsidR="0054627B">
        <w:rPr>
          <w:rFonts w:ascii="Times New Roman" w:hAnsi="Times New Roman" w:cs="Times New Roman"/>
        </w:rPr>
        <w:t>s</w:t>
      </w:r>
      <w:r w:rsidR="00DF1DC4">
        <w:rPr>
          <w:rFonts w:ascii="Times New Roman" w:hAnsi="Times New Roman" w:cs="Times New Roman"/>
        </w:rPr>
        <w:t xml:space="preserve"> targeted at bowel cancer</w:t>
      </w:r>
      <w:r w:rsidR="00B1396C">
        <w:rPr>
          <w:rFonts w:ascii="Times New Roman" w:hAnsi="Times New Roman" w:cs="Times New Roman"/>
        </w:rPr>
        <w:t xml:space="preserve"> </w:t>
      </w:r>
      <w:r w:rsidR="008A4121">
        <w:rPr>
          <w:rFonts w:ascii="Times New Roman" w:hAnsi="Times New Roman" w:cs="Times New Roman"/>
        </w:rPr>
        <w:t xml:space="preserve">analogous </w:t>
      </w:r>
      <w:r w:rsidR="00DF1DC4">
        <w:rPr>
          <w:rFonts w:ascii="Times New Roman" w:hAnsi="Times New Roman" w:cs="Times New Roman"/>
        </w:rPr>
        <w:t>findings</w:t>
      </w:r>
      <w:r w:rsidR="00DD2392">
        <w:rPr>
          <w:rFonts w:ascii="Times New Roman" w:hAnsi="Times New Roman" w:cs="Times New Roman"/>
        </w:rPr>
        <w:t xml:space="preserve"> to those observed here</w:t>
      </w:r>
      <w:r w:rsidR="00B1396C">
        <w:rPr>
          <w:rFonts w:ascii="Times New Roman" w:hAnsi="Times New Roman" w:cs="Times New Roman"/>
        </w:rPr>
        <w:t xml:space="preserve"> were seen</w:t>
      </w:r>
      <w:r w:rsidR="00DD2392">
        <w:rPr>
          <w:rFonts w:ascii="Times New Roman" w:hAnsi="Times New Roman" w:cs="Times New Roman"/>
        </w:rPr>
        <w:t>,</w:t>
      </w:r>
      <w:r w:rsidR="00DF1DC4">
        <w:rPr>
          <w:rFonts w:ascii="Times New Roman" w:hAnsi="Times New Roman" w:cs="Times New Roman"/>
        </w:rPr>
        <w:t xml:space="preserve"> </w:t>
      </w:r>
      <w:r w:rsidR="00583921">
        <w:rPr>
          <w:rFonts w:ascii="Times New Roman" w:hAnsi="Times New Roman" w:cs="Times New Roman"/>
        </w:rPr>
        <w:t>with</w:t>
      </w:r>
      <w:r w:rsidR="00DF1DC4">
        <w:rPr>
          <w:rFonts w:ascii="Times New Roman" w:hAnsi="Times New Roman" w:cs="Times New Roman"/>
        </w:rPr>
        <w:t xml:space="preserve"> an increase in referrals lasting appro</w:t>
      </w:r>
      <w:r w:rsidR="000B2F1E">
        <w:rPr>
          <w:rFonts w:ascii="Times New Roman" w:hAnsi="Times New Roman" w:cs="Times New Roman"/>
        </w:rPr>
        <w:t>ximately three months</w:t>
      </w:r>
      <w:r w:rsidR="00583921">
        <w:rPr>
          <w:rFonts w:ascii="Times New Roman" w:hAnsi="Times New Roman" w:cs="Times New Roman"/>
        </w:rPr>
        <w:t xml:space="preserve">, </w:t>
      </w:r>
      <w:r w:rsidR="000B2F1E">
        <w:rPr>
          <w:rFonts w:ascii="Times New Roman" w:hAnsi="Times New Roman" w:cs="Times New Roman"/>
        </w:rPr>
        <w:t xml:space="preserve">with no concurrent increase in cancer diagnosis </w:t>
      </w:r>
      <w:r w:rsidR="00B1396C">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"10.1136/postgradmedj-2012-131014", "ISSN" : "1469-0756", "PMID" : "23572594", "abstract" : "OBJECTIVES: To assess the impact of a 7-week public bowel cancer awareness campaign pilot by reviewing the number of 2-week referrals from general practitioners (GPs) to hospital, endoscopic procedures and new cancers diagnosed throughout the five acute hospitals in The Peninsular Cancer Network, UK.\n\nDESIGN: A retrospective before and after study.\n\nSETTING: The Peninsula Cancer Network in the South West of England, UK.\n\nMAIN OUTCOME MEASURES: For the period July 2010-July 2011, data were collected on the number of 2-week referrals, number of endoscopic procedures performed and number of new cancers diagnosed. The average for the 6 months before the campaign was compared with the immediate 3 months and then the fourth to sixth months following the campaign. Student's t test was used to compare the means of the three groups.\n\nRESULTS: There was a statistically significant increase in the number of 2-week referrals from GPs to hospital in the 3 months following the campaign but this effect disappeared after that. There was no statistical increase in the number of endoscopic procedures or new cancers diagnosed following the awareness campaign.\n\nCONCLUSIONS: The pilot 'Be Clear on Cancer' awareness campaign had a significant effect on the number of patients being referred from GPs to hospital; however, the effect was short lived and had returned to baseline by 3 months. The campaign had no effect on the number of new cancers diagnosed, which was the stated underlying aim of the pilot.", "author" : [ { "dropping-particle" : "", "family" : "Bethune", "given" : "Rob", "non-dropping-particle" : "", "parse-names" : false, "suffix" : "" }, { "dropping-particle" : "", "family" : "Marshall", "given" : "Morwena J", "non-dropping-particle" : "", "parse-names" : false, "suffix" : "" }, { "dropping-particle" : "", "family" : "Mitchell", "given" : "Stephen J", "non-dropping-particle" : "", "parse-names" : false, "suffix" : "" }, { "dropping-particle" : "", "family" : "Oppong", "given" : "Chris", "non-dropping-particle" : "", "parse-names" : false, "suffix" : "" }, { "dropping-particle" : "", "family" : "Cartmel", "given" : "Mark T", "non-dropping-particle" : "", "parse-names" : false, "suffix" : "" }, { "dropping-particle" : "", "family" : "Arumugam", "given" : "Ponnandai J", "non-dropping-particle" : "", "parse-names" : false, "suffix" : "" }, { "dropping-particle" : "", "family" : "Gee", "given" : "Andrew S", "non-dropping-particle" : "", "parse-names" : false, "suffix" : "" }, { "dropping-particle" : "", "family" : "Daniels", "given" : "Ian R", "non-dropping-particle" : "", "parse-names" : false, "suffix" : "" } ], "container-title" : "Postgraduate medical journal", "id" : "ITEM-1", "issue" : "1053", "issued" : { "date-parts" : [ [ "2013", "7" ] ] }, "page" : "390-3", "title" : "Did the 'Be Clear on Bowel Cancer' public awareness campaign pilot result in a higher rate of cancer detection?", "type" : "article-journal", "volume" : "89" }, "uris" : [ "http://www.mendeley.com/documents/?uuid=33dc2e2e-b14f-4c6b-8e38-dc17ed6bffd5" ] }, { "id" : "ITEM-2", "itemData" : { "DOI" : "10.1111/codi.12220", "ISSN" : "1463-1318", "PMID" : "23656572", "abstract" : "AIM: The National Bowel Cancer Awareness Campaign ('Be Clear on Cancer') was launched by the UK government in January 2012, encouraging people with bowel symptoms to present to primary care. Our aim was to evaluate the impact of the campaign on colorectal services in secondary care.\n\nMETHOD: Suspected cancer 2-week-wait (2WW) patients 3 months before and 3 months after the launch of the campaign were included. Demographics, reason for referral, investigations performed, cost analysis and eventual diagnoses were collected.\n\nRESULTS: Three hundred and forty-three patients [median age 70 (36-100) years, 194 (57%) women] were seen and investigated in the 3 months prior to the launch of the campaign at an average cost of \u00a3575 per patient. Twenty-seven (8%) were diagnosed with lower gastrointestinal cancer and 29 (8%) with polyps. In the 3 months following the launch, 544 patients [median age 68 (30-92) years, 290 (53%) women] were reviewed (59% increase; P = 0.004). The 'did not attend' rate fell from 10% to 1%. Thirty-two (6%) patients were diagnosed with a lower gastrointestinal cancer and 20 (4%) with colorectal polyps. The cost per colorectal cancer detected rose from \u00a37585.58 before the campaign to \u00a39662.72 after launch (P = 0.04).\n\nCONCLUSION: The 'Be Clear on Cancer' campaign has substantially increased the number of referrals under the 2WW rule, but mainly in the worried well. This has increased demands on both resources (59% more tests) and finance. Cost per cancer detected rose by 27% with no increase in funding to support the increased activity.", "author" : [ { "dropping-particle" : "", "family" : "Peacock", "given" : "O", "non-dropping-particle" : "", "parse-names" : false, "suffix" : "" }, { "dropping-particle" : "", "family" : "Clayton", "given" : "S", "non-dropping-particle" : "", "parse-names" : false, "suffix" : "" }, { "dropping-particle" : "", "family" : "Atkinson", "given" : "F", "non-dropping-particle" : "", "parse-names" : false, "suffix" : "" }, { "dropping-particle" : "", "family" : "Tierney", "given" : "G M", "non-dropping-particle" : "", "parse-names" : false, "suffix" : "" }, { "dropping-particle" : "", "family" : "Lund", "given" : "J N", "non-dropping-particle" : "", "parse-names" : false, "suffix" : "" } ], "container-title" : "Colorectal disease : the official journal of the Association of Coloproctology of Great Britain and Ireland", "id" : "ITEM-2", "issue" : "8", "issued" : { "date-parts" : [ [ "2013", "8" ] ] }, "page" : "963-7", "title" : "'Be Clear on Cancer': the impact of the UK National Bowel Cancer Awareness Campaign.", "type" : "article-journal", "volume" : "15" }, "uris" : [ "http://www.mendeley.com/documents/?uuid=9c42f51c-2ff4-4587-9aac-a74d7690f660" ] } ], "mendeley" : { "formattedCitation" : "[3,4]", "plainTextFormattedCitation" : "[3,4]", "previouslyFormattedCitation" : "[3,4]" }, "properties" : { "noteIndex" : 0 }, "schema" : "https://github.com/citation-style-language/schema/raw/master/csl-citation.json" }</w:instrText>
      </w:r>
      <w:r w:rsidR="00B1396C">
        <w:rPr>
          <w:rFonts w:ascii="Times New Roman" w:hAnsi="Times New Roman" w:cs="Times New Roman"/>
        </w:rPr>
        <w:fldChar w:fldCharType="separate"/>
      </w:r>
      <w:r w:rsidR="00467672" w:rsidRPr="00467672">
        <w:rPr>
          <w:rFonts w:ascii="Times New Roman" w:hAnsi="Times New Roman" w:cs="Times New Roman"/>
          <w:noProof/>
        </w:rPr>
        <w:t>[3,4]</w:t>
      </w:r>
      <w:r w:rsidR="00B1396C">
        <w:rPr>
          <w:rFonts w:ascii="Times New Roman" w:hAnsi="Times New Roman" w:cs="Times New Roman"/>
        </w:rPr>
        <w:fldChar w:fldCharType="end"/>
      </w:r>
      <w:r w:rsidR="000B2F1E">
        <w:rPr>
          <w:rFonts w:ascii="Times New Roman" w:hAnsi="Times New Roman" w:cs="Times New Roman"/>
        </w:rPr>
        <w:t>.</w:t>
      </w:r>
      <w:r w:rsidR="00AC1739">
        <w:rPr>
          <w:rFonts w:ascii="Times New Roman" w:hAnsi="Times New Roman" w:cs="Times New Roman"/>
        </w:rPr>
        <w:t xml:space="preserve"> </w:t>
      </w:r>
      <w:r w:rsidR="000248E4">
        <w:rPr>
          <w:rFonts w:ascii="Times New Roman" w:hAnsi="Times New Roman" w:cs="Times New Roman"/>
        </w:rPr>
        <w:t xml:space="preserve">When looking </w:t>
      </w:r>
      <w:r w:rsidR="00C757EC">
        <w:rPr>
          <w:rFonts w:ascii="Times New Roman" w:hAnsi="Times New Roman" w:cs="Times New Roman"/>
        </w:rPr>
        <w:t xml:space="preserve">at </w:t>
      </w:r>
      <w:r w:rsidR="000248E4">
        <w:rPr>
          <w:rFonts w:ascii="Times New Roman" w:hAnsi="Times New Roman" w:cs="Times New Roman"/>
        </w:rPr>
        <w:t>mass media campaigns outside of the UK</w:t>
      </w:r>
      <w:r w:rsidR="00175508">
        <w:rPr>
          <w:rFonts w:ascii="Times New Roman" w:hAnsi="Times New Roman" w:cs="Times New Roman"/>
        </w:rPr>
        <w:t xml:space="preserve"> the majority relate to cervical cancer screening programmes </w:t>
      </w:r>
      <w:r w:rsidR="00175508">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"10.1016/S0140-6736(10)60809-4", "ISSN" : "1474-547X", "PMID" : "20933263", "abstract" : "Mass media campaigns are widely used to expose high proportions of large populations to messages through routine uses of existing media, such as television, radio, and newspapers. Exposure to such messages is, therefore, generally passive. Such campaigns are frequently competing with factors, such as pervasive product marketing, powerful social norms, and behaviours driven by addiction or habit. In this Review we discuss the outcomes of mass media campaigns in the context of various health-risk behaviours (eg, use of tobacco, alcohol, and other drugs, heart disease risk factors, sex-related behaviours, road safety, cancer screening and prevention, child survival, and organ or blood donation). We conclude that mass media campaigns can produce positive changes or prevent negative changes in health-related behaviours across large populations. We assess what contributes to these outcomes, such as concurrent availability of required services and products, availability of community-based programmes, and policies that support behaviour change. Finally, we propose areas for improvement, such as investment in longer better-funded campaigns to achieve adequate population exposure to media messages.", "author" : [ { "dropping-particle" : "", "family" : "Wakefield", "given" : "Melanie", "non-dropping-particle" : "", "parse-names" : false, "suffix" : "" }, { "dropping-particle" : "", "family" : "Loken", "given" : "Barbara", "non-dropping-particle" : "", "parse-names" : false, "suffix" : "" }, { "dropping-particle" : "", "family" : "Hornik", "given" : "Robert C", "non-dropping-particle" : "", "parse-names" : false, "suffix" : "" } ], "container-title" : "Lancet", "id" : "ITEM-1", "issue" : "9748", "issued" : { "date-parts" : [ [ "2010", "10", "9" ] ] }, "page" : "1261-71", "title" : "Use of mass media campaigns to change health behaviour.", "type" : "article-journal", "volume" : "376" }, "uris" : [ "http://www.mendeley.com/documents/?uuid=733ad6e4-0ba2-40b9-9ebd-513a4bde5876" ] }, { "id" : "ITEM-2", "itemData" : { "DOI" : "10.1093/her/cym021", "ISSN" : "0268-1153", "PMID" : "17615181", "abstract" : "The study assessed whether a mass media campaign could encourage women who were overdue for a Papanicolaou (Pap) test to have one, without prompting unnecessary early re-screening. A telephone survey of a representative sample of 1000 Victorian women aged 25-65 years assessed recall of the advertisement and intention to act after seeing it. The television advertisement was recalled by 61.5% of women. Significantly more who said 'I mean to have a test every two years, but I usually leave it longer' indicated they would have a Pap test more often as a result of seeing the advertisement (63%), than women who had Pap tests every 1 (6%) or 2 (12%) years. Negative binomial regression analysis on data from the Victorian Cervical Cytology Registry from the middle of 2002 to the end of 2004 showed that during the campaign the number of Pap tests conducted increased by 18% (coeff = 0.169, df &lt; 0.029). The rate increased most among those due or overdue for a Pap test. In a population with a high level of awareness of cervical screening, it is possible to run a mass media campaign to encourage screening which is specific to women whose test is due or overdue.", "author" : [ { "dropping-particle" : "", "family" : "Mullins", "given" : "Robyn", "non-dropping-particle" : "", "parse-names" : false, "suffix" : "" }, { "dropping-particle" : "", "family" : "Wakefield", "given" : "Melanie", "non-dropping-particle" : "", "parse-names" : false, "suffix" : "" }, { "dropping-particle" : "", "family" : "Broun", "given" : "Kate", "non-dropping-particle" : "", "parse-names" : false, "suffix" : "" } ], "container-title" : "Health education research", "id" : "ITEM-2", "issue" : "3", "issued" : { "date-parts" : [ [ "2008", "6" ] ] }, "page" : "477-86", "title" : "Encouraging the right women to attend for cervical cancer screening: results from a targeted television campaign in Victoria, Australia.", "type" : "article-journal", "volume" : "23" }, "uris" : [ "http://www.mendeley.com/documents/?uuid=17a20fde-f0e5-4f51-818c-53ec42826b2f" ] }, { "id" : "ITEM-3", "itemData" : { "DOI" : "10.1093/her/cyp023", "ISSN" : "0268-1153", "PMID" : "19342422", "abstract" : "Low socio-economic status (SES) has been associated with lower cervical screening rates. Mass media is one known strategy that can increase cervical screening participation. This study sought to determine whether a mass media campaign conducted in Victoria, Australia, in 2005 was effective in encouraging women across all SES groups to screen. Data were obtained from the Victorian Cervical Cytology Registry for each Pap test registered during 2005 and categorized into SES quintiles using the Index of Socio-Economic Advantage/Disadvantage. Negative binomial regression was used to determine the impact of the campaign on the weekly number of Pap tests and whether the media campaign had a differential effect by SES, after adjusting for the number of workdays per week, age group and time since previous test. Cervical screening increased 27% during the campaign period and was equally effective in encouraging screening across all SES groups, including low-SES women. Mass media campaigns can prompt increased rates of cervical screening among all women, not just those from more advantaged areas. Combining media with additional strategies targeted at low-SES women may help lessen the underlying differences in screening rates across SES.", "author" : [ { "dropping-particle" : "", "family" : "Anderson", "given" : "Jenny O", "non-dropping-particle" : "", "parse-names" : false, "suffix" : "" }, { "dropping-particle" : "", "family" : "Mullins", "given" : "Robyn M", "non-dropping-particle" : "", "parse-names" : false, "suffix" : "" }, { "dropping-particle" : "", "family" : "Siahpush", "given" : "Mohammad", "non-dropping-particle" : "", "parse-names" : false, "suffix" : "" }, { "dropping-particle" : "", "family" : "Spittal", "given" : "Matthew J", "non-dropping-particle" : "", "parse-names" : false, "suffix" : "" }, { "dropping-particle" : "", "family" : "Wakefield", "given" : "Melanie", "non-dropping-particle" : "", "parse-names" : false, "suffix" : "" } ], "container-title" : "Health education research", "id" : "ITEM-3", "issue" : "5", "issued" : { "date-parts" : [ [ "2009", "10" ] ] }, "page" : "867-75", "title" : "Mass media campaign improves cervical screening across all socio-economic groups.", "type" : "article-journal", "volume" : "24" }, "uris" : [ "http://www.mendeley.com/documents/?uuid=ffe8e95e-a032-4e56-b3eb-708e54e1eead" ] } ], "mendeley" : { "formattedCitation" : "[2,9,10]", "plainTextFormattedCitation" : "[2,9,10]", "previouslyFormattedCitation" : "[2,9,10]" }, "properties" : { "noteIndex" : 0 }, "schema" : "https://github.com/citation-style-language/schema/raw/master/csl-citation.json" }</w:instrText>
      </w:r>
      <w:r w:rsidR="00175508">
        <w:rPr>
          <w:rFonts w:ascii="Times New Roman" w:hAnsi="Times New Roman" w:cs="Times New Roman"/>
        </w:rPr>
        <w:fldChar w:fldCharType="separate"/>
      </w:r>
      <w:r w:rsidR="00D43E8E" w:rsidRPr="00D43E8E">
        <w:rPr>
          <w:rFonts w:ascii="Times New Roman" w:hAnsi="Times New Roman" w:cs="Times New Roman"/>
          <w:noProof/>
        </w:rPr>
        <w:t>[2,9,10]</w:t>
      </w:r>
      <w:r w:rsidR="00175508">
        <w:rPr>
          <w:rFonts w:ascii="Times New Roman" w:hAnsi="Times New Roman" w:cs="Times New Roman"/>
        </w:rPr>
        <w:fldChar w:fldCharType="end"/>
      </w:r>
      <w:r w:rsidR="00175508">
        <w:rPr>
          <w:rFonts w:ascii="Times New Roman" w:hAnsi="Times New Roman" w:cs="Times New Roman"/>
        </w:rPr>
        <w:t>. T</w:t>
      </w:r>
      <w:r w:rsidR="000248E4">
        <w:rPr>
          <w:rFonts w:ascii="Times New Roman" w:hAnsi="Times New Roman" w:cs="Times New Roman"/>
        </w:rPr>
        <w:t>he findings</w:t>
      </w:r>
      <w:r w:rsidR="00175508">
        <w:rPr>
          <w:rFonts w:ascii="Times New Roman" w:hAnsi="Times New Roman" w:cs="Times New Roman"/>
        </w:rPr>
        <w:t xml:space="preserve"> of these studies</w:t>
      </w:r>
      <w:r w:rsidR="000248E4">
        <w:rPr>
          <w:rFonts w:ascii="Times New Roman" w:hAnsi="Times New Roman" w:cs="Times New Roman"/>
        </w:rPr>
        <w:t xml:space="preserve"> aga</w:t>
      </w:r>
      <w:r w:rsidR="00175508">
        <w:rPr>
          <w:rFonts w:ascii="Times New Roman" w:hAnsi="Times New Roman" w:cs="Times New Roman"/>
        </w:rPr>
        <w:t>in tally with those seen here demonstrating</w:t>
      </w:r>
      <w:r w:rsidR="00E3477C">
        <w:rPr>
          <w:rFonts w:ascii="Times New Roman" w:hAnsi="Times New Roman" w:cs="Times New Roman"/>
        </w:rPr>
        <w:t xml:space="preserve"> only</w:t>
      </w:r>
      <w:r w:rsidR="00175508">
        <w:rPr>
          <w:rFonts w:ascii="Times New Roman" w:hAnsi="Times New Roman" w:cs="Times New Roman"/>
        </w:rPr>
        <w:t xml:space="preserve"> a short-term increase in the uptake of cancer screening investigations</w:t>
      </w:r>
      <w:r w:rsidR="00B64EF4">
        <w:rPr>
          <w:rFonts w:ascii="Times New Roman" w:hAnsi="Times New Roman" w:cs="Times New Roman"/>
        </w:rPr>
        <w:t xml:space="preserve"> following the campaign in question.</w:t>
      </w:r>
    </w:p>
    <w:p w14:paraId="362E708A" w14:textId="77777777" w:rsidR="005F6094" w:rsidRDefault="005F6094" w:rsidP="00F52F10">
      <w:pPr>
        <w:spacing w:line="480" w:lineRule="auto"/>
        <w:jc w:val="both"/>
        <w:rPr>
          <w:rFonts w:ascii="Times New Roman" w:hAnsi="Times New Roman" w:cs="Times New Roman"/>
        </w:rPr>
      </w:pPr>
    </w:p>
    <w:p w14:paraId="6DB479CD" w14:textId="0013E21E" w:rsidR="00B1179F" w:rsidRDefault="004F3133" w:rsidP="00F52F10">
      <w:pPr>
        <w:spacing w:line="480" w:lineRule="auto"/>
        <w:jc w:val="both"/>
        <w:rPr>
          <w:rFonts w:ascii="Times New Roman" w:hAnsi="Times New Roman" w:cs="Times New Roman"/>
        </w:rPr>
      </w:pPr>
      <w:r>
        <w:rPr>
          <w:rFonts w:ascii="Times New Roman" w:hAnsi="Times New Roman" w:cs="Times New Roman"/>
        </w:rPr>
        <w:t>Although the findings here failed to show a statistically significant difference in the numbers</w:t>
      </w:r>
      <w:r w:rsidR="00802063">
        <w:rPr>
          <w:rFonts w:ascii="Times New Roman" w:hAnsi="Times New Roman" w:cs="Times New Roman"/>
        </w:rPr>
        <w:t xml:space="preserve"> of cancers diagnosed</w:t>
      </w:r>
      <w:r w:rsidR="00C757EC">
        <w:rPr>
          <w:rFonts w:ascii="Times New Roman" w:hAnsi="Times New Roman" w:cs="Times New Roman"/>
        </w:rPr>
        <w:t xml:space="preserve">, </w:t>
      </w:r>
      <w:r w:rsidR="00573B50">
        <w:rPr>
          <w:rFonts w:ascii="Times New Roman" w:hAnsi="Times New Roman" w:cs="Times New Roman"/>
        </w:rPr>
        <w:t>un</w:t>
      </w:r>
      <w:r w:rsidR="009B4DED">
        <w:rPr>
          <w:rFonts w:ascii="Times New Roman" w:hAnsi="Times New Roman" w:cs="Times New Roman"/>
        </w:rPr>
        <w:t>-</w:t>
      </w:r>
      <w:r w:rsidR="00573B50">
        <w:rPr>
          <w:rFonts w:ascii="Times New Roman" w:hAnsi="Times New Roman" w:cs="Times New Roman"/>
        </w:rPr>
        <w:t xml:space="preserve">peer reviewed </w:t>
      </w:r>
      <w:r w:rsidR="00583921">
        <w:rPr>
          <w:rFonts w:ascii="Times New Roman" w:hAnsi="Times New Roman" w:cs="Times New Roman"/>
        </w:rPr>
        <w:t>data</w:t>
      </w:r>
      <w:r w:rsidR="00802063">
        <w:rPr>
          <w:rFonts w:ascii="Times New Roman" w:hAnsi="Times New Roman" w:cs="Times New Roman"/>
        </w:rPr>
        <w:t xml:space="preserve"> published </w:t>
      </w:r>
      <w:r w:rsidR="00573B50">
        <w:rPr>
          <w:rFonts w:ascii="Times New Roman" w:hAnsi="Times New Roman" w:cs="Times New Roman"/>
        </w:rPr>
        <w:t xml:space="preserve">by </w:t>
      </w:r>
      <w:r w:rsidR="00D97E0A">
        <w:rPr>
          <w:rFonts w:ascii="Times New Roman" w:hAnsi="Times New Roman" w:cs="Times New Roman"/>
        </w:rPr>
        <w:t>Public Health</w:t>
      </w:r>
      <w:r w:rsidR="00802063">
        <w:rPr>
          <w:rFonts w:ascii="Times New Roman" w:hAnsi="Times New Roman" w:cs="Times New Roman"/>
        </w:rPr>
        <w:t xml:space="preserve"> England from their pilot data demonstrated a 22% increase in cancer pick up</w:t>
      </w:r>
      <w:r w:rsidR="005F6094">
        <w:rPr>
          <w:rFonts w:ascii="Times New Roman" w:hAnsi="Times New Roman" w:cs="Times New Roman"/>
        </w:rPr>
        <w:t xml:space="preserve"> </w:t>
      </w:r>
      <w:r w:rsidR="00D516A7">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"author" : [ { "dropping-particle" : "", "family" : "Duffy", "given" : "S", "non-dropping-particle" : "", "parse-names" : false, "suffix" : "" } ], "id" : "ITEM-1", "issue" : "February", "issued" : { "date-parts" : [ [ "2014" ] ] }, "page" : "1-10", "publisher-place" : "London", "title" : "Be Clear on Cancer evaluation update", "type" : "report" }, "uris" : [ "http://www.mendeley.com/documents/?uuid=de6cd3a9-8d02-4323-96e1-25e78c3a80ab" ] } ], "mendeley" : { "formattedCitation" : "[11]", "plainTextFormattedCitation" : "[11]", "previouslyFormattedCitation" : "[11]" }, "properties" : { "noteIndex" : 0 }, "schema" : "https://github.com/citation-style-language/schema/raw/master/csl-citation.json" }</w:instrText>
      </w:r>
      <w:r w:rsidR="00D516A7">
        <w:rPr>
          <w:rFonts w:ascii="Times New Roman" w:hAnsi="Times New Roman" w:cs="Times New Roman"/>
        </w:rPr>
        <w:fldChar w:fldCharType="separate"/>
      </w:r>
      <w:r w:rsidR="00D43E8E" w:rsidRPr="00D43E8E">
        <w:rPr>
          <w:rFonts w:ascii="Times New Roman" w:hAnsi="Times New Roman" w:cs="Times New Roman"/>
          <w:noProof/>
        </w:rPr>
        <w:t>[11]</w:t>
      </w:r>
      <w:r w:rsidR="00D516A7">
        <w:rPr>
          <w:rFonts w:ascii="Times New Roman" w:hAnsi="Times New Roman" w:cs="Times New Roman"/>
        </w:rPr>
        <w:fldChar w:fldCharType="end"/>
      </w:r>
      <w:r w:rsidR="00802063">
        <w:rPr>
          <w:rFonts w:ascii="Times New Roman" w:hAnsi="Times New Roman" w:cs="Times New Roman"/>
        </w:rPr>
        <w:t>.</w:t>
      </w:r>
      <w:r w:rsidR="00AC1739">
        <w:rPr>
          <w:rFonts w:ascii="Times New Roman" w:hAnsi="Times New Roman" w:cs="Times New Roman"/>
        </w:rPr>
        <w:t xml:space="preserve"> </w:t>
      </w:r>
      <w:r w:rsidR="000922F2">
        <w:rPr>
          <w:rFonts w:ascii="Times New Roman" w:hAnsi="Times New Roman" w:cs="Times New Roman"/>
        </w:rPr>
        <w:t>T</w:t>
      </w:r>
      <w:r w:rsidR="00360A7A">
        <w:rPr>
          <w:rFonts w:ascii="Times New Roman" w:hAnsi="Times New Roman" w:cs="Times New Roman"/>
        </w:rPr>
        <w:t xml:space="preserve">his same </w:t>
      </w:r>
      <w:r w:rsidR="005524A3">
        <w:rPr>
          <w:rFonts w:ascii="Times New Roman" w:hAnsi="Times New Roman" w:cs="Times New Roman"/>
        </w:rPr>
        <w:t xml:space="preserve">document </w:t>
      </w:r>
      <w:r w:rsidR="000922F2">
        <w:rPr>
          <w:rFonts w:ascii="Times New Roman" w:hAnsi="Times New Roman" w:cs="Times New Roman"/>
        </w:rPr>
        <w:t xml:space="preserve">also </w:t>
      </w:r>
      <w:r w:rsidR="00411A80">
        <w:rPr>
          <w:rFonts w:ascii="Times New Roman" w:hAnsi="Times New Roman" w:cs="Times New Roman"/>
        </w:rPr>
        <w:t>reports</w:t>
      </w:r>
      <w:r w:rsidR="00360A7A">
        <w:rPr>
          <w:rFonts w:ascii="Times New Roman" w:hAnsi="Times New Roman" w:cs="Times New Roman"/>
        </w:rPr>
        <w:t xml:space="preserve"> </w:t>
      </w:r>
      <w:r w:rsidR="00802063">
        <w:rPr>
          <w:rFonts w:ascii="Times New Roman" w:hAnsi="Times New Roman" w:cs="Times New Roman"/>
        </w:rPr>
        <w:t>tha</w:t>
      </w:r>
      <w:r w:rsidR="00573B50">
        <w:rPr>
          <w:rFonts w:ascii="Times New Roman" w:hAnsi="Times New Roman" w:cs="Times New Roman"/>
        </w:rPr>
        <w:t xml:space="preserve">t the </w:t>
      </w:r>
      <w:r w:rsidR="00BF79F9">
        <w:rPr>
          <w:rFonts w:ascii="Times New Roman" w:hAnsi="Times New Roman" w:cs="Times New Roman"/>
        </w:rPr>
        <w:t xml:space="preserve">number of patients </w:t>
      </w:r>
      <w:r w:rsidR="00573B50">
        <w:rPr>
          <w:rFonts w:ascii="Times New Roman" w:hAnsi="Times New Roman" w:cs="Times New Roman"/>
        </w:rPr>
        <w:t xml:space="preserve">referred </w:t>
      </w:r>
      <w:r w:rsidR="00BF79F9">
        <w:rPr>
          <w:rFonts w:ascii="Times New Roman" w:hAnsi="Times New Roman" w:cs="Times New Roman"/>
        </w:rPr>
        <w:t>increased by between 25-26%</w:t>
      </w:r>
      <w:r w:rsidR="005F6094">
        <w:rPr>
          <w:rFonts w:ascii="Times New Roman" w:hAnsi="Times New Roman" w:cs="Times New Roman"/>
        </w:rPr>
        <w:t xml:space="preserve"> </w:t>
      </w:r>
      <w:r w:rsidR="005524A3">
        <w:rPr>
          <w:rFonts w:ascii="Times New Roman" w:hAnsi="Times New Roman" w:cs="Times New Roman"/>
        </w:rPr>
        <w:t xml:space="preserve">over the course of the study period </w:t>
      </w:r>
      <w:r w:rsidR="005F6094">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"author" : [ { "dropping-particle" : "", "family" : "Duffy", "given" : "S", "non-dropping-particle" : "", "parse-names" : false, "suffix" : "" } ], "id" : "ITEM-1", "issue" : "February", "issued" : { "date-parts" : [ [ "2014" ] ] }, "page" : "1-10", "publisher-place" : "London", "title" : "Be Clear on Cancer evaluation update", "type" : "report" }, "uris" : [ "http://www.mendeley.com/documents/?uuid=de6cd3a9-8d02-4323-96e1-25e78c3a80ab" ] } ], "mendeley" : { "formattedCitation" : "[11]", "plainTextFormattedCitation" : "[11]", "previouslyFormattedCitation" : "[11]" }, "properties" : { "noteIndex" : 0 }, "schema" : "https://github.com/citation-style-language/schema/raw/master/csl-citation.json" }</w:instrText>
      </w:r>
      <w:r w:rsidR="005F6094">
        <w:rPr>
          <w:rFonts w:ascii="Times New Roman" w:hAnsi="Times New Roman" w:cs="Times New Roman"/>
        </w:rPr>
        <w:fldChar w:fldCharType="separate"/>
      </w:r>
      <w:r w:rsidR="00D43E8E" w:rsidRPr="00D43E8E">
        <w:rPr>
          <w:rFonts w:ascii="Times New Roman" w:hAnsi="Times New Roman" w:cs="Times New Roman"/>
          <w:noProof/>
        </w:rPr>
        <w:t>[11]</w:t>
      </w:r>
      <w:r w:rsidR="005F6094">
        <w:rPr>
          <w:rFonts w:ascii="Times New Roman" w:hAnsi="Times New Roman" w:cs="Times New Roman"/>
        </w:rPr>
        <w:fldChar w:fldCharType="end"/>
      </w:r>
      <w:r w:rsidR="00BF79F9">
        <w:rPr>
          <w:rFonts w:ascii="Times New Roman" w:hAnsi="Times New Roman" w:cs="Times New Roman"/>
        </w:rPr>
        <w:t xml:space="preserve">, significantly less than the 92% increase </w:t>
      </w:r>
      <w:r w:rsidR="00573B50">
        <w:rPr>
          <w:rFonts w:ascii="Times New Roman" w:hAnsi="Times New Roman" w:cs="Times New Roman"/>
        </w:rPr>
        <w:t>in haematuria related referrals seen during</w:t>
      </w:r>
      <w:r w:rsidR="009B4DED">
        <w:rPr>
          <w:rFonts w:ascii="Times New Roman" w:hAnsi="Times New Roman" w:cs="Times New Roman"/>
        </w:rPr>
        <w:t>,</w:t>
      </w:r>
      <w:r w:rsidR="00573B50">
        <w:rPr>
          <w:rFonts w:ascii="Times New Roman" w:hAnsi="Times New Roman" w:cs="Times New Roman"/>
        </w:rPr>
        <w:t xml:space="preserve"> and in the thre</w:t>
      </w:r>
      <w:r w:rsidR="000248E4">
        <w:rPr>
          <w:rFonts w:ascii="Times New Roman" w:hAnsi="Times New Roman" w:cs="Times New Roman"/>
        </w:rPr>
        <w:t xml:space="preserve">e months after the campaign in </w:t>
      </w:r>
      <w:r w:rsidR="00EB0F24">
        <w:rPr>
          <w:rFonts w:ascii="Times New Roman" w:hAnsi="Times New Roman" w:cs="Times New Roman"/>
        </w:rPr>
        <w:t xml:space="preserve">North </w:t>
      </w:r>
      <w:r w:rsidR="000248E4">
        <w:rPr>
          <w:rFonts w:ascii="Times New Roman" w:hAnsi="Times New Roman" w:cs="Times New Roman"/>
        </w:rPr>
        <w:t>W</w:t>
      </w:r>
      <w:r w:rsidR="00573B50">
        <w:rPr>
          <w:rFonts w:ascii="Times New Roman" w:hAnsi="Times New Roman" w:cs="Times New Roman"/>
        </w:rPr>
        <w:t>est London.</w:t>
      </w:r>
      <w:r w:rsidR="00B1179F">
        <w:rPr>
          <w:rFonts w:ascii="Times New Roman" w:hAnsi="Times New Roman" w:cs="Times New Roman"/>
        </w:rPr>
        <w:t xml:space="preserve"> These data were collected after running pilot campaigns, similar in both content and delivery to the campaign examined in this study, in three areas in England. </w:t>
      </w:r>
    </w:p>
    <w:p w14:paraId="110E9A74" w14:textId="77777777" w:rsidR="00B1179F" w:rsidRDefault="00B1179F" w:rsidP="00F52F10">
      <w:pPr>
        <w:spacing w:line="480" w:lineRule="auto"/>
        <w:jc w:val="both"/>
        <w:rPr>
          <w:rFonts w:ascii="Times New Roman" w:hAnsi="Times New Roman" w:cs="Times New Roman"/>
        </w:rPr>
      </w:pPr>
    </w:p>
    <w:p w14:paraId="76853D22" w14:textId="1B06CB55" w:rsidR="00DC4DE0" w:rsidRDefault="009616B3" w:rsidP="00F52F10">
      <w:pPr>
        <w:spacing w:line="480" w:lineRule="auto"/>
        <w:jc w:val="both"/>
        <w:rPr>
          <w:rFonts w:ascii="Times New Roman" w:hAnsi="Times New Roman" w:cs="Times New Roman"/>
        </w:rPr>
      </w:pPr>
      <w:r>
        <w:rPr>
          <w:rFonts w:ascii="Times New Roman" w:hAnsi="Times New Roman" w:cs="Times New Roman"/>
        </w:rPr>
        <w:t xml:space="preserve">Without the ability to examine these data in detail it is difficult to hypothesise the reasons </w:t>
      </w:r>
      <w:r w:rsidR="00E3477C">
        <w:rPr>
          <w:rFonts w:ascii="Times New Roman" w:hAnsi="Times New Roman" w:cs="Times New Roman"/>
        </w:rPr>
        <w:t>behind</w:t>
      </w:r>
      <w:r>
        <w:rPr>
          <w:rFonts w:ascii="Times New Roman" w:hAnsi="Times New Roman" w:cs="Times New Roman"/>
        </w:rPr>
        <w:t xml:space="preserve"> this difference, but there are a number of factors that could potentially </w:t>
      </w:r>
      <w:r w:rsidR="009E29E2">
        <w:rPr>
          <w:rFonts w:ascii="Times New Roman" w:hAnsi="Times New Roman" w:cs="Times New Roman"/>
        </w:rPr>
        <w:t>contribute.</w:t>
      </w:r>
      <w:r w:rsidR="00AC1739">
        <w:rPr>
          <w:rFonts w:ascii="Times New Roman" w:hAnsi="Times New Roman" w:cs="Times New Roman"/>
        </w:rPr>
        <w:t xml:space="preserve"> </w:t>
      </w:r>
      <w:r w:rsidR="009E29E2">
        <w:rPr>
          <w:rFonts w:ascii="Times New Roman" w:hAnsi="Times New Roman" w:cs="Times New Roman"/>
        </w:rPr>
        <w:t xml:space="preserve">Firstly, the population examined in </w:t>
      </w:r>
      <w:r w:rsidR="0012768C">
        <w:rPr>
          <w:rFonts w:ascii="Times New Roman" w:hAnsi="Times New Roman" w:cs="Times New Roman"/>
        </w:rPr>
        <w:t xml:space="preserve">North </w:t>
      </w:r>
      <w:r w:rsidR="009E29E2">
        <w:rPr>
          <w:rFonts w:ascii="Times New Roman" w:hAnsi="Times New Roman" w:cs="Times New Roman"/>
        </w:rPr>
        <w:t xml:space="preserve">West London </w:t>
      </w:r>
      <w:r w:rsidR="00BA5C63">
        <w:rPr>
          <w:rFonts w:ascii="Times New Roman" w:hAnsi="Times New Roman" w:cs="Times New Roman"/>
        </w:rPr>
        <w:t xml:space="preserve">may </w:t>
      </w:r>
      <w:r w:rsidR="009E29E2">
        <w:rPr>
          <w:rFonts w:ascii="Times New Roman" w:hAnsi="Times New Roman" w:cs="Times New Roman"/>
        </w:rPr>
        <w:t>be different from those populations examined in the pilot studies und</w:t>
      </w:r>
      <w:r w:rsidR="00B64EF4">
        <w:rPr>
          <w:rFonts w:ascii="Times New Roman" w:hAnsi="Times New Roman" w:cs="Times New Roman"/>
        </w:rPr>
        <w:t>ertaken</w:t>
      </w:r>
      <w:r w:rsidR="00AC3465">
        <w:rPr>
          <w:rFonts w:ascii="Times New Roman" w:hAnsi="Times New Roman" w:cs="Times New Roman"/>
        </w:rPr>
        <w:t xml:space="preserve"> by Public Health England prior to the wider roll out of the campaign</w:t>
      </w:r>
      <w:r w:rsidR="008A4121">
        <w:rPr>
          <w:rFonts w:ascii="Times New Roman" w:hAnsi="Times New Roman" w:cs="Times New Roman"/>
        </w:rPr>
        <w:t>.</w:t>
      </w:r>
      <w:r w:rsidR="005615D7">
        <w:rPr>
          <w:rFonts w:ascii="Times New Roman" w:hAnsi="Times New Roman" w:cs="Times New Roman"/>
        </w:rPr>
        <w:t xml:space="preserve"> </w:t>
      </w:r>
      <w:r w:rsidR="008A4121">
        <w:rPr>
          <w:rFonts w:ascii="Times New Roman" w:hAnsi="Times New Roman" w:cs="Times New Roman"/>
        </w:rPr>
        <w:t>A</w:t>
      </w:r>
      <w:r w:rsidR="005615D7">
        <w:rPr>
          <w:rFonts w:ascii="Times New Roman" w:hAnsi="Times New Roman" w:cs="Times New Roman"/>
        </w:rPr>
        <w:t>lthough this may be the case</w:t>
      </w:r>
      <w:r w:rsidR="00EB0F24">
        <w:rPr>
          <w:rFonts w:ascii="Times New Roman" w:hAnsi="Times New Roman" w:cs="Times New Roman"/>
        </w:rPr>
        <w:t>,</w:t>
      </w:r>
      <w:r w:rsidR="005615D7">
        <w:rPr>
          <w:rFonts w:ascii="Times New Roman" w:hAnsi="Times New Roman" w:cs="Times New Roman"/>
        </w:rPr>
        <w:t xml:space="preserve"> previous studies </w:t>
      </w:r>
      <w:r w:rsidR="00BF6F81">
        <w:rPr>
          <w:rFonts w:ascii="Times New Roman" w:hAnsi="Times New Roman" w:cs="Times New Roman"/>
        </w:rPr>
        <w:t>comparing</w:t>
      </w:r>
      <w:r w:rsidR="005615D7">
        <w:rPr>
          <w:rFonts w:ascii="Times New Roman" w:hAnsi="Times New Roman" w:cs="Times New Roman"/>
        </w:rPr>
        <w:t xml:space="preserve"> the </w:t>
      </w:r>
      <w:r w:rsidR="00BF6F81">
        <w:rPr>
          <w:rFonts w:ascii="Times New Roman" w:hAnsi="Times New Roman" w:cs="Times New Roman"/>
        </w:rPr>
        <w:t xml:space="preserve">effects of a mass media cancer related campaigns on different socio-economic </w:t>
      </w:r>
      <w:r w:rsidR="008A4121">
        <w:rPr>
          <w:rFonts w:ascii="Times New Roman" w:hAnsi="Times New Roman" w:cs="Times New Roman"/>
        </w:rPr>
        <w:t xml:space="preserve">groups </w:t>
      </w:r>
      <w:r w:rsidR="00BF6F81">
        <w:rPr>
          <w:rFonts w:ascii="Times New Roman" w:hAnsi="Times New Roman" w:cs="Times New Roman"/>
        </w:rPr>
        <w:t xml:space="preserve">have </w:t>
      </w:r>
      <w:r w:rsidR="008A4121">
        <w:rPr>
          <w:rFonts w:ascii="Times New Roman" w:hAnsi="Times New Roman" w:cs="Times New Roman"/>
        </w:rPr>
        <w:t xml:space="preserve">found the </w:t>
      </w:r>
      <w:r w:rsidR="00583921">
        <w:rPr>
          <w:rFonts w:ascii="Times New Roman" w:hAnsi="Times New Roman" w:cs="Times New Roman"/>
        </w:rPr>
        <w:t xml:space="preserve">effects of socio-economic </w:t>
      </w:r>
      <w:r w:rsidR="002015CF">
        <w:rPr>
          <w:rFonts w:ascii="Times New Roman" w:hAnsi="Times New Roman" w:cs="Times New Roman"/>
        </w:rPr>
        <w:t>factors</w:t>
      </w:r>
      <w:r w:rsidR="008A4121">
        <w:rPr>
          <w:rFonts w:ascii="Times New Roman" w:hAnsi="Times New Roman" w:cs="Times New Roman"/>
        </w:rPr>
        <w:t xml:space="preserve"> to be non-</w:t>
      </w:r>
      <w:r w:rsidR="00F75D4C">
        <w:rPr>
          <w:rFonts w:ascii="Times New Roman" w:hAnsi="Times New Roman" w:cs="Times New Roman"/>
        </w:rPr>
        <w:t>significant</w:t>
      </w:r>
      <w:r w:rsidR="00DC442D">
        <w:rPr>
          <w:rFonts w:ascii="Times New Roman" w:hAnsi="Times New Roman" w:cs="Times New Roman"/>
        </w:rPr>
        <w:t xml:space="preserve"> </w:t>
      </w:r>
      <w:r w:rsidR="00DC442D">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"10.1093/her/cyp023", "ISSN" : "0268-1153", "PMID" : "19342422", "abstract" : "Low socio-economic status (SES) has been associated with lower cervical screening rates. Mass media is one known strategy that can increase cervical screening participation. This study sought to determine whether a mass media campaign conducted in Victoria, Australia, in 2005 was effective in encouraging women across all SES groups to screen. Data were obtained from the Victorian Cervical Cytology Registry for each Pap test registered during 2005 and categorized into SES quintiles using the Index of Socio-Economic Advantage/Disadvantage. Negative binomial regression was used to determine the impact of the campaign on the weekly number of Pap tests and whether the media campaign had a differential effect by SES, after adjusting for the number of workdays per week, age group and time since previous test. Cervical screening increased 27% during the campaign period and was equally effective in encouraging screening across all SES groups, including low-SES women. Mass media campaigns can prompt increased rates of cervical screening among all women, not just those from more advantaged areas. Combining media with additional strategies targeted at low-SES women may help lessen the underlying differences in screening rates across SES.", "author" : [ { "dropping-particle" : "", "family" : "Anderson", "given" : "Jenny O", "non-dropping-particle" : "", "parse-names" : false, "suffix" : "" }, { "dropping-particle" : "", "family" : "Mullins", "given" : "Robyn M", "non-dropping-particle" : "", "parse-names" : false, "suffix" : "" }, { "dropping-particle" : "", "family" : "Siahpush", "given" : "Mohammad", "non-dropping-particle" : "", "parse-names" : false, "suffix" : "" }, { "dropping-particle" : "", "family" : "Spittal", "given" : "Matthew J", "non-dropping-particle" : "", "parse-names" : false, "suffix" : "" }, { "dropping-particle" : "", "family" : "Wakefield", "given" : "Melanie", "non-dropping-particle" : "", "parse-names" : false, "suffix" : "" } ], "container-title" : "Health education research", "id" : "ITEM-1", "issue" : "5", "issued" : { "date-parts" : [ [ "2009", "10" ] ] }, "page" : "867-75", "title" : "Mass media campaign improves cervical screening across all socio-economic groups.", "type" : "article-journal", "volume" : "24" }, "uris" : [ "http://www.mendeley.com/documents/?uuid=ffe8e95e-a032-4e56-b3eb-708e54e1eead" ] } ], "mendeley" : { "formattedCitation" : "[10]", "plainTextFormattedCitation" : "[10]", "previouslyFormattedCitation" : "[10]" }, "properties" : { "noteIndex" : 0 }, "schema" : "https://github.com/citation-style-language/schema/raw/master/csl-citation.json" }</w:instrText>
      </w:r>
      <w:r w:rsidR="00DC442D">
        <w:rPr>
          <w:rFonts w:ascii="Times New Roman" w:hAnsi="Times New Roman" w:cs="Times New Roman"/>
        </w:rPr>
        <w:fldChar w:fldCharType="separate"/>
      </w:r>
      <w:r w:rsidR="00D43E8E" w:rsidRPr="00D43E8E">
        <w:rPr>
          <w:rFonts w:ascii="Times New Roman" w:hAnsi="Times New Roman" w:cs="Times New Roman"/>
          <w:noProof/>
        </w:rPr>
        <w:t>[10]</w:t>
      </w:r>
      <w:r w:rsidR="00DC442D">
        <w:rPr>
          <w:rFonts w:ascii="Times New Roman" w:hAnsi="Times New Roman" w:cs="Times New Roman"/>
        </w:rPr>
        <w:fldChar w:fldCharType="end"/>
      </w:r>
      <w:r w:rsidR="00B64EF4">
        <w:rPr>
          <w:rFonts w:ascii="Times New Roman" w:hAnsi="Times New Roman" w:cs="Times New Roman"/>
        </w:rPr>
        <w:t>.</w:t>
      </w:r>
    </w:p>
    <w:p w14:paraId="2ABEAA1C" w14:textId="77777777" w:rsidR="005E56F4" w:rsidRDefault="005E56F4" w:rsidP="005E56F4">
      <w:pPr>
        <w:spacing w:line="480" w:lineRule="auto"/>
        <w:jc w:val="both"/>
        <w:rPr>
          <w:rFonts w:ascii="Times New Roman" w:hAnsi="Times New Roman" w:cs="Times New Roman"/>
        </w:rPr>
      </w:pPr>
    </w:p>
    <w:p w14:paraId="25CA59A1" w14:textId="368DCB9F" w:rsidR="002A4266" w:rsidRDefault="007A604A" w:rsidP="005E56F4">
      <w:pPr>
        <w:spacing w:line="480" w:lineRule="auto"/>
        <w:jc w:val="both"/>
        <w:rPr>
          <w:rFonts w:ascii="Times New Roman" w:hAnsi="Times New Roman" w:cs="Times New Roman"/>
        </w:rPr>
      </w:pPr>
      <w:r>
        <w:rPr>
          <w:rFonts w:ascii="Times New Roman" w:hAnsi="Times New Roman" w:cs="Times New Roman"/>
        </w:rPr>
        <w:t xml:space="preserve">The referral criteria for visible haematuria are relatively straight forward with all patients exhibiting this symptom requiring referral to secondary care </w:t>
      </w:r>
      <w:r>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"author" : [ { "dropping-particle" : "", "family" : "Rodgers", "given" : "M", "non-dropping-particle" : "", "parse-names" : false, "suffix" : "" }, { "dropping-particle" : "", "family" : "Nixon", "given" : "J", "non-dropping-particle" : "", "parse-names" : false, "suffix" : "" }, { "dropping-particle" : "", "family" : "Hempel", "given" : "S", "non-dropping-particle" : "", "parse-names" : false, "suffix" : "" }, { "dropping-particle" : "", "family" : "Aho", "given" : "T", "non-dropping-particle" : "", "parse-names" : false, "suffix" : "" }, { "dropping-particle" : "", "family" : "Kelly", "given" : "J", "non-dropping-particle" : "", "parse-names" : false, "suffix" : "" }, { "dropping-particle" : "", "family" : "Neal", "given" : "D", "non-dropping-particle" : "", "parse-names" : false, "suffix" : "" }, { "dropping-particle" : "", "family" : "Duffy", "given" : "S", "non-dropping-particle" : "", "parse-names" : false, "suffix" : "" }, { "dropping-particle" : "", "family" : "Ritchie", "given" : "G", "non-dropping-particle" : "", "parse-names" : false, "suffix" : "" }, { "dropping-particle" : "", "family" : "Kleijnen", "given" : "J", "non-dropping-particle" : "", "parse-names" : false, "suffix" : "" } ], "container-title" : "Health Technology Assessment", "id" : "ITEM-1", "issue" : "18", "issued" : { "date-parts" : [ [ "2006" ] ] }, "title" : "Diagnostic tests and algorithms used in the investigation of haematuria", "type" : "article-journal", "volume" : "10" }, "uris" : [ "http://www.mendeley.com/documents/?uuid=bccfbd08-7f58-4713-8ef0-1d5c27be99b1" ] } ], "mendeley" : { "formattedCitation" : "[7]", "plainTextFormattedCitation" : "[7]", "previouslyFormattedCitation" : "[7]" }, "properties" : { "noteIndex" : 0 }, "schema" : "https://github.com/citation-style-language/schema/raw/master/csl-citation.json" }</w:instrText>
      </w:r>
      <w:r>
        <w:rPr>
          <w:rFonts w:ascii="Times New Roman" w:hAnsi="Times New Roman" w:cs="Times New Roman"/>
        </w:rPr>
        <w:fldChar w:fldCharType="separate"/>
      </w:r>
      <w:r w:rsidRPr="00467672">
        <w:rPr>
          <w:rFonts w:ascii="Times New Roman" w:hAnsi="Times New Roman" w:cs="Times New Roman"/>
          <w:noProof/>
        </w:rPr>
        <w:t>[7]</w:t>
      </w:r>
      <w:r>
        <w:rPr>
          <w:rFonts w:ascii="Times New Roman" w:hAnsi="Times New Roman" w:cs="Times New Roman"/>
        </w:rPr>
        <w:fldChar w:fldCharType="end"/>
      </w:r>
      <w:r>
        <w:rPr>
          <w:rFonts w:ascii="Times New Roman" w:hAnsi="Times New Roman" w:cs="Times New Roman"/>
        </w:rPr>
        <w:t xml:space="preserve">. This implies that the increase in referrals relates to an increase in the number of patients presenting to their GP reporting visible haematuria. </w:t>
      </w:r>
      <w:r w:rsidR="002A4266">
        <w:rPr>
          <w:rFonts w:ascii="Times New Roman" w:hAnsi="Times New Roman" w:cs="Times New Roman"/>
        </w:rPr>
        <w:t xml:space="preserve">Within the existing literature the conversion rate of a patient presenting with visible haematuria to a urological cancer diagnosis has been approximately 20% </w:t>
      </w:r>
      <w:r w:rsidR="002A4266">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"DOI" : "10.1111/j.1464-410X.2006.05976.x", "ISSN" : "1464-4096", "PMID" : "16430634", "abstract" : "OBJECTIVE: To clarify the prevalence of disease as determined by age, sex and the degree of haematuria at presentation, and to ascertain the merits of using ultrasonography (US), i.v. urography (IVU) or both when imaging the upper urinary tract, in a prospective cohort of patients attending a protocol-based haematuria clinic.\n\nPATIENTS AND METHODS: In a two-tier protocol, as a part of first-line investigation, all 4020 patients attending the clinic between October 1998 and August 2003 had US and flexible cystoscopy. Subsequently, IVU was used where indicated following abnormal first-line tests and in patients with persistent haematuria where no abnormality had been detected.\n\nRESULTS: In all, 2627 men and 1393 women presented with microscopic (53.2%) or macroscopic haematuria (46.8%). The overall prevalence of malignant disease was 12.1%, but for macroscopic haematuria it was 18.9% and for microscopic haematuria 4.8%. Age and sex also influenced the observed rates of disease. Of the upper tract tumours, 70 were identified after abnormal US, with three cases of transitional cell carcinoma identified on IVU after a normal US.\n\nCONCLUSIONS: The study provides a rationale for the appropriate investigation of all patients, moderated by the age, sex and degree of haematuria, and the ubiquitous use of US with selective IVU based on age, sex and degree of (and persistence of) haematuria.", "author" : [ { "dropping-particle" : "", "family" : "Edwards", "given" : "Tom J", "non-dropping-particle" : "", "parse-names" : false, "suffix" : "" }, { "dropping-particle" : "", "family" : "Dickinson", "given" : "Andrew J", "non-dropping-particle" : "", "parse-names" : false, "suffix" : "" }, { "dropping-particle" : "", "family" : "Natale", "given" : "Salvatore", "non-dropping-particle" : "", "parse-names" : false, "suffix" : "" }, { "dropping-particle" : "", "family" : "Gosling", "given" : "Jane", "non-dropping-particle" : "", "parse-names" : false, "suffix" : "" }, { "dropping-particle" : "", "family" : "McGrath", "given" : "John S", "non-dropping-particle" : "", "parse-names" : false, "suffix" : "" } ], "container-title" : "BJU international", "id" : "ITEM-1", "issue" : "2", "issued" : { "date-parts" : [ [ "2006", "2" ] ] }, "page" : "301-5; discussion 305", "title" : "A prospective analysis of the diagnostic yield resulting from the attendance of 4020 patients at a protocol-driven haematuria clinic.", "type" : "article-journal", "volume" : "97" }, "uris" : [ "http://www.mendeley.com/documents/?uuid=f6d24aa4-0593-4eca-b98e-1e0dd47bd32a" ] }, { "id" : "ITEM-2", "itemData" : { "ISSN" : "0022-5347", "PMID" : "10647670", "abstract" : "PURPOSE: The commonly accepted diagnostic algorithm for hematuria includes excretory urography (IVP) and cystoscopy. Some have suggested that ultrasound of the upper urinary tract is adequate and that cystoscopy is not necessary in younger patients with microscopic hematuria. We ascertain whether a less intensive algorithm could be adopted while retaining diagnostic efficacy.\n\nMATERIALS AND METHODS: A total of 1,930 patients were enrolled prospectively in the study at a hematuria clinic between October 1994 and March 1997. Evaluation consisted of basic demographics, history and examination, routine blood tests, urinalysis and cytology. All patients underwent plain abdominal radiography, renal ultrasound, IVP and flexible cystoscopy.\n\nRESULTS: A total of 1,194 males and 736 females with a mean age of 58 years (range 17 to 96) were included in the study. Overall, 61% of patients had no basis found for hematuria, 12% had bladder cancer, 13% had urinary tract infection and 2% had stones. Kidney and upper tract tumors were noted in 14 patients (0.7%), including 4 who presented with microscopic hematuria. If only ultrasound or IVP had been performed 4 of these cases would have been missed. Of 982 patients presenting with microscopic hematuria 51 had cancer. Bladder cancer was found in 7 patients younger than 40 years.\n\nCONCLUSIONS: Our findings suggest that cystoscopy cannot be safely avoided even in younger patients with microscopic hematuria. Only a combination of ultrasound and IVP detected all upper tract tumors.", "author" : [ { "dropping-particle" : "", "family" : "Khadra", "given" : "MH H", "non-dropping-particle" : "", "parse-names" : false, "suffix" : "" }, { "dropping-particle" : "", "family" : "Pickard", "given" : "RS S", "non-dropping-particle" : "", "parse-names" : false, "suffix" : "" }, { "dropping-particle" : "", "family" : "Charlton", "given" : "M", "non-dropping-particle" : "", "parse-names" : false, "suffix" : "" }, { "dropping-particle" : "", "family" : "Powell", "given" : "P H", "non-dropping-particle" : "", "parse-names" : false, "suffix" : "" }, { "dropping-particle" : "", "family" : "Neal", "given" : "D E", "non-dropping-particle" : "", "parse-names" : false, "suffix" : "" } ], "container-title" : "The Journal of urology", "id" : "ITEM-2", "issue" : "2", "issued" : { "date-parts" : [ [ "2000", "2" ] ] }, "page" : "524-7", "title" : "A prospective analysis of 1,930 patients with hematuria to evaluate current diagnostic practice.", "type" : "article-journal", "volume" : "163" }, "uris" : [ "http://www.mendeley.com/documents/?uuid=ef3b2464-bf20-4045-b8d2-dffc55679316" ] } ], "mendeley" : { "formattedCitation" : "[5,6]", "plainTextFormattedCitation" : "[5,6]", "previouslyFormattedCitation" : "[5,6]" }, "properties" : { "noteIndex" : 0 }, "schema" : "https://github.com/citation-style-language/schema/raw/master/csl-citation.json" }</w:instrText>
      </w:r>
      <w:r w:rsidR="002A4266">
        <w:rPr>
          <w:rFonts w:ascii="Times New Roman" w:hAnsi="Times New Roman" w:cs="Times New Roman"/>
        </w:rPr>
        <w:fldChar w:fldCharType="separate"/>
      </w:r>
      <w:r w:rsidR="002A4266" w:rsidRPr="00467672">
        <w:rPr>
          <w:rFonts w:ascii="Times New Roman" w:hAnsi="Times New Roman" w:cs="Times New Roman"/>
          <w:noProof/>
        </w:rPr>
        <w:t>[5,6]</w:t>
      </w:r>
      <w:r w:rsidR="002A4266">
        <w:rPr>
          <w:rFonts w:ascii="Times New Roman" w:hAnsi="Times New Roman" w:cs="Times New Roman"/>
        </w:rPr>
        <w:fldChar w:fldCharType="end"/>
      </w:r>
      <w:r w:rsidR="002A4266">
        <w:rPr>
          <w:rFonts w:ascii="Times New Roman" w:hAnsi="Times New Roman" w:cs="Times New Roman"/>
        </w:rPr>
        <w:t xml:space="preserve">. </w:t>
      </w:r>
      <w:r>
        <w:rPr>
          <w:rFonts w:ascii="Times New Roman" w:hAnsi="Times New Roman" w:cs="Times New Roman"/>
        </w:rPr>
        <w:t xml:space="preserve">If those patients prompted into presentation by the campaign had </w:t>
      </w:r>
      <w:r w:rsidR="002A4266">
        <w:rPr>
          <w:rFonts w:ascii="Times New Roman" w:hAnsi="Times New Roman" w:cs="Times New Roman"/>
        </w:rPr>
        <w:t>this</w:t>
      </w:r>
      <w:r>
        <w:rPr>
          <w:rFonts w:ascii="Times New Roman" w:hAnsi="Times New Roman" w:cs="Times New Roman"/>
        </w:rPr>
        <w:t xml:space="preserve"> risk profile for urological malignancy a corresponding increase in new cancer diag</w:t>
      </w:r>
      <w:r w:rsidR="002A4266">
        <w:rPr>
          <w:rFonts w:ascii="Times New Roman" w:hAnsi="Times New Roman" w:cs="Times New Roman"/>
        </w:rPr>
        <w:t xml:space="preserve">noses should have been seen. However, despite a significant increase in referrals a corresponding surge in transitional cell carcinoma </w:t>
      </w:r>
      <w:r w:rsidR="00AF564B">
        <w:rPr>
          <w:rFonts w:ascii="Times New Roman" w:hAnsi="Times New Roman" w:cs="Times New Roman"/>
        </w:rPr>
        <w:t xml:space="preserve">diagnosis </w:t>
      </w:r>
      <w:r w:rsidR="002A4266">
        <w:rPr>
          <w:rFonts w:ascii="Times New Roman" w:hAnsi="Times New Roman" w:cs="Times New Roman"/>
        </w:rPr>
        <w:t xml:space="preserve">was not seen. </w:t>
      </w:r>
    </w:p>
    <w:p w14:paraId="6AE5BEF0" w14:textId="77777777" w:rsidR="002A4266" w:rsidRDefault="002A4266" w:rsidP="005E56F4">
      <w:pPr>
        <w:spacing w:line="480" w:lineRule="auto"/>
        <w:jc w:val="both"/>
        <w:rPr>
          <w:rFonts w:ascii="Times New Roman" w:hAnsi="Times New Roman" w:cs="Times New Roman"/>
        </w:rPr>
      </w:pPr>
    </w:p>
    <w:p w14:paraId="0796057E" w14:textId="0A7071A3" w:rsidR="007A604A" w:rsidRDefault="002A4266" w:rsidP="005E56F4">
      <w:pPr>
        <w:spacing w:line="480" w:lineRule="auto"/>
        <w:jc w:val="both"/>
        <w:rPr>
          <w:rFonts w:ascii="Times New Roman" w:hAnsi="Times New Roman" w:cs="Times New Roman"/>
        </w:rPr>
      </w:pPr>
      <w:r>
        <w:rPr>
          <w:rFonts w:ascii="Times New Roman" w:hAnsi="Times New Roman" w:cs="Times New Roman"/>
        </w:rPr>
        <w:t>The</w:t>
      </w:r>
      <w:r w:rsidR="007A604A">
        <w:rPr>
          <w:rFonts w:ascii="Times New Roman" w:hAnsi="Times New Roman" w:cs="Times New Roman"/>
        </w:rPr>
        <w:t xml:space="preserve"> fact that </w:t>
      </w:r>
      <w:r w:rsidR="00411A80">
        <w:rPr>
          <w:rFonts w:ascii="Times New Roman" w:hAnsi="Times New Roman" w:cs="Times New Roman"/>
        </w:rPr>
        <w:t>this</w:t>
      </w:r>
      <w:r w:rsidR="00A6734B">
        <w:rPr>
          <w:rFonts w:ascii="Times New Roman" w:hAnsi="Times New Roman" w:cs="Times New Roman"/>
        </w:rPr>
        <w:t xml:space="preserve"> rise in </w:t>
      </w:r>
      <w:r w:rsidR="00A451C7">
        <w:rPr>
          <w:rFonts w:ascii="Times New Roman" w:hAnsi="Times New Roman" w:cs="Times New Roman"/>
        </w:rPr>
        <w:t>transitional cell carcinoma diagnosis</w:t>
      </w:r>
      <w:r w:rsidR="00A6734B">
        <w:rPr>
          <w:rFonts w:ascii="Times New Roman" w:hAnsi="Times New Roman" w:cs="Times New Roman"/>
        </w:rPr>
        <w:t xml:space="preserve"> was not observed suggests</w:t>
      </w:r>
      <w:r w:rsidR="007A604A">
        <w:rPr>
          <w:rFonts w:ascii="Times New Roman" w:hAnsi="Times New Roman" w:cs="Times New Roman"/>
        </w:rPr>
        <w:t xml:space="preserve"> that</w:t>
      </w:r>
      <w:r w:rsidR="00A6734B">
        <w:rPr>
          <w:rFonts w:ascii="Times New Roman" w:hAnsi="Times New Roman" w:cs="Times New Roman"/>
        </w:rPr>
        <w:t xml:space="preserve"> </w:t>
      </w:r>
      <w:r w:rsidR="007A604A">
        <w:rPr>
          <w:rFonts w:ascii="Times New Roman" w:hAnsi="Times New Roman" w:cs="Times New Roman"/>
        </w:rPr>
        <w:t>increased awareness</w:t>
      </w:r>
      <w:r w:rsidR="00A6734B">
        <w:rPr>
          <w:rFonts w:ascii="Times New Roman" w:hAnsi="Times New Roman" w:cs="Times New Roman"/>
        </w:rPr>
        <w:t xml:space="preserve"> amongst the population</w:t>
      </w:r>
      <w:r w:rsidR="007A604A">
        <w:rPr>
          <w:rFonts w:ascii="Times New Roman" w:hAnsi="Times New Roman" w:cs="Times New Roman"/>
        </w:rPr>
        <w:t xml:space="preserve"> served only to increase the number of patients without oncological pathology being referred to secondary care.  </w:t>
      </w:r>
      <w:r>
        <w:rPr>
          <w:rFonts w:ascii="Times New Roman" w:hAnsi="Times New Roman" w:cs="Times New Roman"/>
        </w:rPr>
        <w:t xml:space="preserve">The reasons behind this dichotomy remain a question for debate but may relate to a lowering of the populations barrier for presentation, </w:t>
      </w:r>
      <w:r w:rsidR="00A6734B">
        <w:rPr>
          <w:rFonts w:ascii="Times New Roman" w:hAnsi="Times New Roman" w:cs="Times New Roman"/>
        </w:rPr>
        <w:t>due to</w:t>
      </w:r>
      <w:r w:rsidR="002939AE">
        <w:rPr>
          <w:rFonts w:ascii="Times New Roman" w:hAnsi="Times New Roman" w:cs="Times New Roman"/>
        </w:rPr>
        <w:t xml:space="preserve"> the campaigns success in increasing</w:t>
      </w:r>
      <w:r>
        <w:rPr>
          <w:rFonts w:ascii="Times New Roman" w:hAnsi="Times New Roman" w:cs="Times New Roman"/>
        </w:rPr>
        <w:t xml:space="preserve"> background awareness of ‘red flag’ symptoms.</w:t>
      </w:r>
      <w:r w:rsidR="00C66A43">
        <w:rPr>
          <w:rFonts w:ascii="Times New Roman" w:hAnsi="Times New Roman" w:cs="Times New Roman"/>
        </w:rPr>
        <w:t xml:space="preserve"> This increased concern, driven by the campaign, may also be reflected in the referrals made by the primary care physicians, who may be unnecessarily </w:t>
      </w:r>
      <w:r w:rsidR="00556884">
        <w:rPr>
          <w:rFonts w:ascii="Times New Roman" w:hAnsi="Times New Roman" w:cs="Times New Roman"/>
        </w:rPr>
        <w:t>referring patients in order to mitigate their concern.</w:t>
      </w:r>
      <w:r w:rsidR="00C66A43">
        <w:rPr>
          <w:rFonts w:ascii="Times New Roman" w:hAnsi="Times New Roman" w:cs="Times New Roman"/>
        </w:rPr>
        <w:t xml:space="preserve"> </w:t>
      </w:r>
      <w:r>
        <w:rPr>
          <w:rFonts w:ascii="Times New Roman" w:hAnsi="Times New Roman" w:cs="Times New Roman"/>
        </w:rPr>
        <w:t xml:space="preserve"> </w:t>
      </w:r>
      <w:r w:rsidR="00DA0910">
        <w:rPr>
          <w:rFonts w:ascii="Times New Roman" w:hAnsi="Times New Roman" w:cs="Times New Roman"/>
        </w:rPr>
        <w:t xml:space="preserve">Whatever </w:t>
      </w:r>
      <w:r w:rsidR="00A6734B">
        <w:rPr>
          <w:rFonts w:ascii="Times New Roman" w:hAnsi="Times New Roman" w:cs="Times New Roman"/>
        </w:rPr>
        <w:t>the reasons behind the increase in</w:t>
      </w:r>
      <w:r w:rsidR="00DA0910">
        <w:rPr>
          <w:rFonts w:ascii="Times New Roman" w:hAnsi="Times New Roman" w:cs="Times New Roman"/>
        </w:rPr>
        <w:t xml:space="preserve"> referral</w:t>
      </w:r>
      <w:r w:rsidR="00A6734B">
        <w:rPr>
          <w:rFonts w:ascii="Times New Roman" w:hAnsi="Times New Roman" w:cs="Times New Roman"/>
        </w:rPr>
        <w:t>s</w:t>
      </w:r>
      <w:r w:rsidR="00DA0910">
        <w:rPr>
          <w:rFonts w:ascii="Times New Roman" w:hAnsi="Times New Roman" w:cs="Times New Roman"/>
        </w:rPr>
        <w:t xml:space="preserve"> of the ‘worried well’ there is a risk that patients are unnecessarily being subjected to </w:t>
      </w:r>
      <w:r w:rsidR="002939AE">
        <w:rPr>
          <w:rFonts w:ascii="Times New Roman" w:hAnsi="Times New Roman" w:cs="Times New Roman"/>
        </w:rPr>
        <w:t>the risks of</w:t>
      </w:r>
      <w:r w:rsidR="00DA0910">
        <w:rPr>
          <w:rFonts w:ascii="Times New Roman" w:hAnsi="Times New Roman" w:cs="Times New Roman"/>
        </w:rPr>
        <w:t xml:space="preserve"> screening investigations with no</w:t>
      </w:r>
      <w:r w:rsidR="007A604A">
        <w:rPr>
          <w:rFonts w:ascii="Times New Roman" w:hAnsi="Times New Roman" w:cs="Times New Roman"/>
        </w:rPr>
        <w:t xml:space="preserve"> mitigating increase in cancer detection rates.</w:t>
      </w:r>
    </w:p>
    <w:p w14:paraId="0D4E09A7" w14:textId="77777777" w:rsidR="009F6FDD" w:rsidRDefault="009F6FDD" w:rsidP="005E56F4">
      <w:pPr>
        <w:spacing w:line="480" w:lineRule="auto"/>
        <w:jc w:val="both"/>
        <w:rPr>
          <w:rFonts w:ascii="Times New Roman" w:hAnsi="Times New Roman" w:cs="Times New Roman"/>
        </w:rPr>
      </w:pPr>
    </w:p>
    <w:p w14:paraId="69509378" w14:textId="450911C0" w:rsidR="005C6297" w:rsidRDefault="0048080C" w:rsidP="005E56F4">
      <w:pPr>
        <w:spacing w:line="480" w:lineRule="auto"/>
        <w:jc w:val="both"/>
        <w:rPr>
          <w:rFonts w:ascii="Times New Roman" w:hAnsi="Times New Roman" w:cs="Times New Roman"/>
        </w:rPr>
      </w:pPr>
      <w:r>
        <w:rPr>
          <w:rFonts w:ascii="Times New Roman" w:hAnsi="Times New Roman" w:cs="Times New Roman"/>
        </w:rPr>
        <w:t>Although the efficacy of the campaign, with regards its effect on cancer pickup, is subject for debate the primary objective,</w:t>
      </w:r>
      <w:r w:rsidR="003965BB">
        <w:rPr>
          <w:rFonts w:ascii="Times New Roman" w:hAnsi="Times New Roman" w:cs="Times New Roman"/>
        </w:rPr>
        <w:t xml:space="preserve"> namley</w:t>
      </w:r>
      <w:r>
        <w:rPr>
          <w:rFonts w:ascii="Times New Roman" w:hAnsi="Times New Roman" w:cs="Times New Roman"/>
        </w:rPr>
        <w:t xml:space="preserve"> prompting those people with visible haematuria into presentation, seems to have been met with the number of people presenting increasing by 102.9%.</w:t>
      </w:r>
      <w:r w:rsidR="008426E0">
        <w:rPr>
          <w:rFonts w:ascii="Times New Roman" w:hAnsi="Times New Roman" w:cs="Times New Roman"/>
        </w:rPr>
        <w:t xml:space="preserve"> </w:t>
      </w:r>
      <w:r w:rsidR="00D61898">
        <w:rPr>
          <w:rFonts w:ascii="Times New Roman" w:hAnsi="Times New Roman" w:cs="Times New Roman"/>
        </w:rPr>
        <w:t>As well as</w:t>
      </w:r>
      <w:r w:rsidR="008426E0">
        <w:rPr>
          <w:rFonts w:ascii="Times New Roman" w:hAnsi="Times New Roman" w:cs="Times New Roman"/>
        </w:rPr>
        <w:t xml:space="preserve"> increasing the awareness</w:t>
      </w:r>
      <w:r w:rsidR="009136E6">
        <w:rPr>
          <w:rFonts w:ascii="Times New Roman" w:hAnsi="Times New Roman" w:cs="Times New Roman"/>
        </w:rPr>
        <w:t xml:space="preserve"> and expectations</w:t>
      </w:r>
      <w:r w:rsidR="008426E0">
        <w:rPr>
          <w:rFonts w:ascii="Times New Roman" w:hAnsi="Times New Roman" w:cs="Times New Roman"/>
        </w:rPr>
        <w:t xml:space="preserve"> of the general population the results of this study </w:t>
      </w:r>
      <w:r w:rsidR="00D61898">
        <w:rPr>
          <w:rFonts w:ascii="Times New Roman" w:hAnsi="Times New Roman" w:cs="Times New Roman"/>
        </w:rPr>
        <w:t>infer</w:t>
      </w:r>
      <w:r w:rsidR="003965BB">
        <w:rPr>
          <w:rFonts w:ascii="Times New Roman" w:hAnsi="Times New Roman" w:cs="Times New Roman"/>
        </w:rPr>
        <w:t xml:space="preserve"> an additional increase</w:t>
      </w:r>
      <w:r w:rsidR="00D61898">
        <w:rPr>
          <w:rFonts w:ascii="Times New Roman" w:hAnsi="Times New Roman" w:cs="Times New Roman"/>
        </w:rPr>
        <w:t>d awareness</w:t>
      </w:r>
      <w:r w:rsidR="003965BB">
        <w:rPr>
          <w:rFonts w:ascii="Times New Roman" w:hAnsi="Times New Roman" w:cs="Times New Roman"/>
        </w:rPr>
        <w:t xml:space="preserve"> for uro-oncology more generally amongst</w:t>
      </w:r>
      <w:r w:rsidR="008426E0">
        <w:rPr>
          <w:rFonts w:ascii="Times New Roman" w:hAnsi="Times New Roman" w:cs="Times New Roman"/>
        </w:rPr>
        <w:t xml:space="preserve"> primary care physicians.  </w:t>
      </w:r>
      <w:r w:rsidR="00D61898">
        <w:rPr>
          <w:rFonts w:ascii="Times New Roman" w:hAnsi="Times New Roman" w:cs="Times New Roman"/>
        </w:rPr>
        <w:t>This</w:t>
      </w:r>
      <w:r w:rsidR="008426E0">
        <w:rPr>
          <w:rFonts w:ascii="Times New Roman" w:hAnsi="Times New Roman" w:cs="Times New Roman"/>
        </w:rPr>
        <w:t xml:space="preserve"> manifested itself </w:t>
      </w:r>
      <w:r w:rsidR="00D61898">
        <w:rPr>
          <w:rFonts w:ascii="Times New Roman" w:hAnsi="Times New Roman" w:cs="Times New Roman"/>
        </w:rPr>
        <w:t>as</w:t>
      </w:r>
      <w:r w:rsidR="003965BB">
        <w:rPr>
          <w:rFonts w:ascii="Times New Roman" w:hAnsi="Times New Roman" w:cs="Times New Roman"/>
        </w:rPr>
        <w:t xml:space="preserve"> increase in</w:t>
      </w:r>
      <w:r w:rsidR="008426E0">
        <w:rPr>
          <w:rFonts w:ascii="Times New Roman" w:hAnsi="Times New Roman" w:cs="Times New Roman"/>
        </w:rPr>
        <w:t xml:space="preserve"> referrals </w:t>
      </w:r>
      <w:r w:rsidR="00065176">
        <w:rPr>
          <w:rFonts w:ascii="Times New Roman" w:hAnsi="Times New Roman" w:cs="Times New Roman"/>
        </w:rPr>
        <w:t>for non-visible haematuria</w:t>
      </w:r>
      <w:r w:rsidR="003965BB">
        <w:rPr>
          <w:rFonts w:ascii="Times New Roman" w:hAnsi="Times New Roman" w:cs="Times New Roman"/>
        </w:rPr>
        <w:t xml:space="preserve">, perhaps </w:t>
      </w:r>
      <w:r w:rsidR="000978D6">
        <w:rPr>
          <w:rFonts w:ascii="Times New Roman" w:hAnsi="Times New Roman" w:cs="Times New Roman"/>
        </w:rPr>
        <w:t>suggesting a</w:t>
      </w:r>
      <w:r w:rsidR="00065176">
        <w:rPr>
          <w:rFonts w:ascii="Times New Roman" w:hAnsi="Times New Roman" w:cs="Times New Roman"/>
        </w:rPr>
        <w:t xml:space="preserve"> </w:t>
      </w:r>
      <w:r w:rsidR="003965BB">
        <w:rPr>
          <w:rFonts w:ascii="Times New Roman" w:hAnsi="Times New Roman" w:cs="Times New Roman"/>
        </w:rPr>
        <w:t>lower</w:t>
      </w:r>
      <w:r w:rsidR="000978D6">
        <w:rPr>
          <w:rFonts w:ascii="Times New Roman" w:hAnsi="Times New Roman" w:cs="Times New Roman"/>
        </w:rPr>
        <w:t>ing of the</w:t>
      </w:r>
      <w:r w:rsidR="003965BB">
        <w:rPr>
          <w:rFonts w:ascii="Times New Roman" w:hAnsi="Times New Roman" w:cs="Times New Roman"/>
        </w:rPr>
        <w:t xml:space="preserve"> secondary care</w:t>
      </w:r>
      <w:r w:rsidR="000978D6" w:rsidRPr="000978D6">
        <w:rPr>
          <w:rFonts w:ascii="Times New Roman" w:hAnsi="Times New Roman" w:cs="Times New Roman"/>
        </w:rPr>
        <w:t xml:space="preserve"> </w:t>
      </w:r>
      <w:r w:rsidR="000978D6">
        <w:rPr>
          <w:rFonts w:ascii="Times New Roman" w:hAnsi="Times New Roman" w:cs="Times New Roman"/>
        </w:rPr>
        <w:t>referral</w:t>
      </w:r>
      <w:r w:rsidR="000978D6" w:rsidRPr="000978D6">
        <w:rPr>
          <w:rFonts w:ascii="Times New Roman" w:hAnsi="Times New Roman" w:cs="Times New Roman"/>
        </w:rPr>
        <w:t xml:space="preserve"> </w:t>
      </w:r>
      <w:r w:rsidR="000978D6">
        <w:rPr>
          <w:rFonts w:ascii="Times New Roman" w:hAnsi="Times New Roman" w:cs="Times New Roman"/>
        </w:rPr>
        <w:t>barrier</w:t>
      </w:r>
      <w:r w:rsidR="000F2AD4">
        <w:rPr>
          <w:rFonts w:ascii="Times New Roman" w:hAnsi="Times New Roman" w:cs="Times New Roman"/>
        </w:rPr>
        <w:t xml:space="preserve"> or alternatively an increase in primary care screening for non-visible haematuria</w:t>
      </w:r>
      <w:r w:rsidR="00065176">
        <w:rPr>
          <w:rFonts w:ascii="Times New Roman" w:hAnsi="Times New Roman" w:cs="Times New Roman"/>
        </w:rPr>
        <w:t>.</w:t>
      </w:r>
      <w:r w:rsidR="003965BB">
        <w:rPr>
          <w:rFonts w:ascii="Times New Roman" w:hAnsi="Times New Roman" w:cs="Times New Roman"/>
        </w:rPr>
        <w:t xml:space="preserve"> </w:t>
      </w:r>
      <w:r w:rsidR="00D61898">
        <w:rPr>
          <w:rFonts w:ascii="Times New Roman" w:hAnsi="Times New Roman" w:cs="Times New Roman"/>
        </w:rPr>
        <w:t>This increase in the referrals for non-visible haematuria is perhaps unsurprising</w:t>
      </w:r>
      <w:r w:rsidR="00D35D0D">
        <w:rPr>
          <w:rFonts w:ascii="Times New Roman" w:hAnsi="Times New Roman" w:cs="Times New Roman"/>
        </w:rPr>
        <w:t xml:space="preserve">, however the concurrent increase </w:t>
      </w:r>
      <w:r w:rsidR="00D61898">
        <w:rPr>
          <w:rFonts w:ascii="Times New Roman" w:hAnsi="Times New Roman" w:cs="Times New Roman"/>
        </w:rPr>
        <w:t xml:space="preserve">in referrals for other suspected uro-oncology </w:t>
      </w:r>
      <w:r w:rsidR="00D35D0D">
        <w:rPr>
          <w:rFonts w:ascii="Times New Roman" w:hAnsi="Times New Roman" w:cs="Times New Roman"/>
        </w:rPr>
        <w:t>is</w:t>
      </w:r>
      <w:r w:rsidR="000978D6">
        <w:rPr>
          <w:rFonts w:ascii="Times New Roman" w:hAnsi="Times New Roman" w:cs="Times New Roman"/>
        </w:rPr>
        <w:t>,</w:t>
      </w:r>
      <w:r w:rsidR="00D35D0D">
        <w:rPr>
          <w:rFonts w:ascii="Times New Roman" w:hAnsi="Times New Roman" w:cs="Times New Roman"/>
        </w:rPr>
        <w:t xml:space="preserve"> and suggest a</w:t>
      </w:r>
      <w:r w:rsidR="00D61898">
        <w:rPr>
          <w:rFonts w:ascii="Times New Roman" w:hAnsi="Times New Roman" w:cs="Times New Roman"/>
        </w:rPr>
        <w:t xml:space="preserve"> transient </w:t>
      </w:r>
      <w:r w:rsidR="00D35D0D">
        <w:rPr>
          <w:rFonts w:ascii="Times New Roman" w:hAnsi="Times New Roman" w:cs="Times New Roman"/>
        </w:rPr>
        <w:t>increase in awareness for all uro-oncology associated with a public health campaign targeting a system specific symptom rather than a single pathology.</w:t>
      </w:r>
      <w:r w:rsidR="000D3F2A">
        <w:rPr>
          <w:rFonts w:ascii="Times New Roman" w:hAnsi="Times New Roman" w:cs="Times New Roman"/>
        </w:rPr>
        <w:t xml:space="preserve"> Interestingly, once again, this increase in referrals did not lead to a significant increase in other urological cancer (testicular and prostate) diagnoses. </w:t>
      </w:r>
    </w:p>
    <w:p w14:paraId="5587021D" w14:textId="77777777" w:rsidR="000C3C9D" w:rsidRDefault="000C3C9D" w:rsidP="005E56F4">
      <w:pPr>
        <w:spacing w:line="480" w:lineRule="auto"/>
        <w:jc w:val="both"/>
        <w:rPr>
          <w:rFonts w:ascii="Times New Roman" w:hAnsi="Times New Roman" w:cs="Times New Roman"/>
        </w:rPr>
      </w:pPr>
    </w:p>
    <w:p w14:paraId="0563B3C9" w14:textId="79049110" w:rsidR="000C3C9D" w:rsidRDefault="000C3C9D" w:rsidP="005E56F4">
      <w:pPr>
        <w:spacing w:line="480" w:lineRule="auto"/>
        <w:jc w:val="both"/>
        <w:rPr>
          <w:rFonts w:ascii="Times New Roman" w:hAnsi="Times New Roman" w:cs="Times New Roman"/>
        </w:rPr>
      </w:pPr>
      <w:r>
        <w:rPr>
          <w:rFonts w:ascii="Times New Roman" w:hAnsi="Times New Roman" w:cs="Times New Roman"/>
        </w:rPr>
        <w:t xml:space="preserve">When looking for differences in the demographic markers of age and sex between the pre and peri campaign </w:t>
      </w:r>
      <w:r w:rsidR="0092544A">
        <w:rPr>
          <w:rFonts w:ascii="Times New Roman" w:hAnsi="Times New Roman" w:cs="Times New Roman"/>
        </w:rPr>
        <w:t>populations</w:t>
      </w:r>
      <w:r>
        <w:rPr>
          <w:rFonts w:ascii="Times New Roman" w:hAnsi="Times New Roman" w:cs="Times New Roman"/>
        </w:rPr>
        <w:t xml:space="preserve"> being referred to secondary care</w:t>
      </w:r>
      <w:r w:rsidR="0092544A">
        <w:rPr>
          <w:rFonts w:ascii="Times New Roman" w:hAnsi="Times New Roman" w:cs="Times New Roman"/>
        </w:rPr>
        <w:t>,</w:t>
      </w:r>
      <w:r>
        <w:rPr>
          <w:rFonts w:ascii="Times New Roman" w:hAnsi="Times New Roman" w:cs="Times New Roman"/>
        </w:rPr>
        <w:t xml:space="preserve"> none was seen. This </w:t>
      </w:r>
      <w:r w:rsidR="00E41672">
        <w:rPr>
          <w:rFonts w:ascii="Times New Roman" w:hAnsi="Times New Roman" w:cs="Times New Roman"/>
        </w:rPr>
        <w:t xml:space="preserve">suggests that the campaign had little effect on the demographics of the population presenting, succeeding in </w:t>
      </w:r>
      <w:r w:rsidR="0092544A">
        <w:rPr>
          <w:rFonts w:ascii="Times New Roman" w:hAnsi="Times New Roman" w:cs="Times New Roman"/>
        </w:rPr>
        <w:t>avoiding increased</w:t>
      </w:r>
      <w:r w:rsidR="00E41672">
        <w:rPr>
          <w:rFonts w:ascii="Times New Roman" w:hAnsi="Times New Roman" w:cs="Times New Roman"/>
        </w:rPr>
        <w:t xml:space="preserve"> </w:t>
      </w:r>
      <w:r w:rsidR="00A263CE">
        <w:rPr>
          <w:rFonts w:ascii="Times New Roman" w:hAnsi="Times New Roman" w:cs="Times New Roman"/>
        </w:rPr>
        <w:t>presentation</w:t>
      </w:r>
      <w:r w:rsidR="00E41672">
        <w:rPr>
          <w:rFonts w:ascii="Times New Roman" w:hAnsi="Times New Roman" w:cs="Times New Roman"/>
        </w:rPr>
        <w:t xml:space="preserve"> of the lower risk </w:t>
      </w:r>
      <w:r w:rsidR="00A263CE">
        <w:rPr>
          <w:rFonts w:ascii="Times New Roman" w:hAnsi="Times New Roman" w:cs="Times New Roman"/>
        </w:rPr>
        <w:t>populations</w:t>
      </w:r>
      <w:r w:rsidR="00E41672">
        <w:rPr>
          <w:rFonts w:ascii="Times New Roman" w:hAnsi="Times New Roman" w:cs="Times New Roman"/>
        </w:rPr>
        <w:t xml:space="preserve"> </w:t>
      </w:r>
      <w:r w:rsidR="00A263CE">
        <w:rPr>
          <w:rFonts w:ascii="Times New Roman" w:hAnsi="Times New Roman" w:cs="Times New Roman"/>
        </w:rPr>
        <w:t xml:space="preserve">(i.e women and those under 50) but also failing to promote the </w:t>
      </w:r>
      <w:r w:rsidR="0092544A">
        <w:rPr>
          <w:rFonts w:ascii="Times New Roman" w:hAnsi="Times New Roman" w:cs="Times New Roman"/>
        </w:rPr>
        <w:t>presentation</w:t>
      </w:r>
      <w:r w:rsidR="00A263CE">
        <w:rPr>
          <w:rFonts w:ascii="Times New Roman" w:hAnsi="Times New Roman" w:cs="Times New Roman"/>
        </w:rPr>
        <w:t xml:space="preserve"> of those more at risk, older men</w:t>
      </w:r>
      <w:r w:rsidR="0092544A">
        <w:rPr>
          <w:rFonts w:ascii="Times New Roman" w:hAnsi="Times New Roman" w:cs="Times New Roman"/>
        </w:rPr>
        <w:t xml:space="preserve"> </w:t>
      </w:r>
      <w:r w:rsidR="0092544A">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"author" : [ { "dropping-particle" : "", "family" : "Danaei", "given" : "Goodarz", "non-dropping-particle" : "", "parse-names" : false, "suffix" : "" }, { "dropping-particle" : "Vander", "family" : "Hoorn", "given" : "Stephen", "non-dropping-particle" : "", "parse-names" : false, "suffix" : "" }, { "dropping-particle" : "", "family" : "Lopez", "given" : "Alan D", "non-dropping-particle" : "", "parse-names" : false, "suffix" : "" }, { "dropping-particle" : "", "family" : "Murray", "given" : "Christopher J L", "non-dropping-particle" : "", "parse-names" : false, "suffix" : "" }, { "dropping-particle" : "", "family" : "Ezzati", "given" : "Majid", "non-dropping-particle" : "", "parse-names" : false, "suffix" : "" }, { "dropping-particle" : "", "family" : "Assessment", "given" : "Risk", "non-dropping-particle" : "", "parse-names" : false, "suffix" : "" } ], "container-title" : "The Lancet", "id" : "ITEM-1", "issued" : { "date-parts" : [ [ "2005" ] ] }, "page" : "1784-1793", "title" : "Causes of cancer in the world : comparative risk assessment of nine behavioural and environmental risk factors", "type" : "article-journal", "volume" : "366" }, "uris" : [ "http://www.mendeley.com/documents/?uuid=cfc7c342-9d2b-47ca-b9f9-22f45857c359" ] } ], "mendeley" : { "formattedCitation" : "[12]", "plainTextFormattedCitation" : "[12]" }, "properties" : { "noteIndex" : 0 }, "schema" : "https://github.com/citation-style-language/schema/raw/master/csl-citation.json" }</w:instrText>
      </w:r>
      <w:r w:rsidR="0092544A">
        <w:rPr>
          <w:rFonts w:ascii="Times New Roman" w:hAnsi="Times New Roman" w:cs="Times New Roman"/>
        </w:rPr>
        <w:fldChar w:fldCharType="separate"/>
      </w:r>
      <w:r w:rsidR="0092544A" w:rsidRPr="0092544A">
        <w:rPr>
          <w:rFonts w:ascii="Times New Roman" w:hAnsi="Times New Roman" w:cs="Times New Roman"/>
          <w:noProof/>
        </w:rPr>
        <w:t>[12]</w:t>
      </w:r>
      <w:r w:rsidR="0092544A">
        <w:rPr>
          <w:rFonts w:ascii="Times New Roman" w:hAnsi="Times New Roman" w:cs="Times New Roman"/>
        </w:rPr>
        <w:fldChar w:fldCharType="end"/>
      </w:r>
      <w:r w:rsidR="00A263CE">
        <w:rPr>
          <w:rFonts w:ascii="Times New Roman" w:hAnsi="Times New Roman" w:cs="Times New Roman"/>
        </w:rPr>
        <w:t>.</w:t>
      </w:r>
    </w:p>
    <w:p w14:paraId="67BD0239" w14:textId="77777777" w:rsidR="00D95A27" w:rsidRDefault="00D95A27" w:rsidP="00A718AD">
      <w:pPr>
        <w:spacing w:line="480" w:lineRule="auto"/>
        <w:jc w:val="both"/>
        <w:rPr>
          <w:rFonts w:ascii="Times New Roman" w:hAnsi="Times New Roman" w:cs="Times New Roman"/>
        </w:rPr>
      </w:pPr>
    </w:p>
    <w:p w14:paraId="237C4782" w14:textId="4F1CFE74" w:rsidR="00D95A27" w:rsidRDefault="00C42AE7" w:rsidP="00A718AD">
      <w:pPr>
        <w:spacing w:line="480" w:lineRule="auto"/>
        <w:jc w:val="both"/>
        <w:rPr>
          <w:rFonts w:ascii="Times New Roman" w:hAnsi="Times New Roman" w:cs="Times New Roman"/>
        </w:rPr>
      </w:pPr>
      <w:r>
        <w:rPr>
          <w:rFonts w:ascii="Times New Roman" w:hAnsi="Times New Roman" w:cs="Times New Roman"/>
        </w:rPr>
        <w:t xml:space="preserve">Although this paper has demonstrated an </w:t>
      </w:r>
      <w:r w:rsidR="00781CC1">
        <w:rPr>
          <w:rFonts w:ascii="Times New Roman" w:hAnsi="Times New Roman" w:cs="Times New Roman"/>
        </w:rPr>
        <w:t>apparent increase in cancer specific urological referrals</w:t>
      </w:r>
      <w:r w:rsidR="00674FEE">
        <w:rPr>
          <w:rFonts w:ascii="Times New Roman" w:hAnsi="Times New Roman" w:cs="Times New Roman"/>
        </w:rPr>
        <w:t>,</w:t>
      </w:r>
      <w:r w:rsidR="00600CEE">
        <w:rPr>
          <w:rFonts w:ascii="Times New Roman" w:hAnsi="Times New Roman" w:cs="Times New Roman"/>
        </w:rPr>
        <w:t xml:space="preserve"> probably</w:t>
      </w:r>
      <w:r w:rsidR="00781CC1">
        <w:rPr>
          <w:rFonts w:ascii="Times New Roman" w:hAnsi="Times New Roman" w:cs="Times New Roman"/>
        </w:rPr>
        <w:t xml:space="preserve"> attributable to </w:t>
      </w:r>
      <w:r w:rsidR="00674FEE">
        <w:rPr>
          <w:rFonts w:ascii="Times New Roman" w:hAnsi="Times New Roman" w:cs="Times New Roman"/>
        </w:rPr>
        <w:t>the</w:t>
      </w:r>
      <w:r>
        <w:rPr>
          <w:rFonts w:ascii="Times New Roman" w:hAnsi="Times New Roman" w:cs="Times New Roman"/>
        </w:rPr>
        <w:t xml:space="preserve"> ‘</w:t>
      </w:r>
      <w:proofErr w:type="gramStart"/>
      <w:r w:rsidR="005F6094">
        <w:rPr>
          <w:rFonts w:ascii="Times New Roman" w:hAnsi="Times New Roman" w:cs="Times New Roman"/>
        </w:rPr>
        <w:t>Be</w:t>
      </w:r>
      <w:proofErr w:type="gramEnd"/>
      <w:r w:rsidR="005F6094">
        <w:rPr>
          <w:rFonts w:ascii="Times New Roman" w:hAnsi="Times New Roman" w:cs="Times New Roman"/>
        </w:rPr>
        <w:t xml:space="preserve"> clear on cancer: </w:t>
      </w:r>
      <w:r>
        <w:rPr>
          <w:rFonts w:ascii="Times New Roman" w:hAnsi="Times New Roman" w:cs="Times New Roman"/>
        </w:rPr>
        <w:t>Blood in the pee’ campaign</w:t>
      </w:r>
      <w:r w:rsidR="00674FEE">
        <w:rPr>
          <w:rFonts w:ascii="Times New Roman" w:hAnsi="Times New Roman" w:cs="Times New Roman"/>
        </w:rPr>
        <w:t>,</w:t>
      </w:r>
      <w:r>
        <w:rPr>
          <w:rFonts w:ascii="Times New Roman" w:hAnsi="Times New Roman" w:cs="Times New Roman"/>
        </w:rPr>
        <w:t xml:space="preserve"> </w:t>
      </w:r>
      <w:r w:rsidR="00674FEE">
        <w:rPr>
          <w:rFonts w:ascii="Times New Roman" w:hAnsi="Times New Roman" w:cs="Times New Roman"/>
        </w:rPr>
        <w:t>with</w:t>
      </w:r>
      <w:r w:rsidR="00781CC1">
        <w:rPr>
          <w:rFonts w:ascii="Times New Roman" w:hAnsi="Times New Roman" w:cs="Times New Roman"/>
        </w:rPr>
        <w:t xml:space="preserve"> no tangible increase in cancer diagnosis,</w:t>
      </w:r>
      <w:r>
        <w:rPr>
          <w:rFonts w:ascii="Times New Roman" w:hAnsi="Times New Roman" w:cs="Times New Roman"/>
        </w:rPr>
        <w:t xml:space="preserve"> it is</w:t>
      </w:r>
      <w:r w:rsidR="00AD47D5">
        <w:rPr>
          <w:rFonts w:ascii="Times New Roman" w:hAnsi="Times New Roman" w:cs="Times New Roman"/>
        </w:rPr>
        <w:t xml:space="preserve"> not without its limitations</w:t>
      </w:r>
      <w:r w:rsidR="00F545EA">
        <w:rPr>
          <w:rFonts w:ascii="Times New Roman" w:hAnsi="Times New Roman" w:cs="Times New Roman"/>
        </w:rPr>
        <w:t>.</w:t>
      </w:r>
      <w:r w:rsidR="00AC1739">
        <w:rPr>
          <w:rFonts w:ascii="Times New Roman" w:hAnsi="Times New Roman" w:cs="Times New Roman"/>
        </w:rPr>
        <w:t xml:space="preserve"> </w:t>
      </w:r>
      <w:r w:rsidR="0066261D">
        <w:rPr>
          <w:rFonts w:ascii="Times New Roman" w:hAnsi="Times New Roman" w:cs="Times New Roman"/>
        </w:rPr>
        <w:t xml:space="preserve">First and </w:t>
      </w:r>
      <w:r w:rsidR="00781CC1">
        <w:rPr>
          <w:rFonts w:ascii="Times New Roman" w:hAnsi="Times New Roman" w:cs="Times New Roman"/>
        </w:rPr>
        <w:t>foremost is the potential under-</w:t>
      </w:r>
      <w:r w:rsidR="0066261D">
        <w:rPr>
          <w:rFonts w:ascii="Times New Roman" w:hAnsi="Times New Roman" w:cs="Times New Roman"/>
        </w:rPr>
        <w:t xml:space="preserve">powering of the dataset with regards </w:t>
      </w:r>
      <w:r w:rsidR="006C3CAA">
        <w:rPr>
          <w:rFonts w:ascii="Times New Roman" w:hAnsi="Times New Roman" w:cs="Times New Roman"/>
        </w:rPr>
        <w:t xml:space="preserve">to </w:t>
      </w:r>
      <w:r w:rsidR="0066261D">
        <w:rPr>
          <w:rFonts w:ascii="Times New Roman" w:hAnsi="Times New Roman" w:cs="Times New Roman"/>
        </w:rPr>
        <w:t>cancer pick up.</w:t>
      </w:r>
      <w:r w:rsidR="00AC1739">
        <w:rPr>
          <w:rFonts w:ascii="Times New Roman" w:hAnsi="Times New Roman" w:cs="Times New Roman"/>
        </w:rPr>
        <w:t xml:space="preserve"> </w:t>
      </w:r>
      <w:r w:rsidR="00F545EA">
        <w:rPr>
          <w:rFonts w:ascii="Times New Roman" w:hAnsi="Times New Roman" w:cs="Times New Roman"/>
        </w:rPr>
        <w:t>In addition</w:t>
      </w:r>
      <w:r w:rsidR="00AD47D5">
        <w:rPr>
          <w:rFonts w:ascii="Times New Roman" w:hAnsi="Times New Roman" w:cs="Times New Roman"/>
        </w:rPr>
        <w:t xml:space="preserve"> the study only examined </w:t>
      </w:r>
      <w:r w:rsidR="006C3CAA">
        <w:rPr>
          <w:rFonts w:ascii="Times New Roman" w:hAnsi="Times New Roman" w:cs="Times New Roman"/>
        </w:rPr>
        <w:t>the population of North West London</w:t>
      </w:r>
      <w:r w:rsidR="006A3107">
        <w:rPr>
          <w:rFonts w:ascii="Times New Roman" w:hAnsi="Times New Roman" w:cs="Times New Roman"/>
        </w:rPr>
        <w:t xml:space="preserve"> and as such</w:t>
      </w:r>
      <w:r w:rsidR="00AD47D5">
        <w:rPr>
          <w:rFonts w:ascii="Times New Roman" w:hAnsi="Times New Roman" w:cs="Times New Roman"/>
        </w:rPr>
        <w:t xml:space="preserve"> any extrapolation of the </w:t>
      </w:r>
      <w:r w:rsidR="005C6297">
        <w:rPr>
          <w:rFonts w:ascii="Times New Roman" w:hAnsi="Times New Roman" w:cs="Times New Roman"/>
        </w:rPr>
        <w:t xml:space="preserve">specific </w:t>
      </w:r>
      <w:r w:rsidR="00AD47D5">
        <w:rPr>
          <w:rFonts w:ascii="Times New Roman" w:hAnsi="Times New Roman" w:cs="Times New Roman"/>
        </w:rPr>
        <w:t>findings of this study to the wider population</w:t>
      </w:r>
      <w:r w:rsidR="006A3107">
        <w:rPr>
          <w:rFonts w:ascii="Times New Roman" w:hAnsi="Times New Roman" w:cs="Times New Roman"/>
        </w:rPr>
        <w:t xml:space="preserve"> </w:t>
      </w:r>
      <w:r w:rsidR="001D567A">
        <w:rPr>
          <w:rFonts w:ascii="Times New Roman" w:hAnsi="Times New Roman" w:cs="Times New Roman"/>
        </w:rPr>
        <w:t xml:space="preserve">both within and outside of the UK </w:t>
      </w:r>
      <w:r w:rsidR="005C6297">
        <w:rPr>
          <w:rFonts w:ascii="Times New Roman" w:hAnsi="Times New Roman" w:cs="Times New Roman"/>
        </w:rPr>
        <w:t>must be exercised with caution</w:t>
      </w:r>
      <w:r w:rsidR="00442EB4">
        <w:rPr>
          <w:rFonts w:ascii="Times New Roman" w:hAnsi="Times New Roman" w:cs="Times New Roman"/>
        </w:rPr>
        <w:t>.</w:t>
      </w:r>
      <w:r w:rsidR="0073320E">
        <w:rPr>
          <w:rFonts w:ascii="Times New Roman" w:hAnsi="Times New Roman" w:cs="Times New Roman"/>
        </w:rPr>
        <w:t xml:space="preserve"> </w:t>
      </w:r>
      <w:r w:rsidR="00442EB4">
        <w:rPr>
          <w:rFonts w:ascii="Times New Roman" w:hAnsi="Times New Roman" w:cs="Times New Roman"/>
        </w:rPr>
        <w:t>T</w:t>
      </w:r>
      <w:r w:rsidR="0073320E">
        <w:rPr>
          <w:rFonts w:ascii="Times New Roman" w:hAnsi="Times New Roman" w:cs="Times New Roman"/>
        </w:rPr>
        <w:t xml:space="preserve">his point is particularly pertinent considering the starkly different results found by </w:t>
      </w:r>
      <w:r w:rsidR="00674FEE">
        <w:rPr>
          <w:rFonts w:ascii="Times New Roman" w:hAnsi="Times New Roman" w:cs="Times New Roman"/>
        </w:rPr>
        <w:t>Public Health</w:t>
      </w:r>
      <w:r w:rsidR="0073320E">
        <w:rPr>
          <w:rFonts w:ascii="Times New Roman" w:hAnsi="Times New Roman" w:cs="Times New Roman"/>
        </w:rPr>
        <w:t xml:space="preserve"> England whe</w:t>
      </w:r>
      <w:r w:rsidR="0066261D">
        <w:rPr>
          <w:rFonts w:ascii="Times New Roman" w:hAnsi="Times New Roman" w:cs="Times New Roman"/>
        </w:rPr>
        <w:t>n</w:t>
      </w:r>
      <w:r w:rsidR="00356819">
        <w:rPr>
          <w:rFonts w:ascii="Times New Roman" w:hAnsi="Times New Roman" w:cs="Times New Roman"/>
        </w:rPr>
        <w:t xml:space="preserve"> assessing its pilot campaigns.</w:t>
      </w:r>
      <w:r w:rsidR="00FA1AB1">
        <w:rPr>
          <w:rFonts w:ascii="Times New Roman" w:hAnsi="Times New Roman" w:cs="Times New Roman"/>
        </w:rPr>
        <w:t xml:space="preserve"> </w:t>
      </w:r>
    </w:p>
    <w:p w14:paraId="2B5BD809" w14:textId="77777777" w:rsidR="00D95A27" w:rsidRDefault="00D95A27" w:rsidP="00A718AD">
      <w:pPr>
        <w:spacing w:line="480" w:lineRule="auto"/>
        <w:jc w:val="both"/>
        <w:rPr>
          <w:rFonts w:ascii="Times New Roman" w:hAnsi="Times New Roman" w:cs="Times New Roman"/>
        </w:rPr>
      </w:pPr>
    </w:p>
    <w:p w14:paraId="43A240EF" w14:textId="3BBA39AA" w:rsidR="004D7C4A" w:rsidRDefault="00356819" w:rsidP="00A718AD">
      <w:pPr>
        <w:spacing w:line="480" w:lineRule="auto"/>
        <w:jc w:val="both"/>
        <w:rPr>
          <w:rFonts w:ascii="Times New Roman" w:hAnsi="Times New Roman" w:cs="Times New Roman"/>
        </w:rPr>
      </w:pPr>
      <w:r>
        <w:rPr>
          <w:rFonts w:ascii="Times New Roman" w:hAnsi="Times New Roman" w:cs="Times New Roman"/>
        </w:rPr>
        <w:t>Aside from</w:t>
      </w:r>
      <w:r w:rsidR="000D5D24">
        <w:rPr>
          <w:rFonts w:ascii="Times New Roman" w:hAnsi="Times New Roman" w:cs="Times New Roman"/>
        </w:rPr>
        <w:t xml:space="preserve"> the limi</w:t>
      </w:r>
      <w:r w:rsidR="00674FEE">
        <w:rPr>
          <w:rFonts w:ascii="Times New Roman" w:hAnsi="Times New Roman" w:cs="Times New Roman"/>
        </w:rPr>
        <w:t xml:space="preserve">tations specific to the dataset, </w:t>
      </w:r>
      <w:r w:rsidR="000D5D24">
        <w:rPr>
          <w:rFonts w:ascii="Times New Roman" w:hAnsi="Times New Roman" w:cs="Times New Roman"/>
        </w:rPr>
        <w:t xml:space="preserve">limitations also exist resulting from the retrospective nature of the </w:t>
      </w:r>
      <w:r w:rsidR="00AC1739">
        <w:rPr>
          <w:rFonts w:ascii="Times New Roman" w:hAnsi="Times New Roman" w:cs="Times New Roman"/>
        </w:rPr>
        <w:t>data collection</w:t>
      </w:r>
      <w:r w:rsidR="00AF0458">
        <w:rPr>
          <w:rFonts w:ascii="Times New Roman" w:hAnsi="Times New Roman" w:cs="Times New Roman"/>
        </w:rPr>
        <w:t>, specifically the granularity demographic data</w:t>
      </w:r>
      <w:r w:rsidR="009A329A">
        <w:rPr>
          <w:rFonts w:ascii="Times New Roman" w:hAnsi="Times New Roman" w:cs="Times New Roman"/>
        </w:rPr>
        <w:t>. I</w:t>
      </w:r>
      <w:r w:rsidR="0092544A">
        <w:rPr>
          <w:rFonts w:ascii="Times New Roman" w:hAnsi="Times New Roman" w:cs="Times New Roman"/>
        </w:rPr>
        <w:t>deally the demographic parameters would have been extended to examine in more detail the characteristics of the population prompted into presentation, specifically the socio-economic</w:t>
      </w:r>
      <w:r w:rsidR="00E11130">
        <w:rPr>
          <w:rFonts w:ascii="Times New Roman" w:hAnsi="Times New Roman" w:cs="Times New Roman"/>
        </w:rPr>
        <w:t xml:space="preserve"> and</w:t>
      </w:r>
      <w:r w:rsidR="0092544A">
        <w:rPr>
          <w:rFonts w:ascii="Times New Roman" w:hAnsi="Times New Roman" w:cs="Times New Roman"/>
        </w:rPr>
        <w:t xml:space="preserve"> </w:t>
      </w:r>
      <w:r w:rsidR="00E11130">
        <w:rPr>
          <w:rFonts w:ascii="Times New Roman" w:hAnsi="Times New Roman" w:cs="Times New Roman"/>
        </w:rPr>
        <w:t xml:space="preserve">smoking status, in addition to race distribution, </w:t>
      </w:r>
      <w:r w:rsidR="0092544A">
        <w:rPr>
          <w:rFonts w:ascii="Times New Roman" w:hAnsi="Times New Roman" w:cs="Times New Roman"/>
        </w:rPr>
        <w:t>would have been of interest.</w:t>
      </w:r>
    </w:p>
    <w:p w14:paraId="72D4FAC4" w14:textId="265A7D30" w:rsidR="0073320E" w:rsidRDefault="0073320E" w:rsidP="00A718AD">
      <w:pPr>
        <w:spacing w:line="480" w:lineRule="auto"/>
        <w:jc w:val="both"/>
        <w:rPr>
          <w:rFonts w:ascii="Times New Roman" w:hAnsi="Times New Roman" w:cs="Times New Roman"/>
        </w:rPr>
      </w:pPr>
    </w:p>
    <w:p w14:paraId="65A79428" w14:textId="193BCA88" w:rsidR="00A718AD" w:rsidRPr="00D353B6" w:rsidRDefault="00AD47D5" w:rsidP="00F52F10">
      <w:pPr>
        <w:spacing w:line="480" w:lineRule="auto"/>
        <w:jc w:val="both"/>
        <w:rPr>
          <w:rFonts w:ascii="Times New Roman" w:hAnsi="Times New Roman" w:cs="Times New Roman"/>
          <w:b/>
        </w:rPr>
      </w:pPr>
      <w:r w:rsidRPr="00D353B6">
        <w:rPr>
          <w:rFonts w:ascii="Times New Roman" w:hAnsi="Times New Roman" w:cs="Times New Roman"/>
          <w:b/>
        </w:rPr>
        <w:t>Conclusions</w:t>
      </w:r>
    </w:p>
    <w:p w14:paraId="25D58472" w14:textId="77777777" w:rsidR="00AD47D5" w:rsidRDefault="00AD47D5" w:rsidP="00F52F10">
      <w:pPr>
        <w:spacing w:line="480" w:lineRule="auto"/>
        <w:jc w:val="both"/>
        <w:rPr>
          <w:rFonts w:ascii="Times New Roman" w:hAnsi="Times New Roman" w:cs="Times New Roman"/>
        </w:rPr>
      </w:pPr>
    </w:p>
    <w:p w14:paraId="73EBE078" w14:textId="129FE322" w:rsidR="000A3E06" w:rsidRDefault="00AD47D5" w:rsidP="00F52F10">
      <w:pPr>
        <w:spacing w:line="480" w:lineRule="auto"/>
        <w:jc w:val="both"/>
        <w:rPr>
          <w:rFonts w:ascii="Times New Roman" w:hAnsi="Times New Roman" w:cs="Times New Roman"/>
        </w:rPr>
      </w:pPr>
      <w:r>
        <w:rPr>
          <w:rFonts w:ascii="Times New Roman" w:hAnsi="Times New Roman" w:cs="Times New Roman"/>
        </w:rPr>
        <w:t>A successful public health campaign must meet similar criteria to those laid out by Wilson in 1968 f</w:t>
      </w:r>
      <w:r w:rsidR="003741D9">
        <w:rPr>
          <w:rFonts w:ascii="Times New Roman" w:hAnsi="Times New Roman" w:cs="Times New Roman"/>
        </w:rPr>
        <w:t>or screening campaigns</w:t>
      </w:r>
      <w:r w:rsidR="00E272E3">
        <w:rPr>
          <w:rFonts w:ascii="Times New Roman" w:hAnsi="Times New Roman" w:cs="Times New Roman"/>
        </w:rPr>
        <w:t xml:space="preserve"> </w:t>
      </w:r>
      <w:r w:rsidR="00E272E3">
        <w:rPr>
          <w:rFonts w:ascii="Times New Roman" w:hAnsi="Times New Roman" w:cs="Times New Roman"/>
        </w:rPr>
        <w:fldChar w:fldCharType="begin" w:fldLock="1"/>
      </w:r>
      <w:r w:rsidR="0092544A">
        <w:rPr>
          <w:rFonts w:ascii="Times New Roman" w:hAnsi="Times New Roman" w:cs="Times New Roman"/>
        </w:rPr>
        <w:instrText>ADDIN CSL_CITATION { "citationItems" : [ { "id" : "ITEM-1", "itemData" : { "ISSN" : "0030-0632", "PMID" : "4234760", "author" : [ { "dropping-particle" : "", "family" : "Wilson", "given" : "J M", "non-dropping-particle" : "", "parse-names" : false, "suffix" : "" }, { "dropping-particle" : "", "family" : "Jungner", "given" : "Y G", "non-dropping-particle" : "", "parse-names" : false, "suffix" : "" } ], "container-title" : "WHO Chronicle: World Health Organisation", "id" : "ITEM-1", "issue" : "11", "issued" : { "date-parts" : [ [ "1968", "10" ] ] }, "page" : "473", "title" : "Principles and practice of mass screening for disease.", "type" : "article-journal", "volume" : "22" }, "uris" : [ "http://www.mendeley.com/documents/?uuid=068810b4-8f68-4ba2-a7ce-39ce0301baed" ] } ], "mendeley" : { "formattedCitation" : "[13]", "plainTextFormattedCitation" : "[13]", "previouslyFormattedCitation" : "[12]" }, "properties" : { "noteIndex" : 0 }, "schema" : "https://github.com/citation-style-language/schema/raw/master/csl-citation.json" }</w:instrText>
      </w:r>
      <w:r w:rsidR="00E272E3">
        <w:rPr>
          <w:rFonts w:ascii="Times New Roman" w:hAnsi="Times New Roman" w:cs="Times New Roman"/>
        </w:rPr>
        <w:fldChar w:fldCharType="separate"/>
      </w:r>
      <w:r w:rsidR="0092544A" w:rsidRPr="0092544A">
        <w:rPr>
          <w:rFonts w:ascii="Times New Roman" w:hAnsi="Times New Roman" w:cs="Times New Roman"/>
          <w:noProof/>
        </w:rPr>
        <w:t>[13]</w:t>
      </w:r>
      <w:r w:rsidR="00E272E3">
        <w:rPr>
          <w:rFonts w:ascii="Times New Roman" w:hAnsi="Times New Roman" w:cs="Times New Roman"/>
        </w:rPr>
        <w:fldChar w:fldCharType="end"/>
      </w:r>
      <w:r w:rsidR="003741D9">
        <w:rPr>
          <w:rFonts w:ascii="Times New Roman" w:hAnsi="Times New Roman" w:cs="Times New Roman"/>
        </w:rPr>
        <w:t>.</w:t>
      </w:r>
      <w:r w:rsidR="00AC1739">
        <w:rPr>
          <w:rFonts w:ascii="Times New Roman" w:hAnsi="Times New Roman" w:cs="Times New Roman"/>
        </w:rPr>
        <w:t xml:space="preserve"> </w:t>
      </w:r>
      <w:r w:rsidR="003741D9">
        <w:rPr>
          <w:rFonts w:ascii="Times New Roman" w:hAnsi="Times New Roman" w:cs="Times New Roman"/>
        </w:rPr>
        <w:t xml:space="preserve">In addition </w:t>
      </w:r>
      <w:r w:rsidR="00411A80">
        <w:rPr>
          <w:rFonts w:ascii="Times New Roman" w:hAnsi="Times New Roman" w:cs="Times New Roman"/>
        </w:rPr>
        <w:t>it</w:t>
      </w:r>
      <w:r w:rsidR="003741D9">
        <w:rPr>
          <w:rFonts w:ascii="Times New Roman" w:hAnsi="Times New Roman" w:cs="Times New Roman"/>
        </w:rPr>
        <w:t xml:space="preserve"> must also provide an increase in the diagnosis and public awareness of the target pathology.</w:t>
      </w:r>
      <w:r w:rsidR="00AC1739">
        <w:rPr>
          <w:rFonts w:ascii="Times New Roman" w:hAnsi="Times New Roman" w:cs="Times New Roman"/>
        </w:rPr>
        <w:t xml:space="preserve"> </w:t>
      </w:r>
      <w:r w:rsidR="003741D9">
        <w:rPr>
          <w:rFonts w:ascii="Times New Roman" w:hAnsi="Times New Roman" w:cs="Times New Roman"/>
        </w:rPr>
        <w:t>All of these criteria need to be balanced against the direct and indirect costs of the campaign.</w:t>
      </w:r>
      <w:r w:rsidR="00AC1739">
        <w:rPr>
          <w:rFonts w:ascii="Times New Roman" w:hAnsi="Times New Roman" w:cs="Times New Roman"/>
        </w:rPr>
        <w:t xml:space="preserve"> </w:t>
      </w:r>
      <w:r w:rsidR="003741D9">
        <w:rPr>
          <w:rFonts w:ascii="Times New Roman" w:hAnsi="Times New Roman" w:cs="Times New Roman"/>
        </w:rPr>
        <w:t>In the case of the mass media campaign in question the data presented would suggest that</w:t>
      </w:r>
      <w:r w:rsidR="00AF564B">
        <w:rPr>
          <w:rFonts w:ascii="Times New Roman" w:hAnsi="Times New Roman" w:cs="Times New Roman"/>
        </w:rPr>
        <w:t xml:space="preserve"> the campaign was only a partial success, managing to achieve</w:t>
      </w:r>
      <w:r w:rsidR="00CB1B4B">
        <w:rPr>
          <w:rFonts w:ascii="Times New Roman" w:hAnsi="Times New Roman" w:cs="Times New Roman"/>
        </w:rPr>
        <w:t xml:space="preserve"> an increase in</w:t>
      </w:r>
      <w:r w:rsidR="00AF564B">
        <w:rPr>
          <w:rFonts w:ascii="Times New Roman" w:hAnsi="Times New Roman" w:cs="Times New Roman"/>
        </w:rPr>
        <w:t xml:space="preserve"> awareness amongst health care professionals and the public</w:t>
      </w:r>
      <w:r w:rsidR="00CB1B4B">
        <w:rPr>
          <w:rFonts w:ascii="Times New Roman" w:hAnsi="Times New Roman" w:cs="Times New Roman"/>
        </w:rPr>
        <w:t>,</w:t>
      </w:r>
      <w:r w:rsidR="00AF564B">
        <w:rPr>
          <w:rFonts w:ascii="Times New Roman" w:hAnsi="Times New Roman" w:cs="Times New Roman"/>
        </w:rPr>
        <w:t xml:space="preserve"> but crucially failing to convert </w:t>
      </w:r>
      <w:r w:rsidR="00CB1B4B">
        <w:rPr>
          <w:rFonts w:ascii="Times New Roman" w:hAnsi="Times New Roman" w:cs="Times New Roman"/>
        </w:rPr>
        <w:t xml:space="preserve">this increased awareness into a concurrent </w:t>
      </w:r>
      <w:r w:rsidR="00AF564B">
        <w:rPr>
          <w:rFonts w:ascii="Times New Roman" w:hAnsi="Times New Roman" w:cs="Times New Roman"/>
        </w:rPr>
        <w:t>increase in the diagnosis of the target pathologies.</w:t>
      </w:r>
    </w:p>
    <w:p w14:paraId="5419B745" w14:textId="77777777" w:rsidR="000A3E06" w:rsidRDefault="000A3E06" w:rsidP="00F52F10">
      <w:pPr>
        <w:spacing w:line="480" w:lineRule="auto"/>
        <w:jc w:val="both"/>
        <w:rPr>
          <w:rFonts w:ascii="Times New Roman" w:hAnsi="Times New Roman" w:cs="Times New Roman"/>
        </w:rPr>
      </w:pPr>
    </w:p>
    <w:p w14:paraId="2F2E5157" w14:textId="1F588505" w:rsidR="00A86D69" w:rsidRDefault="003741D9" w:rsidP="00F52F10">
      <w:pPr>
        <w:spacing w:line="480" w:lineRule="auto"/>
        <w:jc w:val="both"/>
        <w:rPr>
          <w:rFonts w:ascii="Times New Roman" w:hAnsi="Times New Roman" w:cs="Times New Roman"/>
        </w:rPr>
      </w:pPr>
      <w:r>
        <w:rPr>
          <w:rFonts w:ascii="Times New Roman" w:hAnsi="Times New Roman" w:cs="Times New Roman"/>
        </w:rPr>
        <w:t xml:space="preserve">In </w:t>
      </w:r>
      <w:r w:rsidR="000A3E06">
        <w:rPr>
          <w:rFonts w:ascii="Times New Roman" w:hAnsi="Times New Roman" w:cs="Times New Roman"/>
        </w:rPr>
        <w:t xml:space="preserve">the </w:t>
      </w:r>
      <w:r>
        <w:rPr>
          <w:rFonts w:ascii="Times New Roman" w:hAnsi="Times New Roman" w:cs="Times New Roman"/>
        </w:rPr>
        <w:t>future</w:t>
      </w:r>
      <w:r w:rsidR="000A3E06">
        <w:rPr>
          <w:rFonts w:ascii="Times New Roman" w:hAnsi="Times New Roman" w:cs="Times New Roman"/>
        </w:rPr>
        <w:t xml:space="preserve"> similar</w:t>
      </w:r>
      <w:r>
        <w:rPr>
          <w:rFonts w:ascii="Times New Roman" w:hAnsi="Times New Roman" w:cs="Times New Roman"/>
        </w:rPr>
        <w:t xml:space="preserve"> mass media campaigns </w:t>
      </w:r>
      <w:r w:rsidR="00530DCF">
        <w:rPr>
          <w:rFonts w:ascii="Times New Roman" w:hAnsi="Times New Roman" w:cs="Times New Roman"/>
        </w:rPr>
        <w:t>shou</w:t>
      </w:r>
      <w:r w:rsidR="004D7C4A">
        <w:rPr>
          <w:rFonts w:ascii="Times New Roman" w:hAnsi="Times New Roman" w:cs="Times New Roman"/>
        </w:rPr>
        <w:t>l</w:t>
      </w:r>
      <w:r w:rsidR="00530DCF">
        <w:rPr>
          <w:rFonts w:ascii="Times New Roman" w:hAnsi="Times New Roman" w:cs="Times New Roman"/>
        </w:rPr>
        <w:t>d</w:t>
      </w:r>
      <w:r>
        <w:rPr>
          <w:rFonts w:ascii="Times New Roman" w:hAnsi="Times New Roman" w:cs="Times New Roman"/>
        </w:rPr>
        <w:t xml:space="preserve"> </w:t>
      </w:r>
      <w:r w:rsidR="00882DF1">
        <w:rPr>
          <w:rFonts w:ascii="Times New Roman" w:hAnsi="Times New Roman" w:cs="Times New Roman"/>
        </w:rPr>
        <w:t>have a</w:t>
      </w:r>
      <w:r w:rsidR="00501E93">
        <w:rPr>
          <w:rFonts w:ascii="Times New Roman" w:hAnsi="Times New Roman" w:cs="Times New Roman"/>
        </w:rPr>
        <w:t xml:space="preserve"> step of </w:t>
      </w:r>
      <w:r w:rsidR="00882DF1">
        <w:rPr>
          <w:rFonts w:ascii="Times New Roman" w:hAnsi="Times New Roman" w:cs="Times New Roman"/>
        </w:rPr>
        <w:t xml:space="preserve">pre-planned </w:t>
      </w:r>
      <w:r w:rsidR="00501E93">
        <w:rPr>
          <w:rFonts w:ascii="Times New Roman" w:hAnsi="Times New Roman" w:cs="Times New Roman"/>
        </w:rPr>
        <w:t xml:space="preserve">assessment, in the form of a </w:t>
      </w:r>
      <w:r w:rsidR="00882DF1">
        <w:rPr>
          <w:rFonts w:ascii="Times New Roman" w:hAnsi="Times New Roman" w:cs="Times New Roman"/>
        </w:rPr>
        <w:t>well-designed</w:t>
      </w:r>
      <w:r w:rsidR="00501E93">
        <w:rPr>
          <w:rFonts w:ascii="Times New Roman" w:hAnsi="Times New Roman" w:cs="Times New Roman"/>
        </w:rPr>
        <w:t xml:space="preserve"> prospective study</w:t>
      </w:r>
      <w:r w:rsidR="006A3107">
        <w:rPr>
          <w:rFonts w:ascii="Times New Roman" w:hAnsi="Times New Roman" w:cs="Times New Roman"/>
        </w:rPr>
        <w:t>,</w:t>
      </w:r>
      <w:r>
        <w:rPr>
          <w:rFonts w:ascii="Times New Roman" w:hAnsi="Times New Roman" w:cs="Times New Roman"/>
        </w:rPr>
        <w:t xml:space="preserve"> to </w:t>
      </w:r>
      <w:r w:rsidR="00946CBA">
        <w:rPr>
          <w:rFonts w:ascii="Times New Roman" w:hAnsi="Times New Roman" w:cs="Times New Roman"/>
        </w:rPr>
        <w:t>ensure</w:t>
      </w:r>
      <w:r w:rsidR="006A3107">
        <w:rPr>
          <w:rFonts w:ascii="Times New Roman" w:hAnsi="Times New Roman" w:cs="Times New Roman"/>
        </w:rPr>
        <w:t xml:space="preserve"> that they confer</w:t>
      </w:r>
      <w:r>
        <w:rPr>
          <w:rFonts w:ascii="Times New Roman" w:hAnsi="Times New Roman" w:cs="Times New Roman"/>
        </w:rPr>
        <w:t xml:space="preserve"> a</w:t>
      </w:r>
      <w:r w:rsidR="001C388C">
        <w:rPr>
          <w:rFonts w:ascii="Times New Roman" w:hAnsi="Times New Roman" w:cs="Times New Roman"/>
        </w:rPr>
        <w:t xml:space="preserve"> sustained</w:t>
      </w:r>
      <w:r>
        <w:rPr>
          <w:rFonts w:ascii="Times New Roman" w:hAnsi="Times New Roman" w:cs="Times New Roman"/>
        </w:rPr>
        <w:t xml:space="preserve"> rise in cancer diagnosis</w:t>
      </w:r>
      <w:r w:rsidR="00C61C45">
        <w:rPr>
          <w:rFonts w:ascii="Times New Roman" w:hAnsi="Times New Roman" w:cs="Times New Roman"/>
        </w:rPr>
        <w:t xml:space="preserve"> and public awareness</w:t>
      </w:r>
      <w:r w:rsidR="00A86D69">
        <w:rPr>
          <w:rFonts w:ascii="Times New Roman" w:hAnsi="Times New Roman" w:cs="Times New Roman"/>
        </w:rPr>
        <w:t>.</w:t>
      </w:r>
      <w:r w:rsidR="00501E93">
        <w:rPr>
          <w:rFonts w:ascii="Times New Roman" w:hAnsi="Times New Roman" w:cs="Times New Roman"/>
        </w:rPr>
        <w:t xml:space="preserve"> The information gleaned from this data collection exercise </w:t>
      </w:r>
      <w:r w:rsidR="00791341">
        <w:rPr>
          <w:rFonts w:ascii="Times New Roman" w:hAnsi="Times New Roman" w:cs="Times New Roman"/>
        </w:rPr>
        <w:t>can</w:t>
      </w:r>
      <w:r w:rsidR="00501E93">
        <w:rPr>
          <w:rFonts w:ascii="Times New Roman" w:hAnsi="Times New Roman" w:cs="Times New Roman"/>
        </w:rPr>
        <w:t xml:space="preserve"> then be published in the </w:t>
      </w:r>
      <w:r w:rsidR="00882DF1">
        <w:rPr>
          <w:rFonts w:ascii="Times New Roman" w:hAnsi="Times New Roman" w:cs="Times New Roman"/>
        </w:rPr>
        <w:t>peer-reviewed</w:t>
      </w:r>
      <w:r w:rsidR="00501E93">
        <w:rPr>
          <w:rFonts w:ascii="Times New Roman" w:hAnsi="Times New Roman" w:cs="Times New Roman"/>
        </w:rPr>
        <w:t xml:space="preserve"> literature </w:t>
      </w:r>
      <w:r w:rsidR="00791341">
        <w:rPr>
          <w:rFonts w:ascii="Times New Roman" w:hAnsi="Times New Roman" w:cs="Times New Roman"/>
        </w:rPr>
        <w:t>allowing</w:t>
      </w:r>
      <w:r w:rsidR="00882DF1">
        <w:rPr>
          <w:rFonts w:ascii="Times New Roman" w:hAnsi="Times New Roman" w:cs="Times New Roman"/>
        </w:rPr>
        <w:t xml:space="preserve"> the respective successes and failures of a given campaign to be learnt from by the wider public health community.</w:t>
      </w:r>
      <w:r w:rsidR="00A86D69">
        <w:rPr>
          <w:rFonts w:ascii="Times New Roman" w:hAnsi="Times New Roman" w:cs="Times New Roman"/>
        </w:rPr>
        <w:t xml:space="preserve"> In addition they </w:t>
      </w:r>
      <w:r w:rsidR="00530DCF">
        <w:rPr>
          <w:rFonts w:ascii="Times New Roman" w:hAnsi="Times New Roman" w:cs="Times New Roman"/>
        </w:rPr>
        <w:t xml:space="preserve">should </w:t>
      </w:r>
      <w:r w:rsidR="00A86D69">
        <w:rPr>
          <w:rFonts w:ascii="Times New Roman" w:hAnsi="Times New Roman" w:cs="Times New Roman"/>
        </w:rPr>
        <w:t>be preceded by the dissemination of information to primary</w:t>
      </w:r>
      <w:r w:rsidR="00AC57B7">
        <w:rPr>
          <w:rFonts w:ascii="Times New Roman" w:hAnsi="Times New Roman" w:cs="Times New Roman"/>
        </w:rPr>
        <w:t xml:space="preserve"> physicians</w:t>
      </w:r>
      <w:r w:rsidR="00A86D69">
        <w:rPr>
          <w:rFonts w:ascii="Times New Roman" w:hAnsi="Times New Roman" w:cs="Times New Roman"/>
        </w:rPr>
        <w:t xml:space="preserve"> and secondary care </w:t>
      </w:r>
      <w:r w:rsidR="00AC57B7">
        <w:rPr>
          <w:rFonts w:ascii="Times New Roman" w:hAnsi="Times New Roman" w:cs="Times New Roman"/>
        </w:rPr>
        <w:t>providers</w:t>
      </w:r>
      <w:r w:rsidR="00A86D69">
        <w:rPr>
          <w:rFonts w:ascii="Times New Roman" w:hAnsi="Times New Roman" w:cs="Times New Roman"/>
        </w:rPr>
        <w:t xml:space="preserve"> to educate them regarding the management of the pathology, and to allow </w:t>
      </w:r>
      <w:r w:rsidR="00AC57B7">
        <w:rPr>
          <w:rFonts w:ascii="Times New Roman" w:hAnsi="Times New Roman" w:cs="Times New Roman"/>
        </w:rPr>
        <w:t>appropriate</w:t>
      </w:r>
      <w:r w:rsidR="00A86D69">
        <w:rPr>
          <w:rFonts w:ascii="Times New Roman" w:hAnsi="Times New Roman" w:cs="Times New Roman"/>
        </w:rPr>
        <w:t xml:space="preserve"> preparation for the increased referral burden.</w:t>
      </w:r>
    </w:p>
    <w:p w14:paraId="7FABA250" w14:textId="77777777" w:rsidR="00946CBA" w:rsidRDefault="00946CBA" w:rsidP="00F52F10">
      <w:pPr>
        <w:spacing w:line="480" w:lineRule="auto"/>
        <w:jc w:val="both"/>
        <w:rPr>
          <w:rFonts w:ascii="Times New Roman" w:hAnsi="Times New Roman" w:cs="Times New Roman"/>
        </w:rPr>
      </w:pPr>
    </w:p>
    <w:p w14:paraId="60B178CB" w14:textId="776BCA1F" w:rsidR="0002299A" w:rsidRPr="00D353B6" w:rsidRDefault="0002299A" w:rsidP="005B6C1A">
      <w:pPr>
        <w:spacing w:line="480" w:lineRule="auto"/>
        <w:jc w:val="both"/>
        <w:rPr>
          <w:rFonts w:ascii="Times New Roman" w:hAnsi="Times New Roman" w:cs="Times New Roman"/>
          <w:b/>
        </w:rPr>
      </w:pPr>
      <w:r w:rsidRPr="00D353B6">
        <w:rPr>
          <w:rFonts w:ascii="Times New Roman" w:hAnsi="Times New Roman" w:cs="Times New Roman"/>
          <w:b/>
        </w:rPr>
        <w:t>References</w:t>
      </w:r>
    </w:p>
    <w:p w14:paraId="029EFB87" w14:textId="3F0C8D31" w:rsidR="0092544A" w:rsidRPr="0092544A" w:rsidRDefault="0002299A">
      <w:pPr>
        <w:pStyle w:val="NormalWeb"/>
        <w:ind w:left="640" w:hanging="640"/>
        <w:divId w:val="450436880"/>
        <w:rPr>
          <w:rFonts w:ascii="Times New Roman" w:hAnsi="Times New Roman"/>
          <w:noProof/>
          <w:sz w:val="24"/>
        </w:rPr>
      </w:pPr>
      <w:r w:rsidRPr="00D9449D">
        <w:rPr>
          <w:rFonts w:ascii="Times New Roman" w:hAnsi="Times New Roman"/>
          <w:sz w:val="24"/>
          <w:szCs w:val="24"/>
        </w:rPr>
        <w:fldChar w:fldCharType="begin" w:fldLock="1"/>
      </w:r>
      <w:r w:rsidRPr="00D9449D">
        <w:rPr>
          <w:rFonts w:ascii="Times New Roman" w:hAnsi="Times New Roman"/>
          <w:sz w:val="24"/>
          <w:szCs w:val="24"/>
        </w:rPr>
        <w:instrText xml:space="preserve">ADDIN Mendeley Bibliography CSL_BIBLIOGRAPHY </w:instrText>
      </w:r>
      <w:r w:rsidRPr="00D9449D">
        <w:rPr>
          <w:rFonts w:ascii="Times New Roman" w:hAnsi="Times New Roman"/>
          <w:sz w:val="24"/>
          <w:szCs w:val="24"/>
        </w:rPr>
        <w:fldChar w:fldCharType="separate"/>
      </w:r>
      <w:r w:rsidR="0092544A" w:rsidRPr="0092544A">
        <w:rPr>
          <w:rFonts w:ascii="Times New Roman" w:hAnsi="Times New Roman"/>
          <w:noProof/>
          <w:sz w:val="24"/>
        </w:rPr>
        <w:t xml:space="preserve">1 </w:t>
      </w:r>
      <w:r w:rsidR="0092544A" w:rsidRPr="0092544A">
        <w:rPr>
          <w:rFonts w:ascii="Times New Roman" w:hAnsi="Times New Roman"/>
          <w:noProof/>
          <w:sz w:val="24"/>
        </w:rPr>
        <w:tab/>
        <w:t xml:space="preserve">Marseille E, Jiwani A, Raut A, </w:t>
      </w:r>
      <w:r w:rsidR="0092544A" w:rsidRPr="0092544A">
        <w:rPr>
          <w:rFonts w:ascii="Times New Roman" w:hAnsi="Times New Roman"/>
          <w:i/>
          <w:iCs/>
          <w:noProof/>
          <w:sz w:val="24"/>
        </w:rPr>
        <w:t>et al.</w:t>
      </w:r>
      <w:r w:rsidR="0092544A" w:rsidRPr="0092544A">
        <w:rPr>
          <w:rFonts w:ascii="Times New Roman" w:hAnsi="Times New Roman"/>
          <w:noProof/>
          <w:sz w:val="24"/>
        </w:rPr>
        <w:t xml:space="preserve"> Scaling up integrated prevention campaigns for global health: costs and cost-effectiveness in 70 countries. </w:t>
      </w:r>
      <w:r w:rsidR="0092544A" w:rsidRPr="0092544A">
        <w:rPr>
          <w:rFonts w:ascii="Times New Roman" w:hAnsi="Times New Roman"/>
          <w:i/>
          <w:iCs/>
          <w:noProof/>
          <w:sz w:val="24"/>
        </w:rPr>
        <w:t>BMJ Open</w:t>
      </w:r>
      <w:r w:rsidR="0092544A" w:rsidRPr="0092544A">
        <w:rPr>
          <w:rFonts w:ascii="Times New Roman" w:hAnsi="Times New Roman"/>
          <w:noProof/>
          <w:sz w:val="24"/>
        </w:rPr>
        <w:t xml:space="preserve"> 2014;</w:t>
      </w:r>
      <w:r w:rsidR="0092544A" w:rsidRPr="0092544A">
        <w:rPr>
          <w:rFonts w:ascii="Times New Roman" w:hAnsi="Times New Roman"/>
          <w:b/>
          <w:bCs/>
          <w:noProof/>
          <w:sz w:val="24"/>
        </w:rPr>
        <w:t>4</w:t>
      </w:r>
      <w:r w:rsidR="0092544A" w:rsidRPr="0092544A">
        <w:rPr>
          <w:rFonts w:ascii="Times New Roman" w:hAnsi="Times New Roman"/>
          <w:noProof/>
          <w:sz w:val="24"/>
        </w:rPr>
        <w:t>:e003987. doi:10.1136/bmjopen-2013-003987</w:t>
      </w:r>
    </w:p>
    <w:p w14:paraId="28240B8A"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2 </w:t>
      </w:r>
      <w:r w:rsidRPr="0092544A">
        <w:rPr>
          <w:rFonts w:ascii="Times New Roman" w:hAnsi="Times New Roman"/>
          <w:noProof/>
          <w:sz w:val="24"/>
        </w:rPr>
        <w:tab/>
        <w:t xml:space="preserve">Wakefield M, Loken B, Hornik RC. Use of mass media campaigns to change health behaviour. </w:t>
      </w:r>
      <w:r w:rsidRPr="0092544A">
        <w:rPr>
          <w:rFonts w:ascii="Times New Roman" w:hAnsi="Times New Roman"/>
          <w:i/>
          <w:iCs/>
          <w:noProof/>
          <w:sz w:val="24"/>
        </w:rPr>
        <w:t>Lancet</w:t>
      </w:r>
      <w:r w:rsidRPr="0092544A">
        <w:rPr>
          <w:rFonts w:ascii="Times New Roman" w:hAnsi="Times New Roman"/>
          <w:noProof/>
          <w:sz w:val="24"/>
        </w:rPr>
        <w:t xml:space="preserve"> 2010;</w:t>
      </w:r>
      <w:r w:rsidRPr="0092544A">
        <w:rPr>
          <w:rFonts w:ascii="Times New Roman" w:hAnsi="Times New Roman"/>
          <w:b/>
          <w:bCs/>
          <w:noProof/>
          <w:sz w:val="24"/>
        </w:rPr>
        <w:t>376</w:t>
      </w:r>
      <w:r w:rsidRPr="0092544A">
        <w:rPr>
          <w:rFonts w:ascii="Times New Roman" w:hAnsi="Times New Roman"/>
          <w:noProof/>
          <w:sz w:val="24"/>
        </w:rPr>
        <w:t>:1261–71. doi:10.1016/S0140-6736(10)60809-4</w:t>
      </w:r>
    </w:p>
    <w:p w14:paraId="09DB6808"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3 </w:t>
      </w:r>
      <w:r w:rsidRPr="0092544A">
        <w:rPr>
          <w:rFonts w:ascii="Times New Roman" w:hAnsi="Times New Roman"/>
          <w:noProof/>
          <w:sz w:val="24"/>
        </w:rPr>
        <w:tab/>
        <w:t xml:space="preserve">Bethune R, Marshall MJ, Mitchell SJ, </w:t>
      </w:r>
      <w:r w:rsidRPr="0092544A">
        <w:rPr>
          <w:rFonts w:ascii="Times New Roman" w:hAnsi="Times New Roman"/>
          <w:i/>
          <w:iCs/>
          <w:noProof/>
          <w:sz w:val="24"/>
        </w:rPr>
        <w:t>et al.</w:t>
      </w:r>
      <w:r w:rsidRPr="0092544A">
        <w:rPr>
          <w:rFonts w:ascii="Times New Roman" w:hAnsi="Times New Roman"/>
          <w:noProof/>
          <w:sz w:val="24"/>
        </w:rPr>
        <w:t xml:space="preserve"> Did the “Be Clear on Bowel Cancer” public awareness campaign pilot result in a higher rate of cancer detection? </w:t>
      </w:r>
      <w:r w:rsidRPr="0092544A">
        <w:rPr>
          <w:rFonts w:ascii="Times New Roman" w:hAnsi="Times New Roman"/>
          <w:i/>
          <w:iCs/>
          <w:noProof/>
          <w:sz w:val="24"/>
        </w:rPr>
        <w:t>Postgrad Med J</w:t>
      </w:r>
      <w:r w:rsidRPr="0092544A">
        <w:rPr>
          <w:rFonts w:ascii="Times New Roman" w:hAnsi="Times New Roman"/>
          <w:noProof/>
          <w:sz w:val="24"/>
        </w:rPr>
        <w:t xml:space="preserve"> 2013;</w:t>
      </w:r>
      <w:r w:rsidRPr="0092544A">
        <w:rPr>
          <w:rFonts w:ascii="Times New Roman" w:hAnsi="Times New Roman"/>
          <w:b/>
          <w:bCs/>
          <w:noProof/>
          <w:sz w:val="24"/>
        </w:rPr>
        <w:t>89</w:t>
      </w:r>
      <w:r w:rsidRPr="0092544A">
        <w:rPr>
          <w:rFonts w:ascii="Times New Roman" w:hAnsi="Times New Roman"/>
          <w:noProof/>
          <w:sz w:val="24"/>
        </w:rPr>
        <w:t>:390–3. doi:10.1136/postgradmedj-2012-131014</w:t>
      </w:r>
    </w:p>
    <w:p w14:paraId="4132BC8B"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4 </w:t>
      </w:r>
      <w:r w:rsidRPr="0092544A">
        <w:rPr>
          <w:rFonts w:ascii="Times New Roman" w:hAnsi="Times New Roman"/>
          <w:noProof/>
          <w:sz w:val="24"/>
        </w:rPr>
        <w:tab/>
        <w:t xml:space="preserve">Peacock O, Clayton S, Atkinson F, </w:t>
      </w:r>
      <w:r w:rsidRPr="0092544A">
        <w:rPr>
          <w:rFonts w:ascii="Times New Roman" w:hAnsi="Times New Roman"/>
          <w:i/>
          <w:iCs/>
          <w:noProof/>
          <w:sz w:val="24"/>
        </w:rPr>
        <w:t>et al.</w:t>
      </w:r>
      <w:r w:rsidRPr="0092544A">
        <w:rPr>
          <w:rFonts w:ascii="Times New Roman" w:hAnsi="Times New Roman"/>
          <w:noProof/>
          <w:sz w:val="24"/>
        </w:rPr>
        <w:t xml:space="preserve"> “Be Clear on Cancer”: the impact of the UK National Bowel Cancer Awareness Campaign. </w:t>
      </w:r>
      <w:r w:rsidRPr="0092544A">
        <w:rPr>
          <w:rFonts w:ascii="Times New Roman" w:hAnsi="Times New Roman"/>
          <w:i/>
          <w:iCs/>
          <w:noProof/>
          <w:sz w:val="24"/>
        </w:rPr>
        <w:t>Colorectal Dis</w:t>
      </w:r>
      <w:r w:rsidRPr="0092544A">
        <w:rPr>
          <w:rFonts w:ascii="Times New Roman" w:hAnsi="Times New Roman"/>
          <w:noProof/>
          <w:sz w:val="24"/>
        </w:rPr>
        <w:t xml:space="preserve"> 2013;</w:t>
      </w:r>
      <w:r w:rsidRPr="0092544A">
        <w:rPr>
          <w:rFonts w:ascii="Times New Roman" w:hAnsi="Times New Roman"/>
          <w:b/>
          <w:bCs/>
          <w:noProof/>
          <w:sz w:val="24"/>
        </w:rPr>
        <w:t>15</w:t>
      </w:r>
      <w:r w:rsidRPr="0092544A">
        <w:rPr>
          <w:rFonts w:ascii="Times New Roman" w:hAnsi="Times New Roman"/>
          <w:noProof/>
          <w:sz w:val="24"/>
        </w:rPr>
        <w:t>:963–7. doi:10.1111/codi.12220</w:t>
      </w:r>
    </w:p>
    <w:p w14:paraId="5277FED4"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5 </w:t>
      </w:r>
      <w:r w:rsidRPr="0092544A">
        <w:rPr>
          <w:rFonts w:ascii="Times New Roman" w:hAnsi="Times New Roman"/>
          <w:noProof/>
          <w:sz w:val="24"/>
        </w:rPr>
        <w:tab/>
        <w:t xml:space="preserve">Edwards TJ, Dickinson AJ, Natale S, </w:t>
      </w:r>
      <w:r w:rsidRPr="0092544A">
        <w:rPr>
          <w:rFonts w:ascii="Times New Roman" w:hAnsi="Times New Roman"/>
          <w:i/>
          <w:iCs/>
          <w:noProof/>
          <w:sz w:val="24"/>
        </w:rPr>
        <w:t>et al.</w:t>
      </w:r>
      <w:r w:rsidRPr="0092544A">
        <w:rPr>
          <w:rFonts w:ascii="Times New Roman" w:hAnsi="Times New Roman"/>
          <w:noProof/>
          <w:sz w:val="24"/>
        </w:rPr>
        <w:t xml:space="preserve"> A prospective analysis of the diagnostic yield resulting from the attendance of 4020 patients at a protocol-driven haematuria clinic. </w:t>
      </w:r>
      <w:r w:rsidRPr="0092544A">
        <w:rPr>
          <w:rFonts w:ascii="Times New Roman" w:hAnsi="Times New Roman"/>
          <w:i/>
          <w:iCs/>
          <w:noProof/>
          <w:sz w:val="24"/>
        </w:rPr>
        <w:t>BJU Int</w:t>
      </w:r>
      <w:r w:rsidRPr="0092544A">
        <w:rPr>
          <w:rFonts w:ascii="Times New Roman" w:hAnsi="Times New Roman"/>
          <w:noProof/>
          <w:sz w:val="24"/>
        </w:rPr>
        <w:t xml:space="preserve"> 2006;</w:t>
      </w:r>
      <w:r w:rsidRPr="0092544A">
        <w:rPr>
          <w:rFonts w:ascii="Times New Roman" w:hAnsi="Times New Roman"/>
          <w:b/>
          <w:bCs/>
          <w:noProof/>
          <w:sz w:val="24"/>
        </w:rPr>
        <w:t>97</w:t>
      </w:r>
      <w:r w:rsidRPr="0092544A">
        <w:rPr>
          <w:rFonts w:ascii="Times New Roman" w:hAnsi="Times New Roman"/>
          <w:noProof/>
          <w:sz w:val="24"/>
        </w:rPr>
        <w:t>:301–5; discussion 305. doi:10.1111/j.1464-410X.2006.05976.x</w:t>
      </w:r>
    </w:p>
    <w:p w14:paraId="6077FF27"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6 </w:t>
      </w:r>
      <w:r w:rsidRPr="0092544A">
        <w:rPr>
          <w:rFonts w:ascii="Times New Roman" w:hAnsi="Times New Roman"/>
          <w:noProof/>
          <w:sz w:val="24"/>
        </w:rPr>
        <w:tab/>
        <w:t xml:space="preserve">Khadra MH, Pickard RS, Charlton M, </w:t>
      </w:r>
      <w:r w:rsidRPr="0092544A">
        <w:rPr>
          <w:rFonts w:ascii="Times New Roman" w:hAnsi="Times New Roman"/>
          <w:i/>
          <w:iCs/>
          <w:noProof/>
          <w:sz w:val="24"/>
        </w:rPr>
        <w:t>et al.</w:t>
      </w:r>
      <w:r w:rsidRPr="0092544A">
        <w:rPr>
          <w:rFonts w:ascii="Times New Roman" w:hAnsi="Times New Roman"/>
          <w:noProof/>
          <w:sz w:val="24"/>
        </w:rPr>
        <w:t xml:space="preserve"> A prospective analysis of 1,930 patients with hematuria to evaluate current diagnostic practice. </w:t>
      </w:r>
      <w:r w:rsidRPr="0092544A">
        <w:rPr>
          <w:rFonts w:ascii="Times New Roman" w:hAnsi="Times New Roman"/>
          <w:i/>
          <w:iCs/>
          <w:noProof/>
          <w:sz w:val="24"/>
        </w:rPr>
        <w:t>J Urol</w:t>
      </w:r>
      <w:r w:rsidRPr="0092544A">
        <w:rPr>
          <w:rFonts w:ascii="Times New Roman" w:hAnsi="Times New Roman"/>
          <w:noProof/>
          <w:sz w:val="24"/>
        </w:rPr>
        <w:t xml:space="preserve"> 2000;</w:t>
      </w:r>
      <w:r w:rsidRPr="0092544A">
        <w:rPr>
          <w:rFonts w:ascii="Times New Roman" w:hAnsi="Times New Roman"/>
          <w:b/>
          <w:bCs/>
          <w:noProof/>
          <w:sz w:val="24"/>
        </w:rPr>
        <w:t>163</w:t>
      </w:r>
      <w:r w:rsidRPr="0092544A">
        <w:rPr>
          <w:rFonts w:ascii="Times New Roman" w:hAnsi="Times New Roman"/>
          <w:noProof/>
          <w:sz w:val="24"/>
        </w:rPr>
        <w:t>:524–7.</w:t>
      </w:r>
    </w:p>
    <w:p w14:paraId="768469D6"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7 </w:t>
      </w:r>
      <w:r w:rsidRPr="0092544A">
        <w:rPr>
          <w:rFonts w:ascii="Times New Roman" w:hAnsi="Times New Roman"/>
          <w:noProof/>
          <w:sz w:val="24"/>
        </w:rPr>
        <w:tab/>
        <w:t xml:space="preserve">Rodgers M, Nixon J, Hempel S, </w:t>
      </w:r>
      <w:r w:rsidRPr="0092544A">
        <w:rPr>
          <w:rFonts w:ascii="Times New Roman" w:hAnsi="Times New Roman"/>
          <w:i/>
          <w:iCs/>
          <w:noProof/>
          <w:sz w:val="24"/>
        </w:rPr>
        <w:t>et al.</w:t>
      </w:r>
      <w:r w:rsidRPr="0092544A">
        <w:rPr>
          <w:rFonts w:ascii="Times New Roman" w:hAnsi="Times New Roman"/>
          <w:noProof/>
          <w:sz w:val="24"/>
        </w:rPr>
        <w:t xml:space="preserve"> Diagnostic tests and algorithms used in the investigation of haematuria. </w:t>
      </w:r>
      <w:r w:rsidRPr="0092544A">
        <w:rPr>
          <w:rFonts w:ascii="Times New Roman" w:hAnsi="Times New Roman"/>
          <w:i/>
          <w:iCs/>
          <w:noProof/>
          <w:sz w:val="24"/>
        </w:rPr>
        <w:t>Health Technol Assess (Rockv)</w:t>
      </w:r>
      <w:r w:rsidRPr="0092544A">
        <w:rPr>
          <w:rFonts w:ascii="Times New Roman" w:hAnsi="Times New Roman"/>
          <w:noProof/>
          <w:sz w:val="24"/>
        </w:rPr>
        <w:t xml:space="preserve"> 2006;</w:t>
      </w:r>
      <w:r w:rsidRPr="0092544A">
        <w:rPr>
          <w:rFonts w:ascii="Times New Roman" w:hAnsi="Times New Roman"/>
          <w:b/>
          <w:bCs/>
          <w:noProof/>
          <w:sz w:val="24"/>
        </w:rPr>
        <w:t>10</w:t>
      </w:r>
      <w:r w:rsidRPr="0092544A">
        <w:rPr>
          <w:rFonts w:ascii="Times New Roman" w:hAnsi="Times New Roman"/>
          <w:noProof/>
          <w:sz w:val="24"/>
        </w:rPr>
        <w:t>.</w:t>
      </w:r>
    </w:p>
    <w:p w14:paraId="50DD1B72"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8 </w:t>
      </w:r>
      <w:r w:rsidRPr="0092544A">
        <w:rPr>
          <w:rFonts w:ascii="Times New Roman" w:hAnsi="Times New Roman"/>
          <w:noProof/>
          <w:sz w:val="24"/>
        </w:rPr>
        <w:tab/>
        <w:t>Cancer Statistics. Cancer Res. UK. 2014.http://www.cancerresearchuk.org/cancer-info/cancerstats/ (accessed 27 Oct2014).</w:t>
      </w:r>
    </w:p>
    <w:p w14:paraId="4D72C30C"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9 </w:t>
      </w:r>
      <w:r w:rsidRPr="0092544A">
        <w:rPr>
          <w:rFonts w:ascii="Times New Roman" w:hAnsi="Times New Roman"/>
          <w:noProof/>
          <w:sz w:val="24"/>
        </w:rPr>
        <w:tab/>
        <w:t xml:space="preserve">Mullins R, Wakefield M, Broun K. Encouraging the right women to attend for cervical cancer screening: results from a targeted television campaign in Victoria, Australia. </w:t>
      </w:r>
      <w:r w:rsidRPr="0092544A">
        <w:rPr>
          <w:rFonts w:ascii="Times New Roman" w:hAnsi="Times New Roman"/>
          <w:i/>
          <w:iCs/>
          <w:noProof/>
          <w:sz w:val="24"/>
        </w:rPr>
        <w:t>Health Educ Res</w:t>
      </w:r>
      <w:r w:rsidRPr="0092544A">
        <w:rPr>
          <w:rFonts w:ascii="Times New Roman" w:hAnsi="Times New Roman"/>
          <w:noProof/>
          <w:sz w:val="24"/>
        </w:rPr>
        <w:t xml:space="preserve"> 2008;</w:t>
      </w:r>
      <w:r w:rsidRPr="0092544A">
        <w:rPr>
          <w:rFonts w:ascii="Times New Roman" w:hAnsi="Times New Roman"/>
          <w:b/>
          <w:bCs/>
          <w:noProof/>
          <w:sz w:val="24"/>
        </w:rPr>
        <w:t>23</w:t>
      </w:r>
      <w:r w:rsidRPr="0092544A">
        <w:rPr>
          <w:rFonts w:ascii="Times New Roman" w:hAnsi="Times New Roman"/>
          <w:noProof/>
          <w:sz w:val="24"/>
        </w:rPr>
        <w:t>:477–86. doi:10.1093/her/cym021</w:t>
      </w:r>
    </w:p>
    <w:p w14:paraId="46B18D02"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10 </w:t>
      </w:r>
      <w:r w:rsidRPr="0092544A">
        <w:rPr>
          <w:rFonts w:ascii="Times New Roman" w:hAnsi="Times New Roman"/>
          <w:noProof/>
          <w:sz w:val="24"/>
        </w:rPr>
        <w:tab/>
        <w:t xml:space="preserve">Anderson JO, Mullins RM, Siahpush M, </w:t>
      </w:r>
      <w:r w:rsidRPr="0092544A">
        <w:rPr>
          <w:rFonts w:ascii="Times New Roman" w:hAnsi="Times New Roman"/>
          <w:i/>
          <w:iCs/>
          <w:noProof/>
          <w:sz w:val="24"/>
        </w:rPr>
        <w:t>et al.</w:t>
      </w:r>
      <w:r w:rsidRPr="0092544A">
        <w:rPr>
          <w:rFonts w:ascii="Times New Roman" w:hAnsi="Times New Roman"/>
          <w:noProof/>
          <w:sz w:val="24"/>
        </w:rPr>
        <w:t xml:space="preserve"> Mass media campaign improves cervical screening across all socio-economic groups. </w:t>
      </w:r>
      <w:r w:rsidRPr="0092544A">
        <w:rPr>
          <w:rFonts w:ascii="Times New Roman" w:hAnsi="Times New Roman"/>
          <w:i/>
          <w:iCs/>
          <w:noProof/>
          <w:sz w:val="24"/>
        </w:rPr>
        <w:t>Health Educ Res</w:t>
      </w:r>
      <w:r w:rsidRPr="0092544A">
        <w:rPr>
          <w:rFonts w:ascii="Times New Roman" w:hAnsi="Times New Roman"/>
          <w:noProof/>
          <w:sz w:val="24"/>
        </w:rPr>
        <w:t xml:space="preserve"> 2009;</w:t>
      </w:r>
      <w:r w:rsidRPr="0092544A">
        <w:rPr>
          <w:rFonts w:ascii="Times New Roman" w:hAnsi="Times New Roman"/>
          <w:b/>
          <w:bCs/>
          <w:noProof/>
          <w:sz w:val="24"/>
        </w:rPr>
        <w:t>24</w:t>
      </w:r>
      <w:r w:rsidRPr="0092544A">
        <w:rPr>
          <w:rFonts w:ascii="Times New Roman" w:hAnsi="Times New Roman"/>
          <w:noProof/>
          <w:sz w:val="24"/>
        </w:rPr>
        <w:t>:867–75. doi:10.1093/her/cyp023</w:t>
      </w:r>
    </w:p>
    <w:p w14:paraId="247B63EA"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11 </w:t>
      </w:r>
      <w:r w:rsidRPr="0092544A">
        <w:rPr>
          <w:rFonts w:ascii="Times New Roman" w:hAnsi="Times New Roman"/>
          <w:noProof/>
          <w:sz w:val="24"/>
        </w:rPr>
        <w:tab/>
        <w:t xml:space="preserve">Duffy S. Be Clear on Cancer evaluation update. London: 2014. </w:t>
      </w:r>
    </w:p>
    <w:p w14:paraId="2CB4C7D9"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12 </w:t>
      </w:r>
      <w:r w:rsidRPr="0092544A">
        <w:rPr>
          <w:rFonts w:ascii="Times New Roman" w:hAnsi="Times New Roman"/>
          <w:noProof/>
          <w:sz w:val="24"/>
        </w:rPr>
        <w:tab/>
        <w:t xml:space="preserve">Danaei G, Hoorn S Vander, Lopez AD, </w:t>
      </w:r>
      <w:r w:rsidRPr="0092544A">
        <w:rPr>
          <w:rFonts w:ascii="Times New Roman" w:hAnsi="Times New Roman"/>
          <w:i/>
          <w:iCs/>
          <w:noProof/>
          <w:sz w:val="24"/>
        </w:rPr>
        <w:t>et al.</w:t>
      </w:r>
      <w:r w:rsidRPr="0092544A">
        <w:rPr>
          <w:rFonts w:ascii="Times New Roman" w:hAnsi="Times New Roman"/>
          <w:noProof/>
          <w:sz w:val="24"/>
        </w:rPr>
        <w:t xml:space="preserve"> Causes of cancer in the world : comparative risk assessment of nine behavioural and environmental risk factors. </w:t>
      </w:r>
      <w:r w:rsidRPr="0092544A">
        <w:rPr>
          <w:rFonts w:ascii="Times New Roman" w:hAnsi="Times New Roman"/>
          <w:i/>
          <w:iCs/>
          <w:noProof/>
          <w:sz w:val="24"/>
        </w:rPr>
        <w:t>Lancet</w:t>
      </w:r>
      <w:r w:rsidRPr="0092544A">
        <w:rPr>
          <w:rFonts w:ascii="Times New Roman" w:hAnsi="Times New Roman"/>
          <w:noProof/>
          <w:sz w:val="24"/>
        </w:rPr>
        <w:t xml:space="preserve"> 2005;</w:t>
      </w:r>
      <w:r w:rsidRPr="0092544A">
        <w:rPr>
          <w:rFonts w:ascii="Times New Roman" w:hAnsi="Times New Roman"/>
          <w:b/>
          <w:bCs/>
          <w:noProof/>
          <w:sz w:val="24"/>
        </w:rPr>
        <w:t>366</w:t>
      </w:r>
      <w:r w:rsidRPr="0092544A">
        <w:rPr>
          <w:rFonts w:ascii="Times New Roman" w:hAnsi="Times New Roman"/>
          <w:noProof/>
          <w:sz w:val="24"/>
        </w:rPr>
        <w:t>:1784–93.</w:t>
      </w:r>
    </w:p>
    <w:p w14:paraId="2E63A062" w14:textId="77777777" w:rsidR="0092544A" w:rsidRPr="0092544A" w:rsidRDefault="0092544A">
      <w:pPr>
        <w:pStyle w:val="NormalWeb"/>
        <w:ind w:left="640" w:hanging="640"/>
        <w:divId w:val="450436880"/>
        <w:rPr>
          <w:rFonts w:ascii="Times New Roman" w:hAnsi="Times New Roman"/>
          <w:noProof/>
          <w:sz w:val="24"/>
        </w:rPr>
      </w:pPr>
      <w:r w:rsidRPr="0092544A">
        <w:rPr>
          <w:rFonts w:ascii="Times New Roman" w:hAnsi="Times New Roman"/>
          <w:noProof/>
          <w:sz w:val="24"/>
        </w:rPr>
        <w:t xml:space="preserve">13 </w:t>
      </w:r>
      <w:r w:rsidRPr="0092544A">
        <w:rPr>
          <w:rFonts w:ascii="Times New Roman" w:hAnsi="Times New Roman"/>
          <w:noProof/>
          <w:sz w:val="24"/>
        </w:rPr>
        <w:tab/>
        <w:t xml:space="preserve">Wilson JM, Jungner YG. Principles and practice of mass screening for disease. </w:t>
      </w:r>
      <w:r w:rsidRPr="0092544A">
        <w:rPr>
          <w:rFonts w:ascii="Times New Roman" w:hAnsi="Times New Roman"/>
          <w:i/>
          <w:iCs/>
          <w:noProof/>
          <w:sz w:val="24"/>
        </w:rPr>
        <w:t>WHO Chron World Heal Organ</w:t>
      </w:r>
      <w:r w:rsidRPr="0092544A">
        <w:rPr>
          <w:rFonts w:ascii="Times New Roman" w:hAnsi="Times New Roman"/>
          <w:noProof/>
          <w:sz w:val="24"/>
        </w:rPr>
        <w:t xml:space="preserve"> 1968;</w:t>
      </w:r>
      <w:r w:rsidRPr="0092544A">
        <w:rPr>
          <w:rFonts w:ascii="Times New Roman" w:hAnsi="Times New Roman"/>
          <w:b/>
          <w:bCs/>
          <w:noProof/>
          <w:sz w:val="24"/>
        </w:rPr>
        <w:t>22</w:t>
      </w:r>
      <w:r w:rsidRPr="0092544A">
        <w:rPr>
          <w:rFonts w:ascii="Times New Roman" w:hAnsi="Times New Roman"/>
          <w:noProof/>
          <w:sz w:val="24"/>
        </w:rPr>
        <w:t xml:space="preserve">:473. </w:t>
      </w:r>
    </w:p>
    <w:p w14:paraId="26A76974" w14:textId="3F6D82EC" w:rsidR="007A4F9C" w:rsidRPr="00D9449D" w:rsidRDefault="0002299A" w:rsidP="0092544A">
      <w:pPr>
        <w:pStyle w:val="NormalWeb"/>
        <w:spacing w:line="480" w:lineRule="auto"/>
        <w:ind w:left="640" w:hanging="640"/>
        <w:divId w:val="541744405"/>
        <w:rPr>
          <w:rFonts w:ascii="Times New Roman" w:hAnsi="Times New Roman"/>
          <w:b/>
          <w:sz w:val="24"/>
          <w:szCs w:val="24"/>
        </w:rPr>
      </w:pPr>
      <w:r w:rsidRPr="00D9449D">
        <w:rPr>
          <w:rFonts w:ascii="Times New Roman" w:hAnsi="Times New Roman"/>
          <w:sz w:val="24"/>
          <w:szCs w:val="24"/>
        </w:rPr>
        <w:fldChar w:fldCharType="end"/>
      </w:r>
      <w:r w:rsidR="00D9449D" w:rsidRPr="00D9449D">
        <w:rPr>
          <w:rFonts w:ascii="Times New Roman" w:hAnsi="Times New Roman"/>
          <w:b/>
          <w:sz w:val="24"/>
          <w:szCs w:val="24"/>
        </w:rPr>
        <w:t>Conflicts of Interest</w:t>
      </w:r>
    </w:p>
    <w:p w14:paraId="0F6EFE07" w14:textId="78B75104" w:rsidR="00D9449D" w:rsidRDefault="00D9449D" w:rsidP="00D9449D">
      <w:pPr>
        <w:pStyle w:val="NormalWeb"/>
        <w:ind w:left="640" w:hanging="640"/>
        <w:divId w:val="1370451062"/>
        <w:rPr>
          <w:rFonts w:ascii="Times New Roman" w:hAnsi="Times New Roman"/>
          <w:sz w:val="24"/>
          <w:szCs w:val="24"/>
        </w:rPr>
      </w:pPr>
      <w:r w:rsidRPr="00D9449D">
        <w:rPr>
          <w:rFonts w:ascii="Times New Roman" w:hAnsi="Times New Roman"/>
          <w:sz w:val="24"/>
          <w:szCs w:val="24"/>
        </w:rPr>
        <w:t>Archie Hughes-Hallett</w:t>
      </w:r>
      <w:r>
        <w:rPr>
          <w:rFonts w:ascii="Times New Roman" w:hAnsi="Times New Roman"/>
          <w:sz w:val="24"/>
          <w:szCs w:val="24"/>
        </w:rPr>
        <w:t>: No conflicts of interest to declare</w:t>
      </w:r>
    </w:p>
    <w:p w14:paraId="0A26ABC7" w14:textId="719D3A6A" w:rsidR="00D9449D" w:rsidRDefault="00D9449D" w:rsidP="00D9449D">
      <w:pPr>
        <w:pStyle w:val="NormalWeb"/>
        <w:ind w:left="640" w:hanging="640"/>
        <w:divId w:val="1370451062"/>
        <w:rPr>
          <w:rFonts w:ascii="Times New Roman" w:hAnsi="Times New Roman"/>
          <w:sz w:val="24"/>
          <w:szCs w:val="24"/>
        </w:rPr>
      </w:pPr>
      <w:r w:rsidRPr="00D9449D">
        <w:rPr>
          <w:rFonts w:ascii="Times New Roman" w:hAnsi="Times New Roman"/>
          <w:sz w:val="24"/>
          <w:szCs w:val="24"/>
        </w:rPr>
        <w:t>Daisy Browne</w:t>
      </w:r>
      <w:r>
        <w:rPr>
          <w:rFonts w:ascii="Times New Roman" w:hAnsi="Times New Roman"/>
          <w:sz w:val="24"/>
          <w:szCs w:val="24"/>
        </w:rPr>
        <w:t>: No conflicts of interest to declare</w:t>
      </w:r>
    </w:p>
    <w:p w14:paraId="64127E6F" w14:textId="4A20D6C3" w:rsidR="00D9449D" w:rsidRDefault="00D9449D" w:rsidP="00D9449D">
      <w:pPr>
        <w:pStyle w:val="NormalWeb"/>
        <w:ind w:left="640" w:hanging="640"/>
        <w:divId w:val="1370451062"/>
        <w:rPr>
          <w:rFonts w:ascii="Times New Roman" w:hAnsi="Times New Roman"/>
          <w:sz w:val="24"/>
          <w:szCs w:val="24"/>
        </w:rPr>
      </w:pPr>
      <w:r w:rsidRPr="00D9449D">
        <w:rPr>
          <w:rFonts w:ascii="Times New Roman" w:hAnsi="Times New Roman"/>
          <w:sz w:val="24"/>
          <w:szCs w:val="24"/>
        </w:rPr>
        <w:t>Elsie Mensah</w:t>
      </w:r>
      <w:r>
        <w:rPr>
          <w:rFonts w:ascii="Times New Roman" w:hAnsi="Times New Roman"/>
          <w:sz w:val="24"/>
          <w:szCs w:val="24"/>
        </w:rPr>
        <w:t>: No conflicts of interest to declare</w:t>
      </w:r>
    </w:p>
    <w:p w14:paraId="12C45F86" w14:textId="56D572DE" w:rsidR="00D9449D" w:rsidRDefault="00D9449D" w:rsidP="00D9449D">
      <w:pPr>
        <w:pStyle w:val="NormalWeb"/>
        <w:ind w:left="640" w:hanging="640"/>
        <w:divId w:val="1370451062"/>
        <w:rPr>
          <w:rFonts w:ascii="Times New Roman" w:hAnsi="Times New Roman"/>
          <w:sz w:val="24"/>
          <w:szCs w:val="24"/>
        </w:rPr>
      </w:pPr>
      <w:r w:rsidRPr="00D9449D">
        <w:rPr>
          <w:rFonts w:ascii="Times New Roman" w:hAnsi="Times New Roman"/>
          <w:sz w:val="24"/>
          <w:szCs w:val="24"/>
        </w:rPr>
        <w:t>Justin Vale</w:t>
      </w:r>
      <w:r>
        <w:rPr>
          <w:rFonts w:ascii="Times New Roman" w:hAnsi="Times New Roman"/>
          <w:sz w:val="24"/>
          <w:szCs w:val="24"/>
        </w:rPr>
        <w:t>: No conflicts of interest to declare</w:t>
      </w:r>
    </w:p>
    <w:p w14:paraId="3CCF10F4" w14:textId="436EAA7C" w:rsidR="00D9449D" w:rsidRPr="00D9449D" w:rsidRDefault="00D9449D" w:rsidP="00D9449D">
      <w:pPr>
        <w:pStyle w:val="NormalWeb"/>
        <w:ind w:left="640" w:hanging="640"/>
        <w:divId w:val="1370451062"/>
        <w:rPr>
          <w:rFonts w:ascii="Times New Roman" w:hAnsi="Times New Roman"/>
          <w:sz w:val="24"/>
          <w:szCs w:val="24"/>
        </w:rPr>
      </w:pPr>
      <w:r w:rsidRPr="00D9449D">
        <w:rPr>
          <w:rFonts w:ascii="Times New Roman" w:hAnsi="Times New Roman"/>
          <w:sz w:val="24"/>
          <w:szCs w:val="24"/>
        </w:rPr>
        <w:t>Erik Mayer</w:t>
      </w:r>
      <w:r>
        <w:rPr>
          <w:rFonts w:ascii="Times New Roman" w:hAnsi="Times New Roman"/>
          <w:sz w:val="24"/>
          <w:szCs w:val="24"/>
        </w:rPr>
        <w:t>: No conflicts of interest to declare</w:t>
      </w:r>
    </w:p>
    <w:p w14:paraId="5828FA50" w14:textId="77777777" w:rsidR="00603BB7" w:rsidRDefault="00603BB7" w:rsidP="005B6C1A">
      <w:pPr>
        <w:pStyle w:val="NormalWeb"/>
        <w:spacing w:line="480" w:lineRule="auto"/>
        <w:ind w:left="640" w:hanging="640"/>
        <w:divId w:val="1370451062"/>
        <w:rPr>
          <w:rFonts w:ascii="Times New Roman" w:hAnsi="Times New Roman"/>
        </w:rPr>
      </w:pPr>
    </w:p>
    <w:p w14:paraId="14EA4A31" w14:textId="77777777" w:rsidR="00603BB7" w:rsidRDefault="00603BB7" w:rsidP="005B6C1A">
      <w:pPr>
        <w:pStyle w:val="NormalWeb"/>
        <w:spacing w:line="480" w:lineRule="auto"/>
        <w:ind w:left="640" w:hanging="640"/>
        <w:divId w:val="1370451062"/>
        <w:rPr>
          <w:rFonts w:ascii="Times New Roman" w:hAnsi="Times New Roman"/>
        </w:rPr>
      </w:pPr>
    </w:p>
    <w:p w14:paraId="4E919F9E" w14:textId="77777777" w:rsidR="00603BB7" w:rsidRDefault="00603BB7" w:rsidP="005B6C1A">
      <w:pPr>
        <w:pStyle w:val="NormalWeb"/>
        <w:spacing w:line="480" w:lineRule="auto"/>
        <w:ind w:left="640" w:hanging="640"/>
        <w:divId w:val="1370451062"/>
        <w:rPr>
          <w:rFonts w:ascii="Times New Roman" w:hAnsi="Times New Roman"/>
        </w:rPr>
      </w:pPr>
    </w:p>
    <w:p w14:paraId="68E5639A" w14:textId="77777777" w:rsidR="00603BB7" w:rsidRDefault="00603BB7" w:rsidP="005B6C1A">
      <w:pPr>
        <w:pStyle w:val="NormalWeb"/>
        <w:spacing w:line="480" w:lineRule="auto"/>
        <w:ind w:left="640" w:hanging="640"/>
        <w:divId w:val="1370451062"/>
        <w:rPr>
          <w:rFonts w:ascii="Times New Roman" w:hAnsi="Times New Roman"/>
        </w:rPr>
      </w:pPr>
    </w:p>
    <w:p w14:paraId="641CBDD3" w14:textId="77777777" w:rsidR="00603BB7" w:rsidRDefault="00603BB7" w:rsidP="005B6C1A">
      <w:pPr>
        <w:pStyle w:val="NormalWeb"/>
        <w:spacing w:line="480" w:lineRule="auto"/>
        <w:ind w:left="640" w:hanging="640"/>
        <w:divId w:val="1370451062"/>
        <w:rPr>
          <w:rFonts w:ascii="Times New Roman" w:hAnsi="Times New Roman"/>
        </w:rPr>
      </w:pPr>
    </w:p>
    <w:p w14:paraId="5E802B79" w14:textId="77777777" w:rsidR="00603BB7" w:rsidRDefault="00603BB7" w:rsidP="005B6C1A">
      <w:pPr>
        <w:pStyle w:val="NormalWeb"/>
        <w:spacing w:line="480" w:lineRule="auto"/>
        <w:ind w:left="640" w:hanging="640"/>
        <w:divId w:val="1370451062"/>
        <w:rPr>
          <w:rFonts w:ascii="Times New Roman" w:hAnsi="Times New Roman"/>
        </w:rPr>
      </w:pPr>
    </w:p>
    <w:p w14:paraId="4AFA57EE" w14:textId="77777777" w:rsidR="00603BB7" w:rsidRDefault="00603BB7" w:rsidP="005B6C1A">
      <w:pPr>
        <w:pStyle w:val="NormalWeb"/>
        <w:spacing w:line="480" w:lineRule="auto"/>
        <w:ind w:left="640" w:hanging="640"/>
        <w:divId w:val="1370451062"/>
        <w:rPr>
          <w:rFonts w:ascii="Times New Roman" w:hAnsi="Times New Roman"/>
        </w:rPr>
      </w:pPr>
    </w:p>
    <w:p w14:paraId="3D913A99" w14:textId="77777777" w:rsidR="006C0666" w:rsidRDefault="006C0666" w:rsidP="005B6C1A">
      <w:pPr>
        <w:pStyle w:val="NormalWeb"/>
        <w:spacing w:line="480" w:lineRule="auto"/>
        <w:ind w:left="640" w:hanging="640"/>
        <w:divId w:val="1370451062"/>
        <w:rPr>
          <w:rFonts w:ascii="Times New Roman" w:hAnsi="Times New Roman"/>
        </w:rPr>
      </w:pPr>
    </w:p>
    <w:tbl>
      <w:tblPr>
        <w:tblStyle w:val="TableGrid"/>
        <w:tblW w:w="0" w:type="auto"/>
        <w:tblBorders>
          <w:insideH w:val="none" w:sz="0" w:space="0" w:color="auto"/>
        </w:tblBorders>
        <w:tblLayout w:type="fixed"/>
        <w:tblLook w:val="04A0" w:firstRow="1" w:lastRow="0" w:firstColumn="1" w:lastColumn="0" w:noHBand="0" w:noVBand="1"/>
      </w:tblPr>
      <w:tblGrid>
        <w:gridCol w:w="1526"/>
        <w:gridCol w:w="2268"/>
        <w:gridCol w:w="2268"/>
        <w:gridCol w:w="1417"/>
        <w:gridCol w:w="1036"/>
      </w:tblGrid>
      <w:tr w:rsidR="00B64EF4" w:rsidRPr="00AC57B7" w14:paraId="4F36ED38" w14:textId="77777777" w:rsidTr="00AC57B7">
        <w:trPr>
          <w:divId w:val="1171680201"/>
        </w:trPr>
        <w:tc>
          <w:tcPr>
            <w:tcW w:w="1526" w:type="dxa"/>
            <w:tcBorders>
              <w:top w:val="nil"/>
              <w:bottom w:val="nil"/>
            </w:tcBorders>
            <w:shd w:val="clear" w:color="auto" w:fill="4F81BD" w:themeFill="accent1"/>
            <w:vAlign w:val="center"/>
          </w:tcPr>
          <w:p w14:paraId="7411CB5F" w14:textId="77777777" w:rsidR="00B64EF4" w:rsidRPr="00AC57B7" w:rsidRDefault="00B64EF4" w:rsidP="00B64EF4">
            <w:pPr>
              <w:jc w:val="center"/>
              <w:rPr>
                <w:rFonts w:ascii="Times New Roman" w:hAnsi="Times New Roman" w:cs="Times New Roman"/>
                <w:b/>
                <w:color w:val="FFFFFF" w:themeColor="background1"/>
              </w:rPr>
            </w:pPr>
          </w:p>
        </w:tc>
        <w:tc>
          <w:tcPr>
            <w:tcW w:w="2268" w:type="dxa"/>
            <w:tcBorders>
              <w:top w:val="nil"/>
              <w:bottom w:val="nil"/>
            </w:tcBorders>
            <w:shd w:val="clear" w:color="auto" w:fill="4F81BD" w:themeFill="accent1"/>
            <w:vAlign w:val="center"/>
          </w:tcPr>
          <w:p w14:paraId="367967EC" w14:textId="1476E400" w:rsidR="00B64EF4" w:rsidRPr="00AC57B7" w:rsidRDefault="00B64EF4" w:rsidP="00B64EF4">
            <w:pPr>
              <w:jc w:val="center"/>
              <w:rPr>
                <w:rFonts w:ascii="Times New Roman" w:hAnsi="Times New Roman" w:cs="Times New Roman"/>
                <w:b/>
                <w:color w:val="FFFFFF" w:themeColor="background1"/>
              </w:rPr>
            </w:pPr>
            <w:r w:rsidRPr="00AC57B7">
              <w:rPr>
                <w:rFonts w:ascii="Times New Roman" w:hAnsi="Times New Roman" w:cs="Times New Roman"/>
                <w:b/>
                <w:color w:val="FFFFFF" w:themeColor="background1"/>
              </w:rPr>
              <w:t>Oct ’12 – Feb ‘13</w:t>
            </w:r>
          </w:p>
        </w:tc>
        <w:tc>
          <w:tcPr>
            <w:tcW w:w="2268" w:type="dxa"/>
            <w:tcBorders>
              <w:top w:val="nil"/>
              <w:bottom w:val="nil"/>
            </w:tcBorders>
            <w:shd w:val="clear" w:color="auto" w:fill="4F81BD" w:themeFill="accent1"/>
            <w:vAlign w:val="center"/>
          </w:tcPr>
          <w:p w14:paraId="64784433" w14:textId="3015968A" w:rsidR="00B64EF4" w:rsidRPr="00AC57B7" w:rsidRDefault="00B64EF4" w:rsidP="00B64EF4">
            <w:pPr>
              <w:jc w:val="center"/>
              <w:rPr>
                <w:rFonts w:ascii="Times New Roman" w:hAnsi="Times New Roman" w:cs="Times New Roman"/>
                <w:b/>
                <w:color w:val="FFFFFF" w:themeColor="background1"/>
              </w:rPr>
            </w:pPr>
            <w:r w:rsidRPr="00AC57B7">
              <w:rPr>
                <w:rFonts w:ascii="Times New Roman" w:hAnsi="Times New Roman" w:cs="Times New Roman"/>
                <w:b/>
                <w:color w:val="FFFFFF" w:themeColor="background1"/>
              </w:rPr>
              <w:t>Oct ’13 – Feb ‘14</w:t>
            </w:r>
          </w:p>
        </w:tc>
        <w:tc>
          <w:tcPr>
            <w:tcW w:w="1417" w:type="dxa"/>
            <w:tcBorders>
              <w:top w:val="nil"/>
              <w:bottom w:val="nil"/>
            </w:tcBorders>
            <w:shd w:val="clear" w:color="auto" w:fill="4F81BD" w:themeFill="accent1"/>
            <w:vAlign w:val="center"/>
          </w:tcPr>
          <w:p w14:paraId="74DD4AB7" w14:textId="77777777" w:rsidR="00B64EF4" w:rsidRPr="00AC57B7" w:rsidRDefault="00B64EF4" w:rsidP="00B64EF4">
            <w:pPr>
              <w:jc w:val="center"/>
              <w:rPr>
                <w:rFonts w:ascii="Times New Roman" w:hAnsi="Times New Roman" w:cs="Times New Roman"/>
                <w:b/>
                <w:color w:val="FFFFFF" w:themeColor="background1"/>
              </w:rPr>
            </w:pPr>
            <w:r w:rsidRPr="00AC57B7">
              <w:rPr>
                <w:rFonts w:ascii="Times New Roman" w:hAnsi="Times New Roman" w:cs="Times New Roman"/>
                <w:b/>
                <w:color w:val="FFFFFF" w:themeColor="background1"/>
              </w:rPr>
              <w:t>% Increase</w:t>
            </w:r>
          </w:p>
        </w:tc>
        <w:tc>
          <w:tcPr>
            <w:tcW w:w="1036" w:type="dxa"/>
            <w:tcBorders>
              <w:top w:val="nil"/>
              <w:bottom w:val="nil"/>
            </w:tcBorders>
            <w:shd w:val="clear" w:color="auto" w:fill="4F81BD" w:themeFill="accent1"/>
            <w:vAlign w:val="center"/>
          </w:tcPr>
          <w:p w14:paraId="688847CA" w14:textId="77777777" w:rsidR="00B64EF4" w:rsidRPr="00AC57B7" w:rsidRDefault="00B64EF4" w:rsidP="00B64EF4">
            <w:pPr>
              <w:jc w:val="center"/>
              <w:rPr>
                <w:rFonts w:ascii="Times New Roman" w:hAnsi="Times New Roman" w:cs="Times New Roman"/>
                <w:b/>
                <w:color w:val="FFFFFF" w:themeColor="background1"/>
              </w:rPr>
            </w:pPr>
            <w:proofErr w:type="gramStart"/>
            <w:r w:rsidRPr="00AC57B7">
              <w:rPr>
                <w:rFonts w:ascii="Times New Roman" w:hAnsi="Times New Roman" w:cs="Times New Roman"/>
                <w:b/>
                <w:color w:val="FFFFFF" w:themeColor="background1"/>
              </w:rPr>
              <w:t>p</w:t>
            </w:r>
            <w:proofErr w:type="gramEnd"/>
            <w:r w:rsidRPr="00AC57B7">
              <w:rPr>
                <w:rFonts w:ascii="Times New Roman" w:hAnsi="Times New Roman" w:cs="Times New Roman"/>
                <w:b/>
                <w:color w:val="FFFFFF" w:themeColor="background1"/>
              </w:rPr>
              <w:t>-value</w:t>
            </w:r>
          </w:p>
        </w:tc>
      </w:tr>
      <w:tr w:rsidR="00B64EF4" w14:paraId="5D593DFD" w14:textId="77777777" w:rsidTr="00AC57B7">
        <w:trPr>
          <w:divId w:val="1171680201"/>
        </w:trPr>
        <w:tc>
          <w:tcPr>
            <w:tcW w:w="1526" w:type="dxa"/>
            <w:tcBorders>
              <w:top w:val="nil"/>
            </w:tcBorders>
            <w:vAlign w:val="center"/>
          </w:tcPr>
          <w:p w14:paraId="09375936" w14:textId="77777777" w:rsidR="00B64EF4" w:rsidRPr="00E65618" w:rsidRDefault="00B64EF4" w:rsidP="00B64EF4">
            <w:pPr>
              <w:jc w:val="center"/>
              <w:rPr>
                <w:rFonts w:ascii="Times New Roman" w:hAnsi="Times New Roman" w:cs="Times New Roman"/>
                <w:b/>
              </w:rPr>
            </w:pPr>
            <w:r w:rsidRPr="00E65618">
              <w:rPr>
                <w:rFonts w:ascii="Times New Roman" w:hAnsi="Times New Roman" w:cs="Times New Roman"/>
                <w:b/>
              </w:rPr>
              <w:t>Haematuria</w:t>
            </w:r>
          </w:p>
        </w:tc>
        <w:tc>
          <w:tcPr>
            <w:tcW w:w="2268" w:type="dxa"/>
            <w:tcBorders>
              <w:top w:val="nil"/>
            </w:tcBorders>
            <w:vAlign w:val="center"/>
          </w:tcPr>
          <w:p w14:paraId="2B661441" w14:textId="0897DB26" w:rsidR="00B64EF4" w:rsidRDefault="00B64EF4" w:rsidP="00B64EF4">
            <w:pPr>
              <w:jc w:val="center"/>
              <w:rPr>
                <w:rFonts w:ascii="Times New Roman" w:hAnsi="Times New Roman" w:cs="Times New Roman"/>
              </w:rPr>
            </w:pPr>
            <w:r>
              <w:rPr>
                <w:rFonts w:ascii="Times New Roman" w:hAnsi="Times New Roman" w:cs="Times New Roman"/>
              </w:rPr>
              <w:t>181</w:t>
            </w:r>
          </w:p>
        </w:tc>
        <w:tc>
          <w:tcPr>
            <w:tcW w:w="2268" w:type="dxa"/>
            <w:tcBorders>
              <w:top w:val="nil"/>
            </w:tcBorders>
            <w:vAlign w:val="center"/>
          </w:tcPr>
          <w:p w14:paraId="0623DED4" w14:textId="7D669959" w:rsidR="00B64EF4" w:rsidRDefault="00B64EF4" w:rsidP="00B64EF4">
            <w:pPr>
              <w:jc w:val="center"/>
              <w:rPr>
                <w:rFonts w:ascii="Times New Roman" w:hAnsi="Times New Roman" w:cs="Times New Roman"/>
              </w:rPr>
            </w:pPr>
            <w:r>
              <w:rPr>
                <w:rFonts w:ascii="Times New Roman" w:hAnsi="Times New Roman" w:cs="Times New Roman"/>
              </w:rPr>
              <w:t xml:space="preserve">349 </w:t>
            </w:r>
          </w:p>
        </w:tc>
        <w:tc>
          <w:tcPr>
            <w:tcW w:w="1417" w:type="dxa"/>
            <w:tcBorders>
              <w:top w:val="nil"/>
            </w:tcBorders>
            <w:vAlign w:val="center"/>
          </w:tcPr>
          <w:p w14:paraId="29281CFF" w14:textId="77777777" w:rsidR="00B64EF4" w:rsidRDefault="00B64EF4" w:rsidP="00B64EF4">
            <w:pPr>
              <w:jc w:val="center"/>
              <w:rPr>
                <w:rFonts w:ascii="Times New Roman" w:hAnsi="Times New Roman" w:cs="Times New Roman"/>
              </w:rPr>
            </w:pPr>
            <w:r>
              <w:rPr>
                <w:rFonts w:ascii="Times New Roman" w:hAnsi="Times New Roman" w:cs="Times New Roman"/>
              </w:rPr>
              <w:t>92</w:t>
            </w:r>
          </w:p>
        </w:tc>
        <w:tc>
          <w:tcPr>
            <w:tcW w:w="1036" w:type="dxa"/>
            <w:tcBorders>
              <w:top w:val="nil"/>
            </w:tcBorders>
            <w:vAlign w:val="center"/>
          </w:tcPr>
          <w:p w14:paraId="02ED1C09" w14:textId="77777777" w:rsidR="00B64EF4" w:rsidRDefault="00B64EF4" w:rsidP="00B64EF4">
            <w:pPr>
              <w:jc w:val="center"/>
              <w:rPr>
                <w:rFonts w:ascii="Times New Roman" w:hAnsi="Times New Roman" w:cs="Times New Roman"/>
              </w:rPr>
            </w:pPr>
            <w:r>
              <w:rPr>
                <w:rFonts w:ascii="Times New Roman" w:hAnsi="Times New Roman" w:cs="Times New Roman"/>
              </w:rPr>
              <w:t>0.013</w:t>
            </w:r>
          </w:p>
        </w:tc>
      </w:tr>
      <w:tr w:rsidR="00B64EF4" w14:paraId="116E9F7F" w14:textId="77777777" w:rsidTr="00B64EF4">
        <w:trPr>
          <w:divId w:val="1171680201"/>
        </w:trPr>
        <w:tc>
          <w:tcPr>
            <w:tcW w:w="1526" w:type="dxa"/>
            <w:vAlign w:val="center"/>
          </w:tcPr>
          <w:p w14:paraId="43AC0002" w14:textId="77777777" w:rsidR="00B64EF4" w:rsidRPr="00E65618" w:rsidRDefault="00B64EF4" w:rsidP="00B64EF4">
            <w:pPr>
              <w:jc w:val="center"/>
              <w:rPr>
                <w:rFonts w:ascii="Times New Roman" w:hAnsi="Times New Roman" w:cs="Times New Roman"/>
                <w:b/>
              </w:rPr>
            </w:pPr>
            <w:r w:rsidRPr="00E65618">
              <w:rPr>
                <w:rFonts w:ascii="Times New Roman" w:hAnsi="Times New Roman" w:cs="Times New Roman"/>
                <w:b/>
              </w:rPr>
              <w:t>VH</w:t>
            </w:r>
          </w:p>
        </w:tc>
        <w:tc>
          <w:tcPr>
            <w:tcW w:w="2268" w:type="dxa"/>
            <w:vAlign w:val="center"/>
          </w:tcPr>
          <w:p w14:paraId="38892930" w14:textId="44B8C297" w:rsidR="00B64EF4" w:rsidRDefault="00B64EF4" w:rsidP="00B64EF4">
            <w:pPr>
              <w:jc w:val="center"/>
              <w:rPr>
                <w:rFonts w:ascii="Times New Roman" w:hAnsi="Times New Roman" w:cs="Times New Roman"/>
              </w:rPr>
            </w:pPr>
            <w:r>
              <w:rPr>
                <w:rFonts w:ascii="Times New Roman" w:hAnsi="Times New Roman" w:cs="Times New Roman"/>
              </w:rPr>
              <w:t>104</w:t>
            </w:r>
          </w:p>
        </w:tc>
        <w:tc>
          <w:tcPr>
            <w:tcW w:w="2268" w:type="dxa"/>
            <w:vAlign w:val="center"/>
          </w:tcPr>
          <w:p w14:paraId="00FDF5D3" w14:textId="6506FF9E" w:rsidR="00B64EF4" w:rsidRDefault="00B64EF4" w:rsidP="00B64EF4">
            <w:pPr>
              <w:jc w:val="center"/>
              <w:rPr>
                <w:rFonts w:ascii="Times New Roman" w:hAnsi="Times New Roman" w:cs="Times New Roman"/>
              </w:rPr>
            </w:pPr>
            <w:r>
              <w:rPr>
                <w:rFonts w:ascii="Times New Roman" w:hAnsi="Times New Roman" w:cs="Times New Roman"/>
              </w:rPr>
              <w:t xml:space="preserve">211 </w:t>
            </w:r>
          </w:p>
        </w:tc>
        <w:tc>
          <w:tcPr>
            <w:tcW w:w="1417" w:type="dxa"/>
            <w:vAlign w:val="center"/>
          </w:tcPr>
          <w:p w14:paraId="29CC5BE5" w14:textId="77777777" w:rsidR="00B64EF4" w:rsidRDefault="00B64EF4" w:rsidP="00B64EF4">
            <w:pPr>
              <w:jc w:val="center"/>
              <w:rPr>
                <w:rFonts w:ascii="Times New Roman" w:hAnsi="Times New Roman" w:cs="Times New Roman"/>
              </w:rPr>
            </w:pPr>
            <w:r>
              <w:rPr>
                <w:rFonts w:ascii="Times New Roman" w:hAnsi="Times New Roman" w:cs="Times New Roman"/>
              </w:rPr>
              <w:t>102.9</w:t>
            </w:r>
          </w:p>
        </w:tc>
        <w:tc>
          <w:tcPr>
            <w:tcW w:w="1036" w:type="dxa"/>
            <w:vAlign w:val="center"/>
          </w:tcPr>
          <w:p w14:paraId="1FEE3B88" w14:textId="77777777" w:rsidR="00B64EF4" w:rsidRDefault="00B64EF4" w:rsidP="00B64EF4">
            <w:pPr>
              <w:jc w:val="center"/>
              <w:rPr>
                <w:rFonts w:ascii="Times New Roman" w:hAnsi="Times New Roman" w:cs="Times New Roman"/>
              </w:rPr>
            </w:pPr>
            <w:r>
              <w:rPr>
                <w:rFonts w:ascii="Times New Roman" w:hAnsi="Times New Roman" w:cs="Times New Roman"/>
              </w:rPr>
              <w:t>0.038</w:t>
            </w:r>
          </w:p>
        </w:tc>
      </w:tr>
      <w:tr w:rsidR="00B64EF4" w14:paraId="30E7FA22" w14:textId="77777777" w:rsidTr="00B64EF4">
        <w:trPr>
          <w:divId w:val="1171680201"/>
        </w:trPr>
        <w:tc>
          <w:tcPr>
            <w:tcW w:w="1526" w:type="dxa"/>
            <w:vAlign w:val="center"/>
          </w:tcPr>
          <w:p w14:paraId="5BE9871E" w14:textId="77777777" w:rsidR="00B64EF4" w:rsidRPr="00E65618" w:rsidRDefault="00B64EF4" w:rsidP="00B64EF4">
            <w:pPr>
              <w:jc w:val="center"/>
              <w:rPr>
                <w:rFonts w:ascii="Times New Roman" w:hAnsi="Times New Roman" w:cs="Times New Roman"/>
                <w:b/>
              </w:rPr>
            </w:pPr>
            <w:r w:rsidRPr="00E65618">
              <w:rPr>
                <w:rFonts w:ascii="Times New Roman" w:hAnsi="Times New Roman" w:cs="Times New Roman"/>
                <w:b/>
              </w:rPr>
              <w:t>NVH</w:t>
            </w:r>
          </w:p>
        </w:tc>
        <w:tc>
          <w:tcPr>
            <w:tcW w:w="2268" w:type="dxa"/>
            <w:vAlign w:val="center"/>
          </w:tcPr>
          <w:p w14:paraId="28F16008" w14:textId="3B317169" w:rsidR="00B64EF4" w:rsidRDefault="00B64EF4" w:rsidP="00B64EF4">
            <w:pPr>
              <w:jc w:val="center"/>
              <w:rPr>
                <w:rFonts w:ascii="Times New Roman" w:hAnsi="Times New Roman" w:cs="Times New Roman"/>
              </w:rPr>
            </w:pPr>
            <w:r>
              <w:rPr>
                <w:rFonts w:ascii="Times New Roman" w:hAnsi="Times New Roman" w:cs="Times New Roman"/>
              </w:rPr>
              <w:t>77</w:t>
            </w:r>
          </w:p>
        </w:tc>
        <w:tc>
          <w:tcPr>
            <w:tcW w:w="2268" w:type="dxa"/>
            <w:vAlign w:val="center"/>
          </w:tcPr>
          <w:p w14:paraId="4EFDD1B2" w14:textId="2EF91190" w:rsidR="00B64EF4" w:rsidRDefault="00B64EF4" w:rsidP="00B64EF4">
            <w:pPr>
              <w:jc w:val="center"/>
              <w:rPr>
                <w:rFonts w:ascii="Times New Roman" w:hAnsi="Times New Roman" w:cs="Times New Roman"/>
              </w:rPr>
            </w:pPr>
            <w:r>
              <w:rPr>
                <w:rFonts w:ascii="Times New Roman" w:hAnsi="Times New Roman" w:cs="Times New Roman"/>
              </w:rPr>
              <w:t xml:space="preserve">138 </w:t>
            </w:r>
          </w:p>
        </w:tc>
        <w:tc>
          <w:tcPr>
            <w:tcW w:w="1417" w:type="dxa"/>
            <w:vAlign w:val="center"/>
          </w:tcPr>
          <w:p w14:paraId="7A627BBE" w14:textId="77777777" w:rsidR="00B64EF4" w:rsidRDefault="00B64EF4" w:rsidP="00B64EF4">
            <w:pPr>
              <w:jc w:val="center"/>
              <w:rPr>
                <w:rFonts w:ascii="Times New Roman" w:hAnsi="Times New Roman" w:cs="Times New Roman"/>
              </w:rPr>
            </w:pPr>
            <w:r>
              <w:rPr>
                <w:rFonts w:ascii="Times New Roman" w:hAnsi="Times New Roman" w:cs="Times New Roman"/>
              </w:rPr>
              <w:t>79.2</w:t>
            </w:r>
          </w:p>
        </w:tc>
        <w:tc>
          <w:tcPr>
            <w:tcW w:w="1036" w:type="dxa"/>
            <w:vAlign w:val="center"/>
          </w:tcPr>
          <w:p w14:paraId="2F321F50" w14:textId="7BE7B83F" w:rsidR="00B64EF4" w:rsidRDefault="00B64EF4" w:rsidP="00B64EF4">
            <w:pPr>
              <w:jc w:val="center"/>
              <w:rPr>
                <w:rFonts w:ascii="Times New Roman" w:hAnsi="Times New Roman" w:cs="Times New Roman"/>
              </w:rPr>
            </w:pPr>
            <w:r>
              <w:rPr>
                <w:rFonts w:ascii="Times New Roman" w:hAnsi="Times New Roman" w:cs="Times New Roman"/>
              </w:rPr>
              <w:t>0.00</w:t>
            </w:r>
            <w:r w:rsidR="00AC57B7">
              <w:rPr>
                <w:rFonts w:ascii="Times New Roman" w:hAnsi="Times New Roman" w:cs="Times New Roman"/>
              </w:rPr>
              <w:t>1</w:t>
            </w:r>
          </w:p>
        </w:tc>
      </w:tr>
      <w:tr w:rsidR="00B64EF4" w14:paraId="362DFE51" w14:textId="77777777" w:rsidTr="00B64EF4">
        <w:trPr>
          <w:divId w:val="1171680201"/>
        </w:trPr>
        <w:tc>
          <w:tcPr>
            <w:tcW w:w="1526" w:type="dxa"/>
            <w:vAlign w:val="center"/>
          </w:tcPr>
          <w:p w14:paraId="4E73BB6C" w14:textId="77777777" w:rsidR="00B64EF4" w:rsidRPr="00E65618" w:rsidRDefault="00B64EF4" w:rsidP="00B64EF4">
            <w:pPr>
              <w:jc w:val="center"/>
              <w:rPr>
                <w:rFonts w:ascii="Times New Roman" w:hAnsi="Times New Roman" w:cs="Times New Roman"/>
                <w:b/>
              </w:rPr>
            </w:pPr>
            <w:r w:rsidRPr="00E65618">
              <w:rPr>
                <w:rFonts w:ascii="Times New Roman" w:hAnsi="Times New Roman" w:cs="Times New Roman"/>
                <w:b/>
              </w:rPr>
              <w:t>Other</w:t>
            </w:r>
          </w:p>
        </w:tc>
        <w:tc>
          <w:tcPr>
            <w:tcW w:w="2268" w:type="dxa"/>
            <w:vAlign w:val="center"/>
          </w:tcPr>
          <w:p w14:paraId="48EA0C9B" w14:textId="373201AC" w:rsidR="00B64EF4" w:rsidRDefault="00B64EF4" w:rsidP="00B64EF4">
            <w:pPr>
              <w:jc w:val="center"/>
              <w:rPr>
                <w:rFonts w:ascii="Times New Roman" w:hAnsi="Times New Roman" w:cs="Times New Roman"/>
              </w:rPr>
            </w:pPr>
            <w:r>
              <w:rPr>
                <w:rFonts w:ascii="Times New Roman" w:hAnsi="Times New Roman" w:cs="Times New Roman"/>
              </w:rPr>
              <w:t>233</w:t>
            </w:r>
          </w:p>
        </w:tc>
        <w:tc>
          <w:tcPr>
            <w:tcW w:w="2268" w:type="dxa"/>
            <w:vAlign w:val="center"/>
          </w:tcPr>
          <w:p w14:paraId="55F25F23" w14:textId="596D60F6" w:rsidR="00B64EF4" w:rsidRDefault="00B64EF4" w:rsidP="00B64EF4">
            <w:pPr>
              <w:jc w:val="center"/>
              <w:rPr>
                <w:rFonts w:ascii="Times New Roman" w:hAnsi="Times New Roman" w:cs="Times New Roman"/>
              </w:rPr>
            </w:pPr>
            <w:r>
              <w:rPr>
                <w:rFonts w:ascii="Times New Roman" w:hAnsi="Times New Roman" w:cs="Times New Roman"/>
              </w:rPr>
              <w:t xml:space="preserve">352 </w:t>
            </w:r>
          </w:p>
        </w:tc>
        <w:tc>
          <w:tcPr>
            <w:tcW w:w="1417" w:type="dxa"/>
            <w:vAlign w:val="center"/>
          </w:tcPr>
          <w:p w14:paraId="4E38B0D5" w14:textId="77777777" w:rsidR="00B64EF4" w:rsidRDefault="00B64EF4" w:rsidP="00B64EF4">
            <w:pPr>
              <w:jc w:val="center"/>
              <w:rPr>
                <w:rFonts w:ascii="Times New Roman" w:hAnsi="Times New Roman" w:cs="Times New Roman"/>
              </w:rPr>
            </w:pPr>
            <w:r>
              <w:rPr>
                <w:rFonts w:ascii="Times New Roman" w:hAnsi="Times New Roman" w:cs="Times New Roman"/>
              </w:rPr>
              <w:t>51</w:t>
            </w:r>
          </w:p>
        </w:tc>
        <w:tc>
          <w:tcPr>
            <w:tcW w:w="1036" w:type="dxa"/>
            <w:vAlign w:val="center"/>
          </w:tcPr>
          <w:p w14:paraId="6FE4C387" w14:textId="7DDC1AA0" w:rsidR="00B64EF4" w:rsidRDefault="00B64EF4" w:rsidP="00B64EF4">
            <w:pPr>
              <w:jc w:val="center"/>
              <w:rPr>
                <w:rFonts w:ascii="Times New Roman" w:hAnsi="Times New Roman" w:cs="Times New Roman"/>
              </w:rPr>
            </w:pPr>
            <w:r>
              <w:rPr>
                <w:rFonts w:ascii="Times New Roman" w:hAnsi="Times New Roman" w:cs="Times New Roman"/>
              </w:rPr>
              <w:t>0.009</w:t>
            </w:r>
          </w:p>
        </w:tc>
      </w:tr>
    </w:tbl>
    <w:p w14:paraId="1D822F09" w14:textId="3F35524C" w:rsidR="00B64EF4" w:rsidRDefault="00B64EF4" w:rsidP="00B64EF4">
      <w:pPr>
        <w:jc w:val="both"/>
        <w:divId w:val="1171680201"/>
        <w:rPr>
          <w:rFonts w:ascii="Times New Roman" w:hAnsi="Times New Roman" w:cs="Times New Roman"/>
        </w:rPr>
      </w:pPr>
      <w:r>
        <w:rPr>
          <w:rFonts w:ascii="Times New Roman" w:hAnsi="Times New Roman" w:cs="Times New Roman"/>
        </w:rPr>
        <w:t>Table 1 – Number of suspected cancer referrals made by presenting complaint</w:t>
      </w:r>
      <w:r w:rsidR="009B1067">
        <w:rPr>
          <w:rFonts w:ascii="Times New Roman" w:hAnsi="Times New Roman" w:cs="Times New Roman"/>
        </w:rPr>
        <w:t xml:space="preserve"> in the period during and immediately following the </w:t>
      </w:r>
      <w:r w:rsidR="006A256D">
        <w:rPr>
          <w:rFonts w:ascii="Times New Roman" w:hAnsi="Times New Roman" w:cs="Times New Roman"/>
        </w:rPr>
        <w:t>‘</w:t>
      </w:r>
      <w:proofErr w:type="gramStart"/>
      <w:r w:rsidR="006A256D">
        <w:rPr>
          <w:rFonts w:ascii="Times New Roman" w:hAnsi="Times New Roman" w:cs="Times New Roman"/>
        </w:rPr>
        <w:t>Be</w:t>
      </w:r>
      <w:proofErr w:type="gramEnd"/>
      <w:r w:rsidR="006A256D">
        <w:rPr>
          <w:rFonts w:ascii="Times New Roman" w:hAnsi="Times New Roman" w:cs="Times New Roman"/>
        </w:rPr>
        <w:t xml:space="preserve"> clear on cancer: Blood in the pee’ campaign</w:t>
      </w:r>
      <w:r w:rsidR="00484C35">
        <w:rPr>
          <w:rFonts w:ascii="Times New Roman" w:hAnsi="Times New Roman" w:cs="Times New Roman"/>
        </w:rPr>
        <w:t>.</w:t>
      </w:r>
    </w:p>
    <w:p w14:paraId="26533C4B" w14:textId="7DDA96C8" w:rsidR="00B64EF4" w:rsidRDefault="00B64EF4" w:rsidP="00B64EF4">
      <w:pPr>
        <w:jc w:val="both"/>
        <w:divId w:val="1171680201"/>
        <w:rPr>
          <w:rFonts w:ascii="Times New Roman" w:hAnsi="Times New Roman" w:cs="Times New Roman"/>
        </w:rPr>
      </w:pPr>
      <w:r>
        <w:rPr>
          <w:rFonts w:ascii="Times New Roman" w:hAnsi="Times New Roman" w:cs="Times New Roman"/>
        </w:rPr>
        <w:t>VH = Visible haematuria, NVH= Non-visible haematuria</w:t>
      </w:r>
      <w:r w:rsidR="0086113C">
        <w:rPr>
          <w:rFonts w:ascii="Times New Roman" w:hAnsi="Times New Roman" w:cs="Times New Roman"/>
        </w:rPr>
        <w:t xml:space="preserve">, </w:t>
      </w:r>
      <w:proofErr w:type="gramStart"/>
      <w:r w:rsidR="0086113C">
        <w:rPr>
          <w:rFonts w:ascii="Times New Roman" w:hAnsi="Times New Roman" w:cs="Times New Roman"/>
        </w:rPr>
        <w:t>Other</w:t>
      </w:r>
      <w:proofErr w:type="gramEnd"/>
      <w:r w:rsidR="0086113C">
        <w:rPr>
          <w:rFonts w:ascii="Times New Roman" w:hAnsi="Times New Roman" w:cs="Times New Roman"/>
        </w:rPr>
        <w:t xml:space="preserve"> = Non-haematuria related suspected urological cancer referrals</w:t>
      </w:r>
    </w:p>
    <w:p w14:paraId="2DB9AFEC" w14:textId="77777777" w:rsidR="00B64EF4" w:rsidRDefault="00B64EF4" w:rsidP="006059E1">
      <w:pPr>
        <w:pStyle w:val="NormalWeb"/>
        <w:ind w:left="640" w:hanging="640"/>
        <w:divId w:val="1171680201"/>
        <w:rPr>
          <w:rFonts w:ascii="Times New Roman" w:hAnsi="Times New Roman"/>
        </w:rPr>
      </w:pPr>
    </w:p>
    <w:tbl>
      <w:tblPr>
        <w:tblStyle w:val="TableGrid"/>
        <w:tblW w:w="0" w:type="auto"/>
        <w:tblBorders>
          <w:insideH w:val="none" w:sz="0" w:space="0" w:color="auto"/>
        </w:tblBorders>
        <w:tblLook w:val="04A0" w:firstRow="1" w:lastRow="0" w:firstColumn="1" w:lastColumn="0" w:noHBand="0" w:noVBand="1"/>
      </w:tblPr>
      <w:tblGrid>
        <w:gridCol w:w="1526"/>
        <w:gridCol w:w="2268"/>
        <w:gridCol w:w="2268"/>
        <w:gridCol w:w="1417"/>
        <w:gridCol w:w="1036"/>
      </w:tblGrid>
      <w:tr w:rsidR="009B1067" w:rsidRPr="00AC57B7" w14:paraId="2EBC1584" w14:textId="77777777" w:rsidTr="009B1067">
        <w:trPr>
          <w:divId w:val="1171680201"/>
          <w:trHeight w:val="275"/>
        </w:trPr>
        <w:tc>
          <w:tcPr>
            <w:tcW w:w="1526" w:type="dxa"/>
            <w:tcBorders>
              <w:top w:val="nil"/>
              <w:bottom w:val="nil"/>
            </w:tcBorders>
            <w:shd w:val="clear" w:color="auto" w:fill="4F81BD" w:themeFill="accent1"/>
            <w:vAlign w:val="center"/>
          </w:tcPr>
          <w:p w14:paraId="6C3492FA" w14:textId="77777777" w:rsidR="007A4F9C" w:rsidRPr="00AC57B7" w:rsidRDefault="007A4F9C" w:rsidP="007A4F9C">
            <w:pPr>
              <w:jc w:val="center"/>
              <w:rPr>
                <w:rFonts w:ascii="Times New Roman" w:hAnsi="Times New Roman" w:cs="Times New Roman"/>
                <w:b/>
                <w:color w:val="FFFFFF" w:themeColor="background1"/>
              </w:rPr>
            </w:pPr>
          </w:p>
        </w:tc>
        <w:tc>
          <w:tcPr>
            <w:tcW w:w="2268" w:type="dxa"/>
            <w:tcBorders>
              <w:top w:val="nil"/>
              <w:bottom w:val="nil"/>
            </w:tcBorders>
            <w:shd w:val="clear" w:color="auto" w:fill="4F81BD" w:themeFill="accent1"/>
            <w:vAlign w:val="center"/>
          </w:tcPr>
          <w:p w14:paraId="37F77E53" w14:textId="77777777" w:rsidR="007A4F9C" w:rsidRPr="00AC57B7" w:rsidRDefault="007A4F9C" w:rsidP="007A4F9C">
            <w:pPr>
              <w:jc w:val="center"/>
              <w:rPr>
                <w:rFonts w:ascii="Times New Roman" w:hAnsi="Times New Roman" w:cs="Times New Roman"/>
                <w:b/>
                <w:color w:val="FFFFFF" w:themeColor="background1"/>
              </w:rPr>
            </w:pPr>
            <w:r w:rsidRPr="00AC57B7">
              <w:rPr>
                <w:rFonts w:ascii="Times New Roman" w:hAnsi="Times New Roman" w:cs="Times New Roman"/>
                <w:b/>
                <w:color w:val="FFFFFF" w:themeColor="background1"/>
              </w:rPr>
              <w:t>Oct ‘12 – Feb ‘13</w:t>
            </w:r>
          </w:p>
        </w:tc>
        <w:tc>
          <w:tcPr>
            <w:tcW w:w="2268" w:type="dxa"/>
            <w:tcBorders>
              <w:top w:val="nil"/>
              <w:bottom w:val="nil"/>
            </w:tcBorders>
            <w:shd w:val="clear" w:color="auto" w:fill="4F81BD" w:themeFill="accent1"/>
            <w:vAlign w:val="center"/>
          </w:tcPr>
          <w:p w14:paraId="2CB61995" w14:textId="77777777" w:rsidR="007A4F9C" w:rsidRPr="00AC57B7" w:rsidRDefault="007A4F9C" w:rsidP="007A4F9C">
            <w:pPr>
              <w:jc w:val="center"/>
              <w:rPr>
                <w:rFonts w:ascii="Times New Roman" w:hAnsi="Times New Roman" w:cs="Times New Roman"/>
                <w:b/>
                <w:color w:val="FFFFFF" w:themeColor="background1"/>
              </w:rPr>
            </w:pPr>
            <w:r w:rsidRPr="00AC57B7">
              <w:rPr>
                <w:rFonts w:ascii="Times New Roman" w:hAnsi="Times New Roman" w:cs="Times New Roman"/>
                <w:b/>
                <w:color w:val="FFFFFF" w:themeColor="background1"/>
              </w:rPr>
              <w:t>Oct ‘13 – Feb ‘14</w:t>
            </w:r>
          </w:p>
        </w:tc>
        <w:tc>
          <w:tcPr>
            <w:tcW w:w="1417" w:type="dxa"/>
            <w:tcBorders>
              <w:top w:val="nil"/>
              <w:bottom w:val="nil"/>
            </w:tcBorders>
            <w:shd w:val="clear" w:color="auto" w:fill="4F81BD" w:themeFill="accent1"/>
            <w:vAlign w:val="center"/>
          </w:tcPr>
          <w:p w14:paraId="61004464" w14:textId="77777777" w:rsidR="007A4F9C" w:rsidRPr="00AC57B7" w:rsidRDefault="007A4F9C" w:rsidP="007A4F9C">
            <w:pPr>
              <w:jc w:val="center"/>
              <w:rPr>
                <w:rFonts w:ascii="Times New Roman" w:hAnsi="Times New Roman" w:cs="Times New Roman"/>
                <w:b/>
                <w:color w:val="FFFFFF" w:themeColor="background1"/>
              </w:rPr>
            </w:pPr>
            <w:r w:rsidRPr="00AC57B7">
              <w:rPr>
                <w:rFonts w:ascii="Times New Roman" w:hAnsi="Times New Roman" w:cs="Times New Roman"/>
                <w:b/>
                <w:color w:val="FFFFFF" w:themeColor="background1"/>
              </w:rPr>
              <w:t>% Increase</w:t>
            </w:r>
          </w:p>
        </w:tc>
        <w:tc>
          <w:tcPr>
            <w:tcW w:w="1036" w:type="dxa"/>
            <w:tcBorders>
              <w:top w:val="nil"/>
              <w:bottom w:val="nil"/>
            </w:tcBorders>
            <w:shd w:val="clear" w:color="auto" w:fill="4F81BD" w:themeFill="accent1"/>
            <w:vAlign w:val="center"/>
          </w:tcPr>
          <w:p w14:paraId="624C934E" w14:textId="77777777" w:rsidR="007A4F9C" w:rsidRPr="00AC57B7" w:rsidRDefault="007A4F9C" w:rsidP="007A4F9C">
            <w:pPr>
              <w:jc w:val="center"/>
              <w:rPr>
                <w:rFonts w:ascii="Times New Roman" w:hAnsi="Times New Roman" w:cs="Times New Roman"/>
                <w:b/>
                <w:color w:val="FFFFFF" w:themeColor="background1"/>
              </w:rPr>
            </w:pPr>
            <w:proofErr w:type="gramStart"/>
            <w:r w:rsidRPr="00AC57B7">
              <w:rPr>
                <w:rFonts w:ascii="Times New Roman" w:hAnsi="Times New Roman" w:cs="Times New Roman"/>
                <w:b/>
                <w:color w:val="FFFFFF" w:themeColor="background1"/>
              </w:rPr>
              <w:t>p</w:t>
            </w:r>
            <w:proofErr w:type="gramEnd"/>
            <w:r w:rsidRPr="00AC57B7">
              <w:rPr>
                <w:rFonts w:ascii="Times New Roman" w:hAnsi="Times New Roman" w:cs="Times New Roman"/>
                <w:b/>
                <w:color w:val="FFFFFF" w:themeColor="background1"/>
              </w:rPr>
              <w:t>-value</w:t>
            </w:r>
          </w:p>
        </w:tc>
      </w:tr>
      <w:tr w:rsidR="009B1067" w14:paraId="5F282E1C" w14:textId="77777777" w:rsidTr="009B1067">
        <w:trPr>
          <w:divId w:val="1171680201"/>
        </w:trPr>
        <w:tc>
          <w:tcPr>
            <w:tcW w:w="1526" w:type="dxa"/>
            <w:tcBorders>
              <w:top w:val="nil"/>
            </w:tcBorders>
            <w:vAlign w:val="center"/>
          </w:tcPr>
          <w:p w14:paraId="00923E4D" w14:textId="77777777" w:rsidR="007A4F9C" w:rsidRPr="00E65618" w:rsidRDefault="007A4F9C" w:rsidP="007A4F9C">
            <w:pPr>
              <w:jc w:val="center"/>
              <w:rPr>
                <w:rFonts w:ascii="Times New Roman" w:hAnsi="Times New Roman" w:cs="Times New Roman"/>
                <w:b/>
              </w:rPr>
            </w:pPr>
            <w:r w:rsidRPr="00E65618">
              <w:rPr>
                <w:rFonts w:ascii="Times New Roman" w:hAnsi="Times New Roman" w:cs="Times New Roman"/>
                <w:b/>
              </w:rPr>
              <w:t>Total</w:t>
            </w:r>
          </w:p>
        </w:tc>
        <w:tc>
          <w:tcPr>
            <w:tcW w:w="2268" w:type="dxa"/>
            <w:tcBorders>
              <w:top w:val="nil"/>
            </w:tcBorders>
            <w:vAlign w:val="center"/>
          </w:tcPr>
          <w:p w14:paraId="056CBF2E" w14:textId="77777777" w:rsidR="007A4F9C" w:rsidRDefault="007A4F9C" w:rsidP="007A4F9C">
            <w:pPr>
              <w:jc w:val="center"/>
              <w:rPr>
                <w:rFonts w:ascii="Times New Roman" w:hAnsi="Times New Roman" w:cs="Times New Roman"/>
              </w:rPr>
            </w:pPr>
            <w:r>
              <w:rPr>
                <w:rFonts w:ascii="Times New Roman" w:hAnsi="Times New Roman" w:cs="Times New Roman"/>
              </w:rPr>
              <w:t>133</w:t>
            </w:r>
          </w:p>
        </w:tc>
        <w:tc>
          <w:tcPr>
            <w:tcW w:w="2268" w:type="dxa"/>
            <w:tcBorders>
              <w:top w:val="nil"/>
            </w:tcBorders>
            <w:vAlign w:val="center"/>
          </w:tcPr>
          <w:p w14:paraId="37EF0BD3" w14:textId="77777777" w:rsidR="007A4F9C" w:rsidRDefault="007A4F9C" w:rsidP="007A4F9C">
            <w:pPr>
              <w:jc w:val="center"/>
              <w:rPr>
                <w:rFonts w:ascii="Times New Roman" w:hAnsi="Times New Roman" w:cs="Times New Roman"/>
              </w:rPr>
            </w:pPr>
            <w:r>
              <w:rPr>
                <w:rFonts w:ascii="Times New Roman" w:hAnsi="Times New Roman" w:cs="Times New Roman"/>
              </w:rPr>
              <w:t>141</w:t>
            </w:r>
          </w:p>
        </w:tc>
        <w:tc>
          <w:tcPr>
            <w:tcW w:w="1417" w:type="dxa"/>
            <w:tcBorders>
              <w:top w:val="nil"/>
            </w:tcBorders>
            <w:vAlign w:val="center"/>
          </w:tcPr>
          <w:p w14:paraId="68A560E5" w14:textId="77777777" w:rsidR="007A4F9C" w:rsidRDefault="007A4F9C" w:rsidP="007A4F9C">
            <w:pPr>
              <w:jc w:val="center"/>
              <w:rPr>
                <w:rFonts w:ascii="Times New Roman" w:hAnsi="Times New Roman" w:cs="Times New Roman"/>
              </w:rPr>
            </w:pPr>
            <w:r>
              <w:rPr>
                <w:rFonts w:ascii="Times New Roman" w:hAnsi="Times New Roman" w:cs="Times New Roman"/>
              </w:rPr>
              <w:t>6.0</w:t>
            </w:r>
          </w:p>
        </w:tc>
        <w:tc>
          <w:tcPr>
            <w:tcW w:w="1036" w:type="dxa"/>
            <w:tcBorders>
              <w:top w:val="nil"/>
            </w:tcBorders>
            <w:vAlign w:val="center"/>
          </w:tcPr>
          <w:p w14:paraId="2B831778" w14:textId="77777777" w:rsidR="007A4F9C" w:rsidRDefault="007A4F9C" w:rsidP="007A4F9C">
            <w:pPr>
              <w:jc w:val="center"/>
              <w:rPr>
                <w:rFonts w:ascii="Times New Roman" w:hAnsi="Times New Roman" w:cs="Times New Roman"/>
              </w:rPr>
            </w:pPr>
            <w:r>
              <w:rPr>
                <w:rFonts w:ascii="Times New Roman" w:hAnsi="Times New Roman" w:cs="Times New Roman"/>
              </w:rPr>
              <w:t>0.71</w:t>
            </w:r>
          </w:p>
        </w:tc>
      </w:tr>
      <w:tr w:rsidR="009B1067" w14:paraId="5441AE4C" w14:textId="77777777" w:rsidTr="009B1067">
        <w:trPr>
          <w:divId w:val="1171680201"/>
        </w:trPr>
        <w:tc>
          <w:tcPr>
            <w:tcW w:w="1526" w:type="dxa"/>
            <w:vAlign w:val="center"/>
          </w:tcPr>
          <w:p w14:paraId="237DC802" w14:textId="77777777" w:rsidR="007A4F9C" w:rsidRPr="00E65618" w:rsidRDefault="007A4F9C" w:rsidP="007A4F9C">
            <w:pPr>
              <w:jc w:val="center"/>
              <w:rPr>
                <w:rFonts w:ascii="Times New Roman" w:hAnsi="Times New Roman" w:cs="Times New Roman"/>
                <w:b/>
              </w:rPr>
            </w:pPr>
            <w:r w:rsidRPr="00E65618">
              <w:rPr>
                <w:rFonts w:ascii="Times New Roman" w:hAnsi="Times New Roman" w:cs="Times New Roman"/>
                <w:b/>
              </w:rPr>
              <w:t>TCC</w:t>
            </w:r>
          </w:p>
        </w:tc>
        <w:tc>
          <w:tcPr>
            <w:tcW w:w="2268" w:type="dxa"/>
            <w:vAlign w:val="center"/>
          </w:tcPr>
          <w:p w14:paraId="2B6EB46B" w14:textId="77777777" w:rsidR="007A4F9C" w:rsidRDefault="007A4F9C" w:rsidP="007A4F9C">
            <w:pPr>
              <w:jc w:val="center"/>
              <w:rPr>
                <w:rFonts w:ascii="Times New Roman" w:hAnsi="Times New Roman" w:cs="Times New Roman"/>
              </w:rPr>
            </w:pPr>
            <w:r>
              <w:rPr>
                <w:rFonts w:ascii="Times New Roman" w:hAnsi="Times New Roman" w:cs="Times New Roman"/>
              </w:rPr>
              <w:t>92</w:t>
            </w:r>
          </w:p>
        </w:tc>
        <w:tc>
          <w:tcPr>
            <w:tcW w:w="2268" w:type="dxa"/>
            <w:vAlign w:val="center"/>
          </w:tcPr>
          <w:p w14:paraId="510C2F7B" w14:textId="77777777" w:rsidR="007A4F9C" w:rsidRDefault="007A4F9C" w:rsidP="007A4F9C">
            <w:pPr>
              <w:jc w:val="center"/>
              <w:rPr>
                <w:rFonts w:ascii="Times New Roman" w:hAnsi="Times New Roman" w:cs="Times New Roman"/>
              </w:rPr>
            </w:pPr>
            <w:r>
              <w:rPr>
                <w:rFonts w:ascii="Times New Roman" w:hAnsi="Times New Roman" w:cs="Times New Roman"/>
              </w:rPr>
              <w:t>89</w:t>
            </w:r>
          </w:p>
        </w:tc>
        <w:tc>
          <w:tcPr>
            <w:tcW w:w="1417" w:type="dxa"/>
            <w:vAlign w:val="center"/>
          </w:tcPr>
          <w:p w14:paraId="5B866DE1" w14:textId="5DE38907" w:rsidR="007A4F9C" w:rsidRDefault="00484C35" w:rsidP="007A4F9C">
            <w:pPr>
              <w:jc w:val="center"/>
              <w:rPr>
                <w:rFonts w:ascii="Times New Roman" w:hAnsi="Times New Roman" w:cs="Times New Roman"/>
              </w:rPr>
            </w:pPr>
            <w:r>
              <w:rPr>
                <w:rFonts w:ascii="Times New Roman" w:hAnsi="Times New Roman" w:cs="Times New Roman"/>
              </w:rPr>
              <w:t>-</w:t>
            </w:r>
            <w:r w:rsidR="007A4F9C">
              <w:rPr>
                <w:rFonts w:ascii="Times New Roman" w:hAnsi="Times New Roman" w:cs="Times New Roman"/>
              </w:rPr>
              <w:t>3.3</w:t>
            </w:r>
          </w:p>
        </w:tc>
        <w:tc>
          <w:tcPr>
            <w:tcW w:w="1036" w:type="dxa"/>
            <w:vAlign w:val="center"/>
          </w:tcPr>
          <w:p w14:paraId="4F3235AB" w14:textId="77777777" w:rsidR="007A4F9C" w:rsidRDefault="007A4F9C" w:rsidP="007A4F9C">
            <w:pPr>
              <w:jc w:val="center"/>
              <w:rPr>
                <w:rFonts w:ascii="Times New Roman" w:hAnsi="Times New Roman" w:cs="Times New Roman"/>
              </w:rPr>
            </w:pPr>
            <w:r>
              <w:rPr>
                <w:rFonts w:ascii="Times New Roman" w:hAnsi="Times New Roman" w:cs="Times New Roman"/>
              </w:rPr>
              <w:t>0.84</w:t>
            </w:r>
          </w:p>
        </w:tc>
      </w:tr>
      <w:tr w:rsidR="001E303B" w14:paraId="35CA04AF" w14:textId="77777777" w:rsidTr="009B1067">
        <w:trPr>
          <w:divId w:val="1171680201"/>
        </w:trPr>
        <w:tc>
          <w:tcPr>
            <w:tcW w:w="1526" w:type="dxa"/>
            <w:vAlign w:val="center"/>
          </w:tcPr>
          <w:p w14:paraId="7FBEC1B2" w14:textId="585CA07E" w:rsidR="001E303B" w:rsidRPr="00E65618" w:rsidRDefault="001E303B" w:rsidP="007A4F9C">
            <w:pPr>
              <w:jc w:val="center"/>
              <w:rPr>
                <w:rFonts w:ascii="Times New Roman" w:hAnsi="Times New Roman" w:cs="Times New Roman"/>
                <w:b/>
              </w:rPr>
            </w:pPr>
            <w:r w:rsidRPr="00E65618">
              <w:rPr>
                <w:rFonts w:ascii="Times New Roman" w:hAnsi="Times New Roman" w:cs="Times New Roman"/>
                <w:b/>
              </w:rPr>
              <w:t>RCC</w:t>
            </w:r>
          </w:p>
        </w:tc>
        <w:tc>
          <w:tcPr>
            <w:tcW w:w="2268" w:type="dxa"/>
            <w:vAlign w:val="center"/>
          </w:tcPr>
          <w:p w14:paraId="5419D2B5" w14:textId="7485E93F" w:rsidR="001E303B" w:rsidRDefault="001E303B" w:rsidP="007A4F9C">
            <w:pPr>
              <w:jc w:val="center"/>
              <w:rPr>
                <w:rFonts w:ascii="Times New Roman" w:hAnsi="Times New Roman" w:cs="Times New Roman"/>
              </w:rPr>
            </w:pPr>
            <w:r>
              <w:rPr>
                <w:rFonts w:ascii="Times New Roman" w:hAnsi="Times New Roman" w:cs="Times New Roman"/>
              </w:rPr>
              <w:t>41</w:t>
            </w:r>
          </w:p>
        </w:tc>
        <w:tc>
          <w:tcPr>
            <w:tcW w:w="2268" w:type="dxa"/>
            <w:vAlign w:val="center"/>
          </w:tcPr>
          <w:p w14:paraId="7DB54C22" w14:textId="5052102B" w:rsidR="001E303B" w:rsidRDefault="001E303B" w:rsidP="007A4F9C">
            <w:pPr>
              <w:jc w:val="center"/>
              <w:rPr>
                <w:rFonts w:ascii="Times New Roman" w:hAnsi="Times New Roman" w:cs="Times New Roman"/>
              </w:rPr>
            </w:pPr>
            <w:r>
              <w:rPr>
                <w:rFonts w:ascii="Times New Roman" w:hAnsi="Times New Roman" w:cs="Times New Roman"/>
              </w:rPr>
              <w:t>52</w:t>
            </w:r>
          </w:p>
        </w:tc>
        <w:tc>
          <w:tcPr>
            <w:tcW w:w="1417" w:type="dxa"/>
            <w:vAlign w:val="center"/>
          </w:tcPr>
          <w:p w14:paraId="2F36A126" w14:textId="77432C3E" w:rsidR="001E303B" w:rsidRDefault="001E303B" w:rsidP="007A4F9C">
            <w:pPr>
              <w:jc w:val="center"/>
              <w:rPr>
                <w:rFonts w:ascii="Times New Roman" w:hAnsi="Times New Roman" w:cs="Times New Roman"/>
              </w:rPr>
            </w:pPr>
            <w:r>
              <w:rPr>
                <w:rFonts w:ascii="Times New Roman" w:hAnsi="Times New Roman" w:cs="Times New Roman"/>
              </w:rPr>
              <w:t>26.8</w:t>
            </w:r>
          </w:p>
        </w:tc>
        <w:tc>
          <w:tcPr>
            <w:tcW w:w="1036" w:type="dxa"/>
            <w:vAlign w:val="center"/>
          </w:tcPr>
          <w:p w14:paraId="5DD0FEC0" w14:textId="67053291" w:rsidR="001E303B" w:rsidRDefault="001E303B" w:rsidP="007A4F9C">
            <w:pPr>
              <w:jc w:val="center"/>
              <w:rPr>
                <w:rFonts w:ascii="Times New Roman" w:hAnsi="Times New Roman" w:cs="Times New Roman"/>
              </w:rPr>
            </w:pPr>
            <w:r>
              <w:rPr>
                <w:rFonts w:ascii="Times New Roman" w:hAnsi="Times New Roman" w:cs="Times New Roman"/>
              </w:rPr>
              <w:t>0.56</w:t>
            </w:r>
          </w:p>
        </w:tc>
      </w:tr>
      <w:tr w:rsidR="001E303B" w14:paraId="581EF5BB" w14:textId="77777777" w:rsidTr="009B1067">
        <w:trPr>
          <w:divId w:val="1171680201"/>
        </w:trPr>
        <w:tc>
          <w:tcPr>
            <w:tcW w:w="1526" w:type="dxa"/>
            <w:vAlign w:val="center"/>
          </w:tcPr>
          <w:p w14:paraId="1D379348" w14:textId="4E102A2B" w:rsidR="001E303B" w:rsidRPr="00E65618" w:rsidRDefault="001E303B" w:rsidP="007A4F9C">
            <w:pPr>
              <w:jc w:val="center"/>
              <w:rPr>
                <w:rFonts w:ascii="Times New Roman" w:hAnsi="Times New Roman" w:cs="Times New Roman"/>
                <w:b/>
              </w:rPr>
            </w:pPr>
            <w:r>
              <w:rPr>
                <w:rFonts w:ascii="Times New Roman" w:hAnsi="Times New Roman" w:cs="Times New Roman"/>
                <w:b/>
              </w:rPr>
              <w:t>Prostate</w:t>
            </w:r>
          </w:p>
        </w:tc>
        <w:tc>
          <w:tcPr>
            <w:tcW w:w="2268" w:type="dxa"/>
            <w:vAlign w:val="center"/>
          </w:tcPr>
          <w:p w14:paraId="7819FF27" w14:textId="06E6DCC4" w:rsidR="001E303B" w:rsidRDefault="001E303B" w:rsidP="007A4F9C">
            <w:pPr>
              <w:jc w:val="center"/>
              <w:rPr>
                <w:rFonts w:ascii="Times New Roman" w:hAnsi="Times New Roman" w:cs="Times New Roman"/>
              </w:rPr>
            </w:pPr>
            <w:r>
              <w:rPr>
                <w:rFonts w:ascii="Times New Roman" w:hAnsi="Times New Roman" w:cs="Times New Roman"/>
              </w:rPr>
              <w:t>192</w:t>
            </w:r>
          </w:p>
        </w:tc>
        <w:tc>
          <w:tcPr>
            <w:tcW w:w="2268" w:type="dxa"/>
            <w:vAlign w:val="center"/>
          </w:tcPr>
          <w:p w14:paraId="185E7EBF" w14:textId="64F210C6" w:rsidR="001E303B" w:rsidRDefault="001E303B" w:rsidP="007A4F9C">
            <w:pPr>
              <w:jc w:val="center"/>
              <w:rPr>
                <w:rFonts w:ascii="Times New Roman" w:hAnsi="Times New Roman" w:cs="Times New Roman"/>
              </w:rPr>
            </w:pPr>
            <w:r>
              <w:rPr>
                <w:rFonts w:ascii="Times New Roman" w:hAnsi="Times New Roman" w:cs="Times New Roman"/>
              </w:rPr>
              <w:t>226</w:t>
            </w:r>
          </w:p>
        </w:tc>
        <w:tc>
          <w:tcPr>
            <w:tcW w:w="1417" w:type="dxa"/>
            <w:vAlign w:val="center"/>
          </w:tcPr>
          <w:p w14:paraId="7C31175C" w14:textId="26C32962" w:rsidR="001E303B" w:rsidRDefault="001E303B" w:rsidP="007A4F9C">
            <w:pPr>
              <w:jc w:val="center"/>
              <w:rPr>
                <w:rFonts w:ascii="Times New Roman" w:hAnsi="Times New Roman" w:cs="Times New Roman"/>
              </w:rPr>
            </w:pPr>
            <w:r>
              <w:rPr>
                <w:rFonts w:ascii="Times New Roman" w:hAnsi="Times New Roman" w:cs="Times New Roman"/>
              </w:rPr>
              <w:t>17.8</w:t>
            </w:r>
          </w:p>
        </w:tc>
        <w:tc>
          <w:tcPr>
            <w:tcW w:w="1036" w:type="dxa"/>
            <w:vAlign w:val="center"/>
          </w:tcPr>
          <w:p w14:paraId="025A2A8C" w14:textId="4CCAF4BC" w:rsidR="001E303B" w:rsidRDefault="00E36FFA" w:rsidP="007A4F9C">
            <w:pPr>
              <w:jc w:val="center"/>
              <w:rPr>
                <w:rFonts w:ascii="Times New Roman" w:hAnsi="Times New Roman" w:cs="Times New Roman"/>
              </w:rPr>
            </w:pPr>
            <w:r>
              <w:rPr>
                <w:rFonts w:ascii="Times New Roman" w:hAnsi="Times New Roman" w:cs="Times New Roman"/>
              </w:rPr>
              <w:t>0.35</w:t>
            </w:r>
          </w:p>
        </w:tc>
      </w:tr>
      <w:tr w:rsidR="001E303B" w14:paraId="3741502B" w14:textId="77777777" w:rsidTr="009B1067">
        <w:trPr>
          <w:divId w:val="1171680201"/>
        </w:trPr>
        <w:tc>
          <w:tcPr>
            <w:tcW w:w="1526" w:type="dxa"/>
            <w:vAlign w:val="center"/>
          </w:tcPr>
          <w:p w14:paraId="76C876E4" w14:textId="3F2B202E" w:rsidR="001E303B" w:rsidRPr="00E65618" w:rsidRDefault="001E303B" w:rsidP="007A4F9C">
            <w:pPr>
              <w:jc w:val="center"/>
              <w:rPr>
                <w:rFonts w:ascii="Times New Roman" w:hAnsi="Times New Roman" w:cs="Times New Roman"/>
                <w:b/>
              </w:rPr>
            </w:pPr>
            <w:r>
              <w:rPr>
                <w:rFonts w:ascii="Times New Roman" w:hAnsi="Times New Roman" w:cs="Times New Roman"/>
                <w:b/>
              </w:rPr>
              <w:t>Testicular</w:t>
            </w:r>
          </w:p>
        </w:tc>
        <w:tc>
          <w:tcPr>
            <w:tcW w:w="2268" w:type="dxa"/>
            <w:vAlign w:val="center"/>
          </w:tcPr>
          <w:p w14:paraId="03860E81" w14:textId="1BBE7EAE" w:rsidR="001E303B" w:rsidRDefault="001E303B" w:rsidP="007A4F9C">
            <w:pPr>
              <w:jc w:val="center"/>
              <w:rPr>
                <w:rFonts w:ascii="Times New Roman" w:hAnsi="Times New Roman" w:cs="Times New Roman"/>
              </w:rPr>
            </w:pPr>
            <w:r>
              <w:rPr>
                <w:rFonts w:ascii="Times New Roman" w:hAnsi="Times New Roman" w:cs="Times New Roman"/>
              </w:rPr>
              <w:t>16</w:t>
            </w:r>
          </w:p>
        </w:tc>
        <w:tc>
          <w:tcPr>
            <w:tcW w:w="2268" w:type="dxa"/>
            <w:vAlign w:val="center"/>
          </w:tcPr>
          <w:p w14:paraId="48E72023" w14:textId="1F90A5C8" w:rsidR="001E303B" w:rsidRDefault="001E303B" w:rsidP="007A4F9C">
            <w:pPr>
              <w:jc w:val="center"/>
              <w:rPr>
                <w:rFonts w:ascii="Times New Roman" w:hAnsi="Times New Roman" w:cs="Times New Roman"/>
              </w:rPr>
            </w:pPr>
            <w:r>
              <w:rPr>
                <w:rFonts w:ascii="Times New Roman" w:hAnsi="Times New Roman" w:cs="Times New Roman"/>
              </w:rPr>
              <w:t>13</w:t>
            </w:r>
          </w:p>
        </w:tc>
        <w:tc>
          <w:tcPr>
            <w:tcW w:w="1417" w:type="dxa"/>
            <w:vAlign w:val="center"/>
          </w:tcPr>
          <w:p w14:paraId="65C8BE2C" w14:textId="60189D3A" w:rsidR="001E303B" w:rsidRDefault="001E303B" w:rsidP="007A4F9C">
            <w:pPr>
              <w:jc w:val="center"/>
              <w:rPr>
                <w:rFonts w:ascii="Times New Roman" w:hAnsi="Times New Roman" w:cs="Times New Roman"/>
              </w:rPr>
            </w:pPr>
            <w:r>
              <w:rPr>
                <w:rFonts w:ascii="Times New Roman" w:hAnsi="Times New Roman" w:cs="Times New Roman"/>
              </w:rPr>
              <w:t>-18.8</w:t>
            </w:r>
          </w:p>
        </w:tc>
        <w:tc>
          <w:tcPr>
            <w:tcW w:w="1036" w:type="dxa"/>
            <w:vAlign w:val="center"/>
          </w:tcPr>
          <w:p w14:paraId="6134878E" w14:textId="636AC7C2" w:rsidR="001E303B" w:rsidRDefault="00E36FFA" w:rsidP="007A4F9C">
            <w:pPr>
              <w:jc w:val="center"/>
              <w:rPr>
                <w:rFonts w:ascii="Times New Roman" w:hAnsi="Times New Roman" w:cs="Times New Roman"/>
              </w:rPr>
            </w:pPr>
            <w:r>
              <w:rPr>
                <w:rFonts w:ascii="Times New Roman" w:hAnsi="Times New Roman" w:cs="Times New Roman"/>
              </w:rPr>
              <w:t>0.71</w:t>
            </w:r>
          </w:p>
        </w:tc>
      </w:tr>
    </w:tbl>
    <w:p w14:paraId="5FAD4594" w14:textId="453D201F" w:rsidR="007A4F9C" w:rsidRDefault="00B64EF4" w:rsidP="007A4F9C">
      <w:pPr>
        <w:jc w:val="both"/>
        <w:divId w:val="1171680201"/>
        <w:rPr>
          <w:rFonts w:ascii="Times New Roman" w:hAnsi="Times New Roman" w:cs="Times New Roman"/>
        </w:rPr>
      </w:pPr>
      <w:r>
        <w:rPr>
          <w:rFonts w:ascii="Times New Roman" w:hAnsi="Times New Roman" w:cs="Times New Roman"/>
        </w:rPr>
        <w:t>Table 2</w:t>
      </w:r>
      <w:r w:rsidR="007A4F9C">
        <w:rPr>
          <w:rFonts w:ascii="Times New Roman" w:hAnsi="Times New Roman" w:cs="Times New Roman"/>
        </w:rPr>
        <w:t xml:space="preserve"> – Number of new cancer diagnoses</w:t>
      </w:r>
      <w:r w:rsidR="009B1067">
        <w:rPr>
          <w:rFonts w:ascii="Times New Roman" w:hAnsi="Times New Roman" w:cs="Times New Roman"/>
        </w:rPr>
        <w:t xml:space="preserve"> in the period during and immediately following the </w:t>
      </w:r>
      <w:r w:rsidR="006A256D">
        <w:rPr>
          <w:rFonts w:ascii="Times New Roman" w:hAnsi="Times New Roman" w:cs="Times New Roman"/>
        </w:rPr>
        <w:t>‘</w:t>
      </w:r>
      <w:proofErr w:type="gramStart"/>
      <w:r w:rsidR="006A256D">
        <w:rPr>
          <w:rFonts w:ascii="Times New Roman" w:hAnsi="Times New Roman" w:cs="Times New Roman"/>
        </w:rPr>
        <w:t>Be</w:t>
      </w:r>
      <w:proofErr w:type="gramEnd"/>
      <w:r w:rsidR="006A256D">
        <w:rPr>
          <w:rFonts w:ascii="Times New Roman" w:hAnsi="Times New Roman" w:cs="Times New Roman"/>
        </w:rPr>
        <w:t xml:space="preserve"> clear on cancer: Blood in the pee’ </w:t>
      </w:r>
      <w:r w:rsidR="009B1067">
        <w:rPr>
          <w:rFonts w:ascii="Times New Roman" w:hAnsi="Times New Roman" w:cs="Times New Roman"/>
        </w:rPr>
        <w:t>campaign</w:t>
      </w:r>
    </w:p>
    <w:p w14:paraId="1553354E" w14:textId="77777777" w:rsidR="007A4F9C" w:rsidRDefault="007A4F9C" w:rsidP="007A4F9C">
      <w:pPr>
        <w:jc w:val="both"/>
        <w:divId w:val="1171680201"/>
        <w:rPr>
          <w:rFonts w:ascii="Times New Roman" w:hAnsi="Times New Roman" w:cs="Times New Roman"/>
        </w:rPr>
      </w:pPr>
      <w:r>
        <w:rPr>
          <w:rFonts w:ascii="Times New Roman" w:hAnsi="Times New Roman" w:cs="Times New Roman"/>
        </w:rPr>
        <w:t>TCC – Transitional cell carcinoma, RCC = Renal cell carcinoma</w:t>
      </w:r>
    </w:p>
    <w:p w14:paraId="36B3FE0B" w14:textId="77777777" w:rsidR="00483675" w:rsidRDefault="00483675" w:rsidP="00F52F10">
      <w:pPr>
        <w:spacing w:line="480" w:lineRule="auto"/>
        <w:jc w:val="both"/>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2118"/>
        <w:gridCol w:w="2118"/>
        <w:gridCol w:w="2118"/>
        <w:gridCol w:w="2118"/>
      </w:tblGrid>
      <w:tr w:rsidR="006D6795" w:rsidRPr="00AC57B7" w14:paraId="08A3EED8" w14:textId="77777777" w:rsidTr="00E11130">
        <w:tc>
          <w:tcPr>
            <w:tcW w:w="2118" w:type="dxa"/>
            <w:shd w:val="clear" w:color="auto" w:fill="4F81BD" w:themeFill="accent1"/>
            <w:vAlign w:val="center"/>
          </w:tcPr>
          <w:p w14:paraId="039BF318" w14:textId="77777777" w:rsidR="006D6795" w:rsidRPr="00AC57B7" w:rsidRDefault="006D6795" w:rsidP="00E11130">
            <w:pPr>
              <w:jc w:val="center"/>
              <w:rPr>
                <w:rFonts w:ascii="Times New Roman" w:hAnsi="Times New Roman" w:cs="Times New Roman"/>
                <w:b/>
                <w:color w:val="FFFFFF" w:themeColor="background1"/>
              </w:rPr>
            </w:pPr>
          </w:p>
        </w:tc>
        <w:tc>
          <w:tcPr>
            <w:tcW w:w="2118" w:type="dxa"/>
            <w:shd w:val="clear" w:color="auto" w:fill="4F81BD" w:themeFill="accent1"/>
            <w:vAlign w:val="center"/>
          </w:tcPr>
          <w:p w14:paraId="10C99A51" w14:textId="77777777" w:rsidR="006D6795" w:rsidRPr="00AC57B7" w:rsidRDefault="006D6795" w:rsidP="00E11130">
            <w:pPr>
              <w:jc w:val="center"/>
              <w:rPr>
                <w:rFonts w:ascii="Times New Roman" w:hAnsi="Times New Roman" w:cs="Times New Roman"/>
                <w:b/>
                <w:color w:val="FFFFFF" w:themeColor="background1"/>
              </w:rPr>
            </w:pPr>
            <w:r w:rsidRPr="00AC57B7">
              <w:rPr>
                <w:rFonts w:ascii="Times New Roman" w:hAnsi="Times New Roman" w:cs="Times New Roman"/>
                <w:b/>
                <w:color w:val="FFFFFF" w:themeColor="background1"/>
              </w:rPr>
              <w:t>Oct ’12 – Feb ‘13</w:t>
            </w:r>
          </w:p>
        </w:tc>
        <w:tc>
          <w:tcPr>
            <w:tcW w:w="2118" w:type="dxa"/>
            <w:shd w:val="clear" w:color="auto" w:fill="4F81BD" w:themeFill="accent1"/>
            <w:vAlign w:val="center"/>
          </w:tcPr>
          <w:p w14:paraId="2131CA8D" w14:textId="77777777" w:rsidR="006D6795" w:rsidRPr="00AC57B7" w:rsidRDefault="006D6795" w:rsidP="00E11130">
            <w:pPr>
              <w:jc w:val="center"/>
              <w:rPr>
                <w:rFonts w:ascii="Times New Roman" w:hAnsi="Times New Roman" w:cs="Times New Roman"/>
                <w:b/>
                <w:color w:val="FFFFFF" w:themeColor="background1"/>
              </w:rPr>
            </w:pPr>
            <w:r w:rsidRPr="00AC57B7">
              <w:rPr>
                <w:rFonts w:ascii="Times New Roman" w:hAnsi="Times New Roman" w:cs="Times New Roman"/>
                <w:b/>
                <w:color w:val="FFFFFF" w:themeColor="background1"/>
              </w:rPr>
              <w:t>Oct ’13 – Feb ‘14</w:t>
            </w:r>
          </w:p>
        </w:tc>
        <w:tc>
          <w:tcPr>
            <w:tcW w:w="2118" w:type="dxa"/>
            <w:shd w:val="clear" w:color="auto" w:fill="4F81BD" w:themeFill="accent1"/>
            <w:vAlign w:val="center"/>
          </w:tcPr>
          <w:p w14:paraId="0E3454BF" w14:textId="77777777" w:rsidR="006D6795" w:rsidRPr="00AC57B7" w:rsidRDefault="006D6795" w:rsidP="00E11130">
            <w:pPr>
              <w:jc w:val="center"/>
              <w:rPr>
                <w:rFonts w:ascii="Times New Roman" w:hAnsi="Times New Roman" w:cs="Times New Roman"/>
                <w:b/>
                <w:color w:val="FFFFFF" w:themeColor="background1"/>
              </w:rPr>
            </w:pPr>
            <w:proofErr w:type="gramStart"/>
            <w:r w:rsidRPr="00AC57B7">
              <w:rPr>
                <w:rFonts w:ascii="Times New Roman" w:hAnsi="Times New Roman" w:cs="Times New Roman"/>
                <w:b/>
                <w:color w:val="FFFFFF" w:themeColor="background1"/>
              </w:rPr>
              <w:t>p</w:t>
            </w:r>
            <w:proofErr w:type="gramEnd"/>
            <w:r w:rsidRPr="00AC57B7">
              <w:rPr>
                <w:rFonts w:ascii="Times New Roman" w:hAnsi="Times New Roman" w:cs="Times New Roman"/>
                <w:b/>
                <w:color w:val="FFFFFF" w:themeColor="background1"/>
              </w:rPr>
              <w:t>-value</w:t>
            </w:r>
          </w:p>
        </w:tc>
      </w:tr>
      <w:tr w:rsidR="006D6795" w14:paraId="0C00C669" w14:textId="77777777" w:rsidTr="00E11130">
        <w:tc>
          <w:tcPr>
            <w:tcW w:w="8472" w:type="dxa"/>
            <w:gridSpan w:val="4"/>
            <w:vAlign w:val="center"/>
          </w:tcPr>
          <w:p w14:paraId="140E8493" w14:textId="57A7037D" w:rsidR="006D6795" w:rsidRDefault="006D6795" w:rsidP="00E11130">
            <w:pPr>
              <w:jc w:val="center"/>
              <w:rPr>
                <w:rFonts w:ascii="Times New Roman" w:hAnsi="Times New Roman" w:cs="Times New Roman"/>
              </w:rPr>
            </w:pPr>
            <w:r>
              <w:rPr>
                <w:rFonts w:ascii="Times New Roman" w:hAnsi="Times New Roman" w:cs="Times New Roman"/>
                <w:b/>
              </w:rPr>
              <w:t>Mean Age</w:t>
            </w:r>
          </w:p>
        </w:tc>
      </w:tr>
      <w:tr w:rsidR="006D6795" w14:paraId="45C727EE" w14:textId="77777777" w:rsidTr="00E11130">
        <w:tc>
          <w:tcPr>
            <w:tcW w:w="2118" w:type="dxa"/>
            <w:vAlign w:val="center"/>
          </w:tcPr>
          <w:p w14:paraId="14C856CE" w14:textId="77777777" w:rsidR="006D6795" w:rsidRPr="00E65618" w:rsidRDefault="006D6795" w:rsidP="00E11130">
            <w:pPr>
              <w:jc w:val="center"/>
              <w:rPr>
                <w:rFonts w:ascii="Times New Roman" w:hAnsi="Times New Roman" w:cs="Times New Roman"/>
                <w:b/>
              </w:rPr>
            </w:pPr>
            <w:r w:rsidRPr="00E65618">
              <w:rPr>
                <w:rFonts w:ascii="Times New Roman" w:hAnsi="Times New Roman" w:cs="Times New Roman"/>
                <w:b/>
              </w:rPr>
              <w:t>Haematuria</w:t>
            </w:r>
          </w:p>
        </w:tc>
        <w:tc>
          <w:tcPr>
            <w:tcW w:w="2118" w:type="dxa"/>
            <w:vAlign w:val="center"/>
          </w:tcPr>
          <w:p w14:paraId="64B6DA33" w14:textId="77777777" w:rsidR="006D6795" w:rsidRDefault="006D6795" w:rsidP="00E11130">
            <w:pPr>
              <w:jc w:val="center"/>
              <w:rPr>
                <w:rFonts w:ascii="Times New Roman" w:hAnsi="Times New Roman" w:cs="Times New Roman"/>
              </w:rPr>
            </w:pPr>
            <w:r>
              <w:rPr>
                <w:rFonts w:ascii="Times New Roman" w:hAnsi="Times New Roman" w:cs="Times New Roman"/>
              </w:rPr>
              <w:t>65.53 ± 14.28</w:t>
            </w:r>
          </w:p>
        </w:tc>
        <w:tc>
          <w:tcPr>
            <w:tcW w:w="2118" w:type="dxa"/>
            <w:vAlign w:val="center"/>
          </w:tcPr>
          <w:p w14:paraId="55DDCDAA" w14:textId="77777777" w:rsidR="006D6795" w:rsidRDefault="006D6795" w:rsidP="00E11130">
            <w:pPr>
              <w:jc w:val="center"/>
              <w:rPr>
                <w:rFonts w:ascii="Times New Roman" w:hAnsi="Times New Roman" w:cs="Times New Roman"/>
              </w:rPr>
            </w:pPr>
            <w:r>
              <w:rPr>
                <w:rFonts w:ascii="Times New Roman" w:hAnsi="Times New Roman" w:cs="Times New Roman"/>
              </w:rPr>
              <w:t>63.83 ± 15.93</w:t>
            </w:r>
          </w:p>
        </w:tc>
        <w:tc>
          <w:tcPr>
            <w:tcW w:w="2118" w:type="dxa"/>
            <w:vAlign w:val="center"/>
          </w:tcPr>
          <w:p w14:paraId="3927C541" w14:textId="77777777" w:rsidR="006D6795" w:rsidRDefault="006D6795" w:rsidP="00E11130">
            <w:pPr>
              <w:jc w:val="center"/>
              <w:rPr>
                <w:rFonts w:ascii="Times New Roman" w:hAnsi="Times New Roman" w:cs="Times New Roman"/>
              </w:rPr>
            </w:pPr>
            <w:r>
              <w:rPr>
                <w:rFonts w:ascii="Times New Roman" w:hAnsi="Times New Roman" w:cs="Times New Roman"/>
              </w:rPr>
              <w:t>0.86</w:t>
            </w:r>
          </w:p>
        </w:tc>
      </w:tr>
      <w:tr w:rsidR="006D6795" w14:paraId="307DC40D" w14:textId="77777777" w:rsidTr="00E11130">
        <w:tc>
          <w:tcPr>
            <w:tcW w:w="2118" w:type="dxa"/>
            <w:vAlign w:val="center"/>
          </w:tcPr>
          <w:p w14:paraId="04539CB9" w14:textId="77777777" w:rsidR="006D6795" w:rsidRPr="00E65618" w:rsidRDefault="006D6795" w:rsidP="00E11130">
            <w:pPr>
              <w:jc w:val="center"/>
              <w:rPr>
                <w:rFonts w:ascii="Times New Roman" w:hAnsi="Times New Roman" w:cs="Times New Roman"/>
                <w:b/>
              </w:rPr>
            </w:pPr>
            <w:r w:rsidRPr="00E65618">
              <w:rPr>
                <w:rFonts w:ascii="Times New Roman" w:hAnsi="Times New Roman" w:cs="Times New Roman"/>
                <w:b/>
              </w:rPr>
              <w:t>VH</w:t>
            </w:r>
          </w:p>
        </w:tc>
        <w:tc>
          <w:tcPr>
            <w:tcW w:w="2118" w:type="dxa"/>
            <w:vAlign w:val="center"/>
          </w:tcPr>
          <w:p w14:paraId="16B00EB8" w14:textId="77777777" w:rsidR="006D6795" w:rsidRDefault="006D6795" w:rsidP="00E11130">
            <w:pPr>
              <w:jc w:val="center"/>
              <w:rPr>
                <w:rFonts w:ascii="Times New Roman" w:hAnsi="Times New Roman" w:cs="Times New Roman"/>
              </w:rPr>
            </w:pPr>
            <w:r>
              <w:rPr>
                <w:rFonts w:ascii="Times New Roman" w:hAnsi="Times New Roman" w:cs="Times New Roman"/>
              </w:rPr>
              <w:t>64.84 ± 16.70</w:t>
            </w:r>
          </w:p>
        </w:tc>
        <w:tc>
          <w:tcPr>
            <w:tcW w:w="2118" w:type="dxa"/>
            <w:vAlign w:val="center"/>
          </w:tcPr>
          <w:p w14:paraId="7B317471" w14:textId="77777777" w:rsidR="006D6795" w:rsidRDefault="006D6795" w:rsidP="00E11130">
            <w:pPr>
              <w:jc w:val="center"/>
              <w:rPr>
                <w:rFonts w:ascii="Times New Roman" w:hAnsi="Times New Roman" w:cs="Times New Roman"/>
              </w:rPr>
            </w:pPr>
            <w:r>
              <w:rPr>
                <w:rFonts w:ascii="Times New Roman" w:hAnsi="Times New Roman" w:cs="Times New Roman"/>
              </w:rPr>
              <w:t>61.97 ± 17.17</w:t>
            </w:r>
          </w:p>
        </w:tc>
        <w:tc>
          <w:tcPr>
            <w:tcW w:w="2118" w:type="dxa"/>
            <w:vAlign w:val="center"/>
          </w:tcPr>
          <w:p w14:paraId="334D1DD2" w14:textId="77777777" w:rsidR="006D6795" w:rsidRDefault="006D6795" w:rsidP="00E11130">
            <w:pPr>
              <w:jc w:val="center"/>
              <w:rPr>
                <w:rFonts w:ascii="Times New Roman" w:hAnsi="Times New Roman" w:cs="Times New Roman"/>
              </w:rPr>
            </w:pPr>
            <w:r>
              <w:rPr>
                <w:rFonts w:ascii="Times New Roman" w:hAnsi="Times New Roman" w:cs="Times New Roman"/>
              </w:rPr>
              <w:t>0.20</w:t>
            </w:r>
          </w:p>
        </w:tc>
      </w:tr>
      <w:tr w:rsidR="006D6795" w14:paraId="65318F5F" w14:textId="77777777" w:rsidTr="00E11130">
        <w:tc>
          <w:tcPr>
            <w:tcW w:w="2118" w:type="dxa"/>
            <w:vAlign w:val="center"/>
          </w:tcPr>
          <w:p w14:paraId="63D6FA7E" w14:textId="77777777" w:rsidR="006D6795" w:rsidRPr="00E65618" w:rsidRDefault="006D6795" w:rsidP="00E11130">
            <w:pPr>
              <w:jc w:val="center"/>
              <w:rPr>
                <w:rFonts w:ascii="Times New Roman" w:hAnsi="Times New Roman" w:cs="Times New Roman"/>
                <w:b/>
              </w:rPr>
            </w:pPr>
            <w:r w:rsidRPr="00E65618">
              <w:rPr>
                <w:rFonts w:ascii="Times New Roman" w:hAnsi="Times New Roman" w:cs="Times New Roman"/>
                <w:b/>
              </w:rPr>
              <w:t>NVH</w:t>
            </w:r>
          </w:p>
        </w:tc>
        <w:tc>
          <w:tcPr>
            <w:tcW w:w="2118" w:type="dxa"/>
            <w:vAlign w:val="center"/>
          </w:tcPr>
          <w:p w14:paraId="49549076" w14:textId="77777777" w:rsidR="006D6795" w:rsidRDefault="006D6795" w:rsidP="00E11130">
            <w:pPr>
              <w:jc w:val="center"/>
              <w:rPr>
                <w:rFonts w:ascii="Times New Roman" w:hAnsi="Times New Roman" w:cs="Times New Roman"/>
              </w:rPr>
            </w:pPr>
            <w:r>
              <w:rPr>
                <w:rFonts w:ascii="Times New Roman" w:hAnsi="Times New Roman" w:cs="Times New Roman"/>
              </w:rPr>
              <w:t>66.88 ± 11.34</w:t>
            </w:r>
          </w:p>
        </w:tc>
        <w:tc>
          <w:tcPr>
            <w:tcW w:w="2118" w:type="dxa"/>
            <w:vAlign w:val="center"/>
          </w:tcPr>
          <w:p w14:paraId="4C36CCCB" w14:textId="77777777" w:rsidR="006D6795" w:rsidRDefault="006D6795" w:rsidP="00E11130">
            <w:pPr>
              <w:jc w:val="center"/>
              <w:rPr>
                <w:rFonts w:ascii="Times New Roman" w:hAnsi="Times New Roman" w:cs="Times New Roman"/>
              </w:rPr>
            </w:pPr>
            <w:r>
              <w:rPr>
                <w:rFonts w:ascii="Times New Roman" w:hAnsi="Times New Roman" w:cs="Times New Roman"/>
              </w:rPr>
              <w:t>67.10 ± 11.69</w:t>
            </w:r>
          </w:p>
        </w:tc>
        <w:tc>
          <w:tcPr>
            <w:tcW w:w="2118" w:type="dxa"/>
            <w:vAlign w:val="center"/>
          </w:tcPr>
          <w:p w14:paraId="6D5B5DFC" w14:textId="77777777" w:rsidR="006D6795" w:rsidRDefault="006D6795" w:rsidP="00E11130">
            <w:pPr>
              <w:jc w:val="center"/>
              <w:rPr>
                <w:rFonts w:ascii="Times New Roman" w:hAnsi="Times New Roman" w:cs="Times New Roman"/>
              </w:rPr>
            </w:pPr>
            <w:r>
              <w:rPr>
                <w:rFonts w:ascii="Times New Roman" w:hAnsi="Times New Roman" w:cs="Times New Roman"/>
              </w:rPr>
              <w:t>0.88</w:t>
            </w:r>
          </w:p>
        </w:tc>
      </w:tr>
      <w:tr w:rsidR="006D6795" w14:paraId="358C098A" w14:textId="77777777" w:rsidTr="00E11130">
        <w:tc>
          <w:tcPr>
            <w:tcW w:w="8472" w:type="dxa"/>
            <w:gridSpan w:val="4"/>
            <w:vAlign w:val="center"/>
          </w:tcPr>
          <w:p w14:paraId="39560F0C" w14:textId="77777777" w:rsidR="006D6795" w:rsidRDefault="006D6795" w:rsidP="00E11130">
            <w:pPr>
              <w:jc w:val="center"/>
              <w:rPr>
                <w:rFonts w:ascii="Times New Roman" w:hAnsi="Times New Roman" w:cs="Times New Roman"/>
              </w:rPr>
            </w:pPr>
            <w:r>
              <w:rPr>
                <w:rFonts w:ascii="Times New Roman" w:hAnsi="Times New Roman" w:cs="Times New Roman"/>
                <w:b/>
              </w:rPr>
              <w:t>% Male</w:t>
            </w:r>
          </w:p>
        </w:tc>
      </w:tr>
      <w:tr w:rsidR="006D6795" w14:paraId="4ABE1DC6" w14:textId="77777777" w:rsidTr="00E11130">
        <w:tc>
          <w:tcPr>
            <w:tcW w:w="2118" w:type="dxa"/>
            <w:vAlign w:val="center"/>
          </w:tcPr>
          <w:p w14:paraId="5856C63A" w14:textId="77777777" w:rsidR="006D6795" w:rsidRPr="00E65618" w:rsidRDefault="006D6795" w:rsidP="00E11130">
            <w:pPr>
              <w:jc w:val="center"/>
              <w:rPr>
                <w:rFonts w:ascii="Times New Roman" w:hAnsi="Times New Roman" w:cs="Times New Roman"/>
                <w:b/>
              </w:rPr>
            </w:pPr>
            <w:r w:rsidRPr="00E65618">
              <w:rPr>
                <w:rFonts w:ascii="Times New Roman" w:hAnsi="Times New Roman" w:cs="Times New Roman"/>
                <w:b/>
              </w:rPr>
              <w:t>Haematuria</w:t>
            </w:r>
          </w:p>
        </w:tc>
        <w:tc>
          <w:tcPr>
            <w:tcW w:w="2118" w:type="dxa"/>
            <w:vAlign w:val="center"/>
          </w:tcPr>
          <w:p w14:paraId="13FF89C5" w14:textId="77777777" w:rsidR="006D6795" w:rsidRDefault="006D6795" w:rsidP="00E11130">
            <w:pPr>
              <w:jc w:val="center"/>
              <w:rPr>
                <w:rFonts w:ascii="Times New Roman" w:hAnsi="Times New Roman" w:cs="Times New Roman"/>
              </w:rPr>
            </w:pPr>
            <w:r>
              <w:rPr>
                <w:rFonts w:ascii="Times New Roman" w:hAnsi="Times New Roman" w:cs="Times New Roman"/>
              </w:rPr>
              <w:t>62.15</w:t>
            </w:r>
          </w:p>
        </w:tc>
        <w:tc>
          <w:tcPr>
            <w:tcW w:w="2118" w:type="dxa"/>
            <w:vAlign w:val="center"/>
          </w:tcPr>
          <w:p w14:paraId="4D551738" w14:textId="77777777" w:rsidR="006D6795" w:rsidRDefault="006D6795" w:rsidP="00E11130">
            <w:pPr>
              <w:jc w:val="center"/>
              <w:rPr>
                <w:rFonts w:ascii="Times New Roman" w:hAnsi="Times New Roman" w:cs="Times New Roman"/>
              </w:rPr>
            </w:pPr>
            <w:r>
              <w:rPr>
                <w:rFonts w:ascii="Times New Roman" w:hAnsi="Times New Roman" w:cs="Times New Roman"/>
              </w:rPr>
              <w:t>65.15</w:t>
            </w:r>
          </w:p>
        </w:tc>
        <w:tc>
          <w:tcPr>
            <w:tcW w:w="2118" w:type="dxa"/>
            <w:vAlign w:val="center"/>
          </w:tcPr>
          <w:p w14:paraId="54689237" w14:textId="77777777" w:rsidR="006D6795" w:rsidRDefault="006D6795" w:rsidP="00E11130">
            <w:pPr>
              <w:jc w:val="center"/>
              <w:rPr>
                <w:rFonts w:ascii="Times New Roman" w:hAnsi="Times New Roman" w:cs="Times New Roman"/>
              </w:rPr>
            </w:pPr>
            <w:r>
              <w:rPr>
                <w:rFonts w:ascii="Times New Roman" w:hAnsi="Times New Roman" w:cs="Times New Roman"/>
              </w:rPr>
              <w:t>0.66</w:t>
            </w:r>
          </w:p>
        </w:tc>
      </w:tr>
      <w:tr w:rsidR="006D6795" w14:paraId="27AAA93C" w14:textId="77777777" w:rsidTr="00E11130">
        <w:tc>
          <w:tcPr>
            <w:tcW w:w="2118" w:type="dxa"/>
            <w:vAlign w:val="center"/>
          </w:tcPr>
          <w:p w14:paraId="7A890DF1" w14:textId="77777777" w:rsidR="006D6795" w:rsidRPr="00E65618" w:rsidRDefault="006D6795" w:rsidP="00E11130">
            <w:pPr>
              <w:jc w:val="center"/>
              <w:rPr>
                <w:rFonts w:ascii="Times New Roman" w:hAnsi="Times New Roman" w:cs="Times New Roman"/>
                <w:b/>
              </w:rPr>
            </w:pPr>
            <w:r w:rsidRPr="00E65618">
              <w:rPr>
                <w:rFonts w:ascii="Times New Roman" w:hAnsi="Times New Roman" w:cs="Times New Roman"/>
                <w:b/>
              </w:rPr>
              <w:t>VH</w:t>
            </w:r>
          </w:p>
        </w:tc>
        <w:tc>
          <w:tcPr>
            <w:tcW w:w="2118" w:type="dxa"/>
            <w:vAlign w:val="center"/>
          </w:tcPr>
          <w:p w14:paraId="76E8CEA8" w14:textId="77777777" w:rsidR="006D6795" w:rsidRDefault="006D6795" w:rsidP="00E11130">
            <w:pPr>
              <w:jc w:val="center"/>
              <w:rPr>
                <w:rFonts w:ascii="Times New Roman" w:hAnsi="Times New Roman" w:cs="Times New Roman"/>
              </w:rPr>
            </w:pPr>
            <w:r>
              <w:rPr>
                <w:rFonts w:ascii="Times New Roman" w:hAnsi="Times New Roman" w:cs="Times New Roman"/>
              </w:rPr>
              <w:t>70.32</w:t>
            </w:r>
          </w:p>
        </w:tc>
        <w:tc>
          <w:tcPr>
            <w:tcW w:w="2118" w:type="dxa"/>
            <w:vAlign w:val="center"/>
          </w:tcPr>
          <w:p w14:paraId="5C4D09D3" w14:textId="77777777" w:rsidR="006D6795" w:rsidRDefault="006D6795" w:rsidP="00E11130">
            <w:pPr>
              <w:jc w:val="center"/>
              <w:rPr>
                <w:rFonts w:ascii="Times New Roman" w:hAnsi="Times New Roman" w:cs="Times New Roman"/>
              </w:rPr>
            </w:pPr>
            <w:r>
              <w:rPr>
                <w:rFonts w:ascii="Times New Roman" w:hAnsi="Times New Roman" w:cs="Times New Roman"/>
              </w:rPr>
              <w:t>77.66</w:t>
            </w:r>
          </w:p>
        </w:tc>
        <w:tc>
          <w:tcPr>
            <w:tcW w:w="2118" w:type="dxa"/>
            <w:vAlign w:val="center"/>
          </w:tcPr>
          <w:p w14:paraId="127EDB2B" w14:textId="77777777" w:rsidR="006D6795" w:rsidRDefault="006D6795" w:rsidP="00E11130">
            <w:pPr>
              <w:jc w:val="center"/>
              <w:rPr>
                <w:rFonts w:ascii="Times New Roman" w:hAnsi="Times New Roman" w:cs="Times New Roman"/>
              </w:rPr>
            </w:pPr>
            <w:r>
              <w:rPr>
                <w:rFonts w:ascii="Times New Roman" w:hAnsi="Times New Roman" w:cs="Times New Roman"/>
              </w:rPr>
              <w:t>0.18</w:t>
            </w:r>
          </w:p>
        </w:tc>
      </w:tr>
      <w:tr w:rsidR="006D6795" w14:paraId="32B926B7" w14:textId="77777777" w:rsidTr="00E11130">
        <w:tc>
          <w:tcPr>
            <w:tcW w:w="2118" w:type="dxa"/>
            <w:vAlign w:val="center"/>
          </w:tcPr>
          <w:p w14:paraId="592B2781" w14:textId="77777777" w:rsidR="006D6795" w:rsidRPr="00E65618" w:rsidRDefault="006D6795" w:rsidP="00E11130">
            <w:pPr>
              <w:jc w:val="center"/>
              <w:rPr>
                <w:rFonts w:ascii="Times New Roman" w:hAnsi="Times New Roman" w:cs="Times New Roman"/>
                <w:b/>
              </w:rPr>
            </w:pPr>
            <w:r w:rsidRPr="00E65618">
              <w:rPr>
                <w:rFonts w:ascii="Times New Roman" w:hAnsi="Times New Roman" w:cs="Times New Roman"/>
                <w:b/>
              </w:rPr>
              <w:t>NVH</w:t>
            </w:r>
          </w:p>
        </w:tc>
        <w:tc>
          <w:tcPr>
            <w:tcW w:w="2118" w:type="dxa"/>
            <w:vAlign w:val="center"/>
          </w:tcPr>
          <w:p w14:paraId="67976F5B" w14:textId="77777777" w:rsidR="006D6795" w:rsidRDefault="006D6795" w:rsidP="00E11130">
            <w:pPr>
              <w:jc w:val="center"/>
              <w:rPr>
                <w:rFonts w:ascii="Times New Roman" w:hAnsi="Times New Roman" w:cs="Times New Roman"/>
              </w:rPr>
            </w:pPr>
            <w:r>
              <w:rPr>
                <w:rFonts w:ascii="Times New Roman" w:hAnsi="Times New Roman" w:cs="Times New Roman"/>
              </w:rPr>
              <w:t>55.70</w:t>
            </w:r>
          </w:p>
        </w:tc>
        <w:tc>
          <w:tcPr>
            <w:tcW w:w="2118" w:type="dxa"/>
            <w:vAlign w:val="center"/>
          </w:tcPr>
          <w:p w14:paraId="3797DAB0" w14:textId="77777777" w:rsidR="006D6795" w:rsidRDefault="006D6795" w:rsidP="00E11130">
            <w:pPr>
              <w:jc w:val="center"/>
              <w:rPr>
                <w:rFonts w:ascii="Times New Roman" w:hAnsi="Times New Roman" w:cs="Times New Roman"/>
              </w:rPr>
            </w:pPr>
            <w:r>
              <w:rPr>
                <w:rFonts w:ascii="Times New Roman" w:hAnsi="Times New Roman" w:cs="Times New Roman"/>
              </w:rPr>
              <w:t>42.60</w:t>
            </w:r>
          </w:p>
        </w:tc>
        <w:tc>
          <w:tcPr>
            <w:tcW w:w="2118" w:type="dxa"/>
            <w:vAlign w:val="center"/>
          </w:tcPr>
          <w:p w14:paraId="57AD699A" w14:textId="77777777" w:rsidR="006D6795" w:rsidRDefault="006D6795" w:rsidP="00E11130">
            <w:pPr>
              <w:jc w:val="center"/>
              <w:rPr>
                <w:rFonts w:ascii="Times New Roman" w:hAnsi="Times New Roman" w:cs="Times New Roman"/>
              </w:rPr>
            </w:pPr>
            <w:r>
              <w:rPr>
                <w:rFonts w:ascii="Times New Roman" w:hAnsi="Times New Roman" w:cs="Times New Roman"/>
              </w:rPr>
              <w:t>0.08</w:t>
            </w:r>
          </w:p>
        </w:tc>
      </w:tr>
    </w:tbl>
    <w:p w14:paraId="7721FC8A" w14:textId="1681E52F" w:rsidR="00FF15E0" w:rsidRDefault="00617574" w:rsidP="00483675">
      <w:pPr>
        <w:jc w:val="both"/>
        <w:rPr>
          <w:rFonts w:ascii="Times New Roman" w:hAnsi="Times New Roman" w:cs="Times New Roman"/>
        </w:rPr>
      </w:pPr>
      <w:r>
        <w:rPr>
          <w:rFonts w:ascii="Times New Roman" w:hAnsi="Times New Roman" w:cs="Times New Roman"/>
        </w:rPr>
        <w:t>Table 3 – Demographic differences b</w:t>
      </w:r>
      <w:r w:rsidR="00483675">
        <w:rPr>
          <w:rFonts w:ascii="Times New Roman" w:hAnsi="Times New Roman" w:cs="Times New Roman"/>
        </w:rPr>
        <w:t>etween the periods during and immediately following the ‘Be clear on cancer blood in the pee’ campaign</w:t>
      </w:r>
    </w:p>
    <w:p w14:paraId="1D387D72" w14:textId="6FC205CA" w:rsidR="00483675" w:rsidRDefault="00483675" w:rsidP="00483675">
      <w:pPr>
        <w:jc w:val="both"/>
        <w:rPr>
          <w:rFonts w:ascii="Times New Roman" w:hAnsi="Times New Roman" w:cs="Times New Roman"/>
        </w:rPr>
      </w:pPr>
      <w:r>
        <w:rPr>
          <w:rFonts w:ascii="Times New Roman" w:hAnsi="Times New Roman" w:cs="Times New Roman"/>
        </w:rPr>
        <w:t>VH = Visible haematuria, NVH= Non-visible haematuria</w:t>
      </w:r>
    </w:p>
    <w:p w14:paraId="6DE23D41" w14:textId="77777777" w:rsidR="00FF15E0" w:rsidRDefault="00FF15E0" w:rsidP="00F52F10">
      <w:pPr>
        <w:spacing w:line="480" w:lineRule="auto"/>
        <w:jc w:val="both"/>
        <w:rPr>
          <w:rFonts w:ascii="Times New Roman" w:hAnsi="Times New Roman" w:cs="Times New Roman"/>
        </w:rPr>
      </w:pPr>
    </w:p>
    <w:p w14:paraId="1B54E206" w14:textId="77777777" w:rsidR="00FF15E0" w:rsidRDefault="00FF15E0" w:rsidP="00F52F10">
      <w:pPr>
        <w:spacing w:line="480" w:lineRule="auto"/>
        <w:jc w:val="both"/>
        <w:rPr>
          <w:rFonts w:ascii="Times New Roman" w:hAnsi="Times New Roman" w:cs="Times New Roman"/>
        </w:rPr>
      </w:pPr>
    </w:p>
    <w:p w14:paraId="226FB9F4" w14:textId="3E9D8867" w:rsidR="00FF15E0" w:rsidRDefault="00444F1A" w:rsidP="00F52F10">
      <w:pPr>
        <w:spacing w:line="480" w:lineRule="auto"/>
        <w:jc w:val="both"/>
        <w:rPr>
          <w:rFonts w:ascii="Times New Roman" w:hAnsi="Times New Roman" w:cs="Times New Roman"/>
        </w:rPr>
      </w:pPr>
      <w:r>
        <w:rPr>
          <w:rFonts w:ascii="Times New Roman" w:hAnsi="Times New Roman" w:cs="Times New Roman"/>
          <w:noProof/>
          <w:lang w:val="en-US"/>
        </w:rPr>
        <w:drawing>
          <wp:inline distT="0" distB="0" distL="0" distR="0" wp14:anchorId="3D35DEA9" wp14:editId="16D7D334">
            <wp:extent cx="5328285" cy="75603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8285" cy="7560310"/>
                    </a:xfrm>
                    <a:prstGeom prst="rect">
                      <a:avLst/>
                    </a:prstGeom>
                    <a:noFill/>
                    <a:ln>
                      <a:noFill/>
                    </a:ln>
                  </pic:spPr>
                </pic:pic>
              </a:graphicData>
            </a:graphic>
          </wp:inline>
        </w:drawing>
      </w:r>
    </w:p>
    <w:p w14:paraId="333D7AD7" w14:textId="68256FA7" w:rsidR="00FF15E0" w:rsidRDefault="00444F1A" w:rsidP="00F52F10">
      <w:pPr>
        <w:spacing w:line="480" w:lineRule="auto"/>
        <w:jc w:val="both"/>
        <w:rPr>
          <w:rFonts w:ascii="Times New Roman" w:hAnsi="Times New Roman" w:cs="Times New Roman"/>
        </w:rPr>
      </w:pPr>
      <w:r>
        <w:rPr>
          <w:rFonts w:ascii="Times New Roman" w:hAnsi="Times New Roman" w:cs="Times New Roman"/>
        </w:rPr>
        <w:t>Figure 1.  Campaign Poster</w:t>
      </w:r>
    </w:p>
    <w:p w14:paraId="4320ED24" w14:textId="0E145F6D" w:rsidR="00444F1A" w:rsidRDefault="00497DF2" w:rsidP="00497DF2">
      <w:pPr>
        <w:rPr>
          <w:rFonts w:ascii="Times New Roman" w:hAnsi="Times New Roman" w:cs="Times New Roman"/>
        </w:rPr>
      </w:pPr>
      <w:r>
        <w:rPr>
          <w:noProof/>
          <w:lang w:val="en-US"/>
        </w:rPr>
        <w:drawing>
          <wp:inline distT="0" distB="0" distL="0" distR="0" wp14:anchorId="0BB679AE" wp14:editId="5950CEF1">
            <wp:extent cx="5270500" cy="4059555"/>
            <wp:effectExtent l="0" t="0" r="12700" b="2984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CC4AA0A" w14:textId="77777777" w:rsidR="00497DF2" w:rsidRDefault="00497DF2" w:rsidP="00497DF2">
      <w:pPr>
        <w:rPr>
          <w:rFonts w:ascii="Times New Roman" w:hAnsi="Times New Roman" w:cs="Times New Roman"/>
        </w:rPr>
      </w:pPr>
    </w:p>
    <w:p w14:paraId="4F4E58EE" w14:textId="57C32752" w:rsidR="00497DF2" w:rsidRDefault="00600CEE" w:rsidP="00497DF2">
      <w:pPr>
        <w:spacing w:line="480" w:lineRule="auto"/>
        <w:jc w:val="both"/>
        <w:rPr>
          <w:rFonts w:ascii="Times New Roman" w:hAnsi="Times New Roman" w:cs="Times New Roman"/>
        </w:rPr>
      </w:pPr>
      <w:r>
        <w:rPr>
          <w:rFonts w:ascii="Times New Roman" w:hAnsi="Times New Roman" w:cs="Times New Roman"/>
        </w:rPr>
        <w:t>Figure 2</w:t>
      </w:r>
      <w:r w:rsidR="00497DF2">
        <w:rPr>
          <w:rFonts w:ascii="Times New Roman" w:hAnsi="Times New Roman" w:cs="Times New Roman"/>
        </w:rPr>
        <w:t>.</w:t>
      </w:r>
      <w:r w:rsidR="00035E0C">
        <w:rPr>
          <w:rFonts w:ascii="Times New Roman" w:hAnsi="Times New Roman" w:cs="Times New Roman"/>
        </w:rPr>
        <w:t xml:space="preserve"> </w:t>
      </w:r>
      <w:proofErr w:type="gramStart"/>
      <w:r w:rsidR="00497DF2">
        <w:rPr>
          <w:rFonts w:ascii="Times New Roman" w:hAnsi="Times New Roman" w:cs="Times New Roman"/>
        </w:rPr>
        <w:t xml:space="preserve">Number of </w:t>
      </w:r>
      <w:r w:rsidR="00FF15E0">
        <w:rPr>
          <w:rFonts w:ascii="Times New Roman" w:hAnsi="Times New Roman" w:cs="Times New Roman"/>
        </w:rPr>
        <w:t xml:space="preserve">transitional and renal cell carcinoma </w:t>
      </w:r>
      <w:r w:rsidR="00497DF2">
        <w:rPr>
          <w:rFonts w:ascii="Times New Roman" w:hAnsi="Times New Roman" w:cs="Times New Roman"/>
        </w:rPr>
        <w:t>diagnoses</w:t>
      </w:r>
      <w:r w:rsidR="009B74E6">
        <w:rPr>
          <w:rFonts w:ascii="Times New Roman" w:hAnsi="Times New Roman" w:cs="Times New Roman"/>
        </w:rPr>
        <w:t xml:space="preserve"> and</w:t>
      </w:r>
      <w:r w:rsidR="00497DF2">
        <w:rPr>
          <w:rFonts w:ascii="Times New Roman" w:hAnsi="Times New Roman" w:cs="Times New Roman"/>
        </w:rPr>
        <w:t xml:space="preserve"> referrals month-by-month.</w:t>
      </w:r>
      <w:proofErr w:type="gramEnd"/>
      <w:r w:rsidR="00035E0C">
        <w:rPr>
          <w:rFonts w:ascii="Times New Roman" w:hAnsi="Times New Roman" w:cs="Times New Roman"/>
        </w:rPr>
        <w:t xml:space="preserve"> </w:t>
      </w:r>
      <w:r w:rsidR="00497DF2">
        <w:rPr>
          <w:rFonts w:ascii="Times New Roman" w:hAnsi="Times New Roman" w:cs="Times New Roman"/>
        </w:rPr>
        <w:t>Area highlighted represents the duration of the ‘blood in pee’ campaign.</w:t>
      </w:r>
    </w:p>
    <w:p w14:paraId="66E7D235" w14:textId="77777777" w:rsidR="00B33F03" w:rsidRDefault="00B33F03" w:rsidP="006257A9">
      <w:pPr>
        <w:jc w:val="both"/>
        <w:rPr>
          <w:rFonts w:ascii="Times New Roman" w:hAnsi="Times New Roman" w:cs="Times New Roman"/>
        </w:rPr>
      </w:pPr>
    </w:p>
    <w:p w14:paraId="486DDD59" w14:textId="77777777" w:rsidR="006257A9" w:rsidRDefault="006257A9" w:rsidP="006257A9">
      <w:pPr>
        <w:jc w:val="both"/>
        <w:rPr>
          <w:rFonts w:ascii="Times New Roman" w:hAnsi="Times New Roman" w:cs="Times New Roman"/>
        </w:rPr>
      </w:pPr>
    </w:p>
    <w:p w14:paraId="51B9D5BB" w14:textId="77777777" w:rsidR="00C47D68" w:rsidRDefault="00C47D68" w:rsidP="00F52F10">
      <w:pPr>
        <w:spacing w:line="480" w:lineRule="auto"/>
        <w:jc w:val="both"/>
        <w:rPr>
          <w:rFonts w:ascii="Times New Roman" w:hAnsi="Times New Roman" w:cs="Times New Roman"/>
        </w:rPr>
      </w:pPr>
    </w:p>
    <w:p w14:paraId="61495334" w14:textId="77777777" w:rsidR="00C47D68" w:rsidRDefault="00C47D68" w:rsidP="00F52F10">
      <w:pPr>
        <w:spacing w:line="480" w:lineRule="auto"/>
        <w:jc w:val="both"/>
        <w:rPr>
          <w:rFonts w:ascii="Times New Roman" w:hAnsi="Times New Roman" w:cs="Times New Roman"/>
        </w:rPr>
      </w:pPr>
    </w:p>
    <w:p w14:paraId="5509DDC9" w14:textId="77777777" w:rsidR="00C47D68" w:rsidRDefault="00C47D68" w:rsidP="00F52F10">
      <w:pPr>
        <w:spacing w:line="480" w:lineRule="auto"/>
        <w:jc w:val="both"/>
        <w:rPr>
          <w:rFonts w:ascii="Times New Roman" w:hAnsi="Times New Roman" w:cs="Times New Roman"/>
        </w:rPr>
      </w:pPr>
    </w:p>
    <w:p w14:paraId="5B75B81D" w14:textId="7EBFBA80" w:rsidR="009C7C93" w:rsidRDefault="005A078F" w:rsidP="00F52F10">
      <w:pPr>
        <w:spacing w:line="480" w:lineRule="auto"/>
        <w:jc w:val="both"/>
        <w:rPr>
          <w:rFonts w:ascii="Times New Roman" w:hAnsi="Times New Roman" w:cs="Times New Roman"/>
        </w:rPr>
      </w:pPr>
      <w:r>
        <w:rPr>
          <w:rFonts w:ascii="Times New Roman" w:hAnsi="Times New Roman" w:cs="Times New Roman"/>
          <w:noProof/>
          <w:lang w:val="en-US"/>
        </w:rPr>
        <mc:AlternateContent>
          <mc:Choice Requires="wpg">
            <w:drawing>
              <wp:anchor distT="0" distB="0" distL="114300" distR="114300" simplePos="0" relativeHeight="251677696" behindDoc="0" locked="0" layoutInCell="1" allowOverlap="1" wp14:anchorId="1C62CFB1" wp14:editId="791DA3A3">
                <wp:simplePos x="0" y="0"/>
                <wp:positionH relativeFrom="column">
                  <wp:posOffset>390525</wp:posOffset>
                </wp:positionH>
                <wp:positionV relativeFrom="paragraph">
                  <wp:posOffset>3314700</wp:posOffset>
                </wp:positionV>
                <wp:extent cx="4411980" cy="347980"/>
                <wp:effectExtent l="0" t="0" r="0" b="7620"/>
                <wp:wrapThrough wrapText="bothSides">
                  <wp:wrapPolygon edited="0">
                    <wp:start x="9202" y="0"/>
                    <wp:lineTo x="0" y="1577"/>
                    <wp:lineTo x="0" y="11036"/>
                    <wp:lineTo x="1244" y="20496"/>
                    <wp:lineTo x="21389" y="20496"/>
                    <wp:lineTo x="21389" y="0"/>
                    <wp:lineTo x="9202" y="0"/>
                  </wp:wrapPolygon>
                </wp:wrapThrough>
                <wp:docPr id="7" name="Group 7"/>
                <wp:cNvGraphicFramePr/>
                <a:graphic xmlns:a="http://schemas.openxmlformats.org/drawingml/2006/main">
                  <a:graphicData uri="http://schemas.microsoft.com/office/word/2010/wordprocessingGroup">
                    <wpg:wgp>
                      <wpg:cNvGrpSpPr/>
                      <wpg:grpSpPr>
                        <a:xfrm>
                          <a:off x="0" y="0"/>
                          <a:ext cx="4411980" cy="347980"/>
                          <a:chOff x="-571498" y="-34324"/>
                          <a:chExt cx="4415216" cy="350435"/>
                        </a:xfrm>
                      </wpg:grpSpPr>
                      <wpg:grpSp>
                        <wpg:cNvPr id="19" name="Group 19"/>
                        <wpg:cNvGrpSpPr/>
                        <wpg:grpSpPr>
                          <a:xfrm>
                            <a:off x="-571498" y="-29516"/>
                            <a:ext cx="3584705" cy="345627"/>
                            <a:chOff x="50890" y="-22643"/>
                            <a:chExt cx="799131" cy="346914"/>
                          </a:xfrm>
                        </wpg:grpSpPr>
                        <wps:wsp>
                          <wps:cNvPr id="11" name="Straight Connector 11"/>
                          <wps:cNvCnPr/>
                          <wps:spPr>
                            <a:xfrm>
                              <a:off x="50890" y="121710"/>
                              <a:ext cx="50941" cy="0"/>
                            </a:xfrm>
                            <a:prstGeom prst="line">
                              <a:avLst/>
                            </a:prstGeom>
                            <a:ln w="12700" cmpd="sng">
                              <a:solidFill>
                                <a:srgbClr val="FF0000"/>
                              </a:solidFill>
                            </a:ln>
                            <a:effectLst/>
                          </wps:spPr>
                          <wps:style>
                            <a:lnRef idx="2">
                              <a:schemeClr val="accent1"/>
                            </a:lnRef>
                            <a:fillRef idx="0">
                              <a:schemeClr val="accent1"/>
                            </a:fillRef>
                            <a:effectRef idx="1">
                              <a:schemeClr val="accent1"/>
                            </a:effectRef>
                            <a:fontRef idx="minor">
                              <a:schemeClr val="tx1"/>
                            </a:fontRef>
                          </wps:style>
                          <wps:bodyPr/>
                        </wps:wsp>
                        <wps:wsp>
                          <wps:cNvPr id="13" name="Straight Connector 13"/>
                          <wps:cNvCnPr/>
                          <wps:spPr>
                            <a:xfrm>
                              <a:off x="407670" y="124590"/>
                              <a:ext cx="52830" cy="0"/>
                            </a:xfrm>
                            <a:prstGeom prst="line">
                              <a:avLst/>
                            </a:prstGeom>
                            <a:ln w="12700" cmpd="sng">
                              <a:solidFill>
                                <a:srgbClr val="FF0000"/>
                              </a:solidFill>
                              <a:prstDash val="dash"/>
                            </a:ln>
                            <a:effectLst/>
                          </wps:spPr>
                          <wps:style>
                            <a:lnRef idx="2">
                              <a:schemeClr val="accent1"/>
                            </a:lnRef>
                            <a:fillRef idx="0">
                              <a:schemeClr val="accent1"/>
                            </a:fillRef>
                            <a:effectRef idx="1">
                              <a:schemeClr val="accent1"/>
                            </a:effectRef>
                            <a:fontRef idx="minor">
                              <a:schemeClr val="tx1"/>
                            </a:fontRef>
                          </wps:style>
                          <wps:bodyPr/>
                        </wps:wsp>
                        <wps:wsp>
                          <wps:cNvPr id="15" name="Text Box 15"/>
                          <wps:cNvSpPr txBox="1"/>
                          <wps:spPr>
                            <a:xfrm>
                              <a:off x="101859" y="-18880"/>
                              <a:ext cx="298626" cy="343151"/>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1B1273" w14:textId="13CC54EF" w:rsidR="003D517D" w:rsidRPr="00755408" w:rsidRDefault="003D517D">
                                <w:pPr>
                                  <w:rPr>
                                    <w:rFonts w:ascii="Times New Roman" w:hAnsi="Times New Roman" w:cs="Times New Roman"/>
                                  </w:rPr>
                                </w:pPr>
                                <w:r w:rsidRPr="00755408">
                                  <w:rPr>
                                    <w:rFonts w:ascii="Times New Roman" w:hAnsi="Times New Roman" w:cs="Times New Roman"/>
                                  </w:rPr>
                                  <w:t>Visible haematuria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6" name="Text Box 16"/>
                          <wps:cNvSpPr txBox="1"/>
                          <wps:spPr>
                            <a:xfrm>
                              <a:off x="460023" y="-22643"/>
                              <a:ext cx="389998" cy="3425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E9A7062" w14:textId="51AFFA47" w:rsidR="003D517D" w:rsidRDefault="003D517D" w:rsidP="00B33F03">
                                <w:r>
                                  <w:t>Non-Visible Haematuria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5" name="Text Box 5"/>
                        <wps:cNvSpPr txBox="1"/>
                        <wps:spPr>
                          <a:xfrm>
                            <a:off x="3313146" y="-34324"/>
                            <a:ext cx="530572" cy="341878"/>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F83337" w14:textId="0509FC43" w:rsidR="003D517D" w:rsidRPr="00755408" w:rsidRDefault="003D517D" w:rsidP="00B82491">
                              <w:pPr>
                                <w:rPr>
                                  <w:rFonts w:ascii="Times New Roman" w:hAnsi="Times New Roman" w:cs="Times New Roman"/>
                                </w:rPr>
                              </w:pPr>
                              <w:r>
                                <w:rPr>
                                  <w:rFonts w:ascii="Times New Roman" w:hAnsi="Times New Roman" w:cs="Times New Roman"/>
                                </w:rPr>
                                <w:t>Other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6" name="Straight Connector 6"/>
                        <wps:cNvCnPr/>
                        <wps:spPr>
                          <a:xfrm>
                            <a:off x="3087599" y="117309"/>
                            <a:ext cx="227965" cy="0"/>
                          </a:xfrm>
                          <a:prstGeom prst="line">
                            <a:avLst/>
                          </a:prstGeom>
                          <a:ln w="12700" cmpd="sng">
                            <a:solidFill>
                              <a:srgbClr val="008000"/>
                            </a:solidFill>
                          </a:ln>
                          <a:effectLst/>
                        </wps:spPr>
                        <wps:style>
                          <a:lnRef idx="2">
                            <a:schemeClr val="accent1"/>
                          </a:lnRef>
                          <a:fillRef idx="0">
                            <a:schemeClr val="accent1"/>
                          </a:fillRef>
                          <a:effectRef idx="1">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w:pict>
              <v:group id="Group 7" o:spid="_x0000_s1026" style="position:absolute;left:0;text-align:left;margin-left:30.75pt;margin-top:261pt;width:347.4pt;height:27.4pt;z-index:251677696;mso-width-relative:margin;mso-height-relative:margin" coordorigin="-571498,-34324" coordsize="4415216,35043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">
                <v:group id="Group 19" o:spid="_x0000_s1027" style="position:absolute;left:-571498;top:-29516;width:3584705;height:345627" coordorigin="50890,-22643" coordsize="799131,34691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2uHwQAAANsAAAAPAAAAZHJzL2Rvd25yZXYueG1sRE9Ni8IwEL0L+x/CLHjT&#10;tLsobtcoIq54EEFdEG9DM7bFZlKa2NZ/bwTB2zze50znnSlFQ7UrLCuIhxEI4tTqgjMF/8e/wQSE&#10;88gaS8uk4E4O5rOP3hQTbVveU3PwmQgh7BJUkHtfJVK6NCeDbmgr4sBdbG3QB1hnUtfYhnBTyq8o&#10;GkuDBYeGHCta5pReDzejYN1iu/iOV832elnez8fR7rSNSan+Z7f4BeGp82/xy73RYf4P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8B2uHwQAAANsAAAAPAAAA&#10;AAAAAAAAAAAAAKkCAABkcnMvZG93bnJldi54bWxQSwUGAAAAAAQABAD6AAAAlwMAAAAA&#10;">
                  <v:line id="Straight Connector 11" o:spid="_x0000_s1028" style="position:absolute;visibility:visible;mso-wrap-style:square" from="50890,121710" to="101831,12171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2i73L4AAADbAAAADwAAAGRycy9kb3ducmV2LnhtbERPy6rCMBDdC/5DmAt3p2ldXEs1igiC&#10;4MbnfmjGtt5mUpKo1a83guBuDuc503lnGnEj52vLCtJhAoK4sLrmUsHxsBpkIHxA1thYJgUP8jCf&#10;9XtTzLW9845u+1CKGMI+RwVVCG0upS8qMuiHtiWO3Nk6gyFCV0rt8B7DTSNHSfInDdYcGypsaVlR&#10;8b+/GgXJqU63lF02mW7sYrlbufK5GSv1+9MtJiACdeEr/rjXOs5P4f1LPEDOXgA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A3aLvcvgAAANsAAAAPAAAAAAAAAAAAAAAAAKEC&#10;AABkcnMvZG93bnJldi54bWxQSwUGAAAAAAQABAD5AAAAjAMAAAAA&#10;" strokecolor="red" strokeweight="1pt"/>
                  <v:line id="Straight Connector 13" o:spid="_x0000_s1029" style="position:absolute;visibility:visible;mso-wrap-style:square" from="407670,124590" to="460500,12459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PJ+zsIAAADbAAAADwAAAGRycy9kb3ducmV2LnhtbERPTWsCMRC9F/ofwhS8FM2qVGTdrLSi&#10;peCpKoK3YTNutk0myybV9d83QqG3ebzPKZa9s+JCXWg8KxiPMhDEldcN1woO+81wDiJEZI3WMym4&#10;UYBl+fhQYK79lT/psou1SCEcclRgYmxzKUNlyGEY+ZY4cWffOYwJdrXUHV5TuLNykmUz6bDh1GCw&#10;pZWh6nv34xS8bN9mjd4cvw7PxlrC8Um/r09KDZ761wWISH38F/+5P3SaP4X7L+kAWf4C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PJ+zsIAAADbAAAADwAAAAAAAAAAAAAA&#10;AAChAgAAZHJzL2Rvd25yZXYueG1sUEsFBgAAAAAEAAQA+QAAAJADAAAAAA==&#10;" strokecolor="red" strokeweight="1pt">
                    <v:stroke dashstyle="dash"/>
                  </v:line>
                  <v:shapetype id="_x0000_t202" coordsize="21600,21600" o:spt="202" path="m0,0l0,21600,21600,21600,21600,0xe">
                    <v:stroke joinstyle="miter"/>
                    <v:path gradientshapeok="t" o:connecttype="rect"/>
                  </v:shapetype>
                  <v:shape id="Text Box 15" o:spid="_x0000_s1030" type="#_x0000_t202" style="position:absolute;left:101859;top:-18880;width:298626;height:34315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Pi/YxAAA&#10;ANsAAAAPAAAAZHJzL2Rvd25yZXYueG1sRE9NS8NAEL0X/A/LCF6k2SSilJhtEUURLCm2PXgcs2MS&#10;zc6G3TWN/vquIPQ2j/c55WoyvRjJ+c6ygixJQRDXVnfcKNjvHucLED4ga+wtk4If8rBans1KLLQ9&#10;8CuN29CIGMK+QAVtCEMhpa9bMugTOxBH7sM6gyFC10jt8BDDTS/zNL2RBjuODS0OdN9S/bX9Ngp+&#10;N25t83z9lL2/XXVjeLj8rF4qpS7Op7tbEIGmcBL/u591nH8Nf7/EA+TyC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j4v2MQAAADbAAAADwAAAAAAAAAAAAAAAACXAgAAZHJzL2Rv&#10;d25yZXYueG1sUEsFBgAAAAAEAAQA9QAAAIgDAAAAAA==&#10;" filled="f" stroked="f">
                    <v:textbox>
                      <w:txbxContent>
                        <w:p w14:paraId="291B1273" w14:textId="13CC54EF" w:rsidR="009A329A" w:rsidRPr="00755408" w:rsidRDefault="009A329A">
                          <w:pPr>
                            <w:rPr>
                              <w:rFonts w:ascii="Times New Roman" w:hAnsi="Times New Roman" w:cs="Times New Roman"/>
                            </w:rPr>
                          </w:pPr>
                          <w:r w:rsidRPr="00755408">
                            <w:rPr>
                              <w:rFonts w:ascii="Times New Roman" w:hAnsi="Times New Roman" w:cs="Times New Roman"/>
                            </w:rPr>
                            <w:t>Visible haematuria</w:t>
                          </w:r>
                        </w:p>
                      </w:txbxContent>
                    </v:textbox>
                  </v:shape>
                  <v:shape id="Text Box 16" o:spid="_x0000_s1031" type="#_x0000_t202" style="position:absolute;left:460023;top:-22643;width:389998;height:34251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7LGvxAAA&#10;ANsAAAAPAAAAZHJzL2Rvd25yZXYueG1sRE9Na8JAEL0L/Q/LFHqRujGCSOoq0tIiKIraQ49jdkxi&#10;s7Nhd41pf323IHibx/uc6bwztWjJ+cqyguEgAUGcW11xoeDz8P48AeEDssbaMin4IQ/z2UNvipm2&#10;V95Ruw+FiCHsM1RQhtBkUvq8JIN+YBviyJ2sMxgidIXUDq8x3NQyTZKxNFhxbCixodeS8u/9xSj4&#10;3bq1TdP1x/D4Nara8NY/b1YbpZ4eu8ULiEBduItv7qWO88fw/0s8QM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uyxr8QAAADbAAAADwAAAAAAAAAAAAAAAACXAgAAZHJzL2Rv&#10;d25yZXYueG1sUEsFBgAAAAAEAAQA9QAAAIgDAAAAAA==&#10;" filled="f" stroked="f">
                    <v:textbox>
                      <w:txbxContent>
                        <w:p w14:paraId="1E9A7062" w14:textId="51AFFA47" w:rsidR="009A329A" w:rsidRDefault="009A329A" w:rsidP="00B33F03">
                          <w:r>
                            <w:t>Non-Visible Haematuria</w:t>
                          </w:r>
                        </w:p>
                      </w:txbxContent>
                    </v:textbox>
                  </v:shape>
                </v:group>
                <v:shape id="Text Box 5" o:spid="_x0000_s1032" type="#_x0000_t202" style="position:absolute;left:3313146;top:-34324;width:530572;height:341878;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VShjxgAA&#10;ANoAAAAPAAAAZHJzL2Rvd25yZXYueG1sRI9Ba8JAFITvhf6H5RV6kboxYimpq4hiERRL0x56fM2+&#10;Jmmzb8PuGqO/visIPQ4z8w0znfemER05X1tWMBomIIgLq2suFXy8rx+eQPiArLGxTApO5GE+u72Z&#10;Yqbtkd+oy0MpIoR9hgqqENpMSl9UZNAPbUscvW/rDIYoXSm1w2OEm0amSfIoDdYcFypsaVlR8Zsf&#10;jILzq9vZNN29jL4+x3UXVoOf/Xav1P1dv3gGEagP/+Fre6MVTOByJd4AOfs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DVShjxgAAANoAAAAPAAAAAAAAAAAAAAAAAJcCAABkcnMv&#10;ZG93bnJldi54bWxQSwUGAAAAAAQABAD1AAAAigMAAAAA&#10;" filled="f" stroked="f">
                  <v:textbox>
                    <w:txbxContent>
                      <w:p w14:paraId="2AF83337" w14:textId="0509FC43" w:rsidR="009A329A" w:rsidRPr="00755408" w:rsidRDefault="009A329A" w:rsidP="00B82491">
                        <w:pPr>
                          <w:rPr>
                            <w:rFonts w:ascii="Times New Roman" w:hAnsi="Times New Roman" w:cs="Times New Roman"/>
                          </w:rPr>
                        </w:pPr>
                        <w:r>
                          <w:rPr>
                            <w:rFonts w:ascii="Times New Roman" w:hAnsi="Times New Roman" w:cs="Times New Roman"/>
                          </w:rPr>
                          <w:t>Other</w:t>
                        </w:r>
                      </w:p>
                    </w:txbxContent>
                  </v:textbox>
                </v:shape>
                <v:line id="Straight Connector 6" o:spid="_x0000_s1033" style="position:absolute;visibility:visible;mso-wrap-style:square" from="3087599,117309" to="3315564,11730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QgUBcMAAADaAAAADwAAAGRycy9kb3ducmV2LnhtbESPzWrDMBCE74W+g9hCbo3cHtziRDGm&#10;TSCXQH4KJbfF2lgm1spYiqO8fVQI9DjMzDfMvIy2EyMNvnWs4G2agSCunW65UfBzWL1+gvABWWPn&#10;mBTcyEO5eH6aY6HdlXc07kMjEoR9gQpMCH0hpa8NWfRT1xMn7+QGiyHJoZF6wGuC206+Z1kuLbac&#10;Fgz29GWoPu8vVsH3R+yzKm622+O4DGO+5I3xv0pNXmI1AxEohv/wo73WCnL4u5JugFzc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kIFAXDAAAA2gAAAA8AAAAAAAAAAAAA&#10;AAAAoQIAAGRycy9kb3ducmV2LnhtbFBLBQYAAAAABAAEAPkAAACRAwAAAAA=&#10;" strokecolor="green" strokeweight="1pt"/>
                <w10:wrap type="through"/>
              </v:group>
            </w:pict>
          </mc:Fallback>
        </mc:AlternateContent>
      </w:r>
      <w:r w:rsidR="00FF15E0">
        <w:rPr>
          <w:rFonts w:ascii="Times New Roman" w:hAnsi="Times New Roman" w:cs="Times New Roman"/>
          <w:noProof/>
          <w:lang w:val="en-US"/>
        </w:rPr>
        <mc:AlternateContent>
          <mc:Choice Requires="wps">
            <w:drawing>
              <wp:anchor distT="0" distB="0" distL="114300" distR="114300" simplePos="0" relativeHeight="251661312" behindDoc="0" locked="0" layoutInCell="1" allowOverlap="1" wp14:anchorId="16E80CDC" wp14:editId="78F45834">
                <wp:simplePos x="0" y="0"/>
                <wp:positionH relativeFrom="column">
                  <wp:posOffset>3319144</wp:posOffset>
                </wp:positionH>
                <wp:positionV relativeFrom="paragraph">
                  <wp:posOffset>342265</wp:posOffset>
                </wp:positionV>
                <wp:extent cx="440693" cy="2547339"/>
                <wp:effectExtent l="0" t="0" r="0" b="0"/>
                <wp:wrapNone/>
                <wp:docPr id="9" name="Rectangle 9"/>
                <wp:cNvGraphicFramePr/>
                <a:graphic xmlns:a="http://schemas.openxmlformats.org/drawingml/2006/main">
                  <a:graphicData uri="http://schemas.microsoft.com/office/word/2010/wordprocessingShape">
                    <wps:wsp>
                      <wps:cNvSpPr/>
                      <wps:spPr>
                        <a:xfrm>
                          <a:off x="0" y="0"/>
                          <a:ext cx="440693" cy="2547339"/>
                        </a:xfrm>
                        <a:prstGeom prst="rect">
                          <a:avLst/>
                        </a:prstGeom>
                        <a:solidFill>
                          <a:srgbClr val="BFBFBF">
                            <a:alpha val="25000"/>
                          </a:srgb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9" o:spid="_x0000_s1026" style="position:absolute;margin-left:261.35pt;margin-top:26.95pt;width:34.7pt;height:20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" fillcolor="#bfbfbf" stroked="f">
                <v:fill opacity="16448f"/>
              </v:rect>
            </w:pict>
          </mc:Fallback>
        </mc:AlternateContent>
      </w:r>
      <w:r w:rsidR="00AE431D">
        <w:rPr>
          <w:noProof/>
          <w:lang w:val="en-US"/>
        </w:rPr>
        <w:drawing>
          <wp:inline distT="0" distB="0" distL="0" distR="0" wp14:anchorId="5A12F68B" wp14:editId="50E8B18F">
            <wp:extent cx="2588895" cy="3149273"/>
            <wp:effectExtent l="0" t="0" r="27305" b="2603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AE431D">
        <w:rPr>
          <w:noProof/>
          <w:lang w:val="en-US"/>
        </w:rPr>
        <w:drawing>
          <wp:inline distT="0" distB="0" distL="0" distR="0" wp14:anchorId="55CC7FF3" wp14:editId="09F09FBB">
            <wp:extent cx="2587028" cy="3154001"/>
            <wp:effectExtent l="0" t="0" r="29210" b="2159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7C01B5" w14:textId="375A5445" w:rsidR="009C7C93" w:rsidRDefault="009C7C93" w:rsidP="009C7C93">
      <w:pPr>
        <w:rPr>
          <w:rFonts w:ascii="Times New Roman" w:hAnsi="Times New Roman" w:cs="Times New Roman"/>
        </w:rPr>
      </w:pPr>
    </w:p>
    <w:p w14:paraId="40CAB10E" w14:textId="77777777" w:rsidR="00B33F03" w:rsidRDefault="00B33F03" w:rsidP="009C7C93">
      <w:pPr>
        <w:rPr>
          <w:rFonts w:ascii="Times New Roman" w:hAnsi="Times New Roman" w:cs="Times New Roman"/>
        </w:rPr>
      </w:pPr>
    </w:p>
    <w:p w14:paraId="6DA32838" w14:textId="3FF42B1D" w:rsidR="004801DF" w:rsidRDefault="00600CEE" w:rsidP="00AF614F">
      <w:pPr>
        <w:spacing w:line="480" w:lineRule="auto"/>
        <w:jc w:val="both"/>
        <w:rPr>
          <w:rFonts w:ascii="Times New Roman" w:hAnsi="Times New Roman" w:cs="Times New Roman"/>
        </w:rPr>
      </w:pPr>
      <w:r>
        <w:rPr>
          <w:rFonts w:ascii="Times New Roman" w:hAnsi="Times New Roman" w:cs="Times New Roman"/>
        </w:rPr>
        <w:t>Figure 3</w:t>
      </w:r>
      <w:r w:rsidR="009C7C93">
        <w:rPr>
          <w:rFonts w:ascii="Times New Roman" w:hAnsi="Times New Roman" w:cs="Times New Roman"/>
        </w:rPr>
        <w:t>.</w:t>
      </w:r>
      <w:r w:rsidR="00035E0C">
        <w:rPr>
          <w:rFonts w:ascii="Times New Roman" w:hAnsi="Times New Roman" w:cs="Times New Roman"/>
        </w:rPr>
        <w:t xml:space="preserve"> </w:t>
      </w:r>
      <w:r w:rsidR="009C7C93">
        <w:rPr>
          <w:rFonts w:ascii="Times New Roman" w:hAnsi="Times New Roman" w:cs="Times New Roman"/>
        </w:rPr>
        <w:t>Month-by-month</w:t>
      </w:r>
      <w:r w:rsidR="00B33F03">
        <w:rPr>
          <w:rFonts w:ascii="Times New Roman" w:hAnsi="Times New Roman" w:cs="Times New Roman"/>
        </w:rPr>
        <w:t xml:space="preserve"> suspected cancer</w:t>
      </w:r>
      <w:r w:rsidR="005E192F">
        <w:rPr>
          <w:rFonts w:ascii="Times New Roman" w:hAnsi="Times New Roman" w:cs="Times New Roman"/>
        </w:rPr>
        <w:t xml:space="preserve"> referrals by type for the two time periods examined</w:t>
      </w:r>
      <w:r w:rsidR="00AC1739">
        <w:rPr>
          <w:rFonts w:ascii="Times New Roman" w:hAnsi="Times New Roman" w:cs="Times New Roman"/>
        </w:rPr>
        <w:t>. The h</w:t>
      </w:r>
      <w:r w:rsidR="009C7C93">
        <w:rPr>
          <w:rFonts w:ascii="Times New Roman" w:hAnsi="Times New Roman" w:cs="Times New Roman"/>
        </w:rPr>
        <w:t>ighlighted period represents duration of the campaign</w:t>
      </w:r>
    </w:p>
    <w:p w14:paraId="57751249" w14:textId="23CB13C2" w:rsidR="00AE431D" w:rsidRPr="004801DF" w:rsidRDefault="00AE431D" w:rsidP="004801DF">
      <w:pPr>
        <w:rPr>
          <w:rFonts w:ascii="Times New Roman" w:hAnsi="Times New Roman" w:cs="Times New Roman"/>
        </w:rPr>
      </w:pPr>
    </w:p>
    <w:sectPr w:rsidR="00AE431D" w:rsidRPr="004801DF" w:rsidSect="00A11676">
      <w:pgSz w:w="11900" w:h="16840"/>
      <w:pgMar w:top="1440" w:right="1800" w:bottom="1440" w:left="1800" w:header="708" w:footer="708"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1D46B" w14:textId="77777777" w:rsidR="00C96235" w:rsidRDefault="00C96235" w:rsidP="00D34F0C">
      <w:r>
        <w:separator/>
      </w:r>
    </w:p>
  </w:endnote>
  <w:endnote w:type="continuationSeparator" w:id="0">
    <w:p w14:paraId="6CCC0757" w14:textId="77777777" w:rsidR="00C96235" w:rsidRDefault="00C96235" w:rsidP="00D34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030A7A" w14:textId="77777777" w:rsidR="00C96235" w:rsidRDefault="00C96235" w:rsidP="00D34F0C">
      <w:r>
        <w:separator/>
      </w:r>
    </w:p>
  </w:footnote>
  <w:footnote w:type="continuationSeparator" w:id="0">
    <w:p w14:paraId="53860449" w14:textId="77777777" w:rsidR="00C96235" w:rsidRDefault="00C96235" w:rsidP="00D34F0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6CE60F35"/>
    <w:multiLevelType w:val="hybridMultilevel"/>
    <w:tmpl w:val="D46CA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F9E"/>
    <w:rsid w:val="0002299A"/>
    <w:rsid w:val="000248E4"/>
    <w:rsid w:val="00031650"/>
    <w:rsid w:val="00033487"/>
    <w:rsid w:val="00035BA7"/>
    <w:rsid w:val="00035E0C"/>
    <w:rsid w:val="00036650"/>
    <w:rsid w:val="0005523A"/>
    <w:rsid w:val="00056506"/>
    <w:rsid w:val="00060A98"/>
    <w:rsid w:val="000611FC"/>
    <w:rsid w:val="00065176"/>
    <w:rsid w:val="0007524B"/>
    <w:rsid w:val="00082E70"/>
    <w:rsid w:val="00085043"/>
    <w:rsid w:val="000922F2"/>
    <w:rsid w:val="000978D6"/>
    <w:rsid w:val="000A3E06"/>
    <w:rsid w:val="000A52D7"/>
    <w:rsid w:val="000B2F1E"/>
    <w:rsid w:val="000B3EF2"/>
    <w:rsid w:val="000C0E5C"/>
    <w:rsid w:val="000C3308"/>
    <w:rsid w:val="000C3C9D"/>
    <w:rsid w:val="000D3F2A"/>
    <w:rsid w:val="000D5D24"/>
    <w:rsid w:val="000D7BAA"/>
    <w:rsid w:val="000F01D5"/>
    <w:rsid w:val="000F27BF"/>
    <w:rsid w:val="000F2AD4"/>
    <w:rsid w:val="000F57BB"/>
    <w:rsid w:val="000F6751"/>
    <w:rsid w:val="000F6A2B"/>
    <w:rsid w:val="0010090F"/>
    <w:rsid w:val="00102FC6"/>
    <w:rsid w:val="0011706D"/>
    <w:rsid w:val="0012768C"/>
    <w:rsid w:val="00132B3F"/>
    <w:rsid w:val="00155A83"/>
    <w:rsid w:val="0015684A"/>
    <w:rsid w:val="0016224E"/>
    <w:rsid w:val="001663D4"/>
    <w:rsid w:val="001706B6"/>
    <w:rsid w:val="00175508"/>
    <w:rsid w:val="00176A2A"/>
    <w:rsid w:val="00190F0B"/>
    <w:rsid w:val="00193C6B"/>
    <w:rsid w:val="001941E7"/>
    <w:rsid w:val="00195804"/>
    <w:rsid w:val="001977E3"/>
    <w:rsid w:val="001A071C"/>
    <w:rsid w:val="001A0B99"/>
    <w:rsid w:val="001B1D18"/>
    <w:rsid w:val="001B3D8A"/>
    <w:rsid w:val="001C2934"/>
    <w:rsid w:val="001C388C"/>
    <w:rsid w:val="001C44F5"/>
    <w:rsid w:val="001C650B"/>
    <w:rsid w:val="001D36C7"/>
    <w:rsid w:val="001D4F60"/>
    <w:rsid w:val="001D567A"/>
    <w:rsid w:val="001D6027"/>
    <w:rsid w:val="001D6BAC"/>
    <w:rsid w:val="001E303B"/>
    <w:rsid w:val="001E3505"/>
    <w:rsid w:val="001E6C14"/>
    <w:rsid w:val="001F15DF"/>
    <w:rsid w:val="001F1B92"/>
    <w:rsid w:val="001F1E2B"/>
    <w:rsid w:val="002015CF"/>
    <w:rsid w:val="00206E4E"/>
    <w:rsid w:val="00214FA5"/>
    <w:rsid w:val="00216370"/>
    <w:rsid w:val="00251910"/>
    <w:rsid w:val="002567DC"/>
    <w:rsid w:val="00271760"/>
    <w:rsid w:val="002748BC"/>
    <w:rsid w:val="0027652D"/>
    <w:rsid w:val="00286D9F"/>
    <w:rsid w:val="00290D32"/>
    <w:rsid w:val="002939AE"/>
    <w:rsid w:val="002978AB"/>
    <w:rsid w:val="002A4266"/>
    <w:rsid w:val="002C3BD1"/>
    <w:rsid w:val="002D2166"/>
    <w:rsid w:val="002D46A1"/>
    <w:rsid w:val="002D752C"/>
    <w:rsid w:val="002E2C49"/>
    <w:rsid w:val="002E4A6E"/>
    <w:rsid w:val="002E5D6A"/>
    <w:rsid w:val="002F118D"/>
    <w:rsid w:val="002F42E5"/>
    <w:rsid w:val="00310013"/>
    <w:rsid w:val="00311CBA"/>
    <w:rsid w:val="003154E9"/>
    <w:rsid w:val="00317551"/>
    <w:rsid w:val="00324C85"/>
    <w:rsid w:val="00324D52"/>
    <w:rsid w:val="00327A74"/>
    <w:rsid w:val="00331EEC"/>
    <w:rsid w:val="0033688C"/>
    <w:rsid w:val="0033743C"/>
    <w:rsid w:val="00356819"/>
    <w:rsid w:val="00357010"/>
    <w:rsid w:val="00360A7A"/>
    <w:rsid w:val="003615AF"/>
    <w:rsid w:val="00362698"/>
    <w:rsid w:val="003654C9"/>
    <w:rsid w:val="00365B91"/>
    <w:rsid w:val="003741D9"/>
    <w:rsid w:val="003775DC"/>
    <w:rsid w:val="003852DA"/>
    <w:rsid w:val="00386416"/>
    <w:rsid w:val="00390B8F"/>
    <w:rsid w:val="0039126E"/>
    <w:rsid w:val="00393A7E"/>
    <w:rsid w:val="003965BB"/>
    <w:rsid w:val="003B4F26"/>
    <w:rsid w:val="003C00D9"/>
    <w:rsid w:val="003C2ADD"/>
    <w:rsid w:val="003C760C"/>
    <w:rsid w:val="003C7675"/>
    <w:rsid w:val="003D517D"/>
    <w:rsid w:val="003D739A"/>
    <w:rsid w:val="003E28A9"/>
    <w:rsid w:val="003E7074"/>
    <w:rsid w:val="003F48A3"/>
    <w:rsid w:val="003F748F"/>
    <w:rsid w:val="00406D02"/>
    <w:rsid w:val="00411A80"/>
    <w:rsid w:val="00412F33"/>
    <w:rsid w:val="00413524"/>
    <w:rsid w:val="00422D8E"/>
    <w:rsid w:val="0042371A"/>
    <w:rsid w:val="00426C19"/>
    <w:rsid w:val="00442EB4"/>
    <w:rsid w:val="00444F1A"/>
    <w:rsid w:val="004457A2"/>
    <w:rsid w:val="00451A12"/>
    <w:rsid w:val="00455E17"/>
    <w:rsid w:val="004575AC"/>
    <w:rsid w:val="00462DF1"/>
    <w:rsid w:val="00467672"/>
    <w:rsid w:val="004801DF"/>
    <w:rsid w:val="0048080C"/>
    <w:rsid w:val="0048215E"/>
    <w:rsid w:val="00483675"/>
    <w:rsid w:val="00484C35"/>
    <w:rsid w:val="0049263E"/>
    <w:rsid w:val="0049365B"/>
    <w:rsid w:val="00494203"/>
    <w:rsid w:val="00494AEE"/>
    <w:rsid w:val="00497DF2"/>
    <w:rsid w:val="004A3B45"/>
    <w:rsid w:val="004B10A1"/>
    <w:rsid w:val="004C04E1"/>
    <w:rsid w:val="004D2242"/>
    <w:rsid w:val="004D33E8"/>
    <w:rsid w:val="004D7C4A"/>
    <w:rsid w:val="004E1714"/>
    <w:rsid w:val="004F07D8"/>
    <w:rsid w:val="004F3133"/>
    <w:rsid w:val="00500B80"/>
    <w:rsid w:val="00501C60"/>
    <w:rsid w:val="00501E93"/>
    <w:rsid w:val="0050307E"/>
    <w:rsid w:val="0050461B"/>
    <w:rsid w:val="00507DB3"/>
    <w:rsid w:val="00520CA6"/>
    <w:rsid w:val="00525146"/>
    <w:rsid w:val="00530DCF"/>
    <w:rsid w:val="00536901"/>
    <w:rsid w:val="0054065B"/>
    <w:rsid w:val="0054148F"/>
    <w:rsid w:val="005444AF"/>
    <w:rsid w:val="0054627B"/>
    <w:rsid w:val="005524A3"/>
    <w:rsid w:val="00554A67"/>
    <w:rsid w:val="00556884"/>
    <w:rsid w:val="0055708C"/>
    <w:rsid w:val="005615D7"/>
    <w:rsid w:val="00567357"/>
    <w:rsid w:val="00573B50"/>
    <w:rsid w:val="00574CE3"/>
    <w:rsid w:val="005763A5"/>
    <w:rsid w:val="00583921"/>
    <w:rsid w:val="00584330"/>
    <w:rsid w:val="00595E27"/>
    <w:rsid w:val="005A078F"/>
    <w:rsid w:val="005A4DE0"/>
    <w:rsid w:val="005A5B5C"/>
    <w:rsid w:val="005B1F62"/>
    <w:rsid w:val="005B6A70"/>
    <w:rsid w:val="005B6C1A"/>
    <w:rsid w:val="005C602A"/>
    <w:rsid w:val="005C6297"/>
    <w:rsid w:val="005E192F"/>
    <w:rsid w:val="005E56F4"/>
    <w:rsid w:val="005F13F9"/>
    <w:rsid w:val="005F1502"/>
    <w:rsid w:val="005F6094"/>
    <w:rsid w:val="00600CEE"/>
    <w:rsid w:val="00601650"/>
    <w:rsid w:val="00603561"/>
    <w:rsid w:val="00603BB7"/>
    <w:rsid w:val="00604673"/>
    <w:rsid w:val="006059E1"/>
    <w:rsid w:val="00614601"/>
    <w:rsid w:val="006172F1"/>
    <w:rsid w:val="00617574"/>
    <w:rsid w:val="006257A9"/>
    <w:rsid w:val="006302E1"/>
    <w:rsid w:val="0063368A"/>
    <w:rsid w:val="00635AAA"/>
    <w:rsid w:val="00637190"/>
    <w:rsid w:val="00645777"/>
    <w:rsid w:val="00647DD5"/>
    <w:rsid w:val="00651088"/>
    <w:rsid w:val="006519D4"/>
    <w:rsid w:val="0066261D"/>
    <w:rsid w:val="006640D9"/>
    <w:rsid w:val="00673B0E"/>
    <w:rsid w:val="00674FEE"/>
    <w:rsid w:val="00693D35"/>
    <w:rsid w:val="006A0344"/>
    <w:rsid w:val="006A256D"/>
    <w:rsid w:val="006A3107"/>
    <w:rsid w:val="006A6BE0"/>
    <w:rsid w:val="006B203A"/>
    <w:rsid w:val="006B5EA1"/>
    <w:rsid w:val="006C0666"/>
    <w:rsid w:val="006C3CAA"/>
    <w:rsid w:val="006D6795"/>
    <w:rsid w:val="006E1EC3"/>
    <w:rsid w:val="006E3AEA"/>
    <w:rsid w:val="006F0374"/>
    <w:rsid w:val="006F18B1"/>
    <w:rsid w:val="006F2E92"/>
    <w:rsid w:val="006F5D83"/>
    <w:rsid w:val="007011E5"/>
    <w:rsid w:val="0070217F"/>
    <w:rsid w:val="00707034"/>
    <w:rsid w:val="00707505"/>
    <w:rsid w:val="007136D0"/>
    <w:rsid w:val="0072115C"/>
    <w:rsid w:val="00723346"/>
    <w:rsid w:val="00727F3B"/>
    <w:rsid w:val="007331D8"/>
    <w:rsid w:val="0073320E"/>
    <w:rsid w:val="00733CF2"/>
    <w:rsid w:val="00734FA2"/>
    <w:rsid w:val="00743D5B"/>
    <w:rsid w:val="007465F8"/>
    <w:rsid w:val="00752358"/>
    <w:rsid w:val="0075236B"/>
    <w:rsid w:val="00752EE2"/>
    <w:rsid w:val="00755408"/>
    <w:rsid w:val="007701BF"/>
    <w:rsid w:val="007719D6"/>
    <w:rsid w:val="007729DE"/>
    <w:rsid w:val="00781BF2"/>
    <w:rsid w:val="00781CC1"/>
    <w:rsid w:val="00781DBE"/>
    <w:rsid w:val="00791341"/>
    <w:rsid w:val="007922F9"/>
    <w:rsid w:val="00793B8B"/>
    <w:rsid w:val="00794EA7"/>
    <w:rsid w:val="0079501C"/>
    <w:rsid w:val="007A0591"/>
    <w:rsid w:val="007A4F9C"/>
    <w:rsid w:val="007A604A"/>
    <w:rsid w:val="007B34B4"/>
    <w:rsid w:val="007C0C97"/>
    <w:rsid w:val="007C40D3"/>
    <w:rsid w:val="007C6F9E"/>
    <w:rsid w:val="007F1D22"/>
    <w:rsid w:val="00802063"/>
    <w:rsid w:val="00802B4C"/>
    <w:rsid w:val="0080605C"/>
    <w:rsid w:val="0081183C"/>
    <w:rsid w:val="00837697"/>
    <w:rsid w:val="0084079E"/>
    <w:rsid w:val="00841085"/>
    <w:rsid w:val="00841ADD"/>
    <w:rsid w:val="00842663"/>
    <w:rsid w:val="008426E0"/>
    <w:rsid w:val="008546FA"/>
    <w:rsid w:val="0086113C"/>
    <w:rsid w:val="0087139E"/>
    <w:rsid w:val="00872E3A"/>
    <w:rsid w:val="008732DE"/>
    <w:rsid w:val="00876362"/>
    <w:rsid w:val="00880D98"/>
    <w:rsid w:val="00882DF1"/>
    <w:rsid w:val="008853FA"/>
    <w:rsid w:val="00885D31"/>
    <w:rsid w:val="008862E6"/>
    <w:rsid w:val="00887683"/>
    <w:rsid w:val="00893429"/>
    <w:rsid w:val="0089499F"/>
    <w:rsid w:val="008A4121"/>
    <w:rsid w:val="008A6740"/>
    <w:rsid w:val="008B541A"/>
    <w:rsid w:val="008B5A87"/>
    <w:rsid w:val="008B773C"/>
    <w:rsid w:val="008B7F79"/>
    <w:rsid w:val="008D2493"/>
    <w:rsid w:val="008D5CE1"/>
    <w:rsid w:val="008F0DF7"/>
    <w:rsid w:val="008F1B78"/>
    <w:rsid w:val="008F3E51"/>
    <w:rsid w:val="008F6C35"/>
    <w:rsid w:val="008F7EBF"/>
    <w:rsid w:val="00905768"/>
    <w:rsid w:val="009136E6"/>
    <w:rsid w:val="0091489A"/>
    <w:rsid w:val="00923A95"/>
    <w:rsid w:val="0092544A"/>
    <w:rsid w:val="009308E7"/>
    <w:rsid w:val="00933393"/>
    <w:rsid w:val="009346E1"/>
    <w:rsid w:val="009372A2"/>
    <w:rsid w:val="0093796F"/>
    <w:rsid w:val="00942283"/>
    <w:rsid w:val="00946CBA"/>
    <w:rsid w:val="00952F8E"/>
    <w:rsid w:val="009616B3"/>
    <w:rsid w:val="00966AE0"/>
    <w:rsid w:val="009763B9"/>
    <w:rsid w:val="00976BA7"/>
    <w:rsid w:val="0098542A"/>
    <w:rsid w:val="00986823"/>
    <w:rsid w:val="009878DA"/>
    <w:rsid w:val="00993321"/>
    <w:rsid w:val="009969B8"/>
    <w:rsid w:val="009A329A"/>
    <w:rsid w:val="009A3D5D"/>
    <w:rsid w:val="009A6AFA"/>
    <w:rsid w:val="009A7C39"/>
    <w:rsid w:val="009B1067"/>
    <w:rsid w:val="009B26D6"/>
    <w:rsid w:val="009B4DED"/>
    <w:rsid w:val="009B74E6"/>
    <w:rsid w:val="009C0B08"/>
    <w:rsid w:val="009C7C93"/>
    <w:rsid w:val="009D31B2"/>
    <w:rsid w:val="009D64C9"/>
    <w:rsid w:val="009D6CBD"/>
    <w:rsid w:val="009E2142"/>
    <w:rsid w:val="009E29E2"/>
    <w:rsid w:val="009E59E6"/>
    <w:rsid w:val="009E79BC"/>
    <w:rsid w:val="009F5AC2"/>
    <w:rsid w:val="009F6650"/>
    <w:rsid w:val="009F6FDD"/>
    <w:rsid w:val="00A03961"/>
    <w:rsid w:val="00A11676"/>
    <w:rsid w:val="00A22EFD"/>
    <w:rsid w:val="00A263CE"/>
    <w:rsid w:val="00A34B6C"/>
    <w:rsid w:val="00A34DB5"/>
    <w:rsid w:val="00A368F6"/>
    <w:rsid w:val="00A416FE"/>
    <w:rsid w:val="00A44231"/>
    <w:rsid w:val="00A446B8"/>
    <w:rsid w:val="00A451C7"/>
    <w:rsid w:val="00A5161D"/>
    <w:rsid w:val="00A55783"/>
    <w:rsid w:val="00A671E0"/>
    <w:rsid w:val="00A6734B"/>
    <w:rsid w:val="00A70D9E"/>
    <w:rsid w:val="00A718AD"/>
    <w:rsid w:val="00A71B8F"/>
    <w:rsid w:val="00A8329E"/>
    <w:rsid w:val="00A86D69"/>
    <w:rsid w:val="00A90579"/>
    <w:rsid w:val="00A93992"/>
    <w:rsid w:val="00AA0A9C"/>
    <w:rsid w:val="00AC1739"/>
    <w:rsid w:val="00AC3465"/>
    <w:rsid w:val="00AC57B7"/>
    <w:rsid w:val="00AD47D5"/>
    <w:rsid w:val="00AE0220"/>
    <w:rsid w:val="00AE431D"/>
    <w:rsid w:val="00AF0458"/>
    <w:rsid w:val="00AF564B"/>
    <w:rsid w:val="00AF614F"/>
    <w:rsid w:val="00B04B50"/>
    <w:rsid w:val="00B062E4"/>
    <w:rsid w:val="00B1179F"/>
    <w:rsid w:val="00B13175"/>
    <w:rsid w:val="00B1396C"/>
    <w:rsid w:val="00B153BB"/>
    <w:rsid w:val="00B157F3"/>
    <w:rsid w:val="00B20A6E"/>
    <w:rsid w:val="00B251EF"/>
    <w:rsid w:val="00B33F03"/>
    <w:rsid w:val="00B36766"/>
    <w:rsid w:val="00B40D87"/>
    <w:rsid w:val="00B45789"/>
    <w:rsid w:val="00B64EF4"/>
    <w:rsid w:val="00B66C11"/>
    <w:rsid w:val="00B716B8"/>
    <w:rsid w:val="00B720EA"/>
    <w:rsid w:val="00B81190"/>
    <w:rsid w:val="00B8155E"/>
    <w:rsid w:val="00B82491"/>
    <w:rsid w:val="00BA051F"/>
    <w:rsid w:val="00BA08AB"/>
    <w:rsid w:val="00BA14A8"/>
    <w:rsid w:val="00BA5C63"/>
    <w:rsid w:val="00BA7044"/>
    <w:rsid w:val="00BB1B4F"/>
    <w:rsid w:val="00BB2F08"/>
    <w:rsid w:val="00BC6700"/>
    <w:rsid w:val="00BC78B8"/>
    <w:rsid w:val="00BD19C8"/>
    <w:rsid w:val="00BD4D4D"/>
    <w:rsid w:val="00BE0F00"/>
    <w:rsid w:val="00BF490D"/>
    <w:rsid w:val="00BF6F81"/>
    <w:rsid w:val="00BF79F9"/>
    <w:rsid w:val="00C239B4"/>
    <w:rsid w:val="00C42AE7"/>
    <w:rsid w:val="00C45686"/>
    <w:rsid w:val="00C47D68"/>
    <w:rsid w:val="00C5341B"/>
    <w:rsid w:val="00C54D48"/>
    <w:rsid w:val="00C61C45"/>
    <w:rsid w:val="00C64194"/>
    <w:rsid w:val="00C64D58"/>
    <w:rsid w:val="00C652F1"/>
    <w:rsid w:val="00C66A43"/>
    <w:rsid w:val="00C7426B"/>
    <w:rsid w:val="00C757EC"/>
    <w:rsid w:val="00C77F77"/>
    <w:rsid w:val="00C81AB9"/>
    <w:rsid w:val="00C82A4B"/>
    <w:rsid w:val="00C8594D"/>
    <w:rsid w:val="00C8681F"/>
    <w:rsid w:val="00C87413"/>
    <w:rsid w:val="00C937FD"/>
    <w:rsid w:val="00C954F4"/>
    <w:rsid w:val="00C96235"/>
    <w:rsid w:val="00CA2E50"/>
    <w:rsid w:val="00CA519F"/>
    <w:rsid w:val="00CA6926"/>
    <w:rsid w:val="00CA6B75"/>
    <w:rsid w:val="00CA7F23"/>
    <w:rsid w:val="00CB12D3"/>
    <w:rsid w:val="00CB1B4B"/>
    <w:rsid w:val="00CB43CD"/>
    <w:rsid w:val="00CC35D5"/>
    <w:rsid w:val="00CC59D3"/>
    <w:rsid w:val="00CE1B24"/>
    <w:rsid w:val="00CE57DD"/>
    <w:rsid w:val="00CF136E"/>
    <w:rsid w:val="00D06050"/>
    <w:rsid w:val="00D0624D"/>
    <w:rsid w:val="00D144DE"/>
    <w:rsid w:val="00D14659"/>
    <w:rsid w:val="00D22530"/>
    <w:rsid w:val="00D34F0C"/>
    <w:rsid w:val="00D353B6"/>
    <w:rsid w:val="00D35BA6"/>
    <w:rsid w:val="00D35D0D"/>
    <w:rsid w:val="00D370A9"/>
    <w:rsid w:val="00D43E8E"/>
    <w:rsid w:val="00D516A7"/>
    <w:rsid w:val="00D51A6C"/>
    <w:rsid w:val="00D55A1D"/>
    <w:rsid w:val="00D61898"/>
    <w:rsid w:val="00D9449D"/>
    <w:rsid w:val="00D94DDB"/>
    <w:rsid w:val="00D95A27"/>
    <w:rsid w:val="00D97E0A"/>
    <w:rsid w:val="00DA0910"/>
    <w:rsid w:val="00DA0B42"/>
    <w:rsid w:val="00DB0EFA"/>
    <w:rsid w:val="00DC25C9"/>
    <w:rsid w:val="00DC442D"/>
    <w:rsid w:val="00DC4DE0"/>
    <w:rsid w:val="00DD2392"/>
    <w:rsid w:val="00DD31A3"/>
    <w:rsid w:val="00DF1DC4"/>
    <w:rsid w:val="00DF2717"/>
    <w:rsid w:val="00DF5DA2"/>
    <w:rsid w:val="00E01D6D"/>
    <w:rsid w:val="00E11130"/>
    <w:rsid w:val="00E1132A"/>
    <w:rsid w:val="00E26134"/>
    <w:rsid w:val="00E272E3"/>
    <w:rsid w:val="00E31B02"/>
    <w:rsid w:val="00E31E43"/>
    <w:rsid w:val="00E3477C"/>
    <w:rsid w:val="00E36129"/>
    <w:rsid w:val="00E36FFA"/>
    <w:rsid w:val="00E41672"/>
    <w:rsid w:val="00E47C2A"/>
    <w:rsid w:val="00E60278"/>
    <w:rsid w:val="00E71996"/>
    <w:rsid w:val="00E81DBA"/>
    <w:rsid w:val="00E86ECD"/>
    <w:rsid w:val="00EA3A66"/>
    <w:rsid w:val="00EA7FE3"/>
    <w:rsid w:val="00EB0F24"/>
    <w:rsid w:val="00ED5724"/>
    <w:rsid w:val="00EE7E50"/>
    <w:rsid w:val="00F2089D"/>
    <w:rsid w:val="00F21649"/>
    <w:rsid w:val="00F24B93"/>
    <w:rsid w:val="00F25692"/>
    <w:rsid w:val="00F30EC0"/>
    <w:rsid w:val="00F317A8"/>
    <w:rsid w:val="00F3390B"/>
    <w:rsid w:val="00F4069B"/>
    <w:rsid w:val="00F417A3"/>
    <w:rsid w:val="00F42707"/>
    <w:rsid w:val="00F444ED"/>
    <w:rsid w:val="00F45622"/>
    <w:rsid w:val="00F472EE"/>
    <w:rsid w:val="00F52F10"/>
    <w:rsid w:val="00F545EA"/>
    <w:rsid w:val="00F62033"/>
    <w:rsid w:val="00F638D1"/>
    <w:rsid w:val="00F6589D"/>
    <w:rsid w:val="00F73ED0"/>
    <w:rsid w:val="00F75D4C"/>
    <w:rsid w:val="00F75ECC"/>
    <w:rsid w:val="00FA1AB1"/>
    <w:rsid w:val="00FB3C90"/>
    <w:rsid w:val="00FB4A67"/>
    <w:rsid w:val="00FC0A6A"/>
    <w:rsid w:val="00FE0BA2"/>
    <w:rsid w:val="00FE4E9F"/>
    <w:rsid w:val="00FF15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CA7A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6E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57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5783"/>
    <w:rPr>
      <w:rFonts w:ascii="Lucida Grande" w:hAnsi="Lucida Grande" w:cs="Lucida Grande"/>
      <w:sz w:val="18"/>
      <w:szCs w:val="18"/>
      <w:lang w:val="en-GB"/>
    </w:rPr>
  </w:style>
  <w:style w:type="paragraph" w:styleId="ListParagraph">
    <w:name w:val="List Paragraph"/>
    <w:basedOn w:val="Normal"/>
    <w:uiPriority w:val="34"/>
    <w:qFormat/>
    <w:rsid w:val="00CF136E"/>
    <w:pPr>
      <w:ind w:left="720"/>
      <w:contextualSpacing/>
    </w:pPr>
  </w:style>
  <w:style w:type="paragraph" w:styleId="NormalWeb">
    <w:name w:val="Normal (Web)"/>
    <w:basedOn w:val="Normal"/>
    <w:uiPriority w:val="99"/>
    <w:unhideWhenUsed/>
    <w:rsid w:val="0002299A"/>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426C19"/>
    <w:rPr>
      <w:sz w:val="18"/>
      <w:szCs w:val="18"/>
    </w:rPr>
  </w:style>
  <w:style w:type="paragraph" w:styleId="CommentText">
    <w:name w:val="annotation text"/>
    <w:basedOn w:val="Normal"/>
    <w:link w:val="CommentTextChar"/>
    <w:uiPriority w:val="99"/>
    <w:semiHidden/>
    <w:unhideWhenUsed/>
    <w:rsid w:val="00426C19"/>
  </w:style>
  <w:style w:type="character" w:customStyle="1" w:styleId="CommentTextChar">
    <w:name w:val="Comment Text Char"/>
    <w:basedOn w:val="DefaultParagraphFont"/>
    <w:link w:val="CommentText"/>
    <w:uiPriority w:val="99"/>
    <w:semiHidden/>
    <w:rsid w:val="00426C19"/>
    <w:rPr>
      <w:lang w:val="en-GB"/>
    </w:rPr>
  </w:style>
  <w:style w:type="paragraph" w:styleId="CommentSubject">
    <w:name w:val="annotation subject"/>
    <w:basedOn w:val="CommentText"/>
    <w:next w:val="CommentText"/>
    <w:link w:val="CommentSubjectChar"/>
    <w:uiPriority w:val="99"/>
    <w:semiHidden/>
    <w:unhideWhenUsed/>
    <w:rsid w:val="00426C19"/>
    <w:rPr>
      <w:b/>
      <w:bCs/>
      <w:sz w:val="20"/>
      <w:szCs w:val="20"/>
    </w:rPr>
  </w:style>
  <w:style w:type="character" w:customStyle="1" w:styleId="CommentSubjectChar">
    <w:name w:val="Comment Subject Char"/>
    <w:basedOn w:val="CommentTextChar"/>
    <w:link w:val="CommentSubject"/>
    <w:uiPriority w:val="99"/>
    <w:semiHidden/>
    <w:rsid w:val="00426C19"/>
    <w:rPr>
      <w:b/>
      <w:bCs/>
      <w:sz w:val="20"/>
      <w:szCs w:val="20"/>
      <w:lang w:val="en-GB"/>
    </w:rPr>
  </w:style>
  <w:style w:type="paragraph" w:styleId="Revision">
    <w:name w:val="Revision"/>
    <w:hidden/>
    <w:uiPriority w:val="99"/>
    <w:semiHidden/>
    <w:rsid w:val="00484C35"/>
    <w:rPr>
      <w:lang w:val="en-GB"/>
    </w:rPr>
  </w:style>
  <w:style w:type="character" w:styleId="LineNumber">
    <w:name w:val="line number"/>
    <w:basedOn w:val="DefaultParagraphFont"/>
    <w:uiPriority w:val="99"/>
    <w:semiHidden/>
    <w:unhideWhenUsed/>
    <w:rsid w:val="0086113C"/>
  </w:style>
  <w:style w:type="paragraph" w:styleId="Header">
    <w:name w:val="header"/>
    <w:basedOn w:val="Normal"/>
    <w:link w:val="HeaderChar"/>
    <w:uiPriority w:val="99"/>
    <w:unhideWhenUsed/>
    <w:rsid w:val="00D34F0C"/>
    <w:pPr>
      <w:tabs>
        <w:tab w:val="center" w:pos="4320"/>
        <w:tab w:val="right" w:pos="8640"/>
      </w:tabs>
    </w:pPr>
  </w:style>
  <w:style w:type="character" w:customStyle="1" w:styleId="HeaderChar">
    <w:name w:val="Header Char"/>
    <w:basedOn w:val="DefaultParagraphFont"/>
    <w:link w:val="Header"/>
    <w:uiPriority w:val="99"/>
    <w:rsid w:val="00D34F0C"/>
    <w:rPr>
      <w:lang w:val="en-GB"/>
    </w:rPr>
  </w:style>
  <w:style w:type="paragraph" w:styleId="Footer">
    <w:name w:val="footer"/>
    <w:basedOn w:val="Normal"/>
    <w:link w:val="FooterChar"/>
    <w:uiPriority w:val="99"/>
    <w:unhideWhenUsed/>
    <w:rsid w:val="00D34F0C"/>
    <w:pPr>
      <w:tabs>
        <w:tab w:val="center" w:pos="4320"/>
        <w:tab w:val="right" w:pos="8640"/>
      </w:tabs>
    </w:pPr>
  </w:style>
  <w:style w:type="character" w:customStyle="1" w:styleId="FooterChar">
    <w:name w:val="Footer Char"/>
    <w:basedOn w:val="DefaultParagraphFont"/>
    <w:link w:val="Footer"/>
    <w:uiPriority w:val="99"/>
    <w:rsid w:val="00D34F0C"/>
    <w:rPr>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6E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578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55783"/>
    <w:rPr>
      <w:rFonts w:ascii="Lucida Grande" w:hAnsi="Lucida Grande" w:cs="Lucida Grande"/>
      <w:sz w:val="18"/>
      <w:szCs w:val="18"/>
      <w:lang w:val="en-GB"/>
    </w:rPr>
  </w:style>
  <w:style w:type="paragraph" w:styleId="ListParagraph">
    <w:name w:val="List Paragraph"/>
    <w:basedOn w:val="Normal"/>
    <w:uiPriority w:val="34"/>
    <w:qFormat/>
    <w:rsid w:val="00CF136E"/>
    <w:pPr>
      <w:ind w:left="720"/>
      <w:contextualSpacing/>
    </w:pPr>
  </w:style>
  <w:style w:type="paragraph" w:styleId="NormalWeb">
    <w:name w:val="Normal (Web)"/>
    <w:basedOn w:val="Normal"/>
    <w:uiPriority w:val="99"/>
    <w:unhideWhenUsed/>
    <w:rsid w:val="0002299A"/>
    <w:pPr>
      <w:spacing w:before="100" w:beforeAutospacing="1" w:after="100" w:afterAutospacing="1"/>
    </w:pPr>
    <w:rPr>
      <w:rFonts w:ascii="Times" w:hAnsi="Times" w:cs="Times New Roman"/>
      <w:sz w:val="20"/>
      <w:szCs w:val="20"/>
    </w:rPr>
  </w:style>
  <w:style w:type="character" w:styleId="CommentReference">
    <w:name w:val="annotation reference"/>
    <w:basedOn w:val="DefaultParagraphFont"/>
    <w:uiPriority w:val="99"/>
    <w:semiHidden/>
    <w:unhideWhenUsed/>
    <w:rsid w:val="00426C19"/>
    <w:rPr>
      <w:sz w:val="18"/>
      <w:szCs w:val="18"/>
    </w:rPr>
  </w:style>
  <w:style w:type="paragraph" w:styleId="CommentText">
    <w:name w:val="annotation text"/>
    <w:basedOn w:val="Normal"/>
    <w:link w:val="CommentTextChar"/>
    <w:uiPriority w:val="99"/>
    <w:semiHidden/>
    <w:unhideWhenUsed/>
    <w:rsid w:val="00426C19"/>
  </w:style>
  <w:style w:type="character" w:customStyle="1" w:styleId="CommentTextChar">
    <w:name w:val="Comment Text Char"/>
    <w:basedOn w:val="DefaultParagraphFont"/>
    <w:link w:val="CommentText"/>
    <w:uiPriority w:val="99"/>
    <w:semiHidden/>
    <w:rsid w:val="00426C19"/>
    <w:rPr>
      <w:lang w:val="en-GB"/>
    </w:rPr>
  </w:style>
  <w:style w:type="paragraph" w:styleId="CommentSubject">
    <w:name w:val="annotation subject"/>
    <w:basedOn w:val="CommentText"/>
    <w:next w:val="CommentText"/>
    <w:link w:val="CommentSubjectChar"/>
    <w:uiPriority w:val="99"/>
    <w:semiHidden/>
    <w:unhideWhenUsed/>
    <w:rsid w:val="00426C19"/>
    <w:rPr>
      <w:b/>
      <w:bCs/>
      <w:sz w:val="20"/>
      <w:szCs w:val="20"/>
    </w:rPr>
  </w:style>
  <w:style w:type="character" w:customStyle="1" w:styleId="CommentSubjectChar">
    <w:name w:val="Comment Subject Char"/>
    <w:basedOn w:val="CommentTextChar"/>
    <w:link w:val="CommentSubject"/>
    <w:uiPriority w:val="99"/>
    <w:semiHidden/>
    <w:rsid w:val="00426C19"/>
    <w:rPr>
      <w:b/>
      <w:bCs/>
      <w:sz w:val="20"/>
      <w:szCs w:val="20"/>
      <w:lang w:val="en-GB"/>
    </w:rPr>
  </w:style>
  <w:style w:type="paragraph" w:styleId="Revision">
    <w:name w:val="Revision"/>
    <w:hidden/>
    <w:uiPriority w:val="99"/>
    <w:semiHidden/>
    <w:rsid w:val="00484C35"/>
    <w:rPr>
      <w:lang w:val="en-GB"/>
    </w:rPr>
  </w:style>
  <w:style w:type="character" w:styleId="LineNumber">
    <w:name w:val="line number"/>
    <w:basedOn w:val="DefaultParagraphFont"/>
    <w:uiPriority w:val="99"/>
    <w:semiHidden/>
    <w:unhideWhenUsed/>
    <w:rsid w:val="0086113C"/>
  </w:style>
  <w:style w:type="paragraph" w:styleId="Header">
    <w:name w:val="header"/>
    <w:basedOn w:val="Normal"/>
    <w:link w:val="HeaderChar"/>
    <w:uiPriority w:val="99"/>
    <w:unhideWhenUsed/>
    <w:rsid w:val="00D34F0C"/>
    <w:pPr>
      <w:tabs>
        <w:tab w:val="center" w:pos="4320"/>
        <w:tab w:val="right" w:pos="8640"/>
      </w:tabs>
    </w:pPr>
  </w:style>
  <w:style w:type="character" w:customStyle="1" w:styleId="HeaderChar">
    <w:name w:val="Header Char"/>
    <w:basedOn w:val="DefaultParagraphFont"/>
    <w:link w:val="Header"/>
    <w:uiPriority w:val="99"/>
    <w:rsid w:val="00D34F0C"/>
    <w:rPr>
      <w:lang w:val="en-GB"/>
    </w:rPr>
  </w:style>
  <w:style w:type="paragraph" w:styleId="Footer">
    <w:name w:val="footer"/>
    <w:basedOn w:val="Normal"/>
    <w:link w:val="FooterChar"/>
    <w:uiPriority w:val="99"/>
    <w:unhideWhenUsed/>
    <w:rsid w:val="00D34F0C"/>
    <w:pPr>
      <w:tabs>
        <w:tab w:val="center" w:pos="4320"/>
        <w:tab w:val="right" w:pos="8640"/>
      </w:tabs>
    </w:pPr>
  </w:style>
  <w:style w:type="character" w:customStyle="1" w:styleId="FooterChar">
    <w:name w:val="Footer Char"/>
    <w:basedOn w:val="DefaultParagraphFont"/>
    <w:link w:val="Footer"/>
    <w:uiPriority w:val="99"/>
    <w:rsid w:val="00D34F0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86403">
      <w:bodyDiv w:val="1"/>
      <w:marLeft w:val="0"/>
      <w:marRight w:val="0"/>
      <w:marTop w:val="0"/>
      <w:marBottom w:val="0"/>
      <w:divBdr>
        <w:top w:val="none" w:sz="0" w:space="0" w:color="auto"/>
        <w:left w:val="none" w:sz="0" w:space="0" w:color="auto"/>
        <w:bottom w:val="none" w:sz="0" w:space="0" w:color="auto"/>
        <w:right w:val="none" w:sz="0" w:space="0" w:color="auto"/>
      </w:divBdr>
    </w:div>
    <w:div w:id="192618856">
      <w:bodyDiv w:val="1"/>
      <w:marLeft w:val="0"/>
      <w:marRight w:val="0"/>
      <w:marTop w:val="0"/>
      <w:marBottom w:val="0"/>
      <w:divBdr>
        <w:top w:val="none" w:sz="0" w:space="0" w:color="auto"/>
        <w:left w:val="none" w:sz="0" w:space="0" w:color="auto"/>
        <w:bottom w:val="none" w:sz="0" w:space="0" w:color="auto"/>
        <w:right w:val="none" w:sz="0" w:space="0" w:color="auto"/>
      </w:divBdr>
    </w:div>
    <w:div w:id="252712621">
      <w:bodyDiv w:val="1"/>
      <w:marLeft w:val="0"/>
      <w:marRight w:val="0"/>
      <w:marTop w:val="0"/>
      <w:marBottom w:val="0"/>
      <w:divBdr>
        <w:top w:val="none" w:sz="0" w:space="0" w:color="auto"/>
        <w:left w:val="none" w:sz="0" w:space="0" w:color="auto"/>
        <w:bottom w:val="none" w:sz="0" w:space="0" w:color="auto"/>
        <w:right w:val="none" w:sz="0" w:space="0" w:color="auto"/>
      </w:divBdr>
    </w:div>
    <w:div w:id="374893304">
      <w:bodyDiv w:val="1"/>
      <w:marLeft w:val="0"/>
      <w:marRight w:val="0"/>
      <w:marTop w:val="0"/>
      <w:marBottom w:val="0"/>
      <w:divBdr>
        <w:top w:val="none" w:sz="0" w:space="0" w:color="auto"/>
        <w:left w:val="none" w:sz="0" w:space="0" w:color="auto"/>
        <w:bottom w:val="none" w:sz="0" w:space="0" w:color="auto"/>
        <w:right w:val="none" w:sz="0" w:space="0" w:color="auto"/>
      </w:divBdr>
    </w:div>
    <w:div w:id="656150028">
      <w:bodyDiv w:val="1"/>
      <w:marLeft w:val="0"/>
      <w:marRight w:val="0"/>
      <w:marTop w:val="0"/>
      <w:marBottom w:val="0"/>
      <w:divBdr>
        <w:top w:val="none" w:sz="0" w:space="0" w:color="auto"/>
        <w:left w:val="none" w:sz="0" w:space="0" w:color="auto"/>
        <w:bottom w:val="none" w:sz="0" w:space="0" w:color="auto"/>
        <w:right w:val="none" w:sz="0" w:space="0" w:color="auto"/>
      </w:divBdr>
    </w:div>
    <w:div w:id="722292198">
      <w:bodyDiv w:val="1"/>
      <w:marLeft w:val="0"/>
      <w:marRight w:val="0"/>
      <w:marTop w:val="0"/>
      <w:marBottom w:val="0"/>
      <w:divBdr>
        <w:top w:val="none" w:sz="0" w:space="0" w:color="auto"/>
        <w:left w:val="none" w:sz="0" w:space="0" w:color="auto"/>
        <w:bottom w:val="none" w:sz="0" w:space="0" w:color="auto"/>
        <w:right w:val="none" w:sz="0" w:space="0" w:color="auto"/>
      </w:divBdr>
    </w:div>
    <w:div w:id="769544099">
      <w:bodyDiv w:val="1"/>
      <w:marLeft w:val="0"/>
      <w:marRight w:val="0"/>
      <w:marTop w:val="0"/>
      <w:marBottom w:val="0"/>
      <w:divBdr>
        <w:top w:val="none" w:sz="0" w:space="0" w:color="auto"/>
        <w:left w:val="none" w:sz="0" w:space="0" w:color="auto"/>
        <w:bottom w:val="none" w:sz="0" w:space="0" w:color="auto"/>
        <w:right w:val="none" w:sz="0" w:space="0" w:color="auto"/>
      </w:divBdr>
    </w:div>
    <w:div w:id="854808846">
      <w:bodyDiv w:val="1"/>
      <w:marLeft w:val="0"/>
      <w:marRight w:val="0"/>
      <w:marTop w:val="0"/>
      <w:marBottom w:val="0"/>
      <w:divBdr>
        <w:top w:val="none" w:sz="0" w:space="0" w:color="auto"/>
        <w:left w:val="none" w:sz="0" w:space="0" w:color="auto"/>
        <w:bottom w:val="none" w:sz="0" w:space="0" w:color="auto"/>
        <w:right w:val="none" w:sz="0" w:space="0" w:color="auto"/>
      </w:divBdr>
    </w:div>
    <w:div w:id="881210122">
      <w:bodyDiv w:val="1"/>
      <w:marLeft w:val="0"/>
      <w:marRight w:val="0"/>
      <w:marTop w:val="0"/>
      <w:marBottom w:val="0"/>
      <w:divBdr>
        <w:top w:val="none" w:sz="0" w:space="0" w:color="auto"/>
        <w:left w:val="none" w:sz="0" w:space="0" w:color="auto"/>
        <w:bottom w:val="none" w:sz="0" w:space="0" w:color="auto"/>
        <w:right w:val="none" w:sz="0" w:space="0" w:color="auto"/>
      </w:divBdr>
    </w:div>
    <w:div w:id="910886721">
      <w:bodyDiv w:val="1"/>
      <w:marLeft w:val="0"/>
      <w:marRight w:val="0"/>
      <w:marTop w:val="0"/>
      <w:marBottom w:val="0"/>
      <w:divBdr>
        <w:top w:val="none" w:sz="0" w:space="0" w:color="auto"/>
        <w:left w:val="none" w:sz="0" w:space="0" w:color="auto"/>
        <w:bottom w:val="none" w:sz="0" w:space="0" w:color="auto"/>
        <w:right w:val="none" w:sz="0" w:space="0" w:color="auto"/>
      </w:divBdr>
    </w:div>
    <w:div w:id="974985515">
      <w:bodyDiv w:val="1"/>
      <w:marLeft w:val="0"/>
      <w:marRight w:val="0"/>
      <w:marTop w:val="0"/>
      <w:marBottom w:val="0"/>
      <w:divBdr>
        <w:top w:val="none" w:sz="0" w:space="0" w:color="auto"/>
        <w:left w:val="none" w:sz="0" w:space="0" w:color="auto"/>
        <w:bottom w:val="none" w:sz="0" w:space="0" w:color="auto"/>
        <w:right w:val="none" w:sz="0" w:space="0" w:color="auto"/>
      </w:divBdr>
    </w:div>
    <w:div w:id="979916421">
      <w:bodyDiv w:val="1"/>
      <w:marLeft w:val="0"/>
      <w:marRight w:val="0"/>
      <w:marTop w:val="0"/>
      <w:marBottom w:val="0"/>
      <w:divBdr>
        <w:top w:val="none" w:sz="0" w:space="0" w:color="auto"/>
        <w:left w:val="none" w:sz="0" w:space="0" w:color="auto"/>
        <w:bottom w:val="none" w:sz="0" w:space="0" w:color="auto"/>
        <w:right w:val="none" w:sz="0" w:space="0" w:color="auto"/>
      </w:divBdr>
    </w:div>
    <w:div w:id="984896663">
      <w:bodyDiv w:val="1"/>
      <w:marLeft w:val="0"/>
      <w:marRight w:val="0"/>
      <w:marTop w:val="0"/>
      <w:marBottom w:val="0"/>
      <w:divBdr>
        <w:top w:val="none" w:sz="0" w:space="0" w:color="auto"/>
        <w:left w:val="none" w:sz="0" w:space="0" w:color="auto"/>
        <w:bottom w:val="none" w:sz="0" w:space="0" w:color="auto"/>
        <w:right w:val="none" w:sz="0" w:space="0" w:color="auto"/>
      </w:divBdr>
    </w:div>
    <w:div w:id="998264166">
      <w:bodyDiv w:val="1"/>
      <w:marLeft w:val="0"/>
      <w:marRight w:val="0"/>
      <w:marTop w:val="0"/>
      <w:marBottom w:val="0"/>
      <w:divBdr>
        <w:top w:val="none" w:sz="0" w:space="0" w:color="auto"/>
        <w:left w:val="none" w:sz="0" w:space="0" w:color="auto"/>
        <w:bottom w:val="none" w:sz="0" w:space="0" w:color="auto"/>
        <w:right w:val="none" w:sz="0" w:space="0" w:color="auto"/>
      </w:divBdr>
    </w:div>
    <w:div w:id="1075202235">
      <w:bodyDiv w:val="1"/>
      <w:marLeft w:val="0"/>
      <w:marRight w:val="0"/>
      <w:marTop w:val="0"/>
      <w:marBottom w:val="0"/>
      <w:divBdr>
        <w:top w:val="none" w:sz="0" w:space="0" w:color="auto"/>
        <w:left w:val="none" w:sz="0" w:space="0" w:color="auto"/>
        <w:bottom w:val="none" w:sz="0" w:space="0" w:color="auto"/>
        <w:right w:val="none" w:sz="0" w:space="0" w:color="auto"/>
      </w:divBdr>
    </w:div>
    <w:div w:id="1099254867">
      <w:bodyDiv w:val="1"/>
      <w:marLeft w:val="0"/>
      <w:marRight w:val="0"/>
      <w:marTop w:val="0"/>
      <w:marBottom w:val="0"/>
      <w:divBdr>
        <w:top w:val="none" w:sz="0" w:space="0" w:color="auto"/>
        <w:left w:val="none" w:sz="0" w:space="0" w:color="auto"/>
        <w:bottom w:val="none" w:sz="0" w:space="0" w:color="auto"/>
        <w:right w:val="none" w:sz="0" w:space="0" w:color="auto"/>
      </w:divBdr>
    </w:div>
    <w:div w:id="1117410789">
      <w:bodyDiv w:val="1"/>
      <w:marLeft w:val="0"/>
      <w:marRight w:val="0"/>
      <w:marTop w:val="0"/>
      <w:marBottom w:val="0"/>
      <w:divBdr>
        <w:top w:val="none" w:sz="0" w:space="0" w:color="auto"/>
        <w:left w:val="none" w:sz="0" w:space="0" w:color="auto"/>
        <w:bottom w:val="none" w:sz="0" w:space="0" w:color="auto"/>
        <w:right w:val="none" w:sz="0" w:space="0" w:color="auto"/>
      </w:divBdr>
    </w:div>
    <w:div w:id="1182862703">
      <w:bodyDiv w:val="1"/>
      <w:marLeft w:val="0"/>
      <w:marRight w:val="0"/>
      <w:marTop w:val="0"/>
      <w:marBottom w:val="0"/>
      <w:divBdr>
        <w:top w:val="none" w:sz="0" w:space="0" w:color="auto"/>
        <w:left w:val="none" w:sz="0" w:space="0" w:color="auto"/>
        <w:bottom w:val="none" w:sz="0" w:space="0" w:color="auto"/>
        <w:right w:val="none" w:sz="0" w:space="0" w:color="auto"/>
      </w:divBdr>
    </w:div>
    <w:div w:id="1215383862">
      <w:bodyDiv w:val="1"/>
      <w:marLeft w:val="0"/>
      <w:marRight w:val="0"/>
      <w:marTop w:val="0"/>
      <w:marBottom w:val="0"/>
      <w:divBdr>
        <w:top w:val="none" w:sz="0" w:space="0" w:color="auto"/>
        <w:left w:val="none" w:sz="0" w:space="0" w:color="auto"/>
        <w:bottom w:val="none" w:sz="0" w:space="0" w:color="auto"/>
        <w:right w:val="none" w:sz="0" w:space="0" w:color="auto"/>
      </w:divBdr>
    </w:div>
    <w:div w:id="1290937209">
      <w:bodyDiv w:val="1"/>
      <w:marLeft w:val="0"/>
      <w:marRight w:val="0"/>
      <w:marTop w:val="0"/>
      <w:marBottom w:val="0"/>
      <w:divBdr>
        <w:top w:val="none" w:sz="0" w:space="0" w:color="auto"/>
        <w:left w:val="none" w:sz="0" w:space="0" w:color="auto"/>
        <w:bottom w:val="none" w:sz="0" w:space="0" w:color="auto"/>
        <w:right w:val="none" w:sz="0" w:space="0" w:color="auto"/>
      </w:divBdr>
    </w:div>
    <w:div w:id="1434207994">
      <w:bodyDiv w:val="1"/>
      <w:marLeft w:val="0"/>
      <w:marRight w:val="0"/>
      <w:marTop w:val="0"/>
      <w:marBottom w:val="0"/>
      <w:divBdr>
        <w:top w:val="none" w:sz="0" w:space="0" w:color="auto"/>
        <w:left w:val="none" w:sz="0" w:space="0" w:color="auto"/>
        <w:bottom w:val="none" w:sz="0" w:space="0" w:color="auto"/>
        <w:right w:val="none" w:sz="0" w:space="0" w:color="auto"/>
      </w:divBdr>
    </w:div>
    <w:div w:id="1468813281">
      <w:bodyDiv w:val="1"/>
      <w:marLeft w:val="0"/>
      <w:marRight w:val="0"/>
      <w:marTop w:val="0"/>
      <w:marBottom w:val="0"/>
      <w:divBdr>
        <w:top w:val="none" w:sz="0" w:space="0" w:color="auto"/>
        <w:left w:val="none" w:sz="0" w:space="0" w:color="auto"/>
        <w:bottom w:val="none" w:sz="0" w:space="0" w:color="auto"/>
        <w:right w:val="none" w:sz="0" w:space="0" w:color="auto"/>
      </w:divBdr>
    </w:div>
    <w:div w:id="1556547501">
      <w:bodyDiv w:val="1"/>
      <w:marLeft w:val="0"/>
      <w:marRight w:val="0"/>
      <w:marTop w:val="0"/>
      <w:marBottom w:val="0"/>
      <w:divBdr>
        <w:top w:val="none" w:sz="0" w:space="0" w:color="auto"/>
        <w:left w:val="none" w:sz="0" w:space="0" w:color="auto"/>
        <w:bottom w:val="none" w:sz="0" w:space="0" w:color="auto"/>
        <w:right w:val="none" w:sz="0" w:space="0" w:color="auto"/>
      </w:divBdr>
    </w:div>
    <w:div w:id="1634560513">
      <w:bodyDiv w:val="1"/>
      <w:marLeft w:val="0"/>
      <w:marRight w:val="0"/>
      <w:marTop w:val="0"/>
      <w:marBottom w:val="0"/>
      <w:divBdr>
        <w:top w:val="none" w:sz="0" w:space="0" w:color="auto"/>
        <w:left w:val="none" w:sz="0" w:space="0" w:color="auto"/>
        <w:bottom w:val="none" w:sz="0" w:space="0" w:color="auto"/>
        <w:right w:val="none" w:sz="0" w:space="0" w:color="auto"/>
      </w:divBdr>
    </w:div>
    <w:div w:id="1641224911">
      <w:bodyDiv w:val="1"/>
      <w:marLeft w:val="0"/>
      <w:marRight w:val="0"/>
      <w:marTop w:val="0"/>
      <w:marBottom w:val="0"/>
      <w:divBdr>
        <w:top w:val="none" w:sz="0" w:space="0" w:color="auto"/>
        <w:left w:val="none" w:sz="0" w:space="0" w:color="auto"/>
        <w:bottom w:val="none" w:sz="0" w:space="0" w:color="auto"/>
        <w:right w:val="none" w:sz="0" w:space="0" w:color="auto"/>
      </w:divBdr>
    </w:div>
    <w:div w:id="1721778850">
      <w:bodyDiv w:val="1"/>
      <w:marLeft w:val="0"/>
      <w:marRight w:val="0"/>
      <w:marTop w:val="0"/>
      <w:marBottom w:val="0"/>
      <w:divBdr>
        <w:top w:val="none" w:sz="0" w:space="0" w:color="auto"/>
        <w:left w:val="none" w:sz="0" w:space="0" w:color="auto"/>
        <w:bottom w:val="none" w:sz="0" w:space="0" w:color="auto"/>
        <w:right w:val="none" w:sz="0" w:space="0" w:color="auto"/>
      </w:divBdr>
      <w:divsChild>
        <w:div w:id="1228951739">
          <w:marLeft w:val="0"/>
          <w:marRight w:val="0"/>
          <w:marTop w:val="0"/>
          <w:marBottom w:val="0"/>
          <w:divBdr>
            <w:top w:val="none" w:sz="0" w:space="0" w:color="auto"/>
            <w:left w:val="none" w:sz="0" w:space="0" w:color="auto"/>
            <w:bottom w:val="none" w:sz="0" w:space="0" w:color="auto"/>
            <w:right w:val="none" w:sz="0" w:space="0" w:color="auto"/>
          </w:divBdr>
          <w:divsChild>
            <w:div w:id="1347169989">
              <w:marLeft w:val="0"/>
              <w:marRight w:val="0"/>
              <w:marTop w:val="0"/>
              <w:marBottom w:val="0"/>
              <w:divBdr>
                <w:top w:val="none" w:sz="0" w:space="0" w:color="auto"/>
                <w:left w:val="none" w:sz="0" w:space="0" w:color="auto"/>
                <w:bottom w:val="none" w:sz="0" w:space="0" w:color="auto"/>
                <w:right w:val="none" w:sz="0" w:space="0" w:color="auto"/>
              </w:divBdr>
              <w:divsChild>
                <w:div w:id="330063825">
                  <w:marLeft w:val="0"/>
                  <w:marRight w:val="0"/>
                  <w:marTop w:val="0"/>
                  <w:marBottom w:val="0"/>
                  <w:divBdr>
                    <w:top w:val="none" w:sz="0" w:space="0" w:color="auto"/>
                    <w:left w:val="none" w:sz="0" w:space="0" w:color="auto"/>
                    <w:bottom w:val="none" w:sz="0" w:space="0" w:color="auto"/>
                    <w:right w:val="none" w:sz="0" w:space="0" w:color="auto"/>
                  </w:divBdr>
                  <w:divsChild>
                    <w:div w:id="1345131127">
                      <w:marLeft w:val="0"/>
                      <w:marRight w:val="0"/>
                      <w:marTop w:val="0"/>
                      <w:marBottom w:val="0"/>
                      <w:divBdr>
                        <w:top w:val="none" w:sz="0" w:space="0" w:color="auto"/>
                        <w:left w:val="none" w:sz="0" w:space="0" w:color="auto"/>
                        <w:bottom w:val="none" w:sz="0" w:space="0" w:color="auto"/>
                        <w:right w:val="none" w:sz="0" w:space="0" w:color="auto"/>
                      </w:divBdr>
                      <w:divsChild>
                        <w:div w:id="668020337">
                          <w:marLeft w:val="0"/>
                          <w:marRight w:val="0"/>
                          <w:marTop w:val="0"/>
                          <w:marBottom w:val="0"/>
                          <w:divBdr>
                            <w:top w:val="none" w:sz="0" w:space="0" w:color="auto"/>
                            <w:left w:val="none" w:sz="0" w:space="0" w:color="auto"/>
                            <w:bottom w:val="none" w:sz="0" w:space="0" w:color="auto"/>
                            <w:right w:val="none" w:sz="0" w:space="0" w:color="auto"/>
                          </w:divBdr>
                          <w:divsChild>
                            <w:div w:id="1865435430">
                              <w:marLeft w:val="0"/>
                              <w:marRight w:val="0"/>
                              <w:marTop w:val="0"/>
                              <w:marBottom w:val="0"/>
                              <w:divBdr>
                                <w:top w:val="none" w:sz="0" w:space="0" w:color="auto"/>
                                <w:left w:val="none" w:sz="0" w:space="0" w:color="auto"/>
                                <w:bottom w:val="none" w:sz="0" w:space="0" w:color="auto"/>
                                <w:right w:val="none" w:sz="0" w:space="0" w:color="auto"/>
                              </w:divBdr>
                              <w:divsChild>
                                <w:div w:id="607129902">
                                  <w:marLeft w:val="0"/>
                                  <w:marRight w:val="0"/>
                                  <w:marTop w:val="0"/>
                                  <w:marBottom w:val="0"/>
                                  <w:divBdr>
                                    <w:top w:val="none" w:sz="0" w:space="0" w:color="auto"/>
                                    <w:left w:val="none" w:sz="0" w:space="0" w:color="auto"/>
                                    <w:bottom w:val="none" w:sz="0" w:space="0" w:color="auto"/>
                                    <w:right w:val="none" w:sz="0" w:space="0" w:color="auto"/>
                                  </w:divBdr>
                                  <w:divsChild>
                                    <w:div w:id="1049499649">
                                      <w:marLeft w:val="0"/>
                                      <w:marRight w:val="0"/>
                                      <w:marTop w:val="0"/>
                                      <w:marBottom w:val="0"/>
                                      <w:divBdr>
                                        <w:top w:val="none" w:sz="0" w:space="0" w:color="auto"/>
                                        <w:left w:val="none" w:sz="0" w:space="0" w:color="auto"/>
                                        <w:bottom w:val="none" w:sz="0" w:space="0" w:color="auto"/>
                                        <w:right w:val="none" w:sz="0" w:space="0" w:color="auto"/>
                                      </w:divBdr>
                                      <w:divsChild>
                                        <w:div w:id="176503801">
                                          <w:marLeft w:val="0"/>
                                          <w:marRight w:val="0"/>
                                          <w:marTop w:val="0"/>
                                          <w:marBottom w:val="0"/>
                                          <w:divBdr>
                                            <w:top w:val="none" w:sz="0" w:space="0" w:color="auto"/>
                                            <w:left w:val="none" w:sz="0" w:space="0" w:color="auto"/>
                                            <w:bottom w:val="none" w:sz="0" w:space="0" w:color="auto"/>
                                            <w:right w:val="none" w:sz="0" w:space="0" w:color="auto"/>
                                          </w:divBdr>
                                          <w:divsChild>
                                            <w:div w:id="1818376140">
                                              <w:marLeft w:val="0"/>
                                              <w:marRight w:val="0"/>
                                              <w:marTop w:val="0"/>
                                              <w:marBottom w:val="0"/>
                                              <w:divBdr>
                                                <w:top w:val="none" w:sz="0" w:space="0" w:color="auto"/>
                                                <w:left w:val="none" w:sz="0" w:space="0" w:color="auto"/>
                                                <w:bottom w:val="none" w:sz="0" w:space="0" w:color="auto"/>
                                                <w:right w:val="none" w:sz="0" w:space="0" w:color="auto"/>
                                              </w:divBdr>
                                              <w:divsChild>
                                                <w:div w:id="1978073858">
                                                  <w:marLeft w:val="0"/>
                                                  <w:marRight w:val="0"/>
                                                  <w:marTop w:val="0"/>
                                                  <w:marBottom w:val="0"/>
                                                  <w:divBdr>
                                                    <w:top w:val="none" w:sz="0" w:space="0" w:color="auto"/>
                                                    <w:left w:val="none" w:sz="0" w:space="0" w:color="auto"/>
                                                    <w:bottom w:val="none" w:sz="0" w:space="0" w:color="auto"/>
                                                    <w:right w:val="none" w:sz="0" w:space="0" w:color="auto"/>
                                                  </w:divBdr>
                                                  <w:divsChild>
                                                    <w:div w:id="738745269">
                                                      <w:marLeft w:val="0"/>
                                                      <w:marRight w:val="0"/>
                                                      <w:marTop w:val="0"/>
                                                      <w:marBottom w:val="0"/>
                                                      <w:divBdr>
                                                        <w:top w:val="none" w:sz="0" w:space="0" w:color="auto"/>
                                                        <w:left w:val="none" w:sz="0" w:space="0" w:color="auto"/>
                                                        <w:bottom w:val="none" w:sz="0" w:space="0" w:color="auto"/>
                                                        <w:right w:val="none" w:sz="0" w:space="0" w:color="auto"/>
                                                      </w:divBdr>
                                                      <w:divsChild>
                                                        <w:div w:id="2093239465">
                                                          <w:marLeft w:val="0"/>
                                                          <w:marRight w:val="0"/>
                                                          <w:marTop w:val="0"/>
                                                          <w:marBottom w:val="0"/>
                                                          <w:divBdr>
                                                            <w:top w:val="none" w:sz="0" w:space="0" w:color="auto"/>
                                                            <w:left w:val="none" w:sz="0" w:space="0" w:color="auto"/>
                                                            <w:bottom w:val="none" w:sz="0" w:space="0" w:color="auto"/>
                                                            <w:right w:val="none" w:sz="0" w:space="0" w:color="auto"/>
                                                          </w:divBdr>
                                                          <w:divsChild>
                                                            <w:div w:id="232273936">
                                                              <w:marLeft w:val="0"/>
                                                              <w:marRight w:val="0"/>
                                                              <w:marTop w:val="0"/>
                                                              <w:marBottom w:val="0"/>
                                                              <w:divBdr>
                                                                <w:top w:val="none" w:sz="0" w:space="0" w:color="auto"/>
                                                                <w:left w:val="none" w:sz="0" w:space="0" w:color="auto"/>
                                                                <w:bottom w:val="none" w:sz="0" w:space="0" w:color="auto"/>
                                                                <w:right w:val="none" w:sz="0" w:space="0" w:color="auto"/>
                                                              </w:divBdr>
                                                              <w:divsChild>
                                                                <w:div w:id="804814415">
                                                                  <w:marLeft w:val="0"/>
                                                                  <w:marRight w:val="0"/>
                                                                  <w:marTop w:val="0"/>
                                                                  <w:marBottom w:val="0"/>
                                                                  <w:divBdr>
                                                                    <w:top w:val="none" w:sz="0" w:space="0" w:color="auto"/>
                                                                    <w:left w:val="none" w:sz="0" w:space="0" w:color="auto"/>
                                                                    <w:bottom w:val="none" w:sz="0" w:space="0" w:color="auto"/>
                                                                    <w:right w:val="none" w:sz="0" w:space="0" w:color="auto"/>
                                                                  </w:divBdr>
                                                                  <w:divsChild>
                                                                    <w:div w:id="1237982178">
                                                                      <w:marLeft w:val="0"/>
                                                                      <w:marRight w:val="0"/>
                                                                      <w:marTop w:val="0"/>
                                                                      <w:marBottom w:val="0"/>
                                                                      <w:divBdr>
                                                                        <w:top w:val="none" w:sz="0" w:space="0" w:color="auto"/>
                                                                        <w:left w:val="none" w:sz="0" w:space="0" w:color="auto"/>
                                                                        <w:bottom w:val="none" w:sz="0" w:space="0" w:color="auto"/>
                                                                        <w:right w:val="none" w:sz="0" w:space="0" w:color="auto"/>
                                                                      </w:divBdr>
                                                                      <w:divsChild>
                                                                        <w:div w:id="2067684352">
                                                                          <w:marLeft w:val="0"/>
                                                                          <w:marRight w:val="0"/>
                                                                          <w:marTop w:val="0"/>
                                                                          <w:marBottom w:val="0"/>
                                                                          <w:divBdr>
                                                                            <w:top w:val="none" w:sz="0" w:space="0" w:color="auto"/>
                                                                            <w:left w:val="none" w:sz="0" w:space="0" w:color="auto"/>
                                                                            <w:bottom w:val="none" w:sz="0" w:space="0" w:color="auto"/>
                                                                            <w:right w:val="none" w:sz="0" w:space="0" w:color="auto"/>
                                                                          </w:divBdr>
                                                                          <w:divsChild>
                                                                            <w:div w:id="911500491">
                                                                              <w:marLeft w:val="0"/>
                                                                              <w:marRight w:val="0"/>
                                                                              <w:marTop w:val="0"/>
                                                                              <w:marBottom w:val="0"/>
                                                                              <w:divBdr>
                                                                                <w:top w:val="none" w:sz="0" w:space="0" w:color="auto"/>
                                                                                <w:left w:val="none" w:sz="0" w:space="0" w:color="auto"/>
                                                                                <w:bottom w:val="none" w:sz="0" w:space="0" w:color="auto"/>
                                                                                <w:right w:val="none" w:sz="0" w:space="0" w:color="auto"/>
                                                                              </w:divBdr>
                                                                              <w:divsChild>
                                                                                <w:div w:id="1171680201">
                                                                                  <w:marLeft w:val="0"/>
                                                                                  <w:marRight w:val="0"/>
                                                                                  <w:marTop w:val="0"/>
                                                                                  <w:marBottom w:val="0"/>
                                                                                  <w:divBdr>
                                                                                    <w:top w:val="none" w:sz="0" w:space="0" w:color="auto"/>
                                                                                    <w:left w:val="none" w:sz="0" w:space="0" w:color="auto"/>
                                                                                    <w:bottom w:val="none" w:sz="0" w:space="0" w:color="auto"/>
                                                                                    <w:right w:val="none" w:sz="0" w:space="0" w:color="auto"/>
                                                                                  </w:divBdr>
                                                                                  <w:divsChild>
                                                                                    <w:div w:id="155608047">
                                                                                      <w:marLeft w:val="0"/>
                                                                                      <w:marRight w:val="0"/>
                                                                                      <w:marTop w:val="0"/>
                                                                                      <w:marBottom w:val="0"/>
                                                                                      <w:divBdr>
                                                                                        <w:top w:val="none" w:sz="0" w:space="0" w:color="auto"/>
                                                                                        <w:left w:val="none" w:sz="0" w:space="0" w:color="auto"/>
                                                                                        <w:bottom w:val="none" w:sz="0" w:space="0" w:color="auto"/>
                                                                                        <w:right w:val="none" w:sz="0" w:space="0" w:color="auto"/>
                                                                                      </w:divBdr>
                                                                                      <w:divsChild>
                                                                                        <w:div w:id="2013995473">
                                                                                          <w:marLeft w:val="0"/>
                                                                                          <w:marRight w:val="0"/>
                                                                                          <w:marTop w:val="0"/>
                                                                                          <w:marBottom w:val="0"/>
                                                                                          <w:divBdr>
                                                                                            <w:top w:val="none" w:sz="0" w:space="0" w:color="auto"/>
                                                                                            <w:left w:val="none" w:sz="0" w:space="0" w:color="auto"/>
                                                                                            <w:bottom w:val="none" w:sz="0" w:space="0" w:color="auto"/>
                                                                                            <w:right w:val="none" w:sz="0" w:space="0" w:color="auto"/>
                                                                                          </w:divBdr>
                                                                                          <w:divsChild>
                                                                                            <w:div w:id="1006906311">
                                                                                              <w:marLeft w:val="0"/>
                                                                                              <w:marRight w:val="0"/>
                                                                                              <w:marTop w:val="0"/>
                                                                                              <w:marBottom w:val="0"/>
                                                                                              <w:divBdr>
                                                                                                <w:top w:val="none" w:sz="0" w:space="0" w:color="auto"/>
                                                                                                <w:left w:val="none" w:sz="0" w:space="0" w:color="auto"/>
                                                                                                <w:bottom w:val="none" w:sz="0" w:space="0" w:color="auto"/>
                                                                                                <w:right w:val="none" w:sz="0" w:space="0" w:color="auto"/>
                                                                                              </w:divBdr>
                                                                                              <w:divsChild>
                                                                                                <w:div w:id="1493519636">
                                                                                                  <w:marLeft w:val="0"/>
                                                                                                  <w:marRight w:val="0"/>
                                                                                                  <w:marTop w:val="0"/>
                                                                                                  <w:marBottom w:val="0"/>
                                                                                                  <w:divBdr>
                                                                                                    <w:top w:val="none" w:sz="0" w:space="0" w:color="auto"/>
                                                                                                    <w:left w:val="none" w:sz="0" w:space="0" w:color="auto"/>
                                                                                                    <w:bottom w:val="none" w:sz="0" w:space="0" w:color="auto"/>
                                                                                                    <w:right w:val="none" w:sz="0" w:space="0" w:color="auto"/>
                                                                                                  </w:divBdr>
                                                                                                  <w:divsChild>
                                                                                                    <w:div w:id="984234111">
                                                                                                      <w:marLeft w:val="0"/>
                                                                                                      <w:marRight w:val="0"/>
                                                                                                      <w:marTop w:val="0"/>
                                                                                                      <w:marBottom w:val="0"/>
                                                                                                      <w:divBdr>
                                                                                                        <w:top w:val="none" w:sz="0" w:space="0" w:color="auto"/>
                                                                                                        <w:left w:val="none" w:sz="0" w:space="0" w:color="auto"/>
                                                                                                        <w:bottom w:val="none" w:sz="0" w:space="0" w:color="auto"/>
                                                                                                        <w:right w:val="none" w:sz="0" w:space="0" w:color="auto"/>
                                                                                                      </w:divBdr>
                                                                                                      <w:divsChild>
                                                                                                        <w:div w:id="948390576">
                                                                                                          <w:marLeft w:val="0"/>
                                                                                                          <w:marRight w:val="0"/>
                                                                                                          <w:marTop w:val="0"/>
                                                                                                          <w:marBottom w:val="0"/>
                                                                                                          <w:divBdr>
                                                                                                            <w:top w:val="none" w:sz="0" w:space="0" w:color="auto"/>
                                                                                                            <w:left w:val="none" w:sz="0" w:space="0" w:color="auto"/>
                                                                                                            <w:bottom w:val="none" w:sz="0" w:space="0" w:color="auto"/>
                                                                                                            <w:right w:val="none" w:sz="0" w:space="0" w:color="auto"/>
                                                                                                          </w:divBdr>
                                                                                                          <w:divsChild>
                                                                                                            <w:div w:id="122236668">
                                                                                                              <w:marLeft w:val="0"/>
                                                                                                              <w:marRight w:val="0"/>
                                                                                                              <w:marTop w:val="0"/>
                                                                                                              <w:marBottom w:val="0"/>
                                                                                                              <w:divBdr>
                                                                                                                <w:top w:val="none" w:sz="0" w:space="0" w:color="auto"/>
                                                                                                                <w:left w:val="none" w:sz="0" w:space="0" w:color="auto"/>
                                                                                                                <w:bottom w:val="none" w:sz="0" w:space="0" w:color="auto"/>
                                                                                                                <w:right w:val="none" w:sz="0" w:space="0" w:color="auto"/>
                                                                                                              </w:divBdr>
                                                                                                              <w:divsChild>
                                                                                                                <w:div w:id="48114839">
                                                                                                                  <w:marLeft w:val="0"/>
                                                                                                                  <w:marRight w:val="0"/>
                                                                                                                  <w:marTop w:val="0"/>
                                                                                                                  <w:marBottom w:val="0"/>
                                                                                                                  <w:divBdr>
                                                                                                                    <w:top w:val="none" w:sz="0" w:space="0" w:color="auto"/>
                                                                                                                    <w:left w:val="none" w:sz="0" w:space="0" w:color="auto"/>
                                                                                                                    <w:bottom w:val="none" w:sz="0" w:space="0" w:color="auto"/>
                                                                                                                    <w:right w:val="none" w:sz="0" w:space="0" w:color="auto"/>
                                                                                                                  </w:divBdr>
                                                                                                                  <w:divsChild>
                                                                                                                    <w:div w:id="1648777055">
                                                                                                                      <w:marLeft w:val="0"/>
                                                                                                                      <w:marRight w:val="0"/>
                                                                                                                      <w:marTop w:val="0"/>
                                                                                                                      <w:marBottom w:val="0"/>
                                                                                                                      <w:divBdr>
                                                                                                                        <w:top w:val="none" w:sz="0" w:space="0" w:color="auto"/>
                                                                                                                        <w:left w:val="none" w:sz="0" w:space="0" w:color="auto"/>
                                                                                                                        <w:bottom w:val="none" w:sz="0" w:space="0" w:color="auto"/>
                                                                                                                        <w:right w:val="none" w:sz="0" w:space="0" w:color="auto"/>
                                                                                                                      </w:divBdr>
                                                                                                                      <w:divsChild>
                                                                                                                        <w:div w:id="514542941">
                                                                                                                          <w:marLeft w:val="0"/>
                                                                                                                          <w:marRight w:val="0"/>
                                                                                                                          <w:marTop w:val="0"/>
                                                                                                                          <w:marBottom w:val="0"/>
                                                                                                                          <w:divBdr>
                                                                                                                            <w:top w:val="none" w:sz="0" w:space="0" w:color="auto"/>
                                                                                                                            <w:left w:val="none" w:sz="0" w:space="0" w:color="auto"/>
                                                                                                                            <w:bottom w:val="none" w:sz="0" w:space="0" w:color="auto"/>
                                                                                                                            <w:right w:val="none" w:sz="0" w:space="0" w:color="auto"/>
                                                                                                                          </w:divBdr>
                                                                                                                          <w:divsChild>
                                                                                                                            <w:div w:id="205021783">
                                                                                                                              <w:marLeft w:val="0"/>
                                                                                                                              <w:marRight w:val="0"/>
                                                                                                                              <w:marTop w:val="0"/>
                                                                                                                              <w:marBottom w:val="0"/>
                                                                                                                              <w:divBdr>
                                                                                                                                <w:top w:val="none" w:sz="0" w:space="0" w:color="auto"/>
                                                                                                                                <w:left w:val="none" w:sz="0" w:space="0" w:color="auto"/>
                                                                                                                                <w:bottom w:val="none" w:sz="0" w:space="0" w:color="auto"/>
                                                                                                                                <w:right w:val="none" w:sz="0" w:space="0" w:color="auto"/>
                                                                                                                              </w:divBdr>
                                                                                                                              <w:divsChild>
                                                                                                                                <w:div w:id="2133207666">
                                                                                                                                  <w:marLeft w:val="0"/>
                                                                                                                                  <w:marRight w:val="0"/>
                                                                                                                                  <w:marTop w:val="0"/>
                                                                                                                                  <w:marBottom w:val="0"/>
                                                                                                                                  <w:divBdr>
                                                                                                                                    <w:top w:val="none" w:sz="0" w:space="0" w:color="auto"/>
                                                                                                                                    <w:left w:val="none" w:sz="0" w:space="0" w:color="auto"/>
                                                                                                                                    <w:bottom w:val="none" w:sz="0" w:space="0" w:color="auto"/>
                                                                                                                                    <w:right w:val="none" w:sz="0" w:space="0" w:color="auto"/>
                                                                                                                                  </w:divBdr>
                                                                                                                                  <w:divsChild>
                                                                                                                                    <w:div w:id="792407290">
                                                                                                                                      <w:marLeft w:val="0"/>
                                                                                                                                      <w:marRight w:val="0"/>
                                                                                                                                      <w:marTop w:val="0"/>
                                                                                                                                      <w:marBottom w:val="0"/>
                                                                                                                                      <w:divBdr>
                                                                                                                                        <w:top w:val="none" w:sz="0" w:space="0" w:color="auto"/>
                                                                                                                                        <w:left w:val="none" w:sz="0" w:space="0" w:color="auto"/>
                                                                                                                                        <w:bottom w:val="none" w:sz="0" w:space="0" w:color="auto"/>
                                                                                                                                        <w:right w:val="none" w:sz="0" w:space="0" w:color="auto"/>
                                                                                                                                      </w:divBdr>
                                                                                                                                      <w:divsChild>
                                                                                                                                        <w:div w:id="1301611935">
                                                                                                                                          <w:marLeft w:val="0"/>
                                                                                                                                          <w:marRight w:val="0"/>
                                                                                                                                          <w:marTop w:val="0"/>
                                                                                                                                          <w:marBottom w:val="0"/>
                                                                                                                                          <w:divBdr>
                                                                                                                                            <w:top w:val="none" w:sz="0" w:space="0" w:color="auto"/>
                                                                                                                                            <w:left w:val="none" w:sz="0" w:space="0" w:color="auto"/>
                                                                                                                                            <w:bottom w:val="none" w:sz="0" w:space="0" w:color="auto"/>
                                                                                                                                            <w:right w:val="none" w:sz="0" w:space="0" w:color="auto"/>
                                                                                                                                          </w:divBdr>
                                                                                                                                          <w:divsChild>
                                                                                                                                            <w:div w:id="1553039068">
                                                                                                                                              <w:marLeft w:val="0"/>
                                                                                                                                              <w:marRight w:val="0"/>
                                                                                                                                              <w:marTop w:val="0"/>
                                                                                                                                              <w:marBottom w:val="0"/>
                                                                                                                                              <w:divBdr>
                                                                                                                                                <w:top w:val="none" w:sz="0" w:space="0" w:color="auto"/>
                                                                                                                                                <w:left w:val="none" w:sz="0" w:space="0" w:color="auto"/>
                                                                                                                                                <w:bottom w:val="none" w:sz="0" w:space="0" w:color="auto"/>
                                                                                                                                                <w:right w:val="none" w:sz="0" w:space="0" w:color="auto"/>
                                                                                                                                              </w:divBdr>
                                                                                                                                              <w:divsChild>
                                                                                                                                                <w:div w:id="1790002588">
                                                                                                                                                  <w:marLeft w:val="0"/>
                                                                                                                                                  <w:marRight w:val="0"/>
                                                                                                                                                  <w:marTop w:val="0"/>
                                                                                                                                                  <w:marBottom w:val="0"/>
                                                                                                                                                  <w:divBdr>
                                                                                                                                                    <w:top w:val="none" w:sz="0" w:space="0" w:color="auto"/>
                                                                                                                                                    <w:left w:val="none" w:sz="0" w:space="0" w:color="auto"/>
                                                                                                                                                    <w:bottom w:val="none" w:sz="0" w:space="0" w:color="auto"/>
                                                                                                                                                    <w:right w:val="none" w:sz="0" w:space="0" w:color="auto"/>
                                                                                                                                                  </w:divBdr>
                                                                                                                                                  <w:divsChild>
                                                                                                                                                    <w:div w:id="1926187053">
                                                                                                                                                      <w:marLeft w:val="0"/>
                                                                                                                                                      <w:marRight w:val="0"/>
                                                                                                                                                      <w:marTop w:val="0"/>
                                                                                                                                                      <w:marBottom w:val="0"/>
                                                                                                                                                      <w:divBdr>
                                                                                                                                                        <w:top w:val="none" w:sz="0" w:space="0" w:color="auto"/>
                                                                                                                                                        <w:left w:val="none" w:sz="0" w:space="0" w:color="auto"/>
                                                                                                                                                        <w:bottom w:val="none" w:sz="0" w:space="0" w:color="auto"/>
                                                                                                                                                        <w:right w:val="none" w:sz="0" w:space="0" w:color="auto"/>
                                                                                                                                                      </w:divBdr>
                                                                                                                                                      <w:divsChild>
                                                                                                                                                        <w:div w:id="914318976">
                                                                                                                                                          <w:marLeft w:val="0"/>
                                                                                                                                                          <w:marRight w:val="0"/>
                                                                                                                                                          <w:marTop w:val="0"/>
                                                                                                                                                          <w:marBottom w:val="0"/>
                                                                                                                                                          <w:divBdr>
                                                                                                                                                            <w:top w:val="none" w:sz="0" w:space="0" w:color="auto"/>
                                                                                                                                                            <w:left w:val="none" w:sz="0" w:space="0" w:color="auto"/>
                                                                                                                                                            <w:bottom w:val="none" w:sz="0" w:space="0" w:color="auto"/>
                                                                                                                                                            <w:right w:val="none" w:sz="0" w:space="0" w:color="auto"/>
                                                                                                                                                          </w:divBdr>
                                                                                                                                                          <w:divsChild>
                                                                                                                                                            <w:div w:id="2122724694">
                                                                                                                                                              <w:marLeft w:val="0"/>
                                                                                                                                                              <w:marRight w:val="0"/>
                                                                                                                                                              <w:marTop w:val="0"/>
                                                                                                                                                              <w:marBottom w:val="0"/>
                                                                                                                                                              <w:divBdr>
                                                                                                                                                                <w:top w:val="none" w:sz="0" w:space="0" w:color="auto"/>
                                                                                                                                                                <w:left w:val="none" w:sz="0" w:space="0" w:color="auto"/>
                                                                                                                                                                <w:bottom w:val="none" w:sz="0" w:space="0" w:color="auto"/>
                                                                                                                                                                <w:right w:val="none" w:sz="0" w:space="0" w:color="auto"/>
                                                                                                                                                              </w:divBdr>
                                                                                                                                                              <w:divsChild>
                                                                                                                                                                <w:div w:id="656691077">
                                                                                                                                                                  <w:marLeft w:val="0"/>
                                                                                                                                                                  <w:marRight w:val="0"/>
                                                                                                                                                                  <w:marTop w:val="0"/>
                                                                                                                                                                  <w:marBottom w:val="0"/>
                                                                                                                                                                  <w:divBdr>
                                                                                                                                                                    <w:top w:val="none" w:sz="0" w:space="0" w:color="auto"/>
                                                                                                                                                                    <w:left w:val="none" w:sz="0" w:space="0" w:color="auto"/>
                                                                                                                                                                    <w:bottom w:val="none" w:sz="0" w:space="0" w:color="auto"/>
                                                                                                                                                                    <w:right w:val="none" w:sz="0" w:space="0" w:color="auto"/>
                                                                                                                                                                  </w:divBdr>
                                                                                                                                                                  <w:divsChild>
                                                                                                                                                                    <w:div w:id="688139154">
                                                                                                                                                                      <w:marLeft w:val="0"/>
                                                                                                                                                                      <w:marRight w:val="0"/>
                                                                                                                                                                      <w:marTop w:val="0"/>
                                                                                                                                                                      <w:marBottom w:val="0"/>
                                                                                                                                                                      <w:divBdr>
                                                                                                                                                                        <w:top w:val="none" w:sz="0" w:space="0" w:color="auto"/>
                                                                                                                                                                        <w:left w:val="none" w:sz="0" w:space="0" w:color="auto"/>
                                                                                                                                                                        <w:bottom w:val="none" w:sz="0" w:space="0" w:color="auto"/>
                                                                                                                                                                        <w:right w:val="none" w:sz="0" w:space="0" w:color="auto"/>
                                                                                                                                                                      </w:divBdr>
                                                                                                                                                                      <w:divsChild>
                                                                                                                                                                        <w:div w:id="415976440">
                                                                                                                                                                          <w:marLeft w:val="0"/>
                                                                                                                                                                          <w:marRight w:val="0"/>
                                                                                                                                                                          <w:marTop w:val="0"/>
                                                                                                                                                                          <w:marBottom w:val="0"/>
                                                                                                                                                                          <w:divBdr>
                                                                                                                                                                            <w:top w:val="none" w:sz="0" w:space="0" w:color="auto"/>
                                                                                                                                                                            <w:left w:val="none" w:sz="0" w:space="0" w:color="auto"/>
                                                                                                                                                                            <w:bottom w:val="none" w:sz="0" w:space="0" w:color="auto"/>
                                                                                                                                                                            <w:right w:val="none" w:sz="0" w:space="0" w:color="auto"/>
                                                                                                                                                                          </w:divBdr>
                                                                                                                                                                          <w:divsChild>
                                                                                                                                                                            <w:div w:id="1205366000">
                                                                                                                                                                              <w:marLeft w:val="0"/>
                                                                                                                                                                              <w:marRight w:val="0"/>
                                                                                                                                                                              <w:marTop w:val="0"/>
                                                                                                                                                                              <w:marBottom w:val="0"/>
                                                                                                                                                                              <w:divBdr>
                                                                                                                                                                                <w:top w:val="none" w:sz="0" w:space="0" w:color="auto"/>
                                                                                                                                                                                <w:left w:val="none" w:sz="0" w:space="0" w:color="auto"/>
                                                                                                                                                                                <w:bottom w:val="none" w:sz="0" w:space="0" w:color="auto"/>
                                                                                                                                                                                <w:right w:val="none" w:sz="0" w:space="0" w:color="auto"/>
                                                                                                                                                                              </w:divBdr>
                                                                                                                                                                              <w:divsChild>
                                                                                                                                                                                <w:div w:id="792794771">
                                                                                                                                                                                  <w:marLeft w:val="0"/>
                                                                                                                                                                                  <w:marRight w:val="0"/>
                                                                                                                                                                                  <w:marTop w:val="0"/>
                                                                                                                                                                                  <w:marBottom w:val="0"/>
                                                                                                                                                                                  <w:divBdr>
                                                                                                                                                                                    <w:top w:val="none" w:sz="0" w:space="0" w:color="auto"/>
                                                                                                                                                                                    <w:left w:val="none" w:sz="0" w:space="0" w:color="auto"/>
                                                                                                                                                                                    <w:bottom w:val="none" w:sz="0" w:space="0" w:color="auto"/>
                                                                                                                                                                                    <w:right w:val="none" w:sz="0" w:space="0" w:color="auto"/>
                                                                                                                                                                                  </w:divBdr>
                                                                                                                                                                                  <w:divsChild>
                                                                                                                                                                                    <w:div w:id="2038236390">
                                                                                                                                                                                      <w:marLeft w:val="0"/>
                                                                                                                                                                                      <w:marRight w:val="0"/>
                                                                                                                                                                                      <w:marTop w:val="0"/>
                                                                                                                                                                                      <w:marBottom w:val="0"/>
                                                                                                                                                                                      <w:divBdr>
                                                                                                                                                                                        <w:top w:val="none" w:sz="0" w:space="0" w:color="auto"/>
                                                                                                                                                                                        <w:left w:val="none" w:sz="0" w:space="0" w:color="auto"/>
                                                                                                                                                                                        <w:bottom w:val="none" w:sz="0" w:space="0" w:color="auto"/>
                                                                                                                                                                                        <w:right w:val="none" w:sz="0" w:space="0" w:color="auto"/>
                                                                                                                                                                                      </w:divBdr>
                                                                                                                                                                                      <w:divsChild>
                                                                                                                                                                                        <w:div w:id="1370451062">
                                                                                                                                                                                          <w:marLeft w:val="0"/>
                                                                                                                                                                                          <w:marRight w:val="0"/>
                                                                                                                                                                                          <w:marTop w:val="0"/>
                                                                                                                                                                                          <w:marBottom w:val="0"/>
                                                                                                                                                                                          <w:divBdr>
                                                                                                                                                                                            <w:top w:val="none" w:sz="0" w:space="0" w:color="auto"/>
                                                                                                                                                                                            <w:left w:val="none" w:sz="0" w:space="0" w:color="auto"/>
                                                                                                                                                                                            <w:bottom w:val="none" w:sz="0" w:space="0" w:color="auto"/>
                                                                                                                                                                                            <w:right w:val="none" w:sz="0" w:space="0" w:color="auto"/>
                                                                                                                                                                                          </w:divBdr>
                                                                                                                                                                                          <w:divsChild>
                                                                                                                                                                                            <w:div w:id="541744405">
                                                                                                                                                                                              <w:marLeft w:val="0"/>
                                                                                                                                                                                              <w:marRight w:val="0"/>
                                                                                                                                                                                              <w:marTop w:val="0"/>
                                                                                                                                                                                              <w:marBottom w:val="0"/>
                                                                                                                                                                                              <w:divBdr>
                                                                                                                                                                                                <w:top w:val="none" w:sz="0" w:space="0" w:color="auto"/>
                                                                                                                                                                                                <w:left w:val="none" w:sz="0" w:space="0" w:color="auto"/>
                                                                                                                                                                                                <w:bottom w:val="none" w:sz="0" w:space="0" w:color="auto"/>
                                                                                                                                                                                                <w:right w:val="none" w:sz="0" w:space="0" w:color="auto"/>
                                                                                                                                                                                              </w:divBdr>
                                                                                                                                                                                              <w:divsChild>
                                                                                                                                                                                                <w:div w:id="45043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6370731">
      <w:bodyDiv w:val="1"/>
      <w:marLeft w:val="0"/>
      <w:marRight w:val="0"/>
      <w:marTop w:val="0"/>
      <w:marBottom w:val="0"/>
      <w:divBdr>
        <w:top w:val="none" w:sz="0" w:space="0" w:color="auto"/>
        <w:left w:val="none" w:sz="0" w:space="0" w:color="auto"/>
        <w:bottom w:val="none" w:sz="0" w:space="0" w:color="auto"/>
        <w:right w:val="none" w:sz="0" w:space="0" w:color="auto"/>
      </w:divBdr>
    </w:div>
    <w:div w:id="1809201421">
      <w:bodyDiv w:val="1"/>
      <w:marLeft w:val="0"/>
      <w:marRight w:val="0"/>
      <w:marTop w:val="0"/>
      <w:marBottom w:val="0"/>
      <w:divBdr>
        <w:top w:val="none" w:sz="0" w:space="0" w:color="auto"/>
        <w:left w:val="none" w:sz="0" w:space="0" w:color="auto"/>
        <w:bottom w:val="none" w:sz="0" w:space="0" w:color="auto"/>
        <w:right w:val="none" w:sz="0" w:space="0" w:color="auto"/>
      </w:divBdr>
    </w:div>
    <w:div w:id="1961260741">
      <w:bodyDiv w:val="1"/>
      <w:marLeft w:val="0"/>
      <w:marRight w:val="0"/>
      <w:marTop w:val="0"/>
      <w:marBottom w:val="0"/>
      <w:divBdr>
        <w:top w:val="none" w:sz="0" w:space="0" w:color="auto"/>
        <w:left w:val="none" w:sz="0" w:space="0" w:color="auto"/>
        <w:bottom w:val="none" w:sz="0" w:space="0" w:color="auto"/>
        <w:right w:val="none" w:sz="0" w:space="0" w:color="auto"/>
      </w:divBdr>
    </w:div>
    <w:div w:id="1963882539">
      <w:bodyDiv w:val="1"/>
      <w:marLeft w:val="0"/>
      <w:marRight w:val="0"/>
      <w:marTop w:val="0"/>
      <w:marBottom w:val="0"/>
      <w:divBdr>
        <w:top w:val="none" w:sz="0" w:space="0" w:color="auto"/>
        <w:left w:val="none" w:sz="0" w:space="0" w:color="auto"/>
        <w:bottom w:val="none" w:sz="0" w:space="0" w:color="auto"/>
        <w:right w:val="none" w:sz="0" w:space="0" w:color="auto"/>
      </w:divBdr>
    </w:div>
    <w:div w:id="2014722564">
      <w:bodyDiv w:val="1"/>
      <w:marLeft w:val="0"/>
      <w:marRight w:val="0"/>
      <w:marTop w:val="0"/>
      <w:marBottom w:val="0"/>
      <w:divBdr>
        <w:top w:val="none" w:sz="0" w:space="0" w:color="auto"/>
        <w:left w:val="none" w:sz="0" w:space="0" w:color="auto"/>
        <w:bottom w:val="none" w:sz="0" w:space="0" w:color="auto"/>
        <w:right w:val="none" w:sz="0" w:space="0" w:color="auto"/>
      </w:divBdr>
    </w:div>
    <w:div w:id="20292576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chart" Target="charts/chart1.xml"/><Relationship Id="rId10"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Archie1:Dropbox:Work:Blood%20in%20pee:haem%20referrals.xlsx" TargetMode="External"/><Relationship Id="rId2"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Archie1:Dropbox:Work:Blood%20in%20pee:haem%20referral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Archie1:Dropbox:Work:Blood%20in%20pee:haem%20referral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tx>
            <c:v>Referrals '13-'14</c:v>
          </c:tx>
          <c:spPr>
            <a:ln w="12700" cmpd="sng">
              <a:solidFill>
                <a:srgbClr val="FF0000"/>
              </a:solidFill>
            </a:ln>
            <a:effectLst/>
          </c:spPr>
          <c:marker>
            <c:symbol val="diamond"/>
            <c:size val="3"/>
            <c:spPr>
              <a:solidFill>
                <a:srgbClr val="FF0000"/>
              </a:solidFill>
              <a:ln>
                <a:noFill/>
              </a:ln>
              <a:effectLst/>
            </c:spPr>
          </c:marker>
          <c:cat>
            <c:strRef>
              <c:f>Sheet2!$Z$5:$Z$14</c:f>
              <c:strCache>
                <c:ptCount val="10"/>
                <c:pt idx="0">
                  <c:v>Aug</c:v>
                </c:pt>
                <c:pt idx="1">
                  <c:v>Sep</c:v>
                </c:pt>
                <c:pt idx="2">
                  <c:v>Oct</c:v>
                </c:pt>
                <c:pt idx="3">
                  <c:v>Nov</c:v>
                </c:pt>
                <c:pt idx="4">
                  <c:v>Dec</c:v>
                </c:pt>
                <c:pt idx="5">
                  <c:v>Jan</c:v>
                </c:pt>
                <c:pt idx="6">
                  <c:v>Feb</c:v>
                </c:pt>
                <c:pt idx="7">
                  <c:v>Mar</c:v>
                </c:pt>
                <c:pt idx="8">
                  <c:v>April</c:v>
                </c:pt>
                <c:pt idx="9">
                  <c:v>May</c:v>
                </c:pt>
              </c:strCache>
            </c:strRef>
          </c:cat>
          <c:val>
            <c:numRef>
              <c:f>Sheet2!$E$4:$E$13</c:f>
              <c:numCache>
                <c:formatCode>General</c:formatCode>
                <c:ptCount val="10"/>
                <c:pt idx="0">
                  <c:v>37.0</c:v>
                </c:pt>
                <c:pt idx="1">
                  <c:v>38.0</c:v>
                </c:pt>
                <c:pt idx="2">
                  <c:v>61.0</c:v>
                </c:pt>
                <c:pt idx="3">
                  <c:v>78.0</c:v>
                </c:pt>
                <c:pt idx="4">
                  <c:v>83.0</c:v>
                </c:pt>
                <c:pt idx="5">
                  <c:v>75.0</c:v>
                </c:pt>
                <c:pt idx="6">
                  <c:v>52.0</c:v>
                </c:pt>
                <c:pt idx="7">
                  <c:v>55.0</c:v>
                </c:pt>
                <c:pt idx="8">
                  <c:v>57.0</c:v>
                </c:pt>
                <c:pt idx="9">
                  <c:v>43.0</c:v>
                </c:pt>
              </c:numCache>
            </c:numRef>
          </c:val>
          <c:smooth val="0"/>
        </c:ser>
        <c:ser>
          <c:idx val="1"/>
          <c:order val="1"/>
          <c:tx>
            <c:v>Referrals '12-'13</c:v>
          </c:tx>
          <c:spPr>
            <a:ln w="12700" cmpd="sng">
              <a:solidFill>
                <a:srgbClr val="FF0000"/>
              </a:solidFill>
              <a:prstDash val="dash"/>
            </a:ln>
            <a:effectLst/>
          </c:spPr>
          <c:marker>
            <c:symbol val="diamond"/>
            <c:size val="3"/>
            <c:spPr>
              <a:solidFill>
                <a:srgbClr val="FF0000"/>
              </a:solidFill>
              <a:ln>
                <a:noFill/>
                <a:prstDash val="dash"/>
              </a:ln>
              <a:effectLst/>
            </c:spPr>
          </c:marker>
          <c:cat>
            <c:strRef>
              <c:f>Sheet2!$Z$5:$Z$14</c:f>
              <c:strCache>
                <c:ptCount val="10"/>
                <c:pt idx="0">
                  <c:v>Aug</c:v>
                </c:pt>
                <c:pt idx="1">
                  <c:v>Sep</c:v>
                </c:pt>
                <c:pt idx="2">
                  <c:v>Oct</c:v>
                </c:pt>
                <c:pt idx="3">
                  <c:v>Nov</c:v>
                </c:pt>
                <c:pt idx="4">
                  <c:v>Dec</c:v>
                </c:pt>
                <c:pt idx="5">
                  <c:v>Jan</c:v>
                </c:pt>
                <c:pt idx="6">
                  <c:v>Feb</c:v>
                </c:pt>
                <c:pt idx="7">
                  <c:v>Mar</c:v>
                </c:pt>
                <c:pt idx="8">
                  <c:v>April</c:v>
                </c:pt>
                <c:pt idx="9">
                  <c:v>May</c:v>
                </c:pt>
              </c:strCache>
            </c:strRef>
          </c:cat>
          <c:val>
            <c:numRef>
              <c:f>Sheet2!$E$27:$E$36</c:f>
              <c:numCache>
                <c:formatCode>0.00</c:formatCode>
                <c:ptCount val="10"/>
                <c:pt idx="0">
                  <c:v>29.0</c:v>
                </c:pt>
                <c:pt idx="1">
                  <c:v>41.0</c:v>
                </c:pt>
                <c:pt idx="2">
                  <c:v>31.0</c:v>
                </c:pt>
                <c:pt idx="3">
                  <c:v>43.0</c:v>
                </c:pt>
                <c:pt idx="4">
                  <c:v>22.0</c:v>
                </c:pt>
                <c:pt idx="5">
                  <c:v>45.0</c:v>
                </c:pt>
                <c:pt idx="6">
                  <c:v>40.0</c:v>
                </c:pt>
                <c:pt idx="7">
                  <c:v>45.0</c:v>
                </c:pt>
                <c:pt idx="8">
                  <c:v>41.0</c:v>
                </c:pt>
                <c:pt idx="9">
                  <c:v>41.0</c:v>
                </c:pt>
              </c:numCache>
            </c:numRef>
          </c:val>
          <c:smooth val="0"/>
        </c:ser>
        <c:ser>
          <c:idx val="3"/>
          <c:order val="2"/>
          <c:tx>
            <c:v>Diagnoses  '13-'14</c:v>
          </c:tx>
          <c:spPr>
            <a:ln w="12700" cmpd="sng">
              <a:solidFill>
                <a:srgbClr val="0000FF"/>
              </a:solidFill>
            </a:ln>
            <a:effectLst/>
          </c:spPr>
          <c:marker>
            <c:symbol val="triangle"/>
            <c:size val="3"/>
            <c:spPr>
              <a:solidFill>
                <a:srgbClr val="0000FF"/>
              </a:solidFill>
              <a:ln>
                <a:noFill/>
              </a:ln>
              <a:effectLst/>
            </c:spPr>
          </c:marker>
          <c:cat>
            <c:strRef>
              <c:f>Sheet2!$Z$5:$Z$14</c:f>
              <c:strCache>
                <c:ptCount val="10"/>
                <c:pt idx="0">
                  <c:v>Aug</c:v>
                </c:pt>
                <c:pt idx="1">
                  <c:v>Sep</c:v>
                </c:pt>
                <c:pt idx="2">
                  <c:v>Oct</c:v>
                </c:pt>
                <c:pt idx="3">
                  <c:v>Nov</c:v>
                </c:pt>
                <c:pt idx="4">
                  <c:v>Dec</c:v>
                </c:pt>
                <c:pt idx="5">
                  <c:v>Jan</c:v>
                </c:pt>
                <c:pt idx="6">
                  <c:v>Feb</c:v>
                </c:pt>
                <c:pt idx="7">
                  <c:v>Mar</c:v>
                </c:pt>
                <c:pt idx="8">
                  <c:v>April</c:v>
                </c:pt>
                <c:pt idx="9">
                  <c:v>May</c:v>
                </c:pt>
              </c:strCache>
            </c:strRef>
          </c:cat>
          <c:val>
            <c:numRef>
              <c:f>Sheet2!$AB$5:$AB$14</c:f>
              <c:numCache>
                <c:formatCode>General</c:formatCode>
                <c:ptCount val="10"/>
                <c:pt idx="0">
                  <c:v>29.0</c:v>
                </c:pt>
                <c:pt idx="1">
                  <c:v>26.0</c:v>
                </c:pt>
                <c:pt idx="2">
                  <c:v>30.0</c:v>
                </c:pt>
                <c:pt idx="3">
                  <c:v>31.0</c:v>
                </c:pt>
                <c:pt idx="4">
                  <c:v>30.0</c:v>
                </c:pt>
                <c:pt idx="5">
                  <c:v>18.0</c:v>
                </c:pt>
                <c:pt idx="6">
                  <c:v>32.0</c:v>
                </c:pt>
                <c:pt idx="7">
                  <c:v>20.0</c:v>
                </c:pt>
                <c:pt idx="8">
                  <c:v>27.0</c:v>
                </c:pt>
                <c:pt idx="9">
                  <c:v>27.0</c:v>
                </c:pt>
              </c:numCache>
            </c:numRef>
          </c:val>
          <c:smooth val="0"/>
        </c:ser>
        <c:ser>
          <c:idx val="2"/>
          <c:order val="3"/>
          <c:tx>
            <c:v>Diagnoses  '12-'13</c:v>
          </c:tx>
          <c:spPr>
            <a:ln w="12700" cmpd="sng">
              <a:solidFill>
                <a:srgbClr val="0000FF"/>
              </a:solidFill>
              <a:prstDash val="dash"/>
            </a:ln>
            <a:effectLst/>
          </c:spPr>
          <c:marker>
            <c:symbol val="triangle"/>
            <c:size val="3"/>
            <c:spPr>
              <a:solidFill>
                <a:srgbClr val="0000FF"/>
              </a:solidFill>
              <a:ln>
                <a:noFill/>
                <a:prstDash val="dash"/>
              </a:ln>
              <a:effectLst/>
            </c:spPr>
          </c:marker>
          <c:val>
            <c:numRef>
              <c:f>Sheet2!$AA$5:$AA$14</c:f>
              <c:numCache>
                <c:formatCode>General</c:formatCode>
                <c:ptCount val="10"/>
                <c:pt idx="0">
                  <c:v>25.0</c:v>
                </c:pt>
                <c:pt idx="1">
                  <c:v>29.0</c:v>
                </c:pt>
                <c:pt idx="2">
                  <c:v>25.0</c:v>
                </c:pt>
                <c:pt idx="3">
                  <c:v>29.0</c:v>
                </c:pt>
                <c:pt idx="4">
                  <c:v>23.0</c:v>
                </c:pt>
                <c:pt idx="5">
                  <c:v>32.0</c:v>
                </c:pt>
                <c:pt idx="6">
                  <c:v>24.0</c:v>
                </c:pt>
                <c:pt idx="7">
                  <c:v>26.0</c:v>
                </c:pt>
                <c:pt idx="8">
                  <c:v>36.0</c:v>
                </c:pt>
                <c:pt idx="9">
                  <c:v>20.0</c:v>
                </c:pt>
              </c:numCache>
            </c:numRef>
          </c:val>
          <c:smooth val="0"/>
        </c:ser>
        <c:dLbls>
          <c:showLegendKey val="0"/>
          <c:showVal val="0"/>
          <c:showCatName val="0"/>
          <c:showSerName val="0"/>
          <c:showPercent val="0"/>
          <c:showBubbleSize val="0"/>
        </c:dLbls>
        <c:marker val="1"/>
        <c:smooth val="0"/>
        <c:axId val="-2124990040"/>
        <c:axId val="-2126302408"/>
      </c:lineChart>
      <c:catAx>
        <c:axId val="-2124990040"/>
        <c:scaling>
          <c:orientation val="minMax"/>
        </c:scaling>
        <c:delete val="0"/>
        <c:axPos val="b"/>
        <c:numFmt formatCode="General" sourceLinked="0"/>
        <c:majorTickMark val="out"/>
        <c:minorTickMark val="none"/>
        <c:tickLblPos val="nextTo"/>
        <c:crossAx val="-2126302408"/>
        <c:crosses val="autoZero"/>
        <c:auto val="1"/>
        <c:lblAlgn val="ctr"/>
        <c:lblOffset val="100"/>
        <c:noMultiLvlLbl val="0"/>
      </c:catAx>
      <c:valAx>
        <c:axId val="-2126302408"/>
        <c:scaling>
          <c:orientation val="minMax"/>
        </c:scaling>
        <c:delete val="0"/>
        <c:axPos val="l"/>
        <c:numFmt formatCode="General" sourceLinked="1"/>
        <c:majorTickMark val="out"/>
        <c:minorTickMark val="none"/>
        <c:tickLblPos val="nextTo"/>
        <c:crossAx val="-2124990040"/>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b="0"/>
            </a:pPr>
            <a:r>
              <a:rPr lang="en-US" sz="1200" b="0"/>
              <a:t>2012-13</a:t>
            </a:r>
          </a:p>
        </c:rich>
      </c:tx>
      <c:overlay val="1"/>
    </c:title>
    <c:autoTitleDeleted val="0"/>
    <c:plotArea>
      <c:layout/>
      <c:lineChart>
        <c:grouping val="standard"/>
        <c:varyColors val="0"/>
        <c:ser>
          <c:idx val="0"/>
          <c:order val="0"/>
          <c:tx>
            <c:strRef>
              <c:f>Sheet2!$B$26</c:f>
              <c:strCache>
                <c:ptCount val="1"/>
                <c:pt idx="0">
                  <c:v>VH</c:v>
                </c:pt>
              </c:strCache>
            </c:strRef>
          </c:tx>
          <c:spPr>
            <a:ln w="12700" cmpd="sng">
              <a:solidFill>
                <a:srgbClr val="FF0000"/>
              </a:solidFill>
            </a:ln>
            <a:effectLst/>
          </c:spPr>
          <c:marker>
            <c:symbol val="diamond"/>
            <c:size val="3"/>
            <c:spPr>
              <a:solidFill>
                <a:srgbClr val="FF0000"/>
              </a:solidFill>
              <a:ln>
                <a:noFill/>
              </a:ln>
              <a:effectLst/>
            </c:spPr>
          </c:marker>
          <c:cat>
            <c:strRef>
              <c:f>Sheet2!$Z$5:$Z$14</c:f>
              <c:strCache>
                <c:ptCount val="10"/>
                <c:pt idx="0">
                  <c:v>Aug</c:v>
                </c:pt>
                <c:pt idx="1">
                  <c:v>Sep</c:v>
                </c:pt>
                <c:pt idx="2">
                  <c:v>Oct</c:v>
                </c:pt>
                <c:pt idx="3">
                  <c:v>Nov</c:v>
                </c:pt>
                <c:pt idx="4">
                  <c:v>Dec</c:v>
                </c:pt>
                <c:pt idx="5">
                  <c:v>Jan</c:v>
                </c:pt>
                <c:pt idx="6">
                  <c:v>Feb</c:v>
                </c:pt>
                <c:pt idx="7">
                  <c:v>Mar</c:v>
                </c:pt>
                <c:pt idx="8">
                  <c:v>April</c:v>
                </c:pt>
                <c:pt idx="9">
                  <c:v>May</c:v>
                </c:pt>
              </c:strCache>
            </c:strRef>
          </c:cat>
          <c:val>
            <c:numRef>
              <c:f>Sheet2!$B$27:$B$36</c:f>
              <c:numCache>
                <c:formatCode>0.00</c:formatCode>
                <c:ptCount val="10"/>
                <c:pt idx="0">
                  <c:v>18.0</c:v>
                </c:pt>
                <c:pt idx="1">
                  <c:v>30.0</c:v>
                </c:pt>
                <c:pt idx="2">
                  <c:v>18.0</c:v>
                </c:pt>
                <c:pt idx="3">
                  <c:v>20.0</c:v>
                </c:pt>
                <c:pt idx="4">
                  <c:v>11.0</c:v>
                </c:pt>
                <c:pt idx="5">
                  <c:v>33.0</c:v>
                </c:pt>
                <c:pt idx="6">
                  <c:v>22.0</c:v>
                </c:pt>
                <c:pt idx="7">
                  <c:v>27.0</c:v>
                </c:pt>
                <c:pt idx="8">
                  <c:v>22.0</c:v>
                </c:pt>
                <c:pt idx="9">
                  <c:v>23.0</c:v>
                </c:pt>
              </c:numCache>
            </c:numRef>
          </c:val>
          <c:smooth val="0"/>
        </c:ser>
        <c:ser>
          <c:idx val="1"/>
          <c:order val="1"/>
          <c:tx>
            <c:strRef>
              <c:f>Sheet2!$C$26</c:f>
              <c:strCache>
                <c:ptCount val="1"/>
                <c:pt idx="0">
                  <c:v>NVH</c:v>
                </c:pt>
              </c:strCache>
            </c:strRef>
          </c:tx>
          <c:spPr>
            <a:ln w="12700" cmpd="sng">
              <a:solidFill>
                <a:srgbClr val="FF0000"/>
              </a:solidFill>
              <a:prstDash val="dash"/>
            </a:ln>
            <a:effectLst/>
          </c:spPr>
          <c:marker>
            <c:symbol val="diamond"/>
            <c:size val="3"/>
            <c:spPr>
              <a:solidFill>
                <a:srgbClr val="FF0000"/>
              </a:solidFill>
              <a:ln>
                <a:noFill/>
                <a:prstDash val="dash"/>
              </a:ln>
              <a:effectLst/>
            </c:spPr>
          </c:marker>
          <c:cat>
            <c:strRef>
              <c:f>Sheet2!$Z$5:$Z$14</c:f>
              <c:strCache>
                <c:ptCount val="10"/>
                <c:pt idx="0">
                  <c:v>Aug</c:v>
                </c:pt>
                <c:pt idx="1">
                  <c:v>Sep</c:v>
                </c:pt>
                <c:pt idx="2">
                  <c:v>Oct</c:v>
                </c:pt>
                <c:pt idx="3">
                  <c:v>Nov</c:v>
                </c:pt>
                <c:pt idx="4">
                  <c:v>Dec</c:v>
                </c:pt>
                <c:pt idx="5">
                  <c:v>Jan</c:v>
                </c:pt>
                <c:pt idx="6">
                  <c:v>Feb</c:v>
                </c:pt>
                <c:pt idx="7">
                  <c:v>Mar</c:v>
                </c:pt>
                <c:pt idx="8">
                  <c:v>April</c:v>
                </c:pt>
                <c:pt idx="9">
                  <c:v>May</c:v>
                </c:pt>
              </c:strCache>
            </c:strRef>
          </c:cat>
          <c:val>
            <c:numRef>
              <c:f>Sheet2!$C$27:$C$36</c:f>
              <c:numCache>
                <c:formatCode>0.00</c:formatCode>
                <c:ptCount val="10"/>
                <c:pt idx="0">
                  <c:v>11.0</c:v>
                </c:pt>
                <c:pt idx="1">
                  <c:v>11.0</c:v>
                </c:pt>
                <c:pt idx="2">
                  <c:v>13.0</c:v>
                </c:pt>
                <c:pt idx="3">
                  <c:v>23.0</c:v>
                </c:pt>
                <c:pt idx="4">
                  <c:v>11.0</c:v>
                </c:pt>
                <c:pt idx="5">
                  <c:v>12.0</c:v>
                </c:pt>
                <c:pt idx="6">
                  <c:v>18.0</c:v>
                </c:pt>
                <c:pt idx="7">
                  <c:v>18.0</c:v>
                </c:pt>
                <c:pt idx="8">
                  <c:v>19.0</c:v>
                </c:pt>
                <c:pt idx="9">
                  <c:v>18.0</c:v>
                </c:pt>
              </c:numCache>
            </c:numRef>
          </c:val>
          <c:smooth val="0"/>
        </c:ser>
        <c:ser>
          <c:idx val="2"/>
          <c:order val="2"/>
          <c:tx>
            <c:v>Other</c:v>
          </c:tx>
          <c:spPr>
            <a:ln w="12700" cmpd="sng">
              <a:solidFill>
                <a:srgbClr val="008000"/>
              </a:solidFill>
            </a:ln>
            <a:effectLst/>
          </c:spPr>
          <c:marker>
            <c:symbol val="triangle"/>
            <c:size val="3"/>
            <c:spPr>
              <a:solidFill>
                <a:srgbClr val="008000"/>
              </a:solidFill>
              <a:ln>
                <a:noFill/>
              </a:ln>
              <a:effectLst/>
            </c:spPr>
          </c:marker>
          <c:val>
            <c:numRef>
              <c:f>Sheet2!$D$27:$D$36</c:f>
              <c:numCache>
                <c:formatCode>0.00</c:formatCode>
                <c:ptCount val="10"/>
                <c:pt idx="0">
                  <c:v>42.0</c:v>
                </c:pt>
                <c:pt idx="1">
                  <c:v>60.0</c:v>
                </c:pt>
                <c:pt idx="2">
                  <c:v>56.0</c:v>
                </c:pt>
                <c:pt idx="3">
                  <c:v>42.0</c:v>
                </c:pt>
                <c:pt idx="4">
                  <c:v>46.0</c:v>
                </c:pt>
                <c:pt idx="5">
                  <c:v>55.0</c:v>
                </c:pt>
                <c:pt idx="6">
                  <c:v>34.0</c:v>
                </c:pt>
                <c:pt idx="7">
                  <c:v>53.0</c:v>
                </c:pt>
                <c:pt idx="8">
                  <c:v>70.0</c:v>
                </c:pt>
                <c:pt idx="9">
                  <c:v>62.0</c:v>
                </c:pt>
              </c:numCache>
            </c:numRef>
          </c:val>
          <c:smooth val="0"/>
        </c:ser>
        <c:dLbls>
          <c:showLegendKey val="0"/>
          <c:showVal val="0"/>
          <c:showCatName val="0"/>
          <c:showSerName val="0"/>
          <c:showPercent val="0"/>
          <c:showBubbleSize val="0"/>
        </c:dLbls>
        <c:marker val="1"/>
        <c:smooth val="0"/>
        <c:axId val="2140389288"/>
        <c:axId val="-2125522952"/>
      </c:lineChart>
      <c:catAx>
        <c:axId val="2140389288"/>
        <c:scaling>
          <c:orientation val="minMax"/>
        </c:scaling>
        <c:delete val="0"/>
        <c:axPos val="b"/>
        <c:numFmt formatCode="General" sourceLinked="0"/>
        <c:majorTickMark val="out"/>
        <c:minorTickMark val="none"/>
        <c:tickLblPos val="nextTo"/>
        <c:txPr>
          <a:bodyPr/>
          <a:lstStyle/>
          <a:p>
            <a:pPr>
              <a:defRPr sz="800"/>
            </a:pPr>
            <a:endParaRPr lang="en-US"/>
          </a:p>
        </c:txPr>
        <c:crossAx val="-2125522952"/>
        <c:crosses val="autoZero"/>
        <c:auto val="1"/>
        <c:lblAlgn val="ctr"/>
        <c:lblOffset val="100"/>
        <c:noMultiLvlLbl val="0"/>
      </c:catAx>
      <c:valAx>
        <c:axId val="-2125522952"/>
        <c:scaling>
          <c:orientation val="minMax"/>
          <c:max val="90.0"/>
        </c:scaling>
        <c:delete val="0"/>
        <c:axPos val="l"/>
        <c:numFmt formatCode="0" sourceLinked="0"/>
        <c:majorTickMark val="out"/>
        <c:minorTickMark val="none"/>
        <c:tickLblPos val="nextTo"/>
        <c:txPr>
          <a:bodyPr/>
          <a:lstStyle/>
          <a:p>
            <a:pPr>
              <a:defRPr sz="800"/>
            </a:pPr>
            <a:endParaRPr lang="en-US"/>
          </a:p>
        </c:txPr>
        <c:crossAx val="2140389288"/>
        <c:crosses val="autoZero"/>
        <c:crossBetween val="between"/>
      </c:valAx>
    </c:plotArea>
    <c:plotVisOnly val="1"/>
    <c:dispBlanksAs val="gap"/>
    <c:showDLblsOverMax val="0"/>
  </c:chart>
  <c:txPr>
    <a:bodyPr/>
    <a:lstStyle/>
    <a:p>
      <a:pPr>
        <a:defRPr>
          <a:latin typeface="Times New Roman"/>
          <a:cs typeface="Times New Roman"/>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b="0"/>
            </a:pPr>
            <a:r>
              <a:rPr lang="en-US" sz="1200" b="0"/>
              <a:t>2013-14</a:t>
            </a:r>
          </a:p>
        </c:rich>
      </c:tx>
      <c:overlay val="1"/>
    </c:title>
    <c:autoTitleDeleted val="0"/>
    <c:plotArea>
      <c:layout/>
      <c:lineChart>
        <c:grouping val="standard"/>
        <c:varyColors val="0"/>
        <c:ser>
          <c:idx val="0"/>
          <c:order val="0"/>
          <c:tx>
            <c:strRef>
              <c:f>Sheet2!$B$3</c:f>
              <c:strCache>
                <c:ptCount val="1"/>
                <c:pt idx="0">
                  <c:v>VH</c:v>
                </c:pt>
              </c:strCache>
            </c:strRef>
          </c:tx>
          <c:spPr>
            <a:ln w="12700" cmpd="sng">
              <a:solidFill>
                <a:srgbClr val="FF0000"/>
              </a:solidFill>
            </a:ln>
            <a:effectLst/>
          </c:spPr>
          <c:marker>
            <c:symbol val="diamond"/>
            <c:size val="3"/>
            <c:spPr>
              <a:solidFill>
                <a:srgbClr val="FF0000"/>
              </a:solidFill>
              <a:ln>
                <a:noFill/>
              </a:ln>
              <a:effectLst/>
            </c:spPr>
          </c:marker>
          <c:cat>
            <c:strRef>
              <c:f>Sheet2!$Z$5:$Z$14</c:f>
              <c:strCache>
                <c:ptCount val="10"/>
                <c:pt idx="0">
                  <c:v>Aug</c:v>
                </c:pt>
                <c:pt idx="1">
                  <c:v>Sep</c:v>
                </c:pt>
                <c:pt idx="2">
                  <c:v>Oct</c:v>
                </c:pt>
                <c:pt idx="3">
                  <c:v>Nov</c:v>
                </c:pt>
                <c:pt idx="4">
                  <c:v>Dec</c:v>
                </c:pt>
                <c:pt idx="5">
                  <c:v>Jan</c:v>
                </c:pt>
                <c:pt idx="6">
                  <c:v>Feb</c:v>
                </c:pt>
                <c:pt idx="7">
                  <c:v>Mar</c:v>
                </c:pt>
                <c:pt idx="8">
                  <c:v>April</c:v>
                </c:pt>
                <c:pt idx="9">
                  <c:v>May</c:v>
                </c:pt>
              </c:strCache>
            </c:strRef>
          </c:cat>
          <c:val>
            <c:numRef>
              <c:f>Sheet2!$B$4:$B$13</c:f>
              <c:numCache>
                <c:formatCode>General</c:formatCode>
                <c:ptCount val="10"/>
                <c:pt idx="0">
                  <c:v>20.0</c:v>
                </c:pt>
                <c:pt idx="1">
                  <c:v>24.0</c:v>
                </c:pt>
                <c:pt idx="2">
                  <c:v>33.0</c:v>
                </c:pt>
                <c:pt idx="3">
                  <c:v>42.0</c:v>
                </c:pt>
                <c:pt idx="4">
                  <c:v>58.0</c:v>
                </c:pt>
                <c:pt idx="5">
                  <c:v>51.0</c:v>
                </c:pt>
                <c:pt idx="6">
                  <c:v>27.0</c:v>
                </c:pt>
                <c:pt idx="7">
                  <c:v>34.0</c:v>
                </c:pt>
                <c:pt idx="8">
                  <c:v>31.0</c:v>
                </c:pt>
                <c:pt idx="9">
                  <c:v>22.0</c:v>
                </c:pt>
              </c:numCache>
            </c:numRef>
          </c:val>
          <c:smooth val="0"/>
        </c:ser>
        <c:ser>
          <c:idx val="1"/>
          <c:order val="1"/>
          <c:tx>
            <c:strRef>
              <c:f>Sheet2!$C$3</c:f>
              <c:strCache>
                <c:ptCount val="1"/>
                <c:pt idx="0">
                  <c:v>NVH</c:v>
                </c:pt>
              </c:strCache>
            </c:strRef>
          </c:tx>
          <c:spPr>
            <a:ln w="12700" cmpd="sng">
              <a:solidFill>
                <a:srgbClr val="FF0000"/>
              </a:solidFill>
              <a:prstDash val="dash"/>
            </a:ln>
            <a:effectLst/>
          </c:spPr>
          <c:marker>
            <c:symbol val="diamond"/>
            <c:size val="3"/>
            <c:spPr>
              <a:solidFill>
                <a:srgbClr val="FF0000"/>
              </a:solidFill>
              <a:ln>
                <a:noFill/>
                <a:prstDash val="dash"/>
              </a:ln>
              <a:effectLst/>
            </c:spPr>
          </c:marker>
          <c:cat>
            <c:strRef>
              <c:f>Sheet2!$Z$5:$Z$14</c:f>
              <c:strCache>
                <c:ptCount val="10"/>
                <c:pt idx="0">
                  <c:v>Aug</c:v>
                </c:pt>
                <c:pt idx="1">
                  <c:v>Sep</c:v>
                </c:pt>
                <c:pt idx="2">
                  <c:v>Oct</c:v>
                </c:pt>
                <c:pt idx="3">
                  <c:v>Nov</c:v>
                </c:pt>
                <c:pt idx="4">
                  <c:v>Dec</c:v>
                </c:pt>
                <c:pt idx="5">
                  <c:v>Jan</c:v>
                </c:pt>
                <c:pt idx="6">
                  <c:v>Feb</c:v>
                </c:pt>
                <c:pt idx="7">
                  <c:v>Mar</c:v>
                </c:pt>
                <c:pt idx="8">
                  <c:v>April</c:v>
                </c:pt>
                <c:pt idx="9">
                  <c:v>May</c:v>
                </c:pt>
              </c:strCache>
            </c:strRef>
          </c:cat>
          <c:val>
            <c:numRef>
              <c:f>Sheet2!$C$4:$C$13</c:f>
              <c:numCache>
                <c:formatCode>General</c:formatCode>
                <c:ptCount val="10"/>
                <c:pt idx="0">
                  <c:v>17.0</c:v>
                </c:pt>
                <c:pt idx="1">
                  <c:v>14.0</c:v>
                </c:pt>
                <c:pt idx="2">
                  <c:v>28.0</c:v>
                </c:pt>
                <c:pt idx="3">
                  <c:v>36.0</c:v>
                </c:pt>
                <c:pt idx="4">
                  <c:v>25.0</c:v>
                </c:pt>
                <c:pt idx="5">
                  <c:v>24.0</c:v>
                </c:pt>
                <c:pt idx="6">
                  <c:v>25.0</c:v>
                </c:pt>
                <c:pt idx="7">
                  <c:v>21.0</c:v>
                </c:pt>
                <c:pt idx="8">
                  <c:v>26.0</c:v>
                </c:pt>
                <c:pt idx="9">
                  <c:v>21.0</c:v>
                </c:pt>
              </c:numCache>
            </c:numRef>
          </c:val>
          <c:smooth val="0"/>
        </c:ser>
        <c:ser>
          <c:idx val="2"/>
          <c:order val="2"/>
          <c:tx>
            <c:v>Other</c:v>
          </c:tx>
          <c:spPr>
            <a:ln w="12700" cmpd="sng">
              <a:solidFill>
                <a:srgbClr val="008000"/>
              </a:solidFill>
            </a:ln>
            <a:effectLst/>
          </c:spPr>
          <c:marker>
            <c:symbol val="triangle"/>
            <c:size val="3"/>
            <c:spPr>
              <a:solidFill>
                <a:srgbClr val="008000"/>
              </a:solidFill>
              <a:ln w="12700" cmpd="sng">
                <a:noFill/>
              </a:ln>
              <a:effectLst/>
            </c:spPr>
          </c:marker>
          <c:val>
            <c:numRef>
              <c:f>Sheet2!$D$4:$D$13</c:f>
              <c:numCache>
                <c:formatCode>General</c:formatCode>
                <c:ptCount val="10"/>
                <c:pt idx="0">
                  <c:v>39.0</c:v>
                </c:pt>
                <c:pt idx="1">
                  <c:v>55.0</c:v>
                </c:pt>
                <c:pt idx="2">
                  <c:v>69.0</c:v>
                </c:pt>
                <c:pt idx="3">
                  <c:v>75.0</c:v>
                </c:pt>
                <c:pt idx="4">
                  <c:v>76.0</c:v>
                </c:pt>
                <c:pt idx="5">
                  <c:v>65.0</c:v>
                </c:pt>
                <c:pt idx="6">
                  <c:v>67.0</c:v>
                </c:pt>
                <c:pt idx="7">
                  <c:v>59.0</c:v>
                </c:pt>
                <c:pt idx="8">
                  <c:v>74.0</c:v>
                </c:pt>
                <c:pt idx="9">
                  <c:v>47.0</c:v>
                </c:pt>
              </c:numCache>
            </c:numRef>
          </c:val>
          <c:smooth val="0"/>
        </c:ser>
        <c:dLbls>
          <c:showLegendKey val="0"/>
          <c:showVal val="0"/>
          <c:showCatName val="0"/>
          <c:showSerName val="0"/>
          <c:showPercent val="0"/>
          <c:showBubbleSize val="0"/>
        </c:dLbls>
        <c:marker val="1"/>
        <c:smooth val="0"/>
        <c:axId val="-2141210328"/>
        <c:axId val="-2126345480"/>
      </c:lineChart>
      <c:catAx>
        <c:axId val="-2141210328"/>
        <c:scaling>
          <c:orientation val="minMax"/>
        </c:scaling>
        <c:delete val="0"/>
        <c:axPos val="b"/>
        <c:numFmt formatCode="General" sourceLinked="0"/>
        <c:majorTickMark val="out"/>
        <c:minorTickMark val="none"/>
        <c:tickLblPos val="nextTo"/>
        <c:txPr>
          <a:bodyPr/>
          <a:lstStyle/>
          <a:p>
            <a:pPr>
              <a:defRPr sz="800"/>
            </a:pPr>
            <a:endParaRPr lang="en-US"/>
          </a:p>
        </c:txPr>
        <c:crossAx val="-2126345480"/>
        <c:crosses val="autoZero"/>
        <c:auto val="1"/>
        <c:lblAlgn val="ctr"/>
        <c:lblOffset val="100"/>
        <c:noMultiLvlLbl val="0"/>
      </c:catAx>
      <c:valAx>
        <c:axId val="-2126345480"/>
        <c:scaling>
          <c:orientation val="minMax"/>
          <c:max val="90.0"/>
        </c:scaling>
        <c:delete val="0"/>
        <c:axPos val="l"/>
        <c:numFmt formatCode="General" sourceLinked="1"/>
        <c:majorTickMark val="out"/>
        <c:minorTickMark val="none"/>
        <c:tickLblPos val="nextTo"/>
        <c:txPr>
          <a:bodyPr/>
          <a:lstStyle/>
          <a:p>
            <a:pPr>
              <a:defRPr sz="800"/>
            </a:pPr>
            <a:endParaRPr lang="en-US"/>
          </a:p>
        </c:txPr>
        <c:crossAx val="-2141210328"/>
        <c:crosses val="autoZero"/>
        <c:crossBetween val="between"/>
      </c:valAx>
    </c:plotArea>
    <c:plotVisOnly val="1"/>
    <c:dispBlanksAs val="gap"/>
    <c:showDLblsOverMax val="0"/>
  </c:chart>
  <c:txPr>
    <a:bodyPr/>
    <a:lstStyle/>
    <a:p>
      <a:pPr>
        <a:defRPr>
          <a:latin typeface="Times New Roman"/>
          <a:cs typeface="Times New Roman"/>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0.18553</cdr:x>
      <cdr:y>0.04202</cdr:y>
    </cdr:from>
    <cdr:to>
      <cdr:x>0.30525</cdr:x>
      <cdr:y>0.92213</cdr:y>
    </cdr:to>
    <cdr:sp macro="" textlink="">
      <cdr:nvSpPr>
        <cdr:cNvPr id="2" name="Rectangle 1"/>
        <cdr:cNvSpPr/>
      </cdr:nvSpPr>
      <cdr:spPr>
        <a:xfrm xmlns:a="http://schemas.openxmlformats.org/drawingml/2006/main">
          <a:off x="977848" y="170600"/>
          <a:ext cx="630988" cy="3572842"/>
        </a:xfrm>
        <a:prstGeom xmlns:a="http://schemas.openxmlformats.org/drawingml/2006/main" prst="rect">
          <a:avLst/>
        </a:prstGeom>
        <a:solidFill xmlns:a="http://schemas.openxmlformats.org/drawingml/2006/main">
          <a:schemeClr val="bg1">
            <a:lumMod val="75000"/>
            <a:alpha val="27000"/>
          </a:schemeClr>
        </a:solidFill>
        <a:ln xmlns:a="http://schemas.openxmlformats.org/drawingml/2006/main">
          <a:noFill/>
        </a:ln>
        <a:effectLst xmlns:a="http://schemas.openxmlformats.org/drawingml/2006/main"/>
      </cdr:spPr>
      <cdr:style>
        <a:lnRef xmlns:a="http://schemas.openxmlformats.org/drawingml/2006/main" idx="1">
          <a:schemeClr val="accent1"/>
        </a:lnRef>
        <a:fillRef xmlns:a="http://schemas.openxmlformats.org/drawingml/2006/main" idx="3">
          <a:schemeClr val="accent1"/>
        </a:fillRef>
        <a:effectRef xmlns:a="http://schemas.openxmlformats.org/drawingml/2006/main" idx="2">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12889</Words>
  <Characters>73472</Characters>
  <Application>Microsoft Macintosh Word</Application>
  <DocSecurity>4</DocSecurity>
  <Lines>612</Lines>
  <Paragraphs>172</Paragraphs>
  <ScaleCrop>false</ScaleCrop>
  <Company/>
  <LinksUpToDate>false</LinksUpToDate>
  <CharactersWithSpaces>86189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Archie Hughes-Hallett</dc:creator>
  <cp:keywords/>
  <dc:description/>
  <cp:lastModifiedBy>Erik Mayer</cp:lastModifiedBy>
  <cp:revision>2</cp:revision>
  <cp:lastPrinted>2014-11-13T15:08:00Z</cp:lastPrinted>
  <dcterms:created xsi:type="dcterms:W3CDTF">2016-04-14T22:37:00Z</dcterms:created>
  <dcterms:modified xsi:type="dcterms:W3CDTF">2016-04-14T22:37:00Z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ahugheshallett@gmail.com@www.mendeley.com</vt:lpwstr>
  </property>
  <property fmtid="{D5CDD505-2E9C-101B-9397-08002B2CF9AE}" pid="4" name="Mendeley Citation Style_1">
    <vt:lpwstr>http://www.zotero.org/styles/bmj</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http://www.zotero.org/styles/bmj</vt:lpwstr>
  </property>
  <property fmtid="{D5CDD505-2E9C-101B-9397-08002B2CF9AE}" pid="10" name="Mendeley Recent Style Name 2_1">
    <vt:lpwstr>BMJ</vt:lpwstr>
  </property>
  <property fmtid="{D5CDD505-2E9C-101B-9397-08002B2CF9AE}" pid="11" name="Mendeley Recent Style Id 3_1">
    <vt:lpwstr>http://www.zotero.org/styles/british-journal-of-surgery</vt:lpwstr>
  </property>
  <property fmtid="{D5CDD505-2E9C-101B-9397-08002B2CF9AE}" pid="12" name="Mendeley Recent Style Name 3_1">
    <vt:lpwstr>British Journal of Surgery</vt:lpwstr>
  </property>
  <property fmtid="{D5CDD505-2E9C-101B-9397-08002B2CF9AE}" pid="13" name="Mendeley Recent Style Id 4_1">
    <vt:lpwstr>http://csl.mendeley.com/styles/15567783/European-urology-ahh</vt:lpwstr>
  </property>
  <property fmtid="{D5CDD505-2E9C-101B-9397-08002B2CF9AE}" pid="14" name="Mendeley Recent Style Name 4_1">
    <vt:lpwstr>European Urology - AHH</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http://csl.mendeley.com/styles/15567783/Urology-gold-journal</vt:lpwstr>
  </property>
  <property fmtid="{D5CDD505-2E9C-101B-9397-08002B2CF9AE}" pid="18" name="Mendeley Recent Style Name 6_1">
    <vt:lpwstr>Urology - Gold Journal - Hughes-Hallett Archie</vt:lpwstr>
  </property>
  <property fmtid="{D5CDD505-2E9C-101B-9397-08002B2CF9AE}" pid="19" name="Mendeley Recent Style Id 7_1">
    <vt:lpwstr>http://www.zotero.org/styles/vancouver-ahh-variation</vt:lpwstr>
  </property>
  <property fmtid="{D5CDD505-2E9C-101B-9397-08002B2CF9AE}" pid="20" name="Mendeley Recent Style Name 7_1">
    <vt:lpwstr>Vancouver (AHH variation)</vt:lpwstr>
  </property>
  <property fmtid="{D5CDD505-2E9C-101B-9397-08002B2CF9AE}" pid="21" name="Mendeley Recent Style Id 8_1">
    <vt:lpwstr>http://www.zotero.org/styles/vancouver-brackets</vt:lpwstr>
  </property>
  <property fmtid="{D5CDD505-2E9C-101B-9397-08002B2CF9AE}" pid="22" name="Mendeley Recent Style Name 8_1">
    <vt:lpwstr>Vancouver (brackets)</vt:lpwstr>
  </property>
  <property fmtid="{D5CDD505-2E9C-101B-9397-08002B2CF9AE}" pid="23" name="Mendeley Recent Style Id 9_1">
    <vt:lpwstr>http://csl.mendeley.com/styles/15567783/vancouver-superscript-3</vt:lpwstr>
  </property>
  <property fmtid="{D5CDD505-2E9C-101B-9397-08002B2CF9AE}" pid="24" name="Mendeley Recent Style Name 9_1">
    <vt:lpwstr>Vancouver (superscript) - Hughes-Hallett Archie - Annals - Hughes-Hallett Archie</vt:lpwstr>
  </property>
</Properties>
</file>