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3F4" w:rsidRPr="005E1BBE" w:rsidRDefault="00FA73F4" w:rsidP="005B0E4D">
      <w:pPr>
        <w:spacing w:after="0"/>
        <w:jc w:val="both"/>
        <w:rPr>
          <w:rFonts w:ascii="Times New Roman" w:hAnsi="Times New Roman"/>
          <w:color w:val="000000"/>
          <w:sz w:val="24"/>
          <w:szCs w:val="24"/>
        </w:rPr>
      </w:pPr>
      <w:r w:rsidRPr="005E1BBE">
        <w:rPr>
          <w:rFonts w:ascii="Times New Roman" w:hAnsi="Times New Roman"/>
          <w:color w:val="000000"/>
          <w:sz w:val="24"/>
          <w:szCs w:val="24"/>
        </w:rPr>
        <w:t xml:space="preserve">Exposure to Benzene in a Pooled Analysis of Petroleum </w:t>
      </w:r>
      <w:r>
        <w:rPr>
          <w:rFonts w:ascii="Times New Roman" w:hAnsi="Times New Roman"/>
          <w:color w:val="000000"/>
          <w:sz w:val="24"/>
          <w:szCs w:val="24"/>
        </w:rPr>
        <w:t xml:space="preserve">Industry </w:t>
      </w:r>
      <w:r w:rsidRPr="005E1BBE">
        <w:rPr>
          <w:rFonts w:ascii="Times New Roman" w:hAnsi="Times New Roman"/>
          <w:color w:val="000000"/>
          <w:sz w:val="24"/>
          <w:szCs w:val="24"/>
        </w:rPr>
        <w:t>Case-Control Studies</w:t>
      </w:r>
    </w:p>
    <w:p w:rsidR="00FA73F4" w:rsidRPr="005E1BBE" w:rsidRDefault="00FA73F4" w:rsidP="005B0E4D">
      <w:pPr>
        <w:spacing w:after="0"/>
        <w:jc w:val="both"/>
        <w:rPr>
          <w:rFonts w:ascii="Times New Roman" w:hAnsi="Times New Roman"/>
          <w:color w:val="000000"/>
          <w:sz w:val="24"/>
          <w:szCs w:val="24"/>
        </w:rPr>
      </w:pPr>
      <w:r w:rsidRPr="005E1BBE">
        <w:rPr>
          <w:rFonts w:ascii="Times New Roman" w:hAnsi="Times New Roman"/>
          <w:color w:val="000000"/>
          <w:sz w:val="24"/>
          <w:szCs w:val="24"/>
        </w:rPr>
        <w:t xml:space="preserve">DC Glass </w:t>
      </w:r>
      <w:r w:rsidRPr="005E1BBE">
        <w:rPr>
          <w:rFonts w:ascii="Times New Roman" w:hAnsi="Times New Roman"/>
          <w:sz w:val="24"/>
          <w:szCs w:val="24"/>
          <w:lang w:val="en-US"/>
        </w:rPr>
        <w:t>PhD</w:t>
      </w:r>
      <w:r w:rsidRPr="005E1BBE">
        <w:rPr>
          <w:rFonts w:ascii="Times New Roman" w:hAnsi="Times New Roman"/>
          <w:sz w:val="24"/>
          <w:szCs w:val="24"/>
          <w:vertAlign w:val="superscript"/>
          <w:lang w:val="en-GB"/>
        </w:rPr>
        <w:t>1</w:t>
      </w:r>
      <w:r w:rsidRPr="005E1BBE">
        <w:rPr>
          <w:rFonts w:ascii="Times New Roman" w:hAnsi="Times New Roman"/>
          <w:color w:val="000000"/>
          <w:sz w:val="24"/>
          <w:szCs w:val="24"/>
        </w:rPr>
        <w:t xml:space="preserve">, AR Schnatter </w:t>
      </w:r>
      <w:r w:rsidRPr="005E1BBE">
        <w:rPr>
          <w:rFonts w:ascii="Times New Roman" w:hAnsi="Times New Roman"/>
          <w:sz w:val="24"/>
          <w:szCs w:val="24"/>
          <w:lang w:val="en-US"/>
        </w:rPr>
        <w:t>PhD</w:t>
      </w:r>
      <w:r>
        <w:rPr>
          <w:rFonts w:ascii="Times New Roman" w:hAnsi="Times New Roman"/>
          <w:sz w:val="24"/>
          <w:szCs w:val="24"/>
          <w:vertAlign w:val="superscript"/>
          <w:lang w:val="en-GB"/>
        </w:rPr>
        <w:t>2</w:t>
      </w:r>
      <w:r w:rsidRPr="005E1BBE">
        <w:rPr>
          <w:rFonts w:ascii="Times New Roman" w:hAnsi="Times New Roman"/>
          <w:color w:val="000000"/>
          <w:sz w:val="24"/>
          <w:szCs w:val="24"/>
        </w:rPr>
        <w:t xml:space="preserve">, G Tang </w:t>
      </w:r>
      <w:r w:rsidRPr="005E1BBE">
        <w:rPr>
          <w:rFonts w:ascii="Times New Roman" w:hAnsi="Times New Roman"/>
          <w:sz w:val="24"/>
          <w:szCs w:val="24"/>
          <w:lang w:val="en-US"/>
        </w:rPr>
        <w:t>PhD</w:t>
      </w:r>
      <w:r>
        <w:rPr>
          <w:rFonts w:ascii="Times New Roman" w:hAnsi="Times New Roman"/>
          <w:sz w:val="24"/>
          <w:szCs w:val="24"/>
          <w:vertAlign w:val="superscript"/>
          <w:lang w:val="en-GB"/>
        </w:rPr>
        <w:t>3</w:t>
      </w:r>
      <w:r w:rsidRPr="005E1BBE">
        <w:rPr>
          <w:rFonts w:ascii="Times New Roman" w:hAnsi="Times New Roman"/>
          <w:color w:val="000000"/>
          <w:sz w:val="24"/>
          <w:szCs w:val="24"/>
        </w:rPr>
        <w:t xml:space="preserve">, TW Armstrong </w:t>
      </w:r>
      <w:r w:rsidRPr="005E1BBE">
        <w:rPr>
          <w:rFonts w:ascii="Times New Roman" w:hAnsi="Times New Roman"/>
          <w:sz w:val="24"/>
          <w:szCs w:val="24"/>
          <w:lang w:val="en-US"/>
        </w:rPr>
        <w:t>PhD</w:t>
      </w:r>
      <w:r>
        <w:rPr>
          <w:rFonts w:ascii="Times New Roman" w:hAnsi="Times New Roman"/>
          <w:sz w:val="24"/>
          <w:szCs w:val="24"/>
          <w:vertAlign w:val="superscript"/>
          <w:lang w:val="en-GB"/>
        </w:rPr>
        <w:t>4</w:t>
      </w:r>
      <w:r w:rsidRPr="005E1BBE">
        <w:rPr>
          <w:rFonts w:ascii="Times New Roman" w:hAnsi="Times New Roman"/>
          <w:color w:val="000000"/>
          <w:sz w:val="24"/>
          <w:szCs w:val="24"/>
        </w:rPr>
        <w:t xml:space="preserve">, L Rushton </w:t>
      </w:r>
      <w:r w:rsidRPr="005E1BBE">
        <w:rPr>
          <w:rFonts w:ascii="Times New Roman" w:hAnsi="Times New Roman"/>
          <w:sz w:val="24"/>
          <w:szCs w:val="24"/>
          <w:lang w:val="en-US"/>
        </w:rPr>
        <w:t>PhD</w:t>
      </w:r>
      <w:r w:rsidRPr="005E1BBE">
        <w:rPr>
          <w:rFonts w:ascii="Times New Roman" w:hAnsi="Times New Roman"/>
          <w:sz w:val="24"/>
          <w:szCs w:val="24"/>
          <w:vertAlign w:val="superscript"/>
          <w:lang w:val="en-GB"/>
        </w:rPr>
        <w:t>5</w:t>
      </w:r>
    </w:p>
    <w:p w:rsidR="00FA73F4" w:rsidRPr="005E1BBE" w:rsidRDefault="00FA73F4" w:rsidP="005B0E4D">
      <w:pPr>
        <w:spacing w:after="0" w:line="240" w:lineRule="auto"/>
        <w:jc w:val="both"/>
        <w:rPr>
          <w:rFonts w:ascii="Times New Roman" w:hAnsi="Times New Roman"/>
          <w:color w:val="000000"/>
          <w:sz w:val="24"/>
          <w:szCs w:val="24"/>
        </w:rPr>
      </w:pP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vertAlign w:val="superscript"/>
          <w:lang w:val="en-GB"/>
        </w:rPr>
        <w:t>1</w:t>
      </w:r>
      <w:r w:rsidRPr="005E1BBE">
        <w:rPr>
          <w:rFonts w:ascii="Times New Roman" w:hAnsi="Times New Roman"/>
          <w:sz w:val="24"/>
          <w:szCs w:val="24"/>
          <w:lang w:val="en-GB"/>
        </w:rPr>
        <w:t xml:space="preserve"> Monash University</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Centre for Occupational and Environmental Health,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Dept. of Epidemiology and Preventive Medicine,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Faculty of Medicine, Nursing &amp; Health Sciences,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The Alfred Hospital,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89 Commercial Road,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Melbourne Vic. 3004 Australia</w:t>
      </w:r>
    </w:p>
    <w:p w:rsidR="00FA73F4" w:rsidRPr="005E1BBE" w:rsidRDefault="00FA73F4" w:rsidP="005B0E4D">
      <w:pPr>
        <w:spacing w:after="0" w:line="240" w:lineRule="auto"/>
        <w:jc w:val="both"/>
        <w:rPr>
          <w:rFonts w:ascii="Times New Roman" w:hAnsi="Times New Roman"/>
          <w:sz w:val="24"/>
          <w:szCs w:val="24"/>
          <w:lang w:val="en-GB"/>
        </w:rPr>
      </w:pPr>
    </w:p>
    <w:p w:rsidR="00FA73F4" w:rsidRPr="00EA29A3" w:rsidRDefault="00FA73F4" w:rsidP="005B0E4D">
      <w:pPr>
        <w:spacing w:after="0" w:line="240" w:lineRule="auto"/>
        <w:jc w:val="both"/>
        <w:rPr>
          <w:rFonts w:ascii="Times New Roman" w:hAnsi="Times New Roman"/>
          <w:sz w:val="24"/>
          <w:szCs w:val="24"/>
        </w:rPr>
      </w:pPr>
      <w:r w:rsidRPr="005E1BBE">
        <w:rPr>
          <w:rFonts w:ascii="Times New Roman" w:hAnsi="Times New Roman"/>
          <w:sz w:val="24"/>
          <w:szCs w:val="24"/>
          <w:vertAlign w:val="superscript"/>
          <w:lang w:val="en-GB"/>
        </w:rPr>
        <w:t>2</w:t>
      </w:r>
      <w:r w:rsidRPr="005E1BBE">
        <w:rPr>
          <w:rFonts w:ascii="Times New Roman" w:hAnsi="Times New Roman"/>
          <w:sz w:val="24"/>
          <w:szCs w:val="24"/>
          <w:lang w:val="en-GB"/>
        </w:rPr>
        <w:t xml:space="preserve"> </w:t>
      </w:r>
      <w:r w:rsidRPr="00EA29A3">
        <w:rPr>
          <w:rFonts w:ascii="Times New Roman" w:hAnsi="Times New Roman"/>
          <w:sz w:val="24"/>
          <w:szCs w:val="24"/>
        </w:rPr>
        <w:t xml:space="preserve">ExxonMobil Biomedical Sciences, Inc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Occupational and Public Health Division</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1545 US Highway 22 East </w:t>
      </w:r>
    </w:p>
    <w:p w:rsidR="00FA73F4" w:rsidRPr="00EA29A3" w:rsidRDefault="00FA73F4" w:rsidP="005B0E4D">
      <w:pPr>
        <w:spacing w:after="0" w:line="240" w:lineRule="auto"/>
        <w:jc w:val="both"/>
        <w:rPr>
          <w:rFonts w:ascii="Times New Roman" w:hAnsi="Times New Roman"/>
          <w:sz w:val="24"/>
          <w:szCs w:val="24"/>
        </w:rPr>
      </w:pPr>
      <w:r w:rsidRPr="00EA29A3">
        <w:rPr>
          <w:rFonts w:ascii="Times New Roman" w:hAnsi="Times New Roman"/>
          <w:sz w:val="24"/>
          <w:szCs w:val="24"/>
        </w:rPr>
        <w:t>Annandale, NJ 08801-3059 USA</w:t>
      </w:r>
    </w:p>
    <w:p w:rsidR="00FA73F4" w:rsidRPr="00EA29A3" w:rsidRDefault="00FA73F4" w:rsidP="005B0E4D">
      <w:pPr>
        <w:spacing w:after="0" w:line="240" w:lineRule="auto"/>
        <w:jc w:val="both"/>
        <w:rPr>
          <w:rFonts w:ascii="Times New Roman" w:hAnsi="Times New Roman"/>
          <w:sz w:val="24"/>
          <w:szCs w:val="24"/>
        </w:rPr>
      </w:pPr>
    </w:p>
    <w:p w:rsidR="00FA73F4" w:rsidRPr="00EA29A3" w:rsidRDefault="00FA73F4" w:rsidP="005B0E4D">
      <w:pPr>
        <w:spacing w:after="0" w:line="240" w:lineRule="auto"/>
        <w:jc w:val="both"/>
        <w:rPr>
          <w:rFonts w:ascii="Times New Roman" w:hAnsi="Times New Roman"/>
          <w:sz w:val="24"/>
          <w:szCs w:val="24"/>
        </w:rPr>
      </w:pPr>
      <w:r w:rsidRPr="00EA29A3">
        <w:rPr>
          <w:rFonts w:ascii="Times New Roman" w:hAnsi="Times New Roman"/>
          <w:sz w:val="24"/>
          <w:szCs w:val="24"/>
          <w:vertAlign w:val="superscript"/>
        </w:rPr>
        <w:t>3.</w:t>
      </w:r>
      <w:r w:rsidRPr="00EA29A3">
        <w:rPr>
          <w:rFonts w:ascii="Times New Roman" w:hAnsi="Times New Roman"/>
          <w:sz w:val="24"/>
          <w:szCs w:val="24"/>
        </w:rPr>
        <w:t>University of Pittsburgh</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 xml:space="preserve">Graduate School of Public Health, </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Dept. of Biostatistics</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130 DeSoto Street</w:t>
      </w:r>
    </w:p>
    <w:p w:rsidR="00FA73F4" w:rsidRPr="00EA29A3" w:rsidRDefault="00FA73F4" w:rsidP="005B0E4D">
      <w:pPr>
        <w:spacing w:after="0" w:line="240" w:lineRule="auto"/>
        <w:jc w:val="both"/>
        <w:rPr>
          <w:rFonts w:ascii="Times New Roman" w:hAnsi="Times New Roman"/>
          <w:sz w:val="24"/>
          <w:szCs w:val="24"/>
        </w:rPr>
      </w:pPr>
      <w:r w:rsidRPr="005E1BBE">
        <w:rPr>
          <w:rFonts w:ascii="Times New Roman" w:hAnsi="Times New Roman"/>
          <w:sz w:val="24"/>
          <w:szCs w:val="24"/>
          <w:lang w:val="en-GB"/>
        </w:rPr>
        <w:t>Pittsburgh, PA 15261 USA</w:t>
      </w:r>
    </w:p>
    <w:p w:rsidR="00FA73F4" w:rsidRPr="00EA29A3" w:rsidRDefault="00FA73F4" w:rsidP="005B0E4D">
      <w:pPr>
        <w:spacing w:after="0" w:line="240" w:lineRule="auto"/>
        <w:jc w:val="both"/>
        <w:rPr>
          <w:rFonts w:ascii="Times New Roman" w:hAnsi="Times New Roman"/>
          <w:sz w:val="24"/>
          <w:szCs w:val="24"/>
        </w:rPr>
      </w:pPr>
    </w:p>
    <w:p w:rsidR="00FA73F4" w:rsidRPr="005E1BBE" w:rsidRDefault="00FA73F4" w:rsidP="005B0E4D">
      <w:pPr>
        <w:spacing w:after="0" w:line="240" w:lineRule="auto"/>
        <w:jc w:val="both"/>
        <w:rPr>
          <w:rFonts w:ascii="Times New Roman" w:hAnsi="Times New Roman"/>
          <w:sz w:val="24"/>
          <w:szCs w:val="24"/>
          <w:lang w:val="en-GB"/>
        </w:rPr>
      </w:pPr>
      <w:r w:rsidRPr="00EA29A3">
        <w:rPr>
          <w:rFonts w:ascii="Times New Roman" w:hAnsi="Times New Roman"/>
          <w:sz w:val="24"/>
          <w:szCs w:val="24"/>
          <w:vertAlign w:val="superscript"/>
        </w:rPr>
        <w:t>4</w:t>
      </w:r>
      <w:r w:rsidRPr="00EA29A3">
        <w:rPr>
          <w:rFonts w:ascii="Times New Roman" w:hAnsi="Times New Roman"/>
          <w:sz w:val="24"/>
          <w:szCs w:val="24"/>
        </w:rPr>
        <w:t xml:space="preserve"> </w:t>
      </w:r>
      <w:r w:rsidRPr="005E1BBE">
        <w:rPr>
          <w:rFonts w:ascii="Times New Roman" w:hAnsi="Times New Roman"/>
          <w:sz w:val="24"/>
          <w:szCs w:val="24"/>
          <w:lang w:val="en-GB"/>
        </w:rPr>
        <w:t>TWA8HR Occupational Hygiene Consulting, LLC</w:t>
      </w:r>
    </w:p>
    <w:p w:rsidR="00FA73F4" w:rsidRDefault="00FA73F4" w:rsidP="005B0E4D">
      <w:pPr>
        <w:spacing w:after="0" w:line="240" w:lineRule="auto"/>
        <w:jc w:val="both"/>
        <w:rPr>
          <w:rFonts w:ascii="Times New Roman" w:hAnsi="Times New Roman"/>
          <w:sz w:val="24"/>
          <w:szCs w:val="24"/>
          <w:lang w:val="en-GB"/>
        </w:rPr>
      </w:pPr>
      <w:r>
        <w:rPr>
          <w:rFonts w:ascii="Times New Roman" w:hAnsi="Times New Roman"/>
          <w:sz w:val="24"/>
          <w:szCs w:val="24"/>
          <w:lang w:val="en-GB"/>
        </w:rPr>
        <w:t>205 Woodstock Lane</w:t>
      </w:r>
    </w:p>
    <w:p w:rsidR="00FA73F4" w:rsidRPr="00EA29A3" w:rsidRDefault="00FA73F4" w:rsidP="005B0E4D">
      <w:pPr>
        <w:spacing w:after="0" w:line="240" w:lineRule="auto"/>
        <w:jc w:val="both"/>
        <w:rPr>
          <w:rFonts w:ascii="Times New Roman" w:hAnsi="Times New Roman"/>
          <w:sz w:val="24"/>
          <w:szCs w:val="24"/>
          <w:lang w:val="it-IT"/>
        </w:rPr>
      </w:pPr>
      <w:r w:rsidRPr="00EA29A3">
        <w:rPr>
          <w:rFonts w:ascii="Times New Roman" w:hAnsi="Times New Roman"/>
          <w:sz w:val="24"/>
          <w:szCs w:val="24"/>
          <w:lang w:val="it-IT"/>
        </w:rPr>
        <w:t>Branchburg, NJ 08876-3830 USA</w:t>
      </w:r>
    </w:p>
    <w:p w:rsidR="00FA73F4" w:rsidRPr="00EA29A3" w:rsidRDefault="00FA73F4" w:rsidP="005B0E4D">
      <w:pPr>
        <w:spacing w:after="0" w:line="240" w:lineRule="auto"/>
        <w:jc w:val="both"/>
        <w:rPr>
          <w:rFonts w:ascii="Times New Roman" w:hAnsi="Times New Roman"/>
          <w:sz w:val="24"/>
          <w:szCs w:val="24"/>
          <w:lang w:val="it-IT"/>
        </w:rPr>
      </w:pPr>
    </w:p>
    <w:p w:rsidR="00FA73F4" w:rsidRPr="00EA29A3" w:rsidRDefault="00FA73F4" w:rsidP="005B0E4D">
      <w:pPr>
        <w:spacing w:after="0" w:line="240" w:lineRule="auto"/>
        <w:jc w:val="both"/>
        <w:rPr>
          <w:rFonts w:ascii="Times New Roman" w:hAnsi="Times New Roman"/>
          <w:sz w:val="24"/>
          <w:szCs w:val="24"/>
          <w:lang w:val="it-IT"/>
        </w:rPr>
      </w:pPr>
      <w:r w:rsidRPr="00EA29A3">
        <w:rPr>
          <w:rFonts w:ascii="Times New Roman" w:hAnsi="Times New Roman"/>
          <w:sz w:val="24"/>
          <w:szCs w:val="24"/>
          <w:vertAlign w:val="superscript"/>
          <w:lang w:val="it-IT"/>
        </w:rPr>
        <w:t>5</w:t>
      </w:r>
      <w:r w:rsidRPr="00EA29A3">
        <w:rPr>
          <w:rFonts w:ascii="Times New Roman" w:hAnsi="Times New Roman"/>
          <w:sz w:val="24"/>
          <w:szCs w:val="24"/>
          <w:lang w:val="it-IT"/>
        </w:rPr>
        <w:t xml:space="preserve"> Imperial College London</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Department of Public Health and Biostatistics</w:t>
      </w:r>
      <w:r>
        <w:rPr>
          <w:rFonts w:ascii="Times New Roman" w:hAnsi="Times New Roman"/>
          <w:sz w:val="24"/>
          <w:szCs w:val="24"/>
          <w:lang w:val="en-GB"/>
        </w:rPr>
        <w:t xml:space="preserve"> and MRC-HPA Centre for Environment and Health</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Faculty of Medicine</w:t>
      </w:r>
      <w:r>
        <w:rPr>
          <w:rFonts w:ascii="Times New Roman" w:hAnsi="Times New Roman"/>
          <w:sz w:val="24"/>
          <w:szCs w:val="24"/>
          <w:lang w:val="en-GB"/>
        </w:rPr>
        <w:t xml:space="preserve">, </w:t>
      </w:r>
      <w:r w:rsidRPr="005E1BBE">
        <w:rPr>
          <w:rFonts w:ascii="Times New Roman" w:hAnsi="Times New Roman"/>
          <w:sz w:val="24"/>
          <w:szCs w:val="24"/>
          <w:lang w:val="en-GB"/>
        </w:rPr>
        <w:t>St Mary’s Campus</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Norfolk Place</w:t>
      </w:r>
    </w:p>
    <w:p w:rsidR="00FA73F4" w:rsidRPr="005E1BBE" w:rsidRDefault="00FA73F4" w:rsidP="005B0E4D">
      <w:pPr>
        <w:spacing w:after="0" w:line="240" w:lineRule="auto"/>
        <w:jc w:val="both"/>
        <w:rPr>
          <w:rFonts w:ascii="Times New Roman" w:hAnsi="Times New Roman"/>
          <w:sz w:val="24"/>
          <w:szCs w:val="24"/>
          <w:lang w:val="en-GB"/>
        </w:rPr>
      </w:pPr>
      <w:r w:rsidRPr="005E1BBE">
        <w:rPr>
          <w:rFonts w:ascii="Times New Roman" w:hAnsi="Times New Roman"/>
          <w:sz w:val="24"/>
          <w:szCs w:val="24"/>
          <w:lang w:val="en-GB"/>
        </w:rPr>
        <w:t>London W2 3PG UK</w:t>
      </w:r>
    </w:p>
    <w:p w:rsidR="00FA73F4" w:rsidRPr="005E1BBE" w:rsidRDefault="00FA73F4" w:rsidP="005B0E4D">
      <w:pPr>
        <w:spacing w:after="0" w:line="240" w:lineRule="auto"/>
        <w:jc w:val="both"/>
        <w:rPr>
          <w:rFonts w:ascii="Times New Roman" w:hAnsi="Times New Roman"/>
          <w:sz w:val="24"/>
          <w:szCs w:val="24"/>
          <w:lang w:val="en-US"/>
        </w:rPr>
      </w:pPr>
    </w:p>
    <w:p w:rsidR="00FA73F4" w:rsidRPr="005E1BBE" w:rsidRDefault="00FA73F4" w:rsidP="005B0E4D">
      <w:pPr>
        <w:spacing w:after="0" w:line="240" w:lineRule="auto"/>
        <w:jc w:val="both"/>
        <w:rPr>
          <w:rFonts w:ascii="Times New Roman" w:hAnsi="Times New Roman"/>
          <w:sz w:val="24"/>
          <w:szCs w:val="24"/>
          <w:lang w:val="en-US"/>
        </w:rPr>
      </w:pPr>
      <w:r w:rsidRPr="005E1BBE">
        <w:rPr>
          <w:rFonts w:ascii="Times New Roman" w:hAnsi="Times New Roman"/>
          <w:sz w:val="24"/>
          <w:szCs w:val="24"/>
          <w:lang w:val="en-US"/>
        </w:rPr>
        <w:t xml:space="preserve">Corresponding author: D. C. Glass </w:t>
      </w:r>
    </w:p>
    <w:p w:rsidR="00FA73F4" w:rsidRPr="005E1BBE" w:rsidRDefault="00FA73F4" w:rsidP="005B0E4D">
      <w:pPr>
        <w:spacing w:after="0" w:line="240" w:lineRule="auto"/>
        <w:jc w:val="both"/>
        <w:rPr>
          <w:rFonts w:ascii="Times New Roman" w:hAnsi="Times New Roman"/>
          <w:sz w:val="24"/>
          <w:szCs w:val="24"/>
          <w:lang w:val="en-US"/>
        </w:rPr>
      </w:pPr>
      <w:r w:rsidRPr="005E1BBE">
        <w:rPr>
          <w:rFonts w:ascii="Times New Roman" w:hAnsi="Times New Roman"/>
          <w:sz w:val="24"/>
          <w:szCs w:val="24"/>
          <w:lang w:val="en-US"/>
        </w:rPr>
        <w:t>Monash University</w:t>
      </w:r>
    </w:p>
    <w:p w:rsidR="00FA73F4" w:rsidRPr="005E1BBE" w:rsidRDefault="00FA73F4" w:rsidP="005B0E4D">
      <w:pPr>
        <w:spacing w:after="0" w:line="240" w:lineRule="auto"/>
        <w:jc w:val="both"/>
        <w:rPr>
          <w:rFonts w:ascii="Times New Roman" w:hAnsi="Times New Roman"/>
          <w:sz w:val="24"/>
          <w:szCs w:val="24"/>
          <w:lang w:val="en-US"/>
        </w:rPr>
      </w:pPr>
      <w:r w:rsidRPr="005E1BBE">
        <w:rPr>
          <w:rFonts w:ascii="Times New Roman" w:hAnsi="Times New Roman"/>
          <w:sz w:val="24"/>
          <w:szCs w:val="24"/>
          <w:lang w:val="en-US"/>
        </w:rPr>
        <w:t xml:space="preserve">Dept. of Epidemiology and Preventive Medicine, </w:t>
      </w:r>
      <w:bookmarkStart w:id="0" w:name="_GoBack"/>
      <w:bookmarkEnd w:id="0"/>
    </w:p>
    <w:p w:rsidR="00FA73F4" w:rsidRPr="005E1BBE" w:rsidRDefault="00FA73F4" w:rsidP="005B0E4D">
      <w:pPr>
        <w:spacing w:after="0" w:line="240" w:lineRule="auto"/>
        <w:jc w:val="both"/>
        <w:rPr>
          <w:rFonts w:ascii="Times New Roman" w:hAnsi="Times New Roman"/>
          <w:sz w:val="24"/>
          <w:szCs w:val="24"/>
          <w:lang w:val="en-US"/>
        </w:rPr>
      </w:pPr>
      <w:r w:rsidRPr="005E1BBE">
        <w:rPr>
          <w:rFonts w:ascii="Times New Roman" w:hAnsi="Times New Roman"/>
          <w:sz w:val="24"/>
          <w:szCs w:val="24"/>
          <w:lang w:val="en-US"/>
        </w:rPr>
        <w:t xml:space="preserve">The Alfred Hospital, </w:t>
      </w:r>
    </w:p>
    <w:p w:rsidR="00FA73F4" w:rsidRPr="005E1BBE" w:rsidRDefault="00FA73F4" w:rsidP="005B0E4D">
      <w:pPr>
        <w:spacing w:after="0" w:line="240" w:lineRule="auto"/>
        <w:jc w:val="both"/>
        <w:rPr>
          <w:rFonts w:ascii="Times New Roman" w:hAnsi="Times New Roman"/>
          <w:sz w:val="24"/>
          <w:szCs w:val="24"/>
          <w:lang w:val="en-US"/>
        </w:rPr>
      </w:pPr>
      <w:r w:rsidRPr="005E1BBE">
        <w:rPr>
          <w:rFonts w:ascii="Times New Roman" w:hAnsi="Times New Roman"/>
          <w:sz w:val="24"/>
          <w:szCs w:val="24"/>
          <w:lang w:val="en-US"/>
        </w:rPr>
        <w:t>89 Commercial Road, Melbourne Vic. 3004 Australia</w:t>
      </w:r>
    </w:p>
    <w:p w:rsidR="00FA73F4" w:rsidRPr="005E1BBE" w:rsidRDefault="00FA73F4" w:rsidP="005B0E4D">
      <w:pPr>
        <w:spacing w:after="0" w:line="240" w:lineRule="auto"/>
        <w:jc w:val="both"/>
        <w:rPr>
          <w:rFonts w:ascii="Times New Roman" w:hAnsi="Times New Roman"/>
          <w:sz w:val="24"/>
          <w:szCs w:val="24"/>
          <w:lang w:val="en-US"/>
        </w:rPr>
      </w:pPr>
      <w:r w:rsidRPr="005E1BBE">
        <w:rPr>
          <w:rFonts w:ascii="Times New Roman" w:hAnsi="Times New Roman"/>
          <w:sz w:val="24"/>
          <w:szCs w:val="24"/>
        </w:rPr>
        <w:t xml:space="preserve">Ph +61 3 9903 0554 Fax </w:t>
      </w:r>
      <w:r w:rsidRPr="005E1BBE">
        <w:rPr>
          <w:rFonts w:ascii="Times New Roman" w:hAnsi="Times New Roman"/>
          <w:sz w:val="24"/>
          <w:szCs w:val="24"/>
          <w:lang w:val="en-US"/>
        </w:rPr>
        <w:t>Ph +61 3 9903 0556</w:t>
      </w:r>
    </w:p>
    <w:p w:rsidR="00FA73F4" w:rsidRPr="005E1BBE" w:rsidRDefault="00FA73F4" w:rsidP="005B0E4D">
      <w:pPr>
        <w:spacing w:after="0" w:line="240" w:lineRule="auto"/>
        <w:jc w:val="both"/>
        <w:rPr>
          <w:rFonts w:ascii="Times New Roman" w:hAnsi="Times New Roman"/>
          <w:sz w:val="24"/>
          <w:szCs w:val="24"/>
          <w:lang w:val="en-US"/>
        </w:rPr>
      </w:pPr>
      <w:r w:rsidRPr="005E1BBE">
        <w:rPr>
          <w:rStyle w:val="Hyperlink"/>
          <w:rFonts w:ascii="Times New Roman" w:hAnsi="Times New Roman"/>
          <w:sz w:val="24"/>
          <w:szCs w:val="24"/>
          <w:lang w:val="en-US"/>
        </w:rPr>
        <w:t>deborah.glass@monash.edu</w:t>
      </w:r>
    </w:p>
    <w:p w:rsidR="00FA73F4" w:rsidRPr="005E1BBE" w:rsidRDefault="00FA73F4" w:rsidP="005B0E4D">
      <w:pPr>
        <w:spacing w:after="0" w:line="240" w:lineRule="auto"/>
        <w:jc w:val="both"/>
        <w:rPr>
          <w:rFonts w:ascii="Times New Roman" w:hAnsi="Times New Roman"/>
          <w:sz w:val="24"/>
          <w:szCs w:val="24"/>
          <w:lang w:val="en-US"/>
        </w:rPr>
      </w:pPr>
    </w:p>
    <w:p w:rsidR="00FA73F4" w:rsidRDefault="00FA73F4" w:rsidP="005B0E4D">
      <w:pPr>
        <w:spacing w:after="120"/>
        <w:jc w:val="both"/>
        <w:rPr>
          <w:rFonts w:ascii="Times New Roman" w:hAnsi="Times New Roman"/>
          <w:color w:val="000000"/>
          <w:sz w:val="24"/>
          <w:szCs w:val="24"/>
        </w:rPr>
      </w:pPr>
    </w:p>
    <w:p w:rsidR="00FA73F4" w:rsidRDefault="00FA73F4" w:rsidP="005B0E4D">
      <w:pPr>
        <w:spacing w:after="120"/>
        <w:jc w:val="both"/>
        <w:rPr>
          <w:rFonts w:ascii="Times New Roman" w:hAnsi="Times New Roman"/>
          <w:color w:val="000000"/>
          <w:sz w:val="24"/>
          <w:szCs w:val="24"/>
        </w:rPr>
      </w:pPr>
      <w:r>
        <w:rPr>
          <w:rFonts w:ascii="Times New Roman" w:hAnsi="Times New Roman"/>
          <w:color w:val="000000"/>
          <w:sz w:val="24"/>
          <w:szCs w:val="24"/>
        </w:rPr>
        <w:t>Key words</w:t>
      </w:r>
    </w:p>
    <w:p w:rsidR="00FA73F4" w:rsidRDefault="00FA73F4" w:rsidP="005B0E4D">
      <w:pPr>
        <w:spacing w:after="120"/>
        <w:jc w:val="both"/>
        <w:rPr>
          <w:rFonts w:ascii="Times New Roman" w:hAnsi="Times New Roman"/>
          <w:color w:val="000000"/>
          <w:sz w:val="24"/>
          <w:szCs w:val="24"/>
        </w:rPr>
      </w:pPr>
      <w:r>
        <w:rPr>
          <w:rFonts w:ascii="Times New Roman" w:hAnsi="Times New Roman"/>
          <w:color w:val="000000"/>
          <w:sz w:val="24"/>
          <w:szCs w:val="24"/>
        </w:rPr>
        <w:t>Benzene</w:t>
      </w:r>
      <w:r w:rsidR="00984FCB">
        <w:rPr>
          <w:rFonts w:ascii="Times New Roman" w:hAnsi="Times New Roman"/>
          <w:color w:val="000000"/>
          <w:sz w:val="24"/>
          <w:szCs w:val="24"/>
        </w:rPr>
        <w:t>,</w:t>
      </w:r>
      <w:r>
        <w:rPr>
          <w:rFonts w:ascii="Times New Roman" w:hAnsi="Times New Roman"/>
          <w:color w:val="000000"/>
          <w:sz w:val="24"/>
          <w:szCs w:val="24"/>
        </w:rPr>
        <w:t xml:space="preserve"> exposure assessment, nested case-control study, cohort, pooled analysis, LH cancer</w:t>
      </w:r>
    </w:p>
    <w:p w:rsidR="00FA73F4" w:rsidRDefault="00984FCB" w:rsidP="00F62719">
      <w:pPr>
        <w:spacing w:after="120"/>
        <w:jc w:val="both"/>
        <w:rPr>
          <w:rFonts w:ascii="Times New Roman" w:hAnsi="Times New Roman"/>
          <w:color w:val="000000"/>
          <w:sz w:val="24"/>
          <w:szCs w:val="24"/>
        </w:rPr>
      </w:pPr>
      <w:r>
        <w:rPr>
          <w:sz w:val="24"/>
          <w:szCs w:val="24"/>
        </w:rPr>
        <w:t>4581</w:t>
      </w:r>
      <w:r w:rsidR="00FA73F4">
        <w:rPr>
          <w:rFonts w:ascii="Times New Roman" w:hAnsi="Times New Roman"/>
          <w:color w:val="000000"/>
          <w:sz w:val="24"/>
          <w:szCs w:val="24"/>
        </w:rPr>
        <w:t xml:space="preserve"> words approx. without refs, abstract, tables &amp; figs (max 5000)</w:t>
      </w:r>
    </w:p>
    <w:p w:rsidR="00FA73F4" w:rsidRDefault="00FA73F4">
      <w:pPr>
        <w:rPr>
          <w:rFonts w:ascii="Times New Roman" w:hAnsi="Times New Roman"/>
          <w:color w:val="000000"/>
          <w:sz w:val="24"/>
          <w:szCs w:val="24"/>
        </w:rPr>
      </w:pPr>
      <w:r>
        <w:rPr>
          <w:rFonts w:ascii="Times New Roman" w:hAnsi="Times New Roman"/>
          <w:color w:val="000000"/>
          <w:sz w:val="24"/>
          <w:szCs w:val="24"/>
        </w:rPr>
        <w:br w:type="page"/>
      </w:r>
    </w:p>
    <w:p w:rsidR="00FA73F4" w:rsidRPr="001E6C27" w:rsidRDefault="00FA73F4" w:rsidP="00F62719">
      <w:pPr>
        <w:pStyle w:val="Heading1"/>
        <w:numPr>
          <w:ilvl w:val="0"/>
          <w:numId w:val="0"/>
        </w:numPr>
        <w:tabs>
          <w:tab w:val="left" w:pos="284"/>
        </w:tabs>
        <w:spacing w:line="480" w:lineRule="auto"/>
      </w:pPr>
      <w:r w:rsidRPr="001E6C27">
        <w:lastRenderedPageBreak/>
        <w:t>Abstract</w:t>
      </w:r>
    </w:p>
    <w:p w:rsidR="00FA73F4" w:rsidRDefault="00FA73F4" w:rsidP="005D6281">
      <w:pPr>
        <w:tabs>
          <w:tab w:val="left" w:pos="284"/>
        </w:tabs>
        <w:spacing w:before="100" w:beforeAutospacing="1" w:after="120" w:line="480" w:lineRule="auto"/>
        <w:jc w:val="both"/>
        <w:rPr>
          <w:rFonts w:ascii="Times New Roman" w:hAnsi="Times New Roman"/>
          <w:color w:val="000000"/>
          <w:sz w:val="24"/>
          <w:szCs w:val="24"/>
        </w:rPr>
      </w:pPr>
      <w:r>
        <w:rPr>
          <w:rFonts w:ascii="Times New Roman" w:hAnsi="Times New Roman"/>
          <w:color w:val="000000"/>
          <w:sz w:val="24"/>
          <w:szCs w:val="24"/>
        </w:rPr>
        <w:tab/>
      </w:r>
      <w:r w:rsidRPr="005E1BBE">
        <w:rPr>
          <w:rFonts w:ascii="Times New Roman" w:hAnsi="Times New Roman"/>
          <w:color w:val="000000"/>
          <w:sz w:val="24"/>
          <w:szCs w:val="24"/>
        </w:rPr>
        <w:t>Cases o</w:t>
      </w:r>
      <w:r>
        <w:rPr>
          <w:rFonts w:ascii="Times New Roman" w:hAnsi="Times New Roman"/>
          <w:color w:val="000000"/>
          <w:sz w:val="24"/>
          <w:szCs w:val="24"/>
        </w:rPr>
        <w:t>f lymphohematopoietic cancer from three</w:t>
      </w:r>
      <w:r w:rsidRPr="005E1BBE">
        <w:rPr>
          <w:rFonts w:ascii="Times New Roman" w:hAnsi="Times New Roman"/>
          <w:color w:val="000000"/>
          <w:sz w:val="24"/>
          <w:szCs w:val="24"/>
        </w:rPr>
        <w:t xml:space="preserve"> petroleum industry cohorts</w:t>
      </w:r>
      <w:r>
        <w:rPr>
          <w:rFonts w:ascii="Times New Roman" w:hAnsi="Times New Roman"/>
          <w:color w:val="000000"/>
          <w:sz w:val="24"/>
          <w:szCs w:val="24"/>
        </w:rPr>
        <w:t>,</w:t>
      </w:r>
      <w:r w:rsidRPr="005E1BBE">
        <w:rPr>
          <w:rFonts w:ascii="Times New Roman" w:hAnsi="Times New Roman"/>
          <w:color w:val="000000"/>
          <w:sz w:val="24"/>
          <w:szCs w:val="24"/>
        </w:rPr>
        <w:t xml:space="preserve"> matched to controls</w:t>
      </w:r>
      <w:r>
        <w:rPr>
          <w:rFonts w:ascii="Times New Roman" w:hAnsi="Times New Roman"/>
          <w:color w:val="000000"/>
          <w:sz w:val="24"/>
          <w:szCs w:val="24"/>
        </w:rPr>
        <w:t xml:space="preserve"> from the respective cohort, were</w:t>
      </w:r>
      <w:r w:rsidRPr="005E1BBE">
        <w:rPr>
          <w:rFonts w:ascii="Times New Roman" w:hAnsi="Times New Roman"/>
          <w:color w:val="000000"/>
          <w:sz w:val="24"/>
          <w:szCs w:val="24"/>
        </w:rPr>
        <w:t xml:space="preserve"> pooled into single study.  </w:t>
      </w:r>
      <w:r>
        <w:rPr>
          <w:rFonts w:ascii="Times New Roman" w:hAnsi="Times New Roman"/>
          <w:color w:val="000000"/>
          <w:sz w:val="24"/>
          <w:szCs w:val="24"/>
        </w:rPr>
        <w:t>Average b</w:t>
      </w:r>
      <w:r w:rsidRPr="005E1BBE">
        <w:rPr>
          <w:rFonts w:ascii="Times New Roman" w:hAnsi="Times New Roman"/>
          <w:color w:val="000000"/>
          <w:sz w:val="24"/>
          <w:szCs w:val="24"/>
        </w:rPr>
        <w:t>enzene exposure was quantitatively estimated</w:t>
      </w:r>
      <w:r>
        <w:rPr>
          <w:rFonts w:ascii="Times New Roman" w:hAnsi="Times New Roman"/>
          <w:color w:val="000000"/>
          <w:sz w:val="24"/>
          <w:szCs w:val="24"/>
        </w:rPr>
        <w:t xml:space="preserve"> in ppm for e</w:t>
      </w:r>
      <w:r w:rsidRPr="005E1BBE">
        <w:rPr>
          <w:rFonts w:ascii="Times New Roman" w:hAnsi="Times New Roman"/>
          <w:color w:val="000000"/>
          <w:sz w:val="24"/>
          <w:szCs w:val="24"/>
        </w:rPr>
        <w:t xml:space="preserve">ach job </w:t>
      </w:r>
      <w:r>
        <w:rPr>
          <w:rFonts w:ascii="Times New Roman" w:hAnsi="Times New Roman"/>
          <w:color w:val="000000"/>
          <w:sz w:val="24"/>
          <w:szCs w:val="24"/>
        </w:rPr>
        <w:t xml:space="preserve">based on measured data from the relevant country, adjusted for the specific time period, site and job exposure characteristics and the certainty of the exposure estimate scored.  The </w:t>
      </w:r>
      <w:r w:rsidRPr="005E1BBE">
        <w:rPr>
          <w:rFonts w:ascii="Times New Roman" w:hAnsi="Times New Roman"/>
          <w:color w:val="000000"/>
          <w:sz w:val="24"/>
          <w:szCs w:val="24"/>
        </w:rPr>
        <w:t xml:space="preserve">probability of dermal exposure and </w:t>
      </w:r>
      <w:r>
        <w:rPr>
          <w:rFonts w:ascii="Times New Roman" w:hAnsi="Times New Roman"/>
          <w:color w:val="000000"/>
          <w:sz w:val="24"/>
          <w:szCs w:val="24"/>
        </w:rPr>
        <w:t xml:space="preserve">of peak </w:t>
      </w:r>
      <w:r w:rsidRPr="005E1BBE">
        <w:rPr>
          <w:rFonts w:ascii="Times New Roman" w:hAnsi="Times New Roman"/>
          <w:color w:val="000000"/>
          <w:sz w:val="24"/>
          <w:szCs w:val="24"/>
        </w:rPr>
        <w:t xml:space="preserve">exposure </w:t>
      </w:r>
      <w:r>
        <w:rPr>
          <w:rFonts w:ascii="Times New Roman" w:hAnsi="Times New Roman"/>
          <w:color w:val="000000"/>
          <w:sz w:val="24"/>
          <w:szCs w:val="24"/>
        </w:rPr>
        <w:t xml:space="preserve">was also </w:t>
      </w:r>
      <w:r w:rsidRPr="005E1BBE">
        <w:rPr>
          <w:rFonts w:ascii="Times New Roman" w:hAnsi="Times New Roman"/>
          <w:color w:val="000000"/>
          <w:sz w:val="24"/>
          <w:szCs w:val="24"/>
        </w:rPr>
        <w:t>assessed.</w:t>
      </w:r>
      <w:r>
        <w:rPr>
          <w:rFonts w:ascii="Times New Roman" w:hAnsi="Times New Roman"/>
          <w:color w:val="000000"/>
          <w:sz w:val="24"/>
          <w:szCs w:val="24"/>
        </w:rPr>
        <w:t xml:space="preserve">  </w:t>
      </w:r>
      <w:r>
        <w:rPr>
          <w:rFonts w:ascii="Times New Roman" w:hAnsi="Times New Roman"/>
          <w:sz w:val="24"/>
          <w:szCs w:val="24"/>
        </w:rPr>
        <w:t>Before risk was examined, an</w:t>
      </w:r>
      <w:r>
        <w:rPr>
          <w:rFonts w:ascii="Times New Roman" w:hAnsi="Times New Roman"/>
          <w:sz w:val="24"/>
          <w:szCs w:val="24"/>
          <w:lang w:val="en-GB"/>
        </w:rPr>
        <w:t xml:space="preserve"> exposure estimate</w:t>
      </w:r>
      <w:r w:rsidRPr="00BA6940">
        <w:rPr>
          <w:rFonts w:ascii="Times New Roman" w:hAnsi="Times New Roman"/>
          <w:sz w:val="24"/>
          <w:szCs w:val="24"/>
          <w:lang w:val="en-GB"/>
        </w:rPr>
        <w:t xml:space="preserve"> comparison and rationalisation exercise was </w:t>
      </w:r>
      <w:r>
        <w:rPr>
          <w:rFonts w:ascii="Times New Roman" w:hAnsi="Times New Roman"/>
          <w:sz w:val="24"/>
          <w:szCs w:val="24"/>
          <w:lang w:val="en-GB"/>
        </w:rPr>
        <w:t>performed</w:t>
      </w:r>
      <w:r w:rsidRPr="00BA6940">
        <w:rPr>
          <w:rFonts w:ascii="Times New Roman" w:hAnsi="Times New Roman"/>
          <w:sz w:val="24"/>
          <w:szCs w:val="24"/>
          <w:lang w:val="en-GB"/>
        </w:rPr>
        <w:t xml:space="preserve"> across the studies to ensure accuracy and consistency of approach</w:t>
      </w:r>
      <w:r>
        <w:rPr>
          <w:rFonts w:ascii="Times New Roman" w:hAnsi="Times New Roman"/>
          <w:sz w:val="24"/>
          <w:szCs w:val="24"/>
          <w:lang w:val="en-GB"/>
        </w:rPr>
        <w:t>.</w:t>
      </w:r>
      <w:r w:rsidRPr="00BA6940">
        <w:rPr>
          <w:rFonts w:ascii="Times New Roman" w:hAnsi="Times New Roman"/>
          <w:sz w:val="24"/>
          <w:szCs w:val="24"/>
          <w:lang w:val="en-GB"/>
        </w:rPr>
        <w:t xml:space="preserve">  </w:t>
      </w:r>
      <w:r>
        <w:rPr>
          <w:rFonts w:ascii="Times New Roman" w:hAnsi="Times New Roman"/>
          <w:color w:val="000000"/>
          <w:sz w:val="24"/>
          <w:szCs w:val="24"/>
        </w:rPr>
        <w:t xml:space="preserve">This paper evaluates the final exposure estimates and their use in the risk assessments.  </w:t>
      </w:r>
    </w:p>
    <w:p w:rsidR="00FA73F4" w:rsidRDefault="00FA73F4" w:rsidP="005D6281">
      <w:pPr>
        <w:tabs>
          <w:tab w:val="left" w:pos="284"/>
        </w:tabs>
        <w:spacing w:before="100" w:beforeAutospacing="1" w:after="120" w:line="480" w:lineRule="auto"/>
        <w:jc w:val="both"/>
        <w:rPr>
          <w:rFonts w:ascii="Times New Roman" w:hAnsi="Times New Roman"/>
          <w:color w:val="000000"/>
          <w:sz w:val="24"/>
          <w:szCs w:val="24"/>
        </w:rPr>
      </w:pPr>
      <w:r>
        <w:rPr>
          <w:rFonts w:ascii="Times New Roman" w:hAnsi="Times New Roman"/>
          <w:sz w:val="24"/>
          <w:szCs w:val="24"/>
        </w:rPr>
        <w:tab/>
      </w:r>
      <w:r w:rsidRPr="006E29EA">
        <w:rPr>
          <w:rFonts w:ascii="Times New Roman" w:hAnsi="Times New Roman"/>
          <w:sz w:val="24"/>
          <w:szCs w:val="24"/>
        </w:rPr>
        <w:t xml:space="preserve">Overall benzene exposure </w:t>
      </w:r>
      <w:r>
        <w:rPr>
          <w:rFonts w:ascii="Times New Roman" w:hAnsi="Times New Roman"/>
          <w:sz w:val="24"/>
          <w:szCs w:val="24"/>
        </w:rPr>
        <w:t>estimates were</w:t>
      </w:r>
      <w:r w:rsidRPr="006E29EA">
        <w:rPr>
          <w:rFonts w:ascii="Times New Roman" w:hAnsi="Times New Roman"/>
          <w:sz w:val="24"/>
          <w:szCs w:val="24"/>
        </w:rPr>
        <w:t xml:space="preserve"> low</w:t>
      </w:r>
      <w:r>
        <w:rPr>
          <w:rFonts w:ascii="Times New Roman" w:hAnsi="Times New Roman"/>
          <w:sz w:val="24"/>
          <w:szCs w:val="24"/>
        </w:rPr>
        <w:t xml:space="preserve">, </w:t>
      </w:r>
      <w:r w:rsidRPr="005E1BBE">
        <w:rPr>
          <w:rFonts w:ascii="Times New Roman" w:hAnsi="Times New Roman"/>
          <w:color w:val="000000"/>
          <w:sz w:val="24"/>
          <w:szCs w:val="24"/>
        </w:rPr>
        <w:t>90% of partic</w:t>
      </w:r>
      <w:r>
        <w:rPr>
          <w:rFonts w:ascii="Times New Roman" w:hAnsi="Times New Roman"/>
          <w:color w:val="000000"/>
          <w:sz w:val="24"/>
          <w:szCs w:val="24"/>
        </w:rPr>
        <w:t>ipants accumulated less than 20</w:t>
      </w:r>
      <w:r w:rsidRPr="005E1BBE">
        <w:rPr>
          <w:rFonts w:ascii="Times New Roman" w:hAnsi="Times New Roman"/>
          <w:color w:val="000000"/>
          <w:sz w:val="24"/>
          <w:szCs w:val="24"/>
        </w:rPr>
        <w:t>ppm-years</w:t>
      </w:r>
      <w:r>
        <w:rPr>
          <w:rFonts w:ascii="Times New Roman" w:hAnsi="Times New Roman"/>
          <w:color w:val="000000"/>
          <w:sz w:val="24"/>
          <w:szCs w:val="24"/>
        </w:rPr>
        <w:t xml:space="preserve">. </w:t>
      </w:r>
      <w:r w:rsidRPr="006E29EA">
        <w:rPr>
          <w:rFonts w:ascii="Times New Roman" w:hAnsi="Times New Roman"/>
          <w:sz w:val="24"/>
          <w:szCs w:val="24"/>
        </w:rPr>
        <w:t xml:space="preserve"> </w:t>
      </w:r>
      <w:r>
        <w:rPr>
          <w:rFonts w:ascii="Times New Roman" w:hAnsi="Times New Roman"/>
          <w:color w:val="000000"/>
          <w:sz w:val="24"/>
          <w:szCs w:val="24"/>
        </w:rPr>
        <w:t>M</w:t>
      </w:r>
      <w:r w:rsidRPr="005E1BBE">
        <w:rPr>
          <w:rFonts w:ascii="Times New Roman" w:hAnsi="Times New Roman"/>
          <w:color w:val="000000"/>
          <w:sz w:val="24"/>
          <w:szCs w:val="24"/>
        </w:rPr>
        <w:t xml:space="preserve">ean cumulative exposure was </w:t>
      </w:r>
      <w:r>
        <w:rPr>
          <w:rFonts w:ascii="Times New Roman" w:hAnsi="Times New Roman"/>
          <w:color w:val="000000"/>
          <w:sz w:val="24"/>
          <w:szCs w:val="24"/>
        </w:rPr>
        <w:t xml:space="preserve">estimated as </w:t>
      </w:r>
      <w:r w:rsidRPr="005E1BBE">
        <w:rPr>
          <w:rFonts w:ascii="Times New Roman" w:hAnsi="Times New Roman"/>
          <w:color w:val="000000"/>
          <w:sz w:val="24"/>
          <w:szCs w:val="24"/>
        </w:rPr>
        <w:t>5.15ppm-years</w:t>
      </w:r>
      <w:r>
        <w:rPr>
          <w:rFonts w:ascii="Times New Roman" w:hAnsi="Times New Roman"/>
          <w:color w:val="000000"/>
          <w:sz w:val="24"/>
          <w:szCs w:val="24"/>
        </w:rPr>
        <w:t xml:space="preserve">, </w:t>
      </w:r>
      <w:r w:rsidRPr="005E1BBE">
        <w:rPr>
          <w:rFonts w:ascii="Times New Roman" w:hAnsi="Times New Roman"/>
          <w:color w:val="000000"/>
          <w:sz w:val="24"/>
          <w:szCs w:val="24"/>
        </w:rPr>
        <w:t xml:space="preserve">mean duration </w:t>
      </w:r>
      <w:r>
        <w:rPr>
          <w:rFonts w:ascii="Times New Roman" w:hAnsi="Times New Roman"/>
          <w:color w:val="000000"/>
          <w:sz w:val="24"/>
          <w:szCs w:val="24"/>
        </w:rPr>
        <w:t xml:space="preserve">was </w:t>
      </w:r>
      <w:r w:rsidRPr="005E1BBE">
        <w:rPr>
          <w:rFonts w:ascii="Times New Roman" w:hAnsi="Times New Roman"/>
          <w:color w:val="000000"/>
          <w:sz w:val="24"/>
          <w:szCs w:val="24"/>
        </w:rPr>
        <w:t>22years</w:t>
      </w:r>
      <w:r>
        <w:rPr>
          <w:rFonts w:ascii="Times New Roman" w:hAnsi="Times New Roman"/>
          <w:color w:val="000000"/>
          <w:sz w:val="24"/>
          <w:szCs w:val="24"/>
        </w:rPr>
        <w:t>, and</w:t>
      </w:r>
      <w:r w:rsidRPr="005E1BBE">
        <w:rPr>
          <w:rFonts w:ascii="Times New Roman" w:hAnsi="Times New Roman"/>
          <w:color w:val="000000"/>
          <w:sz w:val="24"/>
          <w:szCs w:val="24"/>
        </w:rPr>
        <w:t xml:space="preserve"> mean exposure intensit</w:t>
      </w:r>
      <w:r>
        <w:rPr>
          <w:rFonts w:ascii="Times New Roman" w:hAnsi="Times New Roman"/>
          <w:color w:val="000000"/>
          <w:sz w:val="24"/>
          <w:szCs w:val="24"/>
        </w:rPr>
        <w:t>y was 0.2</w:t>
      </w:r>
      <w:r w:rsidRPr="005E1BBE">
        <w:rPr>
          <w:rFonts w:ascii="Times New Roman" w:hAnsi="Times New Roman"/>
          <w:color w:val="000000"/>
          <w:sz w:val="24"/>
          <w:szCs w:val="24"/>
        </w:rPr>
        <w:t xml:space="preserve">ppm.  </w:t>
      </w:r>
      <w:r>
        <w:rPr>
          <w:rFonts w:ascii="Times New Roman" w:hAnsi="Times New Roman"/>
          <w:color w:val="000000"/>
          <w:sz w:val="24"/>
          <w:szCs w:val="24"/>
        </w:rPr>
        <w:t>46%</w:t>
      </w:r>
      <w:r w:rsidRPr="005E1BBE">
        <w:rPr>
          <w:rFonts w:ascii="Times New Roman" w:hAnsi="Times New Roman"/>
          <w:color w:val="000000"/>
          <w:sz w:val="24"/>
          <w:szCs w:val="24"/>
        </w:rPr>
        <w:t xml:space="preserve"> of participants were allocated a peak exposure </w:t>
      </w:r>
      <w:r>
        <w:rPr>
          <w:rFonts w:ascii="Times New Roman" w:hAnsi="Times New Roman"/>
          <w:color w:val="000000"/>
          <w:sz w:val="24"/>
          <w:szCs w:val="24"/>
        </w:rPr>
        <w:t xml:space="preserve">(&gt;3ppm at least weekly). </w:t>
      </w:r>
      <w:r w:rsidRPr="005E1BBE">
        <w:rPr>
          <w:rFonts w:ascii="Times New Roman" w:hAnsi="Times New Roman"/>
          <w:color w:val="000000"/>
          <w:sz w:val="24"/>
          <w:szCs w:val="24"/>
        </w:rPr>
        <w:t xml:space="preserve"> </w:t>
      </w:r>
      <w:r w:rsidRPr="005E1BBE">
        <w:rPr>
          <w:rFonts w:ascii="Times New Roman" w:hAnsi="Times New Roman"/>
          <w:sz w:val="24"/>
          <w:szCs w:val="24"/>
          <w:lang w:val="en-US"/>
        </w:rPr>
        <w:t xml:space="preserve">40% of participants had a high probability of dermal exposure </w:t>
      </w:r>
      <w:r>
        <w:rPr>
          <w:rFonts w:ascii="Times New Roman" w:hAnsi="Times New Roman"/>
          <w:sz w:val="24"/>
          <w:szCs w:val="24"/>
          <w:lang w:val="en-US"/>
        </w:rPr>
        <w:t xml:space="preserve">(based on the relative probability of </w:t>
      </w:r>
      <w:r w:rsidRPr="005E1BBE">
        <w:rPr>
          <w:rFonts w:ascii="Times New Roman" w:hAnsi="Times New Roman"/>
          <w:sz w:val="24"/>
          <w:szCs w:val="24"/>
          <w:lang w:val="en-US"/>
        </w:rPr>
        <w:t>at least weekly</w:t>
      </w:r>
      <w:r>
        <w:rPr>
          <w:rFonts w:ascii="Times New Roman" w:hAnsi="Times New Roman"/>
          <w:sz w:val="24"/>
          <w:szCs w:val="24"/>
          <w:lang w:val="en-US"/>
        </w:rPr>
        <w:t xml:space="preserve"> exposure)</w:t>
      </w:r>
      <w:r w:rsidRPr="005E1BBE">
        <w:rPr>
          <w:rFonts w:ascii="Times New Roman" w:hAnsi="Times New Roman"/>
          <w:sz w:val="24"/>
          <w:szCs w:val="24"/>
          <w:lang w:val="en-US"/>
        </w:rPr>
        <w:t xml:space="preserve">.  </w:t>
      </w:r>
    </w:p>
    <w:p w:rsidR="00FA73F4" w:rsidRDefault="00FA73F4" w:rsidP="005F02FA">
      <w:pPr>
        <w:tabs>
          <w:tab w:val="left" w:pos="284"/>
        </w:tabs>
        <w:spacing w:before="100" w:beforeAutospacing="1" w:after="120" w:line="480" w:lineRule="auto"/>
        <w:jc w:val="both"/>
        <w:rPr>
          <w:rFonts w:ascii="Times New Roman" w:hAnsi="Times New Roman"/>
          <w:color w:val="000000"/>
          <w:sz w:val="24"/>
          <w:szCs w:val="24"/>
        </w:rPr>
      </w:pPr>
      <w:r>
        <w:rPr>
          <w:rFonts w:ascii="Times New Roman" w:hAnsi="Times New Roman"/>
          <w:color w:val="000000"/>
          <w:sz w:val="24"/>
          <w:szCs w:val="24"/>
        </w:rPr>
        <w:tab/>
      </w:r>
      <w:r w:rsidRPr="00A27C73">
        <w:rPr>
          <w:rFonts w:ascii="Times New Roman" w:hAnsi="Times New Roman"/>
          <w:color w:val="000000"/>
          <w:sz w:val="24"/>
          <w:szCs w:val="24"/>
        </w:rPr>
        <w:t xml:space="preserve">There were differences in mean intensity of exposure, probability of peak and/or dermal exposure associated with job category, job site and decade of exposure.  Terminal Operators handling benzene-containing products were the most highly exposed group, followed by Tanker Drivers carrying gasoline.  Exposures were higher around 1940-1950 and lower in more recent decades.  </w:t>
      </w:r>
    </w:p>
    <w:p w:rsidR="00FA73F4" w:rsidRPr="00A27C73" w:rsidRDefault="00FA73F4" w:rsidP="00F34E93">
      <w:pPr>
        <w:tabs>
          <w:tab w:val="left" w:pos="284"/>
        </w:tabs>
        <w:spacing w:before="100" w:beforeAutospacing="1" w:after="120" w:line="480" w:lineRule="auto"/>
        <w:jc w:val="both"/>
        <w:rPr>
          <w:rFonts w:ascii="Times New Roman" w:hAnsi="Times New Roman"/>
          <w:color w:val="000000"/>
          <w:sz w:val="24"/>
          <w:szCs w:val="24"/>
        </w:rPr>
      </w:pPr>
      <w:r w:rsidRPr="00A27C73">
        <w:rPr>
          <w:rFonts w:ascii="Times New Roman" w:hAnsi="Times New Roman"/>
          <w:color w:val="000000"/>
          <w:sz w:val="24"/>
          <w:szCs w:val="24"/>
        </w:rPr>
        <w:t xml:space="preserve">Overall confidence in the exposure estimates was highest for recently-held jobs and for White Collar jobs.  </w:t>
      </w:r>
      <w:r w:rsidRPr="006B34FB">
        <w:rPr>
          <w:rFonts w:ascii="Times New Roman" w:hAnsi="Times New Roman"/>
          <w:color w:val="000000"/>
          <w:sz w:val="24"/>
          <w:szCs w:val="24"/>
        </w:rPr>
        <w:t xml:space="preserve">We used sensitivity analyses which included and excluded case-sets on the basis of exposure certainty scores, </w:t>
      </w:r>
      <w:r>
        <w:rPr>
          <w:rFonts w:ascii="Times New Roman" w:hAnsi="Times New Roman"/>
          <w:color w:val="000000"/>
          <w:sz w:val="24"/>
          <w:szCs w:val="24"/>
        </w:rPr>
        <w:t>to</w:t>
      </w:r>
      <w:r w:rsidRPr="006B34FB">
        <w:rPr>
          <w:rFonts w:ascii="Times New Roman" w:hAnsi="Times New Roman"/>
          <w:color w:val="000000"/>
          <w:sz w:val="24"/>
          <w:szCs w:val="24"/>
        </w:rPr>
        <w:t xml:space="preserve"> inform the risk a</w:t>
      </w:r>
      <w:r>
        <w:rPr>
          <w:rFonts w:ascii="Times New Roman" w:hAnsi="Times New Roman"/>
          <w:color w:val="000000"/>
          <w:sz w:val="24"/>
          <w:szCs w:val="24"/>
        </w:rPr>
        <w:t>ssessment.</w:t>
      </w:r>
    </w:p>
    <w:p w:rsidR="00FA73F4" w:rsidRPr="00A27C73" w:rsidRDefault="00FA73F4" w:rsidP="00DF7E8B">
      <w:pPr>
        <w:tabs>
          <w:tab w:val="left" w:pos="284"/>
        </w:tabs>
        <w:spacing w:before="100" w:beforeAutospacing="1" w:after="120" w:line="480" w:lineRule="auto"/>
        <w:jc w:val="both"/>
        <w:rPr>
          <w:rFonts w:ascii="Times New Roman" w:hAnsi="Times New Roman"/>
          <w:color w:val="000000"/>
          <w:sz w:val="24"/>
          <w:szCs w:val="24"/>
        </w:rPr>
      </w:pPr>
      <w:r>
        <w:rPr>
          <w:rFonts w:ascii="Times New Roman" w:hAnsi="Times New Roman"/>
          <w:color w:val="000000"/>
          <w:sz w:val="24"/>
          <w:szCs w:val="24"/>
        </w:rPr>
        <w:lastRenderedPageBreak/>
        <w:tab/>
      </w:r>
      <w:r w:rsidRPr="00A27C73">
        <w:rPr>
          <w:rFonts w:ascii="Times New Roman" w:hAnsi="Times New Roman"/>
          <w:color w:val="000000"/>
          <w:sz w:val="24"/>
          <w:szCs w:val="24"/>
        </w:rPr>
        <w:t xml:space="preserve">The </w:t>
      </w:r>
      <w:r>
        <w:rPr>
          <w:rFonts w:ascii="Times New Roman" w:hAnsi="Times New Roman"/>
          <w:color w:val="000000"/>
          <w:sz w:val="24"/>
          <w:szCs w:val="24"/>
        </w:rPr>
        <w:t xml:space="preserve">above </w:t>
      </w:r>
      <w:r w:rsidRPr="00A27C73">
        <w:rPr>
          <w:rFonts w:ascii="Times New Roman" w:hAnsi="Times New Roman"/>
          <w:color w:val="000000"/>
          <w:sz w:val="24"/>
          <w:szCs w:val="24"/>
        </w:rPr>
        <w:t>analyses demonstrate</w:t>
      </w:r>
      <w:r>
        <w:rPr>
          <w:rFonts w:ascii="Times New Roman" w:hAnsi="Times New Roman"/>
          <w:color w:val="000000"/>
          <w:sz w:val="24"/>
          <w:szCs w:val="24"/>
        </w:rPr>
        <w:t>d</w:t>
      </w:r>
      <w:r w:rsidRPr="00A27C73">
        <w:rPr>
          <w:rFonts w:ascii="Times New Roman" w:hAnsi="Times New Roman"/>
          <w:color w:val="000000"/>
          <w:sz w:val="24"/>
          <w:szCs w:val="24"/>
        </w:rPr>
        <w:t xml:space="preserve"> that the different patterns of exposure across the three studies are largely attributable to differences in jobs, site types and time frames </w:t>
      </w:r>
      <w:r>
        <w:rPr>
          <w:rFonts w:ascii="Times New Roman" w:hAnsi="Times New Roman"/>
          <w:color w:val="000000"/>
          <w:sz w:val="24"/>
          <w:szCs w:val="24"/>
        </w:rPr>
        <w:t>rather than</w:t>
      </w:r>
      <w:r w:rsidRPr="00A27C73">
        <w:rPr>
          <w:rFonts w:ascii="Times New Roman" w:hAnsi="Times New Roman"/>
          <w:color w:val="000000"/>
          <w:sz w:val="24"/>
          <w:szCs w:val="24"/>
        </w:rPr>
        <w:t xml:space="preserve"> study.  This provides reassurance that the previous rationalisation of exposures achieved inter-study consistency and that the data could be confidently pooled. </w:t>
      </w:r>
    </w:p>
    <w:p w:rsidR="00FA73F4" w:rsidRPr="006C4492" w:rsidRDefault="00FA73F4" w:rsidP="00F34E93">
      <w:pPr>
        <w:tabs>
          <w:tab w:val="left" w:pos="284"/>
        </w:tabs>
        <w:spacing w:before="100" w:beforeAutospacing="1" w:after="120" w:line="480" w:lineRule="auto"/>
        <w:jc w:val="both"/>
        <w:rPr>
          <w:rFonts w:ascii="Times New Roman" w:hAnsi="Times New Roman"/>
          <w:sz w:val="24"/>
          <w:szCs w:val="24"/>
        </w:rPr>
      </w:pPr>
      <w:r>
        <w:rPr>
          <w:rFonts w:ascii="Times New Roman" w:hAnsi="Times New Roman"/>
          <w:sz w:val="24"/>
          <w:szCs w:val="24"/>
        </w:rPr>
        <w:t>320 words (max 325)</w:t>
      </w:r>
    </w:p>
    <w:p w:rsidR="00FA73F4" w:rsidRPr="007331E9" w:rsidRDefault="00FA73F4" w:rsidP="005F02FA">
      <w:pPr>
        <w:pStyle w:val="Heading1"/>
        <w:numPr>
          <w:ilvl w:val="0"/>
          <w:numId w:val="0"/>
        </w:numPr>
        <w:tabs>
          <w:tab w:val="left" w:pos="284"/>
        </w:tabs>
        <w:spacing w:line="480" w:lineRule="auto"/>
      </w:pPr>
      <w:r w:rsidRPr="007331E9">
        <w:lastRenderedPageBreak/>
        <w:t>Introduction</w:t>
      </w:r>
    </w:p>
    <w:p w:rsidR="00FA73F4" w:rsidRDefault="00FA73F4" w:rsidP="005F02FA">
      <w:pPr>
        <w:tabs>
          <w:tab w:val="left" w:pos="284"/>
        </w:tabs>
        <w:spacing w:after="120" w:line="480" w:lineRule="auto"/>
        <w:jc w:val="both"/>
        <w:rPr>
          <w:rFonts w:ascii="Times New Roman" w:hAnsi="Times New Roman"/>
          <w:color w:val="000000"/>
          <w:sz w:val="24"/>
          <w:szCs w:val="24"/>
        </w:rPr>
      </w:pPr>
      <w:r w:rsidRPr="000E6AD1">
        <w:rPr>
          <w:rFonts w:ascii="Times New Roman" w:hAnsi="Times New Roman"/>
          <w:color w:val="000000"/>
          <w:sz w:val="24"/>
          <w:szCs w:val="24"/>
        </w:rPr>
        <w:t xml:space="preserve">Benzene is present in crude oil and historically made up about 3% of gasoline fuels.  </w:t>
      </w:r>
      <w:r w:rsidRPr="005E1BBE">
        <w:rPr>
          <w:rFonts w:ascii="Times New Roman" w:hAnsi="Times New Roman"/>
          <w:color w:val="000000"/>
          <w:sz w:val="24"/>
          <w:szCs w:val="24"/>
        </w:rPr>
        <w:t xml:space="preserve">The petroleum industry </w:t>
      </w:r>
      <w:r>
        <w:rPr>
          <w:rFonts w:ascii="Times New Roman" w:hAnsi="Times New Roman"/>
          <w:color w:val="000000"/>
          <w:sz w:val="24"/>
          <w:szCs w:val="24"/>
        </w:rPr>
        <w:t>has three</w:t>
      </w:r>
      <w:r w:rsidRPr="005E1BBE">
        <w:rPr>
          <w:rFonts w:ascii="Times New Roman" w:hAnsi="Times New Roman"/>
          <w:color w:val="000000"/>
          <w:sz w:val="24"/>
          <w:szCs w:val="24"/>
        </w:rPr>
        <w:t xml:space="preserve"> main sectors</w:t>
      </w:r>
      <w:r>
        <w:rPr>
          <w:rFonts w:ascii="Times New Roman" w:hAnsi="Times New Roman"/>
          <w:color w:val="000000"/>
          <w:sz w:val="24"/>
          <w:szCs w:val="24"/>
        </w:rPr>
        <w:t>, upstream where</w:t>
      </w:r>
      <w:r w:rsidRPr="005E1BBE">
        <w:rPr>
          <w:rFonts w:ascii="Times New Roman" w:hAnsi="Times New Roman"/>
          <w:color w:val="000000"/>
          <w:sz w:val="24"/>
          <w:szCs w:val="24"/>
        </w:rPr>
        <w:t xml:space="preserve"> </w:t>
      </w:r>
      <w:r>
        <w:rPr>
          <w:rFonts w:ascii="Times New Roman" w:hAnsi="Times New Roman"/>
          <w:color w:val="000000"/>
          <w:sz w:val="24"/>
          <w:szCs w:val="24"/>
        </w:rPr>
        <w:t>crude oil and gas</w:t>
      </w:r>
      <w:r w:rsidRPr="005E1BBE">
        <w:rPr>
          <w:rFonts w:ascii="Times New Roman" w:hAnsi="Times New Roman"/>
          <w:color w:val="000000"/>
          <w:sz w:val="24"/>
          <w:szCs w:val="24"/>
        </w:rPr>
        <w:t xml:space="preserve"> is extracted from the ground </w:t>
      </w:r>
      <w:r>
        <w:rPr>
          <w:rFonts w:ascii="Times New Roman" w:hAnsi="Times New Roman"/>
          <w:color w:val="000000"/>
          <w:sz w:val="24"/>
          <w:szCs w:val="24"/>
        </w:rPr>
        <w:t>(</w:t>
      </w:r>
      <w:r w:rsidRPr="005E1BBE">
        <w:rPr>
          <w:rFonts w:ascii="Times New Roman" w:hAnsi="Times New Roman"/>
          <w:color w:val="000000"/>
          <w:sz w:val="24"/>
          <w:szCs w:val="24"/>
        </w:rPr>
        <w:t>on or offshore</w:t>
      </w:r>
      <w:r>
        <w:rPr>
          <w:rFonts w:ascii="Times New Roman" w:hAnsi="Times New Roman"/>
          <w:color w:val="000000"/>
          <w:sz w:val="24"/>
          <w:szCs w:val="24"/>
        </w:rPr>
        <w:t>), r</w:t>
      </w:r>
      <w:r w:rsidRPr="005E1BBE">
        <w:rPr>
          <w:rFonts w:ascii="Times New Roman" w:hAnsi="Times New Roman"/>
          <w:color w:val="000000"/>
          <w:sz w:val="24"/>
          <w:szCs w:val="24"/>
        </w:rPr>
        <w:t>efineries</w:t>
      </w:r>
      <w:r>
        <w:rPr>
          <w:rFonts w:ascii="Times New Roman" w:hAnsi="Times New Roman"/>
          <w:color w:val="000000"/>
          <w:sz w:val="24"/>
          <w:szCs w:val="24"/>
        </w:rPr>
        <w:t xml:space="preserve"> where the</w:t>
      </w:r>
      <w:r w:rsidRPr="005E1BBE">
        <w:rPr>
          <w:rFonts w:ascii="Times New Roman" w:hAnsi="Times New Roman"/>
          <w:color w:val="000000"/>
          <w:sz w:val="24"/>
          <w:szCs w:val="24"/>
        </w:rPr>
        <w:t xml:space="preserve"> crude is fractionated </w:t>
      </w:r>
      <w:r>
        <w:rPr>
          <w:rFonts w:ascii="Times New Roman" w:hAnsi="Times New Roman"/>
          <w:color w:val="000000"/>
          <w:sz w:val="24"/>
          <w:szCs w:val="24"/>
        </w:rPr>
        <w:t>producing</w:t>
      </w:r>
      <w:r w:rsidRPr="005E1BBE">
        <w:rPr>
          <w:rFonts w:ascii="Times New Roman" w:hAnsi="Times New Roman"/>
          <w:color w:val="000000"/>
          <w:sz w:val="24"/>
          <w:szCs w:val="24"/>
        </w:rPr>
        <w:t xml:space="preserve"> gasoline, diesel, kerosene, heating oil etc. </w:t>
      </w:r>
      <w:r>
        <w:rPr>
          <w:rFonts w:ascii="Times New Roman" w:hAnsi="Times New Roman"/>
          <w:color w:val="000000"/>
          <w:sz w:val="24"/>
          <w:szCs w:val="24"/>
        </w:rPr>
        <w:t>and d</w:t>
      </w:r>
      <w:r w:rsidRPr="005E1BBE">
        <w:rPr>
          <w:rFonts w:ascii="Times New Roman" w:hAnsi="Times New Roman"/>
          <w:color w:val="000000"/>
          <w:sz w:val="24"/>
          <w:szCs w:val="24"/>
        </w:rPr>
        <w:t>istribution</w:t>
      </w:r>
      <w:r>
        <w:rPr>
          <w:rFonts w:ascii="Times New Roman" w:hAnsi="Times New Roman"/>
          <w:color w:val="000000"/>
          <w:sz w:val="24"/>
          <w:szCs w:val="24"/>
        </w:rPr>
        <w:t xml:space="preserve"> terminals where</w:t>
      </w:r>
      <w:r w:rsidRPr="005E1BBE">
        <w:rPr>
          <w:rFonts w:ascii="Times New Roman" w:hAnsi="Times New Roman"/>
          <w:color w:val="000000"/>
          <w:sz w:val="24"/>
          <w:szCs w:val="24"/>
        </w:rPr>
        <w:t xml:space="preserve"> bulk products are stored and distributed.</w:t>
      </w:r>
      <w:r w:rsidRPr="000E6AD1">
        <w:rPr>
          <w:rFonts w:ascii="Times New Roman" w:hAnsi="Times New Roman"/>
          <w:color w:val="000000"/>
          <w:sz w:val="24"/>
          <w:szCs w:val="24"/>
        </w:rPr>
        <w:t xml:space="preserve">  </w:t>
      </w:r>
      <w:r w:rsidRPr="005E1BBE">
        <w:rPr>
          <w:rFonts w:ascii="Times New Roman" w:hAnsi="Times New Roman"/>
          <w:color w:val="000000"/>
          <w:sz w:val="24"/>
          <w:szCs w:val="24"/>
        </w:rPr>
        <w:t xml:space="preserve">Exposure to benzene typically occurs during loading or unloading of tanks, ships, rail cars and road tankers and during maintenance work.  These tasks are common at distribution terminals and to a lesser extent in refineries.  In refineries, products are </w:t>
      </w:r>
      <w:r>
        <w:rPr>
          <w:rFonts w:ascii="Times New Roman" w:hAnsi="Times New Roman"/>
          <w:color w:val="000000"/>
          <w:sz w:val="24"/>
          <w:szCs w:val="24"/>
        </w:rPr>
        <w:t>primarily</w:t>
      </w:r>
      <w:r w:rsidRPr="005E1BBE">
        <w:rPr>
          <w:rFonts w:ascii="Times New Roman" w:hAnsi="Times New Roman"/>
          <w:color w:val="000000"/>
          <w:sz w:val="24"/>
          <w:szCs w:val="24"/>
        </w:rPr>
        <w:t xml:space="preserve"> handled in closed systems but exposure can occur from fugitive emissions</w:t>
      </w:r>
      <w:r>
        <w:rPr>
          <w:rFonts w:ascii="Times New Roman" w:hAnsi="Times New Roman"/>
          <w:color w:val="000000"/>
          <w:sz w:val="24"/>
          <w:szCs w:val="24"/>
        </w:rPr>
        <w:t xml:space="preserve"> and some refinery streams such as reformate can have 8% benzene</w:t>
      </w:r>
      <w:r w:rsidRPr="005E1BBE">
        <w:rPr>
          <w:rFonts w:ascii="Times New Roman" w:hAnsi="Times New Roman"/>
          <w:color w:val="000000"/>
          <w:sz w:val="24"/>
          <w:szCs w:val="24"/>
        </w:rPr>
        <w:t xml:space="preserve">.  Exposure is usually considerably lower at upstream sites. </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color w:val="000000"/>
          <w:sz w:val="24"/>
          <w:szCs w:val="24"/>
        </w:rPr>
        <w:tab/>
        <w:t>In t</w:t>
      </w:r>
      <w:r w:rsidRPr="000E6AD1">
        <w:rPr>
          <w:rFonts w:ascii="Times New Roman" w:hAnsi="Times New Roman"/>
          <w:color w:val="000000"/>
          <w:sz w:val="24"/>
          <w:szCs w:val="24"/>
        </w:rPr>
        <w:t>hree case-control studies nested in petroleum industry cohorts from Canada, the UK and Australia</w:t>
      </w:r>
      <w:r>
        <w:rPr>
          <w:rFonts w:ascii="Times New Roman" w:hAnsi="Times New Roman"/>
          <w:color w:val="000000"/>
          <w:sz w:val="24"/>
          <w:szCs w:val="24"/>
        </w:rPr>
        <w:t xml:space="preserve">, </w:t>
      </w:r>
      <w:r w:rsidRPr="000A5D88">
        <w:rPr>
          <w:rFonts w:ascii="Times New Roman" w:hAnsi="Times New Roman"/>
          <w:noProof/>
          <w:color w:val="000000"/>
          <w:sz w:val="24"/>
          <w:szCs w:val="24"/>
          <w:vertAlign w:val="superscript"/>
        </w:rPr>
        <w:t>[1-3]</w:t>
      </w:r>
      <w:r w:rsidRPr="000E6AD1">
        <w:rPr>
          <w:rFonts w:ascii="Times New Roman" w:hAnsi="Times New Roman"/>
          <w:color w:val="000000"/>
          <w:sz w:val="24"/>
          <w:szCs w:val="24"/>
        </w:rPr>
        <w:t xml:space="preserve"> the association between benzene exposure and lympho</w:t>
      </w:r>
      <w:r>
        <w:rPr>
          <w:rFonts w:ascii="Times New Roman" w:hAnsi="Times New Roman"/>
          <w:color w:val="000000"/>
          <w:sz w:val="24"/>
          <w:szCs w:val="24"/>
        </w:rPr>
        <w:t>-hem</w:t>
      </w:r>
      <w:r w:rsidRPr="000E6AD1">
        <w:rPr>
          <w:rFonts w:ascii="Times New Roman" w:hAnsi="Times New Roman"/>
          <w:color w:val="000000"/>
          <w:sz w:val="24"/>
          <w:szCs w:val="24"/>
        </w:rPr>
        <w:t>atopo</w:t>
      </w:r>
      <w:r>
        <w:rPr>
          <w:rFonts w:ascii="Times New Roman" w:hAnsi="Times New Roman"/>
          <w:color w:val="000000"/>
          <w:sz w:val="24"/>
          <w:szCs w:val="24"/>
        </w:rPr>
        <w:t>i</w:t>
      </w:r>
      <w:r w:rsidRPr="000E6AD1">
        <w:rPr>
          <w:rFonts w:ascii="Times New Roman" w:hAnsi="Times New Roman"/>
          <w:color w:val="000000"/>
          <w:sz w:val="24"/>
          <w:szCs w:val="24"/>
        </w:rPr>
        <w:t>etic (LH) cancers</w:t>
      </w:r>
      <w:r>
        <w:rPr>
          <w:rFonts w:ascii="Times New Roman" w:hAnsi="Times New Roman"/>
          <w:color w:val="000000"/>
          <w:sz w:val="24"/>
          <w:szCs w:val="24"/>
        </w:rPr>
        <w:t xml:space="preserve"> was evaluated.</w:t>
      </w:r>
      <w:r w:rsidRPr="000E6AD1">
        <w:rPr>
          <w:rFonts w:ascii="Times New Roman" w:hAnsi="Times New Roman"/>
          <w:color w:val="000000"/>
          <w:sz w:val="24"/>
          <w:szCs w:val="24"/>
        </w:rPr>
        <w:t xml:space="preserve"> </w:t>
      </w:r>
      <w:r w:rsidRPr="005E1BBE">
        <w:rPr>
          <w:rFonts w:ascii="Times New Roman" w:hAnsi="Times New Roman"/>
          <w:sz w:val="24"/>
          <w:szCs w:val="24"/>
          <w:lang w:val="en-US"/>
        </w:rPr>
        <w:t xml:space="preserve"> </w:t>
      </w:r>
      <w:r w:rsidRPr="000E6AD1" w:rsidDel="00B30902">
        <w:rPr>
          <w:rFonts w:ascii="Times New Roman" w:hAnsi="Times New Roman"/>
          <w:color w:val="000000"/>
          <w:sz w:val="24"/>
          <w:szCs w:val="24"/>
        </w:rPr>
        <w:t>All three studies included distribution terminals, the Canadian study included marine distribution and the Australian study included upstream</w:t>
      </w:r>
      <w:r w:rsidDel="00B30902">
        <w:rPr>
          <w:rFonts w:ascii="Times New Roman" w:hAnsi="Times New Roman"/>
          <w:color w:val="000000"/>
          <w:sz w:val="24"/>
          <w:szCs w:val="24"/>
        </w:rPr>
        <w:t xml:space="preserve"> (oil and gas extraction)</w:t>
      </w:r>
      <w:r w:rsidRPr="000E6AD1" w:rsidDel="00B30902">
        <w:rPr>
          <w:rFonts w:ascii="Times New Roman" w:hAnsi="Times New Roman"/>
          <w:color w:val="000000"/>
          <w:sz w:val="24"/>
          <w:szCs w:val="24"/>
        </w:rPr>
        <w:t xml:space="preserve"> and refinery workers.  </w:t>
      </w:r>
    </w:p>
    <w:p w:rsidR="00FA73F4" w:rsidRDefault="00FA73F4" w:rsidP="00827BD9">
      <w:pPr>
        <w:tabs>
          <w:tab w:val="left" w:pos="284"/>
        </w:tabs>
        <w:spacing w:after="120" w:line="480" w:lineRule="auto"/>
        <w:jc w:val="both"/>
        <w:rPr>
          <w:lang w:val="en-GB"/>
        </w:rPr>
      </w:pPr>
      <w:r>
        <w:rPr>
          <w:rFonts w:ascii="Times New Roman" w:hAnsi="Times New Roman"/>
          <w:color w:val="000000"/>
          <w:sz w:val="24"/>
          <w:szCs w:val="24"/>
        </w:rPr>
        <w:tab/>
      </w:r>
      <w:r w:rsidDel="00460A30">
        <w:rPr>
          <w:rFonts w:ascii="Times New Roman" w:hAnsi="Times New Roman"/>
          <w:color w:val="000000"/>
          <w:sz w:val="24"/>
          <w:szCs w:val="24"/>
        </w:rPr>
        <w:t xml:space="preserve">Cases and controls from the individual studies were pooled </w:t>
      </w:r>
      <w:r w:rsidRPr="005E1BBE" w:rsidDel="00460A30">
        <w:rPr>
          <w:rFonts w:ascii="Times New Roman" w:hAnsi="Times New Roman"/>
          <w:color w:val="000000"/>
          <w:sz w:val="24"/>
          <w:szCs w:val="24"/>
        </w:rPr>
        <w:t>to form a single more powerful study</w:t>
      </w:r>
      <w:r w:rsidDel="00460A30">
        <w:rPr>
          <w:rFonts w:ascii="Times New Roman" w:hAnsi="Times New Roman"/>
          <w:color w:val="000000"/>
          <w:sz w:val="24"/>
          <w:szCs w:val="24"/>
        </w:rPr>
        <w:t xml:space="preserve"> of </w:t>
      </w:r>
      <w:r w:rsidRPr="005E1BBE" w:rsidDel="00460A30">
        <w:rPr>
          <w:rFonts w:ascii="Times New Roman" w:hAnsi="Times New Roman"/>
          <w:color w:val="000000"/>
          <w:sz w:val="24"/>
          <w:szCs w:val="24"/>
        </w:rPr>
        <w:t xml:space="preserve">benzene exposure and </w:t>
      </w:r>
      <w:r w:rsidDel="00460A30">
        <w:rPr>
          <w:rFonts w:ascii="Times New Roman" w:hAnsi="Times New Roman"/>
          <w:color w:val="000000"/>
          <w:sz w:val="24"/>
          <w:szCs w:val="24"/>
        </w:rPr>
        <w:t xml:space="preserve">subtypes of </w:t>
      </w:r>
      <w:r w:rsidRPr="005E1BBE" w:rsidDel="00460A30">
        <w:rPr>
          <w:rFonts w:ascii="Times New Roman" w:hAnsi="Times New Roman"/>
          <w:color w:val="000000"/>
          <w:sz w:val="24"/>
          <w:szCs w:val="24"/>
        </w:rPr>
        <w:t>L</w:t>
      </w:r>
      <w:r w:rsidDel="00460A30">
        <w:rPr>
          <w:rFonts w:ascii="Times New Roman" w:hAnsi="Times New Roman"/>
          <w:color w:val="000000"/>
          <w:sz w:val="24"/>
          <w:szCs w:val="24"/>
        </w:rPr>
        <w:t>H</w:t>
      </w:r>
      <w:r w:rsidRPr="005E1BBE" w:rsidDel="00460A30">
        <w:rPr>
          <w:rFonts w:ascii="Times New Roman" w:hAnsi="Times New Roman"/>
          <w:color w:val="000000"/>
          <w:sz w:val="24"/>
          <w:szCs w:val="24"/>
        </w:rPr>
        <w:t xml:space="preserve"> cancers</w:t>
      </w:r>
      <w:r w:rsidDel="00460A30">
        <w:rPr>
          <w:rFonts w:ascii="Times New Roman" w:hAnsi="Times New Roman"/>
          <w:color w:val="000000"/>
          <w:sz w:val="24"/>
          <w:szCs w:val="24"/>
        </w:rPr>
        <w:t>.</w:t>
      </w:r>
      <w:r w:rsidRPr="0060576E" w:rsidDel="00460A30">
        <w:rPr>
          <w:rFonts w:ascii="Times New Roman" w:hAnsi="Times New Roman"/>
          <w:noProof/>
          <w:color w:val="000000"/>
          <w:sz w:val="24"/>
          <w:szCs w:val="24"/>
          <w:vertAlign w:val="superscript"/>
        </w:rPr>
        <w:t>[4]</w:t>
      </w:r>
      <w:r w:rsidDel="00460A30">
        <w:rPr>
          <w:rFonts w:ascii="Times New Roman" w:hAnsi="Times New Roman"/>
          <w:color w:val="000000"/>
          <w:sz w:val="24"/>
          <w:szCs w:val="24"/>
        </w:rPr>
        <w:t xml:space="preserve">  </w:t>
      </w:r>
      <w:r>
        <w:rPr>
          <w:rFonts w:ascii="Times New Roman" w:hAnsi="Times New Roman"/>
          <w:color w:val="000000"/>
          <w:sz w:val="24"/>
          <w:szCs w:val="24"/>
        </w:rPr>
        <w:t>Risk estimates for LH cancer outcomes are reported elsewhere,</w:t>
      </w:r>
      <w:r w:rsidRPr="00D54528">
        <w:rPr>
          <w:rFonts w:ascii="Times New Roman" w:hAnsi="Times New Roman"/>
          <w:noProof/>
          <w:color w:val="000000"/>
          <w:sz w:val="24"/>
          <w:szCs w:val="24"/>
          <w:vertAlign w:val="superscript"/>
        </w:rPr>
        <w:t>[4-6]</w:t>
      </w:r>
      <w:r>
        <w:rPr>
          <w:rFonts w:ascii="Times New Roman" w:hAnsi="Times New Roman"/>
          <w:color w:val="000000"/>
          <w:sz w:val="24"/>
          <w:szCs w:val="24"/>
        </w:rPr>
        <w:t xml:space="preserve"> but briefly, there was little evidence of increased risk due to benzene exposure, except for myelodysplastic syndrome (MDS). </w:t>
      </w:r>
    </w:p>
    <w:p w:rsidR="00FA73F4" w:rsidRPr="005B7C1B" w:rsidRDefault="00FA73F4" w:rsidP="00827BD9">
      <w:pPr>
        <w:tabs>
          <w:tab w:val="left" w:pos="284"/>
        </w:tabs>
        <w:spacing w:after="120" w:line="480" w:lineRule="auto"/>
        <w:jc w:val="both"/>
        <w:rPr>
          <w:rFonts w:ascii="Times New Roman" w:hAnsi="Times New Roman"/>
          <w:sz w:val="24"/>
          <w:szCs w:val="24"/>
          <w:lang w:val="en-GB"/>
        </w:rPr>
      </w:pPr>
      <w:r>
        <w:rPr>
          <w:rFonts w:ascii="Times New Roman" w:hAnsi="Times New Roman"/>
          <w:color w:val="000000"/>
          <w:sz w:val="24"/>
          <w:szCs w:val="24"/>
        </w:rPr>
        <w:tab/>
      </w:r>
      <w:r w:rsidRPr="005B7C1B">
        <w:rPr>
          <w:rFonts w:ascii="Times New Roman" w:hAnsi="Times New Roman"/>
          <w:sz w:val="24"/>
          <w:szCs w:val="24"/>
          <w:lang w:val="en-GB"/>
        </w:rPr>
        <w:t>This paper examine</w:t>
      </w:r>
      <w:r>
        <w:rPr>
          <w:rFonts w:ascii="Times New Roman" w:hAnsi="Times New Roman"/>
          <w:sz w:val="24"/>
          <w:szCs w:val="24"/>
          <w:lang w:val="en-GB"/>
        </w:rPr>
        <w:t>s</w:t>
      </w:r>
      <w:r w:rsidRPr="005B7C1B">
        <w:rPr>
          <w:rFonts w:ascii="Times New Roman" w:hAnsi="Times New Roman"/>
          <w:sz w:val="24"/>
          <w:szCs w:val="24"/>
          <w:lang w:val="en-GB"/>
        </w:rPr>
        <w:t xml:space="preserve"> in detail</w:t>
      </w:r>
      <w:r>
        <w:rPr>
          <w:rFonts w:ascii="Times New Roman" w:hAnsi="Times New Roman"/>
          <w:sz w:val="24"/>
          <w:szCs w:val="24"/>
          <w:lang w:val="en-GB"/>
        </w:rPr>
        <w:t>,</w:t>
      </w:r>
      <w:r w:rsidRPr="005B7C1B">
        <w:rPr>
          <w:rFonts w:ascii="Times New Roman" w:hAnsi="Times New Roman"/>
          <w:sz w:val="24"/>
          <w:szCs w:val="24"/>
          <w:lang w:val="en-GB"/>
        </w:rPr>
        <w:t xml:space="preserve"> the final exposure estimates, including peak and dermal exposure, which were used in the risk assessments.  </w:t>
      </w:r>
      <w:r w:rsidRPr="006B34FB">
        <w:rPr>
          <w:rFonts w:ascii="Times New Roman" w:hAnsi="Times New Roman"/>
          <w:sz w:val="24"/>
          <w:szCs w:val="24"/>
          <w:lang w:val="en-GB"/>
        </w:rPr>
        <w:t>The paper discusses the exposure data underlying the epidemiological data and includes a description of major determinants of exposure.  This is important when data from several sources are combined.</w:t>
      </w:r>
      <w:r>
        <w:rPr>
          <w:rFonts w:ascii="Courier New" w:eastAsia="Times New Roman" w:hAnsi="Courier New" w:cs="Courier New"/>
          <w:sz w:val="20"/>
          <w:szCs w:val="20"/>
        </w:rPr>
        <w:t xml:space="preserve">  </w:t>
      </w:r>
      <w:r w:rsidRPr="005B7C1B">
        <w:rPr>
          <w:rFonts w:ascii="Times New Roman" w:hAnsi="Times New Roman"/>
          <w:sz w:val="24"/>
          <w:szCs w:val="24"/>
          <w:lang w:val="en-GB"/>
        </w:rPr>
        <w:t xml:space="preserve">The exposure </w:t>
      </w:r>
      <w:r w:rsidRPr="005B7C1B">
        <w:rPr>
          <w:rFonts w:ascii="Times New Roman" w:hAnsi="Times New Roman"/>
          <w:sz w:val="24"/>
          <w:szCs w:val="24"/>
          <w:lang w:val="en-GB"/>
        </w:rPr>
        <w:lastRenderedPageBreak/>
        <w:t xml:space="preserve">estimates </w:t>
      </w:r>
      <w:r>
        <w:rPr>
          <w:rFonts w:ascii="Times New Roman" w:hAnsi="Times New Roman"/>
          <w:sz w:val="24"/>
          <w:szCs w:val="24"/>
          <w:lang w:val="en-GB"/>
        </w:rPr>
        <w:t xml:space="preserve">were examined </w:t>
      </w:r>
      <w:r w:rsidRPr="005B7C1B">
        <w:rPr>
          <w:rFonts w:ascii="Times New Roman" w:hAnsi="Times New Roman"/>
          <w:sz w:val="24"/>
          <w:szCs w:val="24"/>
          <w:lang w:val="en-GB"/>
        </w:rPr>
        <w:t xml:space="preserve">by certainty score for the individuals in the pooled analysis.  Exposure data are also presented by type of site and activity and by disease group.  The likelihood of a peak allocation was of interest because it was the exposure metric that most strongly predicted the probability of MDS. </w:t>
      </w:r>
      <w:r>
        <w:rPr>
          <w:rFonts w:ascii="Times New Roman" w:hAnsi="Times New Roman"/>
          <w:noProof/>
          <w:sz w:val="24"/>
          <w:szCs w:val="24"/>
          <w:vertAlign w:val="superscript"/>
          <w:lang w:val="en-GB"/>
        </w:rPr>
        <w:t>[4]</w:t>
      </w:r>
    </w:p>
    <w:p w:rsidR="00FA73F4" w:rsidRPr="007331E9" w:rsidRDefault="00FA73F4" w:rsidP="005F02FA">
      <w:pPr>
        <w:pStyle w:val="Heading1"/>
        <w:numPr>
          <w:ilvl w:val="0"/>
          <w:numId w:val="0"/>
        </w:numPr>
        <w:tabs>
          <w:tab w:val="left" w:pos="284"/>
        </w:tabs>
        <w:spacing w:line="480" w:lineRule="auto"/>
      </w:pPr>
      <w:r w:rsidRPr="007331E9">
        <w:lastRenderedPageBreak/>
        <w:t>Methods</w:t>
      </w:r>
    </w:p>
    <w:p w:rsidR="00FA73F4" w:rsidRDefault="00FA73F4" w:rsidP="00827BD9">
      <w:pPr>
        <w:tabs>
          <w:tab w:val="left" w:pos="284"/>
        </w:tabs>
        <w:spacing w:after="120" w:line="480" w:lineRule="auto"/>
        <w:jc w:val="both"/>
        <w:rPr>
          <w:rFonts w:ascii="Times New Roman" w:hAnsi="Times New Roman"/>
          <w:color w:val="000000"/>
          <w:sz w:val="24"/>
          <w:szCs w:val="24"/>
        </w:rPr>
      </w:pPr>
      <w:r>
        <w:rPr>
          <w:rFonts w:ascii="Times New Roman" w:hAnsi="Times New Roman"/>
          <w:color w:val="000000"/>
          <w:sz w:val="24"/>
          <w:szCs w:val="24"/>
        </w:rPr>
        <w:tab/>
      </w:r>
      <w:r w:rsidDel="00B80C71">
        <w:rPr>
          <w:rFonts w:ascii="Times New Roman" w:hAnsi="Times New Roman"/>
          <w:color w:val="000000"/>
          <w:sz w:val="24"/>
          <w:szCs w:val="24"/>
        </w:rPr>
        <w:t>In preparation</w:t>
      </w:r>
      <w:r>
        <w:rPr>
          <w:rFonts w:ascii="Times New Roman" w:hAnsi="Times New Roman"/>
          <w:color w:val="000000"/>
          <w:sz w:val="24"/>
          <w:szCs w:val="24"/>
        </w:rPr>
        <w:t xml:space="preserve"> for data pooling</w:t>
      </w:r>
      <w:r w:rsidDel="00B80C71">
        <w:rPr>
          <w:rFonts w:ascii="Times New Roman" w:hAnsi="Times New Roman"/>
          <w:color w:val="000000"/>
          <w:sz w:val="24"/>
          <w:szCs w:val="24"/>
        </w:rPr>
        <w:t>, t</w:t>
      </w:r>
      <w:r w:rsidRPr="005E1BBE" w:rsidDel="00B80C71">
        <w:rPr>
          <w:rFonts w:ascii="Times New Roman" w:hAnsi="Times New Roman"/>
          <w:color w:val="000000"/>
          <w:sz w:val="24"/>
          <w:szCs w:val="24"/>
        </w:rPr>
        <w:t>he</w:t>
      </w:r>
      <w:r w:rsidDel="00B80C71">
        <w:rPr>
          <w:rFonts w:ascii="Times New Roman" w:hAnsi="Times New Roman"/>
          <w:color w:val="000000"/>
          <w:sz w:val="24"/>
          <w:szCs w:val="24"/>
        </w:rPr>
        <w:t xml:space="preserve"> three original </w:t>
      </w:r>
      <w:r w:rsidRPr="005E1BBE" w:rsidDel="00B80C71">
        <w:rPr>
          <w:rFonts w:ascii="Times New Roman" w:hAnsi="Times New Roman"/>
          <w:color w:val="000000"/>
          <w:sz w:val="24"/>
          <w:szCs w:val="24"/>
        </w:rPr>
        <w:t xml:space="preserve">studies were </w:t>
      </w:r>
      <w:r w:rsidDel="00B80C71">
        <w:rPr>
          <w:rFonts w:ascii="Times New Roman" w:hAnsi="Times New Roman"/>
          <w:color w:val="000000"/>
          <w:sz w:val="24"/>
          <w:szCs w:val="24"/>
        </w:rPr>
        <w:t xml:space="preserve">updated with new cases that had occurred after the original case control studies.  </w:t>
      </w:r>
      <w:r w:rsidDel="00D50365">
        <w:rPr>
          <w:rFonts w:ascii="Times New Roman" w:hAnsi="Times New Roman"/>
          <w:color w:val="000000"/>
          <w:sz w:val="24"/>
          <w:szCs w:val="24"/>
        </w:rPr>
        <w:tab/>
      </w:r>
      <w:r w:rsidRPr="000E6AD1" w:rsidDel="00D50365">
        <w:rPr>
          <w:rFonts w:ascii="Times New Roman" w:hAnsi="Times New Roman"/>
          <w:color w:val="000000"/>
          <w:sz w:val="24"/>
          <w:szCs w:val="24"/>
        </w:rPr>
        <w:t xml:space="preserve">The </w:t>
      </w:r>
      <w:r w:rsidDel="00D50365">
        <w:rPr>
          <w:rFonts w:ascii="Times New Roman" w:hAnsi="Times New Roman"/>
          <w:color w:val="000000"/>
          <w:sz w:val="24"/>
          <w:szCs w:val="24"/>
        </w:rPr>
        <w:t xml:space="preserve">LH cancer </w:t>
      </w:r>
      <w:r w:rsidRPr="000E6AD1" w:rsidDel="00D50365">
        <w:rPr>
          <w:rFonts w:ascii="Times New Roman" w:hAnsi="Times New Roman"/>
          <w:color w:val="000000"/>
          <w:sz w:val="24"/>
          <w:szCs w:val="24"/>
        </w:rPr>
        <w:t xml:space="preserve">case diagnoses were verified by </w:t>
      </w:r>
      <w:r w:rsidDel="00D50365">
        <w:rPr>
          <w:rFonts w:ascii="Times New Roman" w:hAnsi="Times New Roman"/>
          <w:color w:val="000000"/>
          <w:sz w:val="24"/>
          <w:szCs w:val="24"/>
        </w:rPr>
        <w:t>hematopathologists,</w:t>
      </w:r>
      <w:r w:rsidRPr="00D54528">
        <w:rPr>
          <w:rFonts w:ascii="Times New Roman" w:hAnsi="Times New Roman"/>
          <w:noProof/>
          <w:color w:val="000000"/>
          <w:sz w:val="24"/>
          <w:szCs w:val="24"/>
          <w:vertAlign w:val="superscript"/>
        </w:rPr>
        <w:t>[7]</w:t>
      </w:r>
      <w:r w:rsidDel="00D50365">
        <w:rPr>
          <w:rFonts w:ascii="Times New Roman" w:hAnsi="Times New Roman"/>
          <w:color w:val="000000"/>
          <w:sz w:val="24"/>
          <w:szCs w:val="24"/>
        </w:rPr>
        <w:t xml:space="preserve"> </w:t>
      </w:r>
      <w:r w:rsidRPr="000E6AD1" w:rsidDel="00D50365">
        <w:rPr>
          <w:rFonts w:ascii="Times New Roman" w:hAnsi="Times New Roman"/>
          <w:color w:val="000000"/>
          <w:sz w:val="24"/>
          <w:szCs w:val="24"/>
        </w:rPr>
        <w:t>and</w:t>
      </w:r>
      <w:r w:rsidRPr="000E6AD1" w:rsidDel="00D50365">
        <w:rPr>
          <w:rFonts w:ascii="Times New Roman" w:hAnsi="Times New Roman"/>
          <w:sz w:val="24"/>
          <w:szCs w:val="24"/>
          <w:lang w:val="en-US"/>
        </w:rPr>
        <w:t xml:space="preserve"> categorized by the WHO criteria</w:t>
      </w:r>
      <w:r w:rsidRPr="00D54528">
        <w:rPr>
          <w:rFonts w:ascii="Times New Roman" w:hAnsi="Times New Roman"/>
          <w:noProof/>
          <w:sz w:val="24"/>
          <w:szCs w:val="24"/>
          <w:vertAlign w:val="superscript"/>
          <w:lang w:val="en-US"/>
        </w:rPr>
        <w:t>[8]</w:t>
      </w:r>
      <w:r w:rsidDel="00D50365">
        <w:rPr>
          <w:rFonts w:ascii="Times New Roman" w:hAnsi="Times New Roman"/>
          <w:sz w:val="24"/>
          <w:szCs w:val="24"/>
          <w:lang w:val="en-US"/>
        </w:rPr>
        <w:t xml:space="preserve"> into five disease groups </w:t>
      </w:r>
      <w:r w:rsidRPr="000E6AD1" w:rsidDel="00D50365">
        <w:rPr>
          <w:rFonts w:ascii="Times New Roman" w:hAnsi="Times New Roman"/>
          <w:sz w:val="24"/>
          <w:szCs w:val="24"/>
          <w:lang w:val="en-US"/>
        </w:rPr>
        <w:t>each of which had more than</w:t>
      </w:r>
      <w:r w:rsidDel="00D50365">
        <w:rPr>
          <w:rFonts w:ascii="Times New Roman" w:hAnsi="Times New Roman"/>
          <w:sz w:val="24"/>
          <w:szCs w:val="24"/>
          <w:lang w:val="en-US"/>
        </w:rPr>
        <w:t xml:space="preserve"> 20 cases.  These groups were: </w:t>
      </w:r>
      <w:r w:rsidRPr="000E6AD1" w:rsidDel="00D50365">
        <w:rPr>
          <w:rFonts w:ascii="Times New Roman" w:hAnsi="Times New Roman"/>
          <w:sz w:val="24"/>
          <w:szCs w:val="24"/>
          <w:lang w:val="en-US"/>
        </w:rPr>
        <w:t xml:space="preserve">acute myeloid </w:t>
      </w:r>
      <w:r w:rsidDel="00D50365">
        <w:rPr>
          <w:rFonts w:ascii="Times New Roman" w:hAnsi="Times New Roman"/>
          <w:sz w:val="24"/>
          <w:szCs w:val="24"/>
          <w:lang w:val="en-US"/>
        </w:rPr>
        <w:t>leukemia</w:t>
      </w:r>
      <w:r w:rsidRPr="000E6AD1" w:rsidDel="00D50365">
        <w:rPr>
          <w:rFonts w:ascii="Times New Roman" w:hAnsi="Times New Roman"/>
          <w:sz w:val="24"/>
          <w:szCs w:val="24"/>
          <w:lang w:val="en-US"/>
        </w:rPr>
        <w:t xml:space="preserve"> (AML), chronic lymphocytic </w:t>
      </w:r>
      <w:r w:rsidDel="00D50365">
        <w:rPr>
          <w:rFonts w:ascii="Times New Roman" w:hAnsi="Times New Roman"/>
          <w:sz w:val="24"/>
          <w:szCs w:val="24"/>
          <w:lang w:val="en-US"/>
        </w:rPr>
        <w:t>leukemia</w:t>
      </w:r>
      <w:r w:rsidRPr="000E6AD1" w:rsidDel="00D50365">
        <w:rPr>
          <w:rFonts w:ascii="Times New Roman" w:hAnsi="Times New Roman"/>
          <w:sz w:val="24"/>
          <w:szCs w:val="24"/>
          <w:lang w:val="en-US"/>
        </w:rPr>
        <w:t xml:space="preserve"> (CLL), chronic myeloid </w:t>
      </w:r>
      <w:r w:rsidDel="00D50365">
        <w:rPr>
          <w:rFonts w:ascii="Times New Roman" w:hAnsi="Times New Roman"/>
          <w:sz w:val="24"/>
          <w:szCs w:val="24"/>
          <w:lang w:val="en-US"/>
        </w:rPr>
        <w:t>leukemia</w:t>
      </w:r>
      <w:r w:rsidRPr="000E6AD1" w:rsidDel="00D50365">
        <w:rPr>
          <w:rFonts w:ascii="Times New Roman" w:hAnsi="Times New Roman"/>
          <w:sz w:val="24"/>
          <w:szCs w:val="24"/>
          <w:lang w:val="en-US"/>
        </w:rPr>
        <w:t xml:space="preserve"> (CML),</w:t>
      </w:r>
      <w:r w:rsidRPr="000E6AD1" w:rsidDel="00D50365">
        <w:rPr>
          <w:rFonts w:ascii="Times New Roman" w:hAnsi="Times New Roman"/>
          <w:color w:val="000000"/>
          <w:sz w:val="24"/>
          <w:szCs w:val="24"/>
        </w:rPr>
        <w:t xml:space="preserve"> myeloproliferative disorder (MPD) and myelodysplastic syndrome (MDS).</w:t>
      </w:r>
      <w:r>
        <w:rPr>
          <w:rFonts w:ascii="Times New Roman" w:hAnsi="Times New Roman"/>
          <w:color w:val="000000"/>
          <w:sz w:val="24"/>
          <w:szCs w:val="24"/>
        </w:rPr>
        <w:t>As in the original studies, t</w:t>
      </w:r>
      <w:r w:rsidRPr="000E6AD1" w:rsidDel="00B80C71">
        <w:rPr>
          <w:rFonts w:ascii="Times New Roman" w:hAnsi="Times New Roman"/>
          <w:color w:val="000000"/>
          <w:sz w:val="24"/>
          <w:szCs w:val="24"/>
        </w:rPr>
        <w:t xml:space="preserve">here were 5 controls per case for the Australian study, matched within the Australian cohort, and 4 controls per case for the Canadian and UK studies, matched by company within the relevant cohort.  </w:t>
      </w:r>
    </w:p>
    <w:p w:rsidR="00FA73F4" w:rsidRPr="005E1BBE" w:rsidRDefault="00FA73F4" w:rsidP="00460A30">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5E1BBE">
        <w:rPr>
          <w:rFonts w:ascii="Times New Roman" w:hAnsi="Times New Roman"/>
          <w:sz w:val="24"/>
          <w:szCs w:val="24"/>
          <w:lang w:val="en-US"/>
        </w:rPr>
        <w:t xml:space="preserve">Work histories </w:t>
      </w:r>
      <w:r>
        <w:rPr>
          <w:rFonts w:ascii="Times New Roman" w:hAnsi="Times New Roman"/>
          <w:sz w:val="24"/>
          <w:szCs w:val="24"/>
          <w:lang w:val="en-US"/>
        </w:rPr>
        <w:t xml:space="preserve">for cases and controls </w:t>
      </w:r>
      <w:r w:rsidRPr="005E1BBE">
        <w:rPr>
          <w:rFonts w:ascii="Times New Roman" w:hAnsi="Times New Roman"/>
          <w:sz w:val="24"/>
          <w:szCs w:val="24"/>
          <w:lang w:val="en-US"/>
        </w:rPr>
        <w:t>(site, job title, dates of starting and finishing</w:t>
      </w:r>
      <w:r>
        <w:rPr>
          <w:rFonts w:ascii="Times New Roman" w:hAnsi="Times New Roman"/>
          <w:sz w:val="24"/>
          <w:szCs w:val="24"/>
          <w:lang w:val="en-US"/>
        </w:rPr>
        <w:t xml:space="preserve"> each job</w:t>
      </w:r>
      <w:r w:rsidRPr="005E1BBE">
        <w:rPr>
          <w:rFonts w:ascii="Times New Roman" w:hAnsi="Times New Roman"/>
          <w:sz w:val="24"/>
          <w:szCs w:val="24"/>
          <w:lang w:val="en-US"/>
        </w:rPr>
        <w:t xml:space="preserve">) were constructed from company records for the UK and Canadian studies.  For the Australian study, work histories were constructed </w:t>
      </w:r>
      <w:r>
        <w:rPr>
          <w:rFonts w:ascii="Times New Roman" w:hAnsi="Times New Roman"/>
          <w:sz w:val="24"/>
          <w:szCs w:val="24"/>
          <w:lang w:val="en-US"/>
        </w:rPr>
        <w:t xml:space="preserve">primarily </w:t>
      </w:r>
      <w:r w:rsidRPr="005E1BBE">
        <w:rPr>
          <w:rFonts w:ascii="Times New Roman" w:hAnsi="Times New Roman"/>
          <w:sz w:val="24"/>
          <w:szCs w:val="24"/>
          <w:lang w:val="en-US"/>
        </w:rPr>
        <w:t xml:space="preserve">from prospectively collected surveys of </w:t>
      </w:r>
      <w:r>
        <w:rPr>
          <w:rFonts w:ascii="Times New Roman" w:hAnsi="Times New Roman"/>
          <w:sz w:val="24"/>
          <w:szCs w:val="24"/>
          <w:lang w:val="en-US"/>
        </w:rPr>
        <w:t xml:space="preserve">study participants and validated examination of company HR records.   </w:t>
      </w:r>
    </w:p>
    <w:p w:rsidR="00FA73F4" w:rsidRDefault="00FA73F4" w:rsidP="00827BD9">
      <w:pPr>
        <w:tabs>
          <w:tab w:val="left" w:pos="284"/>
        </w:tabs>
        <w:spacing w:after="120" w:line="480" w:lineRule="auto"/>
        <w:jc w:val="both"/>
        <w:rPr>
          <w:rFonts w:ascii="Times New Roman" w:hAnsi="Times New Roman"/>
          <w:color w:val="000000"/>
          <w:sz w:val="24"/>
          <w:szCs w:val="24"/>
        </w:rPr>
      </w:pPr>
      <w:r>
        <w:rPr>
          <w:rFonts w:ascii="Times New Roman" w:hAnsi="Times New Roman"/>
          <w:color w:val="000000"/>
          <w:sz w:val="24"/>
          <w:szCs w:val="24"/>
        </w:rPr>
        <w:tab/>
        <w:t xml:space="preserve">Quantitative </w:t>
      </w:r>
      <w:r w:rsidRPr="005E1BBE">
        <w:rPr>
          <w:rFonts w:ascii="Times New Roman" w:hAnsi="Times New Roman"/>
          <w:color w:val="000000"/>
          <w:sz w:val="24"/>
          <w:szCs w:val="24"/>
        </w:rPr>
        <w:t>benzene exposure was estimated for each of the newly identified cases and controls using methodology consistent with that in each of the original studies</w:t>
      </w:r>
      <w:r>
        <w:rPr>
          <w:rFonts w:ascii="Times New Roman" w:hAnsi="Times New Roman"/>
          <w:color w:val="000000"/>
          <w:sz w:val="24"/>
          <w:szCs w:val="24"/>
        </w:rPr>
        <w:t xml:space="preserve"> by </w:t>
      </w:r>
      <w:r w:rsidRPr="005E1BBE">
        <w:rPr>
          <w:rFonts w:ascii="Times New Roman" w:hAnsi="Times New Roman"/>
          <w:color w:val="000000"/>
          <w:sz w:val="24"/>
          <w:szCs w:val="24"/>
        </w:rPr>
        <w:t>the individual exposure assessor</w:t>
      </w:r>
      <w:r>
        <w:rPr>
          <w:rFonts w:ascii="Times New Roman" w:hAnsi="Times New Roman"/>
          <w:color w:val="000000"/>
          <w:sz w:val="24"/>
          <w:szCs w:val="24"/>
        </w:rPr>
        <w:t>s</w:t>
      </w:r>
      <w:r w:rsidRPr="005E1BBE">
        <w:rPr>
          <w:rFonts w:ascii="Times New Roman" w:hAnsi="Times New Roman"/>
          <w:color w:val="000000"/>
          <w:sz w:val="24"/>
          <w:szCs w:val="24"/>
        </w:rPr>
        <w:t xml:space="preserve"> </w:t>
      </w:r>
      <w:r>
        <w:rPr>
          <w:rFonts w:ascii="Times New Roman" w:hAnsi="Times New Roman"/>
          <w:color w:val="000000"/>
          <w:sz w:val="24"/>
          <w:szCs w:val="24"/>
        </w:rPr>
        <w:t xml:space="preserve">(TWA, EDP, DCG) </w:t>
      </w:r>
      <w:r w:rsidRPr="005E1BBE">
        <w:rPr>
          <w:rFonts w:ascii="Times New Roman" w:hAnsi="Times New Roman"/>
          <w:color w:val="000000"/>
          <w:sz w:val="24"/>
          <w:szCs w:val="24"/>
        </w:rPr>
        <w:t xml:space="preserve">for </w:t>
      </w:r>
      <w:r>
        <w:rPr>
          <w:rFonts w:ascii="Times New Roman" w:hAnsi="Times New Roman"/>
          <w:color w:val="000000"/>
          <w:sz w:val="24"/>
          <w:szCs w:val="24"/>
        </w:rPr>
        <w:t>each</w:t>
      </w:r>
      <w:r w:rsidRPr="005E1BBE">
        <w:rPr>
          <w:rFonts w:ascii="Times New Roman" w:hAnsi="Times New Roman"/>
          <w:color w:val="000000"/>
          <w:sz w:val="24"/>
          <w:szCs w:val="24"/>
        </w:rPr>
        <w:t xml:space="preserve"> study</w:t>
      </w:r>
      <w:r w:rsidRPr="00B80C71">
        <w:rPr>
          <w:rFonts w:ascii="Times New Roman" w:hAnsi="Times New Roman"/>
          <w:color w:val="000000"/>
          <w:sz w:val="24"/>
          <w:szCs w:val="24"/>
        </w:rPr>
        <w:t xml:space="preserve"> </w:t>
      </w:r>
      <w:r>
        <w:rPr>
          <w:rFonts w:ascii="Times New Roman" w:hAnsi="Times New Roman"/>
          <w:color w:val="000000"/>
          <w:sz w:val="24"/>
          <w:szCs w:val="24"/>
        </w:rPr>
        <w:t>(</w:t>
      </w:r>
      <w:r w:rsidRPr="005E1BBE">
        <w:rPr>
          <w:rFonts w:ascii="Times New Roman" w:hAnsi="Times New Roman"/>
          <w:color w:val="000000"/>
          <w:sz w:val="24"/>
          <w:szCs w:val="24"/>
        </w:rPr>
        <w:t>blind to case-</w:t>
      </w:r>
      <w:r>
        <w:rPr>
          <w:rFonts w:ascii="Times New Roman" w:hAnsi="Times New Roman"/>
          <w:color w:val="000000"/>
          <w:sz w:val="24"/>
          <w:szCs w:val="24"/>
        </w:rPr>
        <w:t xml:space="preserve">control </w:t>
      </w:r>
      <w:r w:rsidRPr="005E1BBE">
        <w:rPr>
          <w:rFonts w:ascii="Times New Roman" w:hAnsi="Times New Roman"/>
          <w:color w:val="000000"/>
          <w:sz w:val="24"/>
          <w:szCs w:val="24"/>
        </w:rPr>
        <w:t>status</w:t>
      </w:r>
      <w:r>
        <w:rPr>
          <w:rFonts w:ascii="Times New Roman" w:hAnsi="Times New Roman"/>
          <w:color w:val="000000"/>
          <w:sz w:val="24"/>
          <w:szCs w:val="24"/>
        </w:rPr>
        <w:t>).</w:t>
      </w:r>
      <w:r w:rsidRPr="00D54528">
        <w:rPr>
          <w:rFonts w:ascii="Times New Roman" w:hAnsi="Times New Roman"/>
          <w:noProof/>
          <w:color w:val="000000"/>
          <w:sz w:val="24"/>
          <w:szCs w:val="24"/>
          <w:vertAlign w:val="superscript"/>
        </w:rPr>
        <w:t>[9-11]</w:t>
      </w:r>
      <w:r w:rsidRPr="005E1BBE">
        <w:rPr>
          <w:rFonts w:ascii="Times New Roman" w:hAnsi="Times New Roman"/>
          <w:color w:val="000000"/>
          <w:sz w:val="24"/>
          <w:szCs w:val="24"/>
        </w:rPr>
        <w:t xml:space="preserve">  For each </w:t>
      </w:r>
      <w:r>
        <w:rPr>
          <w:rFonts w:ascii="Times New Roman" w:hAnsi="Times New Roman"/>
          <w:color w:val="000000"/>
          <w:sz w:val="24"/>
          <w:szCs w:val="24"/>
        </w:rPr>
        <w:t xml:space="preserve">line of </w:t>
      </w:r>
      <w:r w:rsidRPr="005E1BBE">
        <w:rPr>
          <w:rFonts w:ascii="Times New Roman" w:hAnsi="Times New Roman"/>
          <w:color w:val="000000"/>
          <w:sz w:val="24"/>
          <w:szCs w:val="24"/>
        </w:rPr>
        <w:t>work histor</w:t>
      </w:r>
      <w:r>
        <w:rPr>
          <w:rFonts w:ascii="Times New Roman" w:hAnsi="Times New Roman"/>
          <w:color w:val="000000"/>
          <w:sz w:val="24"/>
          <w:szCs w:val="24"/>
        </w:rPr>
        <w:t>y,</w:t>
      </w:r>
      <w:r w:rsidRPr="005E1BBE">
        <w:rPr>
          <w:rFonts w:ascii="Times New Roman" w:hAnsi="Times New Roman"/>
          <w:color w:val="000000"/>
          <w:sz w:val="24"/>
          <w:szCs w:val="24"/>
        </w:rPr>
        <w:t xml:space="preserve"> </w:t>
      </w:r>
      <w:r>
        <w:rPr>
          <w:rFonts w:ascii="Times New Roman" w:hAnsi="Times New Roman"/>
          <w:color w:val="000000"/>
          <w:sz w:val="24"/>
          <w:szCs w:val="24"/>
        </w:rPr>
        <w:t>an average benzene exposure was estimated in ppm based on measured data for the relevant job, site, time period from the relevant country.  Adjustments (for task, operations/technology,</w:t>
      </w:r>
      <w:r w:rsidRPr="00C417A0">
        <w:rPr>
          <w:rFonts w:ascii="Times New Roman" w:hAnsi="Times New Roman"/>
          <w:color w:val="000000"/>
          <w:sz w:val="24"/>
          <w:szCs w:val="24"/>
        </w:rPr>
        <w:t xml:space="preserve"> </w:t>
      </w:r>
      <w:r>
        <w:rPr>
          <w:rFonts w:ascii="Times New Roman" w:hAnsi="Times New Roman"/>
          <w:color w:val="000000"/>
          <w:sz w:val="24"/>
          <w:szCs w:val="24"/>
        </w:rPr>
        <w:t xml:space="preserve">materials, and environment) were made as necessary to account for differences between the measured data and the job assessed </w:t>
      </w:r>
      <w:r w:rsidRPr="00D03AA4">
        <w:rPr>
          <w:rFonts w:ascii="Times New Roman" w:hAnsi="Times New Roman"/>
          <w:color w:val="000000"/>
          <w:sz w:val="24"/>
          <w:szCs w:val="24"/>
        </w:rPr>
        <w:t>and to extrapolate to missing time periods.</w:t>
      </w:r>
      <w:r w:rsidRPr="00F16BD1">
        <w:rPr>
          <w:rFonts w:ascii="Times New Roman" w:hAnsi="Times New Roman"/>
          <w:color w:val="000000"/>
          <w:sz w:val="24"/>
          <w:szCs w:val="24"/>
        </w:rPr>
        <w:t xml:space="preserve"> </w:t>
      </w:r>
      <w:r w:rsidRPr="00D54528">
        <w:rPr>
          <w:rFonts w:ascii="Times New Roman" w:hAnsi="Times New Roman"/>
          <w:noProof/>
          <w:color w:val="000000"/>
          <w:sz w:val="24"/>
          <w:szCs w:val="24"/>
          <w:vertAlign w:val="superscript"/>
        </w:rPr>
        <w:t>[9-11]</w:t>
      </w:r>
      <w:r>
        <w:rPr>
          <w:rFonts w:ascii="Times New Roman" w:hAnsi="Times New Roman"/>
          <w:color w:val="000000"/>
          <w:sz w:val="24"/>
          <w:szCs w:val="24"/>
        </w:rPr>
        <w:t xml:space="preserve">  </w:t>
      </w:r>
    </w:p>
    <w:p w:rsidR="00FA73F4" w:rsidRPr="005E1BBE" w:rsidRDefault="00FA73F4" w:rsidP="00460A30">
      <w:pPr>
        <w:tabs>
          <w:tab w:val="left" w:pos="284"/>
        </w:tabs>
        <w:spacing w:after="120" w:line="480" w:lineRule="auto"/>
        <w:jc w:val="both"/>
        <w:rPr>
          <w:rFonts w:ascii="Times New Roman" w:hAnsi="Times New Roman"/>
          <w:color w:val="000000"/>
          <w:sz w:val="24"/>
          <w:szCs w:val="24"/>
        </w:rPr>
      </w:pPr>
      <w:r>
        <w:rPr>
          <w:rFonts w:ascii="Times New Roman" w:hAnsi="Times New Roman"/>
          <w:color w:val="000000"/>
          <w:sz w:val="24"/>
          <w:szCs w:val="24"/>
        </w:rPr>
        <w:tab/>
        <w:t xml:space="preserve">For each individual, the product of each job’s average benzene exposure estimate and the job duration were summed to give an overall cumulative exposure (ppm-years).  The career </w:t>
      </w:r>
      <w:r>
        <w:rPr>
          <w:rFonts w:ascii="Times New Roman" w:hAnsi="Times New Roman"/>
          <w:color w:val="000000"/>
          <w:sz w:val="24"/>
          <w:szCs w:val="24"/>
        </w:rPr>
        <w:lastRenderedPageBreak/>
        <w:t xml:space="preserve">average benzene exposure intensity in ppm was calculated over </w:t>
      </w:r>
      <w:r w:rsidRPr="005E1BBE">
        <w:rPr>
          <w:rFonts w:ascii="Times New Roman" w:hAnsi="Times New Roman"/>
          <w:sz w:val="24"/>
          <w:szCs w:val="24"/>
          <w:lang w:val="en-US"/>
        </w:rPr>
        <w:t xml:space="preserve">all </w:t>
      </w:r>
      <w:r>
        <w:rPr>
          <w:rFonts w:ascii="Times New Roman" w:hAnsi="Times New Roman"/>
          <w:sz w:val="24"/>
          <w:szCs w:val="24"/>
          <w:lang w:val="en-US"/>
        </w:rPr>
        <w:t>j</w:t>
      </w:r>
      <w:r w:rsidRPr="005E1BBE">
        <w:rPr>
          <w:rFonts w:ascii="Times New Roman" w:hAnsi="Times New Roman"/>
          <w:sz w:val="24"/>
          <w:szCs w:val="24"/>
          <w:lang w:val="en-US"/>
        </w:rPr>
        <w:t>obs held</w:t>
      </w:r>
      <w:r>
        <w:rPr>
          <w:rFonts w:ascii="Times New Roman" w:hAnsi="Times New Roman"/>
          <w:sz w:val="24"/>
          <w:szCs w:val="24"/>
          <w:lang w:val="en-US"/>
        </w:rPr>
        <w:t xml:space="preserve"> for at least one year held by an individual participant.  In addition,</w:t>
      </w:r>
      <w:r>
        <w:rPr>
          <w:rFonts w:ascii="Times New Roman" w:hAnsi="Times New Roman"/>
          <w:color w:val="000000"/>
          <w:sz w:val="24"/>
          <w:szCs w:val="24"/>
        </w:rPr>
        <w:t xml:space="preserve"> the maximum benzene exposure intensity (ppm) value from </w:t>
      </w:r>
      <w:r w:rsidRPr="005E1BBE">
        <w:rPr>
          <w:rFonts w:ascii="Times New Roman" w:hAnsi="Times New Roman"/>
          <w:sz w:val="24"/>
          <w:szCs w:val="24"/>
          <w:lang w:val="en-US"/>
        </w:rPr>
        <w:t xml:space="preserve">all </w:t>
      </w:r>
      <w:r>
        <w:rPr>
          <w:rFonts w:ascii="Times New Roman" w:hAnsi="Times New Roman"/>
          <w:sz w:val="24"/>
          <w:szCs w:val="24"/>
          <w:lang w:val="en-US"/>
        </w:rPr>
        <w:t>j</w:t>
      </w:r>
      <w:r w:rsidRPr="005E1BBE">
        <w:rPr>
          <w:rFonts w:ascii="Times New Roman" w:hAnsi="Times New Roman"/>
          <w:sz w:val="24"/>
          <w:szCs w:val="24"/>
          <w:lang w:val="en-US"/>
        </w:rPr>
        <w:t>obs held</w:t>
      </w:r>
      <w:r>
        <w:rPr>
          <w:rFonts w:ascii="Times New Roman" w:hAnsi="Times New Roman"/>
          <w:sz w:val="24"/>
          <w:szCs w:val="24"/>
          <w:lang w:val="en-US"/>
        </w:rPr>
        <w:t xml:space="preserve"> for at least one year</w:t>
      </w:r>
      <w:r>
        <w:rPr>
          <w:rFonts w:ascii="Times New Roman" w:hAnsi="Times New Roman"/>
          <w:color w:val="000000"/>
          <w:sz w:val="24"/>
          <w:szCs w:val="24"/>
        </w:rPr>
        <w:t xml:space="preserve"> was identified </w:t>
      </w:r>
      <w:r w:rsidRPr="005E1BBE">
        <w:rPr>
          <w:rFonts w:ascii="Times New Roman" w:hAnsi="Times New Roman"/>
          <w:sz w:val="24"/>
          <w:szCs w:val="24"/>
          <w:lang w:val="en-US"/>
        </w:rPr>
        <w:t xml:space="preserve">for </w:t>
      </w:r>
      <w:r>
        <w:rPr>
          <w:rFonts w:ascii="Times New Roman" w:hAnsi="Times New Roman"/>
          <w:color w:val="000000"/>
          <w:sz w:val="24"/>
          <w:szCs w:val="24"/>
        </w:rPr>
        <w:t xml:space="preserve">each individual. </w:t>
      </w:r>
      <w:r w:rsidRPr="005E1BBE">
        <w:rPr>
          <w:rFonts w:ascii="Times New Roman" w:hAnsi="Times New Roman"/>
          <w:color w:val="000000"/>
          <w:sz w:val="24"/>
          <w:szCs w:val="24"/>
        </w:rPr>
        <w:t xml:space="preserve"> </w:t>
      </w:r>
    </w:p>
    <w:p w:rsidR="00FA73F4" w:rsidRPr="004B4E3C" w:rsidRDefault="00FA73F4" w:rsidP="0060576E">
      <w:pPr>
        <w:tabs>
          <w:tab w:val="left" w:pos="284"/>
        </w:tabs>
        <w:spacing w:line="480" w:lineRule="auto"/>
        <w:jc w:val="both"/>
        <w:rPr>
          <w:rFonts w:ascii="Times New Roman" w:hAnsi="Times New Roman"/>
          <w:color w:val="000000"/>
          <w:sz w:val="24"/>
          <w:szCs w:val="24"/>
        </w:rPr>
      </w:pPr>
      <w:r>
        <w:rPr>
          <w:rFonts w:ascii="Times New Roman" w:hAnsi="Times New Roman"/>
          <w:color w:val="000000"/>
          <w:sz w:val="24"/>
          <w:szCs w:val="24"/>
        </w:rPr>
        <w:tab/>
      </w:r>
      <w:r w:rsidRPr="004B4E3C">
        <w:rPr>
          <w:rFonts w:ascii="Times New Roman" w:hAnsi="Times New Roman"/>
          <w:color w:val="000000"/>
          <w:sz w:val="24"/>
          <w:szCs w:val="24"/>
        </w:rPr>
        <w:t xml:space="preserve">Each job was </w:t>
      </w:r>
      <w:r>
        <w:rPr>
          <w:rFonts w:ascii="Times New Roman" w:hAnsi="Times New Roman"/>
          <w:color w:val="000000"/>
          <w:sz w:val="24"/>
          <w:szCs w:val="24"/>
        </w:rPr>
        <w:t xml:space="preserve">also </w:t>
      </w:r>
      <w:r w:rsidRPr="004B4E3C">
        <w:rPr>
          <w:rFonts w:ascii="Times New Roman" w:hAnsi="Times New Roman"/>
          <w:color w:val="000000"/>
          <w:sz w:val="24"/>
          <w:szCs w:val="24"/>
        </w:rPr>
        <w:t xml:space="preserve">assessed </w:t>
      </w:r>
      <w:r>
        <w:rPr>
          <w:rFonts w:ascii="Times New Roman" w:hAnsi="Times New Roman"/>
          <w:color w:val="000000"/>
          <w:sz w:val="24"/>
          <w:szCs w:val="24"/>
        </w:rPr>
        <w:t xml:space="preserve">by the individual study exposure expert </w:t>
      </w:r>
      <w:r w:rsidRPr="004B4E3C">
        <w:rPr>
          <w:rFonts w:ascii="Times New Roman" w:hAnsi="Times New Roman"/>
          <w:color w:val="000000"/>
          <w:sz w:val="24"/>
          <w:szCs w:val="24"/>
        </w:rPr>
        <w:t>as to the likelihood of exposure to peak</w:t>
      </w:r>
      <w:r>
        <w:rPr>
          <w:rFonts w:ascii="Times New Roman" w:hAnsi="Times New Roman"/>
          <w:color w:val="000000"/>
          <w:sz w:val="24"/>
          <w:szCs w:val="24"/>
        </w:rPr>
        <w:t>s</w:t>
      </w:r>
      <w:r w:rsidRPr="004B4E3C">
        <w:rPr>
          <w:rFonts w:ascii="Times New Roman" w:hAnsi="Times New Roman"/>
          <w:color w:val="000000"/>
          <w:sz w:val="24"/>
          <w:szCs w:val="24"/>
        </w:rPr>
        <w:t xml:space="preserve"> and the probability of dermal exposure</w:t>
      </w:r>
      <w:r>
        <w:rPr>
          <w:rFonts w:ascii="Times New Roman" w:hAnsi="Times New Roman"/>
          <w:color w:val="000000"/>
          <w:sz w:val="24"/>
          <w:szCs w:val="24"/>
        </w:rPr>
        <w:t>.</w:t>
      </w:r>
      <w:r w:rsidRPr="004B4E3C">
        <w:rPr>
          <w:rFonts w:ascii="Times New Roman" w:hAnsi="Times New Roman"/>
          <w:color w:val="000000"/>
          <w:sz w:val="24"/>
          <w:szCs w:val="24"/>
        </w:rPr>
        <w:t xml:space="preserve">  </w:t>
      </w:r>
      <w:r>
        <w:rPr>
          <w:rFonts w:ascii="Times New Roman" w:hAnsi="Times New Roman"/>
          <w:color w:val="000000"/>
          <w:sz w:val="24"/>
          <w:szCs w:val="24"/>
        </w:rPr>
        <w:t>S</w:t>
      </w:r>
      <w:r w:rsidRPr="007E2029">
        <w:rPr>
          <w:rFonts w:ascii="Times New Roman" w:hAnsi="Times New Roman"/>
          <w:color w:val="000000"/>
          <w:sz w:val="24"/>
          <w:szCs w:val="24"/>
        </w:rPr>
        <w:t xml:space="preserve">ubjects </w:t>
      </w:r>
      <w:r>
        <w:rPr>
          <w:rFonts w:ascii="Times New Roman" w:hAnsi="Times New Roman"/>
          <w:color w:val="000000"/>
          <w:sz w:val="24"/>
          <w:szCs w:val="24"/>
        </w:rPr>
        <w:t xml:space="preserve">were allocated </w:t>
      </w:r>
      <w:r w:rsidRPr="007E2029">
        <w:rPr>
          <w:rFonts w:ascii="Times New Roman" w:hAnsi="Times New Roman"/>
          <w:color w:val="000000"/>
          <w:sz w:val="24"/>
          <w:szCs w:val="24"/>
        </w:rPr>
        <w:t xml:space="preserve">a peak exposure (Yes or No) if they were likely to have been exposed to a </w:t>
      </w:r>
      <w:r>
        <w:rPr>
          <w:rFonts w:ascii="Times New Roman" w:hAnsi="Times New Roman"/>
          <w:color w:val="000000"/>
          <w:sz w:val="24"/>
          <w:szCs w:val="24"/>
        </w:rPr>
        <w:t>concentration of at least 3 ppm for 15-</w:t>
      </w:r>
      <w:r w:rsidRPr="007E2029">
        <w:rPr>
          <w:rFonts w:ascii="Times New Roman" w:hAnsi="Times New Roman"/>
          <w:color w:val="000000"/>
          <w:sz w:val="24"/>
          <w:szCs w:val="24"/>
        </w:rPr>
        <w:t>60 min</w:t>
      </w:r>
      <w:r>
        <w:rPr>
          <w:rFonts w:ascii="Times New Roman" w:hAnsi="Times New Roman"/>
          <w:color w:val="000000"/>
          <w:sz w:val="24"/>
          <w:szCs w:val="24"/>
        </w:rPr>
        <w:t>utes</w:t>
      </w:r>
      <w:r w:rsidRPr="007E2029">
        <w:rPr>
          <w:rFonts w:ascii="Times New Roman" w:hAnsi="Times New Roman"/>
          <w:color w:val="000000"/>
          <w:sz w:val="24"/>
          <w:szCs w:val="24"/>
        </w:rPr>
        <w:t xml:space="preserve"> at least once per week. </w:t>
      </w:r>
      <w:r>
        <w:rPr>
          <w:rFonts w:ascii="Times New Roman" w:hAnsi="Times New Roman"/>
          <w:color w:val="000000"/>
          <w:sz w:val="24"/>
          <w:szCs w:val="24"/>
        </w:rPr>
        <w:t xml:space="preserve"> The peak assessments were based on </w:t>
      </w:r>
      <w:r w:rsidRPr="00E52C15">
        <w:rPr>
          <w:rFonts w:ascii="Times New Roman" w:hAnsi="Times New Roman"/>
          <w:color w:val="000000"/>
          <w:sz w:val="24"/>
          <w:szCs w:val="24"/>
        </w:rPr>
        <w:t>available short term measurements and the assessors’ knowledge of the tasks associated with the job assignments</w:t>
      </w:r>
      <w:r>
        <w:rPr>
          <w:rFonts w:ascii="Times New Roman" w:hAnsi="Times New Roman"/>
          <w:color w:val="000000"/>
          <w:sz w:val="24"/>
          <w:szCs w:val="24"/>
        </w:rPr>
        <w:t>.  P</w:t>
      </w:r>
      <w:r w:rsidRPr="00E52C15">
        <w:rPr>
          <w:rFonts w:ascii="Times New Roman" w:hAnsi="Times New Roman"/>
          <w:color w:val="000000"/>
          <w:sz w:val="24"/>
          <w:szCs w:val="24"/>
        </w:rPr>
        <w:t>rofessional judgement and knowledge of the tasks associated with the job</w:t>
      </w:r>
      <w:r>
        <w:rPr>
          <w:rFonts w:ascii="Times New Roman" w:hAnsi="Times New Roman"/>
          <w:color w:val="000000"/>
          <w:sz w:val="24"/>
          <w:szCs w:val="24"/>
        </w:rPr>
        <w:t>, was used to assess e</w:t>
      </w:r>
      <w:r w:rsidRPr="004B4E3C">
        <w:rPr>
          <w:rFonts w:ascii="Times New Roman" w:hAnsi="Times New Roman"/>
          <w:color w:val="000000"/>
          <w:sz w:val="24"/>
          <w:szCs w:val="24"/>
        </w:rPr>
        <w:t xml:space="preserve">ach job </w:t>
      </w:r>
      <w:r>
        <w:rPr>
          <w:rFonts w:ascii="Times New Roman" w:hAnsi="Times New Roman"/>
          <w:color w:val="000000"/>
          <w:sz w:val="24"/>
          <w:szCs w:val="24"/>
        </w:rPr>
        <w:t>f</w:t>
      </w:r>
      <w:r w:rsidRPr="004B4E3C">
        <w:rPr>
          <w:rFonts w:ascii="Times New Roman" w:hAnsi="Times New Roman"/>
          <w:color w:val="000000"/>
          <w:sz w:val="24"/>
          <w:szCs w:val="24"/>
        </w:rPr>
        <w:t xml:space="preserve">or the </w:t>
      </w:r>
      <w:r>
        <w:rPr>
          <w:rFonts w:ascii="Times New Roman" w:hAnsi="Times New Roman"/>
          <w:color w:val="000000"/>
          <w:sz w:val="24"/>
          <w:szCs w:val="24"/>
        </w:rPr>
        <w:t xml:space="preserve">relative </w:t>
      </w:r>
      <w:r w:rsidRPr="004B4E3C">
        <w:rPr>
          <w:rFonts w:ascii="Times New Roman" w:hAnsi="Times New Roman"/>
          <w:color w:val="000000"/>
          <w:sz w:val="24"/>
          <w:szCs w:val="24"/>
        </w:rPr>
        <w:t xml:space="preserve">probability of dermal exposure </w:t>
      </w:r>
      <w:r>
        <w:rPr>
          <w:rFonts w:ascii="Times New Roman" w:hAnsi="Times New Roman"/>
          <w:color w:val="000000"/>
          <w:sz w:val="24"/>
          <w:szCs w:val="24"/>
        </w:rPr>
        <w:t xml:space="preserve">occurring </w:t>
      </w:r>
      <w:r w:rsidRPr="004B4E3C">
        <w:rPr>
          <w:rFonts w:ascii="Times New Roman" w:hAnsi="Times New Roman"/>
          <w:color w:val="000000"/>
          <w:sz w:val="24"/>
          <w:szCs w:val="24"/>
        </w:rPr>
        <w:t>at least weekly (None, Low, Medium or High).</w:t>
      </w:r>
      <w:r>
        <w:rPr>
          <w:rFonts w:ascii="Times New Roman" w:hAnsi="Times New Roman"/>
          <w:color w:val="000000"/>
          <w:sz w:val="24"/>
          <w:szCs w:val="24"/>
        </w:rPr>
        <w:t xml:space="preserve">  </w:t>
      </w:r>
    </w:p>
    <w:p w:rsidR="00FA73F4" w:rsidRDefault="00FA73F4" w:rsidP="00827BD9">
      <w:pPr>
        <w:tabs>
          <w:tab w:val="left" w:pos="284"/>
        </w:tabs>
        <w:spacing w:after="120" w:line="480" w:lineRule="auto"/>
        <w:jc w:val="both"/>
        <w:rPr>
          <w:rFonts w:ascii="Times New Roman" w:hAnsi="Times New Roman"/>
          <w:noProof/>
          <w:color w:val="000000"/>
          <w:sz w:val="24"/>
          <w:szCs w:val="24"/>
          <w:vertAlign w:val="superscript"/>
        </w:rPr>
      </w:pPr>
      <w:r>
        <w:rPr>
          <w:rFonts w:ascii="Times New Roman" w:hAnsi="Times New Roman"/>
          <w:sz w:val="24"/>
          <w:szCs w:val="24"/>
          <w:lang w:val="en-US"/>
        </w:rPr>
        <w:tab/>
        <w:t xml:space="preserve">There was variation in the products handled and their benzene content at different sites and over time.  Some materials contained an appreciable percentage of benzene (e.g. gasoline 2-3%), while others contain none or only insignificant amounts of benzene (e.g. black oil and jet fuel).  Most tanker drivers (other than those from black oil terminals) will handle gasoline and have intermittent exposure during loading and unloading of tankers.  Terminal workers carry out a number of tasks such as drum filling, road tanker filling, attending to storage tanks that, depending on the type of terminal, can result in exposure to benzene.  These factors were taken into account in the exposure estimation and are discussed elsewhere. </w:t>
      </w:r>
      <w:r w:rsidRPr="00D54528">
        <w:rPr>
          <w:rFonts w:ascii="Times New Roman" w:hAnsi="Times New Roman"/>
          <w:noProof/>
          <w:color w:val="000000"/>
          <w:sz w:val="24"/>
          <w:szCs w:val="24"/>
          <w:vertAlign w:val="superscript"/>
        </w:rPr>
        <w:t>[9-11]</w:t>
      </w:r>
      <w:r w:rsidRPr="009A28CD">
        <w:rPr>
          <w:rFonts w:ascii="Times New Roman" w:hAnsi="Times New Roman"/>
          <w:noProof/>
          <w:color w:val="000000"/>
          <w:sz w:val="24"/>
          <w:szCs w:val="24"/>
          <w:vertAlign w:val="superscript"/>
        </w:rPr>
        <w:t xml:space="preserve"> </w:t>
      </w:r>
    </w:p>
    <w:p w:rsidR="00FA73F4" w:rsidRPr="006E29EA" w:rsidRDefault="00FA73F4" w:rsidP="00460A30">
      <w:pPr>
        <w:tabs>
          <w:tab w:val="left" w:pos="284"/>
        </w:tabs>
        <w:spacing w:after="120" w:line="480" w:lineRule="auto"/>
        <w:jc w:val="both"/>
        <w:rPr>
          <w:rFonts w:ascii="Times New Roman" w:hAnsi="Times New Roman"/>
          <w:color w:val="000000"/>
          <w:sz w:val="24"/>
          <w:szCs w:val="24"/>
        </w:rPr>
      </w:pPr>
      <w:r>
        <w:rPr>
          <w:rFonts w:ascii="Times New Roman" w:hAnsi="Times New Roman"/>
          <w:color w:val="000000"/>
          <w:sz w:val="24"/>
          <w:szCs w:val="24"/>
        </w:rPr>
        <w:tab/>
      </w:r>
      <w:r w:rsidRPr="006E29EA">
        <w:rPr>
          <w:rFonts w:ascii="Times New Roman" w:hAnsi="Times New Roman"/>
          <w:color w:val="000000"/>
          <w:sz w:val="24"/>
          <w:szCs w:val="24"/>
        </w:rPr>
        <w:t>A job exposure certainty score was allocated to the exposure estimate for each line of work history.  This was driven primarily by the certainty with which the job title was known, and then by the certainty in the knowledge of the site characteristics, products handled, technology used, and robustness measured exposure data used to estimate exposure for that job:</w:t>
      </w:r>
    </w:p>
    <w:p w:rsidR="00FA73F4" w:rsidRPr="006E29EA" w:rsidRDefault="00FA73F4" w:rsidP="005F02FA">
      <w:pPr>
        <w:numPr>
          <w:ilvl w:val="0"/>
          <w:numId w:val="2"/>
        </w:numPr>
        <w:tabs>
          <w:tab w:val="left" w:pos="284"/>
        </w:tabs>
        <w:spacing w:after="0" w:line="480" w:lineRule="auto"/>
        <w:jc w:val="both"/>
        <w:rPr>
          <w:rFonts w:ascii="Times New Roman" w:hAnsi="Times New Roman"/>
          <w:color w:val="000000"/>
          <w:sz w:val="24"/>
          <w:szCs w:val="24"/>
        </w:rPr>
      </w:pPr>
      <w:r w:rsidRPr="006E29EA">
        <w:rPr>
          <w:rFonts w:ascii="Times New Roman" w:hAnsi="Times New Roman"/>
          <w:color w:val="000000"/>
          <w:sz w:val="24"/>
          <w:szCs w:val="24"/>
        </w:rPr>
        <w:t xml:space="preserve">Low (1) - job title or site not fully identified, exposure circumstances uncertain; </w:t>
      </w:r>
    </w:p>
    <w:p w:rsidR="00FA73F4" w:rsidRPr="006E29EA" w:rsidRDefault="00FA73F4" w:rsidP="005F02FA">
      <w:pPr>
        <w:numPr>
          <w:ilvl w:val="0"/>
          <w:numId w:val="2"/>
        </w:numPr>
        <w:tabs>
          <w:tab w:val="left" w:pos="284"/>
        </w:tabs>
        <w:spacing w:after="0" w:line="480" w:lineRule="auto"/>
        <w:jc w:val="both"/>
        <w:rPr>
          <w:rFonts w:ascii="Times New Roman" w:hAnsi="Times New Roman"/>
          <w:color w:val="000000"/>
          <w:sz w:val="24"/>
          <w:szCs w:val="24"/>
        </w:rPr>
      </w:pPr>
      <w:r w:rsidRPr="006E29EA">
        <w:rPr>
          <w:rFonts w:ascii="Times New Roman" w:hAnsi="Times New Roman"/>
          <w:color w:val="000000"/>
          <w:sz w:val="24"/>
          <w:szCs w:val="24"/>
        </w:rPr>
        <w:lastRenderedPageBreak/>
        <w:t>Medium (2) - reasonable confidence but some uncertainty in exposure circumstances;</w:t>
      </w:r>
    </w:p>
    <w:p w:rsidR="00FA73F4" w:rsidRPr="006E29EA" w:rsidRDefault="00FA73F4" w:rsidP="005F02FA">
      <w:pPr>
        <w:numPr>
          <w:ilvl w:val="0"/>
          <w:numId w:val="2"/>
        </w:numPr>
        <w:tabs>
          <w:tab w:val="left" w:pos="284"/>
        </w:tabs>
        <w:spacing w:after="120" w:line="480" w:lineRule="auto"/>
        <w:jc w:val="both"/>
        <w:rPr>
          <w:rFonts w:ascii="Times New Roman" w:hAnsi="Times New Roman"/>
          <w:color w:val="000000"/>
          <w:sz w:val="24"/>
          <w:szCs w:val="24"/>
        </w:rPr>
      </w:pPr>
      <w:r w:rsidRPr="006E29EA">
        <w:rPr>
          <w:rFonts w:ascii="Times New Roman" w:hAnsi="Times New Roman"/>
          <w:color w:val="000000"/>
          <w:sz w:val="24"/>
          <w:szCs w:val="24"/>
        </w:rPr>
        <w:t xml:space="preserve">High (3) - confident of the estimate (e.g. well characterized assignment with sufficient exposure estimates)  </w:t>
      </w:r>
    </w:p>
    <w:p w:rsidR="00FA73F4" w:rsidRDefault="00FA73F4" w:rsidP="005F02FA">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6E29EA">
        <w:rPr>
          <w:rFonts w:ascii="Times New Roman" w:hAnsi="Times New Roman"/>
          <w:sz w:val="24"/>
          <w:szCs w:val="24"/>
          <w:lang w:val="en-US"/>
        </w:rPr>
        <w:t>The job certainty scores were then averaged on a time weighted basis to provide a career certainty score for each individual.</w:t>
      </w:r>
      <w:r w:rsidRPr="000F527C">
        <w:rPr>
          <w:rFonts w:ascii="Times New Roman" w:hAnsi="Times New Roman"/>
          <w:sz w:val="24"/>
          <w:szCs w:val="24"/>
          <w:lang w:val="en-US"/>
        </w:rPr>
        <w:t xml:space="preserve">  </w:t>
      </w:r>
    </w:p>
    <w:p w:rsidR="00FA73F4" w:rsidRDefault="00FA73F4" w:rsidP="005F02FA">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5E1BBE">
        <w:rPr>
          <w:rFonts w:ascii="Times New Roman" w:hAnsi="Times New Roman"/>
          <w:sz w:val="24"/>
          <w:szCs w:val="24"/>
          <w:lang w:val="en-US"/>
        </w:rPr>
        <w:t xml:space="preserve">Each </w:t>
      </w:r>
      <w:r>
        <w:rPr>
          <w:rFonts w:ascii="Times New Roman" w:hAnsi="Times New Roman"/>
          <w:sz w:val="24"/>
          <w:szCs w:val="24"/>
          <w:lang w:val="en-US"/>
        </w:rPr>
        <w:t xml:space="preserve">line of </w:t>
      </w:r>
      <w:r w:rsidRPr="005E1BBE">
        <w:rPr>
          <w:rFonts w:ascii="Times New Roman" w:hAnsi="Times New Roman"/>
          <w:sz w:val="24"/>
          <w:szCs w:val="24"/>
          <w:lang w:val="en-US"/>
        </w:rPr>
        <w:t>work history was allocated to a site type (terminal, refinery, upstream, office</w:t>
      </w:r>
      <w:r>
        <w:rPr>
          <w:rFonts w:ascii="Times New Roman" w:hAnsi="Times New Roman"/>
          <w:sz w:val="24"/>
          <w:szCs w:val="24"/>
          <w:lang w:val="en-US"/>
        </w:rPr>
        <w:t>,</w:t>
      </w:r>
      <w:r w:rsidRPr="00F7252D">
        <w:rPr>
          <w:rFonts w:ascii="Times New Roman" w:hAnsi="Times New Roman"/>
          <w:sz w:val="24"/>
          <w:szCs w:val="24"/>
          <w:lang w:val="en-US"/>
        </w:rPr>
        <w:t xml:space="preserve"> </w:t>
      </w:r>
      <w:r w:rsidRPr="005E1BBE">
        <w:rPr>
          <w:rFonts w:ascii="Times New Roman" w:hAnsi="Times New Roman"/>
          <w:sz w:val="24"/>
          <w:szCs w:val="24"/>
          <w:lang w:val="en-US"/>
        </w:rPr>
        <w:t xml:space="preserve">airport, </w:t>
      </w:r>
      <w:r>
        <w:rPr>
          <w:rFonts w:ascii="Times New Roman" w:hAnsi="Times New Roman"/>
          <w:sz w:val="24"/>
          <w:szCs w:val="24"/>
          <w:lang w:val="en-US"/>
        </w:rPr>
        <w:t>marine, service station and other</w:t>
      </w:r>
      <w:r w:rsidRPr="005E1BBE">
        <w:rPr>
          <w:rFonts w:ascii="Times New Roman" w:hAnsi="Times New Roman"/>
          <w:sz w:val="24"/>
          <w:szCs w:val="24"/>
          <w:lang w:val="en-US"/>
        </w:rPr>
        <w:t>)</w:t>
      </w:r>
      <w:r>
        <w:rPr>
          <w:rFonts w:ascii="Times New Roman" w:hAnsi="Times New Roman"/>
          <w:sz w:val="24"/>
          <w:szCs w:val="24"/>
          <w:lang w:val="en-US"/>
        </w:rPr>
        <w:t xml:space="preserve">. </w:t>
      </w:r>
      <w:r w:rsidRPr="005E1BBE">
        <w:rPr>
          <w:rFonts w:ascii="Times New Roman" w:hAnsi="Times New Roman"/>
          <w:sz w:val="24"/>
          <w:szCs w:val="24"/>
          <w:lang w:val="en-US"/>
        </w:rPr>
        <w:t xml:space="preserve"> </w:t>
      </w:r>
      <w:r>
        <w:rPr>
          <w:rFonts w:ascii="Times New Roman" w:hAnsi="Times New Roman"/>
          <w:sz w:val="24"/>
          <w:szCs w:val="24"/>
          <w:lang w:val="en-US"/>
        </w:rPr>
        <w:t>The dominant site type was identified for each individual by summing the duration of a</w:t>
      </w:r>
      <w:r w:rsidRPr="005E1BBE">
        <w:rPr>
          <w:rFonts w:ascii="Times New Roman" w:hAnsi="Times New Roman"/>
          <w:sz w:val="24"/>
          <w:szCs w:val="24"/>
          <w:lang w:val="en-US"/>
        </w:rPr>
        <w:t>ll jobs within each site type category</w:t>
      </w:r>
      <w:r>
        <w:rPr>
          <w:rFonts w:ascii="Times New Roman" w:hAnsi="Times New Roman"/>
          <w:sz w:val="24"/>
          <w:szCs w:val="24"/>
          <w:lang w:val="en-US"/>
        </w:rPr>
        <w:t>.  Each</w:t>
      </w:r>
      <w:r w:rsidRPr="005E1BBE">
        <w:rPr>
          <w:rFonts w:ascii="Times New Roman" w:hAnsi="Times New Roman"/>
          <w:sz w:val="24"/>
          <w:szCs w:val="24"/>
          <w:lang w:val="en-US"/>
        </w:rPr>
        <w:t xml:space="preserve"> individual was allocated to the site type with the longest employment duration</w:t>
      </w:r>
      <w:r>
        <w:rPr>
          <w:rFonts w:ascii="Times New Roman" w:hAnsi="Times New Roman"/>
          <w:sz w:val="24"/>
          <w:szCs w:val="24"/>
          <w:lang w:val="en-US"/>
        </w:rPr>
        <w:t>.</w:t>
      </w:r>
    </w:p>
    <w:p w:rsidR="00FA73F4" w:rsidRDefault="00FA73F4" w:rsidP="005F02FA">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5E1BBE">
        <w:rPr>
          <w:rFonts w:ascii="Times New Roman" w:hAnsi="Times New Roman"/>
          <w:sz w:val="24"/>
          <w:szCs w:val="24"/>
          <w:lang w:val="en-US"/>
        </w:rPr>
        <w:t xml:space="preserve">Each line of work history </w:t>
      </w:r>
      <w:r>
        <w:rPr>
          <w:rFonts w:ascii="Times New Roman" w:hAnsi="Times New Roman"/>
          <w:sz w:val="24"/>
          <w:szCs w:val="24"/>
          <w:lang w:val="en-US"/>
        </w:rPr>
        <w:t xml:space="preserve">was also allocated </w:t>
      </w:r>
      <w:r w:rsidRPr="005E1BBE">
        <w:rPr>
          <w:rFonts w:ascii="Times New Roman" w:hAnsi="Times New Roman"/>
          <w:sz w:val="24"/>
          <w:szCs w:val="24"/>
          <w:lang w:val="en-US"/>
        </w:rPr>
        <w:t xml:space="preserve">to one of </w:t>
      </w:r>
      <w:r>
        <w:rPr>
          <w:rFonts w:ascii="Times New Roman" w:hAnsi="Times New Roman"/>
          <w:sz w:val="24"/>
          <w:szCs w:val="24"/>
          <w:lang w:val="en-US"/>
        </w:rPr>
        <w:t>the following 10 job categories</w:t>
      </w:r>
      <w:r w:rsidRPr="005E1BBE">
        <w:rPr>
          <w:rFonts w:ascii="Times New Roman" w:hAnsi="Times New Roman"/>
          <w:sz w:val="24"/>
          <w:szCs w:val="24"/>
          <w:lang w:val="en-US"/>
        </w:rPr>
        <w:t xml:space="preserve"> White Collar Worker, Product Handling White Collar</w:t>
      </w:r>
      <w:r>
        <w:rPr>
          <w:rFonts w:ascii="Times New Roman" w:hAnsi="Times New Roman"/>
          <w:sz w:val="24"/>
          <w:szCs w:val="24"/>
          <w:lang w:val="en-US"/>
        </w:rPr>
        <w:t xml:space="preserve"> Worker</w:t>
      </w:r>
      <w:r w:rsidRPr="005E1BBE">
        <w:rPr>
          <w:rFonts w:ascii="Times New Roman" w:hAnsi="Times New Roman"/>
          <w:sz w:val="24"/>
          <w:szCs w:val="24"/>
          <w:lang w:val="en-US"/>
        </w:rPr>
        <w:t>, Craft Worker</w:t>
      </w:r>
      <w:r>
        <w:rPr>
          <w:rFonts w:ascii="Times New Roman" w:hAnsi="Times New Roman"/>
          <w:sz w:val="24"/>
          <w:szCs w:val="24"/>
          <w:lang w:val="en-US"/>
        </w:rPr>
        <w:t xml:space="preserve"> (terminal and refinery maintenance workers, instrument technicians etc.)</w:t>
      </w:r>
      <w:r w:rsidRPr="005E1BBE">
        <w:rPr>
          <w:rFonts w:ascii="Times New Roman" w:hAnsi="Times New Roman"/>
          <w:sz w:val="24"/>
          <w:szCs w:val="24"/>
          <w:lang w:val="en-US"/>
        </w:rPr>
        <w:t>, Terminal Operators</w:t>
      </w:r>
      <w:r>
        <w:rPr>
          <w:rFonts w:ascii="Times New Roman" w:hAnsi="Times New Roman"/>
          <w:sz w:val="24"/>
          <w:szCs w:val="24"/>
          <w:lang w:val="en-US"/>
        </w:rPr>
        <w:t xml:space="preserve"> (</w:t>
      </w:r>
      <w:r w:rsidRPr="000146C6">
        <w:rPr>
          <w:rFonts w:ascii="Times New Roman" w:hAnsi="Times New Roman"/>
          <w:sz w:val="24"/>
          <w:szCs w:val="24"/>
          <w:lang w:val="en-US"/>
        </w:rPr>
        <w:t>benzene-product</w:t>
      </w:r>
      <w:r>
        <w:rPr>
          <w:rFonts w:ascii="Times New Roman" w:hAnsi="Times New Roman"/>
          <w:sz w:val="24"/>
          <w:szCs w:val="24"/>
          <w:lang w:val="en-US"/>
        </w:rPr>
        <w:t xml:space="preserve"> </w:t>
      </w:r>
      <w:r w:rsidRPr="000146C6">
        <w:rPr>
          <w:rFonts w:ascii="Times New Roman" w:hAnsi="Times New Roman"/>
          <w:sz w:val="24"/>
          <w:szCs w:val="24"/>
          <w:lang w:val="en-US"/>
        </w:rPr>
        <w:t>handl</w:t>
      </w:r>
      <w:r>
        <w:rPr>
          <w:rFonts w:ascii="Times New Roman" w:hAnsi="Times New Roman"/>
          <w:sz w:val="24"/>
          <w:szCs w:val="24"/>
          <w:lang w:val="en-US"/>
        </w:rPr>
        <w:t>ing terminals)</w:t>
      </w:r>
      <w:r w:rsidRPr="005E1BBE">
        <w:rPr>
          <w:rFonts w:ascii="Times New Roman" w:hAnsi="Times New Roman"/>
          <w:sz w:val="24"/>
          <w:szCs w:val="24"/>
          <w:lang w:val="en-US"/>
        </w:rPr>
        <w:t>, Refinery Workers (benzene-exposed), Tanker Drivers (benzene-exposed), Other Product Handling Workers, Unexposed Blue Collar Workers</w:t>
      </w:r>
      <w:r>
        <w:rPr>
          <w:rFonts w:ascii="Times New Roman" w:hAnsi="Times New Roman"/>
          <w:sz w:val="24"/>
          <w:szCs w:val="24"/>
          <w:lang w:val="en-US"/>
        </w:rPr>
        <w:t xml:space="preserve"> (e.g. from black oil terminals)</w:t>
      </w:r>
      <w:r w:rsidRPr="005E1BBE">
        <w:rPr>
          <w:rFonts w:ascii="Times New Roman" w:hAnsi="Times New Roman"/>
          <w:sz w:val="24"/>
          <w:szCs w:val="24"/>
          <w:lang w:val="en-US"/>
        </w:rPr>
        <w:t>, Upstream Operators and Other/Unknown.</w:t>
      </w:r>
      <w:r>
        <w:rPr>
          <w:rFonts w:ascii="Times New Roman" w:hAnsi="Times New Roman"/>
          <w:sz w:val="24"/>
          <w:szCs w:val="24"/>
          <w:lang w:val="en-US"/>
        </w:rPr>
        <w:t xml:space="preserve">  To identify the longest-held job, the cumulative duration of jobs within each job category was calculated</w:t>
      </w:r>
      <w:r w:rsidRPr="005E1BBE">
        <w:rPr>
          <w:rFonts w:ascii="Times New Roman" w:hAnsi="Times New Roman"/>
          <w:sz w:val="24"/>
          <w:szCs w:val="24"/>
          <w:lang w:val="en-US"/>
        </w:rPr>
        <w:t xml:space="preserve"> and the individual was allocated to the job category with the longest cumulative duration</w:t>
      </w:r>
      <w:r>
        <w:rPr>
          <w:rFonts w:ascii="Times New Roman" w:hAnsi="Times New Roman"/>
          <w:sz w:val="24"/>
          <w:szCs w:val="24"/>
          <w:lang w:val="en-US"/>
        </w:rPr>
        <w:t>.</w:t>
      </w:r>
    </w:p>
    <w:p w:rsidR="00FA73F4" w:rsidRDefault="00FA73F4" w:rsidP="00A43888">
      <w:pPr>
        <w:tabs>
          <w:tab w:val="left" w:pos="284"/>
        </w:tabs>
        <w:spacing w:after="120" w:line="48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ab/>
      </w:r>
      <w:r w:rsidRPr="00B675A8">
        <w:rPr>
          <w:rFonts w:ascii="Times New Roman" w:eastAsia="Times New Roman" w:hAnsi="Times New Roman"/>
          <w:color w:val="000000"/>
          <w:sz w:val="24"/>
          <w:szCs w:val="24"/>
          <w:lang w:val="en-US"/>
        </w:rPr>
        <w:t xml:space="preserve">Site type, job held, decade of employment and study </w:t>
      </w:r>
      <w:r w:rsidRPr="00D03AA4">
        <w:rPr>
          <w:rFonts w:ascii="Times New Roman" w:eastAsia="Times New Roman" w:hAnsi="Times New Roman"/>
          <w:color w:val="000000"/>
          <w:sz w:val="24"/>
          <w:szCs w:val="24"/>
          <w:lang w:val="en-US"/>
        </w:rPr>
        <w:t>(</w:t>
      </w:r>
      <w:r w:rsidRPr="000E6AD1">
        <w:rPr>
          <w:rFonts w:ascii="Times New Roman" w:hAnsi="Times New Roman"/>
          <w:color w:val="000000"/>
          <w:sz w:val="24"/>
          <w:szCs w:val="24"/>
        </w:rPr>
        <w:t>Canadi</w:t>
      </w:r>
      <w:r>
        <w:rPr>
          <w:rFonts w:ascii="Times New Roman" w:hAnsi="Times New Roman"/>
          <w:color w:val="000000"/>
          <w:sz w:val="24"/>
          <w:szCs w:val="24"/>
        </w:rPr>
        <w:t>an</w:t>
      </w:r>
      <w:r w:rsidRPr="000E6AD1">
        <w:rPr>
          <w:rFonts w:ascii="Times New Roman" w:hAnsi="Times New Roman"/>
          <w:color w:val="000000"/>
          <w:sz w:val="24"/>
          <w:szCs w:val="24"/>
        </w:rPr>
        <w:t>, the UK and Australia</w:t>
      </w:r>
      <w:r>
        <w:rPr>
          <w:rFonts w:ascii="Times New Roman" w:hAnsi="Times New Roman"/>
          <w:color w:val="000000"/>
          <w:sz w:val="24"/>
          <w:szCs w:val="24"/>
        </w:rPr>
        <w:t>n</w:t>
      </w:r>
      <w:r w:rsidRPr="00D03AA4">
        <w:rPr>
          <w:rFonts w:ascii="Times New Roman" w:eastAsia="Times New Roman" w:hAnsi="Times New Roman"/>
          <w:color w:val="000000"/>
          <w:sz w:val="24"/>
          <w:szCs w:val="24"/>
          <w:lang w:val="en-US"/>
        </w:rPr>
        <w:t>)</w:t>
      </w:r>
      <w:r>
        <w:rPr>
          <w:rFonts w:ascii="Times New Roman" w:eastAsia="Times New Roman" w:hAnsi="Times New Roman"/>
          <w:color w:val="000000"/>
          <w:sz w:val="24"/>
          <w:szCs w:val="24"/>
          <w:lang w:val="en-US"/>
        </w:rPr>
        <w:t xml:space="preserve"> </w:t>
      </w:r>
      <w:r w:rsidRPr="00B675A8">
        <w:rPr>
          <w:rFonts w:ascii="Times New Roman" w:eastAsia="Times New Roman" w:hAnsi="Times New Roman"/>
          <w:color w:val="000000"/>
          <w:sz w:val="24"/>
          <w:szCs w:val="24"/>
          <w:lang w:val="en-US"/>
        </w:rPr>
        <w:t xml:space="preserve">all </w:t>
      </w:r>
      <w:r>
        <w:rPr>
          <w:rFonts w:ascii="Times New Roman" w:eastAsia="Times New Roman" w:hAnsi="Times New Roman"/>
          <w:color w:val="000000"/>
          <w:sz w:val="24"/>
          <w:szCs w:val="24"/>
          <w:lang w:val="en-US"/>
        </w:rPr>
        <w:t xml:space="preserve">potentially </w:t>
      </w:r>
      <w:r w:rsidRPr="00B675A8">
        <w:rPr>
          <w:rFonts w:ascii="Times New Roman" w:eastAsia="Times New Roman" w:hAnsi="Times New Roman"/>
          <w:color w:val="000000"/>
          <w:sz w:val="24"/>
          <w:szCs w:val="24"/>
          <w:lang w:val="en-US"/>
        </w:rPr>
        <w:t xml:space="preserve">affect </w:t>
      </w:r>
      <w:r>
        <w:rPr>
          <w:rFonts w:ascii="Times New Roman" w:eastAsia="Times New Roman" w:hAnsi="Times New Roman"/>
          <w:color w:val="000000"/>
          <w:sz w:val="24"/>
          <w:szCs w:val="24"/>
          <w:lang w:val="en-US"/>
        </w:rPr>
        <w:t xml:space="preserve">the benzene </w:t>
      </w:r>
      <w:r w:rsidRPr="00B675A8">
        <w:rPr>
          <w:rFonts w:ascii="Times New Roman" w:eastAsia="Times New Roman" w:hAnsi="Times New Roman"/>
          <w:color w:val="000000"/>
          <w:sz w:val="24"/>
          <w:szCs w:val="24"/>
          <w:lang w:val="en-US"/>
        </w:rPr>
        <w:t>exposure</w:t>
      </w:r>
      <w:r>
        <w:rPr>
          <w:rFonts w:ascii="Times New Roman" w:eastAsia="Times New Roman" w:hAnsi="Times New Roman"/>
          <w:color w:val="000000"/>
          <w:sz w:val="24"/>
          <w:szCs w:val="24"/>
          <w:lang w:val="en-US"/>
        </w:rPr>
        <w:t xml:space="preserve"> estimates</w:t>
      </w:r>
      <w:r w:rsidRPr="00B675A8">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The effect of </w:t>
      </w:r>
      <w:r w:rsidRPr="00B675A8">
        <w:rPr>
          <w:rFonts w:ascii="Times New Roman" w:eastAsia="Times New Roman" w:hAnsi="Times New Roman"/>
          <w:color w:val="000000"/>
          <w:sz w:val="24"/>
          <w:szCs w:val="24"/>
          <w:lang w:val="en-US"/>
        </w:rPr>
        <w:t xml:space="preserve">these factors </w:t>
      </w:r>
      <w:r>
        <w:rPr>
          <w:rFonts w:ascii="Times New Roman" w:eastAsia="Times New Roman" w:hAnsi="Times New Roman"/>
          <w:color w:val="000000"/>
          <w:sz w:val="24"/>
          <w:szCs w:val="24"/>
          <w:lang w:val="en-US"/>
        </w:rPr>
        <w:t>on</w:t>
      </w:r>
      <w:r w:rsidRPr="00B675A8">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benzene </w:t>
      </w:r>
      <w:r w:rsidRPr="00B675A8">
        <w:rPr>
          <w:rFonts w:ascii="Times New Roman" w:eastAsia="Times New Roman" w:hAnsi="Times New Roman"/>
          <w:color w:val="000000"/>
          <w:sz w:val="24"/>
          <w:szCs w:val="24"/>
          <w:lang w:val="en-US"/>
        </w:rPr>
        <w:t>exposure</w:t>
      </w:r>
      <w:r>
        <w:rPr>
          <w:rFonts w:ascii="Times New Roman" w:eastAsia="Times New Roman" w:hAnsi="Times New Roman"/>
          <w:color w:val="000000"/>
          <w:sz w:val="24"/>
          <w:szCs w:val="24"/>
          <w:lang w:val="en-US"/>
        </w:rPr>
        <w:t xml:space="preserve"> intensity</w:t>
      </w:r>
      <w:r w:rsidRPr="00B675A8">
        <w:rPr>
          <w:rFonts w:ascii="Times New Roman" w:eastAsia="Times New Roman" w:hAnsi="Times New Roman"/>
          <w:color w:val="000000"/>
          <w:sz w:val="24"/>
          <w:szCs w:val="24"/>
          <w:lang w:val="en-US"/>
        </w:rPr>
        <w:t xml:space="preserve"> (ppm) </w:t>
      </w:r>
      <w:r>
        <w:rPr>
          <w:rFonts w:ascii="Times New Roman" w:eastAsia="Times New Roman" w:hAnsi="Times New Roman"/>
          <w:color w:val="000000"/>
          <w:sz w:val="24"/>
          <w:szCs w:val="24"/>
          <w:lang w:val="en-US"/>
        </w:rPr>
        <w:t xml:space="preserve">was investigated using </w:t>
      </w:r>
      <w:r>
        <w:rPr>
          <w:rFonts w:ascii="Times New Roman" w:hAnsi="Times New Roman"/>
          <w:color w:val="000000"/>
          <w:sz w:val="24"/>
          <w:szCs w:val="24"/>
        </w:rPr>
        <w:t>linear regression models after</w:t>
      </w:r>
      <w:r w:rsidRPr="00B675A8">
        <w:rPr>
          <w:rFonts w:ascii="Times New Roman" w:eastAsia="Times New Roman" w:hAnsi="Times New Roman"/>
          <w:color w:val="000000"/>
          <w:sz w:val="24"/>
          <w:szCs w:val="24"/>
          <w:lang w:val="en-US"/>
        </w:rPr>
        <w:t xml:space="preserve"> log transform</w:t>
      </w:r>
      <w:r>
        <w:rPr>
          <w:rFonts w:ascii="Times New Roman" w:eastAsia="Times New Roman" w:hAnsi="Times New Roman"/>
          <w:color w:val="000000"/>
          <w:sz w:val="24"/>
          <w:szCs w:val="24"/>
          <w:lang w:val="en-US"/>
        </w:rPr>
        <w:t>ation, with base 2,</w:t>
      </w:r>
      <w:r w:rsidRPr="00B675A8">
        <w:rPr>
          <w:rFonts w:ascii="Times New Roman" w:eastAsia="Times New Roman" w:hAnsi="Times New Roman"/>
          <w:color w:val="000000"/>
          <w:sz w:val="24"/>
          <w:szCs w:val="24"/>
          <w:lang w:val="en-US"/>
        </w:rPr>
        <w:t xml:space="preserve"> to reduce the skewness of the exposure distribution.</w:t>
      </w:r>
      <w:r>
        <w:rPr>
          <w:rFonts w:ascii="Times New Roman" w:eastAsia="Times New Roman" w:hAnsi="Times New Roman"/>
          <w:color w:val="000000"/>
          <w:sz w:val="24"/>
          <w:szCs w:val="24"/>
          <w:lang w:val="en-US"/>
        </w:rPr>
        <w:t xml:space="preserve"> </w:t>
      </w:r>
      <w:r w:rsidRPr="00B675A8">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A one-unit increment in the log-transformed value implies doubling of exposure intensity. The least square means are used to assess the exposure level across various subgroups of each factor. Residuals were used for model diagnosis.  </w:t>
      </w:r>
      <w:r w:rsidRPr="00955973">
        <w:rPr>
          <w:rFonts w:ascii="Times New Roman" w:eastAsia="Times New Roman" w:hAnsi="Times New Roman"/>
          <w:color w:val="000000"/>
          <w:sz w:val="24"/>
          <w:szCs w:val="24"/>
          <w:lang w:val="en-US"/>
        </w:rPr>
        <w:t xml:space="preserve">We used multivariate logistic regression models to explore </w:t>
      </w:r>
      <w:r w:rsidRPr="00955973">
        <w:rPr>
          <w:rFonts w:ascii="Times New Roman" w:eastAsia="Times New Roman" w:hAnsi="Times New Roman"/>
          <w:color w:val="000000"/>
          <w:sz w:val="24"/>
          <w:szCs w:val="24"/>
          <w:lang w:val="en-US"/>
        </w:rPr>
        <w:lastRenderedPageBreak/>
        <w:t>potential predictors for peak exposure and high dermal exposure</w:t>
      </w:r>
      <w:r>
        <w:rPr>
          <w:rFonts w:ascii="Times New Roman" w:eastAsia="Times New Roman" w:hAnsi="Times New Roman"/>
          <w:color w:val="000000"/>
          <w:sz w:val="24"/>
          <w:szCs w:val="24"/>
          <w:lang w:val="en-US"/>
        </w:rPr>
        <w:t xml:space="preserve">. </w:t>
      </w:r>
      <w:r w:rsidRPr="009A28CD">
        <w:rPr>
          <w:rFonts w:ascii="Times New Roman" w:eastAsia="Times New Roman" w:hAnsi="Times New Roman"/>
          <w:color w:val="000000"/>
          <w:sz w:val="24"/>
          <w:szCs w:val="24"/>
          <w:lang w:val="en-US"/>
        </w:rPr>
        <w:t xml:space="preserve"> Statistical analyses</w:t>
      </w:r>
      <w:r>
        <w:rPr>
          <w:rFonts w:ascii="Times New Roman" w:eastAsia="Times New Roman" w:hAnsi="Times New Roman"/>
          <w:color w:val="000000"/>
          <w:sz w:val="24"/>
          <w:szCs w:val="24"/>
          <w:lang w:val="en-US"/>
        </w:rPr>
        <w:t xml:space="preserve"> </w:t>
      </w:r>
      <w:r w:rsidRPr="009A28CD">
        <w:rPr>
          <w:rFonts w:ascii="Times New Roman" w:eastAsia="Times New Roman" w:hAnsi="Times New Roman"/>
          <w:color w:val="000000"/>
          <w:sz w:val="24"/>
          <w:szCs w:val="24"/>
          <w:lang w:val="en-US"/>
        </w:rPr>
        <w:t xml:space="preserve">were </w:t>
      </w:r>
      <w:r>
        <w:rPr>
          <w:rFonts w:ascii="Times New Roman" w:eastAsia="Times New Roman" w:hAnsi="Times New Roman"/>
          <w:color w:val="000000"/>
          <w:sz w:val="24"/>
          <w:szCs w:val="24"/>
          <w:lang w:val="en-US"/>
        </w:rPr>
        <w:t xml:space="preserve">carried out </w:t>
      </w:r>
      <w:r w:rsidRPr="009A28CD">
        <w:rPr>
          <w:rFonts w:ascii="Times New Roman" w:eastAsia="Times New Roman" w:hAnsi="Times New Roman"/>
          <w:color w:val="000000"/>
          <w:sz w:val="24"/>
          <w:szCs w:val="24"/>
          <w:lang w:val="en-US"/>
        </w:rPr>
        <w:t>using SAS, version 9.2 (26) (SAS, Cary, NC).</w:t>
      </w:r>
    </w:p>
    <w:p w:rsidR="00FA73F4" w:rsidRDefault="00FA73F4" w:rsidP="00827BD9">
      <w:pPr>
        <w:tabs>
          <w:tab w:val="left" w:pos="284"/>
        </w:tabs>
        <w:spacing w:after="120" w:line="480" w:lineRule="auto"/>
        <w:jc w:val="both"/>
        <w:rPr>
          <w:lang w:val="en-GB"/>
        </w:rPr>
      </w:pPr>
      <w:r>
        <w:rPr>
          <w:rFonts w:ascii="Times New Roman" w:hAnsi="Times New Roman"/>
          <w:color w:val="000000"/>
          <w:sz w:val="24"/>
          <w:szCs w:val="24"/>
        </w:rPr>
        <w:tab/>
      </w:r>
      <w:r>
        <w:rPr>
          <w:rFonts w:ascii="Times New Roman" w:hAnsi="Times New Roman"/>
          <w:sz w:val="24"/>
          <w:szCs w:val="24"/>
        </w:rPr>
        <w:t>Before risk was examined, an</w:t>
      </w:r>
      <w:r>
        <w:rPr>
          <w:rFonts w:ascii="Times New Roman" w:hAnsi="Times New Roman"/>
          <w:sz w:val="24"/>
          <w:szCs w:val="24"/>
          <w:lang w:val="en-GB"/>
        </w:rPr>
        <w:t xml:space="preserve"> exposure estimate</w:t>
      </w:r>
      <w:r w:rsidRPr="00BA6940">
        <w:rPr>
          <w:rFonts w:ascii="Times New Roman" w:hAnsi="Times New Roman"/>
          <w:sz w:val="24"/>
          <w:szCs w:val="24"/>
          <w:lang w:val="en-GB"/>
        </w:rPr>
        <w:t xml:space="preserve"> comparison and rationalisation exercise was carried out across the studies to ensure accuracy and consistency of approach</w:t>
      </w:r>
      <w:r>
        <w:rPr>
          <w:rFonts w:ascii="Times New Roman" w:hAnsi="Times New Roman"/>
          <w:sz w:val="24"/>
          <w:szCs w:val="24"/>
          <w:lang w:val="en-GB"/>
        </w:rPr>
        <w:t>.</w:t>
      </w:r>
      <w:r w:rsidRPr="00D54528">
        <w:rPr>
          <w:rFonts w:ascii="Times New Roman" w:hAnsi="Times New Roman"/>
          <w:noProof/>
          <w:sz w:val="24"/>
          <w:szCs w:val="24"/>
          <w:vertAlign w:val="superscript"/>
          <w:lang w:val="en-GB"/>
        </w:rPr>
        <w:t>[12]</w:t>
      </w:r>
      <w:r w:rsidRPr="009A28CD">
        <w:rPr>
          <w:rFonts w:ascii="Times New Roman" w:hAnsi="Times New Roman"/>
          <w:noProof/>
          <w:sz w:val="24"/>
          <w:szCs w:val="24"/>
          <w:vertAlign w:val="superscript"/>
          <w:lang w:val="en-GB"/>
        </w:rPr>
        <w:t xml:space="preserve"> </w:t>
      </w:r>
      <w:r w:rsidRPr="00BA6940">
        <w:rPr>
          <w:rFonts w:ascii="Times New Roman" w:hAnsi="Times New Roman"/>
          <w:sz w:val="24"/>
          <w:szCs w:val="24"/>
          <w:lang w:val="en-GB"/>
        </w:rPr>
        <w:t xml:space="preserve"> </w:t>
      </w:r>
      <w:r>
        <w:rPr>
          <w:rFonts w:ascii="Times New Roman" w:hAnsi="Times New Roman"/>
          <w:sz w:val="24"/>
          <w:szCs w:val="24"/>
          <w:lang w:val="en-GB"/>
        </w:rPr>
        <w:t xml:space="preserve"> This was achieved by a panel discussion including the current investigators and the original exposure assessment team and is described in a previous paper.</w:t>
      </w:r>
      <w:r w:rsidRPr="00D54528">
        <w:rPr>
          <w:rFonts w:ascii="Times New Roman" w:hAnsi="Times New Roman"/>
          <w:noProof/>
          <w:sz w:val="24"/>
          <w:szCs w:val="24"/>
          <w:vertAlign w:val="superscript"/>
          <w:lang w:val="en-GB"/>
        </w:rPr>
        <w:t>[12]</w:t>
      </w:r>
      <w:r>
        <w:rPr>
          <w:rFonts w:ascii="Times New Roman" w:hAnsi="Times New Roman"/>
          <w:sz w:val="24"/>
          <w:szCs w:val="24"/>
          <w:lang w:val="en-GB"/>
        </w:rPr>
        <w:t xml:space="preserve">  A</w:t>
      </w:r>
      <w:r w:rsidRPr="00BA6940">
        <w:rPr>
          <w:rFonts w:ascii="Times New Roman" w:hAnsi="Times New Roman"/>
          <w:sz w:val="24"/>
          <w:szCs w:val="24"/>
          <w:lang w:val="en-GB"/>
        </w:rPr>
        <w:t xml:space="preserve">ny </w:t>
      </w:r>
      <w:r>
        <w:rPr>
          <w:rFonts w:ascii="Times New Roman" w:hAnsi="Times New Roman"/>
          <w:sz w:val="24"/>
          <w:szCs w:val="24"/>
          <w:lang w:val="en-GB"/>
        </w:rPr>
        <w:t>large differences in means</w:t>
      </w:r>
      <w:r w:rsidRPr="00BA6940">
        <w:rPr>
          <w:rFonts w:ascii="Times New Roman" w:hAnsi="Times New Roman"/>
          <w:sz w:val="24"/>
          <w:szCs w:val="24"/>
          <w:lang w:val="en-GB"/>
        </w:rPr>
        <w:t xml:space="preserve"> </w:t>
      </w:r>
      <w:r w:rsidRPr="00BA6940">
        <w:rPr>
          <w:rFonts w:ascii="Times New Roman" w:hAnsi="Times New Roman"/>
          <w:sz w:val="24"/>
          <w:szCs w:val="24"/>
        </w:rPr>
        <w:t xml:space="preserve">in all three studies in one era or for at least two studies in two eras were scrutinised to see </w:t>
      </w:r>
      <w:r w:rsidRPr="00BA6940">
        <w:rPr>
          <w:rFonts w:ascii="Times New Roman" w:hAnsi="Times New Roman"/>
          <w:sz w:val="24"/>
          <w:szCs w:val="24"/>
          <w:lang w:val="en-GB"/>
        </w:rPr>
        <w:t xml:space="preserve">whether the difference was justified by local exposure conditions, such as an enclosure </w:t>
      </w:r>
      <w:r w:rsidRPr="00BA6940">
        <w:rPr>
          <w:rFonts w:ascii="Times New Roman" w:hAnsi="Times New Roman"/>
          <w:i/>
          <w:sz w:val="24"/>
          <w:szCs w:val="24"/>
          <w:lang w:val="en-GB"/>
        </w:rPr>
        <w:t>versus</w:t>
      </w:r>
      <w:r w:rsidRPr="00BA6940">
        <w:rPr>
          <w:rFonts w:ascii="Times New Roman" w:hAnsi="Times New Roman"/>
          <w:sz w:val="24"/>
          <w:szCs w:val="24"/>
          <w:lang w:val="en-GB"/>
        </w:rPr>
        <w:t xml:space="preserve"> open work area. </w:t>
      </w:r>
      <w:r>
        <w:rPr>
          <w:rFonts w:ascii="Times New Roman" w:hAnsi="Times New Roman"/>
          <w:sz w:val="24"/>
          <w:szCs w:val="24"/>
          <w:lang w:val="en-GB"/>
        </w:rPr>
        <w:t xml:space="preserve"> Most exposure e</w:t>
      </w:r>
      <w:r w:rsidRPr="00BA6940">
        <w:rPr>
          <w:rFonts w:ascii="Times New Roman" w:hAnsi="Times New Roman"/>
          <w:sz w:val="24"/>
          <w:szCs w:val="24"/>
          <w:lang w:val="en-GB"/>
        </w:rPr>
        <w:t xml:space="preserve">stimates were </w:t>
      </w:r>
      <w:r>
        <w:rPr>
          <w:rFonts w:ascii="Times New Roman" w:hAnsi="Times New Roman"/>
          <w:sz w:val="24"/>
          <w:szCs w:val="24"/>
          <w:lang w:val="en-GB"/>
        </w:rPr>
        <w:t xml:space="preserve">not </w:t>
      </w:r>
      <w:r w:rsidRPr="00BA6940">
        <w:rPr>
          <w:rFonts w:ascii="Times New Roman" w:hAnsi="Times New Roman"/>
          <w:sz w:val="24"/>
          <w:szCs w:val="24"/>
          <w:lang w:val="en-GB"/>
        </w:rPr>
        <w:t>adjusted</w:t>
      </w:r>
      <w:r>
        <w:rPr>
          <w:rFonts w:ascii="Times New Roman" w:hAnsi="Times New Roman"/>
          <w:sz w:val="24"/>
          <w:szCs w:val="24"/>
          <w:lang w:val="en-GB"/>
        </w:rPr>
        <w:t xml:space="preserve">, although changes were </w:t>
      </w:r>
      <w:r>
        <w:rPr>
          <w:rFonts w:ascii="Times New Roman" w:hAnsi="Times New Roman"/>
          <w:color w:val="000000"/>
          <w:sz w:val="24"/>
          <w:szCs w:val="24"/>
        </w:rPr>
        <w:t xml:space="preserve">made to background </w:t>
      </w:r>
      <w:r w:rsidRPr="00195F1C">
        <w:rPr>
          <w:rFonts w:ascii="Times New Roman" w:hAnsi="Times New Roman"/>
          <w:color w:val="000000"/>
          <w:sz w:val="24"/>
          <w:szCs w:val="24"/>
        </w:rPr>
        <w:t>exposure</w:t>
      </w:r>
      <w:r>
        <w:rPr>
          <w:rFonts w:ascii="Times New Roman" w:hAnsi="Times New Roman"/>
          <w:color w:val="000000"/>
          <w:sz w:val="24"/>
          <w:szCs w:val="24"/>
        </w:rPr>
        <w:t xml:space="preserve"> levels to enhance the consistency of results reported.</w:t>
      </w:r>
      <w:r w:rsidRPr="00D54528">
        <w:rPr>
          <w:rFonts w:ascii="Times New Roman" w:hAnsi="Times New Roman"/>
          <w:noProof/>
          <w:sz w:val="24"/>
          <w:szCs w:val="24"/>
          <w:vertAlign w:val="superscript"/>
          <w:lang w:val="en-GB"/>
        </w:rPr>
        <w:t>[12]</w:t>
      </w:r>
    </w:p>
    <w:p w:rsidR="00FA73F4" w:rsidRDefault="00FA73F4" w:rsidP="00514818">
      <w:pPr>
        <w:tabs>
          <w:tab w:val="left" w:pos="284"/>
        </w:tabs>
        <w:spacing w:after="120" w:line="480" w:lineRule="auto"/>
        <w:jc w:val="both"/>
        <w:rPr>
          <w:rFonts w:ascii="Times New Roman" w:hAnsi="Times New Roman"/>
          <w:color w:val="000000"/>
          <w:sz w:val="24"/>
          <w:szCs w:val="24"/>
        </w:rPr>
      </w:pPr>
      <w:r>
        <w:rPr>
          <w:rFonts w:ascii="Times New Roman" w:hAnsi="Times New Roman"/>
          <w:color w:val="000000"/>
          <w:sz w:val="24"/>
          <w:szCs w:val="24"/>
        </w:rPr>
        <w:t>The pooled study had ethics committee approval from</w:t>
      </w:r>
      <w:r w:rsidRPr="007658C9">
        <w:rPr>
          <w:rFonts w:ascii="Times New Roman" w:hAnsi="Times New Roman"/>
          <w:color w:val="000000"/>
          <w:sz w:val="24"/>
          <w:szCs w:val="24"/>
        </w:rPr>
        <w:t xml:space="preserve"> the following committees: Multicentre</w:t>
      </w:r>
      <w:r>
        <w:rPr>
          <w:rFonts w:ascii="Times New Roman" w:hAnsi="Times New Roman"/>
          <w:color w:val="000000"/>
          <w:sz w:val="24"/>
          <w:szCs w:val="24"/>
        </w:rPr>
        <w:t xml:space="preserve"> </w:t>
      </w:r>
      <w:r w:rsidRPr="007658C9">
        <w:rPr>
          <w:rFonts w:ascii="Times New Roman" w:hAnsi="Times New Roman"/>
          <w:color w:val="000000"/>
          <w:sz w:val="24"/>
          <w:szCs w:val="24"/>
        </w:rPr>
        <w:t>Research Ethics Committee</w:t>
      </w:r>
      <w:r>
        <w:rPr>
          <w:rFonts w:ascii="Times New Roman" w:hAnsi="Times New Roman"/>
          <w:color w:val="000000"/>
          <w:sz w:val="24"/>
          <w:szCs w:val="24"/>
        </w:rPr>
        <w:t xml:space="preserve"> (REC)</w:t>
      </w:r>
      <w:r w:rsidRPr="007658C9">
        <w:rPr>
          <w:rFonts w:ascii="Times New Roman" w:hAnsi="Times New Roman"/>
          <w:color w:val="000000"/>
          <w:sz w:val="24"/>
          <w:szCs w:val="24"/>
        </w:rPr>
        <w:t>, Monash University Human</w:t>
      </w:r>
      <w:r>
        <w:rPr>
          <w:rFonts w:ascii="Times New Roman" w:hAnsi="Times New Roman"/>
          <w:color w:val="000000"/>
          <w:sz w:val="24"/>
          <w:szCs w:val="24"/>
        </w:rPr>
        <w:t xml:space="preserve"> REC</w:t>
      </w:r>
      <w:r w:rsidRPr="007658C9">
        <w:rPr>
          <w:rFonts w:ascii="Times New Roman" w:hAnsi="Times New Roman"/>
          <w:color w:val="000000"/>
          <w:sz w:val="24"/>
          <w:szCs w:val="24"/>
        </w:rPr>
        <w:t>, University of Pittsburgh</w:t>
      </w:r>
      <w:r>
        <w:rPr>
          <w:rFonts w:ascii="Times New Roman" w:hAnsi="Times New Roman"/>
          <w:color w:val="000000"/>
          <w:sz w:val="24"/>
          <w:szCs w:val="24"/>
        </w:rPr>
        <w:t xml:space="preserve"> REC</w:t>
      </w:r>
      <w:r w:rsidRPr="007658C9">
        <w:rPr>
          <w:rFonts w:ascii="Times New Roman" w:hAnsi="Times New Roman"/>
          <w:color w:val="000000"/>
          <w:sz w:val="24"/>
          <w:szCs w:val="24"/>
        </w:rPr>
        <w:t>, ExxonMobil Health</w:t>
      </w:r>
      <w:r>
        <w:rPr>
          <w:rFonts w:ascii="Times New Roman" w:hAnsi="Times New Roman"/>
          <w:color w:val="000000"/>
          <w:sz w:val="24"/>
          <w:szCs w:val="24"/>
        </w:rPr>
        <w:t xml:space="preserve"> REC</w:t>
      </w:r>
      <w:r w:rsidRPr="007658C9">
        <w:rPr>
          <w:rFonts w:ascii="Times New Roman" w:hAnsi="Times New Roman"/>
          <w:color w:val="000000"/>
          <w:sz w:val="24"/>
          <w:szCs w:val="24"/>
        </w:rPr>
        <w:t xml:space="preserve">. </w:t>
      </w:r>
      <w:r>
        <w:rPr>
          <w:rFonts w:ascii="Times New Roman" w:hAnsi="Times New Roman"/>
          <w:color w:val="000000"/>
          <w:sz w:val="24"/>
          <w:szCs w:val="24"/>
        </w:rPr>
        <w:t xml:space="preserve"> E</w:t>
      </w:r>
      <w:r w:rsidRPr="007658C9">
        <w:rPr>
          <w:rFonts w:ascii="Times New Roman" w:hAnsi="Times New Roman"/>
          <w:color w:val="000000"/>
          <w:sz w:val="24"/>
          <w:szCs w:val="24"/>
        </w:rPr>
        <w:t>thics committees</w:t>
      </w:r>
      <w:r>
        <w:rPr>
          <w:rFonts w:ascii="Times New Roman" w:hAnsi="Times New Roman"/>
          <w:color w:val="000000"/>
          <w:sz w:val="24"/>
          <w:szCs w:val="24"/>
        </w:rPr>
        <w:t xml:space="preserve"> for</w:t>
      </w:r>
      <w:r w:rsidRPr="007658C9">
        <w:rPr>
          <w:rFonts w:ascii="Times New Roman" w:hAnsi="Times New Roman"/>
          <w:color w:val="000000"/>
          <w:sz w:val="24"/>
          <w:szCs w:val="24"/>
        </w:rPr>
        <w:t xml:space="preserve"> </w:t>
      </w:r>
      <w:r>
        <w:rPr>
          <w:rFonts w:ascii="Times New Roman" w:hAnsi="Times New Roman"/>
          <w:color w:val="000000"/>
          <w:sz w:val="24"/>
          <w:szCs w:val="24"/>
        </w:rPr>
        <w:t>c</w:t>
      </w:r>
      <w:r w:rsidRPr="007658C9">
        <w:rPr>
          <w:rFonts w:ascii="Times New Roman" w:hAnsi="Times New Roman"/>
          <w:color w:val="000000"/>
          <w:sz w:val="24"/>
          <w:szCs w:val="24"/>
        </w:rPr>
        <w:t xml:space="preserve">ancer registry </w:t>
      </w:r>
      <w:r>
        <w:rPr>
          <w:rFonts w:ascii="Times New Roman" w:hAnsi="Times New Roman"/>
          <w:color w:val="000000"/>
          <w:sz w:val="24"/>
          <w:szCs w:val="24"/>
        </w:rPr>
        <w:t xml:space="preserve">and data collation centres </w:t>
      </w:r>
      <w:r w:rsidRPr="007658C9">
        <w:rPr>
          <w:rFonts w:ascii="Times New Roman" w:hAnsi="Times New Roman"/>
          <w:color w:val="000000"/>
          <w:sz w:val="24"/>
          <w:szCs w:val="24"/>
        </w:rPr>
        <w:t>within</w:t>
      </w:r>
      <w:r>
        <w:rPr>
          <w:rFonts w:ascii="Times New Roman" w:hAnsi="Times New Roman"/>
          <w:color w:val="000000"/>
          <w:sz w:val="24"/>
          <w:szCs w:val="24"/>
        </w:rPr>
        <w:t xml:space="preserve"> </w:t>
      </w:r>
      <w:r w:rsidRPr="007658C9">
        <w:rPr>
          <w:rFonts w:ascii="Times New Roman" w:hAnsi="Times New Roman"/>
          <w:color w:val="000000"/>
          <w:sz w:val="24"/>
          <w:szCs w:val="24"/>
        </w:rPr>
        <w:t>Australian Canad</w:t>
      </w:r>
      <w:r>
        <w:rPr>
          <w:rFonts w:ascii="Times New Roman" w:hAnsi="Times New Roman"/>
          <w:color w:val="000000"/>
          <w:sz w:val="24"/>
          <w:szCs w:val="24"/>
        </w:rPr>
        <w:t>a</w:t>
      </w:r>
      <w:r w:rsidRPr="007658C9">
        <w:rPr>
          <w:rFonts w:ascii="Times New Roman" w:hAnsi="Times New Roman"/>
          <w:color w:val="000000"/>
          <w:sz w:val="24"/>
          <w:szCs w:val="24"/>
        </w:rPr>
        <w:t xml:space="preserve"> also</w:t>
      </w:r>
      <w:r>
        <w:rPr>
          <w:rFonts w:ascii="Times New Roman" w:hAnsi="Times New Roman"/>
          <w:color w:val="000000"/>
          <w:sz w:val="24"/>
          <w:szCs w:val="24"/>
        </w:rPr>
        <w:t xml:space="preserve"> </w:t>
      </w:r>
      <w:r w:rsidRPr="007658C9">
        <w:rPr>
          <w:rFonts w:ascii="Times New Roman" w:hAnsi="Times New Roman"/>
          <w:color w:val="000000"/>
          <w:sz w:val="24"/>
          <w:szCs w:val="24"/>
        </w:rPr>
        <w:t>approved the study.</w:t>
      </w:r>
    </w:p>
    <w:p w:rsidR="00FA73F4" w:rsidRPr="007331E9" w:rsidRDefault="00FA73F4" w:rsidP="005F02FA">
      <w:pPr>
        <w:pStyle w:val="Heading1"/>
        <w:numPr>
          <w:ilvl w:val="0"/>
          <w:numId w:val="0"/>
        </w:numPr>
        <w:tabs>
          <w:tab w:val="left" w:pos="284"/>
        </w:tabs>
        <w:spacing w:line="480" w:lineRule="auto"/>
      </w:pPr>
      <w:r w:rsidRPr="007331E9">
        <w:lastRenderedPageBreak/>
        <w:t>Results</w:t>
      </w:r>
    </w:p>
    <w:p w:rsidR="00FA73F4" w:rsidRDefault="00FA73F4" w:rsidP="00E47755">
      <w:pPr>
        <w:tabs>
          <w:tab w:val="left" w:pos="284"/>
        </w:tabs>
        <w:spacing w:before="100" w:beforeAutospacing="1" w:after="100" w:afterAutospacing="1" w:line="480" w:lineRule="auto"/>
        <w:jc w:val="both"/>
        <w:rPr>
          <w:rFonts w:ascii="Times New Roman" w:hAnsi="Times New Roman"/>
          <w:sz w:val="24"/>
          <w:szCs w:val="24"/>
          <w:lang w:val="en-US"/>
        </w:rPr>
      </w:pPr>
      <w:r>
        <w:rPr>
          <w:rFonts w:ascii="Times New Roman" w:hAnsi="Times New Roman"/>
          <w:color w:val="000000"/>
          <w:sz w:val="24"/>
          <w:szCs w:val="24"/>
        </w:rPr>
        <w:tab/>
      </w:r>
      <w:r w:rsidRPr="000F527C">
        <w:rPr>
          <w:rFonts w:ascii="Times New Roman" w:hAnsi="Times New Roman"/>
          <w:color w:val="000000"/>
          <w:sz w:val="24"/>
          <w:szCs w:val="24"/>
        </w:rPr>
        <w:t xml:space="preserve">The pooled population of 1931 </w:t>
      </w:r>
      <w:r>
        <w:rPr>
          <w:rFonts w:ascii="Times New Roman" w:hAnsi="Times New Roman"/>
          <w:color w:val="000000"/>
          <w:sz w:val="24"/>
          <w:szCs w:val="24"/>
        </w:rPr>
        <w:t xml:space="preserve">male </w:t>
      </w:r>
      <w:r w:rsidRPr="000F527C">
        <w:rPr>
          <w:rFonts w:ascii="Times New Roman" w:hAnsi="Times New Roman"/>
          <w:color w:val="000000"/>
          <w:sz w:val="24"/>
          <w:szCs w:val="24"/>
        </w:rPr>
        <w:t>participants</w:t>
      </w:r>
      <w:r>
        <w:rPr>
          <w:rFonts w:ascii="Times New Roman" w:hAnsi="Times New Roman"/>
          <w:color w:val="000000"/>
          <w:sz w:val="24"/>
          <w:szCs w:val="24"/>
        </w:rPr>
        <w:t xml:space="preserve"> included </w:t>
      </w:r>
      <w:r w:rsidRPr="000F527C">
        <w:rPr>
          <w:rFonts w:ascii="Times New Roman" w:hAnsi="Times New Roman"/>
          <w:color w:val="000000"/>
          <w:sz w:val="24"/>
          <w:szCs w:val="24"/>
        </w:rPr>
        <w:t xml:space="preserve">370 </w:t>
      </w:r>
      <w:r>
        <w:rPr>
          <w:rFonts w:ascii="Times New Roman" w:hAnsi="Times New Roman"/>
          <w:color w:val="000000"/>
          <w:sz w:val="24"/>
          <w:szCs w:val="24"/>
        </w:rPr>
        <w:t xml:space="preserve">LH cancer </w:t>
      </w:r>
      <w:r w:rsidRPr="000F527C">
        <w:rPr>
          <w:rFonts w:ascii="Times New Roman" w:hAnsi="Times New Roman"/>
          <w:color w:val="000000"/>
          <w:sz w:val="24"/>
          <w:szCs w:val="24"/>
        </w:rPr>
        <w:t>cases</w:t>
      </w:r>
      <w:r>
        <w:rPr>
          <w:rFonts w:ascii="Times New Roman" w:hAnsi="Times New Roman"/>
          <w:color w:val="000000"/>
          <w:sz w:val="24"/>
          <w:szCs w:val="24"/>
        </w:rPr>
        <w:t xml:space="preserve">.  </w:t>
      </w:r>
      <w:r>
        <w:rPr>
          <w:rFonts w:ascii="Times New Roman" w:eastAsia="Times New Roman" w:hAnsi="Times New Roman"/>
          <w:color w:val="000000"/>
          <w:sz w:val="24"/>
          <w:szCs w:val="24"/>
          <w:lang w:val="en-US"/>
        </w:rPr>
        <w:t xml:space="preserve">The three studies covered overlapping decades, different site types and consequently different jobs.  </w:t>
      </w:r>
      <w:r w:rsidRPr="000F527C">
        <w:rPr>
          <w:rFonts w:ascii="Times New Roman" w:hAnsi="Times New Roman"/>
          <w:color w:val="000000"/>
          <w:sz w:val="24"/>
          <w:szCs w:val="24"/>
        </w:rPr>
        <w:t>Most</w:t>
      </w:r>
      <w:r w:rsidRPr="000F527C">
        <w:rPr>
          <w:rFonts w:ascii="Times New Roman" w:hAnsi="Times New Roman"/>
          <w:sz w:val="24"/>
          <w:szCs w:val="24"/>
          <w:lang w:val="en-US"/>
        </w:rPr>
        <w:t xml:space="preserve"> </w:t>
      </w:r>
      <w:r>
        <w:rPr>
          <w:rFonts w:ascii="Times New Roman" w:hAnsi="Times New Roman"/>
          <w:sz w:val="24"/>
          <w:szCs w:val="24"/>
          <w:lang w:val="en-US"/>
        </w:rPr>
        <w:t>individual</w:t>
      </w:r>
      <w:r w:rsidRPr="000F527C">
        <w:rPr>
          <w:rFonts w:ascii="Times New Roman" w:hAnsi="Times New Roman"/>
          <w:sz w:val="24"/>
          <w:szCs w:val="24"/>
          <w:lang w:val="en-US"/>
        </w:rPr>
        <w:t>s started work between 1920 and 1970</w:t>
      </w:r>
      <w:r>
        <w:rPr>
          <w:rFonts w:ascii="Times New Roman" w:hAnsi="Times New Roman"/>
          <w:sz w:val="24"/>
          <w:szCs w:val="24"/>
          <w:lang w:val="en-US"/>
        </w:rPr>
        <w:t>,</w:t>
      </w:r>
      <w:r w:rsidRPr="000F527C">
        <w:rPr>
          <w:rFonts w:ascii="Times New Roman" w:hAnsi="Times New Roman"/>
          <w:sz w:val="24"/>
          <w:szCs w:val="24"/>
          <w:lang w:val="en-US"/>
        </w:rPr>
        <w:t xml:space="preserve"> </w:t>
      </w:r>
      <w:r>
        <w:rPr>
          <w:rFonts w:ascii="Times New Roman" w:hAnsi="Times New Roman"/>
          <w:sz w:val="24"/>
          <w:szCs w:val="24"/>
          <w:lang w:val="en-US"/>
        </w:rPr>
        <w:t>although t</w:t>
      </w:r>
      <w:r w:rsidRPr="000F527C">
        <w:rPr>
          <w:rFonts w:ascii="Times New Roman" w:hAnsi="Times New Roman"/>
          <w:sz w:val="24"/>
          <w:szCs w:val="24"/>
          <w:lang w:val="en-US"/>
        </w:rPr>
        <w:t>he Australian study participants</w:t>
      </w:r>
      <w:r>
        <w:rPr>
          <w:rFonts w:ascii="Times New Roman" w:hAnsi="Times New Roman"/>
          <w:sz w:val="24"/>
          <w:szCs w:val="24"/>
          <w:lang w:val="en-US"/>
        </w:rPr>
        <w:t xml:space="preserve"> generally</w:t>
      </w:r>
      <w:r w:rsidRPr="000F527C">
        <w:rPr>
          <w:rFonts w:ascii="Times New Roman" w:hAnsi="Times New Roman"/>
          <w:sz w:val="24"/>
          <w:szCs w:val="24"/>
          <w:lang w:val="en-US"/>
        </w:rPr>
        <w:t xml:space="preserve"> started work</w:t>
      </w:r>
      <w:r>
        <w:rPr>
          <w:rFonts w:ascii="Times New Roman" w:hAnsi="Times New Roman"/>
          <w:sz w:val="24"/>
          <w:szCs w:val="24"/>
          <w:lang w:val="en-US"/>
        </w:rPr>
        <w:t xml:space="preserve"> later, </w:t>
      </w:r>
      <w:r w:rsidRPr="000F527C">
        <w:rPr>
          <w:rFonts w:ascii="Times New Roman" w:hAnsi="Times New Roman"/>
          <w:sz w:val="24"/>
          <w:szCs w:val="24"/>
          <w:lang w:val="en-US"/>
        </w:rPr>
        <w:t>between 1950 and 1980</w:t>
      </w:r>
      <w:r>
        <w:rPr>
          <w:rFonts w:ascii="Times New Roman" w:hAnsi="Times New Roman"/>
          <w:sz w:val="24"/>
          <w:szCs w:val="24"/>
          <w:lang w:val="en-US"/>
        </w:rPr>
        <w:t xml:space="preserve">.  </w:t>
      </w:r>
      <w:r w:rsidRPr="00D62457">
        <w:rPr>
          <w:rFonts w:ascii="Times New Roman" w:hAnsi="Times New Roman"/>
          <w:sz w:val="24"/>
          <w:szCs w:val="24"/>
          <w:lang w:val="en-US"/>
        </w:rPr>
        <w:fldChar w:fldCharType="begin"/>
      </w:r>
      <w:r w:rsidRPr="00D62457">
        <w:rPr>
          <w:rFonts w:ascii="Times New Roman" w:hAnsi="Times New Roman"/>
          <w:sz w:val="24"/>
          <w:szCs w:val="24"/>
          <w:lang w:val="en-US"/>
        </w:rPr>
        <w:instrText xml:space="preserve"> REF _Ref427765988 \h  \* MERGEFORMAT </w:instrText>
      </w:r>
      <w:r w:rsidRPr="00D62457">
        <w:rPr>
          <w:rFonts w:ascii="Times New Roman" w:hAnsi="Times New Roman"/>
          <w:sz w:val="24"/>
          <w:szCs w:val="24"/>
          <w:lang w:val="en-US"/>
        </w:rPr>
      </w:r>
      <w:r w:rsidRPr="00D62457">
        <w:rPr>
          <w:rFonts w:ascii="Times New Roman" w:hAnsi="Times New Roman"/>
          <w:sz w:val="24"/>
          <w:szCs w:val="24"/>
          <w:lang w:val="en-US"/>
        </w:rPr>
        <w:fldChar w:fldCharType="separate"/>
      </w:r>
      <w:r w:rsidRPr="008D768C">
        <w:rPr>
          <w:rFonts w:ascii="Times New Roman" w:hAnsi="Times New Roman"/>
          <w:sz w:val="24"/>
          <w:szCs w:val="24"/>
          <w:lang w:val="en-US"/>
        </w:rPr>
        <w:t xml:space="preserve">Figure </w:t>
      </w:r>
      <w:r w:rsidRPr="008D768C">
        <w:rPr>
          <w:rFonts w:ascii="Times New Roman" w:hAnsi="Times New Roman"/>
          <w:noProof/>
          <w:sz w:val="24"/>
          <w:szCs w:val="24"/>
          <w:lang w:val="en-US"/>
        </w:rPr>
        <w:t>1</w:t>
      </w:r>
      <w:r w:rsidRPr="00D62457">
        <w:rPr>
          <w:rFonts w:ascii="Times New Roman" w:hAnsi="Times New Roman"/>
          <w:sz w:val="24"/>
          <w:szCs w:val="24"/>
          <w:lang w:val="en-US"/>
        </w:rPr>
        <w:fldChar w:fldCharType="end"/>
      </w:r>
      <w:r w:rsidRPr="00D62457">
        <w:rPr>
          <w:rFonts w:ascii="Times New Roman" w:hAnsi="Times New Roman"/>
          <w:sz w:val="24"/>
          <w:szCs w:val="24"/>
          <w:lang w:val="en-US"/>
        </w:rPr>
        <w:t xml:space="preserve"> shows </w:t>
      </w:r>
      <w:r>
        <w:rPr>
          <w:rFonts w:ascii="Times New Roman" w:hAnsi="Times New Roman"/>
          <w:sz w:val="24"/>
          <w:szCs w:val="24"/>
          <w:lang w:val="en-US"/>
        </w:rPr>
        <w:t xml:space="preserve">benzene exposure intensity estimates by decade covered in the work histories of the cases and the controls. </w:t>
      </w:r>
      <w:r w:rsidRPr="00B00EA3">
        <w:rPr>
          <w:rFonts w:ascii="Times New Roman" w:hAnsi="Times New Roman"/>
          <w:color w:val="000000"/>
          <w:sz w:val="24"/>
          <w:szCs w:val="24"/>
        </w:rPr>
        <w:t>Benzene exposure intensity first increased probably in part because of the gradual introduction of catalytic cracking in refinery facilities starting in the late 1930’s which allowed a higher aromatic content in gasoline), peaked in the 1950’s, and has reduced in recent decades.</w:t>
      </w:r>
      <w:r>
        <w:rPr>
          <w:rFonts w:ascii="Times New Roman" w:hAnsi="Times New Roman"/>
          <w:sz w:val="24"/>
          <w:szCs w:val="24"/>
          <w:lang w:val="en-US"/>
        </w:rPr>
        <w:t xml:space="preserve">  Control measures for benzene exposure undoubtedly increased in the latter decades, and this is evident since the tail of outliers with very high exposure has much reduced.  </w:t>
      </w:r>
    </w:p>
    <w:p w:rsidR="00FA73F4" w:rsidRDefault="00FA73F4" w:rsidP="00D61386">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Table I</w:t>
      </w:r>
      <w:r w:rsidRPr="000F527C">
        <w:rPr>
          <w:rFonts w:ascii="Times New Roman" w:hAnsi="Times New Roman"/>
          <w:sz w:val="24"/>
          <w:szCs w:val="24"/>
          <w:lang w:val="en-US"/>
        </w:rPr>
        <w:t xml:space="preserve"> presents summary exposure statistics by </w:t>
      </w:r>
      <w:r>
        <w:rPr>
          <w:rFonts w:ascii="Times New Roman" w:hAnsi="Times New Roman"/>
          <w:sz w:val="24"/>
          <w:szCs w:val="24"/>
          <w:lang w:val="en-US"/>
        </w:rPr>
        <w:t xml:space="preserve">the three different </w:t>
      </w:r>
      <w:r w:rsidRPr="000F527C">
        <w:rPr>
          <w:rFonts w:ascii="Times New Roman" w:hAnsi="Times New Roman"/>
          <w:sz w:val="24"/>
          <w:szCs w:val="24"/>
          <w:lang w:val="en-US"/>
        </w:rPr>
        <w:t>stud</w:t>
      </w:r>
      <w:r>
        <w:rPr>
          <w:rFonts w:ascii="Times New Roman" w:hAnsi="Times New Roman"/>
          <w:sz w:val="24"/>
          <w:szCs w:val="24"/>
          <w:lang w:val="en-US"/>
        </w:rPr>
        <w:t>ies.</w:t>
      </w:r>
      <w:r w:rsidRPr="000F527C">
        <w:rPr>
          <w:rFonts w:ascii="Times New Roman" w:hAnsi="Times New Roman"/>
          <w:sz w:val="24"/>
          <w:szCs w:val="24"/>
          <w:lang w:val="en-US"/>
        </w:rPr>
        <w:t xml:space="preserve">  </w:t>
      </w:r>
      <w:r>
        <w:rPr>
          <w:rFonts w:ascii="Times New Roman" w:hAnsi="Times New Roman"/>
          <w:sz w:val="24"/>
          <w:szCs w:val="24"/>
          <w:lang w:val="en-US"/>
        </w:rPr>
        <w:t xml:space="preserve">Compared to the other studies, the Canadian study had a slightly higher mean intensity of exposure (0.29 ppm) and mean duration of exposure (24.9 years) and consequently a higher mean cumulative exposure (7.6 ppm-years).  The higher intensity of exposure is partly due to the earlier time periods included in the Canadian study, and the handling of fuels with higher benzene content (discussed later). In contrast, the Australian study had the lowest average exposure intensity and the lowest percentage of jobs classified as having peak exposures.  Both of these observations are related to the more recent time periods and the sectors (upstream and refineries) covered by the Australian study. </w:t>
      </w:r>
    </w:p>
    <w:p w:rsidR="00FA73F4" w:rsidRDefault="00FA73F4" w:rsidP="00D61386">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Table I</w:t>
      </w:r>
      <w:r w:rsidRPr="006E29EA">
        <w:rPr>
          <w:rFonts w:ascii="Times New Roman" w:hAnsi="Times New Roman"/>
          <w:sz w:val="24"/>
          <w:szCs w:val="24"/>
          <w:lang w:val="en-US"/>
        </w:rPr>
        <w:t xml:space="preserve"> also shows that the exposure certainty scores vary by study.  The Australian study, the most recent of the three studies, has the highest mean exposure certainty score.  </w:t>
      </w:r>
      <w:r>
        <w:rPr>
          <w:rFonts w:ascii="Times New Roman" w:hAnsi="Times New Roman"/>
          <w:sz w:val="24"/>
          <w:szCs w:val="24"/>
          <w:lang w:val="en-US"/>
        </w:rPr>
        <w:t>For all three studies, m</w:t>
      </w:r>
      <w:r w:rsidRPr="006E29EA">
        <w:rPr>
          <w:rFonts w:ascii="Times New Roman" w:hAnsi="Times New Roman"/>
          <w:sz w:val="24"/>
          <w:szCs w:val="24"/>
          <w:lang w:val="en-US"/>
        </w:rPr>
        <w:t>edian career exposure certainty scores increased over time</w:t>
      </w:r>
      <w:r>
        <w:rPr>
          <w:rFonts w:ascii="Times New Roman" w:hAnsi="Times New Roman"/>
          <w:sz w:val="24"/>
          <w:szCs w:val="24"/>
          <w:lang w:val="en-US"/>
        </w:rPr>
        <w:t xml:space="preserve">.  For example, </w:t>
      </w:r>
      <w:r w:rsidRPr="006E29EA">
        <w:rPr>
          <w:rFonts w:ascii="Times New Roman" w:hAnsi="Times New Roman"/>
          <w:sz w:val="24"/>
          <w:szCs w:val="24"/>
          <w:lang w:val="en-US"/>
        </w:rPr>
        <w:t xml:space="preserve">the exposure estimates for most jobs held before 1945 had a low certainty score of 1 (white collar </w:t>
      </w:r>
      <w:r w:rsidRPr="006E29EA">
        <w:rPr>
          <w:rFonts w:ascii="Times New Roman" w:hAnsi="Times New Roman"/>
          <w:sz w:val="24"/>
          <w:szCs w:val="24"/>
          <w:lang w:val="en-US"/>
        </w:rPr>
        <w:lastRenderedPageBreak/>
        <w:t>jobs had median score of 1.6 before 1945), while estimates for jobs held after 1975 were more certain.</w:t>
      </w:r>
      <w:r>
        <w:rPr>
          <w:rFonts w:ascii="Times New Roman" w:hAnsi="Times New Roman"/>
          <w:sz w:val="24"/>
          <w:szCs w:val="24"/>
          <w:lang w:val="en-US"/>
        </w:rPr>
        <w:t xml:space="preserve">  T</w:t>
      </w:r>
      <w:r w:rsidRPr="006E29EA">
        <w:rPr>
          <w:rFonts w:ascii="Times New Roman" w:hAnsi="Times New Roman"/>
          <w:sz w:val="24"/>
          <w:szCs w:val="24"/>
          <w:lang w:val="en-US"/>
        </w:rPr>
        <w:t>he differing eras covered by the three studies</w:t>
      </w:r>
      <w:r>
        <w:rPr>
          <w:rFonts w:ascii="Times New Roman" w:hAnsi="Times New Roman"/>
          <w:sz w:val="24"/>
          <w:szCs w:val="24"/>
          <w:lang w:val="en-US"/>
        </w:rPr>
        <w:t xml:space="preserve"> is partly reflected in the certainty scores for each study.</w:t>
      </w:r>
      <w:r w:rsidRPr="006E29EA">
        <w:rPr>
          <w:rFonts w:ascii="Times New Roman" w:hAnsi="Times New Roman"/>
          <w:sz w:val="24"/>
          <w:szCs w:val="24"/>
          <w:lang w:val="en-US"/>
        </w:rPr>
        <w:t xml:space="preserve">  </w:t>
      </w:r>
      <w:r>
        <w:rPr>
          <w:rFonts w:ascii="Times New Roman" w:hAnsi="Times New Roman"/>
          <w:sz w:val="24"/>
          <w:szCs w:val="24"/>
          <w:lang w:val="en-US"/>
        </w:rPr>
        <w:t xml:space="preserve">The UK study had the lowest average certainty scores, partly due to the higher percentage of incomplete work history records in that population. </w:t>
      </w:r>
    </w:p>
    <w:p w:rsidR="00FA73F4" w:rsidRDefault="00FA73F4" w:rsidP="00D61386">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 xml:space="preserve">Table II </w:t>
      </w:r>
      <w:r w:rsidRPr="009732A9">
        <w:rPr>
          <w:rFonts w:ascii="Times New Roman" w:hAnsi="Times New Roman"/>
          <w:sz w:val="24"/>
          <w:szCs w:val="24"/>
          <w:lang w:val="en-US"/>
        </w:rPr>
        <w:t>shows the number of individuals by the site type at which they spent most of their</w:t>
      </w:r>
      <w:r w:rsidRPr="000F527C">
        <w:rPr>
          <w:rFonts w:ascii="Times New Roman" w:hAnsi="Times New Roman"/>
          <w:sz w:val="24"/>
          <w:szCs w:val="24"/>
          <w:lang w:val="en-US"/>
        </w:rPr>
        <w:t xml:space="preserve"> employment </w:t>
      </w:r>
      <w:r>
        <w:rPr>
          <w:rFonts w:ascii="Times New Roman" w:hAnsi="Times New Roman"/>
          <w:sz w:val="24"/>
          <w:szCs w:val="24"/>
          <w:lang w:val="en-US"/>
        </w:rPr>
        <w:t xml:space="preserve">time </w:t>
      </w:r>
      <w:r w:rsidRPr="000F527C">
        <w:rPr>
          <w:rFonts w:ascii="Times New Roman" w:hAnsi="Times New Roman"/>
          <w:sz w:val="24"/>
          <w:szCs w:val="24"/>
          <w:lang w:val="en-US"/>
        </w:rPr>
        <w:t>and presents career mean and maximum exposure intensity</w:t>
      </w:r>
      <w:r>
        <w:rPr>
          <w:rFonts w:ascii="Times New Roman" w:hAnsi="Times New Roman"/>
          <w:sz w:val="24"/>
          <w:szCs w:val="24"/>
          <w:lang w:val="en-US"/>
        </w:rPr>
        <w:t xml:space="preserve"> by site type</w:t>
      </w:r>
      <w:r w:rsidRPr="000F527C">
        <w:rPr>
          <w:rFonts w:ascii="Times New Roman" w:hAnsi="Times New Roman"/>
          <w:sz w:val="24"/>
          <w:szCs w:val="24"/>
          <w:lang w:val="en-US"/>
        </w:rPr>
        <w:t xml:space="preserve">.  </w:t>
      </w:r>
      <w:r>
        <w:rPr>
          <w:rFonts w:ascii="Times New Roman" w:hAnsi="Times New Roman"/>
          <w:sz w:val="24"/>
          <w:szCs w:val="24"/>
          <w:lang w:val="en-US"/>
        </w:rPr>
        <w:t xml:space="preserve">Terminal and Refinery workers had the highest average benzene exposure, while terminal and marine workers had the highest percentage of workers classified as having peak exposure.  This latter observation is due to the frequent loading/unloading tasks present at these two site types.   </w:t>
      </w:r>
    </w:p>
    <w:p w:rsidR="00FA73F4" w:rsidRDefault="00FA73F4" w:rsidP="00D61386">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Table III shows</w:t>
      </w:r>
      <w:r w:rsidRPr="000146C6">
        <w:rPr>
          <w:rFonts w:ascii="Times New Roman" w:hAnsi="Times New Roman"/>
          <w:sz w:val="24"/>
          <w:szCs w:val="24"/>
          <w:lang w:val="en-US"/>
        </w:rPr>
        <w:t xml:space="preserve"> the </w:t>
      </w:r>
      <w:r>
        <w:rPr>
          <w:rFonts w:ascii="Times New Roman" w:hAnsi="Times New Roman"/>
          <w:sz w:val="24"/>
          <w:szCs w:val="24"/>
          <w:lang w:val="en-US"/>
        </w:rPr>
        <w:t>distributions of the exposure metrics</w:t>
      </w:r>
      <w:r w:rsidRPr="000146C6">
        <w:rPr>
          <w:rFonts w:ascii="Times New Roman" w:hAnsi="Times New Roman"/>
          <w:sz w:val="24"/>
          <w:szCs w:val="24"/>
          <w:lang w:val="en-US"/>
        </w:rPr>
        <w:t xml:space="preserve"> by </w:t>
      </w:r>
      <w:r>
        <w:rPr>
          <w:rFonts w:ascii="Times New Roman" w:hAnsi="Times New Roman"/>
          <w:sz w:val="24"/>
          <w:szCs w:val="24"/>
          <w:lang w:val="en-US"/>
        </w:rPr>
        <w:t xml:space="preserve">a worker’s </w:t>
      </w:r>
      <w:r w:rsidRPr="000146C6">
        <w:rPr>
          <w:rFonts w:ascii="Times New Roman" w:hAnsi="Times New Roman"/>
          <w:sz w:val="24"/>
          <w:szCs w:val="24"/>
          <w:lang w:val="en-US"/>
        </w:rPr>
        <w:t>longest-held job</w:t>
      </w:r>
      <w:r>
        <w:rPr>
          <w:rFonts w:ascii="Times New Roman" w:hAnsi="Times New Roman"/>
          <w:sz w:val="24"/>
          <w:szCs w:val="24"/>
          <w:lang w:val="en-US"/>
        </w:rPr>
        <w:t xml:space="preserve">.  </w:t>
      </w:r>
      <w:r w:rsidRPr="000146C6">
        <w:rPr>
          <w:rFonts w:ascii="Times New Roman" w:hAnsi="Times New Roman"/>
          <w:sz w:val="24"/>
          <w:szCs w:val="24"/>
          <w:lang w:val="en-US"/>
        </w:rPr>
        <w:t xml:space="preserve">Terminal Operators at sites </w:t>
      </w:r>
      <w:r>
        <w:rPr>
          <w:rFonts w:ascii="Times New Roman" w:hAnsi="Times New Roman"/>
          <w:sz w:val="24"/>
          <w:szCs w:val="24"/>
          <w:lang w:val="en-US"/>
        </w:rPr>
        <w:t>with</w:t>
      </w:r>
      <w:r w:rsidRPr="000146C6">
        <w:rPr>
          <w:rFonts w:ascii="Times New Roman" w:hAnsi="Times New Roman"/>
          <w:sz w:val="24"/>
          <w:szCs w:val="24"/>
          <w:lang w:val="en-US"/>
        </w:rPr>
        <w:t xml:space="preserve"> benzene-product</w:t>
      </w:r>
      <w:r>
        <w:rPr>
          <w:rFonts w:ascii="Times New Roman" w:hAnsi="Times New Roman"/>
          <w:sz w:val="24"/>
          <w:szCs w:val="24"/>
          <w:lang w:val="en-US"/>
        </w:rPr>
        <w:t xml:space="preserve"> </w:t>
      </w:r>
      <w:r w:rsidRPr="000146C6">
        <w:rPr>
          <w:rFonts w:ascii="Times New Roman" w:hAnsi="Times New Roman"/>
          <w:sz w:val="24"/>
          <w:szCs w:val="24"/>
          <w:lang w:val="en-US"/>
        </w:rPr>
        <w:t>handl</w:t>
      </w:r>
      <w:r>
        <w:rPr>
          <w:rFonts w:ascii="Times New Roman" w:hAnsi="Times New Roman"/>
          <w:sz w:val="24"/>
          <w:szCs w:val="24"/>
          <w:lang w:val="en-US"/>
        </w:rPr>
        <w:t>ing</w:t>
      </w:r>
      <w:r w:rsidRPr="000146C6">
        <w:rPr>
          <w:rFonts w:ascii="Times New Roman" w:hAnsi="Times New Roman"/>
          <w:sz w:val="24"/>
          <w:szCs w:val="24"/>
          <w:lang w:val="en-US"/>
        </w:rPr>
        <w:t xml:space="preserve"> were the job </w:t>
      </w:r>
      <w:r>
        <w:rPr>
          <w:rFonts w:ascii="Times New Roman" w:hAnsi="Times New Roman"/>
          <w:sz w:val="24"/>
          <w:szCs w:val="24"/>
          <w:lang w:val="en-US"/>
        </w:rPr>
        <w:t>category</w:t>
      </w:r>
      <w:r w:rsidRPr="000146C6">
        <w:rPr>
          <w:rFonts w:ascii="Times New Roman" w:hAnsi="Times New Roman"/>
          <w:sz w:val="24"/>
          <w:szCs w:val="24"/>
          <w:lang w:val="en-US"/>
        </w:rPr>
        <w:t xml:space="preserve"> with the highest average benzene exposure.  </w:t>
      </w:r>
      <w:r>
        <w:rPr>
          <w:rFonts w:ascii="Times New Roman" w:hAnsi="Times New Roman"/>
          <w:sz w:val="24"/>
          <w:szCs w:val="24"/>
          <w:lang w:val="en-US"/>
        </w:rPr>
        <w:t xml:space="preserve">Nearly all of these workers were also classified as having peak exposures.  </w:t>
      </w:r>
      <w:r>
        <w:rPr>
          <w:rFonts w:ascii="Times New Roman" w:eastAsia="Times New Roman" w:hAnsi="Times New Roman"/>
          <w:color w:val="000000"/>
          <w:sz w:val="24"/>
          <w:szCs w:val="24"/>
          <w:lang w:val="en-US"/>
        </w:rPr>
        <w:t>The p</w:t>
      </w:r>
      <w:r w:rsidRPr="000146C6">
        <w:rPr>
          <w:rFonts w:ascii="Times New Roman" w:eastAsia="Times New Roman" w:hAnsi="Times New Roman"/>
          <w:color w:val="000000"/>
          <w:sz w:val="24"/>
          <w:szCs w:val="24"/>
          <w:lang w:val="en-US"/>
        </w:rPr>
        <w:t>eak exposure metric</w:t>
      </w:r>
      <w:r>
        <w:rPr>
          <w:rFonts w:ascii="Times New Roman" w:eastAsia="Times New Roman" w:hAnsi="Times New Roman"/>
          <w:color w:val="000000"/>
          <w:sz w:val="24"/>
          <w:szCs w:val="24"/>
          <w:lang w:val="en-US"/>
        </w:rPr>
        <w:t xml:space="preserve"> was</w:t>
      </w:r>
      <w:r w:rsidRPr="000146C6">
        <w:rPr>
          <w:rFonts w:ascii="Times New Roman" w:eastAsia="Times New Roman" w:hAnsi="Times New Roman"/>
          <w:color w:val="000000"/>
          <w:sz w:val="24"/>
          <w:szCs w:val="24"/>
          <w:lang w:val="en-US"/>
        </w:rPr>
        <w:t xml:space="preserve"> strongly associated with</w:t>
      </w:r>
      <w:r>
        <w:rPr>
          <w:rFonts w:ascii="Times New Roman" w:eastAsia="Times New Roman" w:hAnsi="Times New Roman"/>
          <w:color w:val="000000"/>
          <w:sz w:val="24"/>
          <w:szCs w:val="24"/>
          <w:lang w:val="en-US"/>
        </w:rPr>
        <w:t xml:space="preserve"> the</w:t>
      </w:r>
      <w:r w:rsidRPr="000146C6">
        <w:rPr>
          <w:rFonts w:ascii="Times New Roman" w:eastAsia="Times New Roman" w:hAnsi="Times New Roman"/>
          <w:color w:val="000000"/>
          <w:sz w:val="24"/>
          <w:szCs w:val="24"/>
          <w:lang w:val="en-US"/>
        </w:rPr>
        <w:t xml:space="preserve"> Tanker Driver</w:t>
      </w:r>
      <w:r>
        <w:rPr>
          <w:rFonts w:ascii="Times New Roman" w:eastAsia="Times New Roman" w:hAnsi="Times New Roman"/>
          <w:color w:val="000000"/>
          <w:sz w:val="24"/>
          <w:szCs w:val="24"/>
          <w:lang w:val="en-US"/>
        </w:rPr>
        <w:t xml:space="preserve"> and</w:t>
      </w:r>
      <w:r w:rsidRPr="000146C6">
        <w:rPr>
          <w:rFonts w:ascii="Times New Roman" w:eastAsia="Times New Roman" w:hAnsi="Times New Roman"/>
          <w:color w:val="000000"/>
          <w:sz w:val="24"/>
          <w:szCs w:val="24"/>
          <w:lang w:val="en-US"/>
        </w:rPr>
        <w:t xml:space="preserve"> Terminal Operator job </w:t>
      </w:r>
      <w:r>
        <w:rPr>
          <w:rFonts w:ascii="Times New Roman" w:eastAsia="Times New Roman" w:hAnsi="Times New Roman"/>
          <w:color w:val="000000"/>
          <w:sz w:val="24"/>
          <w:szCs w:val="24"/>
          <w:lang w:val="en-US"/>
        </w:rPr>
        <w:t xml:space="preserve">categories.  These two jobs and </w:t>
      </w:r>
      <w:r w:rsidRPr="000146C6">
        <w:rPr>
          <w:rFonts w:ascii="Times New Roman" w:eastAsia="Times New Roman" w:hAnsi="Times New Roman"/>
          <w:color w:val="000000"/>
          <w:sz w:val="24"/>
          <w:szCs w:val="24"/>
          <w:lang w:val="en-US"/>
        </w:rPr>
        <w:t>Craft Workers were the high</w:t>
      </w:r>
      <w:r>
        <w:rPr>
          <w:rFonts w:ascii="Times New Roman" w:eastAsia="Times New Roman" w:hAnsi="Times New Roman"/>
          <w:color w:val="000000"/>
          <w:sz w:val="24"/>
          <w:szCs w:val="24"/>
          <w:lang w:val="en-US"/>
        </w:rPr>
        <w:t>est</w:t>
      </w:r>
      <w:r w:rsidRPr="000146C6">
        <w:rPr>
          <w:rFonts w:ascii="Times New Roman" w:eastAsia="Times New Roman" w:hAnsi="Times New Roman"/>
          <w:color w:val="000000"/>
          <w:sz w:val="24"/>
          <w:szCs w:val="24"/>
          <w:lang w:val="en-US"/>
        </w:rPr>
        <w:t xml:space="preserve"> exposed job </w:t>
      </w:r>
      <w:r>
        <w:rPr>
          <w:rFonts w:ascii="Times New Roman" w:eastAsia="Times New Roman" w:hAnsi="Times New Roman"/>
          <w:color w:val="000000"/>
          <w:sz w:val="24"/>
          <w:szCs w:val="24"/>
          <w:lang w:val="en-US"/>
        </w:rPr>
        <w:t>categories</w:t>
      </w:r>
      <w:r w:rsidRPr="000146C6">
        <w:rPr>
          <w:rFonts w:ascii="Times New Roman" w:eastAsia="Times New Roman" w:hAnsi="Times New Roman"/>
          <w:color w:val="000000"/>
          <w:sz w:val="24"/>
          <w:szCs w:val="24"/>
          <w:lang w:val="en-US"/>
        </w:rPr>
        <w:t xml:space="preserve"> and were most likely to be allocated high dermal exposures.  </w:t>
      </w:r>
    </w:p>
    <w:p w:rsidR="00FA73F4" w:rsidRDefault="00FA73F4" w:rsidP="005F02FA">
      <w:pPr>
        <w:tabs>
          <w:tab w:val="left" w:pos="284"/>
        </w:tabs>
        <w:spacing w:after="120" w:line="480" w:lineRule="auto"/>
        <w:jc w:val="both"/>
        <w:rPr>
          <w:rFonts w:ascii="Times New Roman" w:hAnsi="Times New Roman"/>
          <w:sz w:val="24"/>
          <w:szCs w:val="24"/>
          <w:lang w:val="en-US"/>
        </w:rPr>
      </w:pPr>
      <w:r w:rsidRPr="006E29EA">
        <w:rPr>
          <w:rFonts w:ascii="Times New Roman" w:hAnsi="Times New Roman"/>
          <w:sz w:val="24"/>
          <w:szCs w:val="24"/>
          <w:lang w:val="en-US"/>
        </w:rPr>
        <w:t xml:space="preserve">When examined by job category, White Collar Workers were more likely to have a high certainty score in earlier years than blue collar work, </w:t>
      </w:r>
      <w:r>
        <w:rPr>
          <w:rFonts w:ascii="Times New Roman" w:hAnsi="Times New Roman"/>
          <w:sz w:val="24"/>
          <w:szCs w:val="24"/>
          <w:lang w:val="en-US"/>
        </w:rPr>
        <w:t>because</w:t>
      </w:r>
      <w:r w:rsidRPr="006E29EA">
        <w:rPr>
          <w:rFonts w:ascii="Times New Roman" w:hAnsi="Times New Roman"/>
          <w:sz w:val="24"/>
          <w:szCs w:val="24"/>
          <w:lang w:val="en-US"/>
        </w:rPr>
        <w:t xml:space="preserve"> it was relatively certain that such a job did not entail benzene exposure.</w:t>
      </w:r>
      <w:r>
        <w:rPr>
          <w:rFonts w:ascii="Times New Roman" w:hAnsi="Times New Roman"/>
          <w:sz w:val="24"/>
          <w:szCs w:val="24"/>
          <w:lang w:val="en-US"/>
        </w:rPr>
        <w:t xml:space="preserve"> </w:t>
      </w:r>
    </w:p>
    <w:p w:rsidR="00FA73F4" w:rsidRPr="000E6AD1" w:rsidRDefault="00FA73F4" w:rsidP="002E4B5A">
      <w:pPr>
        <w:tabs>
          <w:tab w:val="left" w:pos="284"/>
        </w:tabs>
        <w:spacing w:after="120" w:line="480" w:lineRule="auto"/>
        <w:jc w:val="both"/>
        <w:rPr>
          <w:rFonts w:ascii="Times New Roman" w:hAnsi="Times New Roman"/>
          <w:sz w:val="24"/>
          <w:szCs w:val="24"/>
          <w:lang w:val="en-US"/>
        </w:rPr>
      </w:pPr>
      <w:r w:rsidRPr="00F95C54">
        <w:rPr>
          <w:rFonts w:ascii="Times New Roman" w:hAnsi="Times New Roman"/>
          <w:sz w:val="24"/>
          <w:szCs w:val="24"/>
          <w:lang w:val="en-US"/>
        </w:rPr>
        <w:fldChar w:fldCharType="begin"/>
      </w:r>
      <w:r w:rsidRPr="00F95C54">
        <w:rPr>
          <w:rFonts w:ascii="Times New Roman" w:hAnsi="Times New Roman"/>
          <w:sz w:val="24"/>
          <w:szCs w:val="24"/>
          <w:lang w:val="en-US"/>
        </w:rPr>
        <w:instrText xml:space="preserve"> REF _Ref481575392 \h  \* MERGEFORMAT </w:instrText>
      </w:r>
      <w:r w:rsidRPr="00F95C54">
        <w:rPr>
          <w:rFonts w:ascii="Times New Roman" w:hAnsi="Times New Roman"/>
          <w:sz w:val="24"/>
          <w:szCs w:val="24"/>
          <w:lang w:val="en-US"/>
        </w:rPr>
      </w:r>
      <w:r w:rsidRPr="00F95C54">
        <w:rPr>
          <w:rFonts w:ascii="Times New Roman" w:hAnsi="Times New Roman"/>
          <w:sz w:val="24"/>
          <w:szCs w:val="24"/>
          <w:lang w:val="en-US"/>
        </w:rPr>
        <w:fldChar w:fldCharType="separate"/>
      </w:r>
      <w:r w:rsidRPr="00F95C54">
        <w:rPr>
          <w:rFonts w:ascii="Times New Roman" w:hAnsi="Times New Roman"/>
          <w:sz w:val="24"/>
          <w:szCs w:val="24"/>
        </w:rPr>
        <w:t>Figure 2</w:t>
      </w:r>
      <w:r w:rsidRPr="00F95C54">
        <w:rPr>
          <w:rFonts w:ascii="Times New Roman" w:hAnsi="Times New Roman"/>
          <w:sz w:val="24"/>
          <w:szCs w:val="24"/>
          <w:lang w:val="en-US"/>
        </w:rPr>
        <w:fldChar w:fldCharType="end"/>
      </w:r>
      <w:r w:rsidRPr="00F95C54">
        <w:rPr>
          <w:rFonts w:ascii="Times New Roman" w:hAnsi="Times New Roman"/>
          <w:sz w:val="24"/>
          <w:szCs w:val="24"/>
          <w:lang w:val="en-US"/>
        </w:rPr>
        <w:t xml:space="preserve"> </w:t>
      </w:r>
      <w:r>
        <w:rPr>
          <w:rFonts w:ascii="Times New Roman" w:hAnsi="Times New Roman"/>
          <w:sz w:val="24"/>
          <w:szCs w:val="24"/>
          <w:lang w:val="en-US"/>
        </w:rPr>
        <w:t xml:space="preserve">shows the distribution of cumulative exposure estimates by case/control status for the five disease groups that were investigated.  </w:t>
      </w:r>
      <w:r w:rsidRPr="000E6AD1">
        <w:rPr>
          <w:rFonts w:ascii="Times New Roman" w:hAnsi="Times New Roman"/>
          <w:sz w:val="24"/>
          <w:szCs w:val="24"/>
          <w:lang w:val="en-US"/>
        </w:rPr>
        <w:t xml:space="preserve">The </w:t>
      </w:r>
      <w:r>
        <w:rPr>
          <w:rFonts w:ascii="Times New Roman" w:hAnsi="Times New Roman"/>
          <w:sz w:val="24"/>
          <w:szCs w:val="24"/>
          <w:lang w:val="en-US"/>
        </w:rPr>
        <w:t xml:space="preserve">cumulative exposure distribution for </w:t>
      </w:r>
      <w:r w:rsidRPr="000E6AD1">
        <w:rPr>
          <w:rFonts w:ascii="Times New Roman" w:hAnsi="Times New Roman"/>
          <w:sz w:val="24"/>
          <w:szCs w:val="24"/>
          <w:lang w:val="en-US"/>
        </w:rPr>
        <w:t xml:space="preserve">MDS cases </w:t>
      </w:r>
      <w:r>
        <w:rPr>
          <w:rFonts w:ascii="Times New Roman" w:hAnsi="Times New Roman"/>
          <w:sz w:val="24"/>
          <w:szCs w:val="24"/>
          <w:lang w:val="en-US"/>
        </w:rPr>
        <w:t>was higher than for their controls,</w:t>
      </w:r>
      <w:r w:rsidRPr="00CC203C">
        <w:rPr>
          <w:rFonts w:ascii="Times New Roman" w:hAnsi="Times New Roman"/>
          <w:sz w:val="24"/>
          <w:szCs w:val="24"/>
          <w:lang w:val="en-US"/>
        </w:rPr>
        <w:t xml:space="preserve"> </w:t>
      </w:r>
      <w:r w:rsidRPr="000E6AD1">
        <w:rPr>
          <w:rFonts w:ascii="Times New Roman" w:hAnsi="Times New Roman"/>
          <w:sz w:val="24"/>
          <w:szCs w:val="24"/>
          <w:lang w:val="en-US"/>
        </w:rPr>
        <w:t xml:space="preserve">the difference </w:t>
      </w:r>
      <w:r>
        <w:rPr>
          <w:rFonts w:ascii="Times New Roman" w:hAnsi="Times New Roman"/>
          <w:sz w:val="24"/>
          <w:szCs w:val="24"/>
          <w:lang w:val="en-US"/>
        </w:rPr>
        <w:t xml:space="preserve">in distribution </w:t>
      </w:r>
      <w:r w:rsidRPr="000E6AD1">
        <w:rPr>
          <w:rFonts w:ascii="Times New Roman" w:hAnsi="Times New Roman"/>
          <w:sz w:val="24"/>
          <w:szCs w:val="24"/>
          <w:lang w:val="en-US"/>
        </w:rPr>
        <w:t xml:space="preserve">being mostly visible around </w:t>
      </w:r>
      <w:r>
        <w:rPr>
          <w:rFonts w:ascii="Times New Roman" w:hAnsi="Times New Roman"/>
          <w:sz w:val="24"/>
          <w:szCs w:val="24"/>
          <w:lang w:val="en-US"/>
        </w:rPr>
        <w:t xml:space="preserve">1- </w:t>
      </w:r>
      <w:r w:rsidRPr="000E6AD1">
        <w:rPr>
          <w:rFonts w:ascii="Times New Roman" w:hAnsi="Times New Roman"/>
          <w:sz w:val="24"/>
          <w:szCs w:val="24"/>
          <w:lang w:val="en-US"/>
        </w:rPr>
        <w:t>10 ppm-years</w:t>
      </w:r>
      <w:r>
        <w:rPr>
          <w:rFonts w:ascii="Times New Roman" w:hAnsi="Times New Roman"/>
          <w:sz w:val="24"/>
          <w:szCs w:val="24"/>
          <w:lang w:val="en-US"/>
        </w:rPr>
        <w:t xml:space="preserve"> (the relatively higher portion of the curve).  They also </w:t>
      </w:r>
      <w:r w:rsidRPr="000E6AD1">
        <w:rPr>
          <w:rFonts w:ascii="Times New Roman" w:hAnsi="Times New Roman"/>
          <w:sz w:val="24"/>
          <w:szCs w:val="24"/>
          <w:lang w:val="en-US"/>
        </w:rPr>
        <w:t xml:space="preserve">had higher mean (7.44 ppm-years) cumulative exposure </w:t>
      </w:r>
      <w:r>
        <w:rPr>
          <w:rFonts w:ascii="Times New Roman" w:hAnsi="Times New Roman"/>
          <w:sz w:val="24"/>
          <w:szCs w:val="24"/>
          <w:lang w:val="en-US"/>
        </w:rPr>
        <w:t xml:space="preserve">estimate </w:t>
      </w:r>
      <w:r w:rsidRPr="000E6AD1">
        <w:rPr>
          <w:rFonts w:ascii="Times New Roman" w:hAnsi="Times New Roman"/>
          <w:sz w:val="24"/>
          <w:szCs w:val="24"/>
          <w:lang w:val="en-US"/>
        </w:rPr>
        <w:t>than their</w:t>
      </w:r>
      <w:r>
        <w:rPr>
          <w:rFonts w:ascii="Times New Roman" w:hAnsi="Times New Roman"/>
          <w:sz w:val="24"/>
          <w:szCs w:val="24"/>
          <w:lang w:val="en-US"/>
        </w:rPr>
        <w:t xml:space="preserve"> controls (mean 4.63 ppm-years). </w:t>
      </w:r>
      <w:r w:rsidRPr="000E6AD1">
        <w:rPr>
          <w:rFonts w:ascii="Times New Roman" w:hAnsi="Times New Roman"/>
          <w:sz w:val="24"/>
          <w:szCs w:val="24"/>
          <w:lang w:val="en-US"/>
        </w:rPr>
        <w:t xml:space="preserve"> </w:t>
      </w:r>
      <w:r>
        <w:rPr>
          <w:rFonts w:ascii="Times New Roman" w:hAnsi="Times New Roman"/>
          <w:sz w:val="24"/>
          <w:szCs w:val="24"/>
          <w:lang w:val="en-US"/>
        </w:rPr>
        <w:t xml:space="preserve">In contrast, cumulative exposure distributions are similar and overlapping for the other four </w:t>
      </w:r>
      <w:r>
        <w:rPr>
          <w:rFonts w:ascii="Times New Roman" w:hAnsi="Times New Roman"/>
          <w:sz w:val="24"/>
          <w:szCs w:val="24"/>
          <w:lang w:val="en-US"/>
        </w:rPr>
        <w:lastRenderedPageBreak/>
        <w:t xml:space="preserve">disease endpoints.  This simple distributional graphic reflects the major cumulative exposure findings on risk by disease category. </w:t>
      </w:r>
    </w:p>
    <w:p w:rsidR="00FA73F4" w:rsidRPr="000E6AD1" w:rsidRDefault="00FA73F4" w:rsidP="002E4B5A">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7331E9">
        <w:rPr>
          <w:rFonts w:ascii="Times New Roman" w:hAnsi="Times New Roman"/>
          <w:sz w:val="24"/>
          <w:szCs w:val="24"/>
          <w:lang w:val="en-US"/>
        </w:rPr>
        <w:fldChar w:fldCharType="begin"/>
      </w:r>
      <w:r w:rsidRPr="007331E9">
        <w:rPr>
          <w:rFonts w:ascii="Times New Roman" w:hAnsi="Times New Roman"/>
          <w:sz w:val="24"/>
          <w:szCs w:val="24"/>
          <w:lang w:val="en-US"/>
        </w:rPr>
        <w:instrText xml:space="preserve"> REF _Ref456952585 \h  \* MERGEFORMAT </w:instrText>
      </w:r>
      <w:r w:rsidRPr="007331E9">
        <w:rPr>
          <w:rFonts w:ascii="Times New Roman" w:hAnsi="Times New Roman"/>
          <w:sz w:val="24"/>
          <w:szCs w:val="24"/>
          <w:lang w:val="en-US"/>
        </w:rPr>
      </w:r>
      <w:r w:rsidRPr="007331E9">
        <w:rPr>
          <w:rFonts w:ascii="Times New Roman" w:hAnsi="Times New Roman"/>
          <w:sz w:val="24"/>
          <w:szCs w:val="24"/>
          <w:lang w:val="en-US"/>
        </w:rPr>
        <w:fldChar w:fldCharType="separate"/>
      </w:r>
      <w:r w:rsidRPr="008D768C">
        <w:rPr>
          <w:rFonts w:ascii="Times New Roman" w:hAnsi="Times New Roman"/>
          <w:sz w:val="24"/>
          <w:szCs w:val="24"/>
          <w:lang w:val="en-US"/>
        </w:rPr>
        <w:t xml:space="preserve">Figure </w:t>
      </w:r>
      <w:r w:rsidRPr="008D768C">
        <w:rPr>
          <w:rFonts w:ascii="Times New Roman" w:hAnsi="Times New Roman"/>
          <w:noProof/>
          <w:sz w:val="24"/>
          <w:szCs w:val="24"/>
          <w:lang w:val="en-US"/>
        </w:rPr>
        <w:t>3</w:t>
      </w:r>
      <w:r w:rsidRPr="007331E9">
        <w:rPr>
          <w:rFonts w:ascii="Times New Roman" w:hAnsi="Times New Roman"/>
          <w:sz w:val="24"/>
          <w:szCs w:val="24"/>
          <w:lang w:val="en-US"/>
        </w:rPr>
        <w:fldChar w:fldCharType="end"/>
      </w:r>
      <w:r w:rsidRPr="007331E9">
        <w:rPr>
          <w:rFonts w:ascii="Times New Roman" w:hAnsi="Times New Roman"/>
          <w:sz w:val="24"/>
          <w:szCs w:val="24"/>
          <w:lang w:val="en-US"/>
        </w:rPr>
        <w:t xml:space="preserve"> shows</w:t>
      </w:r>
      <w:r>
        <w:rPr>
          <w:rFonts w:ascii="Times New Roman" w:hAnsi="Times New Roman"/>
          <w:sz w:val="24"/>
          <w:szCs w:val="24"/>
          <w:lang w:val="en-US"/>
        </w:rPr>
        <w:t xml:space="preserve"> that MDS and MPD cases were estimated to have higher median average intensity of benzene exposure (ppm) than their controls.  ALL, CML and CML cases had a similar median average intensity estimate than their respective controls.  The</w:t>
      </w:r>
      <w:r w:rsidRPr="000E6AD1">
        <w:rPr>
          <w:rFonts w:ascii="Times New Roman" w:hAnsi="Times New Roman"/>
          <w:sz w:val="24"/>
          <w:szCs w:val="24"/>
          <w:lang w:val="en-US"/>
        </w:rPr>
        <w:t xml:space="preserve"> </w:t>
      </w:r>
      <w:r>
        <w:rPr>
          <w:rFonts w:ascii="Times New Roman" w:hAnsi="Times New Roman"/>
          <w:sz w:val="24"/>
          <w:szCs w:val="24"/>
          <w:lang w:val="en-US"/>
        </w:rPr>
        <w:t xml:space="preserve">median of the maximum benzene exposure intensity job held was highest for MDS cases (data not shown), the </w:t>
      </w:r>
      <w:r w:rsidRPr="000E6AD1">
        <w:rPr>
          <w:rFonts w:ascii="Times New Roman" w:hAnsi="Times New Roman"/>
          <w:sz w:val="24"/>
          <w:szCs w:val="24"/>
          <w:lang w:val="en-US"/>
        </w:rPr>
        <w:t>mean maximum exposure intensity was 0.64 ppm for MDS cases compared to 0.39 ppm for the</w:t>
      </w:r>
      <w:r>
        <w:rPr>
          <w:rFonts w:ascii="Times New Roman" w:hAnsi="Times New Roman"/>
          <w:sz w:val="24"/>
          <w:szCs w:val="24"/>
          <w:lang w:val="en-US"/>
        </w:rPr>
        <w:t>ir</w:t>
      </w:r>
      <w:r w:rsidRPr="000E6AD1">
        <w:rPr>
          <w:rFonts w:ascii="Times New Roman" w:hAnsi="Times New Roman"/>
          <w:sz w:val="24"/>
          <w:szCs w:val="24"/>
          <w:lang w:val="en-US"/>
        </w:rPr>
        <w:t xml:space="preserve"> controls.  Among the other disease groups</w:t>
      </w:r>
      <w:r>
        <w:rPr>
          <w:rFonts w:ascii="Times New Roman" w:hAnsi="Times New Roman"/>
          <w:sz w:val="24"/>
          <w:szCs w:val="24"/>
          <w:lang w:val="en-US"/>
        </w:rPr>
        <w:t>,</w:t>
      </w:r>
      <w:r w:rsidRPr="000E6AD1">
        <w:rPr>
          <w:rFonts w:ascii="Times New Roman" w:hAnsi="Times New Roman"/>
          <w:sz w:val="24"/>
          <w:szCs w:val="24"/>
          <w:lang w:val="en-US"/>
        </w:rPr>
        <w:t xml:space="preserve"> controls ha</w:t>
      </w:r>
      <w:r>
        <w:rPr>
          <w:rFonts w:ascii="Times New Roman" w:hAnsi="Times New Roman"/>
          <w:sz w:val="24"/>
          <w:szCs w:val="24"/>
          <w:lang w:val="en-US"/>
        </w:rPr>
        <w:t>d</w:t>
      </w:r>
      <w:r w:rsidRPr="000E6AD1">
        <w:rPr>
          <w:rFonts w:ascii="Times New Roman" w:hAnsi="Times New Roman"/>
          <w:sz w:val="24"/>
          <w:szCs w:val="24"/>
          <w:lang w:val="en-US"/>
        </w:rPr>
        <w:t xml:space="preserve"> similar </w:t>
      </w:r>
      <w:r>
        <w:rPr>
          <w:rFonts w:ascii="Times New Roman" w:hAnsi="Times New Roman"/>
          <w:sz w:val="24"/>
          <w:szCs w:val="24"/>
          <w:lang w:val="en-US"/>
        </w:rPr>
        <w:t>average</w:t>
      </w:r>
      <w:r w:rsidRPr="000E6AD1">
        <w:rPr>
          <w:rFonts w:ascii="Times New Roman" w:hAnsi="Times New Roman"/>
          <w:sz w:val="24"/>
          <w:szCs w:val="24"/>
          <w:lang w:val="en-US"/>
        </w:rPr>
        <w:t xml:space="preserve"> maximum intensit</w:t>
      </w:r>
      <w:r>
        <w:rPr>
          <w:rFonts w:ascii="Times New Roman" w:hAnsi="Times New Roman"/>
          <w:sz w:val="24"/>
          <w:szCs w:val="24"/>
          <w:lang w:val="en-US"/>
        </w:rPr>
        <w:t>y estimates</w:t>
      </w:r>
      <w:r w:rsidRPr="000E6AD1">
        <w:rPr>
          <w:rFonts w:ascii="Times New Roman" w:hAnsi="Times New Roman"/>
          <w:sz w:val="24"/>
          <w:szCs w:val="24"/>
          <w:lang w:val="en-US"/>
        </w:rPr>
        <w:t xml:space="preserve"> (data not shown).</w:t>
      </w:r>
      <w:r>
        <w:rPr>
          <w:rFonts w:ascii="Times New Roman" w:hAnsi="Times New Roman"/>
          <w:sz w:val="24"/>
          <w:szCs w:val="24"/>
          <w:lang w:val="en-US"/>
        </w:rPr>
        <w:t xml:space="preserve">  </w:t>
      </w:r>
      <w:r w:rsidRPr="00A27F8B">
        <w:rPr>
          <w:rFonts w:ascii="Times New Roman" w:hAnsi="Times New Roman"/>
          <w:sz w:val="24"/>
          <w:szCs w:val="24"/>
          <w:lang w:val="en-US"/>
        </w:rPr>
        <w:fldChar w:fldCharType="begin"/>
      </w:r>
      <w:r w:rsidRPr="00A27F8B">
        <w:rPr>
          <w:rFonts w:ascii="Times New Roman" w:hAnsi="Times New Roman"/>
          <w:sz w:val="24"/>
          <w:szCs w:val="24"/>
          <w:lang w:val="en-US"/>
        </w:rPr>
        <w:instrText xml:space="preserve"> REF _Ref456955858 \h  \* MERGEFORMAT </w:instrText>
      </w:r>
      <w:r w:rsidRPr="00A27F8B">
        <w:rPr>
          <w:rFonts w:ascii="Times New Roman" w:hAnsi="Times New Roman"/>
          <w:sz w:val="24"/>
          <w:szCs w:val="24"/>
          <w:lang w:val="en-US"/>
        </w:rPr>
      </w:r>
      <w:r w:rsidRPr="00A27F8B">
        <w:rPr>
          <w:rFonts w:ascii="Times New Roman" w:hAnsi="Times New Roman"/>
          <w:sz w:val="24"/>
          <w:szCs w:val="24"/>
          <w:lang w:val="en-US"/>
        </w:rPr>
        <w:fldChar w:fldCharType="separate"/>
      </w:r>
      <w:r w:rsidRPr="008D768C">
        <w:rPr>
          <w:rFonts w:ascii="Times New Roman" w:hAnsi="Times New Roman"/>
          <w:sz w:val="24"/>
          <w:szCs w:val="24"/>
          <w:lang w:val="en-US"/>
        </w:rPr>
        <w:t xml:space="preserve">Figure </w:t>
      </w:r>
      <w:r w:rsidRPr="008D768C">
        <w:rPr>
          <w:rFonts w:ascii="Times New Roman" w:hAnsi="Times New Roman"/>
          <w:noProof/>
          <w:sz w:val="24"/>
          <w:szCs w:val="24"/>
          <w:lang w:val="en-US"/>
        </w:rPr>
        <w:t>4</w:t>
      </w:r>
      <w:r w:rsidRPr="00A27F8B">
        <w:rPr>
          <w:rFonts w:ascii="Times New Roman" w:hAnsi="Times New Roman"/>
          <w:sz w:val="24"/>
          <w:szCs w:val="24"/>
          <w:lang w:val="en-US"/>
        </w:rPr>
        <w:fldChar w:fldCharType="end"/>
      </w:r>
      <w:r w:rsidRPr="00A27F8B">
        <w:rPr>
          <w:rFonts w:ascii="Times New Roman" w:hAnsi="Times New Roman"/>
          <w:sz w:val="24"/>
          <w:szCs w:val="24"/>
          <w:lang w:val="en-US"/>
        </w:rPr>
        <w:t xml:space="preserve"> shows that MDS cases </w:t>
      </w:r>
      <w:r>
        <w:rPr>
          <w:rFonts w:ascii="Times New Roman" w:hAnsi="Times New Roman"/>
          <w:sz w:val="24"/>
          <w:szCs w:val="24"/>
          <w:lang w:val="en-US"/>
        </w:rPr>
        <w:t xml:space="preserve">also </w:t>
      </w:r>
      <w:r w:rsidRPr="00A27F8B">
        <w:rPr>
          <w:rFonts w:ascii="Times New Roman" w:hAnsi="Times New Roman"/>
          <w:sz w:val="24"/>
          <w:szCs w:val="24"/>
          <w:lang w:val="en-US"/>
        </w:rPr>
        <w:t>had the highest median cumulative benzene exposure</w:t>
      </w:r>
      <w:r>
        <w:rPr>
          <w:rFonts w:ascii="Times New Roman" w:hAnsi="Times New Roman"/>
          <w:sz w:val="24"/>
          <w:szCs w:val="24"/>
          <w:lang w:val="en-US"/>
        </w:rPr>
        <w:t xml:space="preserve"> estimates</w:t>
      </w:r>
      <w:r w:rsidRPr="00A27F8B">
        <w:rPr>
          <w:rFonts w:ascii="Times New Roman" w:hAnsi="Times New Roman"/>
          <w:sz w:val="24"/>
          <w:szCs w:val="24"/>
          <w:lang w:val="en-US"/>
        </w:rPr>
        <w:t xml:space="preserve"> (ppm-</w:t>
      </w:r>
      <w:r>
        <w:rPr>
          <w:rFonts w:ascii="Times New Roman" w:hAnsi="Times New Roman"/>
          <w:sz w:val="24"/>
          <w:szCs w:val="24"/>
          <w:lang w:val="en-US"/>
        </w:rPr>
        <w:t>years).  The AML cases had slightly higher cumulative and intensity exposure estimates than their controls but the difference was less marked than for the MDS cases.</w:t>
      </w:r>
    </w:p>
    <w:p w:rsidR="00FA73F4" w:rsidRDefault="00FA73F4" w:rsidP="00D61386">
      <w:pPr>
        <w:tabs>
          <w:tab w:val="left" w:pos="284"/>
        </w:tabs>
        <w:spacing w:after="120" w:line="480" w:lineRule="auto"/>
        <w:jc w:val="both"/>
        <w:rPr>
          <w:rFonts w:ascii="Times New Roman" w:eastAsia="Times New Roman" w:hAnsi="Times New Roman"/>
          <w:sz w:val="24"/>
          <w:szCs w:val="24"/>
          <w:lang w:val="en-US"/>
        </w:rPr>
      </w:pPr>
      <w:r>
        <w:rPr>
          <w:rFonts w:ascii="Times New Roman" w:hAnsi="Times New Roman"/>
          <w:sz w:val="24"/>
          <w:szCs w:val="24"/>
          <w:lang w:val="en-US"/>
        </w:rPr>
        <w:tab/>
        <w:t xml:space="preserve">Table III also </w:t>
      </w:r>
      <w:r w:rsidRPr="000F527C">
        <w:rPr>
          <w:rFonts w:ascii="Times New Roman" w:hAnsi="Times New Roman"/>
          <w:sz w:val="24"/>
          <w:szCs w:val="24"/>
          <w:lang w:val="en-US"/>
        </w:rPr>
        <w:t xml:space="preserve">shows that about </w:t>
      </w:r>
      <w:r>
        <w:rPr>
          <w:rFonts w:ascii="Times New Roman" w:hAnsi="Times New Roman"/>
          <w:sz w:val="24"/>
          <w:szCs w:val="24"/>
          <w:lang w:val="en-US"/>
        </w:rPr>
        <w:t>39</w:t>
      </w:r>
      <w:r w:rsidRPr="000F527C">
        <w:rPr>
          <w:rFonts w:ascii="Times New Roman" w:hAnsi="Times New Roman"/>
          <w:sz w:val="24"/>
          <w:szCs w:val="24"/>
          <w:lang w:val="en-US"/>
        </w:rPr>
        <w:t xml:space="preserve">% of </w:t>
      </w:r>
      <w:r>
        <w:rPr>
          <w:rFonts w:ascii="Times New Roman" w:hAnsi="Times New Roman"/>
          <w:sz w:val="24"/>
          <w:szCs w:val="24"/>
          <w:lang w:val="en-US"/>
        </w:rPr>
        <w:t xml:space="preserve">study </w:t>
      </w:r>
      <w:r w:rsidRPr="000F527C">
        <w:rPr>
          <w:rFonts w:ascii="Times New Roman" w:hAnsi="Times New Roman"/>
          <w:sz w:val="24"/>
          <w:szCs w:val="24"/>
          <w:lang w:val="en-US"/>
        </w:rPr>
        <w:t>participants had a high probability of ever having been allocated a dermal exposure</w:t>
      </w:r>
      <w:r>
        <w:rPr>
          <w:rFonts w:ascii="Times New Roman" w:hAnsi="Times New Roman"/>
          <w:sz w:val="24"/>
          <w:szCs w:val="24"/>
          <w:lang w:val="en-US"/>
        </w:rPr>
        <w:t>, with little variation by study (Table I)</w:t>
      </w:r>
      <w:r>
        <w:rPr>
          <w:rFonts w:ascii="Times New Roman" w:hAnsi="Times New Roman"/>
          <w:sz w:val="24"/>
          <w:szCs w:val="24"/>
          <w:lang w:val="en-US" w:eastAsia="x-none"/>
        </w:rPr>
        <w:t>.</w:t>
      </w:r>
      <w:r w:rsidRPr="000F527C">
        <w:rPr>
          <w:rFonts w:ascii="Times New Roman" w:hAnsi="Times New Roman"/>
          <w:sz w:val="24"/>
          <w:szCs w:val="24"/>
          <w:lang w:val="en-US" w:eastAsia="x-none"/>
        </w:rPr>
        <w:t xml:space="preserve">  </w:t>
      </w:r>
      <w:r>
        <w:rPr>
          <w:rFonts w:ascii="Times New Roman" w:hAnsi="Times New Roman"/>
          <w:sz w:val="24"/>
          <w:szCs w:val="24"/>
          <w:lang w:val="en-US"/>
        </w:rPr>
        <w:t xml:space="preserve">Most office workers had low exposure although a few were allocated peak and high dermal exposure indicating that they could come into close contact with benzene-containing products.  </w:t>
      </w:r>
      <w:r>
        <w:rPr>
          <w:rFonts w:ascii="Times New Roman" w:eastAsia="Times New Roman" w:hAnsi="Times New Roman"/>
          <w:color w:val="000000"/>
          <w:sz w:val="24"/>
          <w:szCs w:val="24"/>
          <w:lang w:val="en-US"/>
        </w:rPr>
        <w:t>Airport and marine workers had a lower probability of peak and high dermal exposures than terminal workers</w:t>
      </w:r>
      <w:r>
        <w:rPr>
          <w:rFonts w:ascii="Times New Roman" w:eastAsia="Times New Roman" w:hAnsi="Times New Roman"/>
          <w:sz w:val="24"/>
          <w:szCs w:val="24"/>
          <w:lang w:val="en-US"/>
        </w:rPr>
        <w:t>.</w:t>
      </w:r>
      <w:r w:rsidRPr="002B65F7">
        <w:rPr>
          <w:rFonts w:ascii="Times New Roman" w:eastAsia="Times New Roman" w:hAnsi="Times New Roman"/>
          <w:sz w:val="24"/>
          <w:szCs w:val="24"/>
          <w:lang w:val="en-US"/>
        </w:rPr>
        <w:t xml:space="preserve"> </w:t>
      </w:r>
    </w:p>
    <w:p w:rsidR="00FA73F4" w:rsidRDefault="00FA73F4" w:rsidP="00D61386">
      <w:pPr>
        <w:tabs>
          <w:tab w:val="left" w:pos="284"/>
        </w:tabs>
        <w:spacing w:after="120" w:line="480" w:lineRule="auto"/>
        <w:jc w:val="both"/>
        <w:rPr>
          <w:rFonts w:ascii="Times New Roman" w:hAnsi="Times New Roman"/>
          <w:b/>
          <w:sz w:val="24"/>
          <w:szCs w:val="24"/>
          <w:lang w:val="en-US"/>
        </w:rPr>
      </w:pPr>
      <w:r>
        <w:rPr>
          <w:rFonts w:ascii="Times New Roman" w:hAnsi="Times New Roman"/>
          <w:sz w:val="24"/>
          <w:szCs w:val="24"/>
          <w:lang w:val="en-US"/>
        </w:rPr>
        <w:tab/>
        <w:t>Peak exposures were allocated to a</w:t>
      </w:r>
      <w:r w:rsidRPr="000F527C">
        <w:rPr>
          <w:rFonts w:ascii="Times New Roman" w:hAnsi="Times New Roman"/>
          <w:sz w:val="24"/>
          <w:szCs w:val="24"/>
          <w:lang w:val="en-US"/>
        </w:rPr>
        <w:t xml:space="preserve">bout 50% of </w:t>
      </w:r>
      <w:r>
        <w:rPr>
          <w:rFonts w:ascii="Times New Roman" w:hAnsi="Times New Roman"/>
          <w:sz w:val="24"/>
          <w:szCs w:val="24"/>
          <w:lang w:val="en-US"/>
        </w:rPr>
        <w:t>individual</w:t>
      </w:r>
      <w:r w:rsidRPr="000F527C">
        <w:rPr>
          <w:rFonts w:ascii="Times New Roman" w:hAnsi="Times New Roman"/>
          <w:sz w:val="24"/>
          <w:szCs w:val="24"/>
          <w:lang w:val="en-US"/>
        </w:rPr>
        <w:t>s in the Canadian and UK studies</w:t>
      </w:r>
      <w:r>
        <w:rPr>
          <w:rFonts w:ascii="Times New Roman" w:hAnsi="Times New Roman"/>
          <w:sz w:val="24"/>
          <w:szCs w:val="24"/>
          <w:lang w:val="en-US"/>
        </w:rPr>
        <w:t>,</w:t>
      </w:r>
      <w:r w:rsidRPr="000F527C">
        <w:rPr>
          <w:rFonts w:ascii="Times New Roman" w:hAnsi="Times New Roman"/>
          <w:sz w:val="24"/>
          <w:szCs w:val="24"/>
          <w:lang w:val="en-US"/>
        </w:rPr>
        <w:t xml:space="preserve"> but only 35% in the Australian study</w:t>
      </w:r>
      <w:r>
        <w:rPr>
          <w:rFonts w:ascii="Times New Roman" w:hAnsi="Times New Roman"/>
          <w:sz w:val="24"/>
          <w:szCs w:val="24"/>
          <w:lang w:val="en-US"/>
        </w:rPr>
        <w:t xml:space="preserve"> participants (Table I)</w:t>
      </w:r>
      <w:r w:rsidRPr="000F527C">
        <w:rPr>
          <w:rFonts w:ascii="Times New Roman" w:hAnsi="Times New Roman"/>
          <w:sz w:val="24"/>
          <w:szCs w:val="24"/>
          <w:lang w:val="en-US"/>
        </w:rPr>
        <w:t xml:space="preserve">.  The difference </w:t>
      </w:r>
      <w:r>
        <w:rPr>
          <w:rFonts w:ascii="Times New Roman" w:hAnsi="Times New Roman"/>
          <w:sz w:val="24"/>
          <w:szCs w:val="24"/>
          <w:lang w:val="en-US"/>
        </w:rPr>
        <w:t>can be partially attributed to</w:t>
      </w:r>
      <w:r w:rsidRPr="000F527C">
        <w:rPr>
          <w:rFonts w:ascii="Times New Roman" w:hAnsi="Times New Roman"/>
          <w:sz w:val="24"/>
          <w:szCs w:val="24"/>
          <w:lang w:val="en-US"/>
        </w:rPr>
        <w:t xml:space="preserve"> the inclusion of refinery and upstream workers in the Australian study </w:t>
      </w:r>
      <w:r>
        <w:rPr>
          <w:rFonts w:ascii="Times New Roman" w:hAnsi="Times New Roman"/>
          <w:sz w:val="24"/>
          <w:szCs w:val="24"/>
          <w:lang w:val="en-US"/>
        </w:rPr>
        <w:t>for whom</w:t>
      </w:r>
      <w:r w:rsidRPr="000F527C">
        <w:rPr>
          <w:rFonts w:ascii="Times New Roman" w:hAnsi="Times New Roman"/>
          <w:sz w:val="24"/>
          <w:szCs w:val="24"/>
          <w:lang w:val="en-US"/>
        </w:rPr>
        <w:t xml:space="preserve"> </w:t>
      </w:r>
      <w:r w:rsidRPr="00D03AA4">
        <w:rPr>
          <w:rFonts w:ascii="Times New Roman" w:hAnsi="Times New Roman"/>
          <w:sz w:val="24"/>
          <w:szCs w:val="24"/>
          <w:lang w:val="en-US"/>
        </w:rPr>
        <w:t xml:space="preserve">peak exposures, as defined </w:t>
      </w:r>
      <w:r>
        <w:rPr>
          <w:rFonts w:ascii="Times New Roman" w:hAnsi="Times New Roman"/>
          <w:sz w:val="24"/>
          <w:szCs w:val="24"/>
          <w:lang w:val="en-US"/>
        </w:rPr>
        <w:t>in</w:t>
      </w:r>
      <w:r w:rsidRPr="00D03AA4">
        <w:rPr>
          <w:rFonts w:ascii="Times New Roman" w:hAnsi="Times New Roman"/>
          <w:sz w:val="24"/>
          <w:szCs w:val="24"/>
          <w:lang w:val="en-US"/>
        </w:rPr>
        <w:t xml:space="preserve"> this study, are less common.  Fewer jobs at refineries (14%)</w:t>
      </w:r>
      <w:r w:rsidRPr="0005107C">
        <w:rPr>
          <w:rFonts w:ascii="Times New Roman" w:hAnsi="Times New Roman"/>
          <w:sz w:val="24"/>
          <w:szCs w:val="24"/>
          <w:lang w:val="en-US"/>
        </w:rPr>
        <w:t xml:space="preserve"> and marine sites (26%) were allocated peak exposure</w:t>
      </w:r>
      <w:r>
        <w:rPr>
          <w:rFonts w:ascii="Times New Roman" w:hAnsi="Times New Roman"/>
          <w:sz w:val="24"/>
          <w:szCs w:val="24"/>
          <w:lang w:val="en-US"/>
        </w:rPr>
        <w:t xml:space="preserve"> (Table III)</w:t>
      </w:r>
      <w:r w:rsidRPr="0005107C">
        <w:rPr>
          <w:rFonts w:ascii="Times New Roman" w:hAnsi="Times New Roman"/>
          <w:sz w:val="24"/>
          <w:szCs w:val="24"/>
          <w:lang w:val="en-US"/>
        </w:rPr>
        <w:t xml:space="preserve">.  </w:t>
      </w:r>
    </w:p>
    <w:p w:rsidR="00FA73F4" w:rsidRDefault="00FA73F4" w:rsidP="00D61386">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lastRenderedPageBreak/>
        <w:tab/>
        <w:t xml:space="preserve">Peak exposures occurred mostly at terminals (43%) </w:t>
      </w:r>
      <w:r w:rsidRPr="006A4C9B">
        <w:rPr>
          <w:rFonts w:ascii="Times New Roman" w:hAnsi="Times New Roman"/>
          <w:sz w:val="24"/>
          <w:szCs w:val="24"/>
          <w:lang w:val="en-US"/>
        </w:rPr>
        <w:t>(</w:t>
      </w:r>
      <w:r>
        <w:rPr>
          <w:rFonts w:ascii="Times New Roman" w:hAnsi="Times New Roman"/>
          <w:sz w:val="24"/>
          <w:szCs w:val="24"/>
          <w:lang w:val="en-US"/>
        </w:rPr>
        <w:t>Table II) and were allocated to 97% of Terminal O</w:t>
      </w:r>
      <w:r w:rsidRPr="006A4C9B">
        <w:rPr>
          <w:rFonts w:ascii="Times New Roman" w:hAnsi="Times New Roman"/>
          <w:sz w:val="24"/>
          <w:szCs w:val="24"/>
          <w:lang w:val="en-US"/>
        </w:rPr>
        <w:t xml:space="preserve">perators and 84% of </w:t>
      </w:r>
      <w:r>
        <w:rPr>
          <w:rFonts w:ascii="Times New Roman" w:hAnsi="Times New Roman"/>
          <w:sz w:val="24"/>
          <w:szCs w:val="24"/>
          <w:lang w:val="en-US"/>
        </w:rPr>
        <w:t>T</w:t>
      </w:r>
      <w:r w:rsidRPr="006A4C9B">
        <w:rPr>
          <w:rFonts w:ascii="Times New Roman" w:hAnsi="Times New Roman"/>
          <w:sz w:val="24"/>
          <w:szCs w:val="24"/>
          <w:lang w:val="en-US"/>
        </w:rPr>
        <w:t xml:space="preserve">anker </w:t>
      </w:r>
      <w:r>
        <w:rPr>
          <w:rFonts w:ascii="Times New Roman" w:hAnsi="Times New Roman"/>
          <w:sz w:val="24"/>
          <w:szCs w:val="24"/>
          <w:lang w:val="en-US"/>
        </w:rPr>
        <w:t>D</w:t>
      </w:r>
      <w:r w:rsidRPr="006A4C9B">
        <w:rPr>
          <w:rFonts w:ascii="Times New Roman" w:hAnsi="Times New Roman"/>
          <w:sz w:val="24"/>
          <w:szCs w:val="24"/>
          <w:lang w:val="en-US"/>
        </w:rPr>
        <w:t>rivers</w:t>
      </w:r>
      <w:r>
        <w:rPr>
          <w:rFonts w:ascii="Times New Roman" w:hAnsi="Times New Roman"/>
          <w:sz w:val="24"/>
          <w:szCs w:val="24"/>
          <w:lang w:val="en-US"/>
        </w:rPr>
        <w:t xml:space="preserve"> (Table III).</w:t>
      </w:r>
      <w:r w:rsidRPr="006A4C9B">
        <w:rPr>
          <w:rFonts w:ascii="Times New Roman" w:hAnsi="Times New Roman"/>
          <w:sz w:val="24"/>
          <w:szCs w:val="24"/>
          <w:lang w:val="en-US"/>
        </w:rPr>
        <w:t xml:space="preserve">  Terminal workers were also most likely to</w:t>
      </w:r>
      <w:r w:rsidRPr="00C07CB6">
        <w:rPr>
          <w:rFonts w:ascii="Times New Roman" w:hAnsi="Times New Roman"/>
          <w:sz w:val="24"/>
          <w:szCs w:val="24"/>
          <w:lang w:val="en-US"/>
        </w:rPr>
        <w:t xml:space="preserve"> have been allocated a peak </w:t>
      </w:r>
      <w:r>
        <w:rPr>
          <w:rFonts w:ascii="Times New Roman" w:hAnsi="Times New Roman"/>
          <w:sz w:val="24"/>
          <w:szCs w:val="24"/>
          <w:lang w:val="en-US"/>
        </w:rPr>
        <w:t>metric (56%)</w:t>
      </w:r>
      <w:r w:rsidRPr="00C07CB6">
        <w:rPr>
          <w:rFonts w:ascii="Times New Roman" w:hAnsi="Times New Roman"/>
          <w:sz w:val="24"/>
          <w:szCs w:val="24"/>
          <w:lang w:val="en-US"/>
        </w:rPr>
        <w:t>, and were most likely to have had a high probability of dermal exposure (</w:t>
      </w:r>
      <w:r>
        <w:rPr>
          <w:rFonts w:ascii="Times New Roman" w:hAnsi="Times New Roman"/>
          <w:sz w:val="24"/>
          <w:szCs w:val="24"/>
          <w:lang w:val="en-US"/>
        </w:rPr>
        <w:t>49</w:t>
      </w:r>
      <w:r w:rsidRPr="00C07CB6">
        <w:rPr>
          <w:rFonts w:ascii="Times New Roman" w:hAnsi="Times New Roman"/>
          <w:sz w:val="24"/>
          <w:szCs w:val="24"/>
          <w:lang w:val="en-US"/>
        </w:rPr>
        <w:t xml:space="preserve">%).  </w:t>
      </w:r>
    </w:p>
    <w:p w:rsidR="00FA73F4" w:rsidRDefault="00FA73F4" w:rsidP="00D61386">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Table IV shows that AML, MDS and MPD cases were more likely to have been allocated a peak exposure than their controls.  It also shows that MDS and MPD cases were more likely to have been allocated a high dermal exposure than their controls.</w:t>
      </w:r>
    </w:p>
    <w:p w:rsidR="00FA73F4" w:rsidRDefault="00FA73F4" w:rsidP="00475C5A">
      <w:pPr>
        <w:tabs>
          <w:tab w:val="left" w:pos="284"/>
        </w:tabs>
        <w:spacing w:after="120" w:line="480" w:lineRule="auto"/>
        <w:jc w:val="both"/>
        <w:rPr>
          <w:rFonts w:ascii="Times New Roman" w:eastAsia="Times New Roman" w:hAnsi="Times New Roman"/>
          <w:sz w:val="24"/>
          <w:szCs w:val="24"/>
          <w:lang w:val="en-US"/>
        </w:rPr>
      </w:pPr>
      <w:r>
        <w:rPr>
          <w:rFonts w:ascii="Times New Roman" w:eastAsia="Times New Roman" w:hAnsi="Times New Roman"/>
          <w:color w:val="000000"/>
          <w:sz w:val="24"/>
          <w:szCs w:val="24"/>
          <w:lang w:val="en-US"/>
        </w:rPr>
        <w:tab/>
        <w:t>Each study covered differing decades, site types and jobs.</w:t>
      </w:r>
      <w:r w:rsidRPr="00024879">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 There were only a handful jobs in the decades 1910 and 2000 (n=32).  Excluding these jobs, w</w:t>
      </w:r>
      <w:r w:rsidRPr="00B675A8">
        <w:rPr>
          <w:rFonts w:ascii="Times New Roman" w:eastAsia="Times New Roman" w:hAnsi="Times New Roman"/>
          <w:color w:val="000000"/>
          <w:sz w:val="24"/>
          <w:szCs w:val="24"/>
          <w:lang w:val="en-US"/>
        </w:rPr>
        <w:t xml:space="preserve">ith </w:t>
      </w:r>
      <w:r>
        <w:rPr>
          <w:rFonts w:ascii="Times New Roman" w:eastAsia="Times New Roman" w:hAnsi="Times New Roman"/>
          <w:color w:val="000000"/>
          <w:sz w:val="24"/>
          <w:szCs w:val="24"/>
          <w:lang w:val="en-US"/>
        </w:rPr>
        <w:t xml:space="preserve">only the main effects: </w:t>
      </w:r>
      <w:r w:rsidRPr="00B675A8">
        <w:rPr>
          <w:rFonts w:ascii="Times New Roman" w:eastAsia="Times New Roman" w:hAnsi="Times New Roman"/>
          <w:color w:val="000000"/>
          <w:sz w:val="24"/>
          <w:szCs w:val="24"/>
          <w:lang w:val="en-US"/>
        </w:rPr>
        <w:t>site type, job category, decade and study in the same</w:t>
      </w:r>
      <w:r>
        <w:rPr>
          <w:rFonts w:ascii="Times New Roman" w:eastAsia="Times New Roman" w:hAnsi="Times New Roman"/>
          <w:color w:val="000000"/>
          <w:sz w:val="24"/>
          <w:szCs w:val="24"/>
          <w:lang w:val="en-US"/>
        </w:rPr>
        <w:t xml:space="preserve"> regression</w:t>
      </w:r>
      <w:r w:rsidRPr="00B675A8">
        <w:rPr>
          <w:rFonts w:ascii="Times New Roman" w:eastAsia="Times New Roman" w:hAnsi="Times New Roman"/>
          <w:color w:val="000000"/>
          <w:sz w:val="24"/>
          <w:szCs w:val="24"/>
          <w:lang w:val="en-US"/>
        </w:rPr>
        <w:t xml:space="preserve"> model, all are significant predictors of </w:t>
      </w:r>
      <w:r>
        <w:rPr>
          <w:rFonts w:ascii="Times New Roman" w:eastAsia="Times New Roman" w:hAnsi="Times New Roman"/>
          <w:color w:val="000000"/>
          <w:sz w:val="24"/>
          <w:szCs w:val="24"/>
          <w:lang w:val="en-US"/>
        </w:rPr>
        <w:t xml:space="preserve">log-transformed </w:t>
      </w:r>
      <w:r w:rsidRPr="00B675A8">
        <w:rPr>
          <w:rFonts w:ascii="Times New Roman" w:eastAsia="Times New Roman" w:hAnsi="Times New Roman"/>
          <w:color w:val="000000"/>
          <w:sz w:val="24"/>
          <w:szCs w:val="24"/>
          <w:lang w:val="en-US"/>
        </w:rPr>
        <w:t xml:space="preserve">exposure intensity (p &lt; 0.001). </w:t>
      </w:r>
      <w:r>
        <w:rPr>
          <w:rFonts w:ascii="Times New Roman" w:eastAsia="Times New Roman" w:hAnsi="Times New Roman"/>
          <w:color w:val="000000"/>
          <w:sz w:val="24"/>
          <w:szCs w:val="24"/>
          <w:lang w:val="en-US"/>
        </w:rPr>
        <w:t xml:space="preserve"> The R</w:t>
      </w:r>
      <w:r w:rsidRPr="00024879">
        <w:rPr>
          <w:rFonts w:ascii="Times New Roman" w:eastAsia="Times New Roman" w:hAnsi="Times New Roman"/>
          <w:color w:val="000000"/>
          <w:sz w:val="24"/>
          <w:szCs w:val="24"/>
          <w:vertAlign w:val="superscript"/>
          <w:lang w:val="en-US"/>
        </w:rPr>
        <w:t>2</w:t>
      </w:r>
      <w:r>
        <w:rPr>
          <w:rFonts w:ascii="Times New Roman" w:eastAsia="Times New Roman" w:hAnsi="Times New Roman"/>
          <w:color w:val="000000"/>
          <w:sz w:val="24"/>
          <w:szCs w:val="24"/>
          <w:lang w:val="en-US"/>
        </w:rPr>
        <w:t xml:space="preserve"> is 0.70, which indicates that a substantial proportion of the total variation in exposure intensity is explained by those four factors.  The least square means are presented in the Table A1 of the Supplementary material.  </w:t>
      </w:r>
      <w:r w:rsidRPr="00A8238F">
        <w:rPr>
          <w:rFonts w:ascii="Times New Roman" w:eastAsia="Times New Roman" w:hAnsi="Times New Roman"/>
          <w:color w:val="000000"/>
          <w:sz w:val="24"/>
          <w:szCs w:val="24"/>
          <w:lang w:val="en-US"/>
        </w:rPr>
        <w:t xml:space="preserve">However, site type and job category are highly correlated, thus, much of the explanatory power by site type is probably represented by job category.  </w:t>
      </w:r>
      <w:r w:rsidRPr="00A8238F">
        <w:rPr>
          <w:rFonts w:ascii="Times New Roman" w:eastAsia="Times New Roman" w:hAnsi="Times New Roman"/>
          <w:sz w:val="24"/>
          <w:szCs w:val="24"/>
          <w:lang w:val="en-US"/>
        </w:rPr>
        <w:t>.</w:t>
      </w:r>
    </w:p>
    <w:p w:rsidR="00FA73F4" w:rsidRDefault="00FA73F4" w:rsidP="00A8238F">
      <w:pPr>
        <w:tabs>
          <w:tab w:val="left" w:pos="284"/>
        </w:tabs>
        <w:spacing w:after="120" w:line="48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ab/>
        <w:t>About 93% of the UK jobs were at terminals.  In order to explore potential interaction between study and job categories and decade of the jobs, we restricted the analysis to jobs at terminals held between 1940s and 1980s, in the following job categories: Tanker Drivers, Terminal Operators, Unexposed Blue Collar Workers and White Collar Workers.  In the multiple linear regression models interaction terms between study and job categories and those between study and decades were both significant (F=43.08 with df=6, F=5.03 with df=8, both p&lt;0.001)</w:t>
      </w:r>
      <w:r w:rsidRPr="00B675A8">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Although exposure intensities were generally higher for the Australian and Canadian jobs than those for UK jobs, the difference varied between different job categories and decades.  </w:t>
      </w:r>
      <w:r w:rsidRPr="00A8238F">
        <w:rPr>
          <w:rFonts w:ascii="Times New Roman" w:eastAsia="Times New Roman" w:hAnsi="Times New Roman"/>
          <w:color w:val="000000"/>
          <w:sz w:val="24"/>
          <w:szCs w:val="24"/>
          <w:lang w:val="en-US"/>
        </w:rPr>
        <w:t xml:space="preserve">However, in this model that included interaction terms, the </w:t>
      </w:r>
      <w:r>
        <w:rPr>
          <w:rFonts w:ascii="Times New Roman" w:eastAsia="Times New Roman" w:hAnsi="Times New Roman"/>
          <w:color w:val="000000"/>
          <w:sz w:val="24"/>
          <w:szCs w:val="24"/>
          <w:lang w:val="en-US"/>
        </w:rPr>
        <w:t>main variables</w:t>
      </w:r>
      <w:r w:rsidRPr="00A8238F">
        <w:rPr>
          <w:rFonts w:ascii="Times New Roman" w:eastAsia="Times New Roman" w:hAnsi="Times New Roman"/>
          <w:color w:val="000000"/>
          <w:sz w:val="24"/>
          <w:szCs w:val="24"/>
          <w:lang w:val="en-US"/>
        </w:rPr>
        <w:t xml:space="preserve"> job category and </w:t>
      </w:r>
      <w:r w:rsidRPr="00A8238F">
        <w:rPr>
          <w:rFonts w:ascii="Times New Roman" w:eastAsia="Times New Roman" w:hAnsi="Times New Roman"/>
          <w:color w:val="000000"/>
          <w:sz w:val="24"/>
          <w:szCs w:val="24"/>
          <w:lang w:val="en-US"/>
        </w:rPr>
        <w:lastRenderedPageBreak/>
        <w:t xml:space="preserve">decade remained significant predictors of exposure intensity (p &lt; 0.001) across the studies but </w:t>
      </w:r>
      <w:r>
        <w:rPr>
          <w:rFonts w:ascii="Times New Roman" w:eastAsia="Times New Roman" w:hAnsi="Times New Roman"/>
          <w:color w:val="000000"/>
          <w:sz w:val="24"/>
          <w:szCs w:val="24"/>
          <w:lang w:val="en-US"/>
        </w:rPr>
        <w:t xml:space="preserve">the main variable </w:t>
      </w:r>
      <w:r w:rsidRPr="00A8238F">
        <w:rPr>
          <w:rFonts w:ascii="Times New Roman" w:eastAsia="Times New Roman" w:hAnsi="Times New Roman"/>
          <w:color w:val="000000"/>
          <w:sz w:val="24"/>
          <w:szCs w:val="24"/>
          <w:lang w:val="en-US"/>
        </w:rPr>
        <w:t xml:space="preserve">study did not (p = 0.37).   </w:t>
      </w:r>
    </w:p>
    <w:p w:rsidR="00FA73F4" w:rsidRPr="005E73C9" w:rsidRDefault="00FA73F4" w:rsidP="003036C1">
      <w:pPr>
        <w:tabs>
          <w:tab w:val="left" w:pos="284"/>
        </w:tabs>
        <w:spacing w:after="120" w:line="48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ab/>
        <w:t xml:space="preserve">Multivariate logistic regression models were used to explore whether study, job category and decade were associated with peak exposure or high dermal exposure jobs, respectively.  It was found that compared with Terminal Operators, Tanker Drivers had lower risk of peak exposure (OR=0.17, 0.09-0.32; p&lt;0.0001).  Compared with the UK study, jobs in the Australian study were associated with lower risk of peak exposure (OR=0.55, 0.30-1.01; p=0.054) and jobs in the Canadian study were associated with higher risk of peak exposure (OR=2.83, 1.27-6.23; p=0.01).  Compared with jobs in 1980s, jobs in earlier decades (1940s to 1970s) were associated with higher risks of peak exposure with ORs varying from 3.5 to 7.1 (p&lt;0.001).  Compared with Terminal Operators, Tanker Drivers had a reduced risk of high dermal exposure (OR=0.13, 0.09-0.19).  Compared with jobs in the UK study, jobs in the Australian study and the Canadian study were associated higher risk of high dermal exposure with OR=90 and 10, respectively.  Jobs in 1970s and 1980s had similar risk of high dermal exposure and earlier jobs had lower risk of high dermal exposure with ORs varying from 0.02 to 0.3).  </w:t>
      </w:r>
    </w:p>
    <w:p w:rsidR="00FA73F4" w:rsidRPr="007331E9" w:rsidRDefault="00FA73F4" w:rsidP="005F02FA">
      <w:pPr>
        <w:pStyle w:val="Heading1"/>
        <w:numPr>
          <w:ilvl w:val="0"/>
          <w:numId w:val="0"/>
        </w:numPr>
        <w:tabs>
          <w:tab w:val="left" w:pos="284"/>
        </w:tabs>
        <w:spacing w:line="480" w:lineRule="auto"/>
      </w:pPr>
      <w:r w:rsidRPr="007331E9">
        <w:lastRenderedPageBreak/>
        <w:t>Discussion</w:t>
      </w:r>
    </w:p>
    <w:p w:rsidR="00FA73F4" w:rsidRDefault="00FA73F4" w:rsidP="00CF59AA">
      <w:pPr>
        <w:tabs>
          <w:tab w:val="left" w:pos="284"/>
        </w:tabs>
        <w:spacing w:after="120" w:line="480" w:lineRule="auto"/>
        <w:jc w:val="both"/>
        <w:rPr>
          <w:rFonts w:ascii="Times New Roman" w:hAnsi="Times New Roman"/>
          <w:sz w:val="24"/>
          <w:szCs w:val="24"/>
          <w:lang w:val="en-US" w:eastAsia="x-none"/>
        </w:rPr>
      </w:pPr>
      <w:r>
        <w:rPr>
          <w:rFonts w:ascii="Times New Roman" w:hAnsi="Times New Roman"/>
          <w:sz w:val="24"/>
          <w:szCs w:val="24"/>
          <w:lang w:val="en-US" w:eastAsia="x-none"/>
        </w:rPr>
        <w:tab/>
        <w:t>There were differences in the exposure estimates from the three studies pooled here.  They were largely explained by study-specific differences in job, site type and period.</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eastAsia="x-none"/>
        </w:rPr>
        <w:tab/>
      </w:r>
      <w:r>
        <w:rPr>
          <w:rFonts w:ascii="Times New Roman" w:hAnsi="Times New Roman"/>
          <w:color w:val="000000"/>
          <w:sz w:val="24"/>
          <w:szCs w:val="24"/>
        </w:rPr>
        <w:t xml:space="preserve">The </w:t>
      </w:r>
      <w:r w:rsidRPr="000F527C">
        <w:rPr>
          <w:rFonts w:ascii="Times New Roman" w:hAnsi="Times New Roman"/>
          <w:color w:val="000000"/>
          <w:sz w:val="24"/>
          <w:szCs w:val="24"/>
        </w:rPr>
        <w:t>Australian study</w:t>
      </w:r>
      <w:r w:rsidRPr="000275C6">
        <w:rPr>
          <w:rFonts w:ascii="Times New Roman" w:hAnsi="Times New Roman"/>
          <w:color w:val="000000"/>
          <w:sz w:val="24"/>
          <w:szCs w:val="24"/>
        </w:rPr>
        <w:t xml:space="preserve"> </w:t>
      </w:r>
      <w:r w:rsidRPr="000F527C">
        <w:rPr>
          <w:rFonts w:ascii="Times New Roman" w:hAnsi="Times New Roman"/>
          <w:color w:val="000000"/>
          <w:sz w:val="24"/>
          <w:szCs w:val="24"/>
        </w:rPr>
        <w:t xml:space="preserve">had the lowest mean exposure intensity </w:t>
      </w:r>
      <w:r>
        <w:rPr>
          <w:rFonts w:ascii="Times New Roman" w:hAnsi="Times New Roman"/>
          <w:color w:val="000000"/>
          <w:sz w:val="24"/>
          <w:szCs w:val="24"/>
        </w:rPr>
        <w:t xml:space="preserve">estimates </w:t>
      </w:r>
      <w:r w:rsidRPr="000F527C">
        <w:rPr>
          <w:rFonts w:ascii="Times New Roman" w:hAnsi="Times New Roman"/>
          <w:color w:val="000000"/>
          <w:sz w:val="24"/>
          <w:szCs w:val="24"/>
        </w:rPr>
        <w:t xml:space="preserve">and hence </w:t>
      </w:r>
      <w:r>
        <w:rPr>
          <w:rFonts w:ascii="Times New Roman" w:hAnsi="Times New Roman"/>
          <w:color w:val="000000"/>
          <w:sz w:val="24"/>
          <w:szCs w:val="24"/>
        </w:rPr>
        <w:t xml:space="preserve">lower </w:t>
      </w:r>
      <w:r w:rsidRPr="000F527C">
        <w:rPr>
          <w:rFonts w:ascii="Times New Roman" w:hAnsi="Times New Roman"/>
          <w:color w:val="000000"/>
          <w:sz w:val="24"/>
          <w:szCs w:val="24"/>
        </w:rPr>
        <w:t>cumulative exposure values</w:t>
      </w:r>
      <w:r>
        <w:rPr>
          <w:rFonts w:ascii="Times New Roman" w:hAnsi="Times New Roman"/>
          <w:color w:val="000000"/>
          <w:sz w:val="24"/>
          <w:szCs w:val="24"/>
        </w:rPr>
        <w:t xml:space="preserve"> and less likelihood of peak exposures but it</w:t>
      </w:r>
      <w:r w:rsidRPr="000F527C">
        <w:rPr>
          <w:rFonts w:ascii="Times New Roman" w:hAnsi="Times New Roman"/>
          <w:color w:val="000000"/>
          <w:sz w:val="24"/>
          <w:szCs w:val="24"/>
        </w:rPr>
        <w:t xml:space="preserve"> </w:t>
      </w:r>
      <w:r>
        <w:rPr>
          <w:rFonts w:ascii="Times New Roman" w:hAnsi="Times New Roman"/>
          <w:color w:val="000000"/>
          <w:sz w:val="24"/>
          <w:szCs w:val="24"/>
        </w:rPr>
        <w:t xml:space="preserve">included the generally lower-exposed workers from the </w:t>
      </w:r>
      <w:r w:rsidRPr="000F527C">
        <w:rPr>
          <w:rFonts w:ascii="Times New Roman" w:hAnsi="Times New Roman"/>
          <w:color w:val="000000"/>
          <w:sz w:val="24"/>
          <w:szCs w:val="24"/>
        </w:rPr>
        <w:t xml:space="preserve">refinery and upstream </w:t>
      </w:r>
      <w:r>
        <w:rPr>
          <w:rFonts w:ascii="Times New Roman" w:hAnsi="Times New Roman"/>
          <w:color w:val="000000"/>
          <w:sz w:val="24"/>
          <w:szCs w:val="24"/>
        </w:rPr>
        <w:t>sectors.  It is also</w:t>
      </w:r>
      <w:r w:rsidRPr="000F527C">
        <w:rPr>
          <w:rFonts w:ascii="Times New Roman" w:hAnsi="Times New Roman"/>
          <w:color w:val="000000"/>
          <w:sz w:val="24"/>
          <w:szCs w:val="24"/>
        </w:rPr>
        <w:t xml:space="preserve"> more recent than the other two </w:t>
      </w:r>
      <w:r>
        <w:rPr>
          <w:rFonts w:ascii="Times New Roman" w:hAnsi="Times New Roman"/>
          <w:color w:val="000000"/>
          <w:sz w:val="24"/>
          <w:szCs w:val="24"/>
        </w:rPr>
        <w:t>so the lower exposures also result from exposure reductions in</w:t>
      </w:r>
      <w:r w:rsidRPr="000F527C">
        <w:rPr>
          <w:rFonts w:ascii="Times New Roman" w:hAnsi="Times New Roman"/>
          <w:color w:val="000000"/>
          <w:sz w:val="24"/>
          <w:szCs w:val="24"/>
        </w:rPr>
        <w:t xml:space="preserve"> the industry</w:t>
      </w:r>
      <w:r>
        <w:rPr>
          <w:rFonts w:ascii="Times New Roman" w:hAnsi="Times New Roman"/>
          <w:color w:val="000000"/>
          <w:sz w:val="24"/>
          <w:szCs w:val="24"/>
        </w:rPr>
        <w:t>, notably during the 1970s.</w:t>
      </w:r>
      <w:r w:rsidRPr="0077762F">
        <w:rPr>
          <w:rFonts w:ascii="Times New Roman" w:hAnsi="Times New Roman"/>
          <w:noProof/>
          <w:color w:val="000000"/>
          <w:sz w:val="24"/>
          <w:szCs w:val="24"/>
          <w:vertAlign w:val="superscript"/>
        </w:rPr>
        <w:t>[13]</w:t>
      </w:r>
      <w:r w:rsidRPr="000F527C">
        <w:rPr>
          <w:rFonts w:ascii="Times New Roman" w:hAnsi="Times New Roman"/>
          <w:color w:val="000000"/>
          <w:sz w:val="24"/>
          <w:szCs w:val="24"/>
        </w:rPr>
        <w:t xml:space="preserve">  </w:t>
      </w:r>
      <w:r>
        <w:rPr>
          <w:rFonts w:ascii="Times New Roman" w:hAnsi="Times New Roman"/>
          <w:sz w:val="24"/>
          <w:szCs w:val="24"/>
          <w:lang w:val="en-US"/>
        </w:rPr>
        <w:t>Job category and decade were significant predictors of exposure (including peak and skin exposure) in this study.</w:t>
      </w:r>
      <w:r w:rsidRPr="00CF59AA">
        <w:rPr>
          <w:rFonts w:ascii="Times New Roman" w:hAnsi="Times New Roman"/>
          <w:sz w:val="24"/>
          <w:szCs w:val="24"/>
          <w:lang w:val="en-US" w:eastAsia="x-none"/>
        </w:rPr>
        <w:t xml:space="preserve"> </w:t>
      </w:r>
      <w:r>
        <w:rPr>
          <w:rFonts w:ascii="Times New Roman" w:hAnsi="Times New Roman"/>
          <w:sz w:val="24"/>
          <w:szCs w:val="24"/>
          <w:lang w:val="en-US" w:eastAsia="x-none"/>
        </w:rPr>
        <w:t xml:space="preserve"> </w:t>
      </w:r>
      <w:r w:rsidRPr="00BF0D7E">
        <w:rPr>
          <w:rFonts w:ascii="Times New Roman" w:hAnsi="Times New Roman"/>
          <w:sz w:val="24"/>
          <w:szCs w:val="24"/>
          <w:lang w:val="en-US" w:eastAsia="x-none"/>
        </w:rPr>
        <w:t xml:space="preserve">Cumulative exposure and both </w:t>
      </w:r>
      <w:r>
        <w:rPr>
          <w:rFonts w:ascii="Times New Roman" w:hAnsi="Times New Roman"/>
          <w:sz w:val="24"/>
          <w:szCs w:val="24"/>
          <w:lang w:val="en-US" w:eastAsia="x-none"/>
        </w:rPr>
        <w:t xml:space="preserve">mean and maximum </w:t>
      </w:r>
      <w:r w:rsidRPr="00BF0D7E">
        <w:rPr>
          <w:rFonts w:ascii="Times New Roman" w:hAnsi="Times New Roman"/>
          <w:sz w:val="24"/>
          <w:szCs w:val="24"/>
          <w:lang w:val="en-US" w:eastAsia="x-none"/>
        </w:rPr>
        <w:t>intensity metrics are closely related</w:t>
      </w:r>
      <w:r>
        <w:rPr>
          <w:rFonts w:ascii="Times New Roman" w:hAnsi="Times New Roman"/>
          <w:sz w:val="24"/>
          <w:szCs w:val="24"/>
          <w:lang w:val="en-US" w:eastAsia="x-none"/>
        </w:rPr>
        <w:t xml:space="preserve"> and </w:t>
      </w:r>
      <w:r>
        <w:rPr>
          <w:rFonts w:ascii="Times New Roman" w:hAnsi="Times New Roman"/>
          <w:color w:val="000000"/>
          <w:sz w:val="24"/>
          <w:szCs w:val="24"/>
        </w:rPr>
        <w:t>t</w:t>
      </w:r>
      <w:r w:rsidRPr="00BF0D7E">
        <w:rPr>
          <w:rFonts w:ascii="Times New Roman" w:hAnsi="Times New Roman"/>
          <w:color w:val="000000"/>
          <w:sz w:val="24"/>
          <w:szCs w:val="24"/>
        </w:rPr>
        <w:t>he three studies had</w:t>
      </w:r>
      <w:r w:rsidRPr="000F527C">
        <w:rPr>
          <w:rFonts w:ascii="Times New Roman" w:hAnsi="Times New Roman"/>
          <w:color w:val="000000"/>
          <w:sz w:val="24"/>
          <w:szCs w:val="24"/>
        </w:rPr>
        <w:t xml:space="preserve"> similar mean employment durations.  </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A04340">
        <w:rPr>
          <w:rFonts w:ascii="Times New Roman" w:hAnsi="Times New Roman"/>
          <w:sz w:val="24"/>
          <w:szCs w:val="24"/>
          <w:lang w:val="en-US"/>
        </w:rPr>
        <w:t xml:space="preserve">The </w:t>
      </w:r>
      <w:r>
        <w:rPr>
          <w:rFonts w:ascii="Times New Roman" w:hAnsi="Times New Roman"/>
          <w:sz w:val="24"/>
          <w:szCs w:val="24"/>
          <w:lang w:val="en-US"/>
        </w:rPr>
        <w:t xml:space="preserve">estimated </w:t>
      </w:r>
      <w:r w:rsidRPr="00A04340">
        <w:rPr>
          <w:rFonts w:ascii="Times New Roman" w:hAnsi="Times New Roman"/>
          <w:sz w:val="24"/>
          <w:szCs w:val="24"/>
          <w:lang w:val="en-US"/>
        </w:rPr>
        <w:t>exposure to benzene experienced by most participants in this pooled study is lower than that experienced by participants in most previous studies of benzene exposure and risk of LH cancer</w:t>
      </w:r>
      <w:r>
        <w:rPr>
          <w:rFonts w:ascii="Times New Roman" w:hAnsi="Times New Roman"/>
          <w:sz w:val="24"/>
          <w:szCs w:val="24"/>
          <w:lang w:val="en-US"/>
        </w:rPr>
        <w:t>.</w:t>
      </w:r>
      <w:r w:rsidRPr="0077762F">
        <w:rPr>
          <w:rFonts w:ascii="Times New Roman" w:hAnsi="Times New Roman"/>
          <w:noProof/>
          <w:sz w:val="24"/>
          <w:szCs w:val="24"/>
          <w:vertAlign w:val="superscript"/>
          <w:lang w:val="en-US"/>
        </w:rPr>
        <w:t>[14-18]</w:t>
      </w:r>
      <w:r w:rsidRPr="00A04340">
        <w:rPr>
          <w:rFonts w:ascii="Times New Roman" w:hAnsi="Times New Roman"/>
          <w:sz w:val="24"/>
          <w:szCs w:val="24"/>
          <w:lang w:val="en-US"/>
        </w:rPr>
        <w:t xml:space="preserve">  Cumulative benzene exposure groups reported in a meta-analysis of </w:t>
      </w:r>
      <w:r>
        <w:rPr>
          <w:rFonts w:ascii="Times New Roman" w:hAnsi="Times New Roman"/>
          <w:sz w:val="24"/>
          <w:szCs w:val="24"/>
          <w:lang w:val="en-US"/>
        </w:rPr>
        <w:t>leukemia</w:t>
      </w:r>
      <w:r w:rsidRPr="00A04340">
        <w:rPr>
          <w:rFonts w:ascii="Times New Roman" w:hAnsi="Times New Roman"/>
          <w:sz w:val="24"/>
          <w:szCs w:val="24"/>
          <w:lang w:val="en-US"/>
        </w:rPr>
        <w:t xml:space="preserve"> </w:t>
      </w:r>
      <w:r w:rsidRPr="0077762F">
        <w:rPr>
          <w:rFonts w:ascii="Times New Roman" w:hAnsi="Times New Roman"/>
          <w:noProof/>
          <w:sz w:val="24"/>
          <w:szCs w:val="24"/>
          <w:vertAlign w:val="superscript"/>
          <w:lang w:val="en-US"/>
        </w:rPr>
        <w:t>[19]</w:t>
      </w:r>
      <w:r w:rsidRPr="00A04340">
        <w:rPr>
          <w:rFonts w:ascii="Times New Roman" w:hAnsi="Times New Roman"/>
          <w:sz w:val="24"/>
          <w:szCs w:val="24"/>
          <w:lang w:val="en-US"/>
        </w:rPr>
        <w:t xml:space="preserve"> were low (&lt; 40 ppm-years), medium (40-99.9 ppm-years) and high exposure (&gt; 100 ppm-years).  In this pooled analysis, 98.3% of the individuals would have been placed in the low category, 1% of individuals would have been categorized as medium and only 0.7% of individuals categorized as high.  </w:t>
      </w:r>
      <w:r>
        <w:rPr>
          <w:rFonts w:ascii="Times New Roman" w:hAnsi="Times New Roman"/>
          <w:sz w:val="24"/>
          <w:szCs w:val="24"/>
          <w:lang w:val="en-US"/>
        </w:rPr>
        <w:t xml:space="preserve"> </w:t>
      </w:r>
    </w:p>
    <w:p w:rsidR="00FA73F4" w:rsidRPr="00A04340"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A04340">
        <w:rPr>
          <w:rFonts w:ascii="Times New Roman" w:hAnsi="Times New Roman"/>
          <w:sz w:val="24"/>
          <w:szCs w:val="24"/>
          <w:lang w:val="en-US"/>
        </w:rPr>
        <w:t xml:space="preserve">The average </w:t>
      </w:r>
      <w:r>
        <w:rPr>
          <w:rFonts w:ascii="Times New Roman" w:hAnsi="Times New Roman"/>
          <w:sz w:val="24"/>
          <w:szCs w:val="24"/>
          <w:lang w:val="en-US"/>
        </w:rPr>
        <w:t xml:space="preserve">estimated </w:t>
      </w:r>
      <w:r w:rsidRPr="00A04340">
        <w:rPr>
          <w:rFonts w:ascii="Times New Roman" w:hAnsi="Times New Roman"/>
          <w:sz w:val="24"/>
          <w:szCs w:val="24"/>
          <w:lang w:val="en-US"/>
        </w:rPr>
        <w:t>intensity of exposure for participants was less than 1 ppm, the current exposure limit in many countries.  The median average benzene exposure estimates reported here are similar to those reported in recent summaries of occupational exposure to benzene in Europe and North America, in which typical occupational exposures were at or below 1 ppm</w:t>
      </w:r>
      <w:r>
        <w:rPr>
          <w:rFonts w:ascii="Times New Roman" w:hAnsi="Times New Roman"/>
          <w:sz w:val="24"/>
          <w:szCs w:val="24"/>
          <w:lang w:val="en-US"/>
        </w:rPr>
        <w:t>.</w:t>
      </w:r>
      <w:r w:rsidRPr="005B7C1B">
        <w:rPr>
          <w:rFonts w:ascii="Times New Roman" w:hAnsi="Times New Roman"/>
          <w:sz w:val="24"/>
          <w:szCs w:val="24"/>
          <w:lang w:val="en-US"/>
        </w:rPr>
        <w:t xml:space="preserve"> </w:t>
      </w:r>
      <w:r w:rsidRPr="0077762F">
        <w:rPr>
          <w:rFonts w:ascii="Times New Roman" w:hAnsi="Times New Roman"/>
          <w:noProof/>
          <w:sz w:val="24"/>
          <w:szCs w:val="24"/>
          <w:vertAlign w:val="superscript"/>
          <w:lang w:val="en-US"/>
        </w:rPr>
        <w:t>[20, 21]</w:t>
      </w:r>
      <w:r w:rsidRPr="00A04340">
        <w:rPr>
          <w:rFonts w:ascii="Times New Roman" w:hAnsi="Times New Roman"/>
          <w:sz w:val="24"/>
          <w:szCs w:val="24"/>
          <w:lang w:val="en-US"/>
        </w:rPr>
        <w:t xml:space="preserve">  </w:t>
      </w:r>
    </w:p>
    <w:p w:rsidR="00FA73F4" w:rsidRDefault="00FA73F4" w:rsidP="00827BD9">
      <w:pPr>
        <w:spacing w:after="120" w:line="480" w:lineRule="auto"/>
        <w:jc w:val="both"/>
        <w:rPr>
          <w:rFonts w:ascii="Times New Roman" w:hAnsi="Times New Roman"/>
          <w:sz w:val="24"/>
          <w:szCs w:val="24"/>
          <w:lang w:val="en-US"/>
        </w:rPr>
      </w:pPr>
      <w:r>
        <w:rPr>
          <w:rFonts w:ascii="Times New Roman" w:hAnsi="Times New Roman"/>
          <w:sz w:val="24"/>
          <w:szCs w:val="24"/>
          <w:lang w:val="en-US"/>
        </w:rPr>
        <w:lastRenderedPageBreak/>
        <w:tab/>
        <w:t>Site type strongly predicts exposure.  Refinery workers were estimated to have average benzene exposures of 0.11 ppm.  This aligns with a recent report from the United States where</w:t>
      </w:r>
      <w:r w:rsidRPr="00B35F48">
        <w:rPr>
          <w:rFonts w:ascii="Times New Roman" w:hAnsi="Times New Roman"/>
          <w:sz w:val="24"/>
          <w:szCs w:val="24"/>
          <w:lang w:val="en-US"/>
        </w:rPr>
        <w:t>, the arithmetic mean benzene concentration for non-task samples was 0.12 ppm between 1977 and 2006</w:t>
      </w:r>
      <w:r>
        <w:rPr>
          <w:rFonts w:ascii="Times New Roman" w:hAnsi="Times New Roman"/>
          <w:sz w:val="24"/>
          <w:szCs w:val="24"/>
          <w:lang w:val="en-US"/>
        </w:rPr>
        <w:t>.</w:t>
      </w:r>
      <w:r w:rsidRPr="0077762F">
        <w:rPr>
          <w:rFonts w:ascii="Times New Roman" w:hAnsi="Times New Roman"/>
          <w:noProof/>
          <w:sz w:val="24"/>
          <w:szCs w:val="24"/>
          <w:vertAlign w:val="superscript"/>
          <w:lang w:val="en-US"/>
        </w:rPr>
        <w:t>[22]</w:t>
      </w:r>
      <w:r>
        <w:rPr>
          <w:rFonts w:ascii="Times New Roman" w:hAnsi="Times New Roman"/>
          <w:sz w:val="24"/>
          <w:szCs w:val="24"/>
          <w:lang w:val="en-US"/>
        </w:rPr>
        <w:t xml:space="preserve">  Exposure to benzene in other regions, notably China, can be more than 100 fold higher with a large proportion of individuals being exposed to more than 50 mg/m</w:t>
      </w:r>
      <w:r w:rsidRPr="00B35F48">
        <w:rPr>
          <w:rFonts w:ascii="Times New Roman" w:hAnsi="Times New Roman"/>
          <w:sz w:val="24"/>
          <w:szCs w:val="24"/>
          <w:vertAlign w:val="superscript"/>
          <w:lang w:val="en-US"/>
        </w:rPr>
        <w:t>3</w:t>
      </w:r>
      <w:r>
        <w:rPr>
          <w:rFonts w:ascii="Times New Roman" w:hAnsi="Times New Roman"/>
          <w:sz w:val="24"/>
          <w:szCs w:val="24"/>
          <w:lang w:val="en-US"/>
        </w:rPr>
        <w:t xml:space="preserve"> (15 ppm) and some over 100 mg/m</w:t>
      </w:r>
      <w:r w:rsidRPr="00B35F48">
        <w:rPr>
          <w:rFonts w:ascii="Times New Roman" w:hAnsi="Times New Roman"/>
          <w:sz w:val="24"/>
          <w:szCs w:val="24"/>
          <w:lang w:val="en-US"/>
        </w:rPr>
        <w:t>3</w:t>
      </w:r>
      <w:r>
        <w:rPr>
          <w:rFonts w:ascii="Times New Roman" w:hAnsi="Times New Roman"/>
          <w:sz w:val="24"/>
          <w:szCs w:val="24"/>
          <w:lang w:val="en-US"/>
        </w:rPr>
        <w:t xml:space="preserve"> (&gt;30 ppm).</w:t>
      </w:r>
      <w:r w:rsidRPr="005B7C1B">
        <w:rPr>
          <w:rFonts w:ascii="Times New Roman" w:hAnsi="Times New Roman"/>
          <w:sz w:val="24"/>
          <w:szCs w:val="24"/>
          <w:lang w:val="en-US"/>
        </w:rPr>
        <w:t xml:space="preserve"> </w:t>
      </w:r>
      <w:r w:rsidRPr="0077762F">
        <w:rPr>
          <w:rFonts w:ascii="Times New Roman" w:hAnsi="Times New Roman"/>
          <w:noProof/>
          <w:sz w:val="24"/>
          <w:szCs w:val="24"/>
          <w:vertAlign w:val="superscript"/>
          <w:lang w:val="en-US"/>
        </w:rPr>
        <w:t>[23-25]</w:t>
      </w:r>
    </w:p>
    <w:p w:rsidR="00FA73F4" w:rsidRDefault="00FA73F4" w:rsidP="00827BD9">
      <w:pPr>
        <w:pStyle w:val="CommentText"/>
        <w:tabs>
          <w:tab w:val="left" w:pos="284"/>
        </w:tabs>
        <w:spacing w:line="480" w:lineRule="auto"/>
        <w:jc w:val="both"/>
        <w:rPr>
          <w:rFonts w:ascii="Times New Roman" w:hAnsi="Times New Roman"/>
          <w:sz w:val="24"/>
          <w:szCs w:val="24"/>
          <w:lang w:val="en-US"/>
        </w:rPr>
      </w:pPr>
      <w:r>
        <w:rPr>
          <w:rFonts w:ascii="Times New Roman" w:hAnsi="Times New Roman"/>
          <w:sz w:val="24"/>
          <w:szCs w:val="24"/>
          <w:lang w:val="en-US"/>
        </w:rPr>
        <w:tab/>
        <w:t>In this study, Tanker Drivers who carried gasoline were exposed to an average estimate of 0.39 ppm.  This is consistent with data from Verma et al who found that t</w:t>
      </w:r>
      <w:r w:rsidRPr="00425E54">
        <w:rPr>
          <w:rFonts w:ascii="Times New Roman" w:hAnsi="Times New Roman"/>
          <w:sz w:val="24"/>
          <w:szCs w:val="24"/>
          <w:lang w:val="en-US"/>
        </w:rPr>
        <w:t xml:space="preserve">he </w:t>
      </w:r>
      <w:r>
        <w:rPr>
          <w:rFonts w:ascii="Times New Roman" w:hAnsi="Times New Roman"/>
          <w:sz w:val="24"/>
          <w:szCs w:val="24"/>
          <w:lang w:val="en-US"/>
        </w:rPr>
        <w:t xml:space="preserve">arithmetic </w:t>
      </w:r>
      <w:r w:rsidRPr="00425E54">
        <w:rPr>
          <w:rFonts w:ascii="Times New Roman" w:hAnsi="Times New Roman"/>
          <w:sz w:val="24"/>
          <w:szCs w:val="24"/>
          <w:lang w:val="en-US"/>
        </w:rPr>
        <w:t>mean benzene exposure for agency drivers</w:t>
      </w:r>
      <w:r>
        <w:rPr>
          <w:rFonts w:ascii="Times New Roman" w:hAnsi="Times New Roman"/>
          <w:sz w:val="24"/>
          <w:szCs w:val="24"/>
          <w:lang w:val="en-US"/>
        </w:rPr>
        <w:t xml:space="preserve"> who distribute fuel to service stations </w:t>
      </w:r>
      <w:r w:rsidRPr="00425E54">
        <w:rPr>
          <w:rFonts w:ascii="Times New Roman" w:hAnsi="Times New Roman"/>
          <w:sz w:val="24"/>
          <w:szCs w:val="24"/>
          <w:lang w:val="en-US"/>
        </w:rPr>
        <w:t>was 0.88 ppm</w:t>
      </w:r>
      <w:r>
        <w:rPr>
          <w:rFonts w:ascii="Times New Roman" w:hAnsi="Times New Roman"/>
          <w:sz w:val="24"/>
          <w:szCs w:val="24"/>
          <w:lang w:val="en-US"/>
        </w:rPr>
        <w:t>,</w:t>
      </w:r>
      <w:r w:rsidRPr="00425E54">
        <w:rPr>
          <w:rFonts w:ascii="Times New Roman" w:hAnsi="Times New Roman"/>
          <w:sz w:val="24"/>
          <w:szCs w:val="24"/>
          <w:lang w:val="en-US"/>
        </w:rPr>
        <w:t xml:space="preserve"> and for</w:t>
      </w:r>
      <w:r>
        <w:rPr>
          <w:rFonts w:ascii="Times New Roman" w:hAnsi="Times New Roman"/>
          <w:sz w:val="24"/>
          <w:szCs w:val="24"/>
          <w:lang w:val="en-US"/>
        </w:rPr>
        <w:t xml:space="preserve"> bulk terminal drivers </w:t>
      </w:r>
      <w:r w:rsidRPr="00425E54">
        <w:rPr>
          <w:rFonts w:ascii="Times New Roman" w:hAnsi="Times New Roman"/>
          <w:sz w:val="24"/>
          <w:szCs w:val="24"/>
          <w:lang w:val="en-US"/>
        </w:rPr>
        <w:t>without vapor</w:t>
      </w:r>
      <w:r>
        <w:rPr>
          <w:rFonts w:ascii="Times New Roman" w:hAnsi="Times New Roman"/>
          <w:sz w:val="24"/>
          <w:szCs w:val="24"/>
          <w:lang w:val="en-US"/>
        </w:rPr>
        <w:t xml:space="preserve"> control was 0.12 ppm.</w:t>
      </w:r>
      <w:r w:rsidRPr="0077762F">
        <w:rPr>
          <w:rFonts w:ascii="Times New Roman" w:hAnsi="Times New Roman"/>
          <w:noProof/>
          <w:sz w:val="24"/>
          <w:szCs w:val="24"/>
          <w:vertAlign w:val="superscript"/>
          <w:lang w:val="en-US"/>
        </w:rPr>
        <w:t>[26]</w:t>
      </w:r>
      <w:r w:rsidRPr="00653617">
        <w:rPr>
          <w:rFonts w:ascii="Times New Roman" w:hAnsi="Times New Roman"/>
          <w:sz w:val="24"/>
          <w:szCs w:val="24"/>
          <w:lang w:val="en-US"/>
        </w:rPr>
        <w:t xml:space="preserve"> </w:t>
      </w:r>
      <w:r>
        <w:rPr>
          <w:rFonts w:ascii="Times New Roman" w:hAnsi="Times New Roman"/>
          <w:sz w:val="24"/>
          <w:szCs w:val="24"/>
          <w:lang w:val="en-US"/>
        </w:rPr>
        <w:t xml:space="preserve"> </w:t>
      </w:r>
      <w:r w:rsidRPr="00D745D2">
        <w:rPr>
          <w:rFonts w:ascii="Times New Roman" w:hAnsi="Times New Roman"/>
          <w:sz w:val="24"/>
          <w:szCs w:val="24"/>
          <w:lang w:val="en-US"/>
        </w:rPr>
        <w:t xml:space="preserve">Some Tanker Drivers in the UK and Australia carried </w:t>
      </w:r>
      <w:r>
        <w:rPr>
          <w:rFonts w:ascii="Times New Roman" w:hAnsi="Times New Roman"/>
          <w:sz w:val="24"/>
          <w:szCs w:val="24"/>
          <w:lang w:val="en-US"/>
        </w:rPr>
        <w:t xml:space="preserve">the </w:t>
      </w:r>
      <w:r w:rsidRPr="00D745D2">
        <w:rPr>
          <w:rFonts w:ascii="Times New Roman" w:hAnsi="Times New Roman"/>
          <w:sz w:val="24"/>
          <w:szCs w:val="24"/>
          <w:lang w:val="en-US"/>
        </w:rPr>
        <w:t xml:space="preserve">high benzene products in the 1960s and 1970s.  </w:t>
      </w:r>
      <w:r>
        <w:rPr>
          <w:rFonts w:ascii="Times New Roman" w:hAnsi="Times New Roman"/>
          <w:sz w:val="24"/>
          <w:szCs w:val="24"/>
          <w:lang w:val="en-US"/>
        </w:rPr>
        <w:t xml:space="preserve">Exposure would have decreased when the </w:t>
      </w:r>
      <w:r w:rsidRPr="00D745D2">
        <w:rPr>
          <w:rFonts w:ascii="Times New Roman" w:hAnsi="Times New Roman"/>
          <w:sz w:val="24"/>
          <w:szCs w:val="24"/>
          <w:lang w:val="en-US"/>
        </w:rPr>
        <w:t>high benzene products</w:t>
      </w:r>
      <w:r>
        <w:rPr>
          <w:rFonts w:ascii="Times New Roman" w:hAnsi="Times New Roman"/>
          <w:sz w:val="24"/>
          <w:szCs w:val="24"/>
          <w:lang w:val="en-US"/>
        </w:rPr>
        <w:t xml:space="preserve"> were phased out.  The highest exposure, 32 </w:t>
      </w:r>
      <w:r w:rsidRPr="000F527C">
        <w:rPr>
          <w:rFonts w:ascii="Times New Roman" w:hAnsi="Times New Roman"/>
          <w:sz w:val="24"/>
          <w:szCs w:val="24"/>
          <w:lang w:val="en-US"/>
        </w:rPr>
        <w:t>ppm</w:t>
      </w:r>
      <w:r>
        <w:rPr>
          <w:rFonts w:ascii="Times New Roman" w:hAnsi="Times New Roman"/>
          <w:sz w:val="24"/>
          <w:szCs w:val="24"/>
          <w:lang w:val="en-US"/>
        </w:rPr>
        <w:t xml:space="preserve"> was for a UK driver at a benzole (</w:t>
      </w:r>
      <w:r w:rsidRPr="00E47C7B">
        <w:rPr>
          <w:rFonts w:ascii="Times New Roman" w:hAnsi="Times New Roman"/>
          <w:sz w:val="24"/>
          <w:szCs w:val="24"/>
          <w:lang w:val="en-US"/>
        </w:rPr>
        <w:t>a benzene enriched gasoline blend)</w:t>
      </w:r>
      <w:r>
        <w:t xml:space="preserve"> </w:t>
      </w:r>
      <w:r>
        <w:rPr>
          <w:rFonts w:ascii="Times New Roman" w:hAnsi="Times New Roman"/>
          <w:sz w:val="24"/>
          <w:szCs w:val="24"/>
          <w:lang w:val="en-US"/>
        </w:rPr>
        <w:t xml:space="preserve">terminal during 1946-7.  </w:t>
      </w:r>
    </w:p>
    <w:p w:rsidR="00FA73F4" w:rsidRPr="00996AB4" w:rsidRDefault="00FA73F4" w:rsidP="005F02FA">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D745D2">
        <w:rPr>
          <w:rFonts w:ascii="Times New Roman" w:hAnsi="Times New Roman"/>
          <w:sz w:val="24"/>
          <w:szCs w:val="24"/>
          <w:lang w:val="en-US"/>
        </w:rPr>
        <w:t xml:space="preserve">There were differences in products handled between the studies, many of the </w:t>
      </w:r>
      <w:r>
        <w:rPr>
          <w:rFonts w:ascii="Times New Roman" w:hAnsi="Times New Roman"/>
          <w:sz w:val="24"/>
          <w:szCs w:val="24"/>
          <w:lang w:val="en-US"/>
        </w:rPr>
        <w:t>UK</w:t>
      </w:r>
      <w:r w:rsidRPr="00D745D2">
        <w:rPr>
          <w:rFonts w:ascii="Times New Roman" w:hAnsi="Times New Roman"/>
          <w:sz w:val="24"/>
          <w:szCs w:val="24"/>
          <w:lang w:val="en-US"/>
        </w:rPr>
        <w:t xml:space="preserve"> sites had little benzene-containing product after 1960 so most Manual Workers and Terminal Operators at these sites had lower exposure allocated than in the other studies.  By contrast in Australia there was much less demand for heating or black oil which does not contain benzene.  In addition, there were a small number of sites in the UK and Australia which, until the late 1960s or 1970s respectively handled high benzene products. Thus there was a wide range of exposures for the same Job Category.  Terminal Operators in the early years carried out a variety of higher exposed tasks e.g. road tanker filling, rail car filling and drum filling but the mix of tasks varied between countries.  Rail car filling was comparatively common in Australia, but few individuals in the Canadian study and none in the UK study loaded rail cars with gasoline.  Drum filling jobs were identified into the 1980s in the Australian study but not after the 1970s </w:t>
      </w:r>
      <w:r w:rsidRPr="00D745D2">
        <w:rPr>
          <w:rFonts w:ascii="Times New Roman" w:hAnsi="Times New Roman"/>
          <w:sz w:val="24"/>
          <w:szCs w:val="24"/>
          <w:lang w:val="en-US"/>
        </w:rPr>
        <w:lastRenderedPageBreak/>
        <w:t>in the UK study.  Differences in technology explain some other differences in exposure.  Drum filling sheds were legally required to be open on three sides in Australia but were enclosed in Canada, resulting in higher exposure for drum fillers</w:t>
      </w:r>
      <w:r>
        <w:rPr>
          <w:rFonts w:ascii="Times New Roman" w:hAnsi="Times New Roman"/>
          <w:sz w:val="24"/>
          <w:szCs w:val="24"/>
          <w:lang w:val="en-US"/>
        </w:rPr>
        <w:t xml:space="preserve"> in Canada than Australia</w:t>
      </w:r>
      <w:r w:rsidRPr="00D745D2">
        <w:rPr>
          <w:rFonts w:ascii="Times New Roman" w:hAnsi="Times New Roman"/>
          <w:sz w:val="24"/>
          <w:szCs w:val="24"/>
          <w:lang w:val="en-US"/>
        </w:rPr>
        <w:t xml:space="preserve">. </w:t>
      </w:r>
      <w:r>
        <w:rPr>
          <w:rFonts w:ascii="Times New Roman" w:hAnsi="Times New Roman"/>
          <w:sz w:val="24"/>
          <w:szCs w:val="24"/>
          <w:lang w:val="en-US"/>
        </w:rPr>
        <w:t xml:space="preserve"> </w:t>
      </w:r>
    </w:p>
    <w:p w:rsidR="00FA73F4" w:rsidRDefault="00FA73F4" w:rsidP="005F02FA">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6E29EA">
        <w:rPr>
          <w:rFonts w:ascii="Times New Roman" w:hAnsi="Times New Roman"/>
          <w:sz w:val="24"/>
          <w:szCs w:val="24"/>
          <w:lang w:val="en-US"/>
        </w:rPr>
        <w:t>Recent exposures can usually be estimated with greater certainty that those in the distant past.  It was therefore expected that the Australian study had a higher mean career certainty score because it included a higher proportion of recently-held jobs than the other two studies.  The UK study had the highest proportion of uncertain jobs, partly because of the inherent uncertainty resulting from exposure extrapolation back to pre-1945.  In addition, some participants in the UK study only had the last known job identified.  Previous jobs would be likely to have been given a low certainty score particularly if the last known job was supervisor.  However, even in the early years, the exposure estimate for a White Collar Worker such as an accountant, could be made with more certainty than that of a Terminal Operator.</w:t>
      </w:r>
    </w:p>
    <w:p w:rsidR="00FA73F4" w:rsidRPr="00A85FED" w:rsidRDefault="00FA73F4" w:rsidP="008C6E04">
      <w:pPr>
        <w:tabs>
          <w:tab w:val="left" w:pos="284"/>
        </w:tabs>
        <w:spacing w:after="120" w:line="480" w:lineRule="auto"/>
        <w:jc w:val="both"/>
        <w:rPr>
          <w:rFonts w:ascii="Times New Roman" w:eastAsia="Times New Roman" w:hAnsi="Times New Roman"/>
          <w:color w:val="000000"/>
          <w:sz w:val="24"/>
          <w:szCs w:val="24"/>
          <w:lang w:val="en-US"/>
        </w:rPr>
      </w:pPr>
      <w:r w:rsidRPr="000F5ED8">
        <w:rPr>
          <w:rFonts w:ascii="Times New Roman" w:eastAsia="Times New Roman" w:hAnsi="Times New Roman"/>
          <w:color w:val="000000"/>
          <w:sz w:val="24"/>
          <w:szCs w:val="24"/>
          <w:lang w:val="en-US"/>
        </w:rPr>
        <w:tab/>
      </w:r>
      <w:r>
        <w:rPr>
          <w:rFonts w:ascii="Times New Roman" w:eastAsia="Times New Roman" w:hAnsi="Times New Roman"/>
          <w:color w:val="000000"/>
          <w:sz w:val="24"/>
          <w:szCs w:val="24"/>
          <w:lang w:val="en-US"/>
        </w:rPr>
        <w:t xml:space="preserve">When pooling data across studies it is important to ensure that exposure has been assessed consistently.  The time frames and industry sector differences between studies included here, made such inter-study comparisons difficult.  </w:t>
      </w:r>
      <w:r w:rsidRPr="000F5ED8">
        <w:rPr>
          <w:rFonts w:ascii="Times New Roman" w:eastAsia="Times New Roman" w:hAnsi="Times New Roman"/>
          <w:color w:val="000000"/>
          <w:sz w:val="24"/>
          <w:szCs w:val="24"/>
          <w:lang w:val="en-US"/>
        </w:rPr>
        <w:t xml:space="preserve">We </w:t>
      </w:r>
      <w:r>
        <w:rPr>
          <w:rFonts w:ascii="Times New Roman" w:eastAsia="Times New Roman" w:hAnsi="Times New Roman"/>
          <w:color w:val="000000"/>
          <w:sz w:val="24"/>
          <w:szCs w:val="24"/>
          <w:lang w:val="en-US"/>
        </w:rPr>
        <w:t xml:space="preserve">were able to </w:t>
      </w:r>
      <w:r w:rsidRPr="000F5ED8">
        <w:rPr>
          <w:rFonts w:ascii="Times New Roman" w:eastAsia="Times New Roman" w:hAnsi="Times New Roman"/>
          <w:color w:val="000000"/>
          <w:sz w:val="24"/>
          <w:szCs w:val="24"/>
          <w:lang w:val="en-US"/>
        </w:rPr>
        <w:t>explore the interaction between study, job and decade of work in a restricted sample of terminal workers in 4 major job categories</w:t>
      </w:r>
      <w:r>
        <w:rPr>
          <w:rFonts w:ascii="Times New Roman" w:eastAsia="Times New Roman" w:hAnsi="Times New Roman"/>
          <w:color w:val="000000"/>
          <w:sz w:val="24"/>
          <w:szCs w:val="24"/>
          <w:lang w:val="en-US"/>
        </w:rPr>
        <w:t xml:space="preserve"> from all three studies</w:t>
      </w:r>
      <w:r w:rsidRPr="000F5ED8">
        <w:rPr>
          <w:rFonts w:ascii="Times New Roman" w:eastAsia="Times New Roman" w:hAnsi="Times New Roman"/>
          <w:color w:val="000000"/>
          <w:sz w:val="24"/>
          <w:szCs w:val="24"/>
          <w:lang w:val="en-US"/>
        </w:rPr>
        <w:t xml:space="preserve">.  In a model which included the 3 main effects and the 2-way interaction effects we found that the job and decade main effects remained significant predictors of exposure intensity but the main effect for study was not a significant predictor of exposure intensity.  The interaction terms (study X Job) and (study X decade) were also significant predictors of exposure intensity.  </w:t>
      </w:r>
    </w:p>
    <w:p w:rsidR="00FA73F4" w:rsidRDefault="00FA73F4" w:rsidP="00FD0409">
      <w:pPr>
        <w:tabs>
          <w:tab w:val="left" w:pos="284"/>
        </w:tabs>
        <w:spacing w:after="120" w:line="48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ab/>
      </w:r>
      <w:r w:rsidRPr="00A85FED">
        <w:rPr>
          <w:rFonts w:ascii="Times New Roman" w:eastAsia="Times New Roman" w:hAnsi="Times New Roman"/>
          <w:color w:val="000000"/>
          <w:sz w:val="24"/>
          <w:szCs w:val="24"/>
          <w:lang w:val="en-US"/>
        </w:rPr>
        <w:t xml:space="preserve">We consider that </w:t>
      </w:r>
      <w:r>
        <w:rPr>
          <w:rFonts w:ascii="Times New Roman" w:eastAsia="Times New Roman" w:hAnsi="Times New Roman"/>
          <w:color w:val="000000"/>
          <w:sz w:val="24"/>
          <w:szCs w:val="24"/>
          <w:lang w:val="en-US"/>
        </w:rPr>
        <w:t>combining the data from the three studies would have been problematic if the differences in exposure outcomes were mainly determined by the study</w:t>
      </w:r>
      <w:r w:rsidRPr="00A85FED">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w:t>
      </w:r>
      <w:r w:rsidRPr="00A85FED">
        <w:rPr>
          <w:rFonts w:ascii="Times New Roman" w:eastAsia="Times New Roman" w:hAnsi="Times New Roman"/>
          <w:color w:val="000000"/>
          <w:sz w:val="24"/>
          <w:szCs w:val="24"/>
          <w:lang w:val="en-US"/>
        </w:rPr>
        <w:t xml:space="preserve">without </w:t>
      </w:r>
      <w:r>
        <w:rPr>
          <w:rFonts w:ascii="Times New Roman" w:eastAsia="Times New Roman" w:hAnsi="Times New Roman"/>
          <w:color w:val="000000"/>
          <w:sz w:val="24"/>
          <w:szCs w:val="24"/>
          <w:lang w:val="en-US"/>
        </w:rPr>
        <w:t xml:space="preserve">considering </w:t>
      </w:r>
      <w:r w:rsidRPr="00A85FED">
        <w:rPr>
          <w:rFonts w:ascii="Times New Roman" w:eastAsia="Times New Roman" w:hAnsi="Times New Roman"/>
          <w:color w:val="000000"/>
          <w:sz w:val="24"/>
          <w:szCs w:val="24"/>
          <w:lang w:val="en-US"/>
        </w:rPr>
        <w:t>interactions</w:t>
      </w:r>
      <w:r>
        <w:rPr>
          <w:rFonts w:ascii="Times New Roman" w:eastAsia="Times New Roman" w:hAnsi="Times New Roman"/>
          <w:color w:val="000000"/>
          <w:sz w:val="24"/>
          <w:szCs w:val="24"/>
          <w:lang w:val="en-US"/>
        </w:rPr>
        <w:t>); or if there were u</w:t>
      </w:r>
      <w:r w:rsidRPr="00A85FED">
        <w:rPr>
          <w:rFonts w:ascii="Times New Roman" w:eastAsia="Times New Roman" w:hAnsi="Times New Roman"/>
          <w:color w:val="000000"/>
          <w:sz w:val="24"/>
          <w:szCs w:val="24"/>
          <w:lang w:val="en-US"/>
        </w:rPr>
        <w:t xml:space="preserve">nexplained interactions between study and other </w:t>
      </w:r>
      <w:r w:rsidRPr="00A85FED">
        <w:rPr>
          <w:rFonts w:ascii="Times New Roman" w:eastAsia="Times New Roman" w:hAnsi="Times New Roman"/>
          <w:color w:val="000000"/>
          <w:sz w:val="24"/>
          <w:szCs w:val="24"/>
          <w:lang w:val="en-US"/>
        </w:rPr>
        <w:lastRenderedPageBreak/>
        <w:t xml:space="preserve">factors. </w:t>
      </w:r>
      <w:r>
        <w:rPr>
          <w:rFonts w:ascii="Times New Roman" w:eastAsia="Times New Roman" w:hAnsi="Times New Roman"/>
          <w:color w:val="000000"/>
          <w:sz w:val="24"/>
          <w:szCs w:val="24"/>
          <w:lang w:val="en-US"/>
        </w:rPr>
        <w:t xml:space="preserve"> In this analysis, study was not the </w:t>
      </w:r>
      <w:r w:rsidRPr="00A85FED">
        <w:rPr>
          <w:rFonts w:ascii="Times New Roman" w:eastAsia="Times New Roman" w:hAnsi="Times New Roman"/>
          <w:color w:val="000000"/>
          <w:sz w:val="24"/>
          <w:szCs w:val="24"/>
          <w:lang w:val="en-US"/>
        </w:rPr>
        <w:t>main</w:t>
      </w:r>
      <w:r>
        <w:rPr>
          <w:rFonts w:ascii="Times New Roman" w:eastAsia="Times New Roman" w:hAnsi="Times New Roman"/>
          <w:color w:val="000000"/>
          <w:sz w:val="24"/>
          <w:szCs w:val="24"/>
          <w:lang w:val="en-US"/>
        </w:rPr>
        <w:t xml:space="preserve"> effect</w:t>
      </w:r>
      <w:r w:rsidRPr="00A85FED">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and</w:t>
      </w:r>
      <w:r w:rsidRPr="00A85FED">
        <w:rPr>
          <w:rFonts w:ascii="Times New Roman" w:eastAsia="Times New Roman" w:hAnsi="Times New Roman"/>
          <w:color w:val="000000"/>
          <w:sz w:val="24"/>
          <w:szCs w:val="24"/>
          <w:lang w:val="en-US"/>
        </w:rPr>
        <w:t xml:space="preserve"> interactions </w:t>
      </w:r>
      <w:r>
        <w:rPr>
          <w:rFonts w:ascii="Times New Roman" w:eastAsia="Times New Roman" w:hAnsi="Times New Roman"/>
          <w:color w:val="000000"/>
          <w:sz w:val="24"/>
          <w:szCs w:val="24"/>
          <w:lang w:val="en-US"/>
        </w:rPr>
        <w:t xml:space="preserve">in the model </w:t>
      </w:r>
      <w:r w:rsidRPr="00A85FED">
        <w:rPr>
          <w:rFonts w:ascii="Times New Roman" w:eastAsia="Times New Roman" w:hAnsi="Times New Roman"/>
          <w:color w:val="000000"/>
          <w:sz w:val="24"/>
          <w:szCs w:val="24"/>
          <w:lang w:val="en-US"/>
        </w:rPr>
        <w:t>between study</w:t>
      </w:r>
      <w:r>
        <w:rPr>
          <w:rFonts w:ascii="Times New Roman" w:eastAsia="Times New Roman" w:hAnsi="Times New Roman"/>
          <w:color w:val="000000"/>
          <w:sz w:val="24"/>
          <w:szCs w:val="24"/>
          <w:lang w:val="en-US"/>
        </w:rPr>
        <w:t xml:space="preserve">, job and decade were explicable. </w:t>
      </w:r>
      <w:r w:rsidRPr="00A85FED">
        <w:rPr>
          <w:rFonts w:ascii="Times New Roman" w:eastAsia="Times New Roman" w:hAnsi="Times New Roman"/>
          <w:color w:val="000000"/>
          <w:sz w:val="24"/>
          <w:szCs w:val="24"/>
          <w:lang w:val="en-US"/>
        </w:rPr>
        <w:t xml:space="preserve"> </w:t>
      </w:r>
    </w:p>
    <w:p w:rsidR="00FA73F4" w:rsidRPr="000F5ED8" w:rsidRDefault="00FA73F4" w:rsidP="00827BD9">
      <w:pPr>
        <w:tabs>
          <w:tab w:val="left" w:pos="284"/>
        </w:tabs>
        <w:spacing w:after="120" w:line="480" w:lineRule="auto"/>
        <w:jc w:val="both"/>
        <w:rPr>
          <w:rFonts w:ascii="Times New Roman" w:eastAsia="Times New Roman" w:hAnsi="Times New Roman"/>
          <w:color w:val="000000"/>
          <w:sz w:val="24"/>
          <w:szCs w:val="24"/>
          <w:lang w:val="en-US"/>
        </w:rPr>
      </w:pPr>
      <w:r w:rsidRPr="000F5ED8">
        <w:rPr>
          <w:rFonts w:ascii="Times New Roman" w:eastAsia="Times New Roman" w:hAnsi="Times New Roman"/>
          <w:color w:val="000000"/>
          <w:sz w:val="24"/>
          <w:szCs w:val="24"/>
          <w:lang w:val="en-US"/>
        </w:rPr>
        <w:t xml:space="preserve">We feel </w:t>
      </w:r>
      <w:r>
        <w:rPr>
          <w:rFonts w:ascii="Times New Roman" w:eastAsia="Times New Roman" w:hAnsi="Times New Roman"/>
          <w:color w:val="000000"/>
          <w:sz w:val="24"/>
          <w:szCs w:val="24"/>
          <w:lang w:val="en-US"/>
        </w:rPr>
        <w:t xml:space="preserve">therefore, </w:t>
      </w:r>
      <w:r w:rsidRPr="000F5ED8">
        <w:rPr>
          <w:rFonts w:ascii="Times New Roman" w:eastAsia="Times New Roman" w:hAnsi="Times New Roman"/>
          <w:color w:val="000000"/>
          <w:sz w:val="24"/>
          <w:szCs w:val="24"/>
          <w:lang w:val="en-US"/>
        </w:rPr>
        <w:t xml:space="preserve">that these results provide </w:t>
      </w:r>
      <w:r>
        <w:rPr>
          <w:rFonts w:ascii="Times New Roman" w:eastAsia="Times New Roman" w:hAnsi="Times New Roman"/>
          <w:color w:val="000000"/>
          <w:sz w:val="24"/>
          <w:szCs w:val="24"/>
          <w:lang w:val="en-US"/>
        </w:rPr>
        <w:t xml:space="preserve">some </w:t>
      </w:r>
      <w:r w:rsidRPr="000F5ED8">
        <w:rPr>
          <w:rFonts w:ascii="Times New Roman" w:eastAsia="Times New Roman" w:hAnsi="Times New Roman"/>
          <w:color w:val="000000"/>
          <w:sz w:val="24"/>
          <w:szCs w:val="24"/>
          <w:lang w:val="en-US"/>
        </w:rPr>
        <w:t>reassurance that the previous rationalization of exposures</w:t>
      </w:r>
      <w:r w:rsidRPr="00C60606">
        <w:rPr>
          <w:rFonts w:ascii="Times New Roman" w:eastAsia="Times New Roman" w:hAnsi="Times New Roman"/>
          <w:noProof/>
          <w:color w:val="000000"/>
          <w:sz w:val="24"/>
          <w:szCs w:val="24"/>
          <w:vertAlign w:val="superscript"/>
          <w:lang w:val="en-US"/>
        </w:rPr>
        <w:t>[27]</w:t>
      </w:r>
      <w:r>
        <w:rPr>
          <w:rFonts w:ascii="Times New Roman" w:eastAsia="Times New Roman" w:hAnsi="Times New Roman"/>
          <w:color w:val="000000"/>
          <w:sz w:val="24"/>
          <w:szCs w:val="24"/>
          <w:lang w:val="en-US"/>
        </w:rPr>
        <w:t xml:space="preserve"> </w:t>
      </w:r>
      <w:r w:rsidRPr="000F5ED8">
        <w:rPr>
          <w:rFonts w:ascii="Times New Roman" w:eastAsia="Times New Roman" w:hAnsi="Times New Roman"/>
          <w:color w:val="000000"/>
          <w:sz w:val="24"/>
          <w:szCs w:val="24"/>
          <w:lang w:val="en-US"/>
        </w:rPr>
        <w:t xml:space="preserve">achieved inter-study consistency and that differences in exposure estimated between the </w:t>
      </w:r>
      <w:r>
        <w:rPr>
          <w:rFonts w:ascii="Times New Roman" w:eastAsia="Times New Roman" w:hAnsi="Times New Roman"/>
          <w:color w:val="000000"/>
          <w:sz w:val="24"/>
          <w:szCs w:val="24"/>
          <w:lang w:val="en-US"/>
        </w:rPr>
        <w:t>three</w:t>
      </w:r>
      <w:r w:rsidRPr="000F5ED8">
        <w:rPr>
          <w:rFonts w:ascii="Times New Roman" w:eastAsia="Times New Roman" w:hAnsi="Times New Roman"/>
          <w:color w:val="000000"/>
          <w:sz w:val="24"/>
          <w:szCs w:val="24"/>
          <w:lang w:val="en-US"/>
        </w:rPr>
        <w:t xml:space="preserve"> studies could largely be explained by study-specific differences in decade </w:t>
      </w:r>
      <w:r>
        <w:rPr>
          <w:rFonts w:ascii="Times New Roman" w:eastAsia="Times New Roman" w:hAnsi="Times New Roman"/>
          <w:color w:val="000000"/>
          <w:sz w:val="24"/>
          <w:szCs w:val="24"/>
          <w:lang w:val="en-US"/>
        </w:rPr>
        <w:t xml:space="preserve">and in </w:t>
      </w:r>
      <w:r w:rsidRPr="000F5ED8">
        <w:rPr>
          <w:rFonts w:ascii="Times New Roman" w:eastAsia="Times New Roman" w:hAnsi="Times New Roman"/>
          <w:color w:val="000000"/>
          <w:sz w:val="24"/>
          <w:szCs w:val="24"/>
          <w:lang w:val="en-US"/>
        </w:rPr>
        <w:t>job</w:t>
      </w:r>
      <w:r>
        <w:rPr>
          <w:rFonts w:ascii="Times New Roman" w:eastAsia="Times New Roman" w:hAnsi="Times New Roman"/>
          <w:color w:val="000000"/>
          <w:sz w:val="24"/>
          <w:szCs w:val="24"/>
          <w:lang w:val="en-US"/>
        </w:rPr>
        <w:t>s which vary between industry sector</w:t>
      </w:r>
      <w:r w:rsidRPr="000F5ED8">
        <w:rPr>
          <w:rFonts w:ascii="Times New Roman" w:eastAsia="Times New Roman" w:hAnsi="Times New Roman"/>
          <w:color w:val="000000"/>
          <w:sz w:val="24"/>
          <w:szCs w:val="24"/>
          <w:lang w:val="en-US"/>
        </w:rPr>
        <w:t>.</w:t>
      </w:r>
      <w:r>
        <w:rPr>
          <w:rFonts w:ascii="Times New Roman" w:eastAsia="Times New Roman" w:hAnsi="Times New Roman"/>
          <w:color w:val="000000"/>
          <w:sz w:val="24"/>
          <w:szCs w:val="24"/>
          <w:lang w:val="en-US"/>
        </w:rPr>
        <w:t xml:space="preserve">  </w:t>
      </w:r>
      <w:r w:rsidRPr="000F5ED8">
        <w:rPr>
          <w:rFonts w:ascii="Times New Roman" w:eastAsia="Times New Roman" w:hAnsi="Times New Roman"/>
          <w:color w:val="000000"/>
          <w:sz w:val="24"/>
          <w:szCs w:val="24"/>
          <w:lang w:val="en-US"/>
        </w:rPr>
        <w:t xml:space="preserve">As an example, consider tanker truck drivers for the UK and Australian study. </w:t>
      </w:r>
      <w:r>
        <w:rPr>
          <w:rFonts w:ascii="Times New Roman" w:eastAsia="Times New Roman" w:hAnsi="Times New Roman"/>
          <w:color w:val="000000"/>
          <w:sz w:val="24"/>
          <w:szCs w:val="24"/>
          <w:lang w:val="en-US"/>
        </w:rPr>
        <w:t xml:space="preserve"> </w:t>
      </w:r>
      <w:r w:rsidRPr="000F5ED8">
        <w:rPr>
          <w:rFonts w:ascii="Times New Roman" w:eastAsia="Times New Roman" w:hAnsi="Times New Roman"/>
          <w:color w:val="000000"/>
          <w:sz w:val="24"/>
          <w:szCs w:val="24"/>
          <w:lang w:val="en-US"/>
        </w:rPr>
        <w:t xml:space="preserve">In the UK, such drivers handled both black and white oil, the former having a much lower benzene content and therefore lower exposure as predicted by the modifying factors used to derive the benzene exposure estimate. </w:t>
      </w:r>
      <w:r>
        <w:rPr>
          <w:rFonts w:ascii="Times New Roman" w:eastAsia="Times New Roman" w:hAnsi="Times New Roman"/>
          <w:color w:val="000000"/>
          <w:sz w:val="24"/>
          <w:szCs w:val="24"/>
          <w:lang w:val="en-US"/>
        </w:rPr>
        <w:t xml:space="preserve"> </w:t>
      </w:r>
      <w:r w:rsidRPr="000F5ED8">
        <w:rPr>
          <w:rFonts w:ascii="Times New Roman" w:eastAsia="Times New Roman" w:hAnsi="Times New Roman"/>
          <w:color w:val="000000"/>
          <w:sz w:val="24"/>
          <w:szCs w:val="24"/>
          <w:lang w:val="en-US"/>
        </w:rPr>
        <w:t xml:space="preserve">The </w:t>
      </w:r>
      <w:r>
        <w:rPr>
          <w:rFonts w:ascii="Times New Roman" w:eastAsia="Times New Roman" w:hAnsi="Times New Roman"/>
          <w:color w:val="000000"/>
          <w:sz w:val="24"/>
          <w:szCs w:val="24"/>
          <w:lang w:val="en-US"/>
        </w:rPr>
        <w:t>Australian drivers</w:t>
      </w:r>
      <w:r w:rsidRPr="000F5ED8">
        <w:rPr>
          <w:rFonts w:ascii="Times New Roman" w:eastAsia="Times New Roman" w:hAnsi="Times New Roman"/>
          <w:color w:val="000000"/>
          <w:sz w:val="24"/>
          <w:szCs w:val="24"/>
          <w:lang w:val="en-US"/>
        </w:rPr>
        <w:t xml:space="preserve"> handled nearly all white oil with </w:t>
      </w:r>
      <w:r>
        <w:rPr>
          <w:rFonts w:ascii="Times New Roman" w:eastAsia="Times New Roman" w:hAnsi="Times New Roman"/>
          <w:color w:val="000000"/>
          <w:sz w:val="24"/>
          <w:szCs w:val="24"/>
          <w:lang w:val="en-US"/>
        </w:rPr>
        <w:t xml:space="preserve">consequently </w:t>
      </w:r>
      <w:r w:rsidRPr="000F5ED8">
        <w:rPr>
          <w:rFonts w:ascii="Times New Roman" w:eastAsia="Times New Roman" w:hAnsi="Times New Roman"/>
          <w:color w:val="000000"/>
          <w:sz w:val="24"/>
          <w:szCs w:val="24"/>
          <w:lang w:val="en-US"/>
        </w:rPr>
        <w:t xml:space="preserve">higher estimated benzene exposures.  </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 xml:space="preserve">While exposure estimates for the </w:t>
      </w:r>
      <w:r>
        <w:rPr>
          <w:rFonts w:ascii="Times New Roman" w:hAnsi="Times New Roman"/>
          <w:color w:val="000000"/>
          <w:sz w:val="24"/>
          <w:szCs w:val="24"/>
        </w:rPr>
        <w:t xml:space="preserve">five </w:t>
      </w:r>
      <w:r>
        <w:rPr>
          <w:rFonts w:ascii="Times New Roman" w:hAnsi="Times New Roman"/>
          <w:sz w:val="24"/>
          <w:szCs w:val="24"/>
          <w:lang w:val="en-US"/>
        </w:rPr>
        <w:t>disease groups were presented in three previous papers</w:t>
      </w:r>
      <w:r w:rsidRPr="00D54528">
        <w:rPr>
          <w:rFonts w:ascii="Times New Roman" w:hAnsi="Times New Roman"/>
          <w:noProof/>
          <w:color w:val="000000"/>
          <w:sz w:val="24"/>
          <w:szCs w:val="24"/>
          <w:vertAlign w:val="superscript"/>
        </w:rPr>
        <w:t>[4-6]</w:t>
      </w:r>
      <w:r>
        <w:rPr>
          <w:rFonts w:ascii="Times New Roman" w:hAnsi="Times New Roman"/>
          <w:color w:val="000000"/>
          <w:sz w:val="24"/>
          <w:szCs w:val="24"/>
        </w:rPr>
        <w:t xml:space="preserve"> using conditional logistic regression techniques, we further examined exposure estimates between cases and controls using simpler techniques to share further insights on the formal comparisons previously made.  </w:t>
      </w:r>
      <w:r>
        <w:rPr>
          <w:rFonts w:ascii="Times New Roman" w:hAnsi="Times New Roman"/>
          <w:sz w:val="24"/>
          <w:szCs w:val="24"/>
          <w:lang w:val="en-US"/>
        </w:rPr>
        <w:t>Compared to cases and controls from all five disease groups, the MDS cases had the highest median cumulative and average intensity benzene exposure.  The distributional plot of cumulative exposure for MDS cases versus controls (Figure 2) showed that the curves clearly diverged towards higher exposures among cases at the top section of the curve.  (The curves must eventually converge where 100% of cases and controls are exposed).  These curves, though not accounting for study matching nor for potential confounding, may be an additional aid to epidemiologists for interpreting the data.  The box plots in Figures 3 and 4 also show the benzene exposure of MDS cases (expressed as estimated intensity and cumulative exposure) was higher than their matched controls and higher than the exposure of the other disease entity cases and their controls.  Increased risk of MDS was identified as associated with benzene exposure using more than one metric of exposure.</w:t>
      </w:r>
      <w:r w:rsidRPr="00D50365">
        <w:rPr>
          <w:rFonts w:ascii="Times New Roman" w:hAnsi="Times New Roman"/>
          <w:noProof/>
          <w:sz w:val="24"/>
          <w:szCs w:val="24"/>
          <w:vertAlign w:val="superscript"/>
          <w:lang w:val="en-US"/>
        </w:rPr>
        <w:t>[4]</w:t>
      </w:r>
      <w:r>
        <w:rPr>
          <w:rFonts w:ascii="Times New Roman" w:hAnsi="Times New Roman"/>
          <w:sz w:val="24"/>
          <w:szCs w:val="24"/>
          <w:lang w:val="en-US"/>
        </w:rPr>
        <w:t xml:space="preserve"> </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lastRenderedPageBreak/>
        <w:tab/>
        <w:t xml:space="preserve">Examining these box plots also suggests that MPD may be associated with benzene exposure and some association was seen </w:t>
      </w:r>
      <w:r w:rsidRPr="00EC379E">
        <w:rPr>
          <w:rFonts w:ascii="Times New Roman" w:hAnsi="Times New Roman"/>
          <w:sz w:val="24"/>
          <w:szCs w:val="24"/>
          <w:lang w:val="en-US"/>
        </w:rPr>
        <w:t>in spline analyses for benzene exposure experienced in the 2-20 years before diagnosis and with peak exposures considered with cumulative exposure as a continuous variable.</w:t>
      </w:r>
      <w:r w:rsidRPr="00C60606">
        <w:rPr>
          <w:rFonts w:ascii="Times New Roman" w:hAnsi="Times New Roman"/>
          <w:noProof/>
          <w:sz w:val="24"/>
          <w:szCs w:val="24"/>
          <w:vertAlign w:val="superscript"/>
          <w:lang w:val="en-US"/>
        </w:rPr>
        <w:t>[28]</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MDS cases were also more likely than their controls to have been allocated a peak and dermal exposure and this was identified as a risk factor in the earlier paper.</w:t>
      </w:r>
      <w:r w:rsidRPr="00D50365">
        <w:rPr>
          <w:rFonts w:ascii="Times New Roman" w:hAnsi="Times New Roman"/>
          <w:noProof/>
          <w:sz w:val="24"/>
          <w:szCs w:val="24"/>
          <w:vertAlign w:val="superscript"/>
          <w:lang w:val="en-US"/>
        </w:rPr>
        <w:t>[4]</w:t>
      </w:r>
      <w:r>
        <w:rPr>
          <w:rFonts w:ascii="Times New Roman" w:hAnsi="Times New Roman"/>
          <w:sz w:val="24"/>
          <w:szCs w:val="24"/>
          <w:lang w:val="en-US"/>
        </w:rPr>
        <w:t xml:space="preserve">  In general, w</w:t>
      </w:r>
      <w:r w:rsidRPr="00A27F8B">
        <w:rPr>
          <w:rFonts w:ascii="Times New Roman" w:hAnsi="Times New Roman"/>
          <w:sz w:val="24"/>
          <w:szCs w:val="24"/>
          <w:lang w:val="en-US"/>
        </w:rPr>
        <w:t>orkers in the higher exposed job categories were more likely to</w:t>
      </w:r>
      <w:r>
        <w:rPr>
          <w:rFonts w:ascii="Times New Roman" w:hAnsi="Times New Roman"/>
          <w:sz w:val="24"/>
          <w:szCs w:val="24"/>
          <w:lang w:val="en-US"/>
        </w:rPr>
        <w:t xml:space="preserve"> have</w:t>
      </w:r>
      <w:r w:rsidRPr="00A27F8B">
        <w:rPr>
          <w:rFonts w:ascii="Times New Roman" w:hAnsi="Times New Roman"/>
          <w:sz w:val="24"/>
          <w:szCs w:val="24"/>
          <w:lang w:val="en-US"/>
        </w:rPr>
        <w:t xml:space="preserve"> be</w:t>
      </w:r>
      <w:r>
        <w:rPr>
          <w:rFonts w:ascii="Times New Roman" w:hAnsi="Times New Roman"/>
          <w:sz w:val="24"/>
          <w:szCs w:val="24"/>
          <w:lang w:val="en-US"/>
        </w:rPr>
        <w:t>en</w:t>
      </w:r>
      <w:r w:rsidRPr="00A27F8B">
        <w:rPr>
          <w:rFonts w:ascii="Times New Roman" w:hAnsi="Times New Roman"/>
          <w:sz w:val="24"/>
          <w:szCs w:val="24"/>
          <w:lang w:val="en-US"/>
        </w:rPr>
        <w:t xml:space="preserve"> allocated </w:t>
      </w:r>
      <w:r>
        <w:rPr>
          <w:rFonts w:ascii="Times New Roman" w:hAnsi="Times New Roman"/>
          <w:sz w:val="24"/>
          <w:szCs w:val="24"/>
          <w:lang w:val="en-US"/>
        </w:rPr>
        <w:t>a</w:t>
      </w:r>
      <w:r w:rsidRPr="00A27F8B">
        <w:rPr>
          <w:rFonts w:ascii="Times New Roman" w:hAnsi="Times New Roman"/>
          <w:sz w:val="24"/>
          <w:szCs w:val="24"/>
          <w:lang w:val="en-US"/>
        </w:rPr>
        <w:t xml:space="preserve"> peak exposure metric</w:t>
      </w:r>
      <w:r>
        <w:rPr>
          <w:rFonts w:ascii="Times New Roman" w:hAnsi="Times New Roman"/>
          <w:sz w:val="24"/>
          <w:szCs w:val="24"/>
          <w:lang w:val="en-US"/>
        </w:rPr>
        <w:t xml:space="preserve">, indicating some correlation between the two metrics. </w:t>
      </w:r>
      <w:r w:rsidRPr="000F527C">
        <w:rPr>
          <w:rFonts w:ascii="Times New Roman" w:hAnsi="Times New Roman"/>
          <w:sz w:val="24"/>
          <w:szCs w:val="24"/>
          <w:lang w:val="en-US"/>
        </w:rPr>
        <w:t xml:space="preserve">  </w:t>
      </w:r>
    </w:p>
    <w:p w:rsidR="00FA73F4" w:rsidRDefault="00FA73F4" w:rsidP="00827BD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6E29EA">
        <w:rPr>
          <w:rFonts w:ascii="Times New Roman" w:hAnsi="Times New Roman"/>
          <w:sz w:val="24"/>
          <w:szCs w:val="24"/>
          <w:lang w:val="en-US"/>
        </w:rPr>
        <w:t>Specifying exposure estimation certainty is helpful for epidemiologic sensitivity analyses.</w:t>
      </w:r>
      <w:r>
        <w:rPr>
          <w:rFonts w:ascii="Times New Roman" w:hAnsi="Times New Roman"/>
          <w:sz w:val="24"/>
          <w:szCs w:val="24"/>
          <w:lang w:val="en-US"/>
        </w:rPr>
        <w:t xml:space="preserve">  Analyses can be restricted to study subjects where exposure estimates are more certain, identifying a subset of workers where exposure misclassification is minimized.  In this study the risk estimate for MDS was stronger when the individuals with less certain exposure were excluded from the analyses which suggests that the findings were robust.</w:t>
      </w:r>
      <w:r w:rsidRPr="00C60606">
        <w:rPr>
          <w:rFonts w:ascii="Times New Roman" w:hAnsi="Times New Roman"/>
          <w:noProof/>
          <w:sz w:val="24"/>
          <w:szCs w:val="24"/>
          <w:vertAlign w:val="superscript"/>
          <w:lang w:val="en-US"/>
        </w:rPr>
        <w:t>[4]</w:t>
      </w:r>
      <w:r>
        <w:rPr>
          <w:rFonts w:ascii="Times New Roman" w:hAnsi="Times New Roman"/>
          <w:sz w:val="24"/>
          <w:szCs w:val="24"/>
          <w:lang w:val="en-US"/>
        </w:rPr>
        <w:t xml:space="preserve">  </w:t>
      </w:r>
    </w:p>
    <w:p w:rsidR="00FA73F4" w:rsidRDefault="00FA73F4" w:rsidP="00C60606">
      <w:pPr>
        <w:tabs>
          <w:tab w:val="left" w:pos="284"/>
        </w:tabs>
        <w:spacing w:after="120" w:line="480" w:lineRule="auto"/>
        <w:jc w:val="both"/>
        <w:rPr>
          <w:rFonts w:ascii="Times New Roman" w:hAnsi="Times New Roman"/>
          <w:sz w:val="24"/>
          <w:szCs w:val="24"/>
          <w:lang w:val="en-US"/>
        </w:rPr>
      </w:pPr>
    </w:p>
    <w:p w:rsidR="00FA73F4" w:rsidRPr="007331E9" w:rsidRDefault="00FA73F4" w:rsidP="005F02FA">
      <w:pPr>
        <w:pStyle w:val="Heading1"/>
        <w:numPr>
          <w:ilvl w:val="0"/>
          <w:numId w:val="0"/>
        </w:numPr>
        <w:tabs>
          <w:tab w:val="left" w:pos="284"/>
        </w:tabs>
        <w:spacing w:line="480" w:lineRule="auto"/>
      </w:pPr>
      <w:r w:rsidRPr="007331E9">
        <w:lastRenderedPageBreak/>
        <w:t>Conclusions</w:t>
      </w:r>
    </w:p>
    <w:p w:rsidR="00FA73F4" w:rsidRDefault="00FA73F4" w:rsidP="005F02FA">
      <w:pPr>
        <w:tabs>
          <w:tab w:val="left" w:pos="284"/>
        </w:tabs>
        <w:spacing w:after="120" w:line="480" w:lineRule="auto"/>
        <w:jc w:val="both"/>
        <w:rPr>
          <w:rFonts w:ascii="Times New Roman" w:hAnsi="Times New Roman"/>
          <w:sz w:val="24"/>
          <w:szCs w:val="24"/>
          <w:lang w:val="en-US"/>
        </w:rPr>
      </w:pPr>
      <w:r w:rsidRPr="00B85D37">
        <w:rPr>
          <w:rFonts w:ascii="Times New Roman" w:hAnsi="Times New Roman"/>
          <w:sz w:val="24"/>
          <w:szCs w:val="24"/>
          <w:lang w:val="en-US"/>
        </w:rPr>
        <w:t>E</w:t>
      </w:r>
      <w:r>
        <w:rPr>
          <w:rFonts w:ascii="Times New Roman" w:hAnsi="Times New Roman"/>
          <w:sz w:val="24"/>
          <w:szCs w:val="24"/>
          <w:lang w:val="en-US"/>
        </w:rPr>
        <w:t>stimated e</w:t>
      </w:r>
      <w:r w:rsidRPr="00B85D37">
        <w:rPr>
          <w:rFonts w:ascii="Times New Roman" w:hAnsi="Times New Roman"/>
          <w:sz w:val="24"/>
          <w:szCs w:val="24"/>
          <w:lang w:val="en-US"/>
        </w:rPr>
        <w:t>xposure to benzene was lower for workers in this pooled analysis than in most previous</w:t>
      </w:r>
      <w:r w:rsidRPr="000F527C">
        <w:rPr>
          <w:rFonts w:ascii="Times New Roman" w:hAnsi="Times New Roman"/>
          <w:sz w:val="24"/>
          <w:szCs w:val="24"/>
          <w:lang w:val="en-US"/>
        </w:rPr>
        <w:t xml:space="preserve"> studies </w:t>
      </w:r>
      <w:r>
        <w:rPr>
          <w:rFonts w:ascii="Times New Roman" w:hAnsi="Times New Roman"/>
          <w:sz w:val="24"/>
          <w:szCs w:val="24"/>
          <w:lang w:val="en-US"/>
        </w:rPr>
        <w:t>investigating</w:t>
      </w:r>
      <w:r w:rsidRPr="000F527C">
        <w:rPr>
          <w:rFonts w:ascii="Times New Roman" w:hAnsi="Times New Roman"/>
          <w:sz w:val="24"/>
          <w:szCs w:val="24"/>
          <w:lang w:val="en-US"/>
        </w:rPr>
        <w:t xml:space="preserve"> the risk of LH cancers.  </w:t>
      </w:r>
      <w:r>
        <w:rPr>
          <w:rFonts w:ascii="Times New Roman" w:hAnsi="Times New Roman"/>
          <w:sz w:val="24"/>
          <w:szCs w:val="24"/>
          <w:lang w:val="en-US"/>
        </w:rPr>
        <w:t>However, e</w:t>
      </w:r>
      <w:r w:rsidRPr="000F527C">
        <w:rPr>
          <w:rFonts w:ascii="Times New Roman" w:hAnsi="Times New Roman"/>
          <w:sz w:val="24"/>
          <w:szCs w:val="24"/>
          <w:lang w:val="en-US"/>
        </w:rPr>
        <w:t xml:space="preserve">xposure </w:t>
      </w:r>
      <w:r>
        <w:rPr>
          <w:rFonts w:ascii="Times New Roman" w:hAnsi="Times New Roman"/>
          <w:sz w:val="24"/>
          <w:szCs w:val="24"/>
          <w:lang w:val="en-US"/>
        </w:rPr>
        <w:t>estimates</w:t>
      </w:r>
      <w:r w:rsidRPr="000F527C">
        <w:rPr>
          <w:rFonts w:ascii="Times New Roman" w:hAnsi="Times New Roman"/>
          <w:sz w:val="24"/>
          <w:szCs w:val="24"/>
          <w:lang w:val="en-US"/>
        </w:rPr>
        <w:t xml:space="preserve"> grouping by site type </w:t>
      </w:r>
      <w:r>
        <w:rPr>
          <w:rFonts w:ascii="Times New Roman" w:hAnsi="Times New Roman"/>
          <w:sz w:val="24"/>
          <w:szCs w:val="24"/>
          <w:lang w:val="en-US"/>
        </w:rPr>
        <w:t xml:space="preserve">and </w:t>
      </w:r>
      <w:r w:rsidRPr="000F527C">
        <w:rPr>
          <w:rFonts w:ascii="Times New Roman" w:hAnsi="Times New Roman"/>
          <w:sz w:val="24"/>
          <w:szCs w:val="24"/>
          <w:lang w:val="en-US"/>
        </w:rPr>
        <w:t xml:space="preserve">job </w:t>
      </w:r>
      <w:r>
        <w:rPr>
          <w:rFonts w:ascii="Times New Roman" w:hAnsi="Times New Roman"/>
          <w:sz w:val="24"/>
          <w:szCs w:val="24"/>
          <w:lang w:val="en-US"/>
        </w:rPr>
        <w:t>category were in line with published industry data</w:t>
      </w:r>
      <w:r w:rsidRPr="000F527C">
        <w:rPr>
          <w:rFonts w:ascii="Times New Roman" w:hAnsi="Times New Roman"/>
          <w:sz w:val="24"/>
          <w:szCs w:val="24"/>
          <w:lang w:val="en-US"/>
        </w:rPr>
        <w:t xml:space="preserve">.  </w:t>
      </w:r>
    </w:p>
    <w:p w:rsidR="00FA73F4" w:rsidRPr="00B675A8" w:rsidRDefault="00FA73F4" w:rsidP="00DF7E8B">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t>This paper shows that the differences in individuals’ exposure between the three studies were likely to be real and the result of differences in the decades, type of sites and hence jobs and that were included in each study,</w:t>
      </w:r>
      <w:r w:rsidRPr="00C417A0">
        <w:rPr>
          <w:rFonts w:ascii="Times New Roman" w:hAnsi="Times New Roman"/>
          <w:sz w:val="24"/>
          <w:szCs w:val="24"/>
          <w:lang w:val="en-US"/>
        </w:rPr>
        <w:t xml:space="preserve"> and that study was </w:t>
      </w:r>
      <w:r>
        <w:rPr>
          <w:rFonts w:ascii="Times New Roman" w:hAnsi="Times New Roman"/>
          <w:sz w:val="24"/>
          <w:szCs w:val="24"/>
          <w:lang w:val="en-US"/>
        </w:rPr>
        <w:t xml:space="preserve">probably </w:t>
      </w:r>
      <w:r w:rsidRPr="00C417A0">
        <w:rPr>
          <w:rFonts w:ascii="Times New Roman" w:hAnsi="Times New Roman"/>
          <w:sz w:val="24"/>
          <w:szCs w:val="24"/>
          <w:lang w:val="en-US"/>
        </w:rPr>
        <w:t xml:space="preserve">not a significant predictor of exposure when these were taken into account.  This </w:t>
      </w:r>
      <w:r>
        <w:rPr>
          <w:rFonts w:ascii="Times New Roman" w:hAnsi="Times New Roman"/>
          <w:sz w:val="24"/>
          <w:szCs w:val="24"/>
          <w:lang w:val="en-US"/>
        </w:rPr>
        <w:t>suggests</w:t>
      </w:r>
      <w:r w:rsidRPr="00C417A0">
        <w:rPr>
          <w:rFonts w:ascii="Times New Roman" w:hAnsi="Times New Roman"/>
          <w:sz w:val="24"/>
          <w:szCs w:val="24"/>
          <w:lang w:val="en-US"/>
        </w:rPr>
        <w:t xml:space="preserve"> that the previous rationalisation of exposures achieved inter-study consistency and that the data could be confidently pooled thus providing reassurance that the epidemiological results could confidently be used in risk assessment processes.</w:t>
      </w:r>
    </w:p>
    <w:p w:rsidR="00FA73F4" w:rsidRDefault="00FA73F4" w:rsidP="00962E09">
      <w:pPr>
        <w:tabs>
          <w:tab w:val="left" w:pos="284"/>
        </w:tabs>
        <w:spacing w:after="120" w:line="480" w:lineRule="auto"/>
        <w:jc w:val="both"/>
        <w:rPr>
          <w:rFonts w:ascii="Times New Roman" w:hAnsi="Times New Roman"/>
          <w:sz w:val="24"/>
          <w:szCs w:val="24"/>
          <w:lang w:val="en-US"/>
        </w:rPr>
      </w:pPr>
      <w:r>
        <w:rPr>
          <w:rFonts w:ascii="Times New Roman" w:hAnsi="Times New Roman"/>
          <w:color w:val="000000"/>
          <w:sz w:val="24"/>
          <w:szCs w:val="24"/>
        </w:rPr>
        <w:tab/>
      </w:r>
      <w:r w:rsidRPr="000E6AD1">
        <w:rPr>
          <w:rFonts w:ascii="Times New Roman" w:hAnsi="Times New Roman"/>
          <w:color w:val="000000"/>
          <w:sz w:val="24"/>
          <w:szCs w:val="24"/>
        </w:rPr>
        <w:t xml:space="preserve">There was little difference in </w:t>
      </w:r>
      <w:r w:rsidRPr="000E6AD1">
        <w:rPr>
          <w:rFonts w:ascii="Times New Roman" w:hAnsi="Times New Roman"/>
          <w:sz w:val="24"/>
          <w:szCs w:val="24"/>
          <w:lang w:val="en-US"/>
        </w:rPr>
        <w:t xml:space="preserve">exposure </w:t>
      </w:r>
      <w:r>
        <w:rPr>
          <w:rFonts w:ascii="Times New Roman" w:hAnsi="Times New Roman"/>
          <w:sz w:val="24"/>
          <w:szCs w:val="24"/>
          <w:lang w:val="en-US"/>
        </w:rPr>
        <w:t xml:space="preserve">estimates </w:t>
      </w:r>
      <w:r w:rsidRPr="000E6AD1">
        <w:rPr>
          <w:rFonts w:ascii="Times New Roman" w:hAnsi="Times New Roman"/>
          <w:sz w:val="24"/>
          <w:szCs w:val="24"/>
          <w:lang w:val="en-US"/>
        </w:rPr>
        <w:t xml:space="preserve">between AML cases and controls and in general the exposure was less than for MDS cases.  Exposure </w:t>
      </w:r>
      <w:r>
        <w:rPr>
          <w:rFonts w:ascii="Times New Roman" w:hAnsi="Times New Roman"/>
          <w:sz w:val="24"/>
          <w:szCs w:val="24"/>
          <w:lang w:val="en-US"/>
        </w:rPr>
        <w:t xml:space="preserve">estimates were </w:t>
      </w:r>
      <w:r w:rsidRPr="000E6AD1">
        <w:rPr>
          <w:rFonts w:ascii="Times New Roman" w:hAnsi="Times New Roman"/>
          <w:sz w:val="24"/>
          <w:szCs w:val="24"/>
          <w:lang w:val="en-US"/>
        </w:rPr>
        <w:t>higher for MDS cases than for their controls</w:t>
      </w:r>
      <w:r>
        <w:rPr>
          <w:rFonts w:ascii="Times New Roman" w:hAnsi="Times New Roman"/>
          <w:sz w:val="24"/>
          <w:szCs w:val="24"/>
          <w:lang w:val="en-US"/>
        </w:rPr>
        <w:t xml:space="preserve"> and they were more likely to have experienced peak and dermal exposure.</w:t>
      </w:r>
    </w:p>
    <w:p w:rsidR="00FA73F4" w:rsidRPr="00B85D37" w:rsidRDefault="00FA73F4" w:rsidP="00F62719">
      <w:pPr>
        <w:tabs>
          <w:tab w:val="left" w:pos="284"/>
        </w:tabs>
        <w:spacing w:after="120" w:line="480" w:lineRule="auto"/>
        <w:jc w:val="both"/>
        <w:rPr>
          <w:rFonts w:ascii="Times New Roman" w:hAnsi="Times New Roman"/>
          <w:sz w:val="24"/>
          <w:szCs w:val="24"/>
          <w:lang w:val="en-US"/>
        </w:rPr>
      </w:pPr>
      <w:r>
        <w:rPr>
          <w:rFonts w:ascii="Times New Roman" w:hAnsi="Times New Roman"/>
          <w:sz w:val="24"/>
          <w:szCs w:val="24"/>
          <w:lang w:val="en-US"/>
        </w:rPr>
        <w:tab/>
      </w:r>
      <w:r w:rsidRPr="00B85D37">
        <w:rPr>
          <w:rFonts w:ascii="Times New Roman" w:hAnsi="Times New Roman"/>
          <w:sz w:val="24"/>
          <w:szCs w:val="24"/>
          <w:lang w:val="en-US"/>
        </w:rPr>
        <w:t xml:space="preserve">Specifying exposure estimation certainty allowed sensitivity analyses </w:t>
      </w:r>
      <w:r>
        <w:rPr>
          <w:rFonts w:ascii="Times New Roman" w:hAnsi="Times New Roman"/>
          <w:sz w:val="24"/>
          <w:szCs w:val="24"/>
          <w:lang w:val="en-US"/>
        </w:rPr>
        <w:t>in the disease-risk outcome papers to be carried out.  Restricting analyses</w:t>
      </w:r>
      <w:r w:rsidRPr="00B85D37">
        <w:rPr>
          <w:rFonts w:ascii="Times New Roman" w:hAnsi="Times New Roman"/>
          <w:sz w:val="24"/>
          <w:szCs w:val="24"/>
          <w:lang w:val="en-US"/>
        </w:rPr>
        <w:t xml:space="preserve"> to study subjects where exposure estimates</w:t>
      </w:r>
      <w:r>
        <w:rPr>
          <w:rFonts w:ascii="Times New Roman" w:hAnsi="Times New Roman"/>
          <w:sz w:val="24"/>
          <w:szCs w:val="24"/>
          <w:lang w:val="en-US"/>
        </w:rPr>
        <w:t xml:space="preserve"> were judged to be most certain,</w:t>
      </w:r>
      <w:r w:rsidRPr="00B85D37">
        <w:rPr>
          <w:rFonts w:ascii="Times New Roman" w:hAnsi="Times New Roman"/>
          <w:sz w:val="24"/>
          <w:szCs w:val="24"/>
          <w:lang w:val="en-US"/>
        </w:rPr>
        <w:t xml:space="preserve"> </w:t>
      </w:r>
      <w:r>
        <w:rPr>
          <w:rFonts w:ascii="Times New Roman" w:hAnsi="Times New Roman"/>
          <w:sz w:val="24"/>
          <w:szCs w:val="24"/>
          <w:lang w:val="en-US"/>
        </w:rPr>
        <w:t xml:space="preserve">should reduce </w:t>
      </w:r>
      <w:r w:rsidRPr="00B85D37">
        <w:rPr>
          <w:rFonts w:ascii="Times New Roman" w:hAnsi="Times New Roman"/>
          <w:sz w:val="24"/>
          <w:szCs w:val="24"/>
          <w:lang w:val="en-US"/>
        </w:rPr>
        <w:t xml:space="preserve">exposure misclassification </w:t>
      </w:r>
    </w:p>
    <w:p w:rsidR="00FA73F4" w:rsidRDefault="00FA73F4" w:rsidP="005F02FA">
      <w:pPr>
        <w:tabs>
          <w:tab w:val="left" w:pos="284"/>
        </w:tabs>
        <w:rPr>
          <w:rFonts w:ascii="Times New Roman" w:hAnsi="Times New Roman"/>
          <w:sz w:val="24"/>
          <w:szCs w:val="24"/>
          <w:lang w:val="en-US"/>
        </w:rPr>
      </w:pPr>
    </w:p>
    <w:p w:rsidR="00FA73F4" w:rsidRPr="000E6AD1" w:rsidRDefault="00FA73F4" w:rsidP="00B561C1">
      <w:pPr>
        <w:tabs>
          <w:tab w:val="left" w:pos="284"/>
        </w:tabs>
        <w:spacing w:after="0"/>
        <w:rPr>
          <w:rFonts w:ascii="Times New Roman" w:hAnsi="Times New Roman"/>
          <w:b/>
          <w:sz w:val="24"/>
          <w:szCs w:val="24"/>
          <w:lang w:val="en-GB"/>
        </w:rPr>
      </w:pPr>
      <w:r w:rsidRPr="000E6AD1">
        <w:rPr>
          <w:rFonts w:ascii="Times New Roman" w:hAnsi="Times New Roman"/>
          <w:b/>
          <w:sz w:val="24"/>
          <w:szCs w:val="24"/>
          <w:lang w:val="en-GB"/>
        </w:rPr>
        <w:t>Funding</w:t>
      </w:r>
    </w:p>
    <w:p w:rsidR="00FA73F4" w:rsidRPr="000E6AD1" w:rsidRDefault="00FA73F4" w:rsidP="005F02FA">
      <w:pPr>
        <w:tabs>
          <w:tab w:val="left" w:pos="284"/>
        </w:tabs>
        <w:jc w:val="both"/>
        <w:rPr>
          <w:rFonts w:ascii="Times New Roman" w:hAnsi="Times New Roman"/>
          <w:sz w:val="24"/>
          <w:szCs w:val="24"/>
          <w:lang w:val="en-GB"/>
        </w:rPr>
      </w:pPr>
      <w:r w:rsidRPr="000E6AD1">
        <w:rPr>
          <w:rFonts w:ascii="Times New Roman" w:hAnsi="Times New Roman"/>
          <w:sz w:val="24"/>
          <w:szCs w:val="24"/>
          <w:lang w:val="en-GB"/>
        </w:rPr>
        <w:t>This work was supported by Conservation for Clean Air and Water Europe; the American Petroleum Institute; the Aromatic Producers Association; and the Canadian Petroleum Products Institute.</w:t>
      </w:r>
    </w:p>
    <w:p w:rsidR="00FA73F4" w:rsidRPr="000E6AD1" w:rsidRDefault="00FA73F4" w:rsidP="005F02FA">
      <w:pPr>
        <w:tabs>
          <w:tab w:val="left" w:pos="284"/>
        </w:tabs>
        <w:jc w:val="both"/>
        <w:rPr>
          <w:rFonts w:ascii="Times New Roman" w:hAnsi="Times New Roman"/>
          <w:b/>
          <w:sz w:val="24"/>
          <w:szCs w:val="24"/>
          <w:lang w:val="en-GB"/>
        </w:rPr>
      </w:pPr>
    </w:p>
    <w:p w:rsidR="00FA73F4" w:rsidRPr="000E6AD1" w:rsidRDefault="00FA73F4" w:rsidP="00B561C1">
      <w:pPr>
        <w:tabs>
          <w:tab w:val="left" w:pos="284"/>
        </w:tabs>
        <w:spacing w:after="0"/>
        <w:rPr>
          <w:rFonts w:ascii="Times New Roman" w:hAnsi="Times New Roman"/>
          <w:b/>
          <w:sz w:val="24"/>
          <w:szCs w:val="24"/>
          <w:lang w:val="en-GB"/>
        </w:rPr>
      </w:pPr>
      <w:r w:rsidRPr="000E6AD1">
        <w:rPr>
          <w:rFonts w:ascii="Times New Roman" w:hAnsi="Times New Roman"/>
          <w:b/>
          <w:sz w:val="24"/>
          <w:szCs w:val="24"/>
          <w:lang w:val="en-GB"/>
        </w:rPr>
        <w:t>Acknowledgments</w:t>
      </w:r>
    </w:p>
    <w:p w:rsidR="00FA73F4" w:rsidRDefault="00FA73F4" w:rsidP="005F02FA">
      <w:pPr>
        <w:tabs>
          <w:tab w:val="left" w:pos="284"/>
        </w:tabs>
        <w:jc w:val="both"/>
        <w:rPr>
          <w:rFonts w:ascii="Times New Roman" w:hAnsi="Times New Roman"/>
          <w:sz w:val="24"/>
          <w:szCs w:val="24"/>
          <w:lang w:val="en-GB"/>
        </w:rPr>
      </w:pPr>
      <w:r>
        <w:rPr>
          <w:rFonts w:ascii="Times New Roman" w:hAnsi="Times New Roman"/>
          <w:sz w:val="24"/>
          <w:szCs w:val="24"/>
          <w:lang w:val="en-GB"/>
        </w:rPr>
        <w:t xml:space="preserve">Eileen Pearlman and </w:t>
      </w:r>
      <w:r w:rsidRPr="000E6AD1">
        <w:rPr>
          <w:rFonts w:ascii="Times New Roman" w:hAnsi="Times New Roman"/>
          <w:sz w:val="24"/>
          <w:szCs w:val="24"/>
          <w:lang w:val="en-GB"/>
        </w:rPr>
        <w:t xml:space="preserve">Dave Verma contributed to the exposure assessment comparison exercise.  </w:t>
      </w:r>
    </w:p>
    <w:p w:rsidR="00FA73F4" w:rsidRDefault="00FA73F4" w:rsidP="005E73C9">
      <w:pPr>
        <w:pStyle w:val="Heading1"/>
        <w:numPr>
          <w:ilvl w:val="0"/>
          <w:numId w:val="0"/>
        </w:numPr>
        <w:tabs>
          <w:tab w:val="left" w:pos="284"/>
        </w:tabs>
        <w:spacing w:line="480" w:lineRule="auto"/>
        <w:rPr>
          <w:lang w:val="en-AU"/>
        </w:rPr>
      </w:pPr>
      <w:r w:rsidRPr="007331E9">
        <w:lastRenderedPageBreak/>
        <w:t>References</w:t>
      </w:r>
    </w:p>
    <w:p w:rsidR="00FA73F4" w:rsidRPr="00FA73F4" w:rsidRDefault="00FA73F4" w:rsidP="00827BD9">
      <w:pPr>
        <w:pStyle w:val="EndNoteBibliography"/>
        <w:spacing w:after="0"/>
        <w:rPr>
          <w:sz w:val="22"/>
          <w:szCs w:val="22"/>
        </w:rPr>
      </w:pPr>
      <w:bookmarkStart w:id="1" w:name="_ENREF_1"/>
      <w:r w:rsidRPr="00FA73F4">
        <w:rPr>
          <w:sz w:val="22"/>
          <w:szCs w:val="22"/>
        </w:rPr>
        <w:t>1.</w:t>
      </w:r>
      <w:r w:rsidRPr="00FA73F4">
        <w:rPr>
          <w:sz w:val="22"/>
          <w:szCs w:val="22"/>
        </w:rPr>
        <w:tab/>
        <w:t xml:space="preserve">Schnatter AR, Armstrong TW, Nicolich MJ, Thompson FS, Katz AM, Huebner WW, Pearlman ED. Lymphohaemotopoietic malignancies and quantitative estimates of exposure to benzene in Canadian petroleum distribution workers. </w:t>
      </w:r>
      <w:r w:rsidRPr="00FA73F4">
        <w:rPr>
          <w:i/>
          <w:sz w:val="22"/>
          <w:szCs w:val="22"/>
        </w:rPr>
        <w:t>Occup Environ Med</w:t>
      </w:r>
      <w:r w:rsidRPr="00FA73F4">
        <w:rPr>
          <w:sz w:val="22"/>
          <w:szCs w:val="22"/>
        </w:rPr>
        <w:t>. 1996;</w:t>
      </w:r>
      <w:r w:rsidRPr="00FA73F4">
        <w:rPr>
          <w:b/>
          <w:sz w:val="22"/>
          <w:szCs w:val="22"/>
        </w:rPr>
        <w:t>53</w:t>
      </w:r>
      <w:r w:rsidRPr="00FA73F4">
        <w:rPr>
          <w:sz w:val="22"/>
          <w:szCs w:val="22"/>
        </w:rPr>
        <w:t>:773-81.</w:t>
      </w:r>
      <w:bookmarkEnd w:id="1"/>
    </w:p>
    <w:p w:rsidR="00FA73F4" w:rsidRPr="00FA73F4" w:rsidRDefault="00FA73F4" w:rsidP="00827BD9">
      <w:pPr>
        <w:pStyle w:val="EndNoteBibliography"/>
        <w:spacing w:after="0"/>
        <w:rPr>
          <w:sz w:val="22"/>
          <w:szCs w:val="22"/>
        </w:rPr>
      </w:pPr>
      <w:bookmarkStart w:id="2" w:name="_ENREF_2"/>
      <w:r w:rsidRPr="00FA73F4">
        <w:rPr>
          <w:sz w:val="22"/>
          <w:szCs w:val="22"/>
        </w:rPr>
        <w:t>2.</w:t>
      </w:r>
      <w:r w:rsidRPr="00FA73F4">
        <w:rPr>
          <w:sz w:val="22"/>
          <w:szCs w:val="22"/>
        </w:rPr>
        <w:tab/>
        <w:t xml:space="preserve">Rushton L, Romaniuk H. A case-control study to investigate the risk of leukaemia associated with exposure to benzene in petroleum marketing and distribution workers in the United Kingdom. </w:t>
      </w:r>
      <w:r w:rsidRPr="00FA73F4">
        <w:rPr>
          <w:i/>
          <w:sz w:val="22"/>
          <w:szCs w:val="22"/>
        </w:rPr>
        <w:t>Occup Environ Med</w:t>
      </w:r>
      <w:r w:rsidRPr="00FA73F4">
        <w:rPr>
          <w:sz w:val="22"/>
          <w:szCs w:val="22"/>
        </w:rPr>
        <w:t>. 1997;</w:t>
      </w:r>
      <w:r w:rsidRPr="00FA73F4">
        <w:rPr>
          <w:b/>
          <w:sz w:val="22"/>
          <w:szCs w:val="22"/>
        </w:rPr>
        <w:t>54</w:t>
      </w:r>
      <w:r w:rsidRPr="00FA73F4">
        <w:rPr>
          <w:sz w:val="22"/>
          <w:szCs w:val="22"/>
        </w:rPr>
        <w:t>:152-66.</w:t>
      </w:r>
      <w:bookmarkEnd w:id="2"/>
    </w:p>
    <w:p w:rsidR="00FA73F4" w:rsidRPr="00FA73F4" w:rsidRDefault="00FA73F4" w:rsidP="00827BD9">
      <w:pPr>
        <w:pStyle w:val="EndNoteBibliography"/>
        <w:spacing w:after="0"/>
        <w:rPr>
          <w:sz w:val="22"/>
          <w:szCs w:val="22"/>
        </w:rPr>
      </w:pPr>
      <w:bookmarkStart w:id="3" w:name="_ENREF_3"/>
      <w:r w:rsidRPr="00FA73F4">
        <w:rPr>
          <w:sz w:val="22"/>
          <w:szCs w:val="22"/>
        </w:rPr>
        <w:t>3.</w:t>
      </w:r>
      <w:r w:rsidRPr="00FA73F4">
        <w:rPr>
          <w:sz w:val="22"/>
          <w:szCs w:val="22"/>
        </w:rPr>
        <w:tab/>
        <w:t xml:space="preserve">Glass DC, Gray CN, Jolley DJ, Gibbons C, Sim MR, Fritschi L, Adams GG, Bisby JA, Manuell RW. Leukemia risk associated with low level benzene exposure. </w:t>
      </w:r>
      <w:r w:rsidRPr="00FA73F4">
        <w:rPr>
          <w:i/>
          <w:sz w:val="22"/>
          <w:szCs w:val="22"/>
        </w:rPr>
        <w:t>Epidemiology</w:t>
      </w:r>
      <w:r w:rsidRPr="00FA73F4">
        <w:rPr>
          <w:sz w:val="22"/>
          <w:szCs w:val="22"/>
        </w:rPr>
        <w:t>. 2003;</w:t>
      </w:r>
      <w:r w:rsidRPr="00FA73F4">
        <w:rPr>
          <w:b/>
          <w:sz w:val="22"/>
          <w:szCs w:val="22"/>
        </w:rPr>
        <w:t>15</w:t>
      </w:r>
      <w:r w:rsidRPr="00FA73F4">
        <w:rPr>
          <w:sz w:val="22"/>
          <w:szCs w:val="22"/>
        </w:rPr>
        <w:t>(5):569-77.</w:t>
      </w:r>
      <w:bookmarkEnd w:id="3"/>
    </w:p>
    <w:p w:rsidR="00FA73F4" w:rsidRPr="00FA73F4" w:rsidRDefault="00FA73F4" w:rsidP="00827BD9">
      <w:pPr>
        <w:pStyle w:val="EndNoteBibliography"/>
        <w:spacing w:after="0"/>
        <w:rPr>
          <w:sz w:val="22"/>
          <w:szCs w:val="22"/>
        </w:rPr>
      </w:pPr>
      <w:bookmarkStart w:id="4" w:name="_ENREF_4"/>
      <w:r w:rsidRPr="00FA73F4">
        <w:rPr>
          <w:sz w:val="22"/>
          <w:szCs w:val="22"/>
        </w:rPr>
        <w:t>4.</w:t>
      </w:r>
      <w:r w:rsidRPr="00FA73F4">
        <w:rPr>
          <w:sz w:val="22"/>
          <w:szCs w:val="22"/>
        </w:rPr>
        <w:tab/>
        <w:t xml:space="preserve">Schnatter AR, Glass DC, Tang G, Irons RD, Rushton L. Myelodysplastic Syndrome and Benzene Exposure Among Petroleum Workers: An International Pooled Analysis. </w:t>
      </w:r>
      <w:r w:rsidRPr="00FA73F4">
        <w:rPr>
          <w:i/>
          <w:sz w:val="22"/>
          <w:szCs w:val="22"/>
        </w:rPr>
        <w:t>J Natl Cancer Inst</w:t>
      </w:r>
      <w:r w:rsidRPr="00FA73F4">
        <w:rPr>
          <w:sz w:val="22"/>
          <w:szCs w:val="22"/>
        </w:rPr>
        <w:t>. 2012 November 21, 2012;</w:t>
      </w:r>
      <w:r w:rsidRPr="00FA73F4">
        <w:rPr>
          <w:b/>
          <w:sz w:val="22"/>
          <w:szCs w:val="22"/>
        </w:rPr>
        <w:t>104</w:t>
      </w:r>
      <w:r w:rsidRPr="00FA73F4">
        <w:rPr>
          <w:sz w:val="22"/>
          <w:szCs w:val="22"/>
        </w:rPr>
        <w:t>(22):1724-37.</w:t>
      </w:r>
      <w:bookmarkEnd w:id="4"/>
    </w:p>
    <w:p w:rsidR="00FA73F4" w:rsidRPr="00FA73F4" w:rsidRDefault="00FA73F4" w:rsidP="00827BD9">
      <w:pPr>
        <w:pStyle w:val="EndNoteBibliography"/>
        <w:spacing w:after="0"/>
        <w:rPr>
          <w:sz w:val="22"/>
          <w:szCs w:val="22"/>
        </w:rPr>
      </w:pPr>
      <w:bookmarkStart w:id="5" w:name="_ENREF_5"/>
      <w:r w:rsidRPr="00FA73F4">
        <w:rPr>
          <w:sz w:val="22"/>
          <w:szCs w:val="22"/>
        </w:rPr>
        <w:t>5.</w:t>
      </w:r>
      <w:r w:rsidRPr="00FA73F4">
        <w:rPr>
          <w:sz w:val="22"/>
          <w:szCs w:val="22"/>
        </w:rPr>
        <w:tab/>
        <w:t xml:space="preserve">Rushton L, Schnatter AR, Tang G, Glass DC. Acute myeloid and chronic lymphoid leukaemias and exposure to low-level benzene among petroleum workers. </w:t>
      </w:r>
      <w:r w:rsidRPr="00FA73F4">
        <w:rPr>
          <w:i/>
          <w:sz w:val="22"/>
          <w:szCs w:val="22"/>
        </w:rPr>
        <w:t>Br J Cancer</w:t>
      </w:r>
      <w:r w:rsidRPr="00FA73F4">
        <w:rPr>
          <w:sz w:val="22"/>
          <w:szCs w:val="22"/>
        </w:rPr>
        <w:t>. [Short Communication]. 2013;</w:t>
      </w:r>
      <w:r w:rsidRPr="00FA73F4">
        <w:rPr>
          <w:b/>
          <w:sz w:val="22"/>
          <w:szCs w:val="22"/>
        </w:rPr>
        <w:t>110</w:t>
      </w:r>
      <w:r w:rsidRPr="00FA73F4">
        <w:rPr>
          <w:sz w:val="22"/>
          <w:szCs w:val="22"/>
        </w:rPr>
        <w:t>: 783-7.</w:t>
      </w:r>
      <w:bookmarkEnd w:id="5"/>
    </w:p>
    <w:p w:rsidR="00FA73F4" w:rsidRPr="00FA73F4" w:rsidRDefault="00FA73F4" w:rsidP="00827BD9">
      <w:pPr>
        <w:pStyle w:val="EndNoteBibliography"/>
        <w:spacing w:after="0"/>
        <w:rPr>
          <w:sz w:val="22"/>
          <w:szCs w:val="22"/>
        </w:rPr>
      </w:pPr>
      <w:bookmarkStart w:id="6" w:name="_ENREF_6"/>
      <w:r w:rsidRPr="00FA73F4">
        <w:rPr>
          <w:sz w:val="22"/>
          <w:szCs w:val="22"/>
        </w:rPr>
        <w:t>6.</w:t>
      </w:r>
      <w:r w:rsidRPr="00FA73F4">
        <w:rPr>
          <w:sz w:val="22"/>
          <w:szCs w:val="22"/>
        </w:rPr>
        <w:tab/>
        <w:t xml:space="preserve">Glass D, Schnatter AR, Tang G, Irons RD, Rushton L. Risk of myeloproliferative disease and chronic myeloid leukaemia following exposure to low level benzene in a nested case-control study of petroleum workers </w:t>
      </w:r>
      <w:r w:rsidRPr="00FA73F4">
        <w:rPr>
          <w:i/>
          <w:sz w:val="22"/>
          <w:szCs w:val="22"/>
        </w:rPr>
        <w:t>Occupational &amp; Environmental Medicine</w:t>
      </w:r>
      <w:r w:rsidRPr="00FA73F4">
        <w:rPr>
          <w:sz w:val="22"/>
          <w:szCs w:val="22"/>
        </w:rPr>
        <w:t>. 2014;</w:t>
      </w:r>
      <w:r w:rsidRPr="00FA73F4">
        <w:rPr>
          <w:b/>
          <w:sz w:val="22"/>
          <w:szCs w:val="22"/>
        </w:rPr>
        <w:t>71</w:t>
      </w:r>
      <w:r w:rsidRPr="00FA73F4">
        <w:rPr>
          <w:sz w:val="22"/>
          <w:szCs w:val="22"/>
        </w:rPr>
        <w:t>(266-274).</w:t>
      </w:r>
      <w:bookmarkEnd w:id="6"/>
    </w:p>
    <w:p w:rsidR="00FA73F4" w:rsidRPr="00FA73F4" w:rsidRDefault="00FA73F4" w:rsidP="00827BD9">
      <w:pPr>
        <w:pStyle w:val="EndNoteBibliography"/>
        <w:spacing w:after="0"/>
        <w:rPr>
          <w:sz w:val="22"/>
          <w:szCs w:val="22"/>
        </w:rPr>
      </w:pPr>
      <w:bookmarkStart w:id="7" w:name="_ENREF_7"/>
      <w:r w:rsidRPr="00FA73F4">
        <w:rPr>
          <w:sz w:val="22"/>
          <w:szCs w:val="22"/>
        </w:rPr>
        <w:t>7.</w:t>
      </w:r>
      <w:r w:rsidRPr="00FA73F4">
        <w:rPr>
          <w:sz w:val="22"/>
          <w:szCs w:val="22"/>
        </w:rPr>
        <w:tab/>
        <w:t xml:space="preserve">Schnatter AR, Glass DC, Tang G, Irons RD, Rushton L. Myelodysplastic Syndrome and Benzene Exposure Among Petroleum Workers: An International Pooled Analysis. </w:t>
      </w:r>
      <w:r w:rsidRPr="00FA73F4">
        <w:rPr>
          <w:i/>
          <w:sz w:val="22"/>
          <w:szCs w:val="22"/>
        </w:rPr>
        <w:t>J Natl Cancer Inst</w:t>
      </w:r>
      <w:r w:rsidRPr="00FA73F4">
        <w:rPr>
          <w:sz w:val="22"/>
          <w:szCs w:val="22"/>
        </w:rPr>
        <w:t>. 2012 October 30, 2012.</w:t>
      </w:r>
      <w:bookmarkEnd w:id="7"/>
    </w:p>
    <w:p w:rsidR="00FA73F4" w:rsidRPr="00FA73F4" w:rsidRDefault="00FA73F4" w:rsidP="00827BD9">
      <w:pPr>
        <w:pStyle w:val="EndNoteBibliography"/>
        <w:spacing w:after="0"/>
        <w:rPr>
          <w:sz w:val="22"/>
          <w:szCs w:val="22"/>
        </w:rPr>
      </w:pPr>
      <w:bookmarkStart w:id="8" w:name="_ENREF_8"/>
      <w:r w:rsidRPr="00FA73F4">
        <w:rPr>
          <w:sz w:val="22"/>
          <w:szCs w:val="22"/>
        </w:rPr>
        <w:t>8.</w:t>
      </w:r>
      <w:r w:rsidRPr="00FA73F4">
        <w:rPr>
          <w:sz w:val="22"/>
          <w:szCs w:val="22"/>
        </w:rPr>
        <w:tab/>
        <w:t>Jaffe ES, Harris NL, Stein H, Vardiman JW, editors. World Health Organization Classification of Tumours: Pathology and Genetics of Tumours of Haematopoietic and Lymphoid Tissues. Lyon: IARC Press; 2001.</w:t>
      </w:r>
      <w:bookmarkEnd w:id="8"/>
    </w:p>
    <w:p w:rsidR="00FA73F4" w:rsidRPr="00FA73F4" w:rsidRDefault="00FA73F4" w:rsidP="00827BD9">
      <w:pPr>
        <w:pStyle w:val="EndNoteBibliography"/>
        <w:spacing w:after="0"/>
        <w:rPr>
          <w:sz w:val="22"/>
          <w:szCs w:val="22"/>
        </w:rPr>
      </w:pPr>
      <w:bookmarkStart w:id="9" w:name="_ENREF_9"/>
      <w:r w:rsidRPr="00FA73F4">
        <w:rPr>
          <w:sz w:val="22"/>
          <w:szCs w:val="22"/>
        </w:rPr>
        <w:t>9.</w:t>
      </w:r>
      <w:r w:rsidRPr="00FA73F4">
        <w:rPr>
          <w:sz w:val="22"/>
          <w:szCs w:val="22"/>
        </w:rPr>
        <w:tab/>
        <w:t xml:space="preserve">Lewis SJ, Bell GM, Cordingley N, Pearlman ED, Rushton L. Retrospective estimation of exposure to benzene in a leukaemia case-control study of petroleum marketing and distribution workers in the United Kingdom. </w:t>
      </w:r>
      <w:r w:rsidRPr="00FA73F4">
        <w:rPr>
          <w:i/>
          <w:sz w:val="22"/>
          <w:szCs w:val="22"/>
        </w:rPr>
        <w:t>Occup Environ Med</w:t>
      </w:r>
      <w:r w:rsidRPr="00FA73F4">
        <w:rPr>
          <w:sz w:val="22"/>
          <w:szCs w:val="22"/>
        </w:rPr>
        <w:t>. 1997;</w:t>
      </w:r>
      <w:r w:rsidRPr="00FA73F4">
        <w:rPr>
          <w:b/>
          <w:sz w:val="22"/>
          <w:szCs w:val="22"/>
        </w:rPr>
        <w:t>54</w:t>
      </w:r>
      <w:r w:rsidRPr="00FA73F4">
        <w:rPr>
          <w:sz w:val="22"/>
          <w:szCs w:val="22"/>
        </w:rPr>
        <w:t>:167-75.</w:t>
      </w:r>
      <w:bookmarkEnd w:id="9"/>
    </w:p>
    <w:p w:rsidR="00FA73F4" w:rsidRPr="00FA73F4" w:rsidRDefault="00FA73F4" w:rsidP="00827BD9">
      <w:pPr>
        <w:pStyle w:val="EndNoteBibliography"/>
        <w:spacing w:after="0"/>
        <w:rPr>
          <w:sz w:val="22"/>
          <w:szCs w:val="22"/>
        </w:rPr>
      </w:pPr>
      <w:bookmarkStart w:id="10" w:name="_ENREF_10"/>
      <w:r w:rsidRPr="00FA73F4">
        <w:rPr>
          <w:sz w:val="22"/>
          <w:szCs w:val="22"/>
        </w:rPr>
        <w:t>10.</w:t>
      </w:r>
      <w:r w:rsidRPr="00FA73F4">
        <w:rPr>
          <w:sz w:val="22"/>
          <w:szCs w:val="22"/>
        </w:rPr>
        <w:tab/>
        <w:t xml:space="preserve">Armstrong TW, Pearlman ED, Schnatter AR, Bowes SM, Murray N, Nicolich MJ. Retrospective benzene and total hydrocarbon exposure assessment for a petroleum marketing and distribution worker epidemiology study. </w:t>
      </w:r>
      <w:r w:rsidRPr="00FA73F4">
        <w:rPr>
          <w:i/>
          <w:sz w:val="22"/>
          <w:szCs w:val="22"/>
        </w:rPr>
        <w:t>Am Ind Hyg Assoc J</w:t>
      </w:r>
      <w:r w:rsidRPr="00FA73F4">
        <w:rPr>
          <w:sz w:val="22"/>
          <w:szCs w:val="22"/>
        </w:rPr>
        <w:t>. 1996;</w:t>
      </w:r>
      <w:r w:rsidRPr="00FA73F4">
        <w:rPr>
          <w:b/>
          <w:sz w:val="22"/>
          <w:szCs w:val="22"/>
        </w:rPr>
        <w:t>57</w:t>
      </w:r>
      <w:r w:rsidRPr="00FA73F4">
        <w:rPr>
          <w:sz w:val="22"/>
          <w:szCs w:val="22"/>
        </w:rPr>
        <w:t>:333-43.</w:t>
      </w:r>
      <w:bookmarkEnd w:id="10"/>
    </w:p>
    <w:p w:rsidR="00FA73F4" w:rsidRPr="00FA73F4" w:rsidRDefault="00FA73F4" w:rsidP="00827BD9">
      <w:pPr>
        <w:pStyle w:val="EndNoteBibliography"/>
        <w:spacing w:after="0"/>
        <w:rPr>
          <w:sz w:val="22"/>
          <w:szCs w:val="22"/>
        </w:rPr>
      </w:pPr>
      <w:bookmarkStart w:id="11" w:name="_ENREF_11"/>
      <w:r w:rsidRPr="00FA73F4">
        <w:rPr>
          <w:sz w:val="22"/>
          <w:szCs w:val="22"/>
        </w:rPr>
        <w:t>11.</w:t>
      </w:r>
      <w:r w:rsidRPr="00FA73F4">
        <w:rPr>
          <w:sz w:val="22"/>
          <w:szCs w:val="22"/>
        </w:rPr>
        <w:tab/>
        <w:t xml:space="preserve">Glass DC, Adams GG, Manuell RW, Bisby JA. Retrospective exposure assessment for benzene in the Australian Petroleum Industry. </w:t>
      </w:r>
      <w:r w:rsidRPr="00FA73F4">
        <w:rPr>
          <w:i/>
          <w:sz w:val="22"/>
          <w:szCs w:val="22"/>
        </w:rPr>
        <w:t>Ann Occup Hyg</w:t>
      </w:r>
      <w:r w:rsidRPr="00FA73F4">
        <w:rPr>
          <w:sz w:val="22"/>
          <w:szCs w:val="22"/>
        </w:rPr>
        <w:t>. 2000;</w:t>
      </w:r>
      <w:r w:rsidRPr="00FA73F4">
        <w:rPr>
          <w:b/>
          <w:sz w:val="22"/>
          <w:szCs w:val="22"/>
        </w:rPr>
        <w:t>44</w:t>
      </w:r>
      <w:r w:rsidRPr="00FA73F4">
        <w:rPr>
          <w:sz w:val="22"/>
          <w:szCs w:val="22"/>
        </w:rPr>
        <w:t>(4):301-20.</w:t>
      </w:r>
      <w:bookmarkEnd w:id="11"/>
    </w:p>
    <w:p w:rsidR="00FA73F4" w:rsidRPr="00FA73F4" w:rsidRDefault="00FA73F4" w:rsidP="00827BD9">
      <w:pPr>
        <w:pStyle w:val="EndNoteBibliography"/>
        <w:spacing w:after="0"/>
        <w:rPr>
          <w:sz w:val="22"/>
          <w:szCs w:val="22"/>
        </w:rPr>
      </w:pPr>
      <w:bookmarkStart w:id="12" w:name="_ENREF_12"/>
      <w:r w:rsidRPr="00FA73F4">
        <w:rPr>
          <w:sz w:val="22"/>
          <w:szCs w:val="22"/>
        </w:rPr>
        <w:t>12.</w:t>
      </w:r>
      <w:r w:rsidRPr="00FA73F4">
        <w:rPr>
          <w:sz w:val="22"/>
          <w:szCs w:val="22"/>
        </w:rPr>
        <w:tab/>
        <w:t xml:space="preserve">Glass D, Armstrong T, Pearlman E, Verma D, Schnatter A, Rushton L. Ensuring comparability of benzene exposure estimates across three nested case-control studies in the petroleum industry in support of a pooled epidemiological analysis. </w:t>
      </w:r>
      <w:r w:rsidRPr="00FA73F4">
        <w:rPr>
          <w:i/>
          <w:sz w:val="22"/>
          <w:szCs w:val="22"/>
        </w:rPr>
        <w:t>Chem Biol Interact</w:t>
      </w:r>
      <w:r w:rsidRPr="00FA73F4">
        <w:rPr>
          <w:sz w:val="22"/>
          <w:szCs w:val="22"/>
        </w:rPr>
        <w:t>. 2010;</w:t>
      </w:r>
      <w:r w:rsidRPr="00FA73F4">
        <w:rPr>
          <w:b/>
          <w:sz w:val="22"/>
          <w:szCs w:val="22"/>
        </w:rPr>
        <w:t xml:space="preserve">184 </w:t>
      </w:r>
      <w:r w:rsidRPr="00FA73F4">
        <w:rPr>
          <w:sz w:val="22"/>
          <w:szCs w:val="22"/>
        </w:rPr>
        <w:t>101-11.</w:t>
      </w:r>
      <w:bookmarkEnd w:id="12"/>
    </w:p>
    <w:p w:rsidR="00FA73F4" w:rsidRPr="00FA73F4" w:rsidRDefault="00FA73F4" w:rsidP="00827BD9">
      <w:pPr>
        <w:pStyle w:val="EndNoteBibliography"/>
        <w:spacing w:after="0"/>
        <w:rPr>
          <w:sz w:val="22"/>
          <w:szCs w:val="22"/>
        </w:rPr>
      </w:pPr>
      <w:bookmarkStart w:id="13" w:name="_ENREF_13"/>
      <w:r w:rsidRPr="00FA73F4">
        <w:rPr>
          <w:sz w:val="22"/>
          <w:szCs w:val="22"/>
        </w:rPr>
        <w:t>13.</w:t>
      </w:r>
      <w:r w:rsidRPr="00FA73F4">
        <w:rPr>
          <w:sz w:val="22"/>
          <w:szCs w:val="22"/>
        </w:rPr>
        <w:tab/>
        <w:t xml:space="preserve">Williams PRD, Panko JM, Unice K, Brown JL, Paustenbach DJ. Occupational exposures associated with petroleum-derived products containing trace levels of benzene. </w:t>
      </w:r>
      <w:r w:rsidRPr="00FA73F4">
        <w:rPr>
          <w:i/>
          <w:sz w:val="22"/>
          <w:szCs w:val="22"/>
        </w:rPr>
        <w:t>J Occup Environ Hyg</w:t>
      </w:r>
      <w:r w:rsidRPr="00FA73F4">
        <w:rPr>
          <w:sz w:val="22"/>
          <w:szCs w:val="22"/>
        </w:rPr>
        <w:t>. 2008 Sep;</w:t>
      </w:r>
      <w:r w:rsidRPr="00FA73F4">
        <w:rPr>
          <w:b/>
          <w:sz w:val="22"/>
          <w:szCs w:val="22"/>
        </w:rPr>
        <w:t>5</w:t>
      </w:r>
      <w:r w:rsidRPr="00FA73F4">
        <w:rPr>
          <w:sz w:val="22"/>
          <w:szCs w:val="22"/>
        </w:rPr>
        <w:t>(9):565-74.</w:t>
      </w:r>
      <w:bookmarkEnd w:id="13"/>
    </w:p>
    <w:p w:rsidR="00FA73F4" w:rsidRPr="00FA73F4" w:rsidRDefault="00FA73F4" w:rsidP="00827BD9">
      <w:pPr>
        <w:pStyle w:val="EndNoteBibliography"/>
        <w:spacing w:after="0"/>
        <w:rPr>
          <w:sz w:val="22"/>
          <w:szCs w:val="22"/>
        </w:rPr>
      </w:pPr>
      <w:bookmarkStart w:id="14" w:name="_ENREF_14"/>
      <w:r w:rsidRPr="00FA73F4">
        <w:rPr>
          <w:sz w:val="22"/>
          <w:szCs w:val="22"/>
        </w:rPr>
        <w:t>14.</w:t>
      </w:r>
      <w:r w:rsidRPr="00FA73F4">
        <w:rPr>
          <w:sz w:val="22"/>
          <w:szCs w:val="22"/>
        </w:rPr>
        <w:tab/>
        <w:t xml:space="preserve">Crump KS. Risk of benzene-induced leukaemia: a sensitivity analysis of the Pliofilm cohort with additional follow-up and new exposure estimates. </w:t>
      </w:r>
      <w:r w:rsidRPr="00FA73F4">
        <w:rPr>
          <w:i/>
          <w:sz w:val="22"/>
          <w:szCs w:val="22"/>
        </w:rPr>
        <w:t>J Toxicol &amp; Environ Health</w:t>
      </w:r>
      <w:r w:rsidRPr="00FA73F4">
        <w:rPr>
          <w:sz w:val="22"/>
          <w:szCs w:val="22"/>
        </w:rPr>
        <w:t>. 1994;</w:t>
      </w:r>
      <w:r w:rsidRPr="00FA73F4">
        <w:rPr>
          <w:b/>
          <w:sz w:val="22"/>
          <w:szCs w:val="22"/>
        </w:rPr>
        <w:t>42</w:t>
      </w:r>
      <w:r w:rsidRPr="00FA73F4">
        <w:rPr>
          <w:sz w:val="22"/>
          <w:szCs w:val="22"/>
        </w:rPr>
        <w:t>:219-42.</w:t>
      </w:r>
      <w:bookmarkEnd w:id="14"/>
    </w:p>
    <w:p w:rsidR="00FA73F4" w:rsidRPr="00FA73F4" w:rsidRDefault="00FA73F4" w:rsidP="00827BD9">
      <w:pPr>
        <w:pStyle w:val="EndNoteBibliography"/>
        <w:spacing w:after="0"/>
        <w:rPr>
          <w:sz w:val="22"/>
          <w:szCs w:val="22"/>
        </w:rPr>
      </w:pPr>
      <w:bookmarkStart w:id="15" w:name="_ENREF_15"/>
      <w:r w:rsidRPr="00FA73F4">
        <w:rPr>
          <w:sz w:val="22"/>
          <w:szCs w:val="22"/>
        </w:rPr>
        <w:t>15.</w:t>
      </w:r>
      <w:r w:rsidRPr="00FA73F4">
        <w:rPr>
          <w:sz w:val="22"/>
          <w:szCs w:val="22"/>
        </w:rPr>
        <w:tab/>
        <w:t xml:space="preserve">Paxton MB, Chinchilli VM, Brett SM, Rodricks JV. Leukemia risk associated with benzene exposure in the Pliofilm cohort: II. Risk estimates. </w:t>
      </w:r>
      <w:r w:rsidRPr="00FA73F4">
        <w:rPr>
          <w:i/>
          <w:sz w:val="22"/>
          <w:szCs w:val="22"/>
        </w:rPr>
        <w:t>Risk Anal</w:t>
      </w:r>
      <w:r w:rsidRPr="00FA73F4">
        <w:rPr>
          <w:sz w:val="22"/>
          <w:szCs w:val="22"/>
        </w:rPr>
        <w:t>. 1994;</w:t>
      </w:r>
      <w:r w:rsidRPr="00FA73F4">
        <w:rPr>
          <w:b/>
          <w:sz w:val="22"/>
          <w:szCs w:val="22"/>
        </w:rPr>
        <w:t>14</w:t>
      </w:r>
      <w:r w:rsidRPr="00FA73F4">
        <w:rPr>
          <w:sz w:val="22"/>
          <w:szCs w:val="22"/>
        </w:rPr>
        <w:t>(2):155-61.</w:t>
      </w:r>
      <w:bookmarkEnd w:id="15"/>
    </w:p>
    <w:p w:rsidR="00FA73F4" w:rsidRPr="00FA73F4" w:rsidRDefault="00FA73F4" w:rsidP="00827BD9">
      <w:pPr>
        <w:pStyle w:val="EndNoteBibliography"/>
        <w:spacing w:after="0"/>
        <w:rPr>
          <w:sz w:val="22"/>
          <w:szCs w:val="22"/>
        </w:rPr>
      </w:pPr>
      <w:bookmarkStart w:id="16" w:name="_ENREF_16"/>
      <w:r w:rsidRPr="00FA73F4">
        <w:rPr>
          <w:sz w:val="22"/>
          <w:szCs w:val="22"/>
        </w:rPr>
        <w:t>16.</w:t>
      </w:r>
      <w:r w:rsidRPr="00FA73F4">
        <w:rPr>
          <w:sz w:val="22"/>
          <w:szCs w:val="22"/>
        </w:rPr>
        <w:tab/>
        <w:t xml:space="preserve">Schnatter AR, Nicolich MJ, Bird MG. Determination of leukemogenic benzene exposure  concentrations: Refined analyses of the Pliofilm cohort. </w:t>
      </w:r>
      <w:r w:rsidRPr="00FA73F4">
        <w:rPr>
          <w:i/>
          <w:sz w:val="22"/>
          <w:szCs w:val="22"/>
        </w:rPr>
        <w:t>Risk Anal</w:t>
      </w:r>
      <w:r w:rsidRPr="00FA73F4">
        <w:rPr>
          <w:sz w:val="22"/>
          <w:szCs w:val="22"/>
        </w:rPr>
        <w:t>. 1996;</w:t>
      </w:r>
      <w:r w:rsidRPr="00FA73F4">
        <w:rPr>
          <w:b/>
          <w:sz w:val="22"/>
          <w:szCs w:val="22"/>
        </w:rPr>
        <w:t>16</w:t>
      </w:r>
      <w:r w:rsidRPr="00FA73F4">
        <w:rPr>
          <w:sz w:val="22"/>
          <w:szCs w:val="22"/>
        </w:rPr>
        <w:t>(6):833-40.</w:t>
      </w:r>
      <w:bookmarkEnd w:id="16"/>
    </w:p>
    <w:p w:rsidR="00FA73F4" w:rsidRPr="00FA73F4" w:rsidRDefault="00FA73F4" w:rsidP="00827BD9">
      <w:pPr>
        <w:pStyle w:val="EndNoteBibliography"/>
        <w:spacing w:after="0"/>
        <w:rPr>
          <w:sz w:val="22"/>
          <w:szCs w:val="22"/>
        </w:rPr>
      </w:pPr>
      <w:bookmarkStart w:id="17" w:name="_ENREF_17"/>
      <w:r w:rsidRPr="00FA73F4">
        <w:rPr>
          <w:sz w:val="22"/>
          <w:szCs w:val="22"/>
        </w:rPr>
        <w:t>17.</w:t>
      </w:r>
      <w:r w:rsidRPr="00FA73F4">
        <w:rPr>
          <w:sz w:val="22"/>
          <w:szCs w:val="22"/>
        </w:rPr>
        <w:tab/>
        <w:t xml:space="preserve">Hayes RB, Yin S-N, Dosemeci M, Li G-L, Wacholder S, Travis LB, Li C-Y, Rothman N, Hoover RN, Linet MS. Benzene and the dose-related incidence of hematologic neoplasms in China. </w:t>
      </w:r>
      <w:r w:rsidRPr="00FA73F4">
        <w:rPr>
          <w:i/>
          <w:sz w:val="22"/>
          <w:szCs w:val="22"/>
        </w:rPr>
        <w:t>J Natl Cancer Inst</w:t>
      </w:r>
      <w:r w:rsidRPr="00FA73F4">
        <w:rPr>
          <w:sz w:val="22"/>
          <w:szCs w:val="22"/>
        </w:rPr>
        <w:t>. 1997;</w:t>
      </w:r>
      <w:r w:rsidRPr="00FA73F4">
        <w:rPr>
          <w:b/>
          <w:sz w:val="22"/>
          <w:szCs w:val="22"/>
        </w:rPr>
        <w:t xml:space="preserve">  89</w:t>
      </w:r>
      <w:r w:rsidRPr="00FA73F4">
        <w:rPr>
          <w:sz w:val="22"/>
          <w:szCs w:val="22"/>
        </w:rPr>
        <w:t>(14):1065-71.</w:t>
      </w:r>
      <w:bookmarkEnd w:id="17"/>
    </w:p>
    <w:p w:rsidR="00FA73F4" w:rsidRPr="00FA73F4" w:rsidRDefault="00FA73F4" w:rsidP="00827BD9">
      <w:pPr>
        <w:pStyle w:val="EndNoteBibliography"/>
        <w:spacing w:after="0"/>
        <w:rPr>
          <w:sz w:val="22"/>
          <w:szCs w:val="22"/>
        </w:rPr>
      </w:pPr>
      <w:bookmarkStart w:id="18" w:name="_ENREF_18"/>
      <w:r w:rsidRPr="00FA73F4">
        <w:rPr>
          <w:sz w:val="22"/>
          <w:szCs w:val="22"/>
        </w:rPr>
        <w:t>18.</w:t>
      </w:r>
      <w:r w:rsidRPr="00FA73F4">
        <w:rPr>
          <w:sz w:val="22"/>
          <w:szCs w:val="22"/>
        </w:rPr>
        <w:tab/>
        <w:t xml:space="preserve">Rinsky RA, Smith AB, Hornung RW, Filloon TG, Young RJ, Okun AH, Landrigan PJ. Benzene and leukemia: an epidemiologic risk assessment. </w:t>
      </w:r>
      <w:r w:rsidRPr="00FA73F4">
        <w:rPr>
          <w:i/>
          <w:sz w:val="22"/>
          <w:szCs w:val="22"/>
        </w:rPr>
        <w:t>N Engl J Med</w:t>
      </w:r>
      <w:r w:rsidRPr="00FA73F4">
        <w:rPr>
          <w:sz w:val="22"/>
          <w:szCs w:val="22"/>
        </w:rPr>
        <w:t>. 1987;</w:t>
      </w:r>
      <w:r w:rsidRPr="00FA73F4">
        <w:rPr>
          <w:b/>
          <w:sz w:val="22"/>
          <w:szCs w:val="22"/>
        </w:rPr>
        <w:t>316</w:t>
      </w:r>
      <w:r w:rsidRPr="00FA73F4">
        <w:rPr>
          <w:sz w:val="22"/>
          <w:szCs w:val="22"/>
        </w:rPr>
        <w:t>(17):1044-50.</w:t>
      </w:r>
      <w:bookmarkEnd w:id="18"/>
    </w:p>
    <w:p w:rsidR="00FA73F4" w:rsidRPr="00FA73F4" w:rsidRDefault="00FA73F4" w:rsidP="00827BD9">
      <w:pPr>
        <w:pStyle w:val="EndNoteBibliography"/>
        <w:spacing w:after="0"/>
        <w:rPr>
          <w:sz w:val="22"/>
          <w:szCs w:val="22"/>
        </w:rPr>
      </w:pPr>
      <w:bookmarkStart w:id="19" w:name="_ENREF_19"/>
      <w:r w:rsidRPr="00FA73F4">
        <w:rPr>
          <w:sz w:val="22"/>
          <w:szCs w:val="22"/>
        </w:rPr>
        <w:lastRenderedPageBreak/>
        <w:t>19.</w:t>
      </w:r>
      <w:r w:rsidRPr="00FA73F4">
        <w:rPr>
          <w:sz w:val="22"/>
          <w:szCs w:val="22"/>
        </w:rPr>
        <w:tab/>
        <w:t xml:space="preserve">Khalade A, Jaakkola M, Pukkala E, Jaakkola J. Exposure to benzene at work and the risk of leukemia: a systematic review and meta-analysis. </w:t>
      </w:r>
      <w:r w:rsidRPr="00FA73F4">
        <w:rPr>
          <w:i/>
          <w:sz w:val="22"/>
          <w:szCs w:val="22"/>
        </w:rPr>
        <w:t>Environmental Health</w:t>
      </w:r>
      <w:r w:rsidRPr="00FA73F4">
        <w:rPr>
          <w:sz w:val="22"/>
          <w:szCs w:val="22"/>
        </w:rPr>
        <w:t>. 2010;</w:t>
      </w:r>
      <w:r w:rsidRPr="00FA73F4">
        <w:rPr>
          <w:b/>
          <w:sz w:val="22"/>
          <w:szCs w:val="22"/>
        </w:rPr>
        <w:t>9</w:t>
      </w:r>
      <w:r w:rsidRPr="00FA73F4">
        <w:rPr>
          <w:sz w:val="22"/>
          <w:szCs w:val="22"/>
        </w:rPr>
        <w:t>:31.</w:t>
      </w:r>
      <w:bookmarkEnd w:id="19"/>
    </w:p>
    <w:p w:rsidR="00FA73F4" w:rsidRPr="00FA73F4" w:rsidRDefault="00FA73F4" w:rsidP="00827BD9">
      <w:pPr>
        <w:pStyle w:val="EndNoteBibliography"/>
        <w:spacing w:after="0"/>
        <w:rPr>
          <w:sz w:val="22"/>
          <w:szCs w:val="22"/>
        </w:rPr>
      </w:pPr>
      <w:bookmarkStart w:id="20" w:name="_ENREF_20"/>
      <w:r w:rsidRPr="00FA73F4">
        <w:rPr>
          <w:sz w:val="22"/>
          <w:szCs w:val="22"/>
        </w:rPr>
        <w:t>20.</w:t>
      </w:r>
      <w:r w:rsidRPr="00FA73F4">
        <w:rPr>
          <w:sz w:val="22"/>
          <w:szCs w:val="22"/>
        </w:rPr>
        <w:tab/>
        <w:t xml:space="preserve">Wijngaarden Ev, Stewart PA. Critical Literature Review of Determinants and Levels of Occupational Benzene Exposure for United States Community-Based Case-Control Studies. </w:t>
      </w:r>
      <w:r w:rsidRPr="00FA73F4">
        <w:rPr>
          <w:i/>
          <w:sz w:val="22"/>
          <w:szCs w:val="22"/>
        </w:rPr>
        <w:t>Appl Occup Environ Hyg</w:t>
      </w:r>
      <w:r w:rsidRPr="00FA73F4">
        <w:rPr>
          <w:sz w:val="22"/>
          <w:szCs w:val="22"/>
        </w:rPr>
        <w:t>. 2003;</w:t>
      </w:r>
      <w:r w:rsidRPr="00FA73F4">
        <w:rPr>
          <w:b/>
          <w:sz w:val="22"/>
          <w:szCs w:val="22"/>
        </w:rPr>
        <w:t>18</w:t>
      </w:r>
      <w:r w:rsidRPr="00FA73F4">
        <w:rPr>
          <w:sz w:val="22"/>
          <w:szCs w:val="22"/>
        </w:rPr>
        <w:t>(9):678 - 93.</w:t>
      </w:r>
      <w:bookmarkEnd w:id="20"/>
    </w:p>
    <w:p w:rsidR="00FA73F4" w:rsidRPr="00FA73F4" w:rsidRDefault="00FA73F4" w:rsidP="00827BD9">
      <w:pPr>
        <w:pStyle w:val="EndNoteBibliography"/>
        <w:spacing w:after="0"/>
        <w:rPr>
          <w:sz w:val="22"/>
          <w:szCs w:val="22"/>
        </w:rPr>
      </w:pPr>
      <w:bookmarkStart w:id="21" w:name="_ENREF_21"/>
      <w:r w:rsidRPr="00FA73F4">
        <w:rPr>
          <w:sz w:val="22"/>
          <w:szCs w:val="22"/>
        </w:rPr>
        <w:t>21.</w:t>
      </w:r>
      <w:r w:rsidRPr="00FA73F4">
        <w:rPr>
          <w:sz w:val="22"/>
          <w:szCs w:val="22"/>
        </w:rPr>
        <w:tab/>
        <w:t xml:space="preserve">Capleton AC, Levy LS. An overview of occupational benzene exposures and occupational exposure limits in Europe and North America. </w:t>
      </w:r>
      <w:r w:rsidRPr="00FA73F4">
        <w:rPr>
          <w:i/>
          <w:sz w:val="22"/>
          <w:szCs w:val="22"/>
        </w:rPr>
        <w:t>Chem Biol Interact</w:t>
      </w:r>
      <w:r w:rsidRPr="00FA73F4">
        <w:rPr>
          <w:sz w:val="22"/>
          <w:szCs w:val="22"/>
        </w:rPr>
        <w:t>. 2005;</w:t>
      </w:r>
      <w:r w:rsidRPr="00FA73F4">
        <w:rPr>
          <w:b/>
          <w:sz w:val="22"/>
          <w:szCs w:val="22"/>
        </w:rPr>
        <w:t>153-154</w:t>
      </w:r>
      <w:r w:rsidRPr="00FA73F4">
        <w:rPr>
          <w:sz w:val="22"/>
          <w:szCs w:val="22"/>
        </w:rPr>
        <w:t>:43-53.</w:t>
      </w:r>
      <w:bookmarkEnd w:id="21"/>
    </w:p>
    <w:p w:rsidR="00FA73F4" w:rsidRPr="00FA73F4" w:rsidRDefault="00FA73F4" w:rsidP="00827BD9">
      <w:pPr>
        <w:pStyle w:val="EndNoteBibliography"/>
        <w:spacing w:after="0"/>
        <w:rPr>
          <w:sz w:val="22"/>
          <w:szCs w:val="22"/>
        </w:rPr>
      </w:pPr>
      <w:bookmarkStart w:id="22" w:name="_ENREF_22"/>
      <w:r w:rsidRPr="00FA73F4">
        <w:rPr>
          <w:sz w:val="22"/>
          <w:szCs w:val="22"/>
        </w:rPr>
        <w:t>22.</w:t>
      </w:r>
      <w:r w:rsidRPr="00FA73F4">
        <w:rPr>
          <w:sz w:val="22"/>
          <w:szCs w:val="22"/>
        </w:rPr>
        <w:tab/>
        <w:t xml:space="preserve">Kreider M, Unice K, Panko J, Burns A, Paustenbach D, Booher L, Gelatt R, Gaffney S. Benzene exposure in refinery workers: ExxonMobil Joliet, Illinois, USA (1977-2006). </w:t>
      </w:r>
      <w:r w:rsidRPr="00FA73F4">
        <w:rPr>
          <w:i/>
          <w:sz w:val="22"/>
          <w:szCs w:val="22"/>
        </w:rPr>
        <w:t>Toxicol Ind Health</w:t>
      </w:r>
      <w:r w:rsidRPr="00FA73F4">
        <w:rPr>
          <w:sz w:val="22"/>
          <w:szCs w:val="22"/>
        </w:rPr>
        <w:t>. 2010;</w:t>
      </w:r>
      <w:r w:rsidRPr="00FA73F4">
        <w:rPr>
          <w:b/>
          <w:sz w:val="22"/>
          <w:szCs w:val="22"/>
        </w:rPr>
        <w:t>26</w:t>
      </w:r>
      <w:r w:rsidRPr="00FA73F4">
        <w:rPr>
          <w:sz w:val="22"/>
          <w:szCs w:val="22"/>
        </w:rPr>
        <w:t>(10):671-90.</w:t>
      </w:r>
      <w:bookmarkEnd w:id="22"/>
    </w:p>
    <w:p w:rsidR="00FA73F4" w:rsidRPr="00FA73F4" w:rsidRDefault="00FA73F4" w:rsidP="00827BD9">
      <w:pPr>
        <w:pStyle w:val="EndNoteBibliography"/>
        <w:spacing w:after="0"/>
        <w:rPr>
          <w:sz w:val="22"/>
          <w:szCs w:val="22"/>
        </w:rPr>
      </w:pPr>
      <w:bookmarkStart w:id="23" w:name="_ENREF_23"/>
      <w:r w:rsidRPr="00FA73F4">
        <w:rPr>
          <w:sz w:val="22"/>
          <w:szCs w:val="22"/>
        </w:rPr>
        <w:t>23.</w:t>
      </w:r>
      <w:r w:rsidRPr="00FA73F4">
        <w:rPr>
          <w:sz w:val="22"/>
          <w:szCs w:val="22"/>
        </w:rPr>
        <w:tab/>
        <w:t xml:space="preserve">Liang Y-X, Wong O, Armstrong T, Ye X-B, Miao L-Z, Zhou Y-M, Wu Q-E, Qian H-J, Fu H. An overview of published benzene exposure data by industry in China, 1960–2003. </w:t>
      </w:r>
      <w:r w:rsidRPr="00FA73F4">
        <w:rPr>
          <w:i/>
          <w:sz w:val="22"/>
          <w:szCs w:val="22"/>
        </w:rPr>
        <w:t>Chem Biol Interact</w:t>
      </w:r>
      <w:r w:rsidRPr="00FA73F4">
        <w:rPr>
          <w:sz w:val="22"/>
          <w:szCs w:val="22"/>
        </w:rPr>
        <w:t>. 2005;</w:t>
      </w:r>
      <w:r w:rsidRPr="00FA73F4">
        <w:rPr>
          <w:b/>
          <w:sz w:val="22"/>
          <w:szCs w:val="22"/>
        </w:rPr>
        <w:t>153–154</w:t>
      </w:r>
      <w:r w:rsidRPr="00FA73F4">
        <w:rPr>
          <w:sz w:val="22"/>
          <w:szCs w:val="22"/>
        </w:rPr>
        <w:t>(0):55-64.</w:t>
      </w:r>
      <w:bookmarkEnd w:id="23"/>
    </w:p>
    <w:p w:rsidR="00FA73F4" w:rsidRPr="00FA73F4" w:rsidRDefault="00FA73F4" w:rsidP="00827BD9">
      <w:pPr>
        <w:pStyle w:val="EndNoteBibliography"/>
        <w:spacing w:after="0"/>
        <w:rPr>
          <w:sz w:val="22"/>
          <w:szCs w:val="22"/>
        </w:rPr>
      </w:pPr>
      <w:bookmarkStart w:id="24" w:name="_ENREF_24"/>
      <w:r w:rsidRPr="00FA73F4">
        <w:rPr>
          <w:sz w:val="22"/>
          <w:szCs w:val="22"/>
        </w:rPr>
        <w:t>24.</w:t>
      </w:r>
      <w:r w:rsidRPr="00FA73F4">
        <w:rPr>
          <w:sz w:val="22"/>
          <w:szCs w:val="22"/>
        </w:rPr>
        <w:tab/>
        <w:t xml:space="preserve">Armstrong TW, Liang Y, Hetherington Y, Bowes SM, Wong O, Fu H, Chen M, Schnatter AR. Retrospective Occupational Exposure Assessment for Case-Control and Case-Series Epidemiology Studies Based in Shanghai China. </w:t>
      </w:r>
      <w:r w:rsidRPr="00FA73F4">
        <w:rPr>
          <w:i/>
          <w:sz w:val="22"/>
          <w:szCs w:val="22"/>
        </w:rPr>
        <w:t>J Occup Environ Hyg</w:t>
      </w:r>
      <w:r w:rsidRPr="00FA73F4">
        <w:rPr>
          <w:sz w:val="22"/>
          <w:szCs w:val="22"/>
        </w:rPr>
        <w:t>. 2011;</w:t>
      </w:r>
      <w:r w:rsidRPr="00FA73F4">
        <w:rPr>
          <w:b/>
          <w:sz w:val="22"/>
          <w:szCs w:val="22"/>
        </w:rPr>
        <w:t>8</w:t>
      </w:r>
      <w:r w:rsidRPr="00FA73F4">
        <w:rPr>
          <w:sz w:val="22"/>
          <w:szCs w:val="22"/>
        </w:rPr>
        <w:t>(9):561 - 72.</w:t>
      </w:r>
      <w:bookmarkEnd w:id="24"/>
    </w:p>
    <w:p w:rsidR="00FA73F4" w:rsidRPr="00FA73F4" w:rsidRDefault="00FA73F4" w:rsidP="00827BD9">
      <w:pPr>
        <w:pStyle w:val="EndNoteBibliography"/>
        <w:spacing w:after="0"/>
        <w:rPr>
          <w:sz w:val="22"/>
          <w:szCs w:val="22"/>
        </w:rPr>
      </w:pPr>
      <w:bookmarkStart w:id="25" w:name="_ENREF_25"/>
      <w:r w:rsidRPr="00FA73F4">
        <w:rPr>
          <w:sz w:val="22"/>
          <w:szCs w:val="22"/>
        </w:rPr>
        <w:t>25.</w:t>
      </w:r>
      <w:r w:rsidRPr="00FA73F4">
        <w:rPr>
          <w:sz w:val="22"/>
          <w:szCs w:val="22"/>
        </w:rPr>
        <w:tab/>
        <w:t xml:space="preserve">Qu Q, Shore R, Li G, Jin X, Chen LC, Cohen B, Melikian AA, Eastmond D, Rappaport SM, Yin S, Li H, Waidyanatha S, Li L, Mu R, Zhang X, Li K. Hematological changes among Chinese workers with a broad range of benzene exposures. </w:t>
      </w:r>
      <w:r w:rsidRPr="00FA73F4">
        <w:rPr>
          <w:i/>
          <w:sz w:val="22"/>
          <w:szCs w:val="22"/>
        </w:rPr>
        <w:t>Am J Ind Med</w:t>
      </w:r>
      <w:r w:rsidRPr="00FA73F4">
        <w:rPr>
          <w:sz w:val="22"/>
          <w:szCs w:val="22"/>
        </w:rPr>
        <w:t>. 2002;</w:t>
      </w:r>
      <w:r w:rsidRPr="00FA73F4">
        <w:rPr>
          <w:b/>
          <w:sz w:val="22"/>
          <w:szCs w:val="22"/>
        </w:rPr>
        <w:t>42</w:t>
      </w:r>
      <w:r w:rsidRPr="00FA73F4">
        <w:rPr>
          <w:sz w:val="22"/>
          <w:szCs w:val="22"/>
        </w:rPr>
        <w:t>(4):275-85.</w:t>
      </w:r>
      <w:bookmarkEnd w:id="25"/>
    </w:p>
    <w:p w:rsidR="00FA73F4" w:rsidRPr="00FA73F4" w:rsidRDefault="00FA73F4" w:rsidP="00827BD9">
      <w:pPr>
        <w:pStyle w:val="EndNoteBibliography"/>
        <w:spacing w:after="0"/>
        <w:rPr>
          <w:sz w:val="22"/>
          <w:szCs w:val="22"/>
        </w:rPr>
      </w:pPr>
      <w:bookmarkStart w:id="26" w:name="_ENREF_26"/>
      <w:r w:rsidRPr="00FA73F4">
        <w:rPr>
          <w:sz w:val="22"/>
          <w:szCs w:val="22"/>
        </w:rPr>
        <w:t>26.</w:t>
      </w:r>
      <w:r w:rsidRPr="00FA73F4">
        <w:rPr>
          <w:sz w:val="22"/>
          <w:szCs w:val="22"/>
        </w:rPr>
        <w:tab/>
        <w:t xml:space="preserve">Verma D, Cheng W, Shaw D, Shaw M, Verma P, Julian J, Dumschat R, Mulligan S. A simultaneous job- and task-based exposure evaluation of petroleum tanker drivers to benzene and total hydrocarbons. </w:t>
      </w:r>
      <w:r w:rsidRPr="00FA73F4">
        <w:rPr>
          <w:i/>
          <w:sz w:val="22"/>
          <w:szCs w:val="22"/>
        </w:rPr>
        <w:t>J Occup Environ Hyg</w:t>
      </w:r>
      <w:r w:rsidRPr="00FA73F4">
        <w:rPr>
          <w:sz w:val="22"/>
          <w:szCs w:val="22"/>
        </w:rPr>
        <w:t>. 2004;</w:t>
      </w:r>
      <w:r w:rsidRPr="00FA73F4">
        <w:rPr>
          <w:b/>
          <w:sz w:val="22"/>
          <w:szCs w:val="22"/>
        </w:rPr>
        <w:t>1</w:t>
      </w:r>
      <w:r w:rsidRPr="00FA73F4">
        <w:rPr>
          <w:sz w:val="22"/>
          <w:szCs w:val="22"/>
        </w:rPr>
        <w:t>(11):725-37.</w:t>
      </w:r>
      <w:bookmarkEnd w:id="26"/>
    </w:p>
    <w:p w:rsidR="00FA73F4" w:rsidRPr="00FA73F4" w:rsidRDefault="00FA73F4" w:rsidP="00827BD9">
      <w:pPr>
        <w:pStyle w:val="EndNoteBibliography"/>
        <w:spacing w:after="0"/>
        <w:rPr>
          <w:sz w:val="22"/>
          <w:szCs w:val="22"/>
        </w:rPr>
      </w:pPr>
      <w:bookmarkStart w:id="27" w:name="_ENREF_27"/>
      <w:r w:rsidRPr="00FA73F4">
        <w:rPr>
          <w:sz w:val="22"/>
          <w:szCs w:val="22"/>
        </w:rPr>
        <w:t>27.</w:t>
      </w:r>
      <w:r w:rsidRPr="00FA73F4">
        <w:rPr>
          <w:sz w:val="22"/>
          <w:szCs w:val="22"/>
        </w:rPr>
        <w:tab/>
        <w:t xml:space="preserve">Glass DC, Armstrong TW, Pearlman ED, Verma DK, Schnatter AR, Rushton L. Ensuring comparability of benzene exposure estimates across three nested case-control studies in the petroleum industry in support of a pooled epidemiological analysis. </w:t>
      </w:r>
      <w:r w:rsidRPr="00FA73F4">
        <w:rPr>
          <w:i/>
          <w:sz w:val="22"/>
          <w:szCs w:val="22"/>
        </w:rPr>
        <w:t>Chem Biol Interact</w:t>
      </w:r>
      <w:r w:rsidRPr="00FA73F4">
        <w:rPr>
          <w:sz w:val="22"/>
          <w:szCs w:val="22"/>
        </w:rPr>
        <w:t>. [Comparative StudyResearch Support, Non-U.S. Gov't]. 2010 Mar 19;</w:t>
      </w:r>
      <w:r w:rsidRPr="00FA73F4">
        <w:rPr>
          <w:b/>
          <w:sz w:val="22"/>
          <w:szCs w:val="22"/>
        </w:rPr>
        <w:t>184</w:t>
      </w:r>
      <w:r w:rsidRPr="00FA73F4">
        <w:rPr>
          <w:sz w:val="22"/>
          <w:szCs w:val="22"/>
        </w:rPr>
        <w:t>(1-2):101-11.</w:t>
      </w:r>
      <w:bookmarkEnd w:id="27"/>
    </w:p>
    <w:p w:rsidR="00FA73F4" w:rsidRPr="00FA73F4" w:rsidRDefault="00FA73F4" w:rsidP="00827BD9">
      <w:pPr>
        <w:pStyle w:val="EndNoteBibliography"/>
        <w:rPr>
          <w:sz w:val="22"/>
          <w:szCs w:val="22"/>
        </w:rPr>
      </w:pPr>
      <w:bookmarkStart w:id="28" w:name="_ENREF_28"/>
      <w:r w:rsidRPr="00FA73F4">
        <w:rPr>
          <w:sz w:val="22"/>
          <w:szCs w:val="22"/>
        </w:rPr>
        <w:t>28.</w:t>
      </w:r>
      <w:r w:rsidRPr="00FA73F4">
        <w:rPr>
          <w:sz w:val="22"/>
          <w:szCs w:val="22"/>
        </w:rPr>
        <w:tab/>
        <w:t xml:space="preserve">Glass D, Schnatter AR, Tang G, Irons RD, Rushton L. Risk of myeloproliferative disease and chronic myeloid leukaemia following exposure to low level benzene in a nested case-control study of petroleum workers </w:t>
      </w:r>
      <w:r w:rsidRPr="00FA73F4">
        <w:rPr>
          <w:i/>
          <w:sz w:val="22"/>
          <w:szCs w:val="22"/>
        </w:rPr>
        <w:t>Occup Environ Med</w:t>
      </w:r>
      <w:r w:rsidRPr="00FA73F4">
        <w:rPr>
          <w:sz w:val="22"/>
          <w:szCs w:val="22"/>
        </w:rPr>
        <w:t>. 2014;</w:t>
      </w:r>
      <w:r w:rsidRPr="00FA73F4">
        <w:rPr>
          <w:b/>
          <w:sz w:val="22"/>
          <w:szCs w:val="22"/>
        </w:rPr>
        <w:t>71</w:t>
      </w:r>
      <w:r w:rsidRPr="00FA73F4">
        <w:rPr>
          <w:sz w:val="22"/>
          <w:szCs w:val="22"/>
        </w:rPr>
        <w:t>(266-274).</w:t>
      </w:r>
      <w:bookmarkEnd w:id="28"/>
    </w:p>
    <w:p w:rsidR="00FA73F4" w:rsidRPr="000E6AD1" w:rsidRDefault="00FA73F4" w:rsidP="00827BD9">
      <w:pPr>
        <w:rPr>
          <w:rFonts w:ascii="Times New Roman" w:hAnsi="Times New Roman"/>
          <w:sz w:val="24"/>
          <w:szCs w:val="24"/>
          <w:lang w:val="en-GB"/>
        </w:rPr>
      </w:pPr>
    </w:p>
    <w:p w:rsidR="00FA73F4" w:rsidRDefault="00FA73F4" w:rsidP="005F02FA">
      <w:pPr>
        <w:tabs>
          <w:tab w:val="left" w:pos="284"/>
        </w:tabs>
        <w:rPr>
          <w:rFonts w:ascii="Times New Roman" w:hAnsi="Times New Roman"/>
          <w:sz w:val="24"/>
          <w:szCs w:val="24"/>
          <w:lang w:val="en-US"/>
        </w:rPr>
        <w:sectPr w:rsidR="00FA73F4" w:rsidSect="00827BD9">
          <w:footerReference w:type="default" r:id="rId7"/>
          <w:pgSz w:w="11906" w:h="16838"/>
          <w:pgMar w:top="1440" w:right="1440" w:bottom="1440" w:left="1440" w:header="708" w:footer="708" w:gutter="0"/>
          <w:cols w:space="708"/>
          <w:docGrid w:linePitch="360"/>
        </w:sectPr>
      </w:pPr>
    </w:p>
    <w:p w:rsidR="00FA73F4" w:rsidRPr="006679BF" w:rsidRDefault="00FA73F4" w:rsidP="005F02FA">
      <w:pPr>
        <w:tabs>
          <w:tab w:val="left" w:pos="284"/>
        </w:tabs>
        <w:spacing w:after="120"/>
        <w:rPr>
          <w:rFonts w:ascii="Times New Roman" w:hAnsi="Times New Roman"/>
          <w:sz w:val="24"/>
          <w:szCs w:val="24"/>
          <w:lang w:val="en-US"/>
        </w:rPr>
      </w:pPr>
    </w:p>
    <w:p w:rsidR="00FA73F4" w:rsidRDefault="00FA73F4" w:rsidP="005F02FA">
      <w:pPr>
        <w:tabs>
          <w:tab w:val="left" w:pos="284"/>
        </w:tabs>
        <w:rPr>
          <w:lang w:val="en-US" w:eastAsia="x-none"/>
        </w:rPr>
      </w:pPr>
      <w:r>
        <w:rPr>
          <w:noProof/>
          <w:lang w:eastAsia="zh-CN"/>
        </w:rPr>
        <w:drawing>
          <wp:inline distT="0" distB="0" distL="0" distR="0" wp14:anchorId="7F5EA1EB" wp14:editId="6C76A2D0">
            <wp:extent cx="4532243" cy="338442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1" t="7790" r="23265" b="26705"/>
                    <a:stretch/>
                  </pic:blipFill>
                  <pic:spPr bwMode="auto">
                    <a:xfrm>
                      <a:off x="0" y="0"/>
                      <a:ext cx="4533311" cy="3385222"/>
                    </a:xfrm>
                    <a:prstGeom prst="rect">
                      <a:avLst/>
                    </a:prstGeom>
                    <a:noFill/>
                    <a:ln>
                      <a:noFill/>
                    </a:ln>
                    <a:extLst>
                      <a:ext uri="{53640926-AAD7-44D8-BBD7-CCE9431645EC}">
                        <a14:shadowObscured xmlns:a14="http://schemas.microsoft.com/office/drawing/2010/main"/>
                      </a:ext>
                    </a:extLst>
                  </pic:spPr>
                </pic:pic>
              </a:graphicData>
            </a:graphic>
          </wp:inline>
        </w:drawing>
      </w:r>
    </w:p>
    <w:p w:rsidR="00FA73F4" w:rsidRDefault="00FA73F4" w:rsidP="005F02FA">
      <w:pPr>
        <w:tabs>
          <w:tab w:val="left" w:pos="284"/>
        </w:tabs>
        <w:spacing w:after="120"/>
        <w:jc w:val="both"/>
        <w:rPr>
          <w:rFonts w:ascii="Times New Roman" w:hAnsi="Times New Roman"/>
          <w:b/>
          <w:sz w:val="24"/>
          <w:szCs w:val="24"/>
        </w:rPr>
      </w:pPr>
      <w:bookmarkStart w:id="29" w:name="_Ref427765988"/>
      <w:r w:rsidRPr="00B84838">
        <w:rPr>
          <w:rFonts w:ascii="Times New Roman" w:hAnsi="Times New Roman"/>
          <w:b/>
          <w:sz w:val="24"/>
          <w:szCs w:val="24"/>
          <w:lang w:val="en-US"/>
        </w:rPr>
        <w:t xml:space="preserve">Figure </w:t>
      </w:r>
      <w:r w:rsidRPr="00B84838">
        <w:rPr>
          <w:rFonts w:ascii="Times New Roman" w:hAnsi="Times New Roman"/>
          <w:b/>
          <w:sz w:val="24"/>
          <w:szCs w:val="24"/>
        </w:rPr>
        <w:fldChar w:fldCharType="begin"/>
      </w:r>
      <w:r w:rsidRPr="00B84838">
        <w:rPr>
          <w:rFonts w:ascii="Times New Roman" w:hAnsi="Times New Roman"/>
          <w:b/>
          <w:sz w:val="24"/>
          <w:szCs w:val="24"/>
          <w:lang w:val="en-US"/>
        </w:rPr>
        <w:instrText xml:space="preserve"> SEQ Figure \* ARABIC </w:instrText>
      </w:r>
      <w:r w:rsidRPr="00B84838">
        <w:rPr>
          <w:rFonts w:ascii="Times New Roman" w:hAnsi="Times New Roman"/>
          <w:b/>
          <w:sz w:val="24"/>
          <w:szCs w:val="24"/>
        </w:rPr>
        <w:fldChar w:fldCharType="separate"/>
      </w:r>
      <w:r>
        <w:rPr>
          <w:rFonts w:ascii="Times New Roman" w:hAnsi="Times New Roman"/>
          <w:b/>
          <w:noProof/>
          <w:sz w:val="24"/>
          <w:szCs w:val="24"/>
          <w:lang w:val="en-US"/>
        </w:rPr>
        <w:t>1</w:t>
      </w:r>
      <w:r w:rsidRPr="00B84838">
        <w:rPr>
          <w:rFonts w:ascii="Times New Roman" w:hAnsi="Times New Roman"/>
          <w:b/>
          <w:sz w:val="24"/>
          <w:szCs w:val="24"/>
        </w:rPr>
        <w:fldChar w:fldCharType="end"/>
      </w:r>
      <w:bookmarkEnd w:id="29"/>
      <w:r>
        <w:rPr>
          <w:rFonts w:ascii="Times New Roman" w:hAnsi="Times New Roman"/>
          <w:b/>
          <w:sz w:val="24"/>
          <w:szCs w:val="24"/>
        </w:rPr>
        <w:t xml:space="preserve"> Distribution of benzene exposure intensity estimates (ppm) by decade</w:t>
      </w:r>
    </w:p>
    <w:p w:rsidR="00FA73F4" w:rsidRDefault="00FA73F4" w:rsidP="005F02FA">
      <w:pPr>
        <w:tabs>
          <w:tab w:val="left" w:pos="284"/>
        </w:tabs>
        <w:rPr>
          <w:rFonts w:ascii="Times New Roman" w:hAnsi="Times New Roman"/>
          <w:b/>
          <w:sz w:val="24"/>
          <w:szCs w:val="24"/>
        </w:rPr>
      </w:pPr>
      <w:r>
        <w:rPr>
          <w:rFonts w:ascii="Times New Roman" w:hAnsi="Times New Roman"/>
          <w:b/>
          <w:sz w:val="24"/>
          <w:szCs w:val="24"/>
        </w:rPr>
        <w:br w:type="page"/>
      </w:r>
    </w:p>
    <w:tbl>
      <w:tblPr>
        <w:tblW w:w="0" w:type="auto"/>
        <w:tblLayout w:type="fixed"/>
        <w:tblLook w:val="04A0" w:firstRow="1" w:lastRow="0" w:firstColumn="1" w:lastColumn="0" w:noHBand="0" w:noVBand="1"/>
      </w:tblPr>
      <w:tblGrid>
        <w:gridCol w:w="6912"/>
        <w:gridCol w:w="7262"/>
      </w:tblGrid>
      <w:tr w:rsidR="00FA73F4" w:rsidRPr="000E6AD1" w:rsidTr="005B0E4D">
        <w:trPr>
          <w:trHeight w:val="4101"/>
        </w:trPr>
        <w:tc>
          <w:tcPr>
            <w:tcW w:w="6912" w:type="dxa"/>
            <w:shd w:val="clear" w:color="auto" w:fill="auto"/>
          </w:tcPr>
          <w:p w:rsidR="00FA73F4" w:rsidRPr="000E6AD1" w:rsidRDefault="00FA73F4" w:rsidP="005F02FA">
            <w:pPr>
              <w:tabs>
                <w:tab w:val="left" w:pos="284"/>
              </w:tabs>
              <w:rPr>
                <w:rFonts w:ascii="Times New Roman" w:hAnsi="Times New Roman"/>
                <w:b/>
                <w:bCs/>
                <w:sz w:val="24"/>
                <w:szCs w:val="24"/>
              </w:rPr>
            </w:pPr>
            <w:r>
              <w:rPr>
                <w:rFonts w:ascii="Times New Roman" w:hAnsi="Times New Roman"/>
                <w:b/>
                <w:bCs/>
                <w:noProof/>
                <w:sz w:val="24"/>
                <w:szCs w:val="24"/>
                <w:lang w:eastAsia="zh-CN"/>
              </w:rPr>
              <w:lastRenderedPageBreak/>
              <w:drawing>
                <wp:inline distT="0" distB="0" distL="0" distR="0" wp14:anchorId="1E50FBE0" wp14:editId="23DB9306">
                  <wp:extent cx="4288457" cy="2238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556" r="20945" b="9615"/>
                          <a:stretch/>
                        </pic:blipFill>
                        <pic:spPr bwMode="auto">
                          <a:xfrm>
                            <a:off x="0" y="0"/>
                            <a:ext cx="4296856" cy="22427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62" w:type="dxa"/>
            <w:shd w:val="clear" w:color="auto" w:fill="auto"/>
          </w:tcPr>
          <w:p w:rsidR="00FA73F4" w:rsidRPr="000E6AD1" w:rsidRDefault="00FA73F4" w:rsidP="005F02FA">
            <w:pPr>
              <w:tabs>
                <w:tab w:val="left" w:pos="284"/>
              </w:tabs>
              <w:jc w:val="both"/>
              <w:rPr>
                <w:rFonts w:ascii="Times New Roman" w:hAnsi="Times New Roman"/>
                <w:b/>
                <w:bCs/>
                <w:sz w:val="24"/>
                <w:szCs w:val="24"/>
              </w:rPr>
            </w:pPr>
            <w:r>
              <w:rPr>
                <w:rFonts w:ascii="Times New Roman" w:hAnsi="Times New Roman"/>
                <w:b/>
                <w:noProof/>
                <w:sz w:val="24"/>
                <w:szCs w:val="24"/>
                <w:lang w:eastAsia="zh-CN"/>
              </w:rPr>
              <w:drawing>
                <wp:inline distT="0" distB="0" distL="0" distR="0" wp14:anchorId="39A40E11" wp14:editId="65BC878D">
                  <wp:extent cx="4301656" cy="2342889"/>
                  <wp:effectExtent l="0" t="0" r="0" b="0"/>
                  <wp:docPr id="2566" name="Picture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2943"/>
                          <a:stretch/>
                        </pic:blipFill>
                        <pic:spPr bwMode="auto">
                          <a:xfrm>
                            <a:off x="0" y="0"/>
                            <a:ext cx="4314933" cy="23501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3F4" w:rsidRPr="000E6AD1" w:rsidTr="005B0E4D">
        <w:tc>
          <w:tcPr>
            <w:tcW w:w="6912" w:type="dxa"/>
            <w:shd w:val="clear" w:color="auto" w:fill="auto"/>
          </w:tcPr>
          <w:p w:rsidR="00FA73F4" w:rsidRPr="000E6AD1" w:rsidRDefault="00FA73F4" w:rsidP="005F02FA">
            <w:pPr>
              <w:tabs>
                <w:tab w:val="left" w:pos="284"/>
              </w:tabs>
              <w:jc w:val="both"/>
              <w:rPr>
                <w:rFonts w:ascii="Times New Roman" w:hAnsi="Times New Roman"/>
                <w:b/>
                <w:bCs/>
                <w:sz w:val="24"/>
                <w:szCs w:val="24"/>
              </w:rPr>
            </w:pPr>
            <w:r>
              <w:rPr>
                <w:rFonts w:ascii="Times New Roman" w:hAnsi="Times New Roman"/>
                <w:b/>
                <w:bCs/>
                <w:noProof/>
                <w:sz w:val="24"/>
                <w:szCs w:val="24"/>
                <w:lang w:eastAsia="zh-CN"/>
              </w:rPr>
              <w:drawing>
                <wp:inline distT="0" distB="0" distL="0" distR="0" wp14:anchorId="0CA92336" wp14:editId="4FB8932D">
                  <wp:extent cx="4114800"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896" r="23585"/>
                          <a:stretch/>
                        </pic:blipFill>
                        <pic:spPr bwMode="auto">
                          <a:xfrm>
                            <a:off x="0" y="0"/>
                            <a:ext cx="4112983" cy="25896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62" w:type="dxa"/>
            <w:shd w:val="clear" w:color="auto" w:fill="auto"/>
          </w:tcPr>
          <w:p w:rsidR="00FA73F4" w:rsidRPr="000E6AD1" w:rsidRDefault="00FA73F4" w:rsidP="005F02FA">
            <w:pPr>
              <w:tabs>
                <w:tab w:val="left" w:pos="284"/>
              </w:tabs>
              <w:jc w:val="both"/>
              <w:rPr>
                <w:rFonts w:ascii="Times New Roman" w:hAnsi="Times New Roman"/>
                <w:b/>
                <w:bCs/>
                <w:sz w:val="24"/>
                <w:szCs w:val="24"/>
              </w:rPr>
            </w:pPr>
            <w:r>
              <w:rPr>
                <w:rFonts w:ascii="Times New Roman" w:hAnsi="Times New Roman"/>
                <w:b/>
                <w:bCs/>
                <w:noProof/>
                <w:sz w:val="24"/>
                <w:szCs w:val="24"/>
                <w:lang w:eastAsia="zh-CN"/>
              </w:rPr>
              <w:drawing>
                <wp:inline distT="0" distB="0" distL="0" distR="0" wp14:anchorId="76F306E7" wp14:editId="645CB8C9">
                  <wp:extent cx="4352925" cy="2276475"/>
                  <wp:effectExtent l="0" t="0" r="0" b="0"/>
                  <wp:docPr id="2568" name="Picture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rotWithShape="1">
                          <a:blip r:embed="rId12">
                            <a:extLst>
                              <a:ext uri="{28A0092B-C50C-407E-A947-70E740481C1C}">
                                <a14:useLocalDpi xmlns:a14="http://schemas.microsoft.com/office/drawing/2010/main" val="0"/>
                              </a:ext>
                            </a:extLst>
                          </a:blip>
                          <a:srcRect t="13232"/>
                          <a:stretch/>
                        </pic:blipFill>
                        <pic:spPr bwMode="auto">
                          <a:xfrm>
                            <a:off x="0" y="0"/>
                            <a:ext cx="4349531" cy="22747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3F4" w:rsidRPr="000E6AD1" w:rsidTr="005B0E4D">
        <w:tc>
          <w:tcPr>
            <w:tcW w:w="6912" w:type="dxa"/>
            <w:shd w:val="clear" w:color="auto" w:fill="auto"/>
          </w:tcPr>
          <w:p w:rsidR="00FA73F4" w:rsidRPr="000E6AD1" w:rsidRDefault="00FA73F4" w:rsidP="005F02FA">
            <w:pPr>
              <w:pStyle w:val="Caption"/>
              <w:tabs>
                <w:tab w:val="left" w:pos="284"/>
              </w:tabs>
              <w:rPr>
                <w:rFonts w:ascii="Times New Roman" w:hAnsi="Times New Roman"/>
                <w:sz w:val="24"/>
                <w:szCs w:val="24"/>
                <w:lang w:val="en-US"/>
              </w:rPr>
            </w:pPr>
            <w:r>
              <w:rPr>
                <w:rFonts w:ascii="Times New Roman" w:hAnsi="Times New Roman"/>
                <w:noProof/>
                <w:sz w:val="24"/>
                <w:szCs w:val="24"/>
              </w:rPr>
              <w:lastRenderedPageBreak/>
              <w:drawing>
                <wp:inline distT="0" distB="0" distL="0" distR="0" wp14:anchorId="5429F460" wp14:editId="6890DC4B">
                  <wp:extent cx="4162425" cy="2352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363" t="8361" r="26301" b="9030"/>
                          <a:stretch/>
                        </pic:blipFill>
                        <pic:spPr bwMode="auto">
                          <a:xfrm>
                            <a:off x="0" y="0"/>
                            <a:ext cx="4164583" cy="23538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62" w:type="dxa"/>
            <w:shd w:val="clear" w:color="auto" w:fill="auto"/>
          </w:tcPr>
          <w:p w:rsidR="00FA73F4" w:rsidRPr="000E6AD1" w:rsidRDefault="00FA73F4" w:rsidP="005F02FA">
            <w:pPr>
              <w:pStyle w:val="Caption"/>
              <w:keepNext/>
              <w:tabs>
                <w:tab w:val="left" w:pos="284"/>
              </w:tabs>
              <w:rPr>
                <w:rFonts w:ascii="Times New Roman" w:hAnsi="Times New Roman"/>
                <w:sz w:val="24"/>
                <w:szCs w:val="24"/>
                <w:lang w:val="en-US"/>
              </w:rPr>
            </w:pPr>
          </w:p>
        </w:tc>
      </w:tr>
    </w:tbl>
    <w:p w:rsidR="00FA73F4" w:rsidRPr="008D768C" w:rsidRDefault="00FA73F4" w:rsidP="008D768C">
      <w:pPr>
        <w:tabs>
          <w:tab w:val="left" w:pos="284"/>
        </w:tabs>
        <w:rPr>
          <w:rFonts w:ascii="Times New Roman" w:hAnsi="Times New Roman"/>
          <w:b/>
          <w:sz w:val="24"/>
          <w:szCs w:val="24"/>
        </w:rPr>
      </w:pPr>
      <w:bookmarkStart w:id="30" w:name="_Ref456951986"/>
      <w:bookmarkStart w:id="31" w:name="_Ref456951981"/>
    </w:p>
    <w:p w:rsidR="00FA73F4" w:rsidRPr="008D768C" w:rsidRDefault="00FA73F4" w:rsidP="008D768C">
      <w:pPr>
        <w:tabs>
          <w:tab w:val="left" w:pos="284"/>
        </w:tabs>
        <w:rPr>
          <w:rFonts w:ascii="Times New Roman" w:hAnsi="Times New Roman"/>
          <w:b/>
          <w:sz w:val="24"/>
          <w:szCs w:val="24"/>
        </w:rPr>
      </w:pPr>
      <w:bookmarkStart w:id="32" w:name="_Ref481575392"/>
      <w:r w:rsidRPr="008D768C">
        <w:rPr>
          <w:rFonts w:ascii="Times New Roman" w:hAnsi="Times New Roman"/>
          <w:b/>
          <w:sz w:val="24"/>
          <w:szCs w:val="24"/>
        </w:rPr>
        <w:t xml:space="preserve">Figure </w:t>
      </w:r>
      <w:r w:rsidRPr="008D768C">
        <w:rPr>
          <w:rFonts w:ascii="Times New Roman" w:hAnsi="Times New Roman"/>
          <w:b/>
          <w:sz w:val="24"/>
          <w:szCs w:val="24"/>
        </w:rPr>
        <w:fldChar w:fldCharType="begin"/>
      </w:r>
      <w:r w:rsidRPr="008D768C">
        <w:rPr>
          <w:rFonts w:ascii="Times New Roman" w:hAnsi="Times New Roman"/>
          <w:b/>
          <w:sz w:val="24"/>
          <w:szCs w:val="24"/>
        </w:rPr>
        <w:instrText xml:space="preserve"> SEQ Figure \* ARABIC </w:instrText>
      </w:r>
      <w:r w:rsidRPr="008D768C">
        <w:rPr>
          <w:rFonts w:ascii="Times New Roman" w:hAnsi="Times New Roman"/>
          <w:b/>
          <w:sz w:val="24"/>
          <w:szCs w:val="24"/>
        </w:rPr>
        <w:fldChar w:fldCharType="separate"/>
      </w:r>
      <w:r w:rsidRPr="008D768C">
        <w:rPr>
          <w:rFonts w:ascii="Times New Roman" w:hAnsi="Times New Roman"/>
          <w:b/>
          <w:sz w:val="24"/>
          <w:szCs w:val="24"/>
        </w:rPr>
        <w:t>2</w:t>
      </w:r>
      <w:r w:rsidRPr="008D768C">
        <w:rPr>
          <w:rFonts w:ascii="Times New Roman" w:hAnsi="Times New Roman"/>
          <w:b/>
          <w:sz w:val="24"/>
          <w:szCs w:val="24"/>
        </w:rPr>
        <w:fldChar w:fldCharType="end"/>
      </w:r>
      <w:bookmarkEnd w:id="30"/>
      <w:bookmarkEnd w:id="32"/>
      <w:r w:rsidRPr="008D768C">
        <w:rPr>
          <w:rFonts w:ascii="Times New Roman" w:hAnsi="Times New Roman"/>
          <w:b/>
          <w:sz w:val="24"/>
          <w:szCs w:val="24"/>
        </w:rPr>
        <w:t>: Cumulative exposure to benzene (ppm-years) for cases and their controls</w:t>
      </w:r>
      <w:bookmarkEnd w:id="31"/>
    </w:p>
    <w:p w:rsidR="00FA73F4" w:rsidRDefault="00FA73F4" w:rsidP="005F02FA">
      <w:pPr>
        <w:tabs>
          <w:tab w:val="left" w:pos="284"/>
        </w:tabs>
        <w:rPr>
          <w:rFonts w:ascii="Times New Roman" w:hAnsi="Times New Roman"/>
          <w:color w:val="000000"/>
          <w:sz w:val="24"/>
          <w:szCs w:val="24"/>
        </w:rPr>
      </w:pPr>
    </w:p>
    <w:p w:rsidR="00FA73F4" w:rsidRDefault="00FA73F4" w:rsidP="005F02FA">
      <w:pPr>
        <w:tabs>
          <w:tab w:val="left" w:pos="284"/>
        </w:tabs>
        <w:rPr>
          <w:rFonts w:ascii="Times New Roman" w:hAnsi="Times New Roman"/>
          <w:color w:val="000000"/>
          <w:sz w:val="24"/>
          <w:szCs w:val="24"/>
        </w:rPr>
        <w:sectPr w:rsidR="00FA73F4" w:rsidSect="005B0E4D">
          <w:pgSz w:w="16838" w:h="11906" w:orient="landscape"/>
          <w:pgMar w:top="1440" w:right="1440" w:bottom="1440" w:left="1440" w:header="708" w:footer="708" w:gutter="0"/>
          <w:cols w:space="708"/>
          <w:docGrid w:linePitch="360"/>
        </w:sectPr>
      </w:pPr>
    </w:p>
    <w:p w:rsidR="00FA73F4" w:rsidRDefault="00FA73F4" w:rsidP="005F02FA">
      <w:pPr>
        <w:tabs>
          <w:tab w:val="left" w:pos="284"/>
        </w:tabs>
        <w:spacing w:after="120"/>
        <w:jc w:val="both"/>
        <w:rPr>
          <w:rFonts w:ascii="Times New Roman" w:hAnsi="Times New Roman"/>
          <w:sz w:val="24"/>
          <w:szCs w:val="24"/>
        </w:rPr>
      </w:pPr>
      <w:r>
        <w:rPr>
          <w:rFonts w:ascii="Times New Roman" w:hAnsi="Times New Roman"/>
          <w:b/>
          <w:noProof/>
          <w:sz w:val="24"/>
          <w:szCs w:val="24"/>
          <w:lang w:eastAsia="zh-CN"/>
        </w:rPr>
        <w:lastRenderedPageBreak/>
        <w:drawing>
          <wp:inline distT="0" distB="0" distL="0" distR="0" wp14:anchorId="186005C9" wp14:editId="36CAB002">
            <wp:extent cx="5303520" cy="2621535"/>
            <wp:effectExtent l="0" t="0" r="0" b="0"/>
            <wp:docPr id="2569" name="Picture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a:extLst>
                        <a:ext uri="{28A0092B-C50C-407E-A947-70E740481C1C}">
                          <a14:useLocalDpi xmlns:a14="http://schemas.microsoft.com/office/drawing/2010/main" val="0"/>
                        </a:ext>
                      </a:extLst>
                    </a:blip>
                    <a:srcRect t="11775"/>
                    <a:stretch/>
                  </pic:blipFill>
                  <pic:spPr bwMode="auto">
                    <a:xfrm>
                      <a:off x="0" y="0"/>
                      <a:ext cx="5300228" cy="2619908"/>
                    </a:xfrm>
                    <a:prstGeom prst="rect">
                      <a:avLst/>
                    </a:prstGeom>
                    <a:noFill/>
                    <a:ln>
                      <a:noFill/>
                    </a:ln>
                    <a:extLst>
                      <a:ext uri="{53640926-AAD7-44D8-BBD7-CCE9431645EC}">
                        <a14:shadowObscured xmlns:a14="http://schemas.microsoft.com/office/drawing/2010/main"/>
                      </a:ext>
                    </a:extLst>
                  </pic:spPr>
                </pic:pic>
              </a:graphicData>
            </a:graphic>
          </wp:inline>
        </w:drawing>
      </w:r>
    </w:p>
    <w:p w:rsidR="00FA73F4" w:rsidRDefault="00FA73F4" w:rsidP="005F02FA">
      <w:pPr>
        <w:tabs>
          <w:tab w:val="left" w:pos="284"/>
        </w:tabs>
        <w:rPr>
          <w:rFonts w:ascii="Times New Roman" w:hAnsi="Times New Roman"/>
          <w:b/>
          <w:bCs/>
          <w:sz w:val="24"/>
          <w:szCs w:val="24"/>
        </w:rPr>
      </w:pPr>
      <w:bookmarkStart w:id="33" w:name="_Ref456952585"/>
      <w:r w:rsidRPr="007331E9">
        <w:rPr>
          <w:rFonts w:ascii="Times New Roman" w:hAnsi="Times New Roman"/>
          <w:b/>
          <w:sz w:val="24"/>
          <w:szCs w:val="24"/>
          <w:lang w:val="en-US"/>
        </w:rPr>
        <w:t xml:space="preserve">Figure </w:t>
      </w:r>
      <w:r w:rsidRPr="007331E9">
        <w:rPr>
          <w:rFonts w:ascii="Times New Roman" w:hAnsi="Times New Roman"/>
          <w:b/>
          <w:sz w:val="24"/>
          <w:szCs w:val="24"/>
        </w:rPr>
        <w:fldChar w:fldCharType="begin"/>
      </w:r>
      <w:r w:rsidRPr="007331E9">
        <w:rPr>
          <w:rFonts w:ascii="Times New Roman" w:hAnsi="Times New Roman"/>
          <w:b/>
          <w:sz w:val="24"/>
          <w:szCs w:val="24"/>
          <w:lang w:val="en-US"/>
        </w:rPr>
        <w:instrText xml:space="preserve"> SEQ Figure \* ARABIC </w:instrText>
      </w:r>
      <w:r w:rsidRPr="007331E9">
        <w:rPr>
          <w:rFonts w:ascii="Times New Roman" w:hAnsi="Times New Roman"/>
          <w:b/>
          <w:sz w:val="24"/>
          <w:szCs w:val="24"/>
        </w:rPr>
        <w:fldChar w:fldCharType="separate"/>
      </w:r>
      <w:r>
        <w:rPr>
          <w:rFonts w:ascii="Times New Roman" w:hAnsi="Times New Roman"/>
          <w:b/>
          <w:noProof/>
          <w:sz w:val="24"/>
          <w:szCs w:val="24"/>
          <w:lang w:val="en-US"/>
        </w:rPr>
        <w:t>3</w:t>
      </w:r>
      <w:r w:rsidRPr="007331E9">
        <w:rPr>
          <w:rFonts w:ascii="Times New Roman" w:hAnsi="Times New Roman"/>
          <w:b/>
          <w:sz w:val="24"/>
          <w:szCs w:val="24"/>
        </w:rPr>
        <w:fldChar w:fldCharType="end"/>
      </w:r>
      <w:bookmarkEnd w:id="33"/>
      <w:r w:rsidRPr="007331E9">
        <w:rPr>
          <w:rFonts w:ascii="Times New Roman" w:hAnsi="Times New Roman"/>
          <w:b/>
          <w:sz w:val="24"/>
          <w:szCs w:val="24"/>
        </w:rPr>
        <w:t xml:space="preserve">: Distribution of </w:t>
      </w:r>
      <w:r>
        <w:rPr>
          <w:rFonts w:ascii="Times New Roman" w:hAnsi="Times New Roman"/>
          <w:b/>
          <w:sz w:val="24"/>
          <w:szCs w:val="24"/>
        </w:rPr>
        <w:t>median</w:t>
      </w:r>
      <w:r w:rsidRPr="007331E9">
        <w:rPr>
          <w:rFonts w:ascii="Times New Roman" w:hAnsi="Times New Roman"/>
          <w:b/>
          <w:sz w:val="24"/>
          <w:szCs w:val="24"/>
        </w:rPr>
        <w:t xml:space="preserve"> benzene exposure </w:t>
      </w:r>
      <w:r>
        <w:rPr>
          <w:rFonts w:ascii="Times New Roman" w:hAnsi="Times New Roman"/>
          <w:b/>
          <w:sz w:val="24"/>
          <w:szCs w:val="24"/>
        </w:rPr>
        <w:t xml:space="preserve">intensity (ppm) </w:t>
      </w:r>
      <w:r w:rsidRPr="007331E9">
        <w:rPr>
          <w:rFonts w:ascii="Times New Roman" w:hAnsi="Times New Roman"/>
          <w:b/>
          <w:sz w:val="24"/>
          <w:szCs w:val="24"/>
        </w:rPr>
        <w:t>by case/control status and disease</w:t>
      </w:r>
      <w:r w:rsidRPr="000E6AD1">
        <w:rPr>
          <w:rFonts w:ascii="Times New Roman" w:hAnsi="Times New Roman"/>
          <w:b/>
          <w:bCs/>
          <w:sz w:val="24"/>
          <w:szCs w:val="24"/>
        </w:rPr>
        <w:t xml:space="preserve"> group (log-scale)</w:t>
      </w:r>
    </w:p>
    <w:p w:rsidR="00FA73F4" w:rsidRDefault="00FA73F4" w:rsidP="005F02FA">
      <w:pPr>
        <w:tabs>
          <w:tab w:val="left" w:pos="284"/>
        </w:tabs>
        <w:rPr>
          <w:rFonts w:ascii="Times New Roman" w:hAnsi="Times New Roman"/>
          <w:b/>
          <w:bCs/>
          <w:sz w:val="24"/>
          <w:szCs w:val="24"/>
        </w:rPr>
      </w:pPr>
    </w:p>
    <w:p w:rsidR="00FA73F4" w:rsidRDefault="00FA73F4" w:rsidP="005F02FA">
      <w:pPr>
        <w:tabs>
          <w:tab w:val="left" w:pos="284"/>
        </w:tabs>
        <w:rPr>
          <w:rFonts w:ascii="Times New Roman" w:hAnsi="Times New Roman"/>
          <w:b/>
          <w:bCs/>
          <w:sz w:val="24"/>
          <w:szCs w:val="24"/>
        </w:rPr>
      </w:pPr>
    </w:p>
    <w:p w:rsidR="00FA73F4" w:rsidRPr="000E6AD1" w:rsidRDefault="00FA73F4" w:rsidP="005F02FA">
      <w:pPr>
        <w:tabs>
          <w:tab w:val="left" w:pos="284"/>
        </w:tabs>
        <w:rPr>
          <w:rFonts w:ascii="Times New Roman" w:hAnsi="Times New Roman"/>
          <w:b/>
          <w:bCs/>
          <w:sz w:val="24"/>
          <w:szCs w:val="24"/>
        </w:rPr>
      </w:pPr>
    </w:p>
    <w:p w:rsidR="00FA73F4" w:rsidRDefault="00FA73F4" w:rsidP="005F02FA">
      <w:pPr>
        <w:tabs>
          <w:tab w:val="left" w:pos="284"/>
        </w:tabs>
        <w:rPr>
          <w:rFonts w:ascii="Times New Roman" w:hAnsi="Times New Roman"/>
          <w:sz w:val="24"/>
          <w:szCs w:val="24"/>
        </w:rPr>
      </w:pPr>
      <w:r>
        <w:rPr>
          <w:rFonts w:ascii="Times New Roman" w:hAnsi="Times New Roman"/>
          <w:b/>
          <w:noProof/>
          <w:sz w:val="24"/>
          <w:szCs w:val="24"/>
          <w:lang w:eastAsia="zh-CN"/>
        </w:rPr>
        <w:drawing>
          <wp:inline distT="0" distB="0" distL="0" distR="0" wp14:anchorId="18CF1B37" wp14:editId="5C53C254">
            <wp:extent cx="5518205" cy="3131382"/>
            <wp:effectExtent l="0" t="0" r="0" b="0"/>
            <wp:docPr id="2570" name="Picture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7992" cy="3131261"/>
                    </a:xfrm>
                    <a:prstGeom prst="rect">
                      <a:avLst/>
                    </a:prstGeom>
                    <a:noFill/>
                    <a:ln>
                      <a:noFill/>
                    </a:ln>
                  </pic:spPr>
                </pic:pic>
              </a:graphicData>
            </a:graphic>
          </wp:inline>
        </w:drawing>
      </w:r>
    </w:p>
    <w:p w:rsidR="00FA73F4" w:rsidRPr="000E6AD1" w:rsidRDefault="00FA73F4" w:rsidP="005F02FA">
      <w:pPr>
        <w:tabs>
          <w:tab w:val="left" w:pos="284"/>
        </w:tabs>
        <w:rPr>
          <w:rFonts w:ascii="Times New Roman" w:hAnsi="Times New Roman"/>
          <w:b/>
          <w:bCs/>
          <w:sz w:val="24"/>
          <w:szCs w:val="24"/>
        </w:rPr>
      </w:pPr>
      <w:bookmarkStart w:id="34" w:name="_Ref456955858"/>
      <w:bookmarkStart w:id="35" w:name="_Ref456955854"/>
      <w:r w:rsidRPr="007331E9">
        <w:rPr>
          <w:rFonts w:ascii="Times New Roman" w:hAnsi="Times New Roman"/>
          <w:b/>
          <w:sz w:val="24"/>
          <w:szCs w:val="24"/>
          <w:lang w:val="en-US"/>
        </w:rPr>
        <w:t xml:space="preserve">Figure </w:t>
      </w:r>
      <w:r w:rsidRPr="007331E9">
        <w:rPr>
          <w:rFonts w:ascii="Times New Roman" w:hAnsi="Times New Roman"/>
          <w:b/>
          <w:sz w:val="24"/>
          <w:szCs w:val="24"/>
        </w:rPr>
        <w:fldChar w:fldCharType="begin"/>
      </w:r>
      <w:r w:rsidRPr="007331E9">
        <w:rPr>
          <w:rFonts w:ascii="Times New Roman" w:hAnsi="Times New Roman"/>
          <w:b/>
          <w:sz w:val="24"/>
          <w:szCs w:val="24"/>
          <w:lang w:val="en-US"/>
        </w:rPr>
        <w:instrText xml:space="preserve"> SEQ Figure \* ARABIC </w:instrText>
      </w:r>
      <w:r w:rsidRPr="007331E9">
        <w:rPr>
          <w:rFonts w:ascii="Times New Roman" w:hAnsi="Times New Roman"/>
          <w:b/>
          <w:sz w:val="24"/>
          <w:szCs w:val="24"/>
        </w:rPr>
        <w:fldChar w:fldCharType="separate"/>
      </w:r>
      <w:r>
        <w:rPr>
          <w:rFonts w:ascii="Times New Roman" w:hAnsi="Times New Roman"/>
          <w:b/>
          <w:noProof/>
          <w:sz w:val="24"/>
          <w:szCs w:val="24"/>
          <w:lang w:val="en-US"/>
        </w:rPr>
        <w:t>4</w:t>
      </w:r>
      <w:r w:rsidRPr="007331E9">
        <w:rPr>
          <w:rFonts w:ascii="Times New Roman" w:hAnsi="Times New Roman"/>
          <w:b/>
          <w:sz w:val="24"/>
          <w:szCs w:val="24"/>
        </w:rPr>
        <w:fldChar w:fldCharType="end"/>
      </w:r>
      <w:bookmarkEnd w:id="34"/>
      <w:r w:rsidRPr="007331E9">
        <w:rPr>
          <w:rFonts w:ascii="Times New Roman" w:hAnsi="Times New Roman"/>
          <w:b/>
          <w:sz w:val="24"/>
          <w:szCs w:val="24"/>
        </w:rPr>
        <w:t xml:space="preserve">: </w:t>
      </w:r>
      <w:r w:rsidRPr="000E6AD1">
        <w:rPr>
          <w:rFonts w:ascii="Times New Roman" w:hAnsi="Times New Roman"/>
          <w:b/>
          <w:bCs/>
          <w:sz w:val="24"/>
          <w:szCs w:val="24"/>
        </w:rPr>
        <w:t>Distribution of cumulative benzene exposure by case/control status and disease group (log-scale))</w:t>
      </w:r>
      <w:bookmarkEnd w:id="35"/>
    </w:p>
    <w:p w:rsidR="00FA73F4" w:rsidRDefault="00FA73F4" w:rsidP="005F02FA">
      <w:pPr>
        <w:tabs>
          <w:tab w:val="left" w:pos="284"/>
        </w:tabs>
        <w:rPr>
          <w:rFonts w:ascii="Times New Roman" w:hAnsi="Times New Roman"/>
          <w:sz w:val="24"/>
          <w:szCs w:val="24"/>
        </w:rPr>
      </w:pPr>
    </w:p>
    <w:p w:rsidR="00FA73F4" w:rsidRDefault="00FA73F4" w:rsidP="005F02FA">
      <w:pPr>
        <w:tabs>
          <w:tab w:val="left" w:pos="284"/>
        </w:tabs>
        <w:rPr>
          <w:rFonts w:ascii="Times New Roman" w:hAnsi="Times New Roman"/>
          <w:sz w:val="24"/>
          <w:szCs w:val="24"/>
        </w:rPr>
      </w:pPr>
    </w:p>
    <w:p w:rsidR="00FA73F4" w:rsidRPr="0037634A" w:rsidRDefault="00FA73F4" w:rsidP="005F02FA">
      <w:pPr>
        <w:tabs>
          <w:tab w:val="left" w:pos="284"/>
        </w:tabs>
        <w:rPr>
          <w:lang w:val="en-US" w:eastAsia="x-none"/>
        </w:rPr>
      </w:pPr>
      <w:r>
        <w:rPr>
          <w:noProof/>
          <w:lang w:eastAsia="zh-CN"/>
        </w:rPr>
        <w:lastRenderedPageBreak/>
        <w:drawing>
          <wp:inline distT="0" distB="0" distL="0" distR="0" wp14:anchorId="1452F6F2" wp14:editId="4DD86101">
            <wp:extent cx="4683318" cy="18825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2361" t="37013" r="5833" b="8737"/>
                    <a:stretch/>
                  </pic:blipFill>
                  <pic:spPr bwMode="auto">
                    <a:xfrm>
                      <a:off x="0" y="0"/>
                      <a:ext cx="4688694" cy="1884683"/>
                    </a:xfrm>
                    <a:prstGeom prst="rect">
                      <a:avLst/>
                    </a:prstGeom>
                    <a:noFill/>
                    <a:ln>
                      <a:noFill/>
                    </a:ln>
                    <a:extLst>
                      <a:ext uri="{53640926-AAD7-44D8-BBD7-CCE9431645EC}">
                        <a14:shadowObscured xmlns:a14="http://schemas.microsoft.com/office/drawing/2010/main"/>
                      </a:ext>
                    </a:extLst>
                  </pic:spPr>
                </pic:pic>
              </a:graphicData>
            </a:graphic>
          </wp:inline>
        </w:drawing>
      </w:r>
    </w:p>
    <w:p w:rsidR="00FA73F4" w:rsidRDefault="00FA73F4" w:rsidP="005F02FA">
      <w:pPr>
        <w:tabs>
          <w:tab w:val="left" w:pos="284"/>
        </w:tabs>
        <w:spacing w:after="120"/>
        <w:jc w:val="both"/>
        <w:rPr>
          <w:rFonts w:ascii="Times New Roman" w:hAnsi="Times New Roman"/>
          <w:b/>
          <w:sz w:val="24"/>
          <w:szCs w:val="24"/>
        </w:rPr>
      </w:pPr>
      <w:bookmarkStart w:id="36" w:name="_Ref427765989"/>
      <w:r w:rsidRPr="00B84838">
        <w:rPr>
          <w:rFonts w:ascii="Times New Roman" w:hAnsi="Times New Roman"/>
          <w:b/>
          <w:sz w:val="24"/>
          <w:szCs w:val="24"/>
          <w:lang w:val="en-US"/>
        </w:rPr>
        <w:t xml:space="preserve">Figure </w:t>
      </w:r>
      <w:r w:rsidRPr="00B84838">
        <w:rPr>
          <w:rFonts w:ascii="Times New Roman" w:hAnsi="Times New Roman"/>
          <w:b/>
          <w:sz w:val="24"/>
          <w:szCs w:val="24"/>
        </w:rPr>
        <w:fldChar w:fldCharType="begin"/>
      </w:r>
      <w:r w:rsidRPr="00B84838">
        <w:rPr>
          <w:rFonts w:ascii="Times New Roman" w:hAnsi="Times New Roman"/>
          <w:b/>
          <w:sz w:val="24"/>
          <w:szCs w:val="24"/>
          <w:lang w:val="en-US"/>
        </w:rPr>
        <w:instrText xml:space="preserve"> SEQ Figure \* ARABIC </w:instrText>
      </w:r>
      <w:r w:rsidRPr="00B84838">
        <w:rPr>
          <w:rFonts w:ascii="Times New Roman" w:hAnsi="Times New Roman"/>
          <w:b/>
          <w:sz w:val="24"/>
          <w:szCs w:val="24"/>
        </w:rPr>
        <w:fldChar w:fldCharType="separate"/>
      </w:r>
      <w:r>
        <w:rPr>
          <w:rFonts w:ascii="Times New Roman" w:hAnsi="Times New Roman"/>
          <w:b/>
          <w:noProof/>
          <w:sz w:val="24"/>
          <w:szCs w:val="24"/>
          <w:lang w:val="en-US"/>
        </w:rPr>
        <w:t>5</w:t>
      </w:r>
      <w:r w:rsidRPr="00B84838">
        <w:rPr>
          <w:rFonts w:ascii="Times New Roman" w:hAnsi="Times New Roman"/>
          <w:b/>
          <w:sz w:val="24"/>
          <w:szCs w:val="24"/>
        </w:rPr>
        <w:fldChar w:fldCharType="end"/>
      </w:r>
      <w:bookmarkEnd w:id="36"/>
      <w:r>
        <w:rPr>
          <w:rFonts w:ascii="Times New Roman" w:hAnsi="Times New Roman"/>
          <w:b/>
          <w:sz w:val="24"/>
          <w:szCs w:val="24"/>
        </w:rPr>
        <w:t xml:space="preserve"> P</w:t>
      </w:r>
      <w:r w:rsidRPr="001A1E37">
        <w:rPr>
          <w:rFonts w:ascii="Times New Roman" w:hAnsi="Times New Roman"/>
          <w:b/>
          <w:sz w:val="24"/>
          <w:szCs w:val="24"/>
        </w:rPr>
        <w:t>roportion of jobs with peak exposure by decade</w:t>
      </w:r>
      <w:r>
        <w:rPr>
          <w:rFonts w:ascii="Times New Roman" w:hAnsi="Times New Roman"/>
          <w:b/>
          <w:sz w:val="24"/>
          <w:szCs w:val="24"/>
        </w:rPr>
        <w:t xml:space="preserve"> </w:t>
      </w:r>
    </w:p>
    <w:p w:rsidR="00FA73F4" w:rsidRDefault="00FA73F4">
      <w:pPr>
        <w:rPr>
          <w:rFonts w:ascii="Times New Roman" w:hAnsi="Times New Roman"/>
          <w:sz w:val="24"/>
          <w:szCs w:val="24"/>
          <w:lang w:val="en-US"/>
        </w:rPr>
      </w:pPr>
      <w:bookmarkStart w:id="37" w:name="_Ref393187800"/>
      <w:r>
        <w:rPr>
          <w:rFonts w:ascii="Times New Roman" w:hAnsi="Times New Roman"/>
          <w:sz w:val="24"/>
          <w:szCs w:val="24"/>
          <w:lang w:val="en-US"/>
        </w:rPr>
        <w:br w:type="page"/>
      </w:r>
    </w:p>
    <w:p w:rsidR="00FA73F4" w:rsidRDefault="00FA73F4" w:rsidP="005E73C9">
      <w:pPr>
        <w:tabs>
          <w:tab w:val="left" w:pos="284"/>
        </w:tabs>
        <w:rPr>
          <w:rFonts w:ascii="Times New Roman" w:hAnsi="Times New Roman"/>
          <w:sz w:val="24"/>
          <w:szCs w:val="24"/>
          <w:lang w:val="en-US"/>
        </w:rPr>
      </w:pPr>
    </w:p>
    <w:p w:rsidR="00FA73F4" w:rsidRPr="005E1BBE" w:rsidRDefault="00FA73F4" w:rsidP="00072D77">
      <w:pPr>
        <w:pStyle w:val="Caption"/>
        <w:tabs>
          <w:tab w:val="left" w:pos="284"/>
          <w:tab w:val="left" w:pos="7263"/>
        </w:tabs>
        <w:spacing w:after="0"/>
        <w:jc w:val="both"/>
        <w:rPr>
          <w:rFonts w:ascii="Times New Roman" w:hAnsi="Times New Roman"/>
          <w:sz w:val="24"/>
          <w:szCs w:val="24"/>
          <w:lang w:val="en-US"/>
        </w:rPr>
      </w:pPr>
      <w:bookmarkStart w:id="38" w:name="_Ref456954920"/>
      <w:bookmarkStart w:id="39" w:name="_Toc310944845"/>
      <w:r w:rsidRPr="00595C3C">
        <w:rPr>
          <w:rFonts w:ascii="Times New Roman" w:hAnsi="Times New Roman"/>
          <w:bCs w:val="0"/>
          <w:sz w:val="24"/>
          <w:szCs w:val="24"/>
          <w:lang w:val="en-US" w:eastAsia="x-none"/>
        </w:rPr>
        <w:t xml:space="preserve">Table </w:t>
      </w:r>
      <w:bookmarkEnd w:id="38"/>
      <w:r>
        <w:rPr>
          <w:rFonts w:ascii="Times New Roman" w:hAnsi="Times New Roman"/>
          <w:bCs w:val="0"/>
          <w:sz w:val="24"/>
          <w:szCs w:val="24"/>
          <w:lang w:val="en-US" w:eastAsia="x-none"/>
        </w:rPr>
        <w:t>I</w:t>
      </w:r>
      <w:r w:rsidRPr="00595C3C">
        <w:rPr>
          <w:rFonts w:ascii="Times New Roman" w:hAnsi="Times New Roman"/>
          <w:bCs w:val="0"/>
          <w:sz w:val="24"/>
          <w:szCs w:val="24"/>
          <w:lang w:val="en-US"/>
        </w:rPr>
        <w:t>: Mean</w:t>
      </w:r>
      <w:r>
        <w:rPr>
          <w:rFonts w:ascii="Times New Roman" w:hAnsi="Times New Roman"/>
          <w:bCs w:val="0"/>
          <w:sz w:val="24"/>
          <w:szCs w:val="24"/>
          <w:lang w:val="en-US"/>
        </w:rPr>
        <w:t xml:space="preserve"> (Standard deviation</w:t>
      </w:r>
      <w:r w:rsidRPr="003C7755">
        <w:rPr>
          <w:rFonts w:ascii="Times New Roman" w:hAnsi="Times New Roman"/>
          <w:bCs w:val="0"/>
          <w:sz w:val="24"/>
          <w:szCs w:val="24"/>
          <w:lang w:val="en-US"/>
        </w:rPr>
        <w:t>) [Median</w:t>
      </w:r>
      <w:r>
        <w:rPr>
          <w:rFonts w:ascii="Times New Roman" w:hAnsi="Times New Roman"/>
          <w:bCs w:val="0"/>
          <w:sz w:val="24"/>
          <w:szCs w:val="24"/>
          <w:lang w:val="en-US"/>
        </w:rPr>
        <w:t>,</w:t>
      </w:r>
      <w:r w:rsidRPr="003C7755">
        <w:rPr>
          <w:rFonts w:ascii="Times New Roman" w:hAnsi="Times New Roman"/>
          <w:bCs w:val="0"/>
          <w:sz w:val="24"/>
          <w:szCs w:val="24"/>
          <w:lang w:val="en-US"/>
        </w:rPr>
        <w:t xml:space="preserve"> 1</w:t>
      </w:r>
      <w:r w:rsidRPr="00072D77">
        <w:rPr>
          <w:rFonts w:ascii="Times New Roman" w:hAnsi="Times New Roman"/>
          <w:bCs w:val="0"/>
          <w:sz w:val="24"/>
          <w:szCs w:val="24"/>
          <w:vertAlign w:val="superscript"/>
          <w:lang w:val="en-US"/>
        </w:rPr>
        <w:t>st</w:t>
      </w:r>
      <w:r>
        <w:rPr>
          <w:rFonts w:ascii="Times New Roman" w:hAnsi="Times New Roman"/>
          <w:bCs w:val="0"/>
          <w:sz w:val="24"/>
          <w:szCs w:val="24"/>
          <w:lang w:val="en-US"/>
        </w:rPr>
        <w:t xml:space="preserve"> -</w:t>
      </w:r>
      <w:r w:rsidRPr="003C7755">
        <w:rPr>
          <w:rFonts w:ascii="Times New Roman" w:hAnsi="Times New Roman"/>
          <w:bCs w:val="0"/>
          <w:sz w:val="24"/>
          <w:szCs w:val="24"/>
          <w:lang w:val="en-US"/>
        </w:rPr>
        <w:t>3rd quartiles]</w:t>
      </w:r>
      <w:r w:rsidRPr="00595C3C">
        <w:rPr>
          <w:rFonts w:ascii="Times New Roman" w:hAnsi="Times New Roman"/>
          <w:bCs w:val="0"/>
          <w:sz w:val="24"/>
          <w:szCs w:val="24"/>
          <w:lang w:val="en-US"/>
        </w:rPr>
        <w:t xml:space="preserve"> </w:t>
      </w:r>
      <w:r>
        <w:rPr>
          <w:rFonts w:ascii="Times New Roman" w:hAnsi="Times New Roman"/>
          <w:bCs w:val="0"/>
          <w:sz w:val="24"/>
          <w:szCs w:val="24"/>
          <w:lang w:val="en-US"/>
        </w:rPr>
        <w:t xml:space="preserve">for </w:t>
      </w:r>
      <w:r w:rsidRPr="00595C3C">
        <w:rPr>
          <w:rFonts w:ascii="Times New Roman" w:hAnsi="Times New Roman"/>
          <w:bCs w:val="0"/>
          <w:sz w:val="24"/>
          <w:szCs w:val="24"/>
          <w:lang w:val="en-US"/>
        </w:rPr>
        <w:t>benzene exposure metrics, duration of employment and career</w:t>
      </w:r>
      <w:r>
        <w:rPr>
          <w:rFonts w:ascii="Times New Roman" w:hAnsi="Times New Roman"/>
          <w:sz w:val="24"/>
          <w:szCs w:val="24"/>
          <w:lang w:val="en-US"/>
        </w:rPr>
        <w:t xml:space="preserve"> certainty score</w:t>
      </w:r>
      <w:r w:rsidRPr="005E1BBE">
        <w:rPr>
          <w:rFonts w:ascii="Times New Roman" w:hAnsi="Times New Roman"/>
          <w:sz w:val="24"/>
          <w:szCs w:val="24"/>
          <w:lang w:val="en-US"/>
        </w:rPr>
        <w:t xml:space="preserve"> by study</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630"/>
        <w:gridCol w:w="1630"/>
        <w:gridCol w:w="1630"/>
        <w:gridCol w:w="1630"/>
      </w:tblGrid>
      <w:tr w:rsidR="00FA73F4" w:rsidRPr="00D61386" w:rsidTr="003C7755">
        <w:tc>
          <w:tcPr>
            <w:tcW w:w="2660" w:type="dxa"/>
            <w:vAlign w:val="center"/>
          </w:tcPr>
          <w:p w:rsidR="00FA73F4" w:rsidRPr="003C7755" w:rsidRDefault="00FA73F4" w:rsidP="003C7755">
            <w:pPr>
              <w:tabs>
                <w:tab w:val="left" w:pos="284"/>
              </w:tabs>
              <w:spacing w:after="0"/>
              <w:jc w:val="right"/>
              <w:rPr>
                <w:rFonts w:ascii="Times New Roman" w:hAnsi="Times New Roman"/>
                <w:b/>
                <w:bCs/>
                <w:sz w:val="20"/>
                <w:szCs w:val="20"/>
                <w:lang w:val="en-US"/>
              </w:rPr>
            </w:pPr>
            <w:r w:rsidRPr="003C7755">
              <w:rPr>
                <w:rFonts w:ascii="Times New Roman" w:hAnsi="Times New Roman"/>
                <w:b/>
                <w:bCs/>
                <w:sz w:val="20"/>
                <w:szCs w:val="20"/>
                <w:lang w:val="en-US"/>
              </w:rPr>
              <w:t>Exposure metric</w:t>
            </w:r>
          </w:p>
        </w:tc>
        <w:tc>
          <w:tcPr>
            <w:tcW w:w="1630" w:type="dxa"/>
            <w:vAlign w:val="center"/>
          </w:tcPr>
          <w:p w:rsidR="00FA73F4" w:rsidRPr="003C7755" w:rsidRDefault="00FA73F4" w:rsidP="003C7755">
            <w:pPr>
              <w:tabs>
                <w:tab w:val="left" w:pos="284"/>
              </w:tabs>
              <w:spacing w:after="0"/>
              <w:jc w:val="right"/>
              <w:rPr>
                <w:rFonts w:ascii="Times New Roman" w:hAnsi="Times New Roman"/>
                <w:b/>
                <w:sz w:val="20"/>
                <w:szCs w:val="20"/>
                <w:lang w:val="en-US"/>
              </w:rPr>
            </w:pPr>
            <w:r w:rsidRPr="003C7755">
              <w:rPr>
                <w:rFonts w:ascii="Times New Roman" w:hAnsi="Times New Roman"/>
                <w:b/>
                <w:sz w:val="20"/>
                <w:szCs w:val="20"/>
                <w:lang w:val="en-US"/>
              </w:rPr>
              <w:t>Australia</w:t>
            </w:r>
          </w:p>
        </w:tc>
        <w:tc>
          <w:tcPr>
            <w:tcW w:w="1630" w:type="dxa"/>
            <w:vAlign w:val="center"/>
          </w:tcPr>
          <w:p w:rsidR="00FA73F4" w:rsidRPr="003C7755" w:rsidRDefault="00FA73F4" w:rsidP="003C7755">
            <w:pPr>
              <w:tabs>
                <w:tab w:val="left" w:pos="284"/>
              </w:tabs>
              <w:spacing w:after="0"/>
              <w:jc w:val="right"/>
              <w:rPr>
                <w:rFonts w:ascii="Times New Roman" w:hAnsi="Times New Roman"/>
                <w:b/>
                <w:sz w:val="20"/>
                <w:szCs w:val="20"/>
                <w:lang w:val="en-US"/>
              </w:rPr>
            </w:pPr>
            <w:r w:rsidRPr="003C7755">
              <w:rPr>
                <w:rFonts w:ascii="Times New Roman" w:hAnsi="Times New Roman"/>
                <w:b/>
                <w:sz w:val="20"/>
                <w:szCs w:val="20"/>
                <w:lang w:val="en-US"/>
              </w:rPr>
              <w:t>Canada</w:t>
            </w:r>
          </w:p>
        </w:tc>
        <w:tc>
          <w:tcPr>
            <w:tcW w:w="1630" w:type="dxa"/>
            <w:vAlign w:val="center"/>
          </w:tcPr>
          <w:p w:rsidR="00FA73F4" w:rsidRPr="003C7755" w:rsidRDefault="00FA73F4" w:rsidP="003C7755">
            <w:pPr>
              <w:tabs>
                <w:tab w:val="left" w:pos="284"/>
              </w:tabs>
              <w:spacing w:after="0"/>
              <w:jc w:val="right"/>
              <w:rPr>
                <w:rFonts w:ascii="Times New Roman" w:hAnsi="Times New Roman"/>
                <w:b/>
                <w:sz w:val="20"/>
                <w:szCs w:val="20"/>
                <w:lang w:val="en-US"/>
              </w:rPr>
            </w:pPr>
            <w:r w:rsidRPr="003C7755">
              <w:rPr>
                <w:rFonts w:ascii="Times New Roman" w:hAnsi="Times New Roman"/>
                <w:b/>
                <w:sz w:val="20"/>
                <w:szCs w:val="20"/>
                <w:lang w:val="en-US"/>
              </w:rPr>
              <w:t>UK</w:t>
            </w:r>
          </w:p>
        </w:tc>
        <w:tc>
          <w:tcPr>
            <w:tcW w:w="1630" w:type="dxa"/>
            <w:vAlign w:val="center"/>
          </w:tcPr>
          <w:p w:rsidR="00FA73F4" w:rsidRPr="003C7755" w:rsidRDefault="00FA73F4" w:rsidP="003C7755">
            <w:pPr>
              <w:tabs>
                <w:tab w:val="left" w:pos="284"/>
              </w:tabs>
              <w:spacing w:after="0"/>
              <w:jc w:val="right"/>
              <w:rPr>
                <w:rFonts w:ascii="Times New Roman" w:hAnsi="Times New Roman"/>
                <w:b/>
                <w:sz w:val="20"/>
                <w:szCs w:val="20"/>
                <w:lang w:val="en-US"/>
              </w:rPr>
            </w:pPr>
            <w:r w:rsidRPr="003C7755">
              <w:rPr>
                <w:rFonts w:ascii="Times New Roman" w:hAnsi="Times New Roman"/>
                <w:b/>
                <w:sz w:val="20"/>
                <w:szCs w:val="20"/>
                <w:lang w:val="en-US"/>
              </w:rPr>
              <w:t>All</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Mean of cumulative benzene exposure in ppm-years</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4.3 (7.1)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[1.9, 0.4-5.0]</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7.6 (23.0)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[0.5, 0.2-6.7] </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5.0 (19.6)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[0.8, 0.1-3.5]</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5.2 (17.0)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[1.1, 0.2-4.5]</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Mean of average benzene exposure intensity in ppm</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0.19 (0.28)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[0.09, 0.02-0.25]</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0.29 (0.74)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[0.02, 0.01-0.31]</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0.23 (0.88)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[0.04, 0.01-0.19]</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0.22 (0.7)</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[0.07, 0.01-0.23]</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Mean maximum benzene exposure intensity in ppm</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0.32 (0.52)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[0.14, 0.02-0.40]</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0.70 (2.1)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[0.03, 0.01-0.63]</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0.40 (1.45)</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[0.07, 0.02-0.29] </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0.41 (1.3)</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[0.09, 0.02-0.39]</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Mean duration of employment in years</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21.5 (9.1)</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[21.4, 14.2-28.7]</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24.9 (11.8)</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[27.2, 16.2-33.8] </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21.3 (12.8)</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[20.8, 10-31.4]</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21.9 (11.5)</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[21.8, 12.7-31.0]</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Peak ≥ 3 ppm (%)</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35</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50</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53</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46</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High dermal exposure (%)</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36</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40</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41</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39</w:t>
            </w:r>
          </w:p>
        </w:tc>
      </w:tr>
      <w:tr w:rsidR="00FA73F4" w:rsidRPr="00BD0A22" w:rsidTr="003C7755">
        <w:tc>
          <w:tcPr>
            <w:tcW w:w="2660" w:type="dxa"/>
            <w:vAlign w:val="center"/>
          </w:tcPr>
          <w:p w:rsidR="00FA73F4" w:rsidRPr="003C7755" w:rsidRDefault="00FA73F4" w:rsidP="003C7755">
            <w:pPr>
              <w:tabs>
                <w:tab w:val="left" w:pos="284"/>
              </w:tabs>
              <w:spacing w:after="0"/>
              <w:rPr>
                <w:rFonts w:ascii="Times New Roman" w:hAnsi="Times New Roman"/>
                <w:sz w:val="20"/>
                <w:szCs w:val="20"/>
                <w:lang w:val="en-US"/>
              </w:rPr>
            </w:pPr>
            <w:r w:rsidRPr="003C7755">
              <w:rPr>
                <w:rFonts w:ascii="Times New Roman" w:hAnsi="Times New Roman"/>
                <w:sz w:val="20"/>
                <w:szCs w:val="20"/>
                <w:lang w:val="en-US"/>
              </w:rPr>
              <w:t>Mean of career exposure certainty score</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2.9 (0.2)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[3, 3-3]</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2.7 (0.5)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[3, 2.5-3] </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1.5 (0.6)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[1.2, 1-2]</w:t>
            </w:r>
          </w:p>
        </w:tc>
        <w:tc>
          <w:tcPr>
            <w:tcW w:w="1630" w:type="dxa"/>
            <w:vAlign w:val="center"/>
          </w:tcPr>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2.2 (0.8) </w:t>
            </w:r>
          </w:p>
          <w:p w:rsidR="00FA73F4" w:rsidRPr="003C7755" w:rsidRDefault="00FA73F4" w:rsidP="003C7755">
            <w:pPr>
              <w:tabs>
                <w:tab w:val="left" w:pos="284"/>
              </w:tabs>
              <w:adjustRightInd w:val="0"/>
              <w:spacing w:after="0"/>
              <w:jc w:val="right"/>
              <w:rPr>
                <w:rFonts w:ascii="Times New Roman" w:hAnsi="Times New Roman"/>
                <w:sz w:val="20"/>
                <w:szCs w:val="20"/>
                <w:lang w:val="en-US"/>
              </w:rPr>
            </w:pPr>
            <w:r w:rsidRPr="003C7755">
              <w:rPr>
                <w:rFonts w:ascii="Times New Roman" w:hAnsi="Times New Roman"/>
                <w:sz w:val="20"/>
                <w:szCs w:val="20"/>
                <w:lang w:val="en-US"/>
              </w:rPr>
              <w:t xml:space="preserve">[2.5, 1.2-3] </w:t>
            </w:r>
          </w:p>
        </w:tc>
      </w:tr>
      <w:bookmarkEnd w:id="39"/>
    </w:tbl>
    <w:p w:rsidR="00FA73F4" w:rsidRDefault="00FA73F4" w:rsidP="005E73C9">
      <w:pPr>
        <w:tabs>
          <w:tab w:val="left" w:pos="284"/>
        </w:tabs>
        <w:rPr>
          <w:lang w:val="en-US"/>
        </w:rPr>
      </w:pPr>
    </w:p>
    <w:p w:rsidR="00FA73F4" w:rsidRDefault="00FA73F4" w:rsidP="005E73C9">
      <w:pPr>
        <w:tabs>
          <w:tab w:val="left" w:pos="284"/>
        </w:tabs>
        <w:rPr>
          <w:lang w:val="en-US"/>
        </w:rPr>
      </w:pPr>
    </w:p>
    <w:p w:rsidR="00FA73F4" w:rsidRDefault="00FA73F4">
      <w:pPr>
        <w:rPr>
          <w:lang w:val="en-US"/>
        </w:rPr>
      </w:pPr>
      <w:r>
        <w:rPr>
          <w:lang w:val="en-US"/>
        </w:rPr>
        <w:br w:type="page"/>
      </w:r>
    </w:p>
    <w:p w:rsidR="00FA73F4" w:rsidRDefault="00FA73F4" w:rsidP="005E73C9">
      <w:pPr>
        <w:tabs>
          <w:tab w:val="left" w:pos="284"/>
        </w:tabs>
        <w:rPr>
          <w:lang w:val="en-US"/>
        </w:rPr>
      </w:pPr>
    </w:p>
    <w:p w:rsidR="00FA73F4" w:rsidRDefault="00FA73F4" w:rsidP="005E73C9">
      <w:pPr>
        <w:tabs>
          <w:tab w:val="left" w:pos="284"/>
        </w:tabs>
        <w:spacing w:before="120" w:after="240"/>
        <w:rPr>
          <w:rFonts w:ascii="Times New Roman" w:hAnsi="Times New Roman"/>
          <w:b/>
          <w:sz w:val="24"/>
          <w:szCs w:val="24"/>
          <w:lang w:val="en-US" w:eastAsia="x-none"/>
        </w:rPr>
      </w:pPr>
      <w:bookmarkStart w:id="40" w:name="_Ref456955069"/>
      <w:bookmarkStart w:id="41" w:name="_Ref456954884"/>
      <w:r w:rsidRPr="00D61386">
        <w:rPr>
          <w:rFonts w:ascii="Times New Roman" w:hAnsi="Times New Roman"/>
          <w:b/>
          <w:bCs/>
          <w:sz w:val="24"/>
          <w:szCs w:val="24"/>
          <w:lang w:val="en-US"/>
        </w:rPr>
        <w:t>Table II</w:t>
      </w:r>
      <w:r w:rsidRPr="00D61386">
        <w:rPr>
          <w:rFonts w:ascii="Times New Roman" w:hAnsi="Times New Roman"/>
          <w:b/>
          <w:bCs/>
          <w:sz w:val="24"/>
          <w:szCs w:val="24"/>
          <w:lang w:val="en-US" w:eastAsia="x-none"/>
        </w:rPr>
        <w:t>: Distribution of the participants’ most dominant site type and career average</w:t>
      </w:r>
      <w:r w:rsidRPr="0035056C">
        <w:rPr>
          <w:rFonts w:ascii="Times New Roman" w:hAnsi="Times New Roman"/>
          <w:b/>
          <w:sz w:val="24"/>
          <w:szCs w:val="24"/>
          <w:lang w:val="en-US" w:eastAsia="x-none"/>
        </w:rPr>
        <w:t xml:space="preserve"> and maximum benzene exposure intensity (ppm)</w:t>
      </w:r>
      <w:r>
        <w:rPr>
          <w:rFonts w:ascii="Times New Roman" w:hAnsi="Times New Roman"/>
          <w:b/>
          <w:sz w:val="24"/>
          <w:szCs w:val="24"/>
          <w:lang w:val="en-US" w:eastAsia="x-none"/>
        </w:rPr>
        <w:t>, peak and high dermal</w:t>
      </w:r>
      <w:r w:rsidRPr="0035056C">
        <w:rPr>
          <w:rFonts w:ascii="Times New Roman" w:hAnsi="Times New Roman"/>
          <w:b/>
          <w:sz w:val="24"/>
          <w:szCs w:val="24"/>
          <w:lang w:val="en-US" w:eastAsia="x-none"/>
        </w:rPr>
        <w:t xml:space="preserve"> estimates by site type </w:t>
      </w:r>
      <w:r>
        <w:rPr>
          <w:rFonts w:ascii="Times New Roman" w:hAnsi="Times New Roman"/>
          <w:b/>
          <w:sz w:val="24"/>
          <w:szCs w:val="24"/>
          <w:lang w:val="en-US" w:eastAsia="x-none"/>
        </w:rPr>
        <w:t>*</w:t>
      </w:r>
    </w:p>
    <w:tbl>
      <w:tblPr>
        <w:tblW w:w="9498" w:type="dxa"/>
        <w:tblLayout w:type="fixed"/>
        <w:tblLook w:val="04A0" w:firstRow="1" w:lastRow="0" w:firstColumn="1" w:lastColumn="0" w:noHBand="0" w:noVBand="1"/>
      </w:tblPr>
      <w:tblGrid>
        <w:gridCol w:w="1844"/>
        <w:gridCol w:w="1134"/>
        <w:gridCol w:w="2126"/>
        <w:gridCol w:w="2126"/>
        <w:gridCol w:w="1134"/>
        <w:gridCol w:w="1134"/>
      </w:tblGrid>
      <w:tr w:rsidR="00FA73F4" w:rsidRPr="00760AB4" w:rsidTr="00D61386">
        <w:trPr>
          <w:trHeight w:val="275"/>
        </w:trPr>
        <w:tc>
          <w:tcPr>
            <w:tcW w:w="1844" w:type="dxa"/>
            <w:tcBorders>
              <w:top w:val="single" w:sz="12" w:space="0" w:color="auto"/>
              <w:bottom w:val="single" w:sz="4" w:space="0" w:color="auto"/>
            </w:tcBorders>
            <w:shd w:val="clear" w:color="auto" w:fill="auto"/>
            <w:vAlign w:val="center"/>
          </w:tcPr>
          <w:p w:rsidR="00FA73F4" w:rsidRPr="00D61386" w:rsidRDefault="00FA73F4" w:rsidP="005E73C9">
            <w:pPr>
              <w:tabs>
                <w:tab w:val="left" w:pos="284"/>
              </w:tabs>
              <w:spacing w:after="0"/>
              <w:rPr>
                <w:rFonts w:asciiTheme="majorBidi" w:hAnsiTheme="majorBidi" w:cstheme="majorBidi"/>
                <w:b/>
                <w:lang w:val="en-US"/>
              </w:rPr>
            </w:pPr>
            <w:bookmarkStart w:id="42" w:name="OLE_LINK1"/>
            <w:r w:rsidRPr="00D61386">
              <w:rPr>
                <w:rFonts w:asciiTheme="majorBidi" w:hAnsiTheme="majorBidi" w:cstheme="majorBidi"/>
                <w:b/>
                <w:lang w:val="en-US"/>
              </w:rPr>
              <w:t>Site Type</w:t>
            </w:r>
          </w:p>
        </w:tc>
        <w:tc>
          <w:tcPr>
            <w:tcW w:w="1134"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n (col %)</w:t>
            </w:r>
          </w:p>
        </w:tc>
        <w:tc>
          <w:tcPr>
            <w:tcW w:w="2126"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Average intensity (ppm) Median (1</w:t>
            </w:r>
            <w:r w:rsidRPr="00D61386">
              <w:rPr>
                <w:rFonts w:asciiTheme="majorBidi" w:hAnsiTheme="majorBidi" w:cstheme="majorBidi"/>
                <w:b/>
                <w:vertAlign w:val="superscript"/>
                <w:lang w:val="en-US"/>
              </w:rPr>
              <w:t>st</w:t>
            </w:r>
            <w:r w:rsidRPr="00D61386">
              <w:rPr>
                <w:rFonts w:asciiTheme="majorBidi" w:hAnsiTheme="majorBidi" w:cstheme="majorBidi"/>
                <w:b/>
                <w:lang w:val="en-US"/>
              </w:rPr>
              <w:t>, 3</w:t>
            </w:r>
            <w:r w:rsidRPr="00D61386">
              <w:rPr>
                <w:rFonts w:asciiTheme="majorBidi" w:hAnsiTheme="majorBidi" w:cstheme="majorBidi"/>
                <w:b/>
                <w:vertAlign w:val="superscript"/>
                <w:lang w:val="en-US"/>
              </w:rPr>
              <w:t>rd</w:t>
            </w:r>
            <w:r w:rsidRPr="00D61386">
              <w:rPr>
                <w:rFonts w:asciiTheme="majorBidi" w:hAnsiTheme="majorBidi" w:cstheme="majorBidi"/>
                <w:b/>
                <w:lang w:val="en-US"/>
              </w:rPr>
              <w:t xml:space="preserve"> quartiles)</w:t>
            </w:r>
          </w:p>
        </w:tc>
        <w:tc>
          <w:tcPr>
            <w:tcW w:w="2126"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Maximum exposure (ppm) Median (1</w:t>
            </w:r>
            <w:r w:rsidRPr="00D61386">
              <w:rPr>
                <w:rFonts w:asciiTheme="majorBidi" w:hAnsiTheme="majorBidi" w:cstheme="majorBidi"/>
                <w:b/>
                <w:vertAlign w:val="superscript"/>
                <w:lang w:val="en-US"/>
              </w:rPr>
              <w:t>st</w:t>
            </w:r>
            <w:r w:rsidRPr="00D61386">
              <w:rPr>
                <w:rFonts w:asciiTheme="majorBidi" w:hAnsiTheme="majorBidi" w:cstheme="majorBidi"/>
                <w:b/>
                <w:lang w:val="en-US"/>
              </w:rPr>
              <w:t>, 3</w:t>
            </w:r>
            <w:r w:rsidRPr="00D61386">
              <w:rPr>
                <w:rFonts w:asciiTheme="majorBidi" w:hAnsiTheme="majorBidi" w:cstheme="majorBidi"/>
                <w:b/>
                <w:vertAlign w:val="superscript"/>
                <w:lang w:val="en-US"/>
              </w:rPr>
              <w:t>rd</w:t>
            </w:r>
            <w:r w:rsidRPr="00D61386">
              <w:rPr>
                <w:rFonts w:asciiTheme="majorBidi" w:hAnsiTheme="majorBidi" w:cstheme="majorBidi"/>
                <w:b/>
                <w:lang w:val="en-US"/>
              </w:rPr>
              <w:t xml:space="preserve"> quartiles)</w:t>
            </w:r>
          </w:p>
        </w:tc>
        <w:tc>
          <w:tcPr>
            <w:tcW w:w="1134"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Peak ≥3ppm (%)</w:t>
            </w:r>
          </w:p>
        </w:tc>
        <w:tc>
          <w:tcPr>
            <w:tcW w:w="1134"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High dermal (%) **</w:t>
            </w:r>
          </w:p>
        </w:tc>
      </w:tr>
      <w:tr w:rsidR="00FA73F4" w:rsidRPr="00760AB4" w:rsidTr="005E73C9">
        <w:trPr>
          <w:trHeight w:val="275"/>
        </w:trPr>
        <w:tc>
          <w:tcPr>
            <w:tcW w:w="1844" w:type="dxa"/>
            <w:tcBorders>
              <w:top w:val="single" w:sz="4" w:space="0" w:color="auto"/>
            </w:tcBorders>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Terminal</w:t>
            </w:r>
          </w:p>
        </w:tc>
        <w:tc>
          <w:tcPr>
            <w:tcW w:w="1134" w:type="dxa"/>
            <w:tcBorders>
              <w:top w:val="single" w:sz="4" w:space="0" w:color="auto"/>
            </w:tcBorders>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1400 (72)</w:t>
            </w:r>
          </w:p>
        </w:tc>
        <w:tc>
          <w:tcPr>
            <w:tcW w:w="2126" w:type="dxa"/>
            <w:tcBorders>
              <w:top w:val="single" w:sz="4" w:space="0" w:color="auto"/>
            </w:tcBorders>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0.07 (0.01, 0.26) </w:t>
            </w:r>
          </w:p>
        </w:tc>
        <w:tc>
          <w:tcPr>
            <w:tcW w:w="2126" w:type="dxa"/>
            <w:tcBorders>
              <w:top w:val="single" w:sz="4" w:space="0" w:color="auto"/>
            </w:tcBorders>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0.10 (0.02, 0.43)</w:t>
            </w:r>
          </w:p>
        </w:tc>
        <w:tc>
          <w:tcPr>
            <w:tcW w:w="1134" w:type="dxa"/>
            <w:tcBorders>
              <w:top w:val="single" w:sz="4" w:space="0" w:color="auto"/>
            </w:tcBorders>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787 (56)</w:t>
            </w:r>
          </w:p>
        </w:tc>
        <w:tc>
          <w:tcPr>
            <w:tcW w:w="1134" w:type="dxa"/>
            <w:tcBorders>
              <w:top w:val="single" w:sz="4" w:space="0" w:color="auto"/>
            </w:tcBorders>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681 (49)</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Refinery</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291 (15)</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0.11 (0.07, 0.24)</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0.16 (0.08, 0.40)</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80 (27)</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70 (24)</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Upstream</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86 (4)</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0.01 (0.001, 0.04)</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0.03 (0.001, 0.06)</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 </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 </w:t>
            </w:r>
          </w:p>
        </w:tc>
      </w:tr>
      <w:tr w:rsidR="00FA73F4" w:rsidRPr="00760AB4" w:rsidTr="005E73C9">
        <w:trPr>
          <w:trHeight w:val="263"/>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Office</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76 (4)</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0.005 (0.005, 0.009)</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0.005 (0.005, 0.02)</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6 (8)</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5 (7)</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Airport</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60 (3)</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0.06 (0.02, 0.09)</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0.06 (0.02, 0.15)</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10 (17)</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4 (7)</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Marine</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32 (2)</w:t>
            </w:r>
          </w:p>
        </w:tc>
        <w:tc>
          <w:tcPr>
            <w:tcW w:w="2126" w:type="dxa"/>
            <w:vAlign w:val="center"/>
          </w:tcPr>
          <w:p w:rsidR="00FA73F4" w:rsidRPr="00BD0A22" w:rsidRDefault="00FA73F4" w:rsidP="005E73C9">
            <w:pPr>
              <w:tabs>
                <w:tab w:val="left" w:pos="284"/>
                <w:tab w:val="left" w:pos="816"/>
              </w:tabs>
              <w:spacing w:after="0"/>
              <w:jc w:val="right"/>
              <w:rPr>
                <w:rFonts w:asciiTheme="majorBidi" w:hAnsiTheme="majorBidi" w:cstheme="majorBidi"/>
                <w:lang w:val="en-US"/>
              </w:rPr>
            </w:pPr>
            <w:r w:rsidRPr="00BD0A22">
              <w:rPr>
                <w:rFonts w:asciiTheme="majorBidi" w:hAnsiTheme="majorBidi" w:cstheme="majorBidi"/>
                <w:lang w:val="en-US"/>
              </w:rPr>
              <w:t>0.01 (0.01, 0.19)</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0.01 (0.01, 0.25)</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13 (41)</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2 (6)</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Service Station</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1 (&lt;1)</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0.006</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0.02</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 </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 </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Unknown</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6 (&lt;1)</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0.01 (0.005, 0.03)</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0.02 (0.005, 0.03)</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2 (33)</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2 (33)</w:t>
            </w:r>
          </w:p>
        </w:tc>
      </w:tr>
      <w:tr w:rsidR="00FA73F4" w:rsidRPr="00760AB4" w:rsidTr="005E73C9">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Other</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3 (&lt;1)</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0.02 (0.005, 0.24)</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0.08 (0.005, 0.48)</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2 (67)</w:t>
            </w:r>
          </w:p>
        </w:tc>
      </w:tr>
      <w:tr w:rsidR="00FA73F4" w:rsidRPr="00760AB4" w:rsidTr="00D61386">
        <w:trPr>
          <w:trHeight w:val="275"/>
        </w:trPr>
        <w:tc>
          <w:tcPr>
            <w:tcW w:w="1844" w:type="dxa"/>
            <w:shd w:val="clear" w:color="auto" w:fill="auto"/>
            <w:vAlign w:val="center"/>
          </w:tcPr>
          <w:p w:rsidR="00FA73F4" w:rsidRPr="00BD0A22" w:rsidRDefault="00FA73F4" w:rsidP="005E73C9">
            <w:pPr>
              <w:tabs>
                <w:tab w:val="left" w:pos="284"/>
              </w:tabs>
              <w:spacing w:after="0"/>
              <w:rPr>
                <w:rFonts w:asciiTheme="majorBidi" w:hAnsiTheme="majorBidi" w:cstheme="majorBidi"/>
                <w:lang w:val="en-US"/>
              </w:rPr>
            </w:pPr>
            <w:r w:rsidRPr="00BD0A22">
              <w:rPr>
                <w:rFonts w:asciiTheme="majorBidi" w:hAnsiTheme="majorBidi" w:cstheme="majorBidi"/>
                <w:lang w:val="en-US"/>
              </w:rPr>
              <w:t>No dominant site</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2 (&lt;1)</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0.09 (0.02, 0.17)</w:t>
            </w:r>
          </w:p>
        </w:tc>
        <w:tc>
          <w:tcPr>
            <w:tcW w:w="2126"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 </w:t>
            </w:r>
          </w:p>
        </w:tc>
        <w:tc>
          <w:tcPr>
            <w:tcW w:w="1134" w:type="dxa"/>
            <w:vAlign w:val="center"/>
          </w:tcPr>
          <w:p w:rsidR="00FA73F4" w:rsidRPr="00BD0A22" w:rsidRDefault="00FA73F4" w:rsidP="005E73C9">
            <w:pPr>
              <w:tabs>
                <w:tab w:val="left" w:pos="284"/>
              </w:tabs>
              <w:spacing w:after="0"/>
              <w:jc w:val="right"/>
              <w:rPr>
                <w:rFonts w:asciiTheme="majorBidi" w:hAnsiTheme="majorBidi" w:cstheme="majorBidi"/>
                <w:lang w:val="en-US"/>
              </w:rPr>
            </w:pPr>
            <w:r w:rsidRPr="00BD0A22">
              <w:rPr>
                <w:rFonts w:asciiTheme="majorBidi" w:hAnsiTheme="majorBidi" w:cstheme="majorBidi"/>
                <w:lang w:val="en-US"/>
              </w:rPr>
              <w:t xml:space="preserve">0 </w:t>
            </w:r>
          </w:p>
        </w:tc>
      </w:tr>
      <w:tr w:rsidR="00FA73F4" w:rsidRPr="00210DC4" w:rsidTr="00D61386">
        <w:trPr>
          <w:trHeight w:val="275"/>
        </w:trPr>
        <w:tc>
          <w:tcPr>
            <w:tcW w:w="1844" w:type="dxa"/>
            <w:tcBorders>
              <w:bottom w:val="single" w:sz="12" w:space="0" w:color="auto"/>
            </w:tcBorders>
            <w:shd w:val="clear" w:color="auto" w:fill="auto"/>
            <w:vAlign w:val="center"/>
          </w:tcPr>
          <w:p w:rsidR="00FA73F4" w:rsidRPr="00BD0A22" w:rsidRDefault="00FA73F4" w:rsidP="00BF48E9">
            <w:pPr>
              <w:tabs>
                <w:tab w:val="left" w:pos="284"/>
              </w:tabs>
              <w:spacing w:after="0"/>
              <w:rPr>
                <w:rFonts w:asciiTheme="majorBidi" w:hAnsiTheme="majorBidi" w:cstheme="majorBidi"/>
                <w:bCs/>
                <w:lang w:val="en-US"/>
              </w:rPr>
            </w:pPr>
            <w:r w:rsidRPr="00BD0A22">
              <w:rPr>
                <w:rFonts w:asciiTheme="majorBidi" w:hAnsiTheme="majorBidi" w:cstheme="majorBidi"/>
                <w:bCs/>
                <w:lang w:val="en-US"/>
              </w:rPr>
              <w:t>Total</w:t>
            </w:r>
          </w:p>
        </w:tc>
        <w:tc>
          <w:tcPr>
            <w:tcW w:w="1134" w:type="dxa"/>
            <w:tcBorders>
              <w:bottom w:val="single" w:sz="12" w:space="0" w:color="auto"/>
            </w:tcBorders>
            <w:vAlign w:val="center"/>
          </w:tcPr>
          <w:p w:rsidR="00FA73F4" w:rsidRPr="00BD0A22" w:rsidRDefault="00FA73F4" w:rsidP="005E73C9">
            <w:pPr>
              <w:tabs>
                <w:tab w:val="left" w:pos="284"/>
              </w:tabs>
              <w:spacing w:after="0"/>
              <w:jc w:val="right"/>
              <w:rPr>
                <w:rFonts w:asciiTheme="majorBidi" w:hAnsiTheme="majorBidi" w:cstheme="majorBidi"/>
                <w:bCs/>
                <w:lang w:val="en-US"/>
              </w:rPr>
            </w:pPr>
            <w:r w:rsidRPr="00BD0A22">
              <w:rPr>
                <w:rFonts w:asciiTheme="majorBidi" w:hAnsiTheme="majorBidi" w:cstheme="majorBidi"/>
                <w:bCs/>
                <w:lang w:val="en-US"/>
              </w:rPr>
              <w:t>1957</w:t>
            </w:r>
          </w:p>
        </w:tc>
        <w:tc>
          <w:tcPr>
            <w:tcW w:w="2126" w:type="dxa"/>
            <w:tcBorders>
              <w:bottom w:val="single" w:sz="12" w:space="0" w:color="auto"/>
            </w:tcBorders>
            <w:vAlign w:val="center"/>
          </w:tcPr>
          <w:p w:rsidR="00FA73F4" w:rsidRPr="00BD0A22" w:rsidRDefault="00FA73F4" w:rsidP="005E73C9">
            <w:pPr>
              <w:tabs>
                <w:tab w:val="left" w:pos="284"/>
              </w:tabs>
              <w:spacing w:after="0"/>
              <w:jc w:val="right"/>
              <w:rPr>
                <w:rFonts w:asciiTheme="majorBidi" w:hAnsiTheme="majorBidi" w:cstheme="majorBidi"/>
                <w:bCs/>
                <w:lang w:val="en-US"/>
              </w:rPr>
            </w:pPr>
          </w:p>
        </w:tc>
        <w:tc>
          <w:tcPr>
            <w:tcW w:w="2126" w:type="dxa"/>
            <w:tcBorders>
              <w:bottom w:val="single" w:sz="12" w:space="0" w:color="auto"/>
            </w:tcBorders>
            <w:vAlign w:val="center"/>
          </w:tcPr>
          <w:p w:rsidR="00FA73F4" w:rsidRPr="00BD0A22" w:rsidRDefault="00FA73F4" w:rsidP="005E73C9">
            <w:pPr>
              <w:tabs>
                <w:tab w:val="left" w:pos="284"/>
              </w:tabs>
              <w:spacing w:after="0"/>
              <w:jc w:val="right"/>
              <w:rPr>
                <w:rFonts w:asciiTheme="majorBidi" w:hAnsiTheme="majorBidi" w:cstheme="majorBidi"/>
                <w:bCs/>
                <w:lang w:val="en-US"/>
              </w:rPr>
            </w:pPr>
          </w:p>
        </w:tc>
        <w:tc>
          <w:tcPr>
            <w:tcW w:w="1134" w:type="dxa"/>
            <w:tcBorders>
              <w:bottom w:val="single" w:sz="12" w:space="0" w:color="auto"/>
            </w:tcBorders>
            <w:vAlign w:val="center"/>
          </w:tcPr>
          <w:p w:rsidR="00FA73F4" w:rsidRPr="00BD0A22" w:rsidRDefault="00FA73F4" w:rsidP="005E73C9">
            <w:pPr>
              <w:tabs>
                <w:tab w:val="left" w:pos="284"/>
              </w:tabs>
              <w:spacing w:after="0"/>
              <w:jc w:val="right"/>
              <w:rPr>
                <w:rFonts w:asciiTheme="majorBidi" w:hAnsiTheme="majorBidi" w:cstheme="majorBidi"/>
                <w:bCs/>
                <w:lang w:val="en-US"/>
              </w:rPr>
            </w:pPr>
            <w:r w:rsidRPr="00BD0A22">
              <w:rPr>
                <w:rFonts w:asciiTheme="majorBidi" w:hAnsiTheme="majorBidi" w:cstheme="majorBidi"/>
                <w:bCs/>
                <w:lang w:val="en-US"/>
              </w:rPr>
              <w:t>898 (46)</w:t>
            </w:r>
          </w:p>
        </w:tc>
        <w:tc>
          <w:tcPr>
            <w:tcW w:w="1134" w:type="dxa"/>
            <w:tcBorders>
              <w:bottom w:val="single" w:sz="12" w:space="0" w:color="auto"/>
            </w:tcBorders>
            <w:vAlign w:val="center"/>
          </w:tcPr>
          <w:p w:rsidR="00FA73F4" w:rsidRPr="00BD0A22" w:rsidRDefault="00FA73F4" w:rsidP="005E73C9">
            <w:pPr>
              <w:tabs>
                <w:tab w:val="left" w:pos="284"/>
              </w:tabs>
              <w:spacing w:after="0"/>
              <w:jc w:val="right"/>
              <w:rPr>
                <w:rFonts w:asciiTheme="majorBidi" w:hAnsiTheme="majorBidi" w:cstheme="majorBidi"/>
                <w:bCs/>
                <w:lang w:val="en-US"/>
              </w:rPr>
            </w:pPr>
            <w:r w:rsidRPr="00BD0A22">
              <w:rPr>
                <w:rFonts w:asciiTheme="majorBidi" w:hAnsiTheme="majorBidi" w:cstheme="majorBidi"/>
                <w:bCs/>
                <w:lang w:val="en-US"/>
              </w:rPr>
              <w:t>766 (39)</w:t>
            </w:r>
          </w:p>
        </w:tc>
      </w:tr>
    </w:tbl>
    <w:bookmarkEnd w:id="42"/>
    <w:p w:rsidR="00FA73F4" w:rsidRDefault="00FA73F4" w:rsidP="005E73C9">
      <w:pPr>
        <w:pStyle w:val="Caption"/>
        <w:tabs>
          <w:tab w:val="left" w:pos="284"/>
        </w:tabs>
        <w:spacing w:after="0"/>
        <w:jc w:val="both"/>
        <w:rPr>
          <w:rFonts w:ascii="Times New Roman" w:hAnsi="Times New Roman"/>
          <w:b w:val="0"/>
        </w:rPr>
      </w:pPr>
      <w:r w:rsidRPr="007D2C94">
        <w:rPr>
          <w:rFonts w:ascii="Times New Roman" w:hAnsi="Times New Roman"/>
          <w:b w:val="0"/>
        </w:rPr>
        <w:t>* There were 6 participants for whom the site type was unknown</w:t>
      </w:r>
      <w:r>
        <w:rPr>
          <w:rFonts w:ascii="Times New Roman" w:hAnsi="Times New Roman"/>
          <w:b w:val="0"/>
        </w:rPr>
        <w:t>,</w:t>
      </w:r>
      <w:r w:rsidRPr="007D2C94">
        <w:rPr>
          <w:rFonts w:ascii="Times New Roman" w:hAnsi="Times New Roman"/>
          <w:b w:val="0"/>
        </w:rPr>
        <w:t xml:space="preserve"> 3 others who worked at a site-type not categorised here</w:t>
      </w:r>
      <w:r>
        <w:rPr>
          <w:rFonts w:ascii="Times New Roman" w:hAnsi="Times New Roman"/>
          <w:b w:val="0"/>
        </w:rPr>
        <w:t xml:space="preserve"> and 2</w:t>
      </w:r>
      <w:r w:rsidRPr="007D2C94">
        <w:rPr>
          <w:rFonts w:ascii="Times New Roman" w:hAnsi="Times New Roman"/>
          <w:b w:val="0"/>
        </w:rPr>
        <w:t xml:space="preserve"> for whom there was no dominant site type assignable because they had </w:t>
      </w:r>
      <w:r>
        <w:rPr>
          <w:rFonts w:ascii="Times New Roman" w:hAnsi="Times New Roman"/>
          <w:b w:val="0"/>
        </w:rPr>
        <w:t xml:space="preserve">not </w:t>
      </w:r>
      <w:r w:rsidRPr="007D2C94">
        <w:rPr>
          <w:rFonts w:ascii="Times New Roman" w:hAnsi="Times New Roman"/>
          <w:b w:val="0"/>
        </w:rPr>
        <w:t>worked at a single site type for at least one year.</w:t>
      </w:r>
    </w:p>
    <w:p w:rsidR="00FA73F4" w:rsidRDefault="00FA73F4" w:rsidP="005E73C9">
      <w:pPr>
        <w:tabs>
          <w:tab w:val="left" w:pos="284"/>
        </w:tabs>
        <w:rPr>
          <w:rFonts w:ascii="Times New Roman" w:eastAsiaTheme="minorEastAsia" w:hAnsi="Times New Roman" w:cstheme="minorBidi"/>
          <w:bCs/>
          <w:lang w:eastAsia="zh-CN"/>
        </w:rPr>
      </w:pPr>
      <w:r w:rsidRPr="0076439A">
        <w:rPr>
          <w:rFonts w:ascii="Times New Roman" w:eastAsiaTheme="minorEastAsia" w:hAnsi="Times New Roman" w:cstheme="minorBidi"/>
          <w:bCs/>
          <w:lang w:eastAsia="zh-CN"/>
        </w:rPr>
        <w:t>*</w:t>
      </w:r>
      <w:r>
        <w:rPr>
          <w:rFonts w:ascii="Times New Roman" w:eastAsiaTheme="minorEastAsia" w:hAnsi="Times New Roman" w:cstheme="minorBidi"/>
          <w:bCs/>
          <w:lang w:eastAsia="zh-CN"/>
        </w:rPr>
        <w:t>*</w:t>
      </w:r>
      <w:r w:rsidRPr="0076439A">
        <w:rPr>
          <w:rFonts w:ascii="Times New Roman" w:eastAsiaTheme="minorEastAsia" w:hAnsi="Times New Roman" w:cstheme="minorBidi"/>
          <w:bCs/>
          <w:lang w:eastAsia="zh-CN"/>
        </w:rPr>
        <w:t xml:space="preserve"> Participants with no, low or medium dermal exposure not listed in the table</w:t>
      </w:r>
    </w:p>
    <w:p w:rsidR="00FA73F4" w:rsidRDefault="00FA73F4" w:rsidP="005E73C9">
      <w:pPr>
        <w:tabs>
          <w:tab w:val="left" w:pos="284"/>
        </w:tabs>
        <w:rPr>
          <w:rFonts w:ascii="Times New Roman" w:eastAsiaTheme="minorEastAsia" w:hAnsi="Times New Roman" w:cstheme="minorBidi"/>
          <w:bCs/>
          <w:lang w:eastAsia="zh-CN"/>
        </w:rPr>
      </w:pPr>
    </w:p>
    <w:p w:rsidR="00FA73F4" w:rsidRDefault="00FA73F4" w:rsidP="005E73C9">
      <w:pPr>
        <w:tabs>
          <w:tab w:val="left" w:pos="284"/>
        </w:tabs>
        <w:rPr>
          <w:rFonts w:ascii="Times New Roman" w:eastAsiaTheme="minorEastAsia" w:hAnsi="Times New Roman" w:cstheme="minorBidi"/>
          <w:bCs/>
          <w:lang w:eastAsia="zh-CN"/>
        </w:rPr>
        <w:sectPr w:rsidR="00FA73F4">
          <w:pgSz w:w="11906" w:h="16838"/>
          <w:pgMar w:top="1440" w:right="1440" w:bottom="1440" w:left="1440" w:header="708" w:footer="708" w:gutter="0"/>
          <w:cols w:space="708"/>
          <w:docGrid w:linePitch="360"/>
        </w:sectPr>
      </w:pPr>
    </w:p>
    <w:bookmarkEnd w:id="40"/>
    <w:p w:rsidR="00FA73F4" w:rsidRDefault="00FA73F4" w:rsidP="005E73C9">
      <w:pPr>
        <w:pStyle w:val="Caption"/>
        <w:tabs>
          <w:tab w:val="left" w:pos="284"/>
        </w:tabs>
        <w:spacing w:after="0"/>
        <w:jc w:val="both"/>
        <w:rPr>
          <w:rFonts w:ascii="Times New Roman" w:hAnsi="Times New Roman"/>
          <w:sz w:val="24"/>
          <w:szCs w:val="24"/>
          <w:lang w:val="en-US"/>
        </w:rPr>
      </w:pPr>
      <w:r>
        <w:rPr>
          <w:rFonts w:ascii="Times New Roman" w:hAnsi="Times New Roman"/>
          <w:sz w:val="24"/>
          <w:szCs w:val="24"/>
          <w:lang w:val="en-US"/>
        </w:rPr>
        <w:lastRenderedPageBreak/>
        <w:t>Table III</w:t>
      </w:r>
      <w:r w:rsidRPr="00195C6C">
        <w:rPr>
          <w:rFonts w:ascii="Times New Roman" w:hAnsi="Times New Roman"/>
          <w:sz w:val="24"/>
          <w:szCs w:val="24"/>
          <w:lang w:val="en-US"/>
        </w:rPr>
        <w:t xml:space="preserve">: </w:t>
      </w:r>
      <w:r w:rsidRPr="00A25BAF">
        <w:rPr>
          <w:rFonts w:ascii="Times New Roman" w:hAnsi="Times New Roman"/>
          <w:sz w:val="24"/>
          <w:szCs w:val="24"/>
          <w:lang w:val="en-US"/>
        </w:rPr>
        <w:t xml:space="preserve">Distribution </w:t>
      </w:r>
      <w:r>
        <w:rPr>
          <w:rFonts w:ascii="Times New Roman" w:hAnsi="Times New Roman"/>
          <w:sz w:val="24"/>
          <w:szCs w:val="24"/>
          <w:lang w:val="en-US"/>
        </w:rPr>
        <w:t>of exposure metrics</w:t>
      </w:r>
      <w:r w:rsidRPr="005E1BBE">
        <w:rPr>
          <w:rFonts w:ascii="Times New Roman" w:hAnsi="Times New Roman"/>
          <w:sz w:val="24"/>
          <w:szCs w:val="24"/>
          <w:lang w:val="en-US"/>
        </w:rPr>
        <w:t xml:space="preserve"> </w:t>
      </w:r>
      <w:r>
        <w:rPr>
          <w:rFonts w:ascii="Times New Roman" w:hAnsi="Times New Roman"/>
          <w:sz w:val="24"/>
          <w:szCs w:val="24"/>
          <w:lang w:val="en-US"/>
        </w:rPr>
        <w:t>by</w:t>
      </w:r>
      <w:r w:rsidRPr="00A25BAF">
        <w:rPr>
          <w:rFonts w:ascii="Times New Roman" w:hAnsi="Times New Roman"/>
          <w:sz w:val="24"/>
          <w:szCs w:val="24"/>
          <w:lang w:val="en-US"/>
        </w:rPr>
        <w:t xml:space="preserve"> participants’ </w:t>
      </w:r>
      <w:r w:rsidRPr="00195C6C">
        <w:rPr>
          <w:rFonts w:ascii="Times New Roman" w:hAnsi="Times New Roman"/>
          <w:sz w:val="24"/>
          <w:szCs w:val="24"/>
          <w:lang w:val="en-US"/>
        </w:rPr>
        <w:t>lon</w:t>
      </w:r>
      <w:r>
        <w:rPr>
          <w:rFonts w:ascii="Times New Roman" w:hAnsi="Times New Roman"/>
          <w:sz w:val="24"/>
          <w:szCs w:val="24"/>
          <w:lang w:val="en-US"/>
        </w:rPr>
        <w:t xml:space="preserve">gest-held job category.  </w:t>
      </w:r>
    </w:p>
    <w:tbl>
      <w:tblPr>
        <w:tblW w:w="13642" w:type="dxa"/>
        <w:tblLayout w:type="fixed"/>
        <w:tblLook w:val="04A0" w:firstRow="1" w:lastRow="0" w:firstColumn="1" w:lastColumn="0" w:noHBand="0" w:noVBand="1"/>
      </w:tblPr>
      <w:tblGrid>
        <w:gridCol w:w="3862"/>
        <w:gridCol w:w="1134"/>
        <w:gridCol w:w="1842"/>
        <w:gridCol w:w="1985"/>
        <w:gridCol w:w="2268"/>
        <w:gridCol w:w="1276"/>
        <w:gridCol w:w="1275"/>
      </w:tblGrid>
      <w:tr w:rsidR="00FA73F4" w:rsidRPr="00F52DAF" w:rsidTr="00D61386">
        <w:trPr>
          <w:trHeight w:val="550"/>
        </w:trPr>
        <w:tc>
          <w:tcPr>
            <w:tcW w:w="3862" w:type="dxa"/>
            <w:tcBorders>
              <w:top w:val="single" w:sz="12" w:space="0" w:color="auto"/>
              <w:bottom w:val="single" w:sz="4" w:space="0" w:color="auto"/>
            </w:tcBorders>
            <w:shd w:val="clear" w:color="auto" w:fill="auto"/>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Job Category</w:t>
            </w:r>
          </w:p>
        </w:tc>
        <w:tc>
          <w:tcPr>
            <w:tcW w:w="1134" w:type="dxa"/>
            <w:tcBorders>
              <w:top w:val="single" w:sz="12" w:space="0" w:color="auto"/>
              <w:left w:val="nil"/>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n</w:t>
            </w:r>
          </w:p>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(col %)</w:t>
            </w:r>
          </w:p>
        </w:tc>
        <w:tc>
          <w:tcPr>
            <w:tcW w:w="1842"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Average intensity (ppm) Median (1</w:t>
            </w:r>
            <w:r w:rsidRPr="00D61386">
              <w:rPr>
                <w:rFonts w:asciiTheme="majorBidi" w:hAnsiTheme="majorBidi" w:cstheme="majorBidi"/>
                <w:b/>
                <w:vertAlign w:val="superscript"/>
                <w:lang w:val="en-US"/>
              </w:rPr>
              <w:t>st</w:t>
            </w:r>
            <w:r w:rsidRPr="00D61386">
              <w:rPr>
                <w:rFonts w:asciiTheme="majorBidi" w:hAnsiTheme="majorBidi" w:cstheme="majorBidi"/>
                <w:b/>
                <w:lang w:val="en-US"/>
              </w:rPr>
              <w:t>, 3</w:t>
            </w:r>
            <w:r w:rsidRPr="00D61386">
              <w:rPr>
                <w:rFonts w:asciiTheme="majorBidi" w:hAnsiTheme="majorBidi" w:cstheme="majorBidi"/>
                <w:b/>
                <w:vertAlign w:val="superscript"/>
                <w:lang w:val="en-US"/>
              </w:rPr>
              <w:t>rd</w:t>
            </w:r>
            <w:r w:rsidRPr="00D61386">
              <w:rPr>
                <w:rFonts w:asciiTheme="majorBidi" w:hAnsiTheme="majorBidi" w:cstheme="majorBidi"/>
                <w:b/>
                <w:lang w:val="en-US"/>
              </w:rPr>
              <w:t xml:space="preserve"> quartiles)</w:t>
            </w:r>
          </w:p>
        </w:tc>
        <w:tc>
          <w:tcPr>
            <w:tcW w:w="1985"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Maximum intensity (ppm) Median (1</w:t>
            </w:r>
            <w:r w:rsidRPr="00D61386">
              <w:rPr>
                <w:rFonts w:asciiTheme="majorBidi" w:hAnsiTheme="majorBidi" w:cstheme="majorBidi"/>
                <w:b/>
                <w:vertAlign w:val="superscript"/>
                <w:lang w:val="en-US"/>
              </w:rPr>
              <w:t>st</w:t>
            </w:r>
            <w:r w:rsidRPr="00D61386">
              <w:rPr>
                <w:rFonts w:asciiTheme="majorBidi" w:hAnsiTheme="majorBidi" w:cstheme="majorBidi"/>
                <w:b/>
                <w:lang w:val="en-US"/>
              </w:rPr>
              <w:t>, 3</w:t>
            </w:r>
            <w:r w:rsidRPr="00D61386">
              <w:rPr>
                <w:rFonts w:asciiTheme="majorBidi" w:hAnsiTheme="majorBidi" w:cstheme="majorBidi"/>
                <w:b/>
                <w:vertAlign w:val="superscript"/>
                <w:lang w:val="en-US"/>
              </w:rPr>
              <w:t>rd</w:t>
            </w:r>
            <w:r w:rsidRPr="00D61386">
              <w:rPr>
                <w:rFonts w:asciiTheme="majorBidi" w:hAnsiTheme="majorBidi" w:cstheme="majorBidi"/>
                <w:b/>
                <w:lang w:val="en-US"/>
              </w:rPr>
              <w:t xml:space="preserve"> quartiles)</w:t>
            </w:r>
          </w:p>
        </w:tc>
        <w:tc>
          <w:tcPr>
            <w:tcW w:w="2268"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Average certainty of Job Exposure Median (1</w:t>
            </w:r>
            <w:r w:rsidRPr="00D61386">
              <w:rPr>
                <w:rFonts w:asciiTheme="majorBidi" w:hAnsiTheme="majorBidi" w:cstheme="majorBidi"/>
                <w:b/>
                <w:vertAlign w:val="superscript"/>
                <w:lang w:val="en-US"/>
              </w:rPr>
              <w:t>st</w:t>
            </w:r>
            <w:r w:rsidRPr="00D61386">
              <w:rPr>
                <w:rFonts w:asciiTheme="majorBidi" w:hAnsiTheme="majorBidi" w:cstheme="majorBidi"/>
                <w:b/>
                <w:lang w:val="en-US"/>
              </w:rPr>
              <w:t>, 3</w:t>
            </w:r>
            <w:r w:rsidRPr="00D61386">
              <w:rPr>
                <w:rFonts w:asciiTheme="majorBidi" w:hAnsiTheme="majorBidi" w:cstheme="majorBidi"/>
                <w:b/>
                <w:vertAlign w:val="superscript"/>
                <w:lang w:val="en-US"/>
              </w:rPr>
              <w:t>rd</w:t>
            </w:r>
            <w:r w:rsidRPr="00D61386">
              <w:rPr>
                <w:rFonts w:asciiTheme="majorBidi" w:hAnsiTheme="majorBidi" w:cstheme="majorBidi"/>
                <w:b/>
                <w:lang w:val="en-US"/>
              </w:rPr>
              <w:t xml:space="preserve"> quartiles)</w:t>
            </w:r>
          </w:p>
        </w:tc>
        <w:tc>
          <w:tcPr>
            <w:tcW w:w="1276"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Peak ≥3ppm (%)</w:t>
            </w:r>
          </w:p>
        </w:tc>
        <w:tc>
          <w:tcPr>
            <w:tcW w:w="1275" w:type="dxa"/>
            <w:tcBorders>
              <w:top w:val="single" w:sz="12" w:space="0" w:color="auto"/>
              <w:bottom w:val="single" w:sz="4" w:space="0" w:color="auto"/>
            </w:tcBorders>
            <w:vAlign w:val="center"/>
          </w:tcPr>
          <w:p w:rsidR="00FA73F4" w:rsidRPr="00D61386" w:rsidRDefault="00FA73F4" w:rsidP="005E73C9">
            <w:pPr>
              <w:tabs>
                <w:tab w:val="left" w:pos="284"/>
              </w:tabs>
              <w:spacing w:after="0"/>
              <w:rPr>
                <w:rFonts w:asciiTheme="majorBidi" w:hAnsiTheme="majorBidi" w:cstheme="majorBidi"/>
                <w:b/>
                <w:lang w:val="en-US"/>
              </w:rPr>
            </w:pPr>
            <w:r w:rsidRPr="00D61386">
              <w:rPr>
                <w:rFonts w:asciiTheme="majorBidi" w:hAnsiTheme="majorBidi" w:cstheme="majorBidi"/>
                <w:b/>
                <w:lang w:val="en-US"/>
              </w:rPr>
              <w:t>High dermal (%)</w:t>
            </w:r>
          </w:p>
        </w:tc>
      </w:tr>
      <w:tr w:rsidR="00FA73F4" w:rsidRPr="00F52DAF" w:rsidTr="00D61386">
        <w:trPr>
          <w:trHeight w:val="275"/>
        </w:trPr>
        <w:tc>
          <w:tcPr>
            <w:tcW w:w="3862" w:type="dxa"/>
            <w:tcBorders>
              <w:top w:val="single" w:sz="4" w:space="0" w:color="auto"/>
            </w:tcBorders>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Terminal Operators</w:t>
            </w:r>
          </w:p>
        </w:tc>
        <w:tc>
          <w:tcPr>
            <w:tcW w:w="1134" w:type="dxa"/>
            <w:tcBorders>
              <w:top w:val="single" w:sz="4" w:space="0" w:color="auto"/>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179 (9)</w:t>
            </w:r>
          </w:p>
        </w:tc>
        <w:tc>
          <w:tcPr>
            <w:tcW w:w="1842" w:type="dxa"/>
            <w:tcBorders>
              <w:top w:val="single" w:sz="4"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0.35 (0.13, 0.65)</w:t>
            </w:r>
          </w:p>
        </w:tc>
        <w:tc>
          <w:tcPr>
            <w:tcW w:w="1985" w:type="dxa"/>
            <w:tcBorders>
              <w:top w:val="single" w:sz="4"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0.52 (0.19, 1.11)</w:t>
            </w:r>
          </w:p>
        </w:tc>
        <w:tc>
          <w:tcPr>
            <w:tcW w:w="2268" w:type="dxa"/>
            <w:tcBorders>
              <w:top w:val="single" w:sz="4"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2.0 (1.0, 2.7)</w:t>
            </w:r>
          </w:p>
        </w:tc>
        <w:tc>
          <w:tcPr>
            <w:tcW w:w="1276" w:type="dxa"/>
            <w:tcBorders>
              <w:top w:val="single" w:sz="4"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173 (97)</w:t>
            </w:r>
          </w:p>
        </w:tc>
        <w:tc>
          <w:tcPr>
            <w:tcW w:w="1275" w:type="dxa"/>
            <w:tcBorders>
              <w:top w:val="single" w:sz="4" w:space="0" w:color="auto"/>
            </w:tcBorders>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173 (97)</w:t>
            </w:r>
          </w:p>
        </w:tc>
      </w:tr>
      <w:tr w:rsidR="00FA73F4" w:rsidRPr="00F52DAF" w:rsidTr="00D61386">
        <w:trPr>
          <w:trHeight w:val="293"/>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 xml:space="preserve">Tanker Drivers </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444 (23)</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0.19 (0.09, 0.32)</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0.26 (0.13, 0.47)</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1.6 (1.0, 2.8)</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410 (92)</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328 (74)</w:t>
            </w:r>
          </w:p>
        </w:tc>
      </w:tr>
      <w:tr w:rsidR="00FA73F4" w:rsidRPr="00F52DAF"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Craft Workers</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160 (8)</w:t>
            </w:r>
          </w:p>
        </w:tc>
        <w:tc>
          <w:tcPr>
            <w:tcW w:w="1842" w:type="dxa"/>
            <w:vAlign w:val="center"/>
          </w:tcPr>
          <w:p w:rsidR="00FA73F4" w:rsidRPr="00BD0A22" w:rsidRDefault="00FA73F4" w:rsidP="005E73C9">
            <w:pPr>
              <w:tabs>
                <w:tab w:val="left" w:pos="284"/>
                <w:tab w:val="left" w:pos="816"/>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0.32 (0.14, 0.48)</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0.41 (0.24, 0.57)</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3.0 (1.4, 3.0)</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78 (49)</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96 (60)</w:t>
            </w:r>
          </w:p>
        </w:tc>
      </w:tr>
      <w:tr w:rsidR="00FA73F4" w:rsidRPr="00760AB4" w:rsidTr="00D61386">
        <w:trPr>
          <w:trHeight w:val="258"/>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 xml:space="preserve">Refinery Workers </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127 (6)</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0.12 (0.09, 0.18)</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0.16 (0.11, 0.31)</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3.0 (3.0, 3.0)</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40 (32)</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35 (28)</w:t>
            </w:r>
          </w:p>
        </w:tc>
      </w:tr>
      <w:tr w:rsidR="00FA73F4" w:rsidRPr="00760AB4"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 xml:space="preserve">Upstream Operators </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61 (3)</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0.04 (0.01, 0.05)</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0.04 (0.02, 0.06)</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3.0 (3.0, 3.0)</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0</w:t>
            </w:r>
          </w:p>
        </w:tc>
      </w:tr>
      <w:tr w:rsidR="00FA73F4" w:rsidRPr="00760AB4"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Product Handling White Collar workers</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53 (3)</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0.08 (0.02, 0.16)</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0.15 (0.02, 0.46)</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2.2 (1.2, 3.0)</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28 (53)</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19 (36)</w:t>
            </w:r>
          </w:p>
        </w:tc>
      </w:tr>
      <w:tr w:rsidR="00FA73F4" w:rsidRPr="00760AB4" w:rsidTr="00D61386">
        <w:trPr>
          <w:trHeight w:val="263"/>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Other Product Handling Workers</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48 (2)</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0.08 (0.06, 0.25)</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0.11 (0.06, 0.29)</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2.0 (1.4, 2.3)</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19 (40)</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8 (17)</w:t>
            </w:r>
          </w:p>
        </w:tc>
      </w:tr>
      <w:tr w:rsidR="00FA73F4" w:rsidRPr="00F52DAF"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 xml:space="preserve">Unexposed Blue Collar Workers </w:t>
            </w:r>
            <w:r w:rsidRPr="00BD0A22">
              <w:rPr>
                <w:rFonts w:asciiTheme="majorBidi" w:hAnsiTheme="majorBidi" w:cstheme="majorBidi"/>
                <w:lang w:val="en-US" w:eastAsia="zh-CN"/>
              </w:rPr>
              <w:t>*</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436 (22)</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0.02 (0.003, 0.07)</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0.02 (0.003, 0.08)</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2.6 (1.3, 3.0)</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96 (22)</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76 (17)</w:t>
            </w:r>
          </w:p>
        </w:tc>
      </w:tr>
      <w:tr w:rsidR="00FA73F4" w:rsidRPr="00F52DAF"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White Collar Workers</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409 (21)</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0.01 (0.005, 0.02)</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0.02 (0.005, 0.02)</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3.0 (2.0, 3.0)</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45 (11)</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25 (6)</w:t>
            </w:r>
          </w:p>
        </w:tc>
      </w:tr>
      <w:tr w:rsidR="00FA73F4" w:rsidRPr="00760AB4"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Site unassigned**</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35 (2)</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0.02 (0.003, 0.07)</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0.02 (0.003, 0.03)</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1.0 (1.0, 1.8)</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7 (20)</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4 (11)</w:t>
            </w:r>
          </w:p>
        </w:tc>
      </w:tr>
      <w:tr w:rsidR="00FA73F4" w:rsidRPr="00760AB4" w:rsidTr="00D61386">
        <w:trPr>
          <w:trHeight w:val="275"/>
        </w:trPr>
        <w:tc>
          <w:tcPr>
            <w:tcW w:w="3862" w:type="dxa"/>
            <w:shd w:val="clear" w:color="auto" w:fill="auto"/>
            <w:vAlign w:val="center"/>
          </w:tcPr>
          <w:p w:rsidR="00FA73F4" w:rsidRPr="00BD0A22" w:rsidRDefault="00FA73F4" w:rsidP="005E73C9">
            <w:pPr>
              <w:tabs>
                <w:tab w:val="left" w:pos="284"/>
              </w:tabs>
              <w:spacing w:before="100" w:beforeAutospacing="1" w:after="100" w:afterAutospacing="1"/>
              <w:rPr>
                <w:rFonts w:asciiTheme="majorBidi" w:hAnsiTheme="majorBidi" w:cstheme="majorBidi"/>
                <w:lang w:val="en-US"/>
              </w:rPr>
            </w:pPr>
            <w:r w:rsidRPr="00BD0A22">
              <w:rPr>
                <w:rFonts w:asciiTheme="majorBidi" w:hAnsiTheme="majorBidi" w:cstheme="majorBidi"/>
                <w:lang w:val="en-US"/>
              </w:rPr>
              <w:t xml:space="preserve">Unknown </w:t>
            </w:r>
          </w:p>
        </w:tc>
        <w:tc>
          <w:tcPr>
            <w:tcW w:w="1134" w:type="dxa"/>
            <w:tcBorders>
              <w:left w:val="nil"/>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5 (&lt;1)</w:t>
            </w:r>
          </w:p>
        </w:tc>
        <w:tc>
          <w:tcPr>
            <w:tcW w:w="1842"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0.01 (0.005, 0.03)</w:t>
            </w:r>
          </w:p>
        </w:tc>
        <w:tc>
          <w:tcPr>
            <w:tcW w:w="1985"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0.02 (0.005, 0.03)</w:t>
            </w:r>
          </w:p>
        </w:tc>
        <w:tc>
          <w:tcPr>
            <w:tcW w:w="2268"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Pr>
                <w:rFonts w:asciiTheme="majorBidi" w:hAnsiTheme="majorBidi" w:cstheme="majorBidi"/>
                <w:lang w:val="en-US"/>
              </w:rPr>
              <w:t>1.2 (1.2, 1.8)</w:t>
            </w:r>
          </w:p>
        </w:tc>
        <w:tc>
          <w:tcPr>
            <w:tcW w:w="1276" w:type="dxa"/>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lang w:val="en-US"/>
              </w:rPr>
            </w:pPr>
            <w:r w:rsidRPr="00BD0A22">
              <w:rPr>
                <w:rFonts w:asciiTheme="majorBidi" w:hAnsiTheme="majorBidi" w:cstheme="majorBidi"/>
                <w:lang w:val="en-US"/>
              </w:rPr>
              <w:t>2 (40)</w:t>
            </w:r>
          </w:p>
        </w:tc>
        <w:tc>
          <w:tcPr>
            <w:tcW w:w="1275" w:type="dxa"/>
            <w:vAlign w:val="center"/>
          </w:tcPr>
          <w:p w:rsidR="00FA73F4" w:rsidRPr="00BD0A22" w:rsidRDefault="00FA73F4" w:rsidP="005E73C9">
            <w:pPr>
              <w:tabs>
                <w:tab w:val="left" w:pos="284"/>
              </w:tabs>
              <w:spacing w:after="0"/>
              <w:jc w:val="center"/>
              <w:rPr>
                <w:rFonts w:asciiTheme="majorBidi" w:hAnsiTheme="majorBidi" w:cstheme="majorBidi"/>
                <w:lang w:val="en-US"/>
              </w:rPr>
            </w:pPr>
            <w:r w:rsidRPr="00BD0A22">
              <w:rPr>
                <w:rFonts w:asciiTheme="majorBidi" w:hAnsiTheme="majorBidi" w:cstheme="majorBidi"/>
                <w:lang w:val="en-US"/>
              </w:rPr>
              <w:t>2 (40)</w:t>
            </w:r>
          </w:p>
        </w:tc>
      </w:tr>
      <w:tr w:rsidR="00FA73F4" w:rsidRPr="00BD0A22" w:rsidTr="00D61386">
        <w:trPr>
          <w:trHeight w:val="275"/>
        </w:trPr>
        <w:tc>
          <w:tcPr>
            <w:tcW w:w="3862" w:type="dxa"/>
            <w:tcBorders>
              <w:bottom w:val="single" w:sz="12" w:space="0" w:color="auto"/>
            </w:tcBorders>
            <w:shd w:val="clear" w:color="auto" w:fill="auto"/>
            <w:vAlign w:val="center"/>
          </w:tcPr>
          <w:p w:rsidR="00FA73F4" w:rsidRPr="00BD0A22" w:rsidRDefault="00FA73F4" w:rsidP="00BF48E9">
            <w:pPr>
              <w:tabs>
                <w:tab w:val="left" w:pos="284"/>
              </w:tabs>
              <w:spacing w:before="100" w:beforeAutospacing="1" w:after="100" w:afterAutospacing="1"/>
              <w:rPr>
                <w:rFonts w:asciiTheme="majorBidi" w:hAnsiTheme="majorBidi" w:cstheme="majorBidi"/>
                <w:bCs/>
                <w:lang w:val="en-US"/>
              </w:rPr>
            </w:pPr>
            <w:r w:rsidRPr="00BD0A22">
              <w:rPr>
                <w:rFonts w:asciiTheme="majorBidi" w:hAnsiTheme="majorBidi" w:cstheme="majorBidi"/>
                <w:bCs/>
                <w:lang w:val="en-US"/>
              </w:rPr>
              <w:t>Total</w:t>
            </w:r>
          </w:p>
        </w:tc>
        <w:tc>
          <w:tcPr>
            <w:tcW w:w="1134" w:type="dxa"/>
            <w:tcBorders>
              <w:left w:val="nil"/>
              <w:bottom w:val="single" w:sz="12"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bCs/>
                <w:lang w:val="en-US"/>
              </w:rPr>
            </w:pPr>
            <w:r w:rsidRPr="00BD0A22">
              <w:rPr>
                <w:rFonts w:asciiTheme="majorBidi" w:hAnsiTheme="majorBidi" w:cstheme="majorBidi"/>
                <w:bCs/>
                <w:lang w:val="en-US"/>
              </w:rPr>
              <w:t>1957</w:t>
            </w:r>
          </w:p>
        </w:tc>
        <w:tc>
          <w:tcPr>
            <w:tcW w:w="1842" w:type="dxa"/>
            <w:tcBorders>
              <w:bottom w:val="single" w:sz="12"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bCs/>
                <w:lang w:val="en-US"/>
              </w:rPr>
            </w:pPr>
          </w:p>
        </w:tc>
        <w:tc>
          <w:tcPr>
            <w:tcW w:w="1985" w:type="dxa"/>
            <w:tcBorders>
              <w:bottom w:val="single" w:sz="12"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bCs/>
                <w:lang w:val="en-US"/>
              </w:rPr>
            </w:pPr>
          </w:p>
        </w:tc>
        <w:tc>
          <w:tcPr>
            <w:tcW w:w="2268" w:type="dxa"/>
            <w:tcBorders>
              <w:bottom w:val="single" w:sz="12"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bCs/>
                <w:lang w:val="en-US"/>
              </w:rPr>
            </w:pPr>
          </w:p>
        </w:tc>
        <w:tc>
          <w:tcPr>
            <w:tcW w:w="1276" w:type="dxa"/>
            <w:tcBorders>
              <w:bottom w:val="single" w:sz="12" w:space="0" w:color="auto"/>
            </w:tcBorders>
            <w:vAlign w:val="center"/>
          </w:tcPr>
          <w:p w:rsidR="00FA73F4" w:rsidRPr="00BD0A22" w:rsidRDefault="00FA73F4" w:rsidP="005E73C9">
            <w:pPr>
              <w:tabs>
                <w:tab w:val="left" w:pos="284"/>
              </w:tabs>
              <w:spacing w:before="100" w:beforeAutospacing="1" w:after="100" w:afterAutospacing="1"/>
              <w:jc w:val="center"/>
              <w:rPr>
                <w:rFonts w:asciiTheme="majorBidi" w:hAnsiTheme="majorBidi" w:cstheme="majorBidi"/>
                <w:bCs/>
                <w:lang w:val="en-US"/>
              </w:rPr>
            </w:pPr>
            <w:r w:rsidRPr="00BD0A22">
              <w:rPr>
                <w:rFonts w:asciiTheme="majorBidi" w:hAnsiTheme="majorBidi" w:cstheme="majorBidi"/>
                <w:bCs/>
                <w:lang w:val="en-US"/>
              </w:rPr>
              <w:t>898 (46)</w:t>
            </w:r>
          </w:p>
        </w:tc>
        <w:tc>
          <w:tcPr>
            <w:tcW w:w="1275" w:type="dxa"/>
            <w:tcBorders>
              <w:bottom w:val="single" w:sz="12" w:space="0" w:color="auto"/>
            </w:tcBorders>
            <w:vAlign w:val="center"/>
          </w:tcPr>
          <w:p w:rsidR="00FA73F4" w:rsidRPr="00BD0A22" w:rsidRDefault="00FA73F4" w:rsidP="005E73C9">
            <w:pPr>
              <w:tabs>
                <w:tab w:val="left" w:pos="284"/>
              </w:tabs>
              <w:spacing w:after="0"/>
              <w:jc w:val="center"/>
              <w:rPr>
                <w:rFonts w:asciiTheme="majorBidi" w:hAnsiTheme="majorBidi" w:cstheme="majorBidi"/>
                <w:bCs/>
                <w:lang w:val="en-US"/>
              </w:rPr>
            </w:pPr>
            <w:r w:rsidRPr="00BD0A22">
              <w:rPr>
                <w:rFonts w:asciiTheme="majorBidi" w:hAnsiTheme="majorBidi" w:cstheme="majorBidi"/>
                <w:bCs/>
                <w:lang w:val="en-US"/>
              </w:rPr>
              <w:t>766 (39)</w:t>
            </w:r>
          </w:p>
        </w:tc>
      </w:tr>
    </w:tbl>
    <w:p w:rsidR="00FA73F4" w:rsidRPr="0076439A" w:rsidRDefault="00FA73F4" w:rsidP="005E73C9">
      <w:pPr>
        <w:tabs>
          <w:tab w:val="left" w:pos="284"/>
        </w:tabs>
        <w:spacing w:after="0"/>
        <w:rPr>
          <w:rFonts w:ascii="Times New Roman" w:eastAsiaTheme="minorEastAsia" w:hAnsi="Times New Roman" w:cstheme="minorBidi"/>
          <w:bCs/>
          <w:lang w:eastAsia="zh-CN"/>
        </w:rPr>
      </w:pPr>
      <w:r w:rsidRPr="0076439A">
        <w:rPr>
          <w:rFonts w:ascii="Times New Roman" w:eastAsiaTheme="minorEastAsia" w:hAnsi="Times New Roman" w:cstheme="minorBidi"/>
          <w:bCs/>
          <w:lang w:eastAsia="zh-CN"/>
        </w:rPr>
        <w:t>* Terminal Operators from terminals only handling black oil or lubrication oil, Tanker Drivers not carrying benzene containing products and Refinery workers on units with no benzene were categorized with other unexposed blue collar workers</w:t>
      </w:r>
    </w:p>
    <w:p w:rsidR="00FA73F4" w:rsidRPr="0076439A" w:rsidRDefault="00FA73F4" w:rsidP="005E73C9">
      <w:pPr>
        <w:tabs>
          <w:tab w:val="left" w:pos="284"/>
        </w:tabs>
        <w:spacing w:after="0"/>
        <w:rPr>
          <w:rFonts w:ascii="Times New Roman" w:eastAsiaTheme="minorEastAsia" w:hAnsi="Times New Roman" w:cstheme="minorBidi"/>
          <w:bCs/>
          <w:lang w:eastAsia="zh-CN"/>
        </w:rPr>
      </w:pPr>
      <w:r w:rsidRPr="0076439A">
        <w:rPr>
          <w:rFonts w:ascii="Times New Roman" w:eastAsiaTheme="minorEastAsia" w:hAnsi="Times New Roman" w:cstheme="minorBidi"/>
          <w:bCs/>
          <w:lang w:eastAsia="zh-CN"/>
        </w:rPr>
        <w:t>** There were 35 participants for whom no longest-held job category was assigned because they had not held a job within a job category for at least one year</w:t>
      </w:r>
      <w:r w:rsidRPr="00967421">
        <w:rPr>
          <w:b/>
          <w:lang w:val="en-US"/>
        </w:rPr>
        <w:t>.</w:t>
      </w:r>
    </w:p>
    <w:p w:rsidR="00FA73F4" w:rsidRDefault="00FA73F4" w:rsidP="005E73C9">
      <w:pPr>
        <w:tabs>
          <w:tab w:val="left" w:pos="284"/>
        </w:tabs>
        <w:rPr>
          <w:rFonts w:ascii="Times New Roman" w:hAnsi="Times New Roman"/>
          <w:sz w:val="24"/>
          <w:szCs w:val="24"/>
          <w:lang w:val="en-US"/>
        </w:rPr>
        <w:sectPr w:rsidR="00FA73F4" w:rsidSect="005E73C9">
          <w:pgSz w:w="16838" w:h="11906" w:orient="landscape"/>
          <w:pgMar w:top="1440" w:right="1440" w:bottom="1440" w:left="1440" w:header="708" w:footer="708" w:gutter="0"/>
          <w:cols w:space="708"/>
          <w:docGrid w:linePitch="360"/>
        </w:sectPr>
      </w:pPr>
    </w:p>
    <w:p w:rsidR="00FA73F4" w:rsidRDefault="00FA73F4" w:rsidP="005E73C9">
      <w:pPr>
        <w:tabs>
          <w:tab w:val="left" w:pos="284"/>
        </w:tabs>
        <w:rPr>
          <w:rFonts w:ascii="Times New Roman" w:hAnsi="Times New Roman"/>
          <w:sz w:val="24"/>
          <w:szCs w:val="24"/>
          <w:lang w:val="en-US"/>
        </w:rPr>
      </w:pPr>
    </w:p>
    <w:p w:rsidR="00FA73F4" w:rsidRDefault="00FA73F4" w:rsidP="005E73C9">
      <w:pPr>
        <w:tabs>
          <w:tab w:val="left" w:pos="284"/>
        </w:tabs>
        <w:spacing w:after="120"/>
        <w:jc w:val="both"/>
        <w:rPr>
          <w:rFonts w:ascii="Times New Roman" w:hAnsi="Times New Roman"/>
          <w:sz w:val="24"/>
          <w:szCs w:val="24"/>
          <w:lang w:val="en-US"/>
        </w:rPr>
      </w:pPr>
    </w:p>
    <w:p w:rsidR="00FA73F4" w:rsidRPr="000E6AD1" w:rsidRDefault="00FA73F4" w:rsidP="00D61386">
      <w:pPr>
        <w:pStyle w:val="Caption"/>
        <w:tabs>
          <w:tab w:val="left" w:pos="284"/>
        </w:tabs>
        <w:spacing w:after="0" w:line="360" w:lineRule="auto"/>
        <w:jc w:val="both"/>
        <w:rPr>
          <w:rFonts w:ascii="Times New Roman" w:hAnsi="Times New Roman"/>
          <w:sz w:val="24"/>
          <w:szCs w:val="24"/>
          <w:lang w:val="en-US"/>
        </w:rPr>
      </w:pPr>
      <w:bookmarkStart w:id="43" w:name="_Ref343851247"/>
      <w:bookmarkEnd w:id="41"/>
      <w:r>
        <w:rPr>
          <w:rFonts w:ascii="Times New Roman" w:hAnsi="Times New Roman"/>
          <w:sz w:val="24"/>
          <w:szCs w:val="24"/>
          <w:lang w:val="en-US"/>
        </w:rPr>
        <w:t>Table I</w:t>
      </w:r>
      <w:bookmarkEnd w:id="43"/>
      <w:r>
        <w:rPr>
          <w:rFonts w:ascii="Times New Roman" w:hAnsi="Times New Roman"/>
          <w:sz w:val="24"/>
          <w:szCs w:val="24"/>
          <w:lang w:val="en-US"/>
        </w:rPr>
        <w:t>V</w:t>
      </w:r>
      <w:r w:rsidRPr="000E6AD1">
        <w:rPr>
          <w:rFonts w:ascii="Times New Roman" w:hAnsi="Times New Roman"/>
          <w:sz w:val="24"/>
          <w:szCs w:val="24"/>
          <w:lang w:val="en-US"/>
        </w:rPr>
        <w:t>: Peak and dermal exposure (ever) by case/control status and by disease group, 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992"/>
        <w:gridCol w:w="1070"/>
        <w:gridCol w:w="1254"/>
        <w:gridCol w:w="1701"/>
      </w:tblGrid>
      <w:tr w:rsidR="00FA73F4" w:rsidTr="00D61386">
        <w:tc>
          <w:tcPr>
            <w:tcW w:w="959" w:type="dxa"/>
            <w:tcBorders>
              <w:top w:val="single" w:sz="12" w:space="0" w:color="auto"/>
              <w:bottom w:val="single" w:sz="4" w:space="0" w:color="auto"/>
            </w:tcBorders>
            <w:vAlign w:val="center"/>
          </w:tcPr>
          <w:p w:rsidR="00FA73F4" w:rsidRPr="005E27E1" w:rsidRDefault="00FA73F4" w:rsidP="005E73C9">
            <w:pPr>
              <w:tabs>
                <w:tab w:val="left" w:pos="284"/>
              </w:tabs>
              <w:jc w:val="center"/>
              <w:rPr>
                <w:rFonts w:ascii="Times New Roman" w:hAnsi="Times New Roman"/>
                <w:b/>
                <w:bCs/>
                <w:color w:val="000000"/>
                <w:sz w:val="24"/>
                <w:szCs w:val="24"/>
              </w:rPr>
            </w:pPr>
            <w:r w:rsidRPr="005E27E1">
              <w:rPr>
                <w:rFonts w:ascii="Times New Roman" w:hAnsi="Times New Roman"/>
                <w:b/>
                <w:bCs/>
                <w:color w:val="000000"/>
                <w:sz w:val="24"/>
                <w:szCs w:val="24"/>
              </w:rPr>
              <w:t>Disease group</w:t>
            </w:r>
          </w:p>
        </w:tc>
        <w:tc>
          <w:tcPr>
            <w:tcW w:w="992" w:type="dxa"/>
            <w:tcBorders>
              <w:top w:val="single" w:sz="12" w:space="0" w:color="auto"/>
              <w:bottom w:val="single" w:sz="4" w:space="0" w:color="auto"/>
            </w:tcBorders>
            <w:vAlign w:val="center"/>
          </w:tcPr>
          <w:p w:rsidR="00FA73F4" w:rsidRPr="005E27E1" w:rsidRDefault="00FA73F4" w:rsidP="005E73C9">
            <w:pPr>
              <w:tabs>
                <w:tab w:val="left" w:pos="284"/>
              </w:tabs>
              <w:jc w:val="center"/>
              <w:rPr>
                <w:rFonts w:ascii="Times New Roman" w:hAnsi="Times New Roman"/>
                <w:b/>
                <w:bCs/>
                <w:color w:val="000000"/>
                <w:sz w:val="24"/>
                <w:szCs w:val="24"/>
              </w:rPr>
            </w:pPr>
            <w:r w:rsidRPr="005E27E1">
              <w:rPr>
                <w:rFonts w:ascii="Times New Roman" w:hAnsi="Times New Roman"/>
                <w:b/>
                <w:bCs/>
                <w:color w:val="000000"/>
                <w:sz w:val="24"/>
                <w:szCs w:val="24"/>
              </w:rPr>
              <w:t>Status</w:t>
            </w:r>
          </w:p>
        </w:tc>
        <w:tc>
          <w:tcPr>
            <w:tcW w:w="872" w:type="dxa"/>
            <w:tcBorders>
              <w:top w:val="single" w:sz="12" w:space="0" w:color="auto"/>
              <w:bottom w:val="single" w:sz="4" w:space="0" w:color="auto"/>
            </w:tcBorders>
            <w:vAlign w:val="center"/>
          </w:tcPr>
          <w:p w:rsidR="00FA73F4" w:rsidRPr="005E27E1" w:rsidRDefault="00FA73F4" w:rsidP="005E73C9">
            <w:pPr>
              <w:tabs>
                <w:tab w:val="left" w:pos="284"/>
              </w:tabs>
              <w:jc w:val="center"/>
              <w:rPr>
                <w:rFonts w:ascii="Times New Roman" w:hAnsi="Times New Roman"/>
                <w:b/>
                <w:bCs/>
                <w:sz w:val="24"/>
                <w:szCs w:val="24"/>
                <w:lang w:val="en-US"/>
              </w:rPr>
            </w:pPr>
            <w:r w:rsidRPr="005E27E1">
              <w:rPr>
                <w:rFonts w:ascii="Times New Roman" w:hAnsi="Times New Roman"/>
                <w:b/>
                <w:bCs/>
                <w:sz w:val="24"/>
                <w:szCs w:val="24"/>
                <w:lang w:val="en-US"/>
              </w:rPr>
              <w:t>Number</w:t>
            </w:r>
          </w:p>
        </w:tc>
        <w:tc>
          <w:tcPr>
            <w:tcW w:w="1254" w:type="dxa"/>
            <w:tcBorders>
              <w:top w:val="single" w:sz="12" w:space="0" w:color="auto"/>
              <w:bottom w:val="single" w:sz="4" w:space="0" w:color="auto"/>
            </w:tcBorders>
            <w:vAlign w:val="center"/>
          </w:tcPr>
          <w:p w:rsidR="00FA73F4" w:rsidRPr="005E27E1" w:rsidRDefault="00FA73F4" w:rsidP="005E73C9">
            <w:pPr>
              <w:tabs>
                <w:tab w:val="left" w:pos="284"/>
              </w:tabs>
              <w:jc w:val="center"/>
              <w:rPr>
                <w:rFonts w:ascii="Times New Roman" w:hAnsi="Times New Roman"/>
                <w:b/>
                <w:bCs/>
                <w:color w:val="000000"/>
                <w:sz w:val="24"/>
                <w:szCs w:val="24"/>
              </w:rPr>
            </w:pPr>
            <w:r w:rsidRPr="005E27E1">
              <w:rPr>
                <w:rFonts w:ascii="Times New Roman" w:hAnsi="Times New Roman"/>
                <w:b/>
                <w:bCs/>
                <w:sz w:val="24"/>
                <w:szCs w:val="24"/>
                <w:lang w:val="en-US"/>
              </w:rPr>
              <w:t>Peak Exposure</w:t>
            </w:r>
          </w:p>
        </w:tc>
        <w:tc>
          <w:tcPr>
            <w:tcW w:w="1701" w:type="dxa"/>
            <w:tcBorders>
              <w:top w:val="single" w:sz="12" w:space="0" w:color="auto"/>
              <w:bottom w:val="single" w:sz="4" w:space="0" w:color="auto"/>
            </w:tcBorders>
            <w:vAlign w:val="center"/>
          </w:tcPr>
          <w:p w:rsidR="00FA73F4" w:rsidRPr="005E27E1" w:rsidRDefault="00FA73F4" w:rsidP="005E73C9">
            <w:pPr>
              <w:tabs>
                <w:tab w:val="left" w:pos="284"/>
              </w:tabs>
              <w:jc w:val="center"/>
              <w:rPr>
                <w:rFonts w:ascii="Times New Roman" w:hAnsi="Times New Roman"/>
                <w:b/>
                <w:bCs/>
                <w:color w:val="000000"/>
                <w:sz w:val="24"/>
                <w:szCs w:val="24"/>
              </w:rPr>
            </w:pPr>
            <w:r w:rsidRPr="005E27E1">
              <w:rPr>
                <w:rFonts w:ascii="Times New Roman" w:hAnsi="Times New Roman"/>
                <w:b/>
                <w:bCs/>
                <w:sz w:val="24"/>
                <w:szCs w:val="24"/>
                <w:lang w:val="en-US"/>
              </w:rPr>
              <w:t>High probability of dermal exposure</w:t>
            </w:r>
          </w:p>
        </w:tc>
      </w:tr>
      <w:tr w:rsidR="00FA73F4" w:rsidTr="005E73C9">
        <w:tc>
          <w:tcPr>
            <w:tcW w:w="959" w:type="dxa"/>
            <w:tcBorders>
              <w:top w:val="single" w:sz="4" w:space="0" w:color="auto"/>
            </w:tcBorders>
            <w:vAlign w:val="center"/>
          </w:tcPr>
          <w:p w:rsidR="00FA73F4" w:rsidRPr="00BD0A22" w:rsidRDefault="00FA73F4" w:rsidP="005E73C9">
            <w:pPr>
              <w:tabs>
                <w:tab w:val="left" w:pos="284"/>
              </w:tabs>
              <w:rPr>
                <w:rFonts w:ascii="Times New Roman" w:hAnsi="Times New Roman"/>
                <w:color w:val="000000"/>
                <w:sz w:val="22"/>
                <w:szCs w:val="22"/>
              </w:rPr>
            </w:pPr>
            <w:r w:rsidRPr="00BD0A22">
              <w:rPr>
                <w:rFonts w:ascii="Times New Roman" w:hAnsi="Times New Roman"/>
                <w:b/>
                <w:sz w:val="22"/>
                <w:szCs w:val="22"/>
                <w:lang w:val="en-US"/>
              </w:rPr>
              <w:t>AML</w:t>
            </w:r>
          </w:p>
        </w:tc>
        <w:tc>
          <w:tcPr>
            <w:tcW w:w="992" w:type="dxa"/>
            <w:tcBorders>
              <w:top w:val="single" w:sz="4" w:space="0" w:color="auto"/>
            </w:tcBorders>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 xml:space="preserve">Cases </w:t>
            </w:r>
          </w:p>
        </w:tc>
        <w:tc>
          <w:tcPr>
            <w:tcW w:w="872" w:type="dxa"/>
            <w:tcBorders>
              <w:top w:val="single" w:sz="4" w:space="0" w:color="auto"/>
            </w:tcBorders>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60</w:t>
            </w:r>
          </w:p>
        </w:tc>
        <w:tc>
          <w:tcPr>
            <w:tcW w:w="1254" w:type="dxa"/>
            <w:tcBorders>
              <w:top w:val="single" w:sz="4" w:space="0" w:color="auto"/>
            </w:tcBorders>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35 (58)</w:t>
            </w:r>
          </w:p>
        </w:tc>
        <w:tc>
          <w:tcPr>
            <w:tcW w:w="1701" w:type="dxa"/>
            <w:tcBorders>
              <w:top w:val="single" w:sz="4" w:space="0" w:color="auto"/>
            </w:tcBorders>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27 (45)</w:t>
            </w:r>
          </w:p>
        </w:tc>
      </w:tr>
      <w:tr w:rsidR="00FA73F4" w:rsidTr="005E73C9">
        <w:tc>
          <w:tcPr>
            <w:tcW w:w="959" w:type="dxa"/>
            <w:vAlign w:val="center"/>
          </w:tcPr>
          <w:p w:rsidR="00FA73F4" w:rsidRPr="00BD0A22" w:rsidRDefault="00FA73F4" w:rsidP="005E73C9">
            <w:pPr>
              <w:tabs>
                <w:tab w:val="left" w:pos="284"/>
              </w:tabs>
              <w:rPr>
                <w:rFonts w:ascii="Times New Roman" w:hAnsi="Times New Roman"/>
                <w:b/>
                <w:sz w:val="22"/>
                <w:szCs w:val="22"/>
                <w:lang w:val="en-US"/>
              </w:rPr>
            </w:pP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Controls</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241</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117 (49)</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99 (41)</w:t>
            </w:r>
          </w:p>
        </w:tc>
      </w:tr>
      <w:tr w:rsidR="00FA73F4" w:rsidTr="005E73C9">
        <w:tc>
          <w:tcPr>
            <w:tcW w:w="959" w:type="dxa"/>
            <w:vAlign w:val="center"/>
          </w:tcPr>
          <w:p w:rsidR="00FA73F4" w:rsidRPr="00BD0A22" w:rsidRDefault="00FA73F4" w:rsidP="005E73C9">
            <w:pPr>
              <w:tabs>
                <w:tab w:val="left" w:pos="284"/>
              </w:tabs>
              <w:rPr>
                <w:rFonts w:ascii="Times New Roman" w:hAnsi="Times New Roman"/>
                <w:b/>
                <w:sz w:val="22"/>
                <w:szCs w:val="22"/>
                <w:lang w:val="en-US"/>
              </w:rPr>
            </w:pPr>
            <w:r w:rsidRPr="00BD0A22">
              <w:rPr>
                <w:rFonts w:ascii="Times New Roman" w:hAnsi="Times New Roman"/>
                <w:b/>
                <w:sz w:val="22"/>
                <w:szCs w:val="22"/>
                <w:lang w:val="en-US"/>
              </w:rPr>
              <w:t>MDS</w:t>
            </w: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 xml:space="preserve">Cases </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29</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16 (55)</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16 (55)</w:t>
            </w:r>
          </w:p>
        </w:tc>
      </w:tr>
      <w:tr w:rsidR="00FA73F4" w:rsidTr="005E73C9">
        <w:tc>
          <w:tcPr>
            <w:tcW w:w="959" w:type="dxa"/>
            <w:vAlign w:val="center"/>
          </w:tcPr>
          <w:p w:rsidR="00FA73F4" w:rsidRPr="00BD0A22" w:rsidRDefault="00FA73F4" w:rsidP="005E73C9">
            <w:pPr>
              <w:tabs>
                <w:tab w:val="left" w:pos="284"/>
              </w:tabs>
              <w:rPr>
                <w:rFonts w:ascii="Times New Roman" w:hAnsi="Times New Roman"/>
                <w:color w:val="000000"/>
                <w:sz w:val="22"/>
                <w:szCs w:val="22"/>
              </w:rPr>
            </w:pP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 xml:space="preserve">Controls </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129</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47 (36)</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39 (30)</w:t>
            </w:r>
          </w:p>
        </w:tc>
      </w:tr>
      <w:tr w:rsidR="00FA73F4" w:rsidTr="005E73C9">
        <w:tc>
          <w:tcPr>
            <w:tcW w:w="959" w:type="dxa"/>
            <w:vAlign w:val="center"/>
          </w:tcPr>
          <w:p w:rsidR="00FA73F4" w:rsidRPr="00BD0A22" w:rsidRDefault="00FA73F4" w:rsidP="005E73C9">
            <w:pPr>
              <w:tabs>
                <w:tab w:val="left" w:pos="284"/>
              </w:tabs>
              <w:rPr>
                <w:rFonts w:ascii="Times New Roman" w:hAnsi="Times New Roman"/>
                <w:color w:val="000000"/>
                <w:sz w:val="22"/>
                <w:szCs w:val="22"/>
              </w:rPr>
            </w:pPr>
            <w:r w:rsidRPr="00BD0A22">
              <w:rPr>
                <w:rFonts w:ascii="Times New Roman" w:hAnsi="Times New Roman"/>
                <w:b/>
                <w:sz w:val="22"/>
                <w:szCs w:val="22"/>
                <w:lang w:val="en-US"/>
              </w:rPr>
              <w:t>CLL</w:t>
            </w: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Cases</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80</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30 (38)</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27 (34)</w:t>
            </w:r>
          </w:p>
        </w:tc>
      </w:tr>
      <w:tr w:rsidR="00FA73F4" w:rsidTr="005E73C9">
        <w:tc>
          <w:tcPr>
            <w:tcW w:w="959" w:type="dxa"/>
            <w:vAlign w:val="center"/>
          </w:tcPr>
          <w:p w:rsidR="00FA73F4" w:rsidRPr="00BD0A22" w:rsidRDefault="00FA73F4" w:rsidP="005E73C9">
            <w:pPr>
              <w:tabs>
                <w:tab w:val="left" w:pos="284"/>
              </w:tabs>
              <w:rPr>
                <w:rFonts w:ascii="Times New Roman" w:hAnsi="Times New Roman"/>
                <w:b/>
                <w:sz w:val="22"/>
                <w:szCs w:val="22"/>
                <w:lang w:val="en-US"/>
              </w:rPr>
            </w:pP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Controls</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345</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158 (46)</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134 (39)</w:t>
            </w:r>
          </w:p>
        </w:tc>
      </w:tr>
      <w:tr w:rsidR="00FA73F4" w:rsidTr="005E73C9">
        <w:tc>
          <w:tcPr>
            <w:tcW w:w="959" w:type="dxa"/>
            <w:vAlign w:val="center"/>
          </w:tcPr>
          <w:p w:rsidR="00FA73F4" w:rsidRPr="00BD0A22" w:rsidRDefault="00FA73F4" w:rsidP="005E73C9">
            <w:pPr>
              <w:tabs>
                <w:tab w:val="left" w:pos="284"/>
              </w:tabs>
              <w:rPr>
                <w:rFonts w:ascii="Times New Roman" w:hAnsi="Times New Roman"/>
                <w:color w:val="000000"/>
                <w:sz w:val="22"/>
                <w:szCs w:val="22"/>
              </w:rPr>
            </w:pPr>
            <w:r w:rsidRPr="00BD0A22">
              <w:rPr>
                <w:rFonts w:ascii="Times New Roman" w:hAnsi="Times New Roman"/>
                <w:b/>
                <w:sz w:val="22"/>
                <w:szCs w:val="22"/>
                <w:lang w:val="en-US"/>
              </w:rPr>
              <w:t>CML</w:t>
            </w: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Cases</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28</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11 (39)</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11 (39)</w:t>
            </w:r>
          </w:p>
        </w:tc>
      </w:tr>
      <w:tr w:rsidR="00FA73F4" w:rsidTr="005E73C9">
        <w:tc>
          <w:tcPr>
            <w:tcW w:w="959" w:type="dxa"/>
            <w:vAlign w:val="center"/>
          </w:tcPr>
          <w:p w:rsidR="00FA73F4" w:rsidRPr="00BD0A22" w:rsidRDefault="00FA73F4" w:rsidP="005E73C9">
            <w:pPr>
              <w:tabs>
                <w:tab w:val="left" w:pos="284"/>
              </w:tabs>
              <w:rPr>
                <w:rFonts w:ascii="Times New Roman" w:hAnsi="Times New Roman"/>
                <w:b/>
                <w:sz w:val="22"/>
                <w:szCs w:val="22"/>
                <w:lang w:val="en-US"/>
              </w:rPr>
            </w:pP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Controls</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122</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59 (48)</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47 (39)</w:t>
            </w:r>
          </w:p>
        </w:tc>
      </w:tr>
      <w:tr w:rsidR="00FA73F4" w:rsidTr="005E73C9">
        <w:tc>
          <w:tcPr>
            <w:tcW w:w="959" w:type="dxa"/>
            <w:vAlign w:val="center"/>
          </w:tcPr>
          <w:p w:rsidR="00FA73F4" w:rsidRPr="00BD0A22" w:rsidRDefault="00FA73F4" w:rsidP="005E73C9">
            <w:pPr>
              <w:tabs>
                <w:tab w:val="left" w:pos="284"/>
              </w:tabs>
              <w:rPr>
                <w:rFonts w:ascii="Times New Roman" w:hAnsi="Times New Roman"/>
                <w:color w:val="000000"/>
                <w:sz w:val="22"/>
                <w:szCs w:val="22"/>
              </w:rPr>
            </w:pPr>
            <w:r w:rsidRPr="00BD0A22">
              <w:rPr>
                <w:rFonts w:ascii="Times New Roman" w:hAnsi="Times New Roman"/>
                <w:b/>
                <w:sz w:val="22"/>
                <w:szCs w:val="22"/>
                <w:lang w:val="en-US"/>
              </w:rPr>
              <w:t>MPD</w:t>
            </w:r>
          </w:p>
        </w:tc>
        <w:tc>
          <w:tcPr>
            <w:tcW w:w="992" w:type="dxa"/>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Cases</w:t>
            </w:r>
          </w:p>
        </w:tc>
        <w:tc>
          <w:tcPr>
            <w:tcW w:w="872" w:type="dxa"/>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30</w:t>
            </w:r>
          </w:p>
        </w:tc>
        <w:tc>
          <w:tcPr>
            <w:tcW w:w="1254"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18 (60)</w:t>
            </w:r>
          </w:p>
        </w:tc>
        <w:tc>
          <w:tcPr>
            <w:tcW w:w="1701" w:type="dxa"/>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17 (57)</w:t>
            </w:r>
          </w:p>
        </w:tc>
      </w:tr>
      <w:tr w:rsidR="00FA73F4" w:rsidTr="00D61386">
        <w:tc>
          <w:tcPr>
            <w:tcW w:w="959" w:type="dxa"/>
            <w:tcBorders>
              <w:bottom w:val="single" w:sz="12" w:space="0" w:color="auto"/>
            </w:tcBorders>
            <w:vAlign w:val="center"/>
          </w:tcPr>
          <w:p w:rsidR="00FA73F4" w:rsidRPr="00BD0A22" w:rsidRDefault="00FA73F4" w:rsidP="005E73C9">
            <w:pPr>
              <w:tabs>
                <w:tab w:val="left" w:pos="284"/>
              </w:tabs>
              <w:rPr>
                <w:rFonts w:ascii="Times New Roman" w:hAnsi="Times New Roman"/>
                <w:b/>
                <w:sz w:val="22"/>
                <w:szCs w:val="22"/>
                <w:lang w:val="en-US"/>
              </w:rPr>
            </w:pPr>
          </w:p>
        </w:tc>
        <w:tc>
          <w:tcPr>
            <w:tcW w:w="992" w:type="dxa"/>
            <w:tcBorders>
              <w:bottom w:val="single" w:sz="12" w:space="0" w:color="auto"/>
            </w:tcBorders>
            <w:vAlign w:val="center"/>
          </w:tcPr>
          <w:p w:rsidR="00FA73F4" w:rsidRPr="00BD0A22" w:rsidRDefault="00FA73F4" w:rsidP="005E73C9">
            <w:pPr>
              <w:tabs>
                <w:tab w:val="left" w:pos="284"/>
              </w:tabs>
              <w:rPr>
                <w:rFonts w:ascii="Times New Roman" w:hAnsi="Times New Roman"/>
                <w:color w:val="000000"/>
                <w:sz w:val="22"/>
                <w:szCs w:val="22"/>
              </w:rPr>
            </w:pPr>
            <w:r>
              <w:rPr>
                <w:rFonts w:ascii="Times New Roman" w:hAnsi="Times New Roman"/>
                <w:sz w:val="22"/>
                <w:szCs w:val="22"/>
                <w:lang w:val="en-US"/>
              </w:rPr>
              <w:t>Controls</w:t>
            </w:r>
          </w:p>
        </w:tc>
        <w:tc>
          <w:tcPr>
            <w:tcW w:w="872" w:type="dxa"/>
            <w:tcBorders>
              <w:bottom w:val="single" w:sz="12" w:space="0" w:color="auto"/>
            </w:tcBorders>
          </w:tcPr>
          <w:p w:rsidR="00FA73F4" w:rsidRPr="00BD0A22" w:rsidRDefault="00FA73F4" w:rsidP="005E73C9">
            <w:pPr>
              <w:tabs>
                <w:tab w:val="left" w:pos="284"/>
              </w:tabs>
              <w:jc w:val="right"/>
              <w:rPr>
                <w:rFonts w:ascii="Times New Roman" w:hAnsi="Times New Roman"/>
                <w:lang w:val="en-US"/>
              </w:rPr>
            </w:pPr>
            <w:r w:rsidRPr="00BD0A22">
              <w:rPr>
                <w:rFonts w:ascii="Times New Roman" w:hAnsi="Times New Roman"/>
                <w:sz w:val="22"/>
                <w:szCs w:val="22"/>
                <w:lang w:val="en-US"/>
              </w:rPr>
              <w:t>124</w:t>
            </w:r>
          </w:p>
        </w:tc>
        <w:tc>
          <w:tcPr>
            <w:tcW w:w="1254" w:type="dxa"/>
            <w:tcBorders>
              <w:bottom w:val="single" w:sz="12" w:space="0" w:color="auto"/>
            </w:tcBorders>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61 (49)</w:t>
            </w:r>
          </w:p>
        </w:tc>
        <w:tc>
          <w:tcPr>
            <w:tcW w:w="1701" w:type="dxa"/>
            <w:tcBorders>
              <w:bottom w:val="single" w:sz="12" w:space="0" w:color="auto"/>
            </w:tcBorders>
            <w:vAlign w:val="center"/>
          </w:tcPr>
          <w:p w:rsidR="00FA73F4" w:rsidRPr="00BD0A22" w:rsidRDefault="00FA73F4" w:rsidP="005E73C9">
            <w:pPr>
              <w:tabs>
                <w:tab w:val="left" w:pos="284"/>
              </w:tabs>
              <w:jc w:val="right"/>
              <w:rPr>
                <w:rFonts w:ascii="Times New Roman" w:hAnsi="Times New Roman"/>
                <w:color w:val="000000"/>
                <w:sz w:val="22"/>
                <w:szCs w:val="22"/>
              </w:rPr>
            </w:pPr>
            <w:r w:rsidRPr="00BD0A22">
              <w:rPr>
                <w:rFonts w:ascii="Times New Roman" w:hAnsi="Times New Roman"/>
                <w:sz w:val="22"/>
                <w:szCs w:val="22"/>
                <w:lang w:val="en-US"/>
              </w:rPr>
              <w:t>57 (46)</w:t>
            </w:r>
          </w:p>
        </w:tc>
      </w:tr>
      <w:bookmarkEnd w:id="37"/>
    </w:tbl>
    <w:p w:rsidR="00FA73F4" w:rsidRDefault="00FA73F4" w:rsidP="005E73C9">
      <w:pPr>
        <w:tabs>
          <w:tab w:val="left" w:pos="284"/>
        </w:tabs>
        <w:spacing w:after="120"/>
        <w:jc w:val="both"/>
        <w:rPr>
          <w:rFonts w:ascii="Times New Roman" w:hAnsi="Times New Roman"/>
          <w:sz w:val="24"/>
          <w:szCs w:val="24"/>
          <w:lang w:val="en-US"/>
        </w:rPr>
      </w:pPr>
    </w:p>
    <w:p w:rsidR="00FA73F4" w:rsidRDefault="00FA73F4" w:rsidP="005E73C9">
      <w:pPr>
        <w:tabs>
          <w:tab w:val="left" w:pos="284"/>
        </w:tabs>
        <w:spacing w:after="120"/>
        <w:jc w:val="both"/>
        <w:rPr>
          <w:rFonts w:ascii="Times New Roman" w:hAnsi="Times New Roman"/>
          <w:sz w:val="24"/>
          <w:szCs w:val="24"/>
          <w:lang w:val="en-US"/>
        </w:rPr>
      </w:pPr>
      <w:r>
        <w:rPr>
          <w:rFonts w:ascii="Times New Roman" w:hAnsi="Times New Roman"/>
          <w:sz w:val="24"/>
          <w:szCs w:val="24"/>
          <w:lang w:val="en-US"/>
        </w:rPr>
        <w:fldChar w:fldCharType="begin"/>
      </w:r>
      <w:r>
        <w:rPr>
          <w:rFonts w:ascii="Times New Roman" w:hAnsi="Times New Roman"/>
          <w:sz w:val="24"/>
          <w:szCs w:val="24"/>
          <w:lang w:val="en-US"/>
        </w:rPr>
        <w:instrText xml:space="preserve"> ADDIN </w:instrText>
      </w:r>
      <w:r>
        <w:rPr>
          <w:rFonts w:ascii="Times New Roman" w:hAnsi="Times New Roman"/>
          <w:sz w:val="24"/>
          <w:szCs w:val="24"/>
          <w:lang w:val="en-US"/>
        </w:rPr>
        <w:fldChar w:fldCharType="end"/>
      </w:r>
      <w:r>
        <w:rPr>
          <w:rFonts w:ascii="Times New Roman" w:hAnsi="Times New Roman"/>
          <w:sz w:val="24"/>
          <w:szCs w:val="24"/>
          <w:lang w:val="en-US"/>
        </w:rPr>
        <w:fldChar w:fldCharType="begin"/>
      </w:r>
      <w:r>
        <w:rPr>
          <w:rFonts w:ascii="Times New Roman" w:hAnsi="Times New Roman"/>
          <w:sz w:val="24"/>
          <w:szCs w:val="24"/>
          <w:lang w:val="en-US"/>
        </w:rPr>
        <w:instrText xml:space="preserve"> ADDIN </w:instrText>
      </w:r>
      <w:r>
        <w:rPr>
          <w:rFonts w:ascii="Times New Roman" w:hAnsi="Times New Roman"/>
          <w:sz w:val="24"/>
          <w:szCs w:val="24"/>
          <w:lang w:val="en-US"/>
        </w:rPr>
        <w:fldChar w:fldCharType="end"/>
      </w:r>
    </w:p>
    <w:p w:rsidR="007F477E" w:rsidRDefault="007F477E"/>
    <w:sectPr w:rsidR="007F477E" w:rsidSect="005E73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84FCB">
      <w:pPr>
        <w:spacing w:after="0" w:line="240" w:lineRule="auto"/>
      </w:pPr>
      <w:r>
        <w:separator/>
      </w:r>
    </w:p>
  </w:endnote>
  <w:endnote w:type="continuationSeparator" w:id="0">
    <w:p w:rsidR="00000000" w:rsidRDefault="0098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5D" w:rsidRPr="005B6106" w:rsidRDefault="00984FCB" w:rsidP="005B6106">
    <w:pPr>
      <w:pStyle w:val="Footer"/>
      <w:rPr>
        <w:lang w:val="en-A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84FCB">
      <w:pPr>
        <w:spacing w:after="0" w:line="240" w:lineRule="auto"/>
      </w:pPr>
      <w:r>
        <w:separator/>
      </w:r>
    </w:p>
  </w:footnote>
  <w:footnote w:type="continuationSeparator" w:id="0">
    <w:p w:rsidR="00000000" w:rsidRDefault="00984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D76E2"/>
    <w:multiLevelType w:val="hybridMultilevel"/>
    <w:tmpl w:val="394C67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4B3964"/>
    <w:multiLevelType w:val="hybridMultilevel"/>
    <w:tmpl w:val="05945010"/>
    <w:lvl w:ilvl="0" w:tplc="0C09000F">
      <w:start w:val="1"/>
      <w:numFmt w:val="decimal"/>
      <w:lvlText w:val="%1."/>
      <w:lvlJc w:val="left"/>
      <w:pPr>
        <w:ind w:left="720" w:hanging="360"/>
      </w:pPr>
      <w:rPr>
        <w:rFonts w:cs="Webdings"/>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A8F5AD6"/>
    <w:multiLevelType w:val="hybridMultilevel"/>
    <w:tmpl w:val="360A6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2E726F"/>
    <w:multiLevelType w:val="multilevel"/>
    <w:tmpl w:val="91329BF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2139"/>
        </w:tabs>
        <w:ind w:left="1923"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69B6284"/>
    <w:multiLevelType w:val="hybridMultilevel"/>
    <w:tmpl w:val="D03C1078"/>
    <w:lvl w:ilvl="0" w:tplc="B6CE878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89F31BB"/>
    <w:multiLevelType w:val="hybridMultilevel"/>
    <w:tmpl w:val="11A68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8822EB"/>
    <w:multiLevelType w:val="hybridMultilevel"/>
    <w:tmpl w:val="96EA2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594C01"/>
    <w:multiLevelType w:val="hybridMultilevel"/>
    <w:tmpl w:val="860E5ABE"/>
    <w:lvl w:ilvl="0" w:tplc="0C09000F">
      <w:start w:val="1"/>
      <w:numFmt w:val="decimal"/>
      <w:lvlText w:val="%1."/>
      <w:lvlJc w:val="left"/>
      <w:pPr>
        <w:ind w:left="720" w:hanging="360"/>
      </w:pPr>
      <w:rPr>
        <w:rFonts w:cs="Webdings"/>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num w:numId="1">
    <w:abstractNumId w:val="2"/>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A73F4"/>
    <w:rsid w:val="007F477E"/>
    <w:rsid w:val="00984FCB"/>
    <w:rsid w:val="00FA73F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BF89E-CF04-4EAB-AFA9-28801FC5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3F4"/>
    <w:pPr>
      <w:spacing w:after="200" w:line="276" w:lineRule="auto"/>
    </w:pPr>
    <w:rPr>
      <w:rFonts w:ascii="Calibri" w:eastAsia="Calibri" w:hAnsi="Calibri" w:cs="Times New Roman"/>
      <w:lang w:eastAsia="en-AU"/>
    </w:rPr>
  </w:style>
  <w:style w:type="paragraph" w:styleId="Heading1">
    <w:name w:val="heading 1"/>
    <w:basedOn w:val="Normal"/>
    <w:next w:val="Normal"/>
    <w:link w:val="Heading1Char"/>
    <w:qFormat/>
    <w:rsid w:val="00FA73F4"/>
    <w:pPr>
      <w:keepNext/>
      <w:pageBreakBefore/>
      <w:numPr>
        <w:numId w:val="5"/>
      </w:numPr>
      <w:spacing w:before="240" w:after="60" w:line="240" w:lineRule="auto"/>
      <w:outlineLvl w:val="0"/>
    </w:pPr>
    <w:rPr>
      <w:rFonts w:ascii="Arial" w:eastAsia="Times New Roman" w:hAnsi="Arial"/>
      <w:b/>
      <w:bCs/>
      <w:kern w:val="32"/>
      <w:sz w:val="32"/>
      <w:szCs w:val="32"/>
      <w:lang w:val="x-none" w:eastAsia="x-none"/>
    </w:rPr>
  </w:style>
  <w:style w:type="paragraph" w:styleId="Heading2">
    <w:name w:val="heading 2"/>
    <w:basedOn w:val="Normal"/>
    <w:next w:val="Normal"/>
    <w:link w:val="Heading2Char"/>
    <w:qFormat/>
    <w:rsid w:val="00FA73F4"/>
    <w:pPr>
      <w:keepNext/>
      <w:numPr>
        <w:ilvl w:val="1"/>
        <w:numId w:val="5"/>
      </w:numPr>
      <w:spacing w:before="240" w:after="60" w:line="240" w:lineRule="auto"/>
      <w:outlineLvl w:val="1"/>
    </w:pPr>
    <w:rPr>
      <w:rFonts w:ascii="Arial" w:eastAsia="Times New Roman" w:hAnsi="Arial"/>
      <w:b/>
      <w:bCs/>
      <w:i/>
      <w:iCs/>
      <w:sz w:val="28"/>
      <w:szCs w:val="28"/>
      <w:lang w:val="x-none" w:eastAsia="x-none"/>
    </w:rPr>
  </w:style>
  <w:style w:type="paragraph" w:styleId="Heading3">
    <w:name w:val="heading 3"/>
    <w:basedOn w:val="Normal"/>
    <w:next w:val="Normal"/>
    <w:link w:val="Heading3Char"/>
    <w:qFormat/>
    <w:rsid w:val="00FA73F4"/>
    <w:pPr>
      <w:keepNext/>
      <w:numPr>
        <w:ilvl w:val="2"/>
        <w:numId w:val="5"/>
      </w:numPr>
      <w:spacing w:before="240" w:after="60" w:line="240" w:lineRule="auto"/>
      <w:outlineLvl w:val="2"/>
    </w:pPr>
    <w:rPr>
      <w:rFonts w:ascii="Times New Roman" w:eastAsia="Times New Roman" w:hAnsi="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73F4"/>
    <w:rPr>
      <w:rFonts w:ascii="Arial" w:eastAsia="Times New Roman" w:hAnsi="Arial" w:cs="Times New Roman"/>
      <w:b/>
      <w:bCs/>
      <w:kern w:val="32"/>
      <w:sz w:val="32"/>
      <w:szCs w:val="32"/>
      <w:lang w:val="x-none" w:eastAsia="x-none"/>
    </w:rPr>
  </w:style>
  <w:style w:type="character" w:customStyle="1" w:styleId="Heading2Char">
    <w:name w:val="Heading 2 Char"/>
    <w:basedOn w:val="DefaultParagraphFont"/>
    <w:link w:val="Heading2"/>
    <w:rsid w:val="00FA73F4"/>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FA73F4"/>
    <w:rPr>
      <w:rFonts w:ascii="Times New Roman" w:eastAsia="Times New Roman" w:hAnsi="Times New Roman" w:cs="Times New Roman"/>
      <w:b/>
      <w:bCs/>
      <w:sz w:val="26"/>
      <w:szCs w:val="26"/>
      <w:lang w:val="x-none" w:eastAsia="x-none"/>
    </w:rPr>
  </w:style>
  <w:style w:type="character" w:styleId="Hyperlink">
    <w:name w:val="Hyperlink"/>
    <w:uiPriority w:val="99"/>
    <w:unhideWhenUsed/>
    <w:rsid w:val="00FA73F4"/>
    <w:rPr>
      <w:color w:val="0000FF"/>
      <w:u w:val="single"/>
    </w:rPr>
  </w:style>
  <w:style w:type="paragraph" w:styleId="ListParagraph">
    <w:name w:val="List Paragraph"/>
    <w:basedOn w:val="Normal"/>
    <w:uiPriority w:val="34"/>
    <w:qFormat/>
    <w:rsid w:val="00FA73F4"/>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CaptionChar">
    <w:name w:val="Caption Char"/>
    <w:link w:val="Caption"/>
    <w:locked/>
    <w:rsid w:val="00FA73F4"/>
    <w:rPr>
      <w:b/>
      <w:bCs/>
    </w:rPr>
  </w:style>
  <w:style w:type="paragraph" w:styleId="Caption">
    <w:name w:val="caption"/>
    <w:basedOn w:val="Normal"/>
    <w:next w:val="Normal"/>
    <w:link w:val="CaptionChar"/>
    <w:qFormat/>
    <w:rsid w:val="00FA73F4"/>
    <w:pPr>
      <w:spacing w:after="60" w:line="240" w:lineRule="auto"/>
    </w:pPr>
    <w:rPr>
      <w:rFonts w:asciiTheme="minorHAnsi" w:eastAsiaTheme="minorEastAsia" w:hAnsiTheme="minorHAnsi" w:cstheme="minorBidi"/>
      <w:b/>
      <w:bCs/>
      <w:lang w:eastAsia="zh-CN"/>
    </w:rPr>
  </w:style>
  <w:style w:type="character" w:styleId="CommentReference">
    <w:name w:val="annotation reference"/>
    <w:uiPriority w:val="99"/>
    <w:semiHidden/>
    <w:unhideWhenUsed/>
    <w:rsid w:val="00FA73F4"/>
    <w:rPr>
      <w:sz w:val="16"/>
      <w:szCs w:val="16"/>
    </w:rPr>
  </w:style>
  <w:style w:type="paragraph" w:styleId="CommentText">
    <w:name w:val="annotation text"/>
    <w:basedOn w:val="Normal"/>
    <w:link w:val="CommentTextChar"/>
    <w:uiPriority w:val="99"/>
    <w:unhideWhenUsed/>
    <w:rsid w:val="00FA73F4"/>
    <w:rPr>
      <w:sz w:val="20"/>
      <w:szCs w:val="20"/>
    </w:rPr>
  </w:style>
  <w:style w:type="character" w:customStyle="1" w:styleId="CommentTextChar">
    <w:name w:val="Comment Text Char"/>
    <w:basedOn w:val="DefaultParagraphFont"/>
    <w:link w:val="CommentText"/>
    <w:uiPriority w:val="99"/>
    <w:rsid w:val="00FA73F4"/>
    <w:rPr>
      <w:rFonts w:ascii="Calibri" w:eastAsia="Calibri"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FA73F4"/>
    <w:rPr>
      <w:b/>
      <w:bCs/>
      <w:lang w:val="x-none" w:eastAsia="x-none"/>
    </w:rPr>
  </w:style>
  <w:style w:type="character" w:customStyle="1" w:styleId="CommentSubjectChar">
    <w:name w:val="Comment Subject Char"/>
    <w:basedOn w:val="CommentTextChar"/>
    <w:link w:val="CommentSubject"/>
    <w:uiPriority w:val="99"/>
    <w:semiHidden/>
    <w:rsid w:val="00FA73F4"/>
    <w:rPr>
      <w:rFonts w:ascii="Calibri" w:eastAsia="Calibri" w:hAnsi="Calibri" w:cs="Times New Roman"/>
      <w:b/>
      <w:bCs/>
      <w:sz w:val="20"/>
      <w:szCs w:val="20"/>
      <w:lang w:val="x-none" w:eastAsia="x-none"/>
    </w:rPr>
  </w:style>
  <w:style w:type="paragraph" w:styleId="BalloonText">
    <w:name w:val="Balloon Text"/>
    <w:basedOn w:val="Normal"/>
    <w:link w:val="BalloonTextChar"/>
    <w:semiHidden/>
    <w:unhideWhenUsed/>
    <w:rsid w:val="00FA73F4"/>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semiHidden/>
    <w:rsid w:val="00FA73F4"/>
    <w:rPr>
      <w:rFonts w:ascii="Tahoma" w:eastAsia="Calibri" w:hAnsi="Tahoma" w:cs="Times New Roman"/>
      <w:sz w:val="16"/>
      <w:szCs w:val="16"/>
      <w:lang w:val="x-none" w:eastAsia="x-none"/>
    </w:rPr>
  </w:style>
  <w:style w:type="paragraph" w:styleId="FootnoteText">
    <w:name w:val="footnote text"/>
    <w:basedOn w:val="Normal"/>
    <w:link w:val="FootnoteTextChar"/>
    <w:semiHidden/>
    <w:rsid w:val="00FA73F4"/>
    <w:pPr>
      <w:spacing w:after="60" w:line="240" w:lineRule="auto"/>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link w:val="FootnoteText"/>
    <w:semiHidden/>
    <w:rsid w:val="00FA73F4"/>
    <w:rPr>
      <w:rFonts w:ascii="Times New Roman" w:eastAsia="Times New Roman" w:hAnsi="Times New Roman" w:cs="Times New Roman"/>
      <w:sz w:val="20"/>
      <w:szCs w:val="20"/>
      <w:lang w:val="x-none" w:eastAsia="x-none"/>
    </w:rPr>
  </w:style>
  <w:style w:type="character" w:styleId="FootnoteReference">
    <w:name w:val="footnote reference"/>
    <w:semiHidden/>
    <w:rsid w:val="00FA73F4"/>
    <w:rPr>
      <w:vertAlign w:val="superscript"/>
    </w:rPr>
  </w:style>
  <w:style w:type="table" w:styleId="TableGrid">
    <w:name w:val="Table Grid"/>
    <w:basedOn w:val="TableNormal"/>
    <w:uiPriority w:val="59"/>
    <w:rsid w:val="00FA73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73F4"/>
    <w:pPr>
      <w:tabs>
        <w:tab w:val="center" w:pos="4513"/>
        <w:tab w:val="right" w:pos="9026"/>
      </w:tabs>
    </w:pPr>
    <w:rPr>
      <w:lang w:val="x-none" w:eastAsia="x-none"/>
    </w:rPr>
  </w:style>
  <w:style w:type="character" w:customStyle="1" w:styleId="HeaderChar">
    <w:name w:val="Header Char"/>
    <w:basedOn w:val="DefaultParagraphFont"/>
    <w:link w:val="Header"/>
    <w:uiPriority w:val="99"/>
    <w:rsid w:val="00FA73F4"/>
    <w:rPr>
      <w:rFonts w:ascii="Calibri" w:eastAsia="Calibri" w:hAnsi="Calibri" w:cs="Times New Roman"/>
      <w:lang w:val="x-none" w:eastAsia="x-none"/>
    </w:rPr>
  </w:style>
  <w:style w:type="paragraph" w:styleId="Footer">
    <w:name w:val="footer"/>
    <w:basedOn w:val="Normal"/>
    <w:link w:val="FooterChar"/>
    <w:uiPriority w:val="99"/>
    <w:unhideWhenUsed/>
    <w:rsid w:val="00FA73F4"/>
    <w:pPr>
      <w:tabs>
        <w:tab w:val="center" w:pos="4513"/>
        <w:tab w:val="right" w:pos="9026"/>
      </w:tabs>
    </w:pPr>
    <w:rPr>
      <w:lang w:val="x-none" w:eastAsia="x-none"/>
    </w:rPr>
  </w:style>
  <w:style w:type="character" w:customStyle="1" w:styleId="FooterChar">
    <w:name w:val="Footer Char"/>
    <w:basedOn w:val="DefaultParagraphFont"/>
    <w:link w:val="Footer"/>
    <w:uiPriority w:val="99"/>
    <w:rsid w:val="00FA73F4"/>
    <w:rPr>
      <w:rFonts w:ascii="Calibri" w:eastAsia="Calibri" w:hAnsi="Calibri" w:cs="Times New Roman"/>
      <w:lang w:val="x-none" w:eastAsia="x-none"/>
    </w:rPr>
  </w:style>
  <w:style w:type="paragraph" w:styleId="HTMLPreformatted">
    <w:name w:val="HTML Preformatted"/>
    <w:basedOn w:val="Normal"/>
    <w:link w:val="HTMLPreformattedChar"/>
    <w:uiPriority w:val="99"/>
    <w:unhideWhenUsed/>
    <w:rsid w:val="00FA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73F4"/>
    <w:rPr>
      <w:rFonts w:ascii="Courier New" w:eastAsia="Times New Roman" w:hAnsi="Courier New" w:cs="Courier New"/>
      <w:sz w:val="20"/>
      <w:szCs w:val="20"/>
      <w:lang w:eastAsia="en-AU"/>
    </w:rPr>
  </w:style>
  <w:style w:type="paragraph" w:styleId="Revision">
    <w:name w:val="Revision"/>
    <w:hidden/>
    <w:uiPriority w:val="99"/>
    <w:semiHidden/>
    <w:rsid w:val="00FA73F4"/>
    <w:pPr>
      <w:spacing w:after="0" w:line="240" w:lineRule="auto"/>
    </w:pPr>
    <w:rPr>
      <w:rFonts w:ascii="Calibri" w:eastAsia="Calibri" w:hAnsi="Calibri" w:cs="Times New Roman"/>
      <w:lang w:eastAsia="en-AU"/>
    </w:rPr>
  </w:style>
  <w:style w:type="paragraph" w:customStyle="1" w:styleId="EndNoteBibliographyTitle">
    <w:name w:val="EndNote Bibliography Title"/>
    <w:basedOn w:val="Normal"/>
    <w:link w:val="EndNoteBibliographyTitleChar"/>
    <w:rsid w:val="00FA73F4"/>
    <w:pPr>
      <w:spacing w:after="0"/>
      <w:jc w:val="center"/>
    </w:pPr>
    <w:rPr>
      <w:noProof/>
      <w:kern w:val="32"/>
      <w:sz w:val="32"/>
      <w:szCs w:val="32"/>
      <w:lang w:val="x-none"/>
    </w:rPr>
  </w:style>
  <w:style w:type="character" w:customStyle="1" w:styleId="EndNoteBibliographyTitleChar">
    <w:name w:val="EndNote Bibliography Title Char"/>
    <w:basedOn w:val="Heading1Char"/>
    <w:link w:val="EndNoteBibliographyTitle"/>
    <w:rsid w:val="00FA73F4"/>
    <w:rPr>
      <w:rFonts w:ascii="Calibri" w:eastAsia="Calibri" w:hAnsi="Calibri" w:cs="Times New Roman"/>
      <w:b w:val="0"/>
      <w:bCs w:val="0"/>
      <w:noProof/>
      <w:kern w:val="32"/>
      <w:sz w:val="32"/>
      <w:szCs w:val="32"/>
      <w:lang w:val="x-none" w:eastAsia="en-AU"/>
    </w:rPr>
  </w:style>
  <w:style w:type="paragraph" w:customStyle="1" w:styleId="EndNoteBibliography">
    <w:name w:val="EndNote Bibliography"/>
    <w:basedOn w:val="Normal"/>
    <w:link w:val="EndNoteBibliographyChar"/>
    <w:rsid w:val="00FA73F4"/>
    <w:pPr>
      <w:spacing w:line="240" w:lineRule="auto"/>
      <w:jc w:val="both"/>
    </w:pPr>
    <w:rPr>
      <w:noProof/>
      <w:kern w:val="32"/>
      <w:sz w:val="32"/>
      <w:szCs w:val="32"/>
      <w:lang w:val="x-none"/>
    </w:rPr>
  </w:style>
  <w:style w:type="character" w:customStyle="1" w:styleId="EndNoteBibliographyChar">
    <w:name w:val="EndNote Bibliography Char"/>
    <w:basedOn w:val="Heading1Char"/>
    <w:link w:val="EndNoteBibliography"/>
    <w:rsid w:val="00FA73F4"/>
    <w:rPr>
      <w:rFonts w:ascii="Calibri" w:eastAsia="Calibri" w:hAnsi="Calibri" w:cs="Times New Roman"/>
      <w:b w:val="0"/>
      <w:bCs w:val="0"/>
      <w:noProof/>
      <w:kern w:val="32"/>
      <w:sz w:val="32"/>
      <w:szCs w:val="32"/>
      <w:lang w:val="x-none"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6776</Words>
  <Characters>38627</Characters>
  <Application>Microsoft Office Word</Application>
  <DocSecurity>0</DocSecurity>
  <Lines>321</Lines>
  <Paragraphs>90</Paragraphs>
  <ScaleCrop>false</ScaleCrop>
  <Company>Monash University</Company>
  <LinksUpToDate>false</LinksUpToDate>
  <CharactersWithSpaces>45313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Glass</dc:creator>
  <cp:keywords/>
  <dc:description/>
  <cp:lastModifiedBy>Deborah Glass</cp:lastModifiedBy>
  <cp:revision>2</cp:revision>
  <dcterms:created xsi:type="dcterms:W3CDTF">2017-05-17T00:36:00Z</dcterms:created>
  <dcterms:modified xsi:type="dcterms:W3CDTF">2017-05-17T00:50:00Z</dcterms:modified>
</cp:coreProperties>
</file>