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E112A" w14:textId="5BDE8A25" w:rsidR="00F133F6" w:rsidRPr="000151FA" w:rsidRDefault="005B5D9A" w:rsidP="00AA5458">
      <w:pPr>
        <w:spacing w:after="120" w:line="240" w:lineRule="auto"/>
        <w:jc w:val="both"/>
        <w:rPr>
          <w:rFonts w:asciiTheme="minorHAnsi" w:hAnsiTheme="minorHAnsi"/>
          <w:b/>
          <w:bCs/>
          <w:color w:val="000000" w:themeColor="text1"/>
          <w:sz w:val="28"/>
          <w:lang w:val="en-US"/>
        </w:rPr>
      </w:pPr>
      <w:r w:rsidRPr="000151FA">
        <w:rPr>
          <w:rFonts w:asciiTheme="minorHAnsi" w:hAnsiTheme="minorHAnsi"/>
          <w:b/>
          <w:bCs/>
          <w:color w:val="000000" w:themeColor="text1"/>
          <w:sz w:val="28"/>
          <w:lang w:val="en-US"/>
        </w:rPr>
        <w:t>Local</w:t>
      </w:r>
      <w:r w:rsidR="00947085" w:rsidRPr="000151FA">
        <w:rPr>
          <w:rFonts w:asciiTheme="minorHAnsi" w:hAnsiTheme="minorHAnsi"/>
          <w:b/>
          <w:bCs/>
          <w:color w:val="000000" w:themeColor="text1"/>
          <w:sz w:val="28"/>
          <w:lang w:val="en-US"/>
        </w:rPr>
        <w:t xml:space="preserve"> immune response to dietary antigens </w:t>
      </w:r>
      <w:r w:rsidRPr="000151FA">
        <w:rPr>
          <w:rFonts w:asciiTheme="minorHAnsi" w:hAnsiTheme="minorHAnsi"/>
          <w:b/>
          <w:bCs/>
          <w:color w:val="000000" w:themeColor="text1"/>
          <w:sz w:val="28"/>
          <w:lang w:val="en-US"/>
        </w:rPr>
        <w:t>triggered by bacterial infection leads to food-induced abdominal pain</w:t>
      </w:r>
    </w:p>
    <w:p w14:paraId="3E52606D" w14:textId="77777777" w:rsidR="005D3733" w:rsidRPr="00BA6F83" w:rsidRDefault="005D3733" w:rsidP="00AA5458">
      <w:pPr>
        <w:spacing w:after="120" w:line="240" w:lineRule="auto"/>
        <w:jc w:val="both"/>
        <w:rPr>
          <w:rFonts w:asciiTheme="minorHAnsi" w:hAnsiTheme="minorHAnsi"/>
          <w:b/>
          <w:color w:val="000000" w:themeColor="text1"/>
          <w:sz w:val="28"/>
          <w:lang w:val="en-US"/>
        </w:rPr>
      </w:pPr>
    </w:p>
    <w:p w14:paraId="07856356" w14:textId="77777777" w:rsidR="007D02F4" w:rsidRPr="00BA6F83" w:rsidRDefault="00090326" w:rsidP="00AA5458">
      <w:pPr>
        <w:spacing w:after="120" w:line="240" w:lineRule="auto"/>
        <w:jc w:val="both"/>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t>AUTHORS</w:t>
      </w:r>
    </w:p>
    <w:p w14:paraId="23407D03" w14:textId="3B6FB2F1" w:rsidR="007D02F4" w:rsidRPr="00BA6F83" w:rsidRDefault="007D02F4"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lang w:val="en-US"/>
        </w:rPr>
        <w:t>Javier Aguilera-Lizarraga</w:t>
      </w:r>
      <w:r w:rsidRPr="00BA6F83">
        <w:rPr>
          <w:rFonts w:asciiTheme="minorHAnsi" w:hAnsiTheme="minorHAnsi"/>
          <w:color w:val="000000" w:themeColor="text1"/>
          <w:vertAlign w:val="superscript"/>
          <w:lang w:val="en-US"/>
        </w:rPr>
        <w:t>1</w:t>
      </w:r>
      <w:r w:rsidR="00F133F6" w:rsidRPr="00BA6F83">
        <w:rPr>
          <w:rFonts w:asciiTheme="minorHAnsi" w:hAnsiTheme="minorHAnsi"/>
          <w:color w:val="000000" w:themeColor="text1"/>
          <w:vertAlign w:val="superscript"/>
          <w:lang w:val="en-US"/>
        </w:rPr>
        <w:t>,1</w:t>
      </w:r>
      <w:r w:rsidR="00630C59">
        <w:rPr>
          <w:rFonts w:asciiTheme="minorHAnsi" w:hAnsiTheme="minorHAnsi"/>
          <w:color w:val="000000" w:themeColor="text1"/>
          <w:vertAlign w:val="superscript"/>
          <w:lang w:val="en-US"/>
        </w:rPr>
        <w:t>9</w:t>
      </w:r>
      <w:r w:rsidRPr="00BA6F83">
        <w:rPr>
          <w:rFonts w:asciiTheme="minorHAnsi" w:hAnsiTheme="minorHAnsi"/>
          <w:color w:val="000000" w:themeColor="text1"/>
          <w:lang w:val="en-US"/>
        </w:rPr>
        <w:t xml:space="preserve">, </w:t>
      </w:r>
      <w:proofErr w:type="spellStart"/>
      <w:r w:rsidRPr="00BA6F83">
        <w:rPr>
          <w:rFonts w:asciiTheme="minorHAnsi" w:hAnsiTheme="minorHAnsi"/>
          <w:color w:val="000000" w:themeColor="text1"/>
          <w:lang w:val="en-US"/>
        </w:rPr>
        <w:t>Morgane</w:t>
      </w:r>
      <w:proofErr w:type="spellEnd"/>
      <w:r w:rsidRPr="00BA6F83">
        <w:rPr>
          <w:rFonts w:asciiTheme="minorHAnsi" w:hAnsiTheme="minorHAnsi"/>
          <w:color w:val="000000" w:themeColor="text1"/>
          <w:lang w:val="en-US"/>
        </w:rPr>
        <w:t xml:space="preserve"> V</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Florens</w:t>
      </w:r>
      <w:r w:rsidRPr="00BA6F83">
        <w:rPr>
          <w:rFonts w:asciiTheme="minorHAnsi" w:hAnsiTheme="minorHAnsi"/>
          <w:color w:val="000000" w:themeColor="text1"/>
          <w:vertAlign w:val="superscript"/>
          <w:lang w:val="en-US"/>
        </w:rPr>
        <w:t>1</w:t>
      </w:r>
      <w:r w:rsidR="00F133F6" w:rsidRPr="00BA6F83">
        <w:rPr>
          <w:rFonts w:asciiTheme="minorHAnsi" w:hAnsiTheme="minorHAnsi"/>
          <w:color w:val="000000" w:themeColor="text1"/>
          <w:vertAlign w:val="superscript"/>
          <w:lang w:val="en-US"/>
        </w:rPr>
        <w:t>,1</w:t>
      </w:r>
      <w:r w:rsidR="00630C59">
        <w:rPr>
          <w:rFonts w:asciiTheme="minorHAnsi" w:hAnsiTheme="minorHAnsi"/>
          <w:color w:val="000000" w:themeColor="text1"/>
          <w:vertAlign w:val="superscript"/>
          <w:lang w:val="en-US"/>
        </w:rPr>
        <w:t>9</w:t>
      </w:r>
      <w:r w:rsidRPr="00BA6F83">
        <w:rPr>
          <w:rFonts w:asciiTheme="minorHAnsi" w:hAnsiTheme="minorHAnsi"/>
          <w:color w:val="000000" w:themeColor="text1"/>
          <w:lang w:val="en-US"/>
        </w:rPr>
        <w:t>,</w:t>
      </w:r>
      <w:r w:rsidRPr="00BA6F83">
        <w:rPr>
          <w:color w:val="000000" w:themeColor="text1"/>
          <w:lang w:val="en-US"/>
        </w:rPr>
        <w:t xml:space="preserve"> </w:t>
      </w:r>
      <w:r w:rsidR="004E3BEA" w:rsidRPr="00BA6F83">
        <w:rPr>
          <w:rFonts w:asciiTheme="minorHAnsi" w:hAnsiTheme="minorHAnsi"/>
          <w:color w:val="000000" w:themeColor="text1"/>
          <w:lang w:val="en-US"/>
        </w:rPr>
        <w:t>Maria Francesca Viola</w:t>
      </w:r>
      <w:r w:rsidR="004E3BEA" w:rsidRPr="00BA6F83">
        <w:rPr>
          <w:rFonts w:asciiTheme="minorHAnsi" w:hAnsiTheme="minorHAnsi"/>
          <w:color w:val="000000" w:themeColor="text1"/>
          <w:vertAlign w:val="superscript"/>
          <w:lang w:val="en-US"/>
        </w:rPr>
        <w:t>1</w:t>
      </w:r>
      <w:r w:rsidR="00315F86">
        <w:rPr>
          <w:rFonts w:asciiTheme="minorHAnsi" w:hAnsiTheme="minorHAnsi"/>
          <w:color w:val="000000" w:themeColor="text1"/>
          <w:vertAlign w:val="superscript"/>
          <w:lang w:val="en-US"/>
        </w:rPr>
        <w:t>,20</w:t>
      </w:r>
      <w:r w:rsidR="004E3BEA" w:rsidRPr="00BA6F83">
        <w:rPr>
          <w:rFonts w:asciiTheme="minorHAnsi" w:hAnsiTheme="minorHAnsi"/>
          <w:color w:val="000000" w:themeColor="text1"/>
          <w:lang w:val="en-US"/>
        </w:rPr>
        <w:t xml:space="preserve">, </w:t>
      </w:r>
      <w:r w:rsidR="003E035D" w:rsidRPr="00BA6F83">
        <w:rPr>
          <w:rFonts w:asciiTheme="minorHAnsi" w:hAnsiTheme="minorHAnsi"/>
          <w:color w:val="000000" w:themeColor="text1"/>
          <w:lang w:val="en-US"/>
        </w:rPr>
        <w:t xml:space="preserve">Piyush </w:t>
      </w:r>
      <w:r w:rsidR="003E035D" w:rsidRPr="00B5123B">
        <w:rPr>
          <w:rFonts w:asciiTheme="minorHAnsi" w:hAnsiTheme="minorHAnsi"/>
          <w:color w:val="000000" w:themeColor="text1"/>
          <w:lang w:val="en-US"/>
        </w:rPr>
        <w:t>Jain</w:t>
      </w:r>
      <w:r w:rsidR="003E035D" w:rsidRPr="00B5123B">
        <w:rPr>
          <w:rFonts w:asciiTheme="minorHAnsi" w:hAnsiTheme="minorHAnsi"/>
          <w:color w:val="000000" w:themeColor="text1"/>
          <w:vertAlign w:val="superscript"/>
          <w:lang w:val="en-US"/>
        </w:rPr>
        <w:t>1</w:t>
      </w:r>
      <w:r w:rsidR="00315F86">
        <w:rPr>
          <w:rFonts w:asciiTheme="minorHAnsi" w:hAnsiTheme="minorHAnsi"/>
          <w:color w:val="000000" w:themeColor="text1"/>
          <w:vertAlign w:val="superscript"/>
          <w:lang w:val="en-US"/>
        </w:rPr>
        <w:t>,20</w:t>
      </w:r>
      <w:r w:rsidR="003E035D">
        <w:rPr>
          <w:rFonts w:asciiTheme="minorHAnsi" w:hAnsiTheme="minorHAnsi"/>
          <w:color w:val="000000" w:themeColor="text1"/>
          <w:lang w:val="en-US"/>
        </w:rPr>
        <w:t xml:space="preserve">, </w:t>
      </w:r>
      <w:proofErr w:type="spellStart"/>
      <w:r w:rsidR="00971ABA" w:rsidRPr="00BA6F83">
        <w:rPr>
          <w:rFonts w:asciiTheme="minorHAnsi" w:hAnsiTheme="minorHAnsi"/>
          <w:color w:val="000000" w:themeColor="text1"/>
          <w:lang w:val="en-US"/>
        </w:rPr>
        <w:t>Lisse</w:t>
      </w:r>
      <w:proofErr w:type="spellEnd"/>
      <w:r w:rsidR="00971ABA" w:rsidRPr="00BA6F83">
        <w:rPr>
          <w:rFonts w:asciiTheme="minorHAnsi" w:hAnsiTheme="minorHAnsi"/>
          <w:color w:val="000000" w:themeColor="text1"/>
          <w:lang w:val="en-US"/>
        </w:rPr>
        <w:t xml:space="preserve"> Decraecker</w:t>
      </w:r>
      <w:r w:rsidR="00971ABA" w:rsidRPr="00BA6F83">
        <w:rPr>
          <w:rFonts w:asciiTheme="minorHAnsi" w:hAnsiTheme="minorHAnsi"/>
          <w:color w:val="000000" w:themeColor="text1"/>
          <w:vertAlign w:val="superscript"/>
          <w:lang w:val="en-US"/>
        </w:rPr>
        <w:t>1</w:t>
      </w:r>
      <w:r w:rsidR="00971ABA" w:rsidRPr="00BA6F83">
        <w:rPr>
          <w:rFonts w:asciiTheme="minorHAnsi" w:hAnsiTheme="minorHAnsi"/>
          <w:color w:val="000000" w:themeColor="text1"/>
          <w:lang w:val="en-US"/>
        </w:rPr>
        <w:t>,</w:t>
      </w:r>
      <w:r w:rsidR="000D269B" w:rsidRPr="00BA6F83">
        <w:rPr>
          <w:rFonts w:asciiTheme="minorHAnsi" w:hAnsiTheme="minorHAnsi"/>
          <w:color w:val="000000" w:themeColor="text1"/>
          <w:lang w:val="en-US"/>
        </w:rPr>
        <w:t xml:space="preserve"> </w:t>
      </w:r>
      <w:r w:rsidR="00EC7B14" w:rsidRPr="00B5123B">
        <w:rPr>
          <w:rFonts w:asciiTheme="minorHAnsi" w:hAnsiTheme="minorHAnsi"/>
          <w:color w:val="000000" w:themeColor="text1"/>
          <w:lang w:val="en-US"/>
        </w:rPr>
        <w:t>Iris</w:t>
      </w:r>
      <w:r w:rsidR="00EC7B14" w:rsidRPr="00BA6F83">
        <w:rPr>
          <w:rFonts w:asciiTheme="minorHAnsi" w:hAnsiTheme="minorHAnsi"/>
          <w:color w:val="000000" w:themeColor="text1"/>
          <w:lang w:val="en-US"/>
        </w:rPr>
        <w:t xml:space="preserve"> Appeltans</w:t>
      </w:r>
      <w:r w:rsidR="00EC7B14" w:rsidRPr="00BA6F83">
        <w:rPr>
          <w:rFonts w:asciiTheme="minorHAnsi" w:hAnsiTheme="minorHAnsi"/>
          <w:color w:val="000000" w:themeColor="text1"/>
          <w:vertAlign w:val="superscript"/>
          <w:lang w:val="en-US"/>
        </w:rPr>
        <w:t>1</w:t>
      </w:r>
      <w:r w:rsidR="00EC7B14" w:rsidRPr="00BA6F83">
        <w:rPr>
          <w:rFonts w:asciiTheme="minorHAnsi" w:hAnsiTheme="minorHAnsi"/>
          <w:color w:val="000000" w:themeColor="text1"/>
          <w:lang w:val="en-US"/>
        </w:rPr>
        <w:t>,</w:t>
      </w:r>
      <w:r w:rsidR="00EC7B14" w:rsidRPr="00BA6F83">
        <w:rPr>
          <w:color w:val="000000" w:themeColor="text1"/>
          <w:lang w:val="en-US"/>
        </w:rPr>
        <w:t xml:space="preserve"> </w:t>
      </w:r>
      <w:r w:rsidR="003E035D" w:rsidRPr="00BA6F83">
        <w:rPr>
          <w:rFonts w:asciiTheme="minorHAnsi" w:hAnsiTheme="minorHAnsi"/>
          <w:color w:val="000000" w:themeColor="text1"/>
          <w:lang w:val="en-US"/>
        </w:rPr>
        <w:t>Maria Cuende-Estevez</w:t>
      </w:r>
      <w:r w:rsidR="003E035D" w:rsidRPr="00BA6F83">
        <w:rPr>
          <w:rFonts w:asciiTheme="minorHAnsi" w:hAnsiTheme="minorHAnsi"/>
          <w:color w:val="000000" w:themeColor="text1"/>
          <w:vertAlign w:val="superscript"/>
          <w:lang w:val="en-US"/>
        </w:rPr>
        <w:t>1</w:t>
      </w:r>
      <w:r w:rsidR="003E035D" w:rsidRPr="00BA6F83">
        <w:rPr>
          <w:rFonts w:asciiTheme="minorHAnsi" w:hAnsiTheme="minorHAnsi"/>
          <w:color w:val="000000" w:themeColor="text1"/>
          <w:lang w:val="en-US"/>
        </w:rPr>
        <w:t>,</w:t>
      </w:r>
      <w:r w:rsidR="003E035D">
        <w:rPr>
          <w:rFonts w:asciiTheme="minorHAnsi" w:hAnsiTheme="minorHAnsi"/>
          <w:color w:val="000000" w:themeColor="text1"/>
          <w:lang w:val="en-US"/>
        </w:rPr>
        <w:t xml:space="preserve"> </w:t>
      </w:r>
      <w:r w:rsidR="00EC7B14" w:rsidRPr="00BA6F83">
        <w:rPr>
          <w:rFonts w:asciiTheme="minorHAnsi" w:hAnsiTheme="minorHAnsi"/>
          <w:color w:val="000000" w:themeColor="text1"/>
          <w:lang w:val="en-US"/>
        </w:rPr>
        <w:t>Naomi Fabre</w:t>
      </w:r>
      <w:r w:rsidR="00EC7B14" w:rsidRPr="00BA6F83">
        <w:rPr>
          <w:rFonts w:asciiTheme="minorHAnsi" w:hAnsiTheme="minorHAnsi"/>
          <w:color w:val="000000" w:themeColor="text1"/>
          <w:vertAlign w:val="superscript"/>
          <w:lang w:val="en-US"/>
        </w:rPr>
        <w:t>1</w:t>
      </w:r>
      <w:r w:rsidR="00EC7B14" w:rsidRPr="00BA6F83">
        <w:rPr>
          <w:rFonts w:asciiTheme="minorHAnsi" w:hAnsiTheme="minorHAnsi"/>
          <w:color w:val="000000" w:themeColor="text1"/>
          <w:lang w:val="en-US"/>
        </w:rPr>
        <w:t>,</w:t>
      </w:r>
      <w:r w:rsidR="00EC7B14" w:rsidRPr="00BA6F83">
        <w:rPr>
          <w:color w:val="000000" w:themeColor="text1"/>
          <w:lang w:val="en-US"/>
        </w:rPr>
        <w:t xml:space="preserve"> </w:t>
      </w:r>
      <w:r w:rsidR="00EC7B14" w:rsidRPr="00BA6F83">
        <w:rPr>
          <w:rFonts w:asciiTheme="minorHAnsi" w:hAnsiTheme="minorHAnsi"/>
          <w:color w:val="000000" w:themeColor="text1"/>
          <w:lang w:val="en-US"/>
        </w:rPr>
        <w:t>Kim Van Beek</w:t>
      </w:r>
      <w:r w:rsidR="00EC7B14" w:rsidRPr="00BA6F83">
        <w:rPr>
          <w:rFonts w:asciiTheme="minorHAnsi" w:hAnsiTheme="minorHAnsi"/>
          <w:color w:val="000000" w:themeColor="text1"/>
          <w:vertAlign w:val="superscript"/>
          <w:lang w:val="en-US"/>
        </w:rPr>
        <w:t>1</w:t>
      </w:r>
      <w:r w:rsidR="00EC7B14" w:rsidRPr="00BA6F83">
        <w:rPr>
          <w:rFonts w:asciiTheme="minorHAnsi" w:hAnsiTheme="minorHAnsi"/>
          <w:color w:val="000000" w:themeColor="text1"/>
          <w:lang w:val="en-US"/>
        </w:rPr>
        <w:t xml:space="preserve">, </w:t>
      </w:r>
      <w:proofErr w:type="spellStart"/>
      <w:r w:rsidRPr="00BA6F83">
        <w:rPr>
          <w:rFonts w:asciiTheme="minorHAnsi" w:hAnsiTheme="minorHAnsi"/>
          <w:color w:val="000000" w:themeColor="text1"/>
          <w:lang w:val="en-US"/>
        </w:rPr>
        <w:t>Eluisa</w:t>
      </w:r>
      <w:proofErr w:type="spellEnd"/>
      <w:r w:rsidRPr="00BA6F83">
        <w:rPr>
          <w:rFonts w:asciiTheme="minorHAnsi" w:hAnsiTheme="minorHAnsi"/>
          <w:color w:val="000000" w:themeColor="text1"/>
          <w:lang w:val="en-US"/>
        </w:rPr>
        <w:t xml:space="preserve"> Perna</w:t>
      </w:r>
      <w:r w:rsidRPr="00BA6F83">
        <w:rPr>
          <w:rFonts w:asciiTheme="minorHAnsi" w:hAnsiTheme="minorHAnsi"/>
          <w:color w:val="000000" w:themeColor="text1"/>
          <w:vertAlign w:val="superscript"/>
          <w:lang w:val="en-US"/>
        </w:rPr>
        <w:t>1</w:t>
      </w:r>
      <w:r w:rsidRPr="00BA6F83">
        <w:rPr>
          <w:rFonts w:asciiTheme="minorHAnsi" w:hAnsiTheme="minorHAnsi"/>
          <w:color w:val="000000" w:themeColor="text1"/>
          <w:lang w:val="en-US"/>
        </w:rPr>
        <w:t xml:space="preserve">, </w:t>
      </w:r>
      <w:r w:rsidR="00924152" w:rsidRPr="00BA6F83">
        <w:rPr>
          <w:rFonts w:asciiTheme="minorHAnsi" w:hAnsiTheme="minorHAnsi"/>
          <w:color w:val="000000" w:themeColor="text1"/>
          <w:lang w:val="en-US"/>
        </w:rPr>
        <w:t>Dafne Balemans</w:t>
      </w:r>
      <w:r w:rsidR="00924152" w:rsidRPr="00BA6F83">
        <w:rPr>
          <w:rFonts w:asciiTheme="minorHAnsi" w:hAnsiTheme="minorHAnsi"/>
          <w:color w:val="000000" w:themeColor="text1"/>
          <w:vertAlign w:val="superscript"/>
          <w:lang w:val="en-US"/>
        </w:rPr>
        <w:t>1</w:t>
      </w:r>
      <w:r w:rsidR="00924152" w:rsidRPr="00BA6F83">
        <w:rPr>
          <w:rFonts w:asciiTheme="minorHAnsi" w:hAnsiTheme="minorHAnsi"/>
          <w:color w:val="000000" w:themeColor="text1"/>
          <w:lang w:val="en-US"/>
        </w:rPr>
        <w:t xml:space="preserve">, </w:t>
      </w:r>
      <w:r w:rsidR="00AE6BB8" w:rsidRPr="00BA6F83">
        <w:rPr>
          <w:rFonts w:asciiTheme="minorHAnsi" w:hAnsiTheme="minorHAnsi"/>
          <w:color w:val="000000" w:themeColor="text1"/>
          <w:lang w:val="en-US"/>
        </w:rPr>
        <w:t>Nathalie Stakenborg</w:t>
      </w:r>
      <w:r w:rsidR="00AE6BB8" w:rsidRPr="00BA6F83">
        <w:rPr>
          <w:rFonts w:asciiTheme="minorHAnsi" w:hAnsiTheme="minorHAnsi"/>
          <w:color w:val="000000" w:themeColor="text1"/>
          <w:vertAlign w:val="superscript"/>
          <w:lang w:val="en-US"/>
        </w:rPr>
        <w:t>1</w:t>
      </w:r>
      <w:r w:rsidR="00AE6BB8" w:rsidRPr="00BA6F83">
        <w:rPr>
          <w:rFonts w:asciiTheme="minorHAnsi" w:hAnsiTheme="minorHAnsi"/>
          <w:color w:val="000000" w:themeColor="text1"/>
          <w:lang w:val="en-US"/>
        </w:rPr>
        <w:t xml:space="preserve">, </w:t>
      </w:r>
      <w:proofErr w:type="spellStart"/>
      <w:r w:rsidR="000151FA">
        <w:rPr>
          <w:rFonts w:asciiTheme="minorHAnsi" w:hAnsiTheme="minorHAnsi"/>
          <w:color w:val="000000" w:themeColor="text1"/>
          <w:lang w:val="en-US"/>
        </w:rPr>
        <w:t>Stavroula</w:t>
      </w:r>
      <w:proofErr w:type="spellEnd"/>
      <w:r w:rsidR="000151FA">
        <w:rPr>
          <w:rFonts w:asciiTheme="minorHAnsi" w:hAnsiTheme="minorHAnsi"/>
          <w:color w:val="000000" w:themeColor="text1"/>
          <w:lang w:val="en-US"/>
        </w:rPr>
        <w:t xml:space="preserve"> Theofanous</w:t>
      </w:r>
      <w:r w:rsidR="000151FA" w:rsidRPr="000151FA">
        <w:rPr>
          <w:rFonts w:asciiTheme="minorHAnsi" w:hAnsiTheme="minorHAnsi"/>
          <w:color w:val="000000" w:themeColor="text1"/>
          <w:vertAlign w:val="superscript"/>
          <w:lang w:val="en-US"/>
        </w:rPr>
        <w:t>1</w:t>
      </w:r>
      <w:r w:rsidR="000151FA">
        <w:rPr>
          <w:rFonts w:asciiTheme="minorHAnsi" w:hAnsiTheme="minorHAnsi"/>
          <w:color w:val="000000" w:themeColor="text1"/>
          <w:lang w:val="en-US"/>
        </w:rPr>
        <w:t xml:space="preserve">, </w:t>
      </w:r>
      <w:proofErr w:type="spellStart"/>
      <w:r w:rsidR="00AE6BB8" w:rsidRPr="00BA6F83">
        <w:rPr>
          <w:rFonts w:asciiTheme="minorHAnsi" w:hAnsiTheme="minorHAnsi"/>
          <w:color w:val="000000" w:themeColor="text1"/>
          <w:lang w:val="en-US"/>
        </w:rPr>
        <w:t>Goele</w:t>
      </w:r>
      <w:proofErr w:type="spellEnd"/>
      <w:r w:rsidR="00AE6BB8" w:rsidRPr="00BA6F83">
        <w:rPr>
          <w:rFonts w:asciiTheme="minorHAnsi" w:hAnsiTheme="minorHAnsi"/>
          <w:color w:val="000000" w:themeColor="text1"/>
          <w:lang w:val="en-US"/>
        </w:rPr>
        <w:t xml:space="preserve"> Bosmans</w:t>
      </w:r>
      <w:r w:rsidR="00AE6BB8" w:rsidRPr="00BA6F83">
        <w:rPr>
          <w:rFonts w:asciiTheme="minorHAnsi" w:hAnsiTheme="minorHAnsi"/>
          <w:color w:val="000000" w:themeColor="text1"/>
          <w:vertAlign w:val="superscript"/>
          <w:lang w:val="en-US"/>
        </w:rPr>
        <w:t>1</w:t>
      </w:r>
      <w:r w:rsidR="00AE6BB8" w:rsidRPr="00BA6F83">
        <w:rPr>
          <w:rFonts w:asciiTheme="minorHAnsi" w:hAnsiTheme="minorHAnsi"/>
          <w:color w:val="000000" w:themeColor="text1"/>
          <w:lang w:val="en-US"/>
        </w:rPr>
        <w:t>,</w:t>
      </w:r>
      <w:r w:rsidR="00F133F6" w:rsidRPr="00BA6F83">
        <w:rPr>
          <w:color w:val="000000" w:themeColor="text1"/>
          <w:lang w:val="en-US"/>
        </w:rPr>
        <w:t xml:space="preserve"> </w:t>
      </w:r>
      <w:r w:rsidR="00AE6BB8" w:rsidRPr="00BA6F83">
        <w:rPr>
          <w:rFonts w:asciiTheme="minorHAnsi" w:hAnsiTheme="minorHAnsi"/>
          <w:color w:val="000000" w:themeColor="text1"/>
          <w:lang w:val="en-US"/>
        </w:rPr>
        <w:t>Gianluca Matteoli</w:t>
      </w:r>
      <w:r w:rsidR="00AE6BB8" w:rsidRPr="00BA6F83">
        <w:rPr>
          <w:rFonts w:asciiTheme="minorHAnsi" w:hAnsiTheme="minorHAnsi"/>
          <w:color w:val="000000" w:themeColor="text1"/>
          <w:vertAlign w:val="superscript"/>
          <w:lang w:val="en-US"/>
        </w:rPr>
        <w:t>2</w:t>
      </w:r>
      <w:r w:rsidR="00AE6BB8" w:rsidRPr="00BA6F83">
        <w:rPr>
          <w:rFonts w:asciiTheme="minorHAnsi" w:hAnsiTheme="minorHAnsi"/>
          <w:color w:val="000000" w:themeColor="text1"/>
          <w:lang w:val="en-US"/>
        </w:rPr>
        <w:t xml:space="preserve">, </w:t>
      </w:r>
      <w:r w:rsidR="009839D1" w:rsidRPr="00BA6F83">
        <w:rPr>
          <w:rFonts w:asciiTheme="minorHAnsi" w:hAnsiTheme="minorHAnsi"/>
          <w:color w:val="000000" w:themeColor="text1"/>
          <w:lang w:val="en-US"/>
        </w:rPr>
        <w:t>Sales Ibiza Martinez</w:t>
      </w:r>
      <w:r w:rsidR="009839D1" w:rsidRPr="00BA6F83">
        <w:rPr>
          <w:rFonts w:asciiTheme="minorHAnsi" w:hAnsiTheme="minorHAnsi"/>
          <w:color w:val="000000" w:themeColor="text1"/>
          <w:vertAlign w:val="superscript"/>
          <w:lang w:val="en-US"/>
        </w:rPr>
        <w:t>2</w:t>
      </w:r>
      <w:r w:rsidR="009839D1" w:rsidRPr="00BA6F83">
        <w:rPr>
          <w:rFonts w:asciiTheme="minorHAnsi" w:hAnsiTheme="minorHAnsi"/>
          <w:color w:val="000000" w:themeColor="text1"/>
          <w:lang w:val="en-US"/>
        </w:rPr>
        <w:t xml:space="preserve">, </w:t>
      </w:r>
      <w:proofErr w:type="spellStart"/>
      <w:r w:rsidR="00AE6BB8" w:rsidRPr="00BA6F83">
        <w:rPr>
          <w:rFonts w:asciiTheme="minorHAnsi" w:hAnsiTheme="minorHAnsi"/>
          <w:color w:val="000000" w:themeColor="text1"/>
          <w:lang w:val="en-US"/>
        </w:rPr>
        <w:t>C</w:t>
      </w:r>
      <w:r w:rsidRPr="00BA6F83">
        <w:rPr>
          <w:rFonts w:asciiTheme="minorHAnsi" w:hAnsiTheme="minorHAnsi"/>
          <w:color w:val="000000" w:themeColor="text1"/>
          <w:lang w:val="en-US"/>
        </w:rPr>
        <w:t>intya</w:t>
      </w:r>
      <w:proofErr w:type="spellEnd"/>
      <w:r w:rsidRPr="00BA6F83">
        <w:rPr>
          <w:rFonts w:asciiTheme="minorHAnsi" w:hAnsiTheme="minorHAnsi"/>
          <w:color w:val="000000" w:themeColor="text1"/>
          <w:lang w:val="en-US"/>
        </w:rPr>
        <w:t xml:space="preserve"> Lopez-Lopez</w:t>
      </w:r>
      <w:r w:rsidR="00AE6BB8" w:rsidRPr="00BA6F83">
        <w:rPr>
          <w:rFonts w:asciiTheme="minorHAnsi" w:hAnsiTheme="minorHAnsi"/>
          <w:color w:val="000000" w:themeColor="text1"/>
          <w:vertAlign w:val="superscript"/>
          <w:lang w:val="en-US"/>
        </w:rPr>
        <w:t>3</w:t>
      </w:r>
      <w:r w:rsidRPr="00BA6F83">
        <w:rPr>
          <w:rFonts w:asciiTheme="minorHAnsi" w:hAnsiTheme="minorHAnsi"/>
          <w:color w:val="000000" w:themeColor="text1"/>
          <w:lang w:val="en-US"/>
        </w:rPr>
        <w:t>,</w:t>
      </w:r>
      <w:r w:rsidR="00AE6BB8"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Josue Jaramillo-Polanco</w:t>
      </w:r>
      <w:r w:rsidR="00AE6BB8" w:rsidRPr="00BA6F83">
        <w:rPr>
          <w:rFonts w:asciiTheme="minorHAnsi" w:hAnsiTheme="minorHAnsi"/>
          <w:color w:val="000000" w:themeColor="text1"/>
          <w:vertAlign w:val="superscript"/>
          <w:lang w:val="en-US"/>
        </w:rPr>
        <w:t>3</w:t>
      </w:r>
      <w:r w:rsidR="001C261D" w:rsidRPr="00BA6F83">
        <w:rPr>
          <w:rFonts w:asciiTheme="minorHAnsi" w:hAnsiTheme="minorHAnsi"/>
          <w:color w:val="000000" w:themeColor="text1"/>
          <w:lang w:val="en-US"/>
        </w:rPr>
        <w:t>,</w:t>
      </w:r>
      <w:r w:rsidR="00524AE0" w:rsidRPr="00BA6F83">
        <w:rPr>
          <w:rFonts w:asciiTheme="minorHAnsi" w:hAnsiTheme="minorHAnsi"/>
          <w:color w:val="000000" w:themeColor="text1"/>
          <w:lang w:val="en-US"/>
        </w:rPr>
        <w:t xml:space="preserve"> Karel Talavera</w:t>
      </w:r>
      <w:r w:rsidR="001C261D" w:rsidRPr="00BA6F83">
        <w:rPr>
          <w:rFonts w:asciiTheme="minorHAnsi" w:hAnsiTheme="minorHAnsi"/>
          <w:color w:val="000000" w:themeColor="text1"/>
          <w:vertAlign w:val="superscript"/>
          <w:lang w:val="en-US"/>
        </w:rPr>
        <w:t>4</w:t>
      </w:r>
      <w:r w:rsidR="00524AE0" w:rsidRPr="00BA6F83">
        <w:rPr>
          <w:rFonts w:asciiTheme="minorHAnsi" w:hAnsiTheme="minorHAnsi"/>
          <w:color w:val="000000" w:themeColor="text1"/>
          <w:lang w:val="en-US"/>
        </w:rPr>
        <w:t xml:space="preserve">, </w:t>
      </w:r>
      <w:proofErr w:type="spellStart"/>
      <w:r w:rsidR="00524AE0" w:rsidRPr="00BA6F83">
        <w:rPr>
          <w:rFonts w:asciiTheme="minorHAnsi" w:hAnsiTheme="minorHAnsi"/>
          <w:color w:val="000000" w:themeColor="text1"/>
          <w:lang w:val="en-US"/>
        </w:rPr>
        <w:t>Yeranddy</w:t>
      </w:r>
      <w:proofErr w:type="spellEnd"/>
      <w:r w:rsidR="00524AE0" w:rsidRPr="00BA6F83">
        <w:rPr>
          <w:rFonts w:asciiTheme="minorHAnsi" w:hAnsiTheme="minorHAnsi"/>
          <w:color w:val="000000" w:themeColor="text1"/>
          <w:lang w:val="en-US"/>
        </w:rPr>
        <w:t xml:space="preserve"> A. Alpizar</w:t>
      </w:r>
      <w:r w:rsidR="00B85F7C">
        <w:rPr>
          <w:rFonts w:asciiTheme="minorHAnsi" w:hAnsiTheme="minorHAnsi"/>
          <w:color w:val="000000" w:themeColor="text1"/>
          <w:vertAlign w:val="superscript"/>
          <w:lang w:val="en-US"/>
        </w:rPr>
        <w:t>5</w:t>
      </w:r>
      <w:r w:rsidR="00524AE0" w:rsidRPr="00BA6F83">
        <w:rPr>
          <w:rFonts w:asciiTheme="minorHAnsi" w:hAnsiTheme="minorHAnsi"/>
          <w:color w:val="000000" w:themeColor="text1"/>
          <w:lang w:val="en-US"/>
        </w:rPr>
        <w:t>,</w:t>
      </w:r>
      <w:r w:rsidR="00AE6BB8" w:rsidRPr="00BA6F83">
        <w:rPr>
          <w:color w:val="000000" w:themeColor="text1"/>
          <w:lang w:val="en-US"/>
        </w:rPr>
        <w:t xml:space="preserve"> </w:t>
      </w:r>
      <w:r w:rsidR="00B41468" w:rsidRPr="00BA6F83">
        <w:rPr>
          <w:color w:val="000000" w:themeColor="text1"/>
          <w:lang w:val="en-US"/>
        </w:rPr>
        <w:t>Thorsten B</w:t>
      </w:r>
      <w:r w:rsidR="00D159EC" w:rsidRPr="00BA6F83">
        <w:rPr>
          <w:color w:val="000000" w:themeColor="text1"/>
          <w:lang w:val="en-US"/>
        </w:rPr>
        <w:t>.</w:t>
      </w:r>
      <w:r w:rsidR="00B41468" w:rsidRPr="00BA6F83">
        <w:rPr>
          <w:color w:val="000000" w:themeColor="text1"/>
          <w:lang w:val="en-US"/>
        </w:rPr>
        <w:t xml:space="preserve"> Feyerabend</w:t>
      </w:r>
      <w:r w:rsidR="00B85F7C">
        <w:rPr>
          <w:color w:val="000000" w:themeColor="text1"/>
          <w:vertAlign w:val="superscript"/>
          <w:lang w:val="en-US"/>
        </w:rPr>
        <w:t>6</w:t>
      </w:r>
      <w:r w:rsidR="00B41468" w:rsidRPr="00BA6F83">
        <w:rPr>
          <w:color w:val="000000" w:themeColor="text1"/>
          <w:lang w:val="en-US"/>
        </w:rPr>
        <w:t xml:space="preserve">, </w:t>
      </w:r>
      <w:r w:rsidR="00AE6BB8" w:rsidRPr="00BA6F83">
        <w:rPr>
          <w:rFonts w:asciiTheme="minorHAnsi" w:hAnsiTheme="minorHAnsi"/>
          <w:color w:val="000000" w:themeColor="text1"/>
          <w:lang w:val="en-US"/>
        </w:rPr>
        <w:t>Hans-Reimer Rodewald</w:t>
      </w:r>
      <w:r w:rsidR="00B85F7C">
        <w:rPr>
          <w:rFonts w:asciiTheme="minorHAnsi" w:hAnsiTheme="minorHAnsi"/>
          <w:color w:val="000000" w:themeColor="text1"/>
          <w:vertAlign w:val="superscript"/>
          <w:lang w:val="en-US"/>
        </w:rPr>
        <w:t>6</w:t>
      </w:r>
      <w:r w:rsidR="00524AE0" w:rsidRPr="00BA6F83">
        <w:rPr>
          <w:rFonts w:asciiTheme="minorHAnsi" w:hAnsiTheme="minorHAnsi"/>
          <w:color w:val="000000" w:themeColor="text1"/>
          <w:lang w:val="en-US"/>
        </w:rPr>
        <w:t>, Ricard Farre</w:t>
      </w:r>
      <w:r w:rsidR="00B85F7C">
        <w:rPr>
          <w:rFonts w:asciiTheme="minorHAnsi" w:hAnsiTheme="minorHAnsi"/>
          <w:color w:val="000000" w:themeColor="text1"/>
          <w:vertAlign w:val="superscript"/>
          <w:lang w:val="en-US"/>
        </w:rPr>
        <w:t>7</w:t>
      </w:r>
      <w:r w:rsidR="00524AE0"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Frank A</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524AE0" w:rsidRPr="00BA6F83">
        <w:rPr>
          <w:rFonts w:asciiTheme="minorHAnsi" w:hAnsiTheme="minorHAnsi"/>
          <w:color w:val="000000" w:themeColor="text1"/>
          <w:lang w:val="en-US"/>
        </w:rPr>
        <w:t>Redegeld</w:t>
      </w:r>
      <w:r w:rsidR="00B85F7C">
        <w:rPr>
          <w:rFonts w:asciiTheme="minorHAnsi" w:hAnsiTheme="minorHAnsi"/>
          <w:color w:val="000000" w:themeColor="text1"/>
          <w:vertAlign w:val="superscript"/>
          <w:lang w:val="en-US"/>
        </w:rPr>
        <w:t>8</w:t>
      </w:r>
      <w:r w:rsidRPr="00BA6F83">
        <w:rPr>
          <w:rFonts w:asciiTheme="minorHAnsi" w:hAnsiTheme="minorHAnsi"/>
          <w:color w:val="000000" w:themeColor="text1"/>
          <w:lang w:val="en-US"/>
        </w:rPr>
        <w:t xml:space="preserve">, </w:t>
      </w:r>
      <w:proofErr w:type="spellStart"/>
      <w:r w:rsidR="00C235CA" w:rsidRPr="00BA6F83">
        <w:rPr>
          <w:rFonts w:asciiTheme="minorHAnsi" w:hAnsiTheme="minorHAnsi"/>
          <w:color w:val="000000" w:themeColor="text1"/>
          <w:lang w:val="en-US"/>
        </w:rPr>
        <w:t>Jiyeon</w:t>
      </w:r>
      <w:proofErr w:type="spellEnd"/>
      <w:r w:rsidR="00C235CA" w:rsidRPr="00BA6F83">
        <w:rPr>
          <w:rFonts w:asciiTheme="minorHAnsi" w:hAnsiTheme="minorHAnsi"/>
          <w:color w:val="000000" w:themeColor="text1"/>
          <w:lang w:val="en-US"/>
        </w:rPr>
        <w:t xml:space="preserve"> Si</w:t>
      </w:r>
      <w:r w:rsidR="00C235CA" w:rsidRPr="00BA6F83">
        <w:rPr>
          <w:rFonts w:asciiTheme="minorHAnsi" w:hAnsiTheme="minorHAnsi"/>
          <w:color w:val="000000" w:themeColor="text1"/>
          <w:vertAlign w:val="superscript"/>
          <w:lang w:val="en-US"/>
        </w:rPr>
        <w:t>9</w:t>
      </w:r>
      <w:r w:rsidR="00B85F7C">
        <w:rPr>
          <w:rFonts w:asciiTheme="minorHAnsi" w:hAnsiTheme="minorHAnsi"/>
          <w:color w:val="000000" w:themeColor="text1"/>
          <w:vertAlign w:val="superscript"/>
          <w:lang w:val="en-US"/>
        </w:rPr>
        <w:t>,10</w:t>
      </w:r>
      <w:r w:rsidR="00C235CA" w:rsidRPr="00BA6F83">
        <w:rPr>
          <w:rFonts w:asciiTheme="minorHAnsi" w:hAnsiTheme="minorHAnsi"/>
          <w:color w:val="000000" w:themeColor="text1"/>
          <w:lang w:val="en-US"/>
        </w:rPr>
        <w:t>, Jer</w:t>
      </w:r>
      <w:r w:rsidR="00B8414C" w:rsidRPr="00BA6F83">
        <w:rPr>
          <w:rFonts w:asciiTheme="minorHAnsi" w:hAnsiTheme="minorHAnsi"/>
          <w:color w:val="000000" w:themeColor="text1"/>
          <w:lang w:val="en-US"/>
        </w:rPr>
        <w:t>oe</w:t>
      </w:r>
      <w:r w:rsidR="00C235CA" w:rsidRPr="00BA6F83">
        <w:rPr>
          <w:rFonts w:asciiTheme="minorHAnsi" w:hAnsiTheme="minorHAnsi"/>
          <w:color w:val="000000" w:themeColor="text1"/>
          <w:lang w:val="en-US"/>
        </w:rPr>
        <w:t>n Raes</w:t>
      </w:r>
      <w:r w:rsidR="00CB54FB" w:rsidRPr="00BA6F83">
        <w:rPr>
          <w:rFonts w:asciiTheme="minorHAnsi" w:hAnsiTheme="minorHAnsi"/>
          <w:color w:val="000000" w:themeColor="text1"/>
          <w:vertAlign w:val="superscript"/>
          <w:lang w:val="en-US"/>
        </w:rPr>
        <w:t>9</w:t>
      </w:r>
      <w:r w:rsidR="00B85F7C">
        <w:rPr>
          <w:rFonts w:asciiTheme="minorHAnsi" w:hAnsiTheme="minorHAnsi"/>
          <w:color w:val="000000" w:themeColor="text1"/>
          <w:vertAlign w:val="superscript"/>
          <w:lang w:val="en-US"/>
        </w:rPr>
        <w:t>,10</w:t>
      </w:r>
      <w:r w:rsidR="00C235CA"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Christine </w:t>
      </w:r>
      <w:r w:rsidR="00524AE0" w:rsidRPr="00BA6F83">
        <w:rPr>
          <w:rFonts w:asciiTheme="minorHAnsi" w:hAnsiTheme="minorHAnsi"/>
          <w:color w:val="000000" w:themeColor="text1"/>
          <w:lang w:val="en-US"/>
        </w:rPr>
        <w:t>Breynaert</w:t>
      </w:r>
      <w:r w:rsidR="00B85F7C">
        <w:rPr>
          <w:rFonts w:asciiTheme="minorHAnsi" w:hAnsiTheme="minorHAnsi"/>
          <w:color w:val="000000" w:themeColor="text1"/>
          <w:vertAlign w:val="superscript"/>
          <w:lang w:val="en-US"/>
        </w:rPr>
        <w:t>11</w:t>
      </w:r>
      <w:r w:rsidRPr="00BA6F83">
        <w:rPr>
          <w:rFonts w:asciiTheme="minorHAnsi" w:hAnsiTheme="minorHAnsi"/>
          <w:color w:val="000000" w:themeColor="text1"/>
          <w:lang w:val="en-US"/>
        </w:rPr>
        <w:t>,</w:t>
      </w:r>
      <w:r w:rsidR="00AE6BB8" w:rsidRPr="00BA6F83">
        <w:rPr>
          <w:rFonts w:asciiTheme="minorHAnsi" w:hAnsiTheme="minorHAnsi"/>
          <w:color w:val="000000" w:themeColor="text1"/>
          <w:lang w:val="en-US"/>
        </w:rPr>
        <w:t xml:space="preserve"> </w:t>
      </w:r>
      <w:r w:rsidR="00B41468" w:rsidRPr="00BA6F83">
        <w:rPr>
          <w:rFonts w:asciiTheme="minorHAnsi" w:hAnsiTheme="minorHAnsi"/>
          <w:color w:val="000000" w:themeColor="text1"/>
          <w:lang w:val="en-US"/>
        </w:rPr>
        <w:t>Rik Schrijvers</w:t>
      </w:r>
      <w:r w:rsidR="00B41468" w:rsidRPr="00BA6F83">
        <w:rPr>
          <w:rFonts w:asciiTheme="minorHAnsi" w:hAnsiTheme="minorHAnsi"/>
          <w:color w:val="000000" w:themeColor="text1"/>
          <w:vertAlign w:val="superscript"/>
          <w:lang w:val="en-US"/>
        </w:rPr>
        <w:t>1</w:t>
      </w:r>
      <w:r w:rsidR="00B85F7C">
        <w:rPr>
          <w:rFonts w:asciiTheme="minorHAnsi" w:hAnsiTheme="minorHAnsi"/>
          <w:color w:val="000000" w:themeColor="text1"/>
          <w:vertAlign w:val="superscript"/>
          <w:lang w:val="en-US"/>
        </w:rPr>
        <w:t>1</w:t>
      </w:r>
      <w:r w:rsidR="00AE6BB8"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971ABA" w:rsidRPr="00BA6F83">
        <w:rPr>
          <w:rFonts w:asciiTheme="minorHAnsi" w:hAnsiTheme="minorHAnsi"/>
          <w:color w:val="000000" w:themeColor="text1"/>
          <w:lang w:val="en-US"/>
        </w:rPr>
        <w:t>Cédric Bosteels</w:t>
      </w:r>
      <w:r w:rsidR="008173E9" w:rsidRPr="00BA6F83">
        <w:rPr>
          <w:rFonts w:asciiTheme="minorHAnsi" w:hAnsiTheme="minorHAnsi"/>
          <w:color w:val="000000" w:themeColor="text1"/>
          <w:vertAlign w:val="superscript"/>
          <w:lang w:val="en-US"/>
        </w:rPr>
        <w:t>1</w:t>
      </w:r>
      <w:r w:rsidR="00F415F4">
        <w:rPr>
          <w:rFonts w:asciiTheme="minorHAnsi" w:hAnsiTheme="minorHAnsi"/>
          <w:color w:val="000000" w:themeColor="text1"/>
          <w:vertAlign w:val="superscript"/>
          <w:lang w:val="en-US"/>
        </w:rPr>
        <w:t>2</w:t>
      </w:r>
      <w:r w:rsidR="00B85F7C">
        <w:rPr>
          <w:rFonts w:asciiTheme="minorHAnsi" w:hAnsiTheme="minorHAnsi"/>
          <w:color w:val="000000" w:themeColor="text1"/>
          <w:vertAlign w:val="superscript"/>
          <w:lang w:val="en-US"/>
        </w:rPr>
        <w:t>,1</w:t>
      </w:r>
      <w:r w:rsidR="00F415F4">
        <w:rPr>
          <w:rFonts w:asciiTheme="minorHAnsi" w:hAnsiTheme="minorHAnsi"/>
          <w:color w:val="000000" w:themeColor="text1"/>
          <w:vertAlign w:val="superscript"/>
          <w:lang w:val="en-US"/>
        </w:rPr>
        <w:t>3</w:t>
      </w:r>
      <w:r w:rsidR="00971ABA" w:rsidRPr="00BA6F83">
        <w:rPr>
          <w:rFonts w:asciiTheme="minorHAnsi" w:hAnsiTheme="minorHAnsi"/>
          <w:color w:val="000000" w:themeColor="text1"/>
          <w:lang w:val="en-US"/>
        </w:rPr>
        <w:t>, Bart N. Lambrecht</w:t>
      </w:r>
      <w:r w:rsidR="008173E9" w:rsidRPr="00BA6F83">
        <w:rPr>
          <w:rFonts w:asciiTheme="minorHAnsi" w:hAnsiTheme="minorHAnsi"/>
          <w:color w:val="000000" w:themeColor="text1"/>
          <w:vertAlign w:val="superscript"/>
          <w:lang w:val="en-US"/>
        </w:rPr>
        <w:t>1</w:t>
      </w:r>
      <w:r w:rsidR="00F415F4">
        <w:rPr>
          <w:rFonts w:asciiTheme="minorHAnsi" w:hAnsiTheme="minorHAnsi"/>
          <w:color w:val="000000" w:themeColor="text1"/>
          <w:vertAlign w:val="superscript"/>
          <w:lang w:val="en-US"/>
        </w:rPr>
        <w:t>2</w:t>
      </w:r>
      <w:r w:rsidR="00B85F7C">
        <w:rPr>
          <w:rFonts w:asciiTheme="minorHAnsi" w:hAnsiTheme="minorHAnsi"/>
          <w:color w:val="000000" w:themeColor="text1"/>
          <w:vertAlign w:val="superscript"/>
          <w:lang w:val="en-US"/>
        </w:rPr>
        <w:t>,1</w:t>
      </w:r>
      <w:r w:rsidR="00F415F4">
        <w:rPr>
          <w:rFonts w:asciiTheme="minorHAnsi" w:hAnsiTheme="minorHAnsi"/>
          <w:color w:val="000000" w:themeColor="text1"/>
          <w:vertAlign w:val="superscript"/>
          <w:lang w:val="en-US"/>
        </w:rPr>
        <w:t>3</w:t>
      </w:r>
      <w:r w:rsidR="00971ABA" w:rsidRPr="00BA6F83">
        <w:rPr>
          <w:rFonts w:asciiTheme="minorHAnsi" w:hAnsiTheme="minorHAnsi"/>
          <w:color w:val="000000" w:themeColor="text1"/>
          <w:lang w:val="en-US"/>
        </w:rPr>
        <w:t>,</w:t>
      </w:r>
      <w:r w:rsidR="007664E9">
        <w:rPr>
          <w:rFonts w:asciiTheme="minorHAnsi" w:hAnsiTheme="minorHAnsi"/>
          <w:color w:val="000000" w:themeColor="text1"/>
          <w:lang w:val="en-US"/>
        </w:rPr>
        <w:t xml:space="preserve"> </w:t>
      </w:r>
      <w:r w:rsidR="00971ABA" w:rsidRPr="00BA6F83">
        <w:rPr>
          <w:rFonts w:asciiTheme="minorHAnsi" w:hAnsiTheme="minorHAnsi"/>
          <w:color w:val="000000" w:themeColor="text1"/>
          <w:lang w:val="en-US"/>
        </w:rPr>
        <w:t>Scott D. Boyd</w:t>
      </w:r>
      <w:r w:rsidR="00971ABA"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4</w:t>
      </w:r>
      <w:r w:rsidR="00B85F7C">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5</w:t>
      </w:r>
      <w:r w:rsidR="00971ABA" w:rsidRPr="00BA6F83">
        <w:rPr>
          <w:rFonts w:asciiTheme="minorHAnsi" w:hAnsiTheme="minorHAnsi"/>
          <w:color w:val="000000" w:themeColor="text1"/>
          <w:lang w:val="en-US"/>
        </w:rPr>
        <w:t>, Ramona A. Hoh</w:t>
      </w:r>
      <w:r w:rsidR="00971ABA"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4</w:t>
      </w:r>
      <w:r w:rsidR="00971ABA" w:rsidRPr="00BA6F83">
        <w:rPr>
          <w:rFonts w:asciiTheme="minorHAnsi" w:hAnsiTheme="minorHAnsi"/>
          <w:color w:val="000000" w:themeColor="text1"/>
          <w:lang w:val="en-US"/>
        </w:rPr>
        <w:t>,</w:t>
      </w:r>
      <w:r w:rsidR="00971ABA" w:rsidRPr="00BA6F83">
        <w:rPr>
          <w:color w:val="000000" w:themeColor="text1"/>
          <w:lang w:val="en-US"/>
        </w:rPr>
        <w:t xml:space="preserve"> </w:t>
      </w:r>
      <w:r w:rsidR="00971ABA" w:rsidRPr="00BA6F83">
        <w:rPr>
          <w:rFonts w:asciiTheme="minorHAnsi" w:hAnsiTheme="minorHAnsi"/>
          <w:color w:val="000000" w:themeColor="text1"/>
          <w:lang w:val="en-US"/>
        </w:rPr>
        <w:t>Deirdre Cabooter</w:t>
      </w:r>
      <w:r w:rsidR="00971ABA"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6</w:t>
      </w:r>
      <w:r w:rsidR="00971ABA" w:rsidRPr="00BA6F83">
        <w:rPr>
          <w:rFonts w:asciiTheme="minorHAnsi" w:hAnsiTheme="minorHAnsi"/>
          <w:color w:val="000000" w:themeColor="text1"/>
          <w:lang w:val="en-US"/>
        </w:rPr>
        <w:t>, Maxim Nelis</w:t>
      </w:r>
      <w:r w:rsidR="00971ABA"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6</w:t>
      </w:r>
      <w:r w:rsidR="00971ABA" w:rsidRPr="00BA6F83">
        <w:rPr>
          <w:rFonts w:asciiTheme="minorHAnsi" w:hAnsiTheme="minorHAnsi"/>
          <w:color w:val="000000" w:themeColor="text1"/>
          <w:lang w:val="en-US"/>
        </w:rPr>
        <w:t>, Patrick Augustijns</w:t>
      </w:r>
      <w:r w:rsidR="00971ABA"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6</w:t>
      </w:r>
      <w:r w:rsidR="00971ABA" w:rsidRPr="00BA6F83">
        <w:rPr>
          <w:rFonts w:asciiTheme="minorHAnsi" w:hAnsiTheme="minorHAnsi"/>
          <w:color w:val="000000" w:themeColor="text1"/>
          <w:lang w:val="en-US"/>
        </w:rPr>
        <w:t xml:space="preserve">, </w:t>
      </w:r>
      <w:r w:rsidR="00B9531F" w:rsidRPr="00C21C76">
        <w:rPr>
          <w:rFonts w:asciiTheme="minorHAnsi" w:hAnsiTheme="minorHAnsi"/>
          <w:lang w:val="en-US"/>
        </w:rPr>
        <w:t>Sven Hendrix</w:t>
      </w:r>
      <w:r w:rsidR="00B9531F" w:rsidRPr="0076181C">
        <w:rPr>
          <w:rFonts w:asciiTheme="minorHAnsi" w:hAnsiTheme="minorHAnsi"/>
          <w:vertAlign w:val="superscript"/>
          <w:lang w:val="en-US"/>
        </w:rPr>
        <w:t>17</w:t>
      </w:r>
      <w:r w:rsidR="00B9531F">
        <w:rPr>
          <w:rFonts w:asciiTheme="minorHAnsi" w:hAnsiTheme="minorHAnsi"/>
          <w:color w:val="000000" w:themeColor="text1"/>
          <w:lang w:val="en-US"/>
        </w:rPr>
        <w:t xml:space="preserve">, </w:t>
      </w:r>
      <w:r w:rsidR="00630C59">
        <w:rPr>
          <w:rFonts w:asciiTheme="minorHAnsi" w:hAnsiTheme="minorHAnsi"/>
          <w:color w:val="000000" w:themeColor="text1"/>
          <w:lang w:val="en-US"/>
        </w:rPr>
        <w:t>Jessica Strid</w:t>
      </w:r>
      <w:r w:rsidR="00630C59" w:rsidRPr="0076181C">
        <w:rPr>
          <w:rFonts w:asciiTheme="minorHAnsi" w:hAnsiTheme="minorHAnsi"/>
          <w:color w:val="000000" w:themeColor="text1"/>
          <w:vertAlign w:val="superscript"/>
          <w:lang w:val="en-US"/>
        </w:rPr>
        <w:t>18</w:t>
      </w:r>
      <w:r w:rsidR="00630C59">
        <w:rPr>
          <w:rFonts w:asciiTheme="minorHAnsi" w:hAnsiTheme="minorHAnsi"/>
          <w:color w:val="000000" w:themeColor="text1"/>
          <w:lang w:val="en-US"/>
        </w:rPr>
        <w:t xml:space="preserve">, </w:t>
      </w:r>
      <w:r w:rsidRPr="00BA6F83">
        <w:rPr>
          <w:rFonts w:asciiTheme="minorHAnsi" w:hAnsiTheme="minorHAnsi"/>
          <w:color w:val="000000" w:themeColor="text1"/>
          <w:lang w:val="en-US"/>
        </w:rPr>
        <w:t>Raf Bisschops</w:t>
      </w:r>
      <w:r w:rsidRPr="00BA6F83">
        <w:rPr>
          <w:rFonts w:asciiTheme="minorHAnsi" w:hAnsiTheme="minorHAnsi"/>
          <w:color w:val="000000" w:themeColor="text1"/>
          <w:vertAlign w:val="superscript"/>
          <w:lang w:val="en-US"/>
        </w:rPr>
        <w:t>1</w:t>
      </w:r>
      <w:r w:rsidRPr="00BA6F83">
        <w:rPr>
          <w:rFonts w:asciiTheme="minorHAnsi" w:hAnsiTheme="minorHAnsi"/>
          <w:color w:val="000000" w:themeColor="text1"/>
          <w:lang w:val="en-US"/>
        </w:rPr>
        <w:t>, David E</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Reed</w:t>
      </w:r>
      <w:r w:rsidR="00AE6BB8" w:rsidRPr="00BA6F83">
        <w:rPr>
          <w:rFonts w:asciiTheme="minorHAnsi" w:hAnsiTheme="minorHAnsi"/>
          <w:color w:val="000000" w:themeColor="text1"/>
          <w:vertAlign w:val="superscript"/>
          <w:lang w:val="en-US"/>
        </w:rPr>
        <w:t>3</w:t>
      </w:r>
      <w:r w:rsidRPr="00BA6F83">
        <w:rPr>
          <w:rFonts w:asciiTheme="minorHAnsi" w:hAnsiTheme="minorHAnsi"/>
          <w:color w:val="000000" w:themeColor="text1"/>
          <w:lang w:val="en-US"/>
        </w:rPr>
        <w:t>, Stephen J</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Vanner</w:t>
      </w:r>
      <w:r w:rsidR="00AE6BB8" w:rsidRPr="00BA6F83">
        <w:rPr>
          <w:rFonts w:asciiTheme="minorHAnsi" w:hAnsiTheme="minorHAnsi"/>
          <w:color w:val="000000" w:themeColor="text1"/>
          <w:vertAlign w:val="superscript"/>
          <w:lang w:val="en-US"/>
        </w:rPr>
        <w:t>3</w:t>
      </w:r>
      <w:r w:rsidRPr="00BA6F83">
        <w:rPr>
          <w:rFonts w:asciiTheme="minorHAnsi" w:hAnsiTheme="minorHAnsi"/>
          <w:color w:val="000000" w:themeColor="text1"/>
          <w:lang w:val="en-US"/>
        </w:rPr>
        <w:t xml:space="preserve">, </w:t>
      </w:r>
      <w:r w:rsidR="003E035D" w:rsidRPr="00BA6F83">
        <w:rPr>
          <w:rFonts w:asciiTheme="minorHAnsi" w:hAnsiTheme="minorHAnsi"/>
          <w:color w:val="000000" w:themeColor="text1"/>
          <w:lang w:val="en-US"/>
        </w:rPr>
        <w:t>Alexandre Denadai-Souza</w:t>
      </w:r>
      <w:r w:rsidR="003E035D" w:rsidRPr="00BA6F83">
        <w:rPr>
          <w:rFonts w:asciiTheme="minorHAnsi" w:hAnsiTheme="minorHAnsi"/>
          <w:color w:val="000000" w:themeColor="text1"/>
          <w:vertAlign w:val="superscript"/>
          <w:lang w:val="en-US"/>
        </w:rPr>
        <w:t>1</w:t>
      </w:r>
      <w:r w:rsidR="003E035D">
        <w:rPr>
          <w:rFonts w:asciiTheme="minorHAnsi" w:hAnsiTheme="minorHAnsi"/>
          <w:color w:val="000000" w:themeColor="text1"/>
          <w:vertAlign w:val="superscript"/>
          <w:lang w:val="en-US"/>
        </w:rPr>
        <w:t>,</w:t>
      </w:r>
      <w:r w:rsidR="003E035D" w:rsidRPr="003E035D">
        <w:rPr>
          <w:rFonts w:asciiTheme="minorHAnsi" w:hAnsiTheme="minorHAnsi"/>
          <w:color w:val="000000" w:themeColor="text1"/>
          <w:vertAlign w:val="superscript"/>
          <w:lang w:val="en-US"/>
        </w:rPr>
        <w:t>2</w:t>
      </w:r>
      <w:r w:rsidR="00315F86">
        <w:rPr>
          <w:rFonts w:asciiTheme="minorHAnsi" w:hAnsiTheme="minorHAnsi"/>
          <w:color w:val="000000" w:themeColor="text1"/>
          <w:vertAlign w:val="superscript"/>
          <w:lang w:val="en-US"/>
        </w:rPr>
        <w:t>1</w:t>
      </w:r>
      <w:r w:rsidR="003E035D">
        <w:rPr>
          <w:rFonts w:asciiTheme="minorHAnsi" w:hAnsiTheme="minorHAnsi"/>
          <w:color w:val="000000" w:themeColor="text1"/>
          <w:lang w:val="en-US"/>
        </w:rPr>
        <w:t xml:space="preserve">, </w:t>
      </w:r>
      <w:r w:rsidRPr="003E035D">
        <w:rPr>
          <w:rFonts w:asciiTheme="minorHAnsi" w:hAnsiTheme="minorHAnsi"/>
          <w:color w:val="000000" w:themeColor="text1"/>
          <w:lang w:val="en-US"/>
        </w:rPr>
        <w:t>Mira</w:t>
      </w:r>
      <w:r w:rsidRPr="00BA6F83">
        <w:rPr>
          <w:rFonts w:asciiTheme="minorHAnsi" w:hAnsiTheme="minorHAnsi"/>
          <w:color w:val="000000" w:themeColor="text1"/>
          <w:lang w:val="en-US"/>
        </w:rPr>
        <w:t xml:space="preserve"> M</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Wouters</w:t>
      </w:r>
      <w:r w:rsidRPr="00BA6F83">
        <w:rPr>
          <w:rFonts w:asciiTheme="minorHAnsi" w:hAnsiTheme="minorHAnsi"/>
          <w:color w:val="000000" w:themeColor="text1"/>
          <w:vertAlign w:val="superscript"/>
          <w:lang w:val="en-US"/>
        </w:rPr>
        <w:t>1</w:t>
      </w:r>
      <w:r w:rsidR="00F133F6" w:rsidRPr="00BA6F83">
        <w:rPr>
          <w:rFonts w:asciiTheme="minorHAnsi" w:hAnsiTheme="minorHAnsi"/>
          <w:color w:val="000000" w:themeColor="text1"/>
          <w:vertAlign w:val="superscript"/>
          <w:lang w:val="en-US"/>
        </w:rPr>
        <w:t>,</w:t>
      </w:r>
      <w:r w:rsidR="00B9531F">
        <w:rPr>
          <w:rFonts w:asciiTheme="minorHAnsi" w:hAnsiTheme="minorHAnsi"/>
          <w:color w:val="000000" w:themeColor="text1"/>
          <w:vertAlign w:val="superscript"/>
          <w:lang w:val="en-US"/>
        </w:rPr>
        <w:t>2</w:t>
      </w:r>
      <w:r w:rsidR="00315F86">
        <w:rPr>
          <w:rFonts w:asciiTheme="minorHAnsi" w:hAnsiTheme="minorHAnsi"/>
          <w:color w:val="000000" w:themeColor="text1"/>
          <w:vertAlign w:val="superscript"/>
          <w:lang w:val="en-US"/>
        </w:rPr>
        <w:t>1</w:t>
      </w:r>
      <w:r w:rsidRPr="00BA6F83">
        <w:rPr>
          <w:rFonts w:asciiTheme="minorHAnsi" w:hAnsiTheme="minorHAnsi"/>
          <w:color w:val="000000" w:themeColor="text1"/>
          <w:lang w:val="en-US"/>
        </w:rPr>
        <w:t>, Guy E</w:t>
      </w:r>
      <w:r w:rsidR="00D159EC"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Boeckxstaens</w:t>
      </w:r>
      <w:r w:rsidRPr="00BA6F83">
        <w:rPr>
          <w:rFonts w:asciiTheme="minorHAnsi" w:hAnsiTheme="minorHAnsi"/>
          <w:color w:val="000000" w:themeColor="text1"/>
          <w:vertAlign w:val="superscript"/>
          <w:lang w:val="en-US"/>
        </w:rPr>
        <w:t>1</w:t>
      </w:r>
      <w:r w:rsidR="00F133F6" w:rsidRPr="00BA6F83">
        <w:rPr>
          <w:rFonts w:asciiTheme="minorHAnsi" w:hAnsiTheme="minorHAnsi"/>
          <w:color w:val="000000" w:themeColor="text1"/>
          <w:vertAlign w:val="superscript"/>
          <w:lang w:val="en-US"/>
        </w:rPr>
        <w:t>,</w:t>
      </w:r>
      <w:r w:rsidR="00B9531F">
        <w:rPr>
          <w:rFonts w:asciiTheme="minorHAnsi" w:hAnsiTheme="minorHAnsi"/>
          <w:color w:val="000000" w:themeColor="text1"/>
          <w:vertAlign w:val="superscript"/>
          <w:lang w:val="en-US"/>
        </w:rPr>
        <w:t>2</w:t>
      </w:r>
      <w:r w:rsidR="00315F86">
        <w:rPr>
          <w:rFonts w:asciiTheme="minorHAnsi" w:hAnsiTheme="minorHAnsi"/>
          <w:color w:val="000000" w:themeColor="text1"/>
          <w:vertAlign w:val="superscript"/>
          <w:lang w:val="en-US"/>
        </w:rPr>
        <w:t>1</w:t>
      </w:r>
      <w:r w:rsidR="00702A91" w:rsidRPr="00BA6F83">
        <w:rPr>
          <w:rFonts w:asciiTheme="minorHAnsi" w:hAnsiTheme="minorHAnsi"/>
          <w:color w:val="000000" w:themeColor="text1"/>
          <w:lang w:val="en-US"/>
        </w:rPr>
        <w:t>*</w:t>
      </w:r>
    </w:p>
    <w:p w14:paraId="7C089A5A" w14:textId="77777777" w:rsidR="00E52F31" w:rsidRPr="00BA6F83" w:rsidRDefault="00E52F31" w:rsidP="00AA5458">
      <w:pPr>
        <w:spacing w:after="120" w:line="240" w:lineRule="auto"/>
        <w:jc w:val="both"/>
        <w:rPr>
          <w:rFonts w:asciiTheme="minorHAnsi" w:hAnsiTheme="minorHAnsi"/>
          <w:color w:val="000000" w:themeColor="text1"/>
          <w:lang w:val="en-US"/>
        </w:rPr>
      </w:pPr>
    </w:p>
    <w:p w14:paraId="71166CB9" w14:textId="77777777" w:rsidR="00E52F31" w:rsidRPr="00BA6F83" w:rsidRDefault="00090326" w:rsidP="00AA5458">
      <w:pPr>
        <w:spacing w:after="120" w:line="240" w:lineRule="auto"/>
        <w:jc w:val="both"/>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t>AFFILIATIONS</w:t>
      </w:r>
    </w:p>
    <w:p w14:paraId="0455E321" w14:textId="77777777" w:rsidR="007D02F4" w:rsidRPr="00BA6F83" w:rsidRDefault="007D02F4"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w:t>
      </w:r>
      <w:r w:rsidR="00CC60A6" w:rsidRPr="00BA6F83">
        <w:rPr>
          <w:rFonts w:asciiTheme="minorHAnsi" w:hAnsiTheme="minorHAnsi"/>
          <w:color w:val="000000" w:themeColor="text1"/>
          <w:lang w:val="en-US"/>
        </w:rPr>
        <w:t>KU Leuven D</w:t>
      </w:r>
      <w:r w:rsidRPr="00BA6F83">
        <w:rPr>
          <w:rFonts w:asciiTheme="minorHAnsi" w:hAnsiTheme="minorHAnsi"/>
          <w:color w:val="000000" w:themeColor="text1"/>
          <w:lang w:val="en-US"/>
        </w:rPr>
        <w:t>epartment of Chronic Diseases, Metabolism and Ageing</w:t>
      </w:r>
      <w:r w:rsidR="0013573A"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E52F31" w:rsidRPr="00BA6F83">
        <w:rPr>
          <w:rFonts w:asciiTheme="minorHAnsi" w:hAnsiTheme="minorHAnsi"/>
          <w:color w:val="000000" w:themeColor="text1"/>
          <w:lang w:val="en-US"/>
        </w:rPr>
        <w:t xml:space="preserve">Translational Research Center for Gastrointestinal Disorders, Laboratory for Intestinal Neuroimmune Interactions, </w:t>
      </w:r>
      <w:r w:rsidRPr="00BA6F83">
        <w:rPr>
          <w:rFonts w:asciiTheme="minorHAnsi" w:hAnsiTheme="minorHAnsi"/>
          <w:color w:val="000000" w:themeColor="text1"/>
          <w:lang w:val="en-US"/>
        </w:rPr>
        <w:t>Leuven, Belgium.</w:t>
      </w:r>
    </w:p>
    <w:p w14:paraId="6DF72E72" w14:textId="77777777" w:rsidR="00AE6BB8" w:rsidRPr="00BA6F83" w:rsidRDefault="00AE6BB8"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2</w:t>
      </w:r>
      <w:r w:rsidR="00CC60A6" w:rsidRPr="00BA6F83">
        <w:rPr>
          <w:rFonts w:asciiTheme="minorHAnsi" w:hAnsiTheme="minorHAnsi"/>
          <w:color w:val="000000" w:themeColor="text1"/>
          <w:lang w:val="en-US"/>
        </w:rPr>
        <w:t>KU Leuven D</w:t>
      </w:r>
      <w:r w:rsidRPr="00BA6F83">
        <w:rPr>
          <w:rFonts w:asciiTheme="minorHAnsi" w:hAnsiTheme="minorHAnsi"/>
          <w:color w:val="000000" w:themeColor="text1"/>
          <w:lang w:val="en-US"/>
        </w:rPr>
        <w:t>epartment of Chronic Diseases, Metabolism and Ageing; Translational Research Center for Gastrointestinal Disorders, Laboratory for Mucosal Immunology, Leuven, Belgium.</w:t>
      </w:r>
    </w:p>
    <w:p w14:paraId="3EBDB3DD" w14:textId="77777777" w:rsidR="007D02F4" w:rsidRPr="00BA6F83" w:rsidRDefault="00AE6BB8"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3</w:t>
      </w:r>
      <w:r w:rsidR="00FC158C" w:rsidRPr="00BA6F83">
        <w:rPr>
          <w:rFonts w:asciiTheme="minorHAnsi" w:hAnsiTheme="minorHAnsi"/>
          <w:color w:val="000000" w:themeColor="text1"/>
          <w:lang w:val="en-US"/>
        </w:rPr>
        <w:t>Gastrointestinal Diseases Research Unit, Queen's University, Kingston, Ontario, Canada</w:t>
      </w:r>
      <w:r w:rsidR="007D02F4" w:rsidRPr="00BA6F83">
        <w:rPr>
          <w:rFonts w:asciiTheme="minorHAnsi" w:hAnsiTheme="minorHAnsi"/>
          <w:color w:val="000000" w:themeColor="text1"/>
          <w:lang w:val="en-US"/>
        </w:rPr>
        <w:t>.</w:t>
      </w:r>
    </w:p>
    <w:p w14:paraId="0EAA0738" w14:textId="7E130E61" w:rsidR="00524AE0" w:rsidRDefault="001C261D"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4</w:t>
      </w:r>
      <w:r w:rsidR="00EB21DE" w:rsidRPr="00BA6F83">
        <w:rPr>
          <w:rFonts w:asciiTheme="minorHAnsi" w:hAnsiTheme="minorHAnsi"/>
          <w:color w:val="000000" w:themeColor="text1"/>
          <w:lang w:val="en-US"/>
        </w:rPr>
        <w:t>KU Leuven D</w:t>
      </w:r>
      <w:r w:rsidR="00524AE0" w:rsidRPr="00BA6F83">
        <w:rPr>
          <w:rFonts w:asciiTheme="minorHAnsi" w:hAnsiTheme="minorHAnsi"/>
          <w:color w:val="000000" w:themeColor="text1"/>
          <w:lang w:val="en-US"/>
        </w:rPr>
        <w:t>epartment of Cellular and Molecular Medicine</w:t>
      </w:r>
      <w:r w:rsidR="00425E3F" w:rsidRPr="00BA6F83">
        <w:rPr>
          <w:rFonts w:asciiTheme="minorHAnsi" w:hAnsiTheme="minorHAnsi"/>
          <w:color w:val="000000" w:themeColor="text1"/>
          <w:lang w:val="en-US"/>
        </w:rPr>
        <w:t>;</w:t>
      </w:r>
      <w:r w:rsidR="00425E3F" w:rsidRPr="00BA6F83">
        <w:rPr>
          <w:color w:val="000000" w:themeColor="text1"/>
          <w:lang w:val="en-US"/>
        </w:rPr>
        <w:t xml:space="preserve"> </w:t>
      </w:r>
      <w:r w:rsidR="00425E3F" w:rsidRPr="00BA6F83">
        <w:rPr>
          <w:rFonts w:asciiTheme="minorHAnsi" w:hAnsiTheme="minorHAnsi"/>
          <w:color w:val="000000" w:themeColor="text1"/>
          <w:lang w:val="en-US"/>
        </w:rPr>
        <w:t>VIB Center for Brain &amp; Disease Research</w:t>
      </w:r>
      <w:r w:rsidR="00524AE0" w:rsidRPr="00BA6F83">
        <w:rPr>
          <w:rFonts w:asciiTheme="minorHAnsi" w:hAnsiTheme="minorHAnsi"/>
          <w:color w:val="000000" w:themeColor="text1"/>
          <w:lang w:val="en-US"/>
        </w:rPr>
        <w:t xml:space="preserve">, </w:t>
      </w:r>
      <w:r w:rsidR="0013573A" w:rsidRPr="00BA6F83">
        <w:rPr>
          <w:rFonts w:asciiTheme="minorHAnsi" w:hAnsiTheme="minorHAnsi"/>
          <w:color w:val="000000" w:themeColor="text1"/>
          <w:lang w:val="en-US"/>
        </w:rPr>
        <w:t xml:space="preserve">Laboratory for Ion Channel Research, </w:t>
      </w:r>
      <w:r w:rsidR="00524AE0" w:rsidRPr="00BA6F83">
        <w:rPr>
          <w:rFonts w:asciiTheme="minorHAnsi" w:hAnsiTheme="minorHAnsi"/>
          <w:color w:val="000000" w:themeColor="text1"/>
          <w:lang w:val="en-US"/>
        </w:rPr>
        <w:t>Leuven, Belgium.</w:t>
      </w:r>
    </w:p>
    <w:p w14:paraId="3C1B96AD" w14:textId="4E8500F4" w:rsidR="00B85F7C" w:rsidRPr="0076202E" w:rsidRDefault="00B85F7C" w:rsidP="00AA5458">
      <w:pPr>
        <w:spacing w:after="120" w:line="240" w:lineRule="auto"/>
        <w:jc w:val="both"/>
        <w:rPr>
          <w:rFonts w:asciiTheme="minorHAnsi" w:hAnsiTheme="minorHAnsi"/>
          <w:color w:val="000000" w:themeColor="text1"/>
          <w:lang w:val="en-US"/>
        </w:rPr>
      </w:pPr>
      <w:r w:rsidRPr="00B85F7C">
        <w:rPr>
          <w:rFonts w:asciiTheme="minorHAnsi" w:hAnsiTheme="minorHAnsi"/>
          <w:color w:val="000000" w:themeColor="text1"/>
          <w:vertAlign w:val="superscript"/>
          <w:lang w:val="en-US"/>
        </w:rPr>
        <w:t>5</w:t>
      </w:r>
      <w:r w:rsidRPr="00B85F7C">
        <w:rPr>
          <w:rFonts w:asciiTheme="minorHAnsi" w:hAnsiTheme="minorHAnsi"/>
          <w:color w:val="000000" w:themeColor="text1"/>
          <w:lang w:val="en-US"/>
        </w:rPr>
        <w:t>Neuroscience Research group, BIOMED, Hasselt University, Hasselt, Belgium</w:t>
      </w:r>
      <w:r>
        <w:rPr>
          <w:rFonts w:asciiTheme="minorHAnsi" w:hAnsiTheme="minorHAnsi"/>
          <w:color w:val="000000" w:themeColor="text1"/>
          <w:lang w:val="en-US"/>
        </w:rPr>
        <w:t>.</w:t>
      </w:r>
    </w:p>
    <w:p w14:paraId="2BE3B255" w14:textId="59D9A25E" w:rsidR="00AE6BB8" w:rsidRPr="00BA6F83" w:rsidRDefault="00F415F4" w:rsidP="00AA5458">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6</w:t>
      </w:r>
      <w:r w:rsidR="00AE6BB8" w:rsidRPr="00BA6F83">
        <w:rPr>
          <w:rFonts w:asciiTheme="minorHAnsi" w:hAnsiTheme="minorHAnsi"/>
          <w:color w:val="000000" w:themeColor="text1"/>
          <w:lang w:val="en-US"/>
        </w:rPr>
        <w:t>Division of Cellular Immunology, German Cancer Research Center, Heidelberg, Germany</w:t>
      </w:r>
    </w:p>
    <w:p w14:paraId="593D2930" w14:textId="0BFAE90C" w:rsidR="00524AE0" w:rsidRPr="00BA6F83" w:rsidRDefault="00F415F4" w:rsidP="00AA5458">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7</w:t>
      </w:r>
      <w:r w:rsidR="00CC60A6" w:rsidRPr="00BA6F83">
        <w:rPr>
          <w:rFonts w:asciiTheme="minorHAnsi" w:hAnsiTheme="minorHAnsi"/>
          <w:color w:val="000000" w:themeColor="text1"/>
          <w:lang w:val="en-US"/>
        </w:rPr>
        <w:t>KU Leuven D</w:t>
      </w:r>
      <w:r w:rsidR="0013573A" w:rsidRPr="00BA6F83">
        <w:rPr>
          <w:rFonts w:asciiTheme="minorHAnsi" w:hAnsiTheme="minorHAnsi"/>
          <w:color w:val="000000" w:themeColor="text1"/>
          <w:lang w:val="en-US"/>
        </w:rPr>
        <w:t>epartment of Chronic Diseases, Metabolism and Ageing;</w:t>
      </w:r>
      <w:r w:rsidR="004B3E37" w:rsidRPr="00BA6F83">
        <w:rPr>
          <w:rFonts w:asciiTheme="minorHAnsi" w:hAnsiTheme="minorHAnsi"/>
          <w:color w:val="000000" w:themeColor="text1"/>
          <w:lang w:val="en-US"/>
        </w:rPr>
        <w:t xml:space="preserve"> Translational Research Center for Gastrointestinal Disorders, </w:t>
      </w:r>
      <w:r w:rsidR="002A4E17" w:rsidRPr="00BA6F83">
        <w:rPr>
          <w:rFonts w:asciiTheme="minorHAnsi" w:hAnsiTheme="minorHAnsi"/>
          <w:color w:val="000000" w:themeColor="text1"/>
          <w:lang w:val="en-US"/>
        </w:rPr>
        <w:t>Mucosal Permeability Lab</w:t>
      </w:r>
      <w:r w:rsidR="0013573A" w:rsidRPr="00BA6F83">
        <w:rPr>
          <w:rFonts w:asciiTheme="minorHAnsi" w:hAnsiTheme="minorHAnsi"/>
          <w:color w:val="000000" w:themeColor="text1"/>
          <w:lang w:val="en-US"/>
        </w:rPr>
        <w:t xml:space="preserve">, </w:t>
      </w:r>
      <w:r w:rsidR="004B3E37" w:rsidRPr="00BA6F83">
        <w:rPr>
          <w:rFonts w:asciiTheme="minorHAnsi" w:hAnsiTheme="minorHAnsi"/>
          <w:color w:val="000000" w:themeColor="text1"/>
          <w:lang w:val="en-US"/>
        </w:rPr>
        <w:t>Leuven, Belgium.</w:t>
      </w:r>
    </w:p>
    <w:p w14:paraId="1A620D20" w14:textId="4B14C61A" w:rsidR="007D02F4" w:rsidRPr="00BA6F83" w:rsidRDefault="00F415F4" w:rsidP="00AA5458">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8</w:t>
      </w:r>
      <w:r w:rsidR="007D02F4" w:rsidRPr="00BA6F83">
        <w:rPr>
          <w:rFonts w:asciiTheme="minorHAnsi" w:hAnsiTheme="minorHAnsi"/>
          <w:color w:val="000000" w:themeColor="text1"/>
          <w:lang w:val="en-US"/>
        </w:rPr>
        <w:t>Division of Pharmacology, Utrecht Institute for Pharmaceutical Sciences, Faculty of Science, Utrecht University, Utrecht, the Netherlands.</w:t>
      </w:r>
    </w:p>
    <w:p w14:paraId="3E9E53AD" w14:textId="6E63CDF1" w:rsidR="00C235CA" w:rsidRPr="00BA6F83" w:rsidRDefault="00F415F4" w:rsidP="00AA5458">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9</w:t>
      </w:r>
      <w:r w:rsidR="00CC60A6" w:rsidRPr="00BA6F83">
        <w:rPr>
          <w:rFonts w:asciiTheme="minorHAnsi" w:hAnsiTheme="minorHAnsi"/>
          <w:color w:val="000000" w:themeColor="text1"/>
          <w:lang w:val="en-US"/>
        </w:rPr>
        <w:t>KU Leuven L</w:t>
      </w:r>
      <w:r w:rsidR="00C235CA" w:rsidRPr="00BA6F83">
        <w:rPr>
          <w:rFonts w:asciiTheme="minorHAnsi" w:hAnsiTheme="minorHAnsi"/>
          <w:color w:val="000000" w:themeColor="text1"/>
          <w:lang w:val="en-US"/>
        </w:rPr>
        <w:t xml:space="preserve">aboratory of Molecular Bacteriology, Department of Microbiology and Immunology, </w:t>
      </w:r>
      <w:proofErr w:type="spellStart"/>
      <w:r w:rsidR="00C235CA" w:rsidRPr="00BA6F83">
        <w:rPr>
          <w:rFonts w:asciiTheme="minorHAnsi" w:hAnsiTheme="minorHAnsi"/>
          <w:color w:val="000000" w:themeColor="text1"/>
          <w:lang w:val="en-US"/>
        </w:rPr>
        <w:t>Rega</w:t>
      </w:r>
      <w:proofErr w:type="spellEnd"/>
      <w:r w:rsidR="00C235CA" w:rsidRPr="00BA6F83">
        <w:rPr>
          <w:rFonts w:asciiTheme="minorHAnsi" w:hAnsiTheme="minorHAnsi"/>
          <w:color w:val="000000" w:themeColor="text1"/>
          <w:lang w:val="en-US"/>
        </w:rPr>
        <w:t xml:space="preserve"> Institute, Leuven, Belgium,</w:t>
      </w:r>
    </w:p>
    <w:p w14:paraId="5AFCDF86" w14:textId="6069738D" w:rsidR="00C235CA" w:rsidRPr="00BA6F83" w:rsidRDefault="00F415F4" w:rsidP="00AA5458">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10</w:t>
      </w:r>
      <w:r w:rsidR="00C235CA" w:rsidRPr="00BA6F83">
        <w:rPr>
          <w:rFonts w:asciiTheme="minorHAnsi" w:hAnsiTheme="minorHAnsi"/>
          <w:color w:val="000000" w:themeColor="text1"/>
          <w:lang w:val="en-US"/>
        </w:rPr>
        <w:t xml:space="preserve">Jeroen </w:t>
      </w:r>
      <w:proofErr w:type="spellStart"/>
      <w:r w:rsidR="00C235CA" w:rsidRPr="00BA6F83">
        <w:rPr>
          <w:rFonts w:asciiTheme="minorHAnsi" w:hAnsiTheme="minorHAnsi"/>
          <w:color w:val="000000" w:themeColor="text1"/>
          <w:lang w:val="en-US"/>
        </w:rPr>
        <w:t>Raes</w:t>
      </w:r>
      <w:proofErr w:type="spellEnd"/>
      <w:r w:rsidR="00C235CA" w:rsidRPr="00BA6F83">
        <w:rPr>
          <w:rFonts w:asciiTheme="minorHAnsi" w:hAnsiTheme="minorHAnsi"/>
          <w:color w:val="000000" w:themeColor="text1"/>
          <w:lang w:val="en-US"/>
        </w:rPr>
        <w:t xml:space="preserve"> Lab, VIB KU Leuven Center for Microbiology, Leuven, Belgium,</w:t>
      </w:r>
    </w:p>
    <w:p w14:paraId="3218030E" w14:textId="5DC8958C" w:rsidR="00F133F6" w:rsidRPr="00BA6F83" w:rsidRDefault="00F133F6"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w:t>
      </w:r>
      <w:r w:rsidR="00F415F4">
        <w:rPr>
          <w:rFonts w:asciiTheme="minorHAnsi" w:hAnsiTheme="minorHAnsi"/>
          <w:color w:val="000000" w:themeColor="text1"/>
          <w:vertAlign w:val="superscript"/>
          <w:lang w:val="en-US"/>
        </w:rPr>
        <w:t>1</w:t>
      </w:r>
      <w:r w:rsidRPr="00BA6F83">
        <w:rPr>
          <w:rFonts w:asciiTheme="minorHAnsi" w:hAnsiTheme="minorHAnsi"/>
          <w:color w:val="000000" w:themeColor="text1"/>
          <w:lang w:val="en-US"/>
        </w:rPr>
        <w:t xml:space="preserve">KU Leuven </w:t>
      </w:r>
      <w:r w:rsidR="0096131B" w:rsidRPr="00BA6F83">
        <w:rPr>
          <w:rFonts w:asciiTheme="minorHAnsi" w:hAnsiTheme="minorHAnsi"/>
          <w:color w:val="000000" w:themeColor="text1"/>
          <w:lang w:val="en-US"/>
        </w:rPr>
        <w:t>D</w:t>
      </w:r>
      <w:r w:rsidRPr="00BA6F83">
        <w:rPr>
          <w:rFonts w:asciiTheme="minorHAnsi" w:hAnsiTheme="minorHAnsi"/>
          <w:color w:val="000000" w:themeColor="text1"/>
          <w:lang w:val="en-US"/>
        </w:rPr>
        <w:t xml:space="preserve">epartment of </w:t>
      </w:r>
      <w:r w:rsidR="0075721E" w:rsidRPr="00BA6F83">
        <w:rPr>
          <w:rFonts w:asciiTheme="minorHAnsi" w:hAnsiTheme="minorHAnsi"/>
          <w:color w:val="000000" w:themeColor="text1"/>
          <w:lang w:val="en-US"/>
        </w:rPr>
        <w:t>Microbiology, Immunology and Transplantation, Allergy and Clinical Immunology Research Group, Leuven, Belgium</w:t>
      </w:r>
      <w:r w:rsidRPr="00BA6F83">
        <w:rPr>
          <w:rFonts w:asciiTheme="minorHAnsi" w:hAnsiTheme="minorHAnsi"/>
          <w:color w:val="000000" w:themeColor="text1"/>
          <w:lang w:val="en-US"/>
        </w:rPr>
        <w:t>.</w:t>
      </w:r>
    </w:p>
    <w:p w14:paraId="6F8829B6" w14:textId="77777777" w:rsidR="00971ABA" w:rsidRPr="00BA6F83" w:rsidRDefault="00971ABA" w:rsidP="00971ABA">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12</w:t>
      </w:r>
      <w:r w:rsidRPr="00BA6F83">
        <w:rPr>
          <w:rFonts w:asciiTheme="minorHAnsi" w:hAnsiTheme="minorHAnsi"/>
          <w:color w:val="000000" w:themeColor="text1"/>
          <w:lang w:val="en-US"/>
        </w:rPr>
        <w:t>Laboratory of Immunoregulation, VIB Center for Inflammation Research, Ghent, Belgium</w:t>
      </w:r>
      <w:r w:rsidR="008173E9"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p>
    <w:p w14:paraId="55B52AA5" w14:textId="77777777" w:rsidR="008173E9" w:rsidRPr="00BA6F83" w:rsidRDefault="00971ABA" w:rsidP="00971ABA">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13</w:t>
      </w:r>
      <w:r w:rsidR="008173E9" w:rsidRPr="00BA6F83">
        <w:rPr>
          <w:rFonts w:asciiTheme="minorHAnsi" w:hAnsiTheme="minorHAnsi"/>
          <w:color w:val="000000" w:themeColor="text1"/>
          <w:lang w:val="en-US"/>
        </w:rPr>
        <w:t>Department of Internal Medicine and Pediatrics, Ghent University, Ghent, Belgium.</w:t>
      </w:r>
    </w:p>
    <w:p w14:paraId="58032628" w14:textId="40702B90" w:rsidR="00971ABA" w:rsidRPr="00BA6F83" w:rsidRDefault="00971ABA" w:rsidP="00971ABA">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4</w:t>
      </w:r>
      <w:r w:rsidRPr="00BA6F83">
        <w:rPr>
          <w:rFonts w:asciiTheme="minorHAnsi" w:hAnsiTheme="minorHAnsi"/>
          <w:color w:val="000000" w:themeColor="text1"/>
          <w:lang w:val="en-US"/>
        </w:rPr>
        <w:t>Department of Pathology, Stanford University School of Medicine, Stanford, CA 94305, USA.</w:t>
      </w:r>
    </w:p>
    <w:p w14:paraId="0BDBB8CE" w14:textId="0D8BBBEF" w:rsidR="00971ABA" w:rsidRPr="00BA6F83" w:rsidRDefault="00971ABA" w:rsidP="00971ABA">
      <w:pPr>
        <w:spacing w:after="120" w:line="240" w:lineRule="auto"/>
        <w:jc w:val="both"/>
        <w:rPr>
          <w:rFonts w:asciiTheme="minorHAnsi" w:hAnsiTheme="minorHAnsi"/>
          <w:color w:val="000000" w:themeColor="text1"/>
          <w:vertAlign w:val="superscript"/>
          <w:lang w:val="en-US"/>
        </w:rPr>
      </w:pPr>
      <w:r w:rsidRPr="00BA6F83">
        <w:rPr>
          <w:rFonts w:asciiTheme="minorHAnsi" w:hAnsiTheme="minorHAnsi"/>
          <w:color w:val="000000" w:themeColor="text1"/>
          <w:vertAlign w:val="superscript"/>
          <w:lang w:val="en-US"/>
        </w:rPr>
        <w:t>1</w:t>
      </w:r>
      <w:r w:rsidR="007664E9">
        <w:rPr>
          <w:rFonts w:asciiTheme="minorHAnsi" w:hAnsiTheme="minorHAnsi"/>
          <w:color w:val="000000" w:themeColor="text1"/>
          <w:vertAlign w:val="superscript"/>
          <w:lang w:val="en-US"/>
        </w:rPr>
        <w:t>5</w:t>
      </w:r>
      <w:r w:rsidRPr="00BA6F83">
        <w:rPr>
          <w:color w:val="000000" w:themeColor="text1"/>
          <w:lang w:val="en-US"/>
        </w:rPr>
        <w:t>Sean N. Parker Center for Allergy and Asthma Research, Stanford University School of Medicine, Stanford, CA 94305, USA.</w:t>
      </w:r>
    </w:p>
    <w:p w14:paraId="074D7C60" w14:textId="1981C51C" w:rsidR="00971ABA" w:rsidRDefault="00971ABA" w:rsidP="00971ABA">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lastRenderedPageBreak/>
        <w:t>1</w:t>
      </w:r>
      <w:r w:rsidR="007664E9">
        <w:rPr>
          <w:rFonts w:asciiTheme="minorHAnsi" w:hAnsiTheme="minorHAnsi"/>
          <w:color w:val="000000" w:themeColor="text1"/>
          <w:vertAlign w:val="superscript"/>
          <w:lang w:val="en-US"/>
        </w:rPr>
        <w:t>6</w:t>
      </w:r>
      <w:r w:rsidRPr="00BA6F83">
        <w:rPr>
          <w:rFonts w:asciiTheme="minorHAnsi" w:hAnsiTheme="minorHAnsi"/>
          <w:color w:val="000000" w:themeColor="text1"/>
          <w:lang w:val="en-US"/>
        </w:rPr>
        <w:t>KU Leuven Department of Pharmaceutical and Pharmacological Sciences, Leuven, Belgium.</w:t>
      </w:r>
    </w:p>
    <w:p w14:paraId="22737B38" w14:textId="538F1B85" w:rsidR="00B9531F" w:rsidRDefault="00B9531F" w:rsidP="00971ABA">
      <w:pPr>
        <w:spacing w:after="120" w:line="240" w:lineRule="auto"/>
        <w:jc w:val="both"/>
        <w:rPr>
          <w:rFonts w:asciiTheme="minorHAnsi" w:hAnsiTheme="minorHAnsi"/>
          <w:lang w:val="en-US"/>
        </w:rPr>
      </w:pPr>
      <w:r w:rsidRPr="0076181C">
        <w:rPr>
          <w:rFonts w:asciiTheme="minorHAnsi" w:hAnsiTheme="minorHAnsi"/>
          <w:color w:val="000000" w:themeColor="text1"/>
          <w:vertAlign w:val="superscript"/>
          <w:lang w:val="en-US"/>
        </w:rPr>
        <w:t>17</w:t>
      </w:r>
      <w:r w:rsidRPr="00C21C76">
        <w:rPr>
          <w:lang w:val="en-US"/>
        </w:rPr>
        <w:t xml:space="preserve">Department of Morphology, </w:t>
      </w:r>
      <w:r w:rsidRPr="00C21C76">
        <w:rPr>
          <w:rFonts w:asciiTheme="minorHAnsi" w:hAnsiTheme="minorHAnsi"/>
          <w:lang w:val="en-US"/>
        </w:rPr>
        <w:t>Biomedical Research Institute, Hasselt University, Hasselt, Belgium</w:t>
      </w:r>
      <w:r>
        <w:rPr>
          <w:rFonts w:asciiTheme="minorHAnsi" w:hAnsiTheme="minorHAnsi"/>
          <w:lang w:val="en-US"/>
        </w:rPr>
        <w:t>.</w:t>
      </w:r>
    </w:p>
    <w:p w14:paraId="341F9AD4" w14:textId="12CCD388" w:rsidR="00630C59" w:rsidRPr="0076202E" w:rsidRDefault="00630C59" w:rsidP="00971ABA">
      <w:pPr>
        <w:spacing w:after="120" w:line="240" w:lineRule="auto"/>
        <w:jc w:val="both"/>
        <w:rPr>
          <w:rFonts w:asciiTheme="minorHAnsi" w:hAnsiTheme="minorHAnsi"/>
          <w:color w:val="000000" w:themeColor="text1"/>
          <w:lang w:val="en-US"/>
        </w:rPr>
      </w:pPr>
      <w:r w:rsidRPr="0076181C">
        <w:rPr>
          <w:rFonts w:asciiTheme="minorHAnsi" w:hAnsiTheme="minorHAnsi"/>
          <w:color w:val="000000" w:themeColor="text1"/>
          <w:vertAlign w:val="superscript"/>
          <w:lang w:val="en-US"/>
        </w:rPr>
        <w:t>18</w:t>
      </w:r>
      <w:r w:rsidRPr="0076202E">
        <w:rPr>
          <w:rFonts w:asciiTheme="minorHAnsi" w:hAnsiTheme="minorHAnsi"/>
          <w:color w:val="000000" w:themeColor="text1"/>
          <w:lang w:val="en-US"/>
        </w:rPr>
        <w:t>Department of Immunology and Inflammation, Imperial College London, London, United Kingdom</w:t>
      </w:r>
    </w:p>
    <w:p w14:paraId="42A91191" w14:textId="01822554" w:rsidR="00F133F6" w:rsidRPr="00BA6F83" w:rsidRDefault="00F133F6"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vertAlign w:val="superscript"/>
          <w:lang w:val="en-US"/>
        </w:rPr>
        <w:t>1</w:t>
      </w:r>
      <w:r w:rsidR="00630C59">
        <w:rPr>
          <w:rFonts w:asciiTheme="minorHAnsi" w:hAnsiTheme="minorHAnsi"/>
          <w:color w:val="000000" w:themeColor="text1"/>
          <w:vertAlign w:val="superscript"/>
          <w:lang w:val="en-US"/>
        </w:rPr>
        <w:t>9</w:t>
      </w:r>
      <w:r w:rsidRPr="00BA6F83">
        <w:rPr>
          <w:rFonts w:asciiTheme="minorHAnsi" w:hAnsiTheme="minorHAnsi"/>
          <w:color w:val="000000" w:themeColor="text1"/>
          <w:lang w:val="en-US"/>
        </w:rPr>
        <w:t>These authors contributed equally to th</w:t>
      </w:r>
      <w:r w:rsidR="00CE4A0A" w:rsidRPr="00BA6F83">
        <w:rPr>
          <w:rFonts w:asciiTheme="minorHAnsi" w:hAnsiTheme="minorHAnsi"/>
          <w:color w:val="000000" w:themeColor="text1"/>
          <w:lang w:val="en-US"/>
        </w:rPr>
        <w:t>is</w:t>
      </w:r>
      <w:r w:rsidRPr="00BA6F83">
        <w:rPr>
          <w:rFonts w:asciiTheme="minorHAnsi" w:hAnsiTheme="minorHAnsi"/>
          <w:color w:val="000000" w:themeColor="text1"/>
          <w:lang w:val="en-US"/>
        </w:rPr>
        <w:t xml:space="preserve"> manuscript.</w:t>
      </w:r>
    </w:p>
    <w:p w14:paraId="09C257F2" w14:textId="391B6164" w:rsidR="00315F86" w:rsidRPr="0076181C" w:rsidRDefault="00B9531F" w:rsidP="00315F86">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2</w:t>
      </w:r>
      <w:r w:rsidR="003E035D">
        <w:rPr>
          <w:rFonts w:asciiTheme="minorHAnsi" w:hAnsiTheme="minorHAnsi"/>
          <w:color w:val="000000" w:themeColor="text1"/>
          <w:vertAlign w:val="superscript"/>
          <w:lang w:val="en-US"/>
        </w:rPr>
        <w:t>0</w:t>
      </w:r>
      <w:r w:rsidR="00315F86" w:rsidRPr="00BA6F83">
        <w:rPr>
          <w:rFonts w:asciiTheme="minorHAnsi" w:hAnsiTheme="minorHAnsi"/>
          <w:color w:val="000000" w:themeColor="text1"/>
          <w:lang w:val="en-US"/>
        </w:rPr>
        <w:t>These authors contributed equally to this manuscript.</w:t>
      </w:r>
      <w:r w:rsidR="00315F86" w:rsidRPr="00315F86">
        <w:rPr>
          <w:rFonts w:asciiTheme="minorHAnsi" w:hAnsiTheme="minorHAnsi"/>
          <w:color w:val="000000" w:themeColor="text1"/>
          <w:vertAlign w:val="superscript"/>
          <w:lang w:val="en-US"/>
        </w:rPr>
        <w:t xml:space="preserve"> </w:t>
      </w:r>
    </w:p>
    <w:p w14:paraId="40AB61FF" w14:textId="4DE5120D" w:rsidR="00315F86" w:rsidRPr="00BA6F83" w:rsidRDefault="00315F86" w:rsidP="00315F86">
      <w:pPr>
        <w:spacing w:after="120" w:line="240" w:lineRule="auto"/>
        <w:jc w:val="both"/>
        <w:rPr>
          <w:rFonts w:asciiTheme="minorHAnsi" w:hAnsiTheme="minorHAnsi"/>
          <w:color w:val="000000" w:themeColor="text1"/>
          <w:lang w:val="en-US"/>
        </w:rPr>
      </w:pPr>
      <w:r>
        <w:rPr>
          <w:rFonts w:asciiTheme="minorHAnsi" w:hAnsiTheme="minorHAnsi"/>
          <w:color w:val="000000" w:themeColor="text1"/>
          <w:vertAlign w:val="superscript"/>
          <w:lang w:val="en-US"/>
        </w:rPr>
        <w:t>21</w:t>
      </w:r>
      <w:r w:rsidRPr="00BA6F83">
        <w:rPr>
          <w:rFonts w:asciiTheme="minorHAnsi" w:hAnsiTheme="minorHAnsi"/>
          <w:color w:val="000000" w:themeColor="text1"/>
          <w:lang w:val="en-US"/>
        </w:rPr>
        <w:t>These authors share senior authorship.</w:t>
      </w:r>
    </w:p>
    <w:p w14:paraId="70865007" w14:textId="09DB5C9D" w:rsidR="00D82934" w:rsidRPr="00BA6F83" w:rsidRDefault="00D82934" w:rsidP="00AA5458">
      <w:pPr>
        <w:spacing w:after="120" w:line="240" w:lineRule="auto"/>
        <w:jc w:val="both"/>
        <w:rPr>
          <w:rFonts w:asciiTheme="minorHAnsi" w:hAnsiTheme="minorHAnsi"/>
          <w:color w:val="000000" w:themeColor="text1"/>
          <w:lang w:val="en-US"/>
        </w:rPr>
      </w:pPr>
    </w:p>
    <w:p w14:paraId="6BB90A03" w14:textId="77777777" w:rsidR="004E3BEA" w:rsidRPr="00BA6F83" w:rsidRDefault="004E3BEA" w:rsidP="00AA5458">
      <w:pPr>
        <w:spacing w:after="120" w:line="240" w:lineRule="auto"/>
        <w:jc w:val="both"/>
        <w:rPr>
          <w:rFonts w:asciiTheme="minorHAnsi" w:hAnsiTheme="minorHAnsi"/>
          <w:b/>
          <w:color w:val="000000" w:themeColor="text1"/>
          <w:u w:val="single"/>
          <w:lang w:val="en-US"/>
        </w:rPr>
      </w:pPr>
    </w:p>
    <w:p w14:paraId="34C1FD77" w14:textId="77777777" w:rsidR="00C2335F" w:rsidRPr="00BA6F83" w:rsidRDefault="00DE010E" w:rsidP="00AA5458">
      <w:pPr>
        <w:spacing w:after="120" w:line="240" w:lineRule="auto"/>
        <w:jc w:val="both"/>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t>*</w:t>
      </w:r>
      <w:r w:rsidR="008C6D9A" w:rsidRPr="00BA6F83">
        <w:rPr>
          <w:rFonts w:asciiTheme="minorHAnsi" w:hAnsiTheme="minorHAnsi"/>
          <w:b/>
          <w:color w:val="000000" w:themeColor="text1"/>
          <w:u w:val="single"/>
          <w:lang w:val="en-US"/>
        </w:rPr>
        <w:t>CORRESPONDING AUTHOR:</w:t>
      </w:r>
    </w:p>
    <w:p w14:paraId="1125991F" w14:textId="77777777" w:rsidR="00C2335F" w:rsidRPr="00BA6F83" w:rsidRDefault="00C2335F" w:rsidP="00AA5458">
      <w:pPr>
        <w:spacing w:after="120" w:line="240" w:lineRule="auto"/>
        <w:jc w:val="both"/>
        <w:rPr>
          <w:rFonts w:asciiTheme="minorHAnsi" w:hAnsiTheme="minorHAnsi"/>
          <w:b/>
          <w:color w:val="000000" w:themeColor="text1"/>
          <w:lang w:val="en-US"/>
        </w:rPr>
      </w:pPr>
      <w:r w:rsidRPr="00BA6F83">
        <w:rPr>
          <w:rFonts w:asciiTheme="minorHAnsi" w:hAnsiTheme="minorHAnsi"/>
          <w:color w:val="000000" w:themeColor="text1"/>
          <w:lang w:val="en-US"/>
        </w:rPr>
        <w:t xml:space="preserve">Prof. Dr. </w:t>
      </w:r>
      <w:r w:rsidRPr="00BA6F83">
        <w:rPr>
          <w:rFonts w:asciiTheme="minorHAnsi" w:hAnsiTheme="minorHAnsi"/>
          <w:b/>
          <w:color w:val="000000" w:themeColor="text1"/>
          <w:lang w:val="en-US"/>
        </w:rPr>
        <w:t>Guy E. Boeckxstaens</w:t>
      </w:r>
    </w:p>
    <w:p w14:paraId="6A6FFA66" w14:textId="77777777" w:rsidR="00737CED" w:rsidRPr="00BA6F83" w:rsidRDefault="00737CED"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lang w:val="en-US"/>
        </w:rPr>
        <w:t>Department of Chronic Diseases, Metabolism and Ageing</w:t>
      </w:r>
      <w:r w:rsidR="002F2DD5"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Translational Research Center for G</w:t>
      </w:r>
      <w:r w:rsidR="00C447D6" w:rsidRPr="00BA6F83">
        <w:rPr>
          <w:rFonts w:asciiTheme="minorHAnsi" w:hAnsiTheme="minorHAnsi"/>
          <w:color w:val="000000" w:themeColor="text1"/>
          <w:lang w:val="en-US"/>
        </w:rPr>
        <w:t xml:space="preserve">astrointestinal </w:t>
      </w:r>
      <w:r w:rsidRPr="00BA6F83">
        <w:rPr>
          <w:rFonts w:asciiTheme="minorHAnsi" w:hAnsiTheme="minorHAnsi"/>
          <w:color w:val="000000" w:themeColor="text1"/>
          <w:lang w:val="en-US"/>
        </w:rPr>
        <w:t>Disorders (TARGID)</w:t>
      </w:r>
      <w:r w:rsidR="002F2DD5"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University Hospital of Leuven, KU Leuven</w:t>
      </w:r>
    </w:p>
    <w:p w14:paraId="64E60779" w14:textId="77777777" w:rsidR="00737CED" w:rsidRPr="00BA6F83" w:rsidRDefault="00737CED" w:rsidP="00AA5458">
      <w:pPr>
        <w:spacing w:after="120" w:line="240" w:lineRule="auto"/>
        <w:jc w:val="both"/>
        <w:rPr>
          <w:rFonts w:asciiTheme="minorHAnsi" w:hAnsiTheme="minorHAnsi"/>
          <w:color w:val="000000" w:themeColor="text1"/>
          <w:lang w:val="en-US"/>
        </w:rPr>
      </w:pPr>
      <w:proofErr w:type="spellStart"/>
      <w:r w:rsidRPr="00BA6F83">
        <w:rPr>
          <w:rFonts w:asciiTheme="minorHAnsi" w:hAnsiTheme="minorHAnsi"/>
          <w:color w:val="000000" w:themeColor="text1"/>
          <w:lang w:val="en-US"/>
        </w:rPr>
        <w:t>Herestraat</w:t>
      </w:r>
      <w:proofErr w:type="spellEnd"/>
      <w:r w:rsidRPr="00BA6F83">
        <w:rPr>
          <w:rFonts w:asciiTheme="minorHAnsi" w:hAnsiTheme="minorHAnsi"/>
          <w:color w:val="000000" w:themeColor="text1"/>
          <w:lang w:val="en-US"/>
        </w:rPr>
        <w:t xml:space="preserve"> 49, 3000 Leuven, Belgium</w:t>
      </w:r>
    </w:p>
    <w:p w14:paraId="67B9A6CA" w14:textId="77777777" w:rsidR="00D82934" w:rsidRPr="00BA6F83" w:rsidRDefault="00737CED" w:rsidP="00AA5458">
      <w:pPr>
        <w:spacing w:after="120" w:line="240" w:lineRule="auto"/>
        <w:jc w:val="both"/>
        <w:rPr>
          <w:rFonts w:asciiTheme="minorHAnsi" w:hAnsiTheme="minorHAnsi"/>
          <w:color w:val="000000" w:themeColor="text1"/>
          <w:lang w:val="en-US"/>
        </w:rPr>
      </w:pPr>
      <w:r w:rsidRPr="00BA6F83">
        <w:rPr>
          <w:rFonts w:asciiTheme="minorHAnsi" w:hAnsiTheme="minorHAnsi"/>
          <w:color w:val="000000" w:themeColor="text1"/>
          <w:lang w:val="en-US"/>
        </w:rPr>
        <w:t>Tel: secretary +32-16-330671 / +32-16-330237</w:t>
      </w:r>
    </w:p>
    <w:p w14:paraId="58407A8F" w14:textId="77777777" w:rsidR="001D7AB8" w:rsidRPr="00BA6F83" w:rsidRDefault="00737CED" w:rsidP="00AA5458">
      <w:pPr>
        <w:spacing w:after="120" w:line="240" w:lineRule="auto"/>
        <w:jc w:val="both"/>
        <w:rPr>
          <w:rFonts w:asciiTheme="minorHAnsi" w:hAnsiTheme="minorHAnsi"/>
          <w:color w:val="000000" w:themeColor="text1"/>
          <w:u w:val="single"/>
          <w:lang w:val="en-US"/>
        </w:rPr>
      </w:pPr>
      <w:r w:rsidRPr="00BA6F83">
        <w:rPr>
          <w:rFonts w:asciiTheme="minorHAnsi" w:hAnsiTheme="minorHAnsi"/>
          <w:color w:val="000000" w:themeColor="text1"/>
          <w:lang w:val="en-US"/>
        </w:rPr>
        <w:t>E-mail address:</w:t>
      </w:r>
      <w:r w:rsidRPr="00BA6F83">
        <w:rPr>
          <w:color w:val="000000" w:themeColor="text1"/>
          <w:lang w:val="en-US"/>
        </w:rPr>
        <w:t xml:space="preserve"> </w:t>
      </w:r>
      <w:hyperlink r:id="rId7" w:history="1">
        <w:r w:rsidR="001D7AB8" w:rsidRPr="00BA6F83">
          <w:rPr>
            <w:rStyle w:val="Hyperlink"/>
            <w:rFonts w:asciiTheme="minorHAnsi" w:hAnsiTheme="minorHAnsi"/>
            <w:color w:val="000000" w:themeColor="text1"/>
            <w:lang w:val="en-US"/>
          </w:rPr>
          <w:t>guy.boeckxstaens@kuleuven.be</w:t>
        </w:r>
      </w:hyperlink>
    </w:p>
    <w:p w14:paraId="281F9A4B" w14:textId="77777777" w:rsidR="005D3733" w:rsidRPr="00BA6F83" w:rsidRDefault="005D3733">
      <w:pPr>
        <w:spacing w:after="160" w:line="259" w:lineRule="auto"/>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br w:type="page"/>
      </w:r>
    </w:p>
    <w:p w14:paraId="61CEA9CE" w14:textId="29AB78DB" w:rsidR="00851BEA" w:rsidRPr="00BA6F83" w:rsidRDefault="00482753" w:rsidP="00AA5458">
      <w:pPr>
        <w:spacing w:after="120" w:line="480" w:lineRule="auto"/>
        <w:jc w:val="both"/>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lastRenderedPageBreak/>
        <w:t>ABSTRACT</w:t>
      </w:r>
    </w:p>
    <w:p w14:paraId="50552910" w14:textId="58DA43BD" w:rsidR="0051622B" w:rsidRPr="00BA6F83" w:rsidRDefault="0060478C" w:rsidP="00AA5458">
      <w:pPr>
        <w:spacing w:after="120" w:line="480" w:lineRule="auto"/>
        <w:jc w:val="both"/>
        <w:rPr>
          <w:rFonts w:asciiTheme="minorHAnsi" w:hAnsiTheme="minorHAnsi"/>
          <w:color w:val="000000" w:themeColor="text1"/>
          <w:lang w:val="en-US"/>
        </w:rPr>
      </w:pPr>
      <w:r w:rsidRPr="00BA6F83">
        <w:rPr>
          <w:color w:val="000000" w:themeColor="text1"/>
          <w:lang w:val="en-US" w:eastAsia="nl-BE"/>
        </w:rPr>
        <w:t>Ingestion of food provides nutrients</w:t>
      </w:r>
      <w:r w:rsidR="00B5123B">
        <w:rPr>
          <w:color w:val="000000" w:themeColor="text1"/>
          <w:lang w:val="en-US" w:eastAsia="nl-BE"/>
        </w:rPr>
        <w:t xml:space="preserve"> critical for life/survival</w:t>
      </w:r>
      <w:r w:rsidRPr="00BA6F83">
        <w:rPr>
          <w:color w:val="000000" w:themeColor="text1"/>
          <w:lang w:val="en-US" w:eastAsia="nl-BE"/>
        </w:rPr>
        <w:t>,</w:t>
      </w:r>
      <w:r w:rsidR="00671B7A">
        <w:rPr>
          <w:color w:val="000000" w:themeColor="text1"/>
          <w:lang w:val="en-US" w:eastAsia="nl-BE"/>
        </w:rPr>
        <w:t xml:space="preserve"> but</w:t>
      </w:r>
      <w:r w:rsidRPr="00BA6F83">
        <w:rPr>
          <w:color w:val="000000" w:themeColor="text1"/>
          <w:lang w:val="en-US" w:eastAsia="nl-BE"/>
        </w:rPr>
        <w:t xml:space="preserve"> also represents an </w:t>
      </w:r>
      <w:r w:rsidR="00C90F1F" w:rsidRPr="00BA6F83">
        <w:rPr>
          <w:color w:val="000000" w:themeColor="text1"/>
          <w:lang w:val="en-US" w:eastAsia="nl-BE"/>
        </w:rPr>
        <w:t xml:space="preserve">important social element in </w:t>
      </w:r>
      <w:r w:rsidRPr="00BA6F83">
        <w:rPr>
          <w:color w:val="000000" w:themeColor="text1"/>
          <w:lang w:val="en-US" w:eastAsia="nl-BE"/>
        </w:rPr>
        <w:t xml:space="preserve">daily life. </w:t>
      </w:r>
      <w:r w:rsidR="00C90F1F" w:rsidRPr="00BA6F83">
        <w:rPr>
          <w:color w:val="000000" w:themeColor="text1"/>
          <w:lang w:val="en-US" w:eastAsia="nl-BE"/>
        </w:rPr>
        <w:t>U</w:t>
      </w:r>
      <w:r w:rsidRPr="00BA6F83">
        <w:rPr>
          <w:color w:val="000000" w:themeColor="text1"/>
          <w:lang w:val="en-US" w:eastAsia="nl-BE"/>
        </w:rPr>
        <w:t>p to 20% of the world population</w:t>
      </w:r>
      <w:r w:rsidR="00160B68" w:rsidRPr="00BA6F83">
        <w:rPr>
          <w:color w:val="000000" w:themeColor="text1"/>
          <w:lang w:val="en-US" w:eastAsia="nl-BE"/>
        </w:rPr>
        <w:t>,</w:t>
      </w:r>
      <w:r w:rsidRPr="00BA6F83">
        <w:rPr>
          <w:color w:val="000000" w:themeColor="text1"/>
          <w:lang w:val="en-US" w:eastAsia="nl-BE"/>
        </w:rPr>
        <w:t xml:space="preserve"> </w:t>
      </w:r>
      <w:r w:rsidR="00C90F1F" w:rsidRPr="00BA6F83">
        <w:rPr>
          <w:color w:val="000000" w:themeColor="text1"/>
          <w:lang w:val="en-US" w:eastAsia="nl-BE"/>
        </w:rPr>
        <w:t>however</w:t>
      </w:r>
      <w:r w:rsidR="00160B68" w:rsidRPr="00BA6F83">
        <w:rPr>
          <w:color w:val="000000" w:themeColor="text1"/>
          <w:lang w:val="en-US" w:eastAsia="nl-BE"/>
        </w:rPr>
        <w:t>,</w:t>
      </w:r>
      <w:r w:rsidR="00C90F1F" w:rsidRPr="00BA6F83">
        <w:rPr>
          <w:color w:val="000000" w:themeColor="text1"/>
          <w:lang w:val="en-US" w:eastAsia="nl-BE"/>
        </w:rPr>
        <w:t xml:space="preserve"> </w:t>
      </w:r>
      <w:r w:rsidRPr="00BA6F83">
        <w:rPr>
          <w:color w:val="000000" w:themeColor="text1"/>
          <w:lang w:val="en-US" w:eastAsia="nl-BE"/>
        </w:rPr>
        <w:t xml:space="preserve">develops gastrointestinal symptoms following a meal </w:t>
      </w:r>
      <w:r w:rsidR="00671B7A">
        <w:rPr>
          <w:color w:val="000000" w:themeColor="text1"/>
          <w:lang w:val="en-US" w:eastAsia="nl-BE"/>
        </w:rPr>
        <w:t>leading</w:t>
      </w:r>
      <w:r w:rsidR="00671B7A" w:rsidRPr="00BA6F83">
        <w:rPr>
          <w:color w:val="000000" w:themeColor="text1"/>
          <w:lang w:val="en-US" w:eastAsia="nl-BE"/>
        </w:rPr>
        <w:t xml:space="preserve"> </w:t>
      </w:r>
      <w:r w:rsidRPr="00BA6F83">
        <w:rPr>
          <w:color w:val="000000" w:themeColor="text1"/>
          <w:lang w:val="en-US" w:eastAsia="nl-BE"/>
        </w:rPr>
        <w:t>to decreased quality of life, significant morbidity and high medical costs. Although the interest of both the scientific and lay community has increased exponentially with a worldwide introduction of gluten</w:t>
      </w:r>
      <w:r w:rsidR="00962E09">
        <w:rPr>
          <w:color w:val="000000" w:themeColor="text1"/>
          <w:lang w:val="en-US" w:eastAsia="nl-BE"/>
        </w:rPr>
        <w:t>-</w:t>
      </w:r>
      <w:r w:rsidRPr="00BA6F83">
        <w:rPr>
          <w:color w:val="000000" w:themeColor="text1"/>
          <w:lang w:val="en-US" w:eastAsia="nl-BE"/>
        </w:rPr>
        <w:t xml:space="preserve">free </w:t>
      </w:r>
      <w:r w:rsidR="00B863D6" w:rsidRPr="00BA6F83">
        <w:rPr>
          <w:color w:val="000000" w:themeColor="text1"/>
          <w:lang w:val="en-US" w:eastAsia="nl-BE"/>
        </w:rPr>
        <w:t xml:space="preserve">and other </w:t>
      </w:r>
      <w:r w:rsidRPr="00BA6F83">
        <w:rPr>
          <w:color w:val="000000" w:themeColor="text1"/>
          <w:lang w:val="en-US" w:eastAsia="nl-BE"/>
        </w:rPr>
        <w:t>diets, the underlying mechanisms leading to food-induced abdominal complaints remain largely unknown</w:t>
      </w:r>
      <w:r w:rsidR="004A6792" w:rsidRPr="00BA6F83">
        <w:rPr>
          <w:rFonts w:asciiTheme="minorHAnsi" w:hAnsiTheme="minorHAnsi"/>
          <w:color w:val="000000" w:themeColor="text1"/>
          <w:lang w:val="en-US"/>
        </w:rPr>
        <w:t>. Here we show in mice that a bacterial infection</w:t>
      </w:r>
      <w:r w:rsidR="00705CAE" w:rsidRPr="00BA6F83">
        <w:rPr>
          <w:rFonts w:asciiTheme="minorHAnsi" w:hAnsiTheme="minorHAnsi"/>
          <w:color w:val="000000" w:themeColor="text1"/>
          <w:lang w:val="en-US"/>
        </w:rPr>
        <w:t xml:space="preserve"> and</w:t>
      </w:r>
      <w:r w:rsidR="004A6792" w:rsidRPr="00BA6F83">
        <w:rPr>
          <w:rFonts w:asciiTheme="minorHAnsi" w:hAnsiTheme="minorHAnsi"/>
          <w:color w:val="000000" w:themeColor="text1"/>
          <w:lang w:val="en-US"/>
        </w:rPr>
        <w:t xml:space="preserve"> bacterial toxins can </w:t>
      </w:r>
      <w:r w:rsidR="00705CAE" w:rsidRPr="00BA6F83">
        <w:rPr>
          <w:rFonts w:asciiTheme="minorHAnsi" w:hAnsiTheme="minorHAnsi"/>
          <w:color w:val="000000" w:themeColor="text1"/>
          <w:lang w:val="en-US"/>
        </w:rPr>
        <w:t>t</w:t>
      </w:r>
      <w:r w:rsidR="004A6792" w:rsidRPr="00BA6F83">
        <w:rPr>
          <w:rFonts w:asciiTheme="minorHAnsi" w:hAnsiTheme="minorHAnsi"/>
          <w:color w:val="000000" w:themeColor="text1"/>
          <w:lang w:val="en-US"/>
        </w:rPr>
        <w:t>rigger a</w:t>
      </w:r>
      <w:r w:rsidR="00C90F1F" w:rsidRPr="00BA6F83">
        <w:rPr>
          <w:rFonts w:asciiTheme="minorHAnsi" w:hAnsiTheme="minorHAnsi"/>
          <w:color w:val="000000" w:themeColor="text1"/>
          <w:lang w:val="en-US"/>
        </w:rPr>
        <w:t>n</w:t>
      </w:r>
      <w:r w:rsidR="004A6792" w:rsidRPr="00BA6F83">
        <w:rPr>
          <w:rFonts w:asciiTheme="minorHAnsi" w:hAnsiTheme="minorHAnsi"/>
          <w:color w:val="000000" w:themeColor="text1"/>
          <w:lang w:val="en-US"/>
        </w:rPr>
        <w:t xml:space="preserve"> immune response leading to </w:t>
      </w:r>
      <w:r w:rsidR="00705CAE" w:rsidRPr="00BA6F83">
        <w:rPr>
          <w:rFonts w:asciiTheme="minorHAnsi" w:hAnsiTheme="minorHAnsi"/>
          <w:color w:val="000000" w:themeColor="text1"/>
          <w:lang w:val="en-US"/>
        </w:rPr>
        <w:t xml:space="preserve">dietary </w:t>
      </w:r>
      <w:r w:rsidR="004A6792" w:rsidRPr="00BA6F83">
        <w:rPr>
          <w:rFonts w:asciiTheme="minorHAnsi" w:hAnsiTheme="minorHAnsi"/>
          <w:color w:val="000000" w:themeColor="text1"/>
          <w:lang w:val="en-US"/>
        </w:rPr>
        <w:t xml:space="preserve">antigen-specific </w:t>
      </w:r>
      <w:proofErr w:type="spellStart"/>
      <w:r w:rsidR="004A6792" w:rsidRPr="00BA6F83">
        <w:rPr>
          <w:rFonts w:asciiTheme="minorHAnsi" w:hAnsiTheme="minorHAnsi"/>
          <w:color w:val="000000" w:themeColor="text1"/>
          <w:lang w:val="en-US"/>
        </w:rPr>
        <w:t>IgE</w:t>
      </w:r>
      <w:proofErr w:type="spellEnd"/>
      <w:r w:rsidR="004A6792" w:rsidRPr="00BA6F83">
        <w:rPr>
          <w:rFonts w:asciiTheme="minorHAnsi" w:hAnsiTheme="minorHAnsi"/>
          <w:color w:val="000000" w:themeColor="text1"/>
          <w:lang w:val="en-US"/>
        </w:rPr>
        <w:t xml:space="preserve"> antibodies</w:t>
      </w:r>
      <w:r w:rsidR="00C90F1F" w:rsidRPr="00BA6F83">
        <w:rPr>
          <w:rFonts w:asciiTheme="minorHAnsi" w:hAnsiTheme="minorHAnsi"/>
          <w:color w:val="000000" w:themeColor="text1"/>
          <w:lang w:val="en-US"/>
        </w:rPr>
        <w:t>, a mechanism confined to the intestine</w:t>
      </w:r>
      <w:r w:rsidR="004A6792" w:rsidRPr="00BA6F83">
        <w:rPr>
          <w:rFonts w:asciiTheme="minorHAnsi" w:hAnsiTheme="minorHAnsi"/>
          <w:color w:val="000000" w:themeColor="text1"/>
          <w:lang w:val="en-US"/>
        </w:rPr>
        <w:t xml:space="preserve">. Subsequent oral ingestion of the respective </w:t>
      </w:r>
      <w:r w:rsidR="00705CAE" w:rsidRPr="00BA6F83">
        <w:rPr>
          <w:rFonts w:asciiTheme="minorHAnsi" w:hAnsiTheme="minorHAnsi"/>
          <w:color w:val="000000" w:themeColor="text1"/>
          <w:lang w:val="en-US"/>
        </w:rPr>
        <w:t xml:space="preserve">dietary </w:t>
      </w:r>
      <w:r w:rsidR="004A6792" w:rsidRPr="00BA6F83">
        <w:rPr>
          <w:rFonts w:asciiTheme="minorHAnsi" w:hAnsiTheme="minorHAnsi"/>
          <w:color w:val="000000" w:themeColor="text1"/>
          <w:lang w:val="en-US"/>
        </w:rPr>
        <w:t xml:space="preserve">antigen results in increased visceral pain via an </w:t>
      </w:r>
      <w:proofErr w:type="spellStart"/>
      <w:r w:rsidR="004A6792" w:rsidRPr="00BA6F83">
        <w:rPr>
          <w:rFonts w:asciiTheme="minorHAnsi" w:hAnsiTheme="minorHAnsi"/>
          <w:color w:val="000000" w:themeColor="text1"/>
          <w:lang w:val="en-US"/>
        </w:rPr>
        <w:t>IgE</w:t>
      </w:r>
      <w:proofErr w:type="spellEnd"/>
      <w:r w:rsidR="004A6792" w:rsidRPr="00BA6F83">
        <w:rPr>
          <w:rFonts w:asciiTheme="minorHAnsi" w:hAnsiTheme="minorHAnsi"/>
          <w:color w:val="000000" w:themeColor="text1"/>
          <w:lang w:val="en-US"/>
        </w:rPr>
        <w:t xml:space="preserve">- and mast cell-dependent mechanism. </w:t>
      </w:r>
      <w:r w:rsidR="00B863D6" w:rsidRPr="00BA6F83">
        <w:rPr>
          <w:rFonts w:asciiTheme="minorHAnsi" w:hAnsiTheme="minorHAnsi"/>
          <w:color w:val="000000" w:themeColor="text1"/>
          <w:lang w:val="en-US"/>
        </w:rPr>
        <w:t>We show that a</w:t>
      </w:r>
      <w:r w:rsidR="00705CAE" w:rsidRPr="00BA6F83">
        <w:rPr>
          <w:rFonts w:asciiTheme="minorHAnsi" w:hAnsiTheme="minorHAnsi"/>
          <w:color w:val="000000" w:themeColor="text1"/>
          <w:lang w:val="en-US"/>
        </w:rPr>
        <w:t xml:space="preserve">berrant pain </w:t>
      </w:r>
      <w:r w:rsidR="00B863D6" w:rsidRPr="00BA6F83">
        <w:rPr>
          <w:rFonts w:asciiTheme="minorHAnsi" w:hAnsiTheme="minorHAnsi"/>
          <w:color w:val="000000" w:themeColor="text1"/>
          <w:lang w:val="en-US"/>
        </w:rPr>
        <w:t>signaling</w:t>
      </w:r>
      <w:r w:rsidR="00705CAE" w:rsidRPr="00BA6F83">
        <w:rPr>
          <w:rFonts w:asciiTheme="minorHAnsi" w:hAnsiTheme="minorHAnsi"/>
          <w:color w:val="000000" w:themeColor="text1"/>
          <w:lang w:val="en-US"/>
        </w:rPr>
        <w:t xml:space="preserve"> results from histamine</w:t>
      </w:r>
      <w:r w:rsidR="00B863D6" w:rsidRPr="00BA6F83">
        <w:rPr>
          <w:rFonts w:asciiTheme="minorHAnsi" w:hAnsiTheme="minorHAnsi"/>
          <w:color w:val="000000" w:themeColor="text1"/>
          <w:lang w:val="en-US"/>
        </w:rPr>
        <w:t xml:space="preserve"> 1 receptor-mediated </w:t>
      </w:r>
      <w:r w:rsidR="00705CAE" w:rsidRPr="00BA6F83">
        <w:rPr>
          <w:rFonts w:asciiTheme="minorHAnsi" w:hAnsiTheme="minorHAnsi"/>
          <w:color w:val="000000" w:themeColor="text1"/>
          <w:lang w:val="en-US"/>
        </w:rPr>
        <w:t>sensitization</w:t>
      </w:r>
      <w:r w:rsidR="009858FB">
        <w:rPr>
          <w:rFonts w:asciiTheme="minorHAnsi" w:hAnsiTheme="minorHAnsi"/>
          <w:color w:val="000000" w:themeColor="text1"/>
          <w:lang w:val="en-US"/>
        </w:rPr>
        <w:t xml:space="preserve"> of visceral afferents</w:t>
      </w:r>
      <w:r w:rsidR="00B863D6" w:rsidRPr="00BA6F83">
        <w:rPr>
          <w:rFonts w:asciiTheme="minorHAnsi" w:hAnsiTheme="minorHAnsi"/>
          <w:color w:val="000000" w:themeColor="text1"/>
          <w:lang w:val="en-US"/>
        </w:rPr>
        <w:t>.</w:t>
      </w:r>
      <w:r w:rsidR="00705CAE" w:rsidRPr="00BA6F83">
        <w:rPr>
          <w:rFonts w:asciiTheme="minorHAnsi" w:hAnsiTheme="minorHAnsi"/>
          <w:color w:val="000000" w:themeColor="text1"/>
          <w:lang w:val="en-US"/>
        </w:rPr>
        <w:t xml:space="preserve"> </w:t>
      </w:r>
      <w:r w:rsidR="00962E09">
        <w:rPr>
          <w:rFonts w:asciiTheme="minorHAnsi" w:hAnsiTheme="minorHAnsi"/>
          <w:color w:val="000000" w:themeColor="text1"/>
          <w:lang w:val="en-US"/>
        </w:rPr>
        <w:t>Moreover, i</w:t>
      </w:r>
      <w:r w:rsidR="004A6792" w:rsidRPr="00BA6F83">
        <w:rPr>
          <w:rFonts w:asciiTheme="minorHAnsi" w:hAnsiTheme="minorHAnsi"/>
          <w:color w:val="000000" w:themeColor="text1"/>
          <w:lang w:val="en-US"/>
        </w:rPr>
        <w:t>n patients</w:t>
      </w:r>
      <w:r w:rsidR="00AE15D7" w:rsidRPr="00BA6F83">
        <w:rPr>
          <w:rFonts w:asciiTheme="minorHAnsi" w:hAnsiTheme="minorHAnsi"/>
          <w:color w:val="000000" w:themeColor="text1"/>
          <w:lang w:val="en-US"/>
        </w:rPr>
        <w:t xml:space="preserve"> with irritable bowel syndrome (IBS)</w:t>
      </w:r>
      <w:r w:rsidR="004A6792" w:rsidRPr="00BA6F83">
        <w:rPr>
          <w:rFonts w:asciiTheme="minorHAnsi" w:hAnsiTheme="minorHAnsi"/>
          <w:color w:val="000000" w:themeColor="text1"/>
          <w:lang w:val="en-US"/>
        </w:rPr>
        <w:t xml:space="preserve">, </w:t>
      </w:r>
      <w:r w:rsidR="00BD7ABF">
        <w:rPr>
          <w:rFonts w:asciiTheme="minorHAnsi" w:hAnsiTheme="minorHAnsi"/>
          <w:color w:val="000000" w:themeColor="text1"/>
          <w:lang w:val="en-US"/>
        </w:rPr>
        <w:t xml:space="preserve">we also show that </w:t>
      </w:r>
      <w:r w:rsidR="004A6792" w:rsidRPr="00BA6F83">
        <w:rPr>
          <w:rFonts w:asciiTheme="minorHAnsi" w:hAnsiTheme="minorHAnsi"/>
          <w:color w:val="000000" w:themeColor="text1"/>
          <w:lang w:val="en-US"/>
        </w:rPr>
        <w:t xml:space="preserve">local injection of food antigens (gluten, wheat, soy and milk) into the rectosigmoid induced local edema and mast cell activation. </w:t>
      </w:r>
      <w:r w:rsidR="005633BC" w:rsidRPr="00BA6F83">
        <w:rPr>
          <w:rFonts w:asciiTheme="minorHAnsi" w:hAnsiTheme="minorHAnsi"/>
          <w:color w:val="000000" w:themeColor="text1"/>
          <w:lang w:val="en-US"/>
        </w:rPr>
        <w:t>Hence, w</w:t>
      </w:r>
      <w:r w:rsidR="004A6792" w:rsidRPr="00BA6F83">
        <w:rPr>
          <w:rFonts w:asciiTheme="minorHAnsi" w:hAnsiTheme="minorHAnsi"/>
          <w:color w:val="000000" w:themeColor="text1"/>
          <w:lang w:val="en-US"/>
        </w:rPr>
        <w:t xml:space="preserve">e </w:t>
      </w:r>
      <w:r w:rsidR="00095F6E" w:rsidRPr="00BA6F83">
        <w:rPr>
          <w:rFonts w:asciiTheme="minorHAnsi" w:hAnsiTheme="minorHAnsi"/>
          <w:color w:val="000000" w:themeColor="text1"/>
          <w:lang w:val="en-US"/>
        </w:rPr>
        <w:t xml:space="preserve">have </w:t>
      </w:r>
      <w:r w:rsidR="005633BC" w:rsidRPr="00BA6F83">
        <w:rPr>
          <w:rFonts w:asciiTheme="minorHAnsi" w:hAnsiTheme="minorHAnsi"/>
          <w:color w:val="000000" w:themeColor="text1"/>
          <w:lang w:val="en-US"/>
        </w:rPr>
        <w:t>characterize</w:t>
      </w:r>
      <w:r w:rsidR="00095F6E" w:rsidRPr="00BA6F83">
        <w:rPr>
          <w:rFonts w:asciiTheme="minorHAnsi" w:hAnsiTheme="minorHAnsi"/>
          <w:color w:val="000000" w:themeColor="text1"/>
          <w:lang w:val="en-US"/>
        </w:rPr>
        <w:t>d</w:t>
      </w:r>
      <w:r w:rsidR="005633BC" w:rsidRPr="00BA6F83">
        <w:rPr>
          <w:rFonts w:asciiTheme="minorHAnsi" w:hAnsiTheme="minorHAnsi"/>
          <w:color w:val="000000" w:themeColor="text1"/>
          <w:lang w:val="en-US"/>
        </w:rPr>
        <w:t xml:space="preserve"> </w:t>
      </w:r>
      <w:r w:rsidR="004A6792" w:rsidRPr="00BA6F83">
        <w:rPr>
          <w:rFonts w:asciiTheme="minorHAnsi" w:hAnsiTheme="minorHAnsi"/>
          <w:color w:val="000000" w:themeColor="text1"/>
          <w:lang w:val="en-US"/>
        </w:rPr>
        <w:t>a novel peripheral mechanism underlying food-induced abdominal pain creating n</w:t>
      </w:r>
      <w:r w:rsidR="00095F6E" w:rsidRPr="00BA6F83">
        <w:rPr>
          <w:rFonts w:asciiTheme="minorHAnsi" w:hAnsiTheme="minorHAnsi"/>
          <w:color w:val="000000" w:themeColor="text1"/>
          <w:lang w:val="en-US"/>
        </w:rPr>
        <w:t>ew</w:t>
      </w:r>
      <w:r w:rsidR="004A6792" w:rsidRPr="00BA6F83">
        <w:rPr>
          <w:rFonts w:asciiTheme="minorHAnsi" w:hAnsiTheme="minorHAnsi"/>
          <w:color w:val="000000" w:themeColor="text1"/>
          <w:lang w:val="en-US"/>
        </w:rPr>
        <w:t xml:space="preserve"> opportunities for the treatment of IBS and related abdominal pain disorders.</w:t>
      </w:r>
    </w:p>
    <w:p w14:paraId="40357441" w14:textId="77777777" w:rsidR="005D3733" w:rsidRPr="00BA6F83" w:rsidRDefault="005D3733" w:rsidP="00AA5458">
      <w:pPr>
        <w:spacing w:after="120" w:line="480" w:lineRule="auto"/>
        <w:jc w:val="both"/>
        <w:rPr>
          <w:rFonts w:asciiTheme="minorHAnsi" w:hAnsiTheme="minorHAnsi"/>
          <w:b/>
          <w:color w:val="000000" w:themeColor="text1"/>
          <w:u w:val="single"/>
          <w:lang w:val="en-US"/>
        </w:rPr>
      </w:pPr>
    </w:p>
    <w:p w14:paraId="3E737216" w14:textId="5F6EFEE5" w:rsidR="0076491A" w:rsidRPr="00BA6F83" w:rsidRDefault="0076491A" w:rsidP="00AA5458">
      <w:pPr>
        <w:spacing w:after="120" w:line="480" w:lineRule="auto"/>
        <w:jc w:val="both"/>
        <w:rPr>
          <w:rFonts w:asciiTheme="minorHAnsi" w:hAnsiTheme="minorHAnsi"/>
          <w:b/>
          <w:color w:val="000000" w:themeColor="text1"/>
          <w:u w:val="single"/>
          <w:lang w:val="en-US"/>
        </w:rPr>
      </w:pPr>
      <w:r w:rsidRPr="00BA6F83">
        <w:rPr>
          <w:rFonts w:asciiTheme="minorHAnsi" w:hAnsiTheme="minorHAnsi"/>
          <w:b/>
          <w:color w:val="000000" w:themeColor="text1"/>
          <w:u w:val="single"/>
          <w:lang w:val="en-US"/>
        </w:rPr>
        <w:t>KEY WORDS</w:t>
      </w:r>
    </w:p>
    <w:p w14:paraId="6DEC96DF" w14:textId="0E73FB19" w:rsidR="005D3733" w:rsidRPr="00BA6F83" w:rsidRDefault="00C453F9" w:rsidP="00AA5458">
      <w:pPr>
        <w:spacing w:after="120" w:line="480" w:lineRule="auto"/>
        <w:jc w:val="both"/>
        <w:rPr>
          <w:rFonts w:asciiTheme="minorHAnsi" w:hAnsiTheme="minorHAnsi"/>
          <w:color w:val="000000" w:themeColor="text1"/>
          <w:lang w:val="en-US"/>
        </w:rPr>
      </w:pPr>
      <w:r w:rsidRPr="00BA6F83">
        <w:rPr>
          <w:rFonts w:asciiTheme="minorHAnsi" w:hAnsiTheme="minorHAnsi"/>
          <w:color w:val="000000" w:themeColor="text1"/>
          <w:lang w:val="en-US"/>
        </w:rPr>
        <w:t>A</w:t>
      </w:r>
      <w:r w:rsidR="00BD5BEC" w:rsidRPr="00BA6F83">
        <w:rPr>
          <w:rFonts w:asciiTheme="minorHAnsi" w:hAnsiTheme="minorHAnsi"/>
          <w:color w:val="000000" w:themeColor="text1"/>
          <w:lang w:val="en-US"/>
        </w:rPr>
        <w:t xml:space="preserve">bdominal pain, </w:t>
      </w:r>
      <w:r w:rsidRPr="00BA6F83">
        <w:rPr>
          <w:rFonts w:asciiTheme="minorHAnsi" w:hAnsiTheme="minorHAnsi"/>
          <w:color w:val="000000" w:themeColor="text1"/>
          <w:lang w:val="en-US"/>
        </w:rPr>
        <w:t xml:space="preserve">bacterial toxins, dietary antigens, </w:t>
      </w:r>
      <w:proofErr w:type="spellStart"/>
      <w:r w:rsidR="00C256DE" w:rsidRPr="00BA6F83">
        <w:rPr>
          <w:rFonts w:asciiTheme="minorHAnsi" w:hAnsiTheme="minorHAnsi"/>
          <w:color w:val="000000" w:themeColor="text1"/>
          <w:lang w:val="en-US"/>
        </w:rPr>
        <w:t>IgE</w:t>
      </w:r>
      <w:proofErr w:type="spellEnd"/>
      <w:r w:rsidR="00C256DE"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intestinal infection, irritable bowel syndrome, </w:t>
      </w:r>
      <w:r w:rsidR="0076491A" w:rsidRPr="00BA6F83">
        <w:rPr>
          <w:rFonts w:asciiTheme="minorHAnsi" w:hAnsiTheme="minorHAnsi"/>
          <w:color w:val="000000" w:themeColor="text1"/>
          <w:lang w:val="en-US"/>
        </w:rPr>
        <w:t xml:space="preserve">mast cell activation, </w:t>
      </w:r>
      <w:r w:rsidR="00C256DE" w:rsidRPr="00BA6F83">
        <w:rPr>
          <w:rFonts w:asciiTheme="minorHAnsi" w:hAnsiTheme="minorHAnsi"/>
          <w:color w:val="000000" w:themeColor="text1"/>
          <w:lang w:val="en-US"/>
        </w:rPr>
        <w:t>visceral hypersensitivity</w:t>
      </w:r>
      <w:r w:rsidR="0076491A" w:rsidRPr="00BA6F83">
        <w:rPr>
          <w:rFonts w:asciiTheme="minorHAnsi" w:hAnsiTheme="minorHAnsi"/>
          <w:color w:val="000000" w:themeColor="text1"/>
          <w:lang w:val="en-US"/>
        </w:rPr>
        <w:t>.</w:t>
      </w:r>
    </w:p>
    <w:p w14:paraId="1274B68A" w14:textId="77777777" w:rsidR="005D3733" w:rsidRPr="00BA6F83" w:rsidRDefault="005D3733">
      <w:pPr>
        <w:spacing w:after="160" w:line="259" w:lineRule="auto"/>
        <w:rPr>
          <w:rFonts w:asciiTheme="minorHAnsi" w:hAnsiTheme="minorHAnsi"/>
          <w:color w:val="000000" w:themeColor="text1"/>
          <w:lang w:val="en-US"/>
        </w:rPr>
      </w:pPr>
      <w:r w:rsidRPr="00BA6F83">
        <w:rPr>
          <w:rFonts w:asciiTheme="minorHAnsi" w:hAnsiTheme="minorHAnsi"/>
          <w:color w:val="000000" w:themeColor="text1"/>
          <w:lang w:val="en-US"/>
        </w:rPr>
        <w:br w:type="page"/>
      </w:r>
    </w:p>
    <w:p w14:paraId="11C7801C" w14:textId="204D9C9F" w:rsidR="00307E91" w:rsidRPr="00BA6F83" w:rsidRDefault="00307E91" w:rsidP="00307E91">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lastRenderedPageBreak/>
        <w:t>The intestinal mucosa is continuously exposed to a vast array of foreign antigens, largely of dietary and microbial origins. The mucosal immune system must therefore provide a balanced response to pathogens and harmless commensal bacteria or food antigens in order to avoid unnecessary inflammation and concomitant tissue damage</w:t>
      </w:r>
      <w:r w:rsidRPr="00BA6F83">
        <w:rPr>
          <w:rFonts w:asciiTheme="minorHAnsi" w:hAnsiTheme="minorHAnsi"/>
          <w:color w:val="000000" w:themeColor="text1"/>
          <w:lang w:val="en-US"/>
        </w:rPr>
        <w:fldChar w:fldCharType="begin" w:fldLock="1"/>
      </w:r>
      <w:r w:rsidR="00956E8C" w:rsidRPr="00BA6F83">
        <w:rPr>
          <w:rFonts w:asciiTheme="minorHAnsi" w:hAnsiTheme="minorHAnsi"/>
          <w:color w:val="000000" w:themeColor="text1"/>
          <w:lang w:val="en-US"/>
        </w:rPr>
        <w:instrText>ADDIN CSL_CITATION {"citationItems":[{"id":"ITEM-1","itemData":{"DOI":"10.1038/nature18848","ISBN":"0000000000000","ISSN":"14764687","PMID":"27383982","abstract":"In the mucosa, the immune system’s T cells and B cells have position-specific phenotypes and functions that are influenced by the microbiota. These cells play pivotal parts in the maintenance of immune homeostasis by suppressing responses to harmless antigens and by enforcing the integrity of the barrier functions of the gut mucosa. Imbalances in the gut microbiota, known as dysbiosis, can trigger several immune disorders through the activity of T cells that are both near to and distant from the site of their induction. Elucidation of the mechanisms that distinguish between homeostatic and pathogenic microbiota–host interactions could identify therapeutic targets for preventing or modulating inflammatory diseases and for boosting the efficacy of cancer immunotherapy.","author":[{"dropping-particle":"","family":"Honda","given":"Kenya","non-dropping-particle":"","parse-names":false,"suffix":""},{"dropping-particle":"","family":"Littman","given":"Dan R.","non-dropping-particle":"","parse-names":false,"suffix":""}],"container-title":"Nature","id":"ITEM-1","issue":"7610","issued":{"date-parts":[["2016"]]},"page":"75-84","title":"The microbiota in adaptive immune homeostasis and disease","type":"article","volume":"535"},"uris":["http://www.mendeley.com/documents/?uuid=cc5ea37d-0dc4-4c0b-a115-c43b0412f9b3"]},{"id":"ITEM-2","itemData":{"DOI":"10.1038/nature18847","ISBN":"0028-0836","ISSN":"14764687","PMID":"27383981","abstract":"The intestinal microbiome is a signalling hub that integrates environmental inputs, such as diet, with genetic and immune signals to affect the host’s metabolism, immunity and response to infection. The haematopoietic and non-haematopoietic cells of the innate immune system are located strategically at the host–microbiome interface. These cells have the ability to sense microorganisms or their metabolic products and to translate the signals into host physiological responses and the regulation of microbial ecology. Aberrations in the communication between the innate immune system and the gut microbiota might contribute to complex diseases.","author":[{"dropping-particle":"","family":"Thaiss","given":"Christoph A.","non-dropping-particle":"","parse-names":false,"suffix":""},{"dropping-particle":"","family":"Zmora","given":"Niv","non-dropping-particle":"","parse-names":false,"suffix":""},{"dropping-particle":"","family":"Levy","given":"Maayan","non-dropping-particle":"","parse-names":false,"suffix":""},{"dropping-particle":"","family":"Elinav","given":"Eran","non-dropping-particle":"","parse-names":false,"suffix":""}],"container-title":"Nature","id":"ITEM-2","issue":"7610","issued":{"date-parts":[["2016"]]},"page":"65-74","title":"The microbiome and innate immunity","type":"article","volume":"535"},"uris":["http://www.mendeley.com/documents/?uuid=c62e6d26-62e6-4427-ac55-c697de0deb4f"]}],"mendeley":{"formattedCitation":"&lt;sup&gt;1,2&lt;/sup&gt;","plainTextFormattedCitation":"1,2","previouslyFormattedCitation":"&lt;sup&gt;1,2&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956E8C" w:rsidRPr="00BA6F83">
        <w:rPr>
          <w:rFonts w:asciiTheme="minorHAnsi" w:hAnsiTheme="minorHAnsi"/>
          <w:noProof/>
          <w:color w:val="000000" w:themeColor="text1"/>
          <w:vertAlign w:val="superscript"/>
          <w:lang w:val="en-US"/>
        </w:rPr>
        <w:t>1,2</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To accomplish this task, the mucosal immune system actively suppresses cellular and humoral responses to orally administered antigens, a mechanism referred to as oral tolerance</w:t>
      </w:r>
      <w:r w:rsidRPr="00BA6F83">
        <w:rPr>
          <w:rFonts w:asciiTheme="minorHAnsi" w:hAnsiTheme="minorHAnsi"/>
          <w:color w:val="000000" w:themeColor="text1"/>
          <w:lang w:val="en-US"/>
        </w:rPr>
        <w:fldChar w:fldCharType="begin" w:fldLock="1"/>
      </w:r>
      <w:r w:rsidR="00956E8C" w:rsidRPr="00BA6F83">
        <w:rPr>
          <w:rFonts w:asciiTheme="minorHAnsi" w:hAnsiTheme="minorHAnsi"/>
          <w:color w:val="000000" w:themeColor="text1"/>
          <w:lang w:val="en-US"/>
        </w:rPr>
        <w:instrText>ADDIN CSL_CITATION {"citationItems":[{"id":"ITEM-1","itemData":{"DOI":"10.1038/nri1057","ISBN":"1474-1733 (Print)\\n1474-1733 (Linking)","ISSN":"14741733","PMID":"12669023","abstract":"The intestinal immune system has to discriminate between harmful and beneficial antigens. Although strong protective immunity is essential to prevent invasion by pathogens, equivalent responses against dietary proteins or commensal bacteria can lead to chronic disease. These responses are normally prevented by a complex interplay of regulatory mechanisms. This article reviews the unique aspects of the local microenvironment of the intestinal immune system and discuss how these promote the development of regulatory responses that ensure the maintenance of homeostasis in the gut.","author":[{"dropping-particle":"","family":"Mowat","given":"Allan Mc I.","non-dropping-particle":"","parse-names":false,"suffix":""}],"container-title":"Nature Reviews Immunology","id":"ITEM-1","issue":"4","issued":{"date-parts":[["2003"]]},"page":"331-341","title":"Anatomical basis of tolerance and immunity to intestinal antigens","type":"article","volume":"3"},"uris":["http://www.mendeley.com/documents/?uuid=7feeecdf-d3af-4d7c-b2e0-436c82c33e30"]}],"mendeley":{"formattedCitation":"&lt;sup&gt;3&lt;/sup&gt;","plainTextFormattedCitation":"3","previouslyFormattedCitation":"&lt;sup&gt;3&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956E8C" w:rsidRPr="00BA6F83">
        <w:rPr>
          <w:rFonts w:asciiTheme="minorHAnsi" w:hAnsiTheme="minorHAnsi"/>
          <w:noProof/>
          <w:color w:val="000000" w:themeColor="text1"/>
          <w:vertAlign w:val="superscript"/>
          <w:lang w:val="en-US"/>
        </w:rPr>
        <w:t>3</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Viral and bacterial infections can</w:t>
      </w:r>
      <w:r w:rsidR="004559B2"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however</w:t>
      </w:r>
      <w:r w:rsidR="004559B2"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interfere with tolerance to dietary antigens, thereby perturbing intestinal homeostasis</w:t>
      </w:r>
      <w:r w:rsidR="00956E8C" w:rsidRPr="00BA6F83">
        <w:rPr>
          <w:rFonts w:asciiTheme="minorHAnsi" w:hAnsiTheme="minorHAnsi"/>
          <w:color w:val="000000" w:themeColor="text1"/>
          <w:lang w:val="en-US"/>
        </w:rPr>
        <w:fldChar w:fldCharType="begin" w:fldLock="1"/>
      </w:r>
      <w:r w:rsidR="00956E8C" w:rsidRPr="00BA6F83">
        <w:rPr>
          <w:rFonts w:asciiTheme="minorHAnsi" w:hAnsiTheme="minorHAnsi"/>
          <w:color w:val="000000" w:themeColor="text1"/>
          <w:lang w:val="en-US"/>
        </w:rPr>
        <w:instrText>ADDIN CSL_CITATION {"citationItems":[{"id":"ITEM-1","itemData":{"DOI":"10.1016/j.cell.2015.08.030","ISSN":"10974172","abstract":"Infections have been proposed as initiating factors for inflammatory disorders; however, identifying associations between defined infectious agents and the initiation of chronic disease has remained elusive. Here, we report that a single acute infection can have dramatic and long-term consequences for tissue-specific immunity. Following clearance of Yersinia pseudotuberculosis, sustained inflammation and associated lymphatic leakage in the mesenteric adipose tissue deviates migratory dendritic cells to the adipose compartment, thereby preventing their accumulation in the mesenteric lymph node. As a consequence, canonical mucosal immune functions, including tolerance and protective immunity, are persistently compromised. Post-resolution of infection, signals derived from the microbiota maintain inflammatory mesentery remodeling and consequently, transient ablation of the microbiota restores mucosal immunity. Our results indicate that persistent disruption of communication between tissues and the immune system following clearance of an acute infection represents an inflection point beyond which tissue homeostasis and immunity is compromised for the long-term.","author":[{"dropping-particle":"Da","family":"Fonseca","given":"Denise Morais","non-dropping-particle":"","parse-names":false,"suffix":""},{"dropping-particle":"","family":"Hand","given":"Timothy W.","non-dropping-particle":"","parse-names":false,"suffix":""},{"dropping-particle":"","family":"Han","given":"Seong Ji","non-dropping-particle":"","parse-names":false,"suffix":""},{"dropping-particle":"","family":"Gerner","given":"Michael Y.","non-dropping-particle":"","parse-names":false,"suffix":""},{"dropping-particle":"","family":"Zaretsky","given":"Arielle Glatman","non-dropping-particle":"","parse-names":false,"suffix":""},{"dropping-particle":"","family":"Byrd","given":"Allyson L.","non-dropping-particle":"","parse-names":false,"suffix":""},{"dropping-particle":"","family":"Harrison","given":"Oliver J.","non-dropping-particle":"","parse-names":false,"suffix":""},{"dropping-particle":"","family":"Ortiz","given":"Alexandra M.","non-dropping-particle":"","parse-names":false,"suffix":""},{"dropping-particle":"","family":"Quinones","given":"Mariam","non-dropping-particle":"","parse-names":false,"suffix":""},{"dropping-particle":"","family":"Trinchieri","given":"Giorgio","non-dropping-particle":"","parse-names":false,"suffix":""},{"dropping-particle":"","family":"Brenchley","given":"Jason M.","non-dropping-particle":"","parse-names":false,"suffix":""},{"dropping-particle":"","family":"Brodsky","given":"Igor E.","non-dropping-particle":"","parse-names":false,"suffix":""},{"dropping-particle":"","family":"Germain","given":"Ronald N.","non-dropping-particle":"","parse-names":false,"suffix":""},{"dropping-particle":"","family":"Randolph","given":"Gwendalyn J.","non-dropping-particle":"","parse-names":false,"suffix":""},{"dropping-particle":"","family":"Belkaid","given":"Yasmine","non-dropping-particle":"","parse-names":false,"suffix":""}],"container-title":"Cell","id":"ITEM-1","issue":"2","issued":{"date-parts":[["2015"]]},"page":"354-66","title":"Microbiota-Dependent Sequelae of Acute Infection Compromise Tissue-Specific Immunity","type":"article-journal","volume":"163"},"uris":["http://www.mendeley.com/documents/?uuid=7082f69d-9f7f-4ad2-948e-1acff6ade38b"]},{"id":"ITEM-2","itemData":{"DOI":"10.1126/science.aah5298","ISBN":"1095-9203 (Electronic) 0036-8075 (Linking)","ISSN":"10959203","PMID":"28386004","abstract":"Viral infections have been proposed to elicit pathological processes leading to the initiation of T helper 1 (TH1) immunity against dietary gluten and celiac disease (CeD). To test this hypothesis and gain insights into mechanisms underlying virus-induced loss of tolerance to dietary antigens, we developed a viral infection model that makes use of two reovirus strains that infect the intestine but differ in their immunopathological outcomes. Reovirus is an avirulent pathogen that elicits protective immunity, but we discovered that it can nonetheless disrupt intestinal immune homeostasis at inductive and effector sites of oral tolerance by suppressing peripheral regulatory T cell (pTreg) conversion and promoting TH1 immunity to dietary antigen. Initiation of TH1 immunity to dietary antigen was dependent on interferon regulatory factor 1 and dissociated from suppression of pTreg conversion, which was mediated by type-1 interferon. Last, our study in humans supports a role for infection with reovirus, a seemingly innocuous virus, in triggering the development of CeD.","author":[{"dropping-particle":"","family":"Bouziat","given":"Romain","non-dropping-particle":"","parse-names":false,"suffix":""},{"dropping-particle":"","family":"Hinterleitner","given":"Reinhard","non-dropping-particle":"","parse-names":false,"suffix":""},{"dropping-particle":"","family":"Brown","given":"Judy J.","non-dropping-particle":"","parse-names":false,"suffix":""},{"dropping-particle":"","family":"Stencel-Baerenwald","given":"Jennifer E.","non-dropping-particle":"","parse-names":false,"suffix":""},{"dropping-particle":"","family":"Ikizler","given":"Mine","non-dropping-particle":"","parse-names":false,"suffix":""},{"dropping-particle":"","family":"Mayassi","given":"Toufic","non-dropping-particle":"","parse-names":false,"suffix":""},{"dropping-particle":"","family":"Meisel","given":"Marlies","non-dropping-particle":"","parse-names":false,"suffix":""},{"dropping-particle":"","family":"Kim","given":"Sangman M.","non-dropping-particle":"","parse-names":false,"suffix":""},{"dropping-particle":"","family":"Discepolo","given":"Valentina","non-dropping-particle":"","parse-names":false,"suffix":""},{"dropping-particle":"","family":"Pruijssers","given":"Andrea J.","non-dropping-particle":"","parse-names":false,"suffix":""},{"dropping-particle":"","family":"Ernest","given":"Jordan D.","non-dropping-particle":"","parse-names":false,"suffix":""},{"dropping-particle":"","family":"Iskarpatyoti","given":"Jason A.","non-dropping-particle":"","parse-names":false,"suffix":""},{"dropping-particle":"","family":"Costes","given":"Léa M.M.","non-dropping-particle":"","parse-names":false,"suffix":""},{"dropping-particle":"","family":"Lawrence","given":"Ian","non-dropping-particle":"","parse-names":false,"suffix":""},{"dropping-particle":"","family":"Palanski","given":"Brad A.","non-dropping-particle":"","parse-names":false,"suffix":""},{"dropping-particle":"","family":"Varma","given":"Mukund","non-dropping-particle":"","parse-names":false,"suffix":""},{"dropping-particle":"","family":"Zurenski","given":"Matthew A.","non-dropping-particle":"","parse-names":false,"suffix":""},{"dropping-particle":"","family":"Khomandiak","given":"Solomiia","non-dropping-particle":"","parse-names":false,"suffix":""},{"dropping-particle":"","family":"McAllister","given":"Nicole","non-dropping-particle":"","parse-names":false,"suffix":""},{"dropping-particle":"","family":"Aravamudhan","given":"Pavithra","non-dropping-particle":"","parse-names":false,"suffix":""},{"dropping-particle":"","family":"Boehme","given":"Karl W.","non-dropping-particle":"","parse-names":false,"suffix":""},{"dropping-particle":"","family":"Hu","given":"Fengling","non-dropping-particle":"","parse-names":false,"suffix":""},{"dropping-particle":"","family":"Samsom","given":"Janneke N.","non-dropping-particle":"","parse-names":false,"suffix":""},{"dropping-particle":"","family":"Reinecker","given":"Hans Christian","non-dropping-particle":"","parse-names":false,"suffix":""},{"dropping-particle":"","family":"Kupfer","given":"Sonia S.","non-dropping-particle":"","parse-names":false,"suffix":""},{"dropping-particle":"","family":"Guandalini","given":"Stefano","non-dropping-particle":"","parse-names":false,"suffix":""},{"dropping-particle":"","family":"Semrad","given":"Carol E.","non-dropping-particle":"","parse-names":false,"suffix":""},{"dropping-particle":"","family":"Abadie","given":"Valérie","non-dropping-particle":"","parse-names":false,"suffix":""},{"dropping-particle":"","family":"Khosla","given":"Chaitan","non-dropping-particle":"","parse-names":false,"suffix":""},{"dropping-particle":"","family":"Barreiro","given":"Luis B.","non-dropping-particle":"","parse-names":false,"suffix":""},{"dropping-particle":"","family":"Xavier","given":"Ramnik J.","non-dropping-particle":"","parse-names":false,"suffix":""},{"dropping-particle":"","family":"Ng","given":"Aylwin","non-dropping-particle":"","parse-names":false,"suffix":""},{"dropping-particle":"","family":"Dermody","given":"Terence S.","non-dropping-particle":"","parse-names":false,"suffix":""},{"dropping-particle":"","family":"Jabri","given":"Bana","non-dropping-particle":"","parse-names":false,"suffix":""}],"container-title":"Science","id":"ITEM-2","issue":"6333","issued":{"date-parts":[["2017"]]},"page":"44-50","title":"Reovirus infection triggers inflammatory responses to dietary antigens and development of celiac disease","type":"article-journal","volume":"356"},"uris":["http://www.mendeley.com/documents/?uuid=f82f600e-1978-4b05-931f-596cb6241cd5"]}],"mendeley":{"formattedCitation":"&lt;sup&gt;4,5&lt;/sup&gt;","plainTextFormattedCitation":"4,5","previouslyFormattedCitation":"&lt;sup&gt;4,5&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956E8C" w:rsidRPr="00BA6F83">
        <w:rPr>
          <w:rFonts w:asciiTheme="minorHAnsi" w:hAnsiTheme="minorHAnsi"/>
          <w:noProof/>
          <w:color w:val="000000" w:themeColor="text1"/>
          <w:vertAlign w:val="superscript"/>
          <w:lang w:val="en-US"/>
        </w:rPr>
        <w:t>4,5</w:t>
      </w:r>
      <w:r w:rsidR="00956E8C"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In coeliac disease, reovirus and norovirus infections may disrupt intestinal homeostasis at inductive and effector sites of oral tolerance</w:t>
      </w:r>
      <w:r w:rsidR="00B5123B">
        <w:rPr>
          <w:rFonts w:asciiTheme="minorHAnsi" w:hAnsiTheme="minorHAnsi"/>
          <w:color w:val="000000" w:themeColor="text1"/>
          <w:lang w:val="en-US"/>
        </w:rPr>
        <w:t>,</w:t>
      </w:r>
      <w:r w:rsidRPr="00BA6F83">
        <w:rPr>
          <w:rFonts w:asciiTheme="minorHAnsi" w:hAnsiTheme="minorHAnsi"/>
          <w:color w:val="000000" w:themeColor="text1"/>
          <w:lang w:val="en-US"/>
        </w:rPr>
        <w:t xml:space="preserve"> promoting T</w:t>
      </w:r>
      <w:r w:rsidR="00E034B6" w:rsidRPr="00BA6F83">
        <w:rPr>
          <w:rFonts w:asciiTheme="minorHAnsi" w:hAnsiTheme="minorHAnsi"/>
          <w:color w:val="000000" w:themeColor="text1"/>
          <w:vertAlign w:val="subscript"/>
          <w:lang w:val="en-US"/>
        </w:rPr>
        <w:t>H</w:t>
      </w:r>
      <w:r w:rsidRPr="00BA6F83">
        <w:rPr>
          <w:rFonts w:asciiTheme="minorHAnsi" w:hAnsiTheme="minorHAnsi"/>
          <w:color w:val="000000" w:themeColor="text1"/>
          <w:lang w:val="en-US"/>
        </w:rPr>
        <w:t>1 immunity to dietary antigens</w:t>
      </w:r>
      <w:r w:rsidR="00956E8C" w:rsidRPr="00BA6F83">
        <w:rPr>
          <w:rFonts w:asciiTheme="minorHAnsi" w:hAnsiTheme="minorHAnsi"/>
          <w:color w:val="000000" w:themeColor="text1"/>
          <w:lang w:val="en-US"/>
        </w:rPr>
        <w:fldChar w:fldCharType="begin" w:fldLock="1"/>
      </w:r>
      <w:r w:rsidR="00956E8C" w:rsidRPr="00BA6F83">
        <w:rPr>
          <w:rFonts w:asciiTheme="minorHAnsi" w:hAnsiTheme="minorHAnsi"/>
          <w:color w:val="000000" w:themeColor="text1"/>
          <w:lang w:val="en-US"/>
        </w:rPr>
        <w:instrText>ADDIN CSL_CITATION {"citationItems":[{"id":"ITEM-1","itemData":{"DOI":"10.1126/science.aah5298","ISBN":"1095-9203 (Electronic) 0036-8075 (Linking)","ISSN":"10959203","PMID":"28386004","abstract":"Viral infections have been proposed to elicit pathological processes leading to the initiation of T helper 1 (TH1) immunity against dietary gluten and celiac disease (CeD). To test this hypothesis and gain insights into mechanisms underlying virus-induced loss of tolerance to dietary antigens, we developed a viral infection model that makes use of two reovirus strains that infect the intestine but differ in their immunopathological outcomes. Reovirus is an avirulent pathogen that elicits protective immunity, but we discovered that it can nonetheless disrupt intestinal immune homeostasis at inductive and effector sites of oral tolerance by suppressing peripheral regulatory T cell (pTreg) conversion and promoting TH1 immunity to dietary antigen. Initiation of TH1 immunity to dietary antigen was dependent on interferon regulatory factor 1 and dissociated from suppression of pTreg conversion, which was mediated by type-1 interferon. Last, our study in humans supports a role for infection with reovirus, a seemingly innocuous virus, in triggering the development of CeD.","author":[{"dropping-particle":"","family":"Bouziat","given":"Romain","non-dropping-particle":"","parse-names":false,"suffix":""},{"dropping-particle":"","family":"Hinterleitner","given":"Reinhard","non-dropping-particle":"","parse-names":false,"suffix":""},{"dropping-particle":"","family":"Brown","given":"Judy J.","non-dropping-particle":"","parse-names":false,"suffix":""},{"dropping-particle":"","family":"Stencel-Baerenwald","given":"Jennifer E.","non-dropping-particle":"","parse-names":false,"suffix":""},{"dropping-particle":"","family":"Ikizler","given":"Mine","non-dropping-particle":"","parse-names":false,"suffix":""},{"dropping-particle":"","family":"Mayassi","given":"Toufic","non-dropping-particle":"","parse-names":false,"suffix":""},{"dropping-particle":"","family":"Meisel","given":"Marlies","non-dropping-particle":"","parse-names":false,"suffix":""},{"dropping-particle":"","family":"Kim","given":"Sangman M.","non-dropping-particle":"","parse-names":false,"suffix":""},{"dropping-particle":"","family":"Discepolo","given":"Valentina","non-dropping-particle":"","parse-names":false,"suffix":""},{"dropping-particle":"","family":"Pruijssers","given":"Andrea J.","non-dropping-particle":"","parse-names":false,"suffix":""},{"dropping-particle":"","family":"Ernest","given":"Jordan D.","non-dropping-particle":"","parse-names":false,"suffix":""},{"dropping-particle":"","family":"Iskarpatyoti","given":"Jason A.","non-dropping-particle":"","parse-names":false,"suffix":""},{"dropping-particle":"","family":"Costes","given":"Léa M.M.","non-dropping-particle":"","parse-names":false,"suffix":""},{"dropping-particle":"","family":"Lawrence","given":"Ian","non-dropping-particle":"","parse-names":false,"suffix":""},{"dropping-particle":"","family":"Palanski","given":"Brad A.","non-dropping-particle":"","parse-names":false,"suffix":""},{"dropping-particle":"","family":"Varma","given":"Mukund","non-dropping-particle":"","parse-names":false,"suffix":""},{"dropping-particle":"","family":"Zurenski","given":"Matthew A.","non-dropping-particle":"","parse-names":false,"suffix":""},{"dropping-particle":"","family":"Khomandiak","given":"Solomiia","non-dropping-particle":"","parse-names":false,"suffix":""},{"dropping-particle":"","family":"McAllister","given":"Nicole","non-dropping-particle":"","parse-names":false,"suffix":""},{"dropping-particle":"","family":"Aravamudhan","given":"Pavithra","non-dropping-particle":"","parse-names":false,"suffix":""},{"dropping-particle":"","family":"Boehme","given":"Karl W.","non-dropping-particle":"","parse-names":false,"suffix":""},{"dropping-particle":"","family":"Hu","given":"Fengling","non-dropping-particle":"","parse-names":false,"suffix":""},{"dropping-particle":"","family":"Samsom","given":"Janneke N.","non-dropping-particle":"","parse-names":false,"suffix":""},{"dropping-particle":"","family":"Reinecker","given":"Hans Christian","non-dropping-particle":"","parse-names":false,"suffix":""},{"dropping-particle":"","family":"Kupfer","given":"Sonia S.","non-dropping-particle":"","parse-names":false,"suffix":""},{"dropping-particle":"","family":"Guandalini","given":"Stefano","non-dropping-particle":"","parse-names":false,"suffix":""},{"dropping-particle":"","family":"Semrad","given":"Carol E.","non-dropping-particle":"","parse-names":false,"suffix":""},{"dropping-particle":"","family":"Abadie","given":"Valérie","non-dropping-particle":"","parse-names":false,"suffix":""},{"dropping-particle":"","family":"Khosla","given":"Chaitan","non-dropping-particle":"","parse-names":false,"suffix":""},{"dropping-particle":"","family":"Barreiro","given":"Luis B.","non-dropping-particle":"","parse-names":false,"suffix":""},{"dropping-particle":"","family":"Xavier","given":"Ramnik J.","non-dropping-particle":"","parse-names":false,"suffix":""},{"dropping-particle":"","family":"Ng","given":"Aylwin","non-dropping-particle":"","parse-names":false,"suffix":""},{"dropping-particle":"","family":"Dermody","given":"Terence S.","non-dropping-particle":"","parse-names":false,"suffix":""},{"dropping-particle":"","family":"Jabri","given":"Bana","non-dropping-particle":"","parse-names":false,"suffix":""}],"container-title":"Science","id":"ITEM-1","issue":"6333","issued":{"date-parts":[["2017"]]},"page":"44-50","title":"Reovirus infection triggers inflammatory responses to dietary antigens and development of celiac disease","type":"article-journal","volume":"356"},"uris":["http://www.mendeley.com/documents/?uuid=f82f600e-1978-4b05-931f-596cb6241cd5"]},{"id":"ITEM-2","itemData":{"DOI":"10.1016/j.chom.2018.10.004","ISSN":"19346069","abstract":"Intestinal reovirus infection can trigger T helper 1 (TH1) immunity to dietary antigen, raising the question of whether other viruses can have a similar impact. Here we show that the acute CW3 strain of murine norovirus, but not the persistent CR6 strain, induces TH1 immunity to dietary antigen. This property of CW3 is dependent on its major capsid protein, a virulence determinant. Transcriptional profiling of mesenteric lymph nodes following infection reveals an immunopathological signature that does not segregate with protective immunity but with loss of oral tolerance, in which interferon regulatory factor 1 is critical. These data show that viral capacity to trigger specific inflammatory pathways at sites where T cell responses to dietary antigens take place interferes with the development of tolerance to an oral antigen. Collectively, these data provide a foundation for the development of therapeutic strategies to prevent TH1-mediated complex immune disorders triggered by viral infections. Bouziat et al. discover that murine norovirus can induce loss of oral tolerance. Specifically, the CW3 strain triggers interferon regulatory factor 1-mediated induction of TH1 immunity via its major viral capsid protein. Transcriptional profiling reveals a common immunopathological signature in loss of oral tolerance, which can be dissociated from protective immunity.","author":[{"dropping-particle":"","family":"Bouziat","given":"Romain","non-dropping-particle":"","parse-names":false,"suffix":""},{"dropping-particle":"","family":"Biering","given":"Scott B.","non-dropping-particle":"","parse-names":false,"suffix":""},{"dropping-particle":"","family":"Kouame","given":"Elaine","non-dropping-particle":"","parse-names":false,"suffix":""},{"dropping-particle":"","family":"Sangani","given":"Kishan A.","non-dropping-particle":"","parse-names":false,"suffix":""},{"dropping-particle":"","family":"Kang","given":"Soowon","non-dropping-particle":"","parse-names":false,"suffix":""},{"dropping-particle":"","family":"Ernest","given":"Jordan D.","non-dropping-particle":"","parse-names":false,"suffix":""},{"dropping-particle":"","family":"Varma","given":"Mukund","non-dropping-particle":"","parse-names":false,"suffix":""},{"dropping-particle":"","family":"Brown","given":"Judy J.","non-dropping-particle":"","parse-names":false,"suffix":""},{"dropping-particle":"","family":"Urbanek","given":"Kelly","non-dropping-particle":"","parse-names":false,"suffix":""},{"dropping-particle":"","family":"Dermody","given":"Terence S.","non-dropping-particle":"","parse-names":false,"suffix":""},{"dropping-particle":"","family":"Ng","given":"Aylwin","non-dropping-particle":"","parse-names":false,"suffix":""},{"dropping-particle":"","family":"Hinterleitner","given":"Reinhard","non-dropping-particle":"","parse-names":false,"suffix":""},{"dropping-particle":"","family":"Hwang","given":"Seungmin","non-dropping-particle":"","parse-names":false,"suffix":""},{"dropping-particle":"","family":"Jabri","given":"Bana","non-dropping-particle":"","parse-names":false,"suffix":""}],"container-title":"Cell Host and Microbe","id":"ITEM-2","issue":"5","issued":{"date-parts":[["2018"]]},"page":"677-688","title":"Murine Norovirus Infection Induces TH1 Inflammatory Responses to Dietary Antigens","type":"article-journal","volume":"24"},"uris":["http://www.mendeley.com/documents/?uuid=ead76c64-f7dd-4867-ae55-187b7ea0905f"]}],"mendeley":{"formattedCitation":"&lt;sup&gt;5,6&lt;/sup&gt;","plainTextFormattedCitation":"5,6","previouslyFormattedCitation":"&lt;sup&gt;5,6&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956E8C" w:rsidRPr="00BA6F83">
        <w:rPr>
          <w:rFonts w:asciiTheme="minorHAnsi" w:hAnsiTheme="minorHAnsi"/>
          <w:noProof/>
          <w:color w:val="000000" w:themeColor="text1"/>
          <w:vertAlign w:val="superscript"/>
          <w:lang w:val="en-US"/>
        </w:rPr>
        <w:t>5,6</w:t>
      </w:r>
      <w:r w:rsidR="00956E8C"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Furthermore, </w:t>
      </w:r>
      <w:r w:rsidR="00834A4E">
        <w:rPr>
          <w:rFonts w:asciiTheme="minorHAnsi" w:hAnsiTheme="minorHAnsi"/>
          <w:color w:val="000000" w:themeColor="text1"/>
          <w:lang w:val="en-US"/>
        </w:rPr>
        <w:t>intestinal</w:t>
      </w:r>
      <w:r w:rsidR="00834A4E"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infection during </w:t>
      </w:r>
      <w:r w:rsidR="00834A4E">
        <w:rPr>
          <w:rFonts w:asciiTheme="minorHAnsi" w:hAnsiTheme="minorHAnsi"/>
          <w:color w:val="000000" w:themeColor="text1"/>
          <w:lang w:val="en-US"/>
        </w:rPr>
        <w:t>initial antigen</w:t>
      </w:r>
      <w:r w:rsidRPr="00BA6F83">
        <w:rPr>
          <w:rFonts w:asciiTheme="minorHAnsi" w:hAnsiTheme="minorHAnsi"/>
          <w:color w:val="000000" w:themeColor="text1"/>
          <w:lang w:val="en-US"/>
        </w:rPr>
        <w:t xml:space="preserve"> exposure </w:t>
      </w:r>
      <w:r w:rsidR="00834A4E">
        <w:rPr>
          <w:rFonts w:asciiTheme="minorHAnsi" w:hAnsiTheme="minorHAnsi"/>
          <w:color w:val="000000" w:themeColor="text1"/>
          <w:lang w:val="en-US"/>
        </w:rPr>
        <w:t>can perturb tolerance to dietary antigens</w:t>
      </w:r>
      <w:r w:rsidR="00956E8C"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{"citationItems":[{"id":"ITEM-1","itemData":{"DOI":"10.1038/s41586-019-1125-3","ISSN":"14764687","abstract":"The intestinal immune system has the challenging task of tolerating foreign nutrients and the commensal microbiome, while excluding or eliminating ingested pathogens. Failure of this balance leads to conditions such as inflammatory bowel diseases, food allergies and invasive gastrointestinal infections 1 . Multiple immune mechanisms are therefore in place to maintain tissue integrity, including balanced generation of effector T (T H ) cells and FOXP3 + regulatory T (pT reg ) cells, which mediate resistance to pathogens and regulate excessive immune activation, respectively 1–4 . The gut-draining lymph nodes (gLNs) are key sites for orchestrating adaptive immunity to luminal perturbations 5–7 . However, it is unclear how they simultaneously support tolerogenic and inflammatory reactions. Here we show that gLNs are immunologically specific to the functional gut segment that they drain. Stromal and dendritic cell gene signatures and polarization of T cells against the same luminal antigen differ between gLNs, with the proximal small intestine-draining gLNs preferentially giving rise to tolerogenic responses and the distal gLNs to pro-inflammatory T cell responses. This segregation permitted the targeting of distal gLNs for vaccination and the maintenance of duodenal pT reg cell induction during colonic infection. Conversely, the compartmentalized dichotomy was perturbed by surgical removal of select distal gLNs and duodenal infection, with effects on both lymphoid organ and tissue immune responses. Our findings reveal that the conflict between tolerogenic and inflammatory intestinal responses is in part resolved by discrete gLN drainage, and encourage antigen targeting to specific gut segments for therapeutic immune modulation.","author":[{"dropping-particle":"","family":"Esterházy","given":"Daria","non-dropping-particle":"","parse-names":false,"suffix":""},{"dropping-particle":"","family":"Canesso","given":"Maria C.C.","non-dropping-particle":"","parse-names":false,"suffix":""},{"dropping-particle":"","family":"Mesin","given":"Luka","non-dropping-particle":"","parse-names":false,"suffix":""},{"dropping-particle":"","family":"Muller","given":"Paul A.","non-dropping-particle":"","parse-names":false,"suffix":""},{"dropping-particle":"","family":"Castro","given":"Tiago B.R.","non-dropping-particle":"de","parse-names":false,"suffix":""},{"dropping-particle":"","family":"Lockhart","given":"Ainsley","non-dropping-particle":"","parse-names":false,"suffix":""},{"dropping-particle":"","family":"ElJalby","given":"Mahmoud","non-dropping-particle":"","parse-names":false,"suffix":""},{"dropping-particle":"","family":"Faria","given":"Ana M.C.","non-dropping-particle":"","parse-names":false,"suffix":""},{"dropping-particle":"","family":"Mucida","given":"Daniel","non-dropping-particle":"","parse-names":false,"suffix":""}],"container-title":"Nature","id":"ITEM-1","issued":{"date-parts":[["2019"]]},"page":"569(7754) 126-130","title":"Compartmentalized gut lymph node drainage dictates adaptive immune responses","type":"article"},"uris":["http://www.mendeley.com/documents/?uuid=38c76def-4c27-4be7-b24f-8e4050fa6000"]}],"mendeley":{"formattedCitation":"&lt;sup&gt;7&lt;/sup&gt;","plainTextFormattedCitation":"7","previouslyFormattedCitation":"&lt;sup&gt;7&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7</w:t>
      </w:r>
      <w:r w:rsidR="00956E8C" w:rsidRPr="00BA6F83">
        <w:rPr>
          <w:rFonts w:asciiTheme="minorHAnsi" w:hAnsiTheme="minorHAnsi"/>
          <w:color w:val="000000" w:themeColor="text1"/>
          <w:lang w:val="en-US"/>
        </w:rPr>
        <w:fldChar w:fldCharType="end"/>
      </w:r>
      <w:r w:rsidR="00834A4E">
        <w:rPr>
          <w:rFonts w:asciiTheme="minorHAnsi" w:hAnsiTheme="minorHAnsi"/>
          <w:color w:val="000000" w:themeColor="text1"/>
          <w:lang w:val="en-US"/>
        </w:rPr>
        <w:t>, potentially contributing to the development of food allergies</w:t>
      </w:r>
      <w:r w:rsidRPr="00BA6F83">
        <w:rPr>
          <w:rFonts w:asciiTheme="minorHAnsi" w:hAnsiTheme="minorHAnsi"/>
          <w:color w:val="000000" w:themeColor="text1"/>
          <w:lang w:val="en-US"/>
        </w:rPr>
        <w:t>.</w:t>
      </w:r>
    </w:p>
    <w:p w14:paraId="793D9B8E" w14:textId="56AEC59E" w:rsidR="00E034B6" w:rsidRPr="00BA6F83" w:rsidRDefault="00307E91" w:rsidP="006536F5">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Infectious gastroenteritis is a main risk factor to develop irritable bowel syndrome (IBS)</w:t>
      </w:r>
      <w:r w:rsidR="00666FC6" w:rsidRPr="00BA6F83">
        <w:rPr>
          <w:rFonts w:asciiTheme="minorHAnsi" w:hAnsiTheme="minorHAnsi"/>
          <w:color w:val="000000" w:themeColor="text1"/>
          <w:lang w:val="en-US"/>
        </w:rPr>
        <w:t>, defined as a constellation of abdominal pain and altered bowel patterns</w:t>
      </w:r>
      <w:r w:rsidRPr="00BA6F83">
        <w:rPr>
          <w:rFonts w:asciiTheme="minorHAnsi" w:hAnsiTheme="minorHAnsi"/>
          <w:color w:val="000000" w:themeColor="text1"/>
          <w:lang w:val="en-US"/>
        </w:rPr>
        <w:t>. Between 3 and 36% of enteric infections lead to new onset IBS</w:t>
      </w:r>
      <w:r w:rsidR="00956E8C"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{"citationItems":[{"id":"ITEM-1","itemData":{"DOI":"10.1053/j.gastro.2009.02.074","ISBN":"1528-0012 (Electronic)\\r0016-5085 (Linking)","ISSN":"1528-0012; 0016-5085","PMID":"19457422","abstract":"Approximately 1 in ten patients with irritable bowel syndrome (IBS) believe their IBS began with an infectious illness. Prospective studies have shown that 3% to 36% of enteric infections lead to persistent new IBS symptoms; the precise incidence depends on the infecting organism. Whereas viral gastroenteritis seems to have only short-term effects, bacterial enteritis and protozoan and helminth infections are followed by prolonged postinfective IBS (PI-IBS). Risk factors for developing PI-IBS include, in order of importance, prolonged duration of initial illness, toxicity of infecting bacterial strain, smoking, mucosal markers of inflammation, female gender, depression, hypochondriasis, and adverse life events in the preceding 3 months. Age older than 60 years might protect against PI-IBS, whereas treatment with antibiotics has been associated with increased risk. The mechanisms that cause PI-IBS are unknown but could include residual inflammation or persistent changes in mucosal immunocytes, enterochromaffin and mast cells, enteric nerves, and the gastrointestinal microbiota. Adverse psychological factors contribute to persistent low-grade inflammation. The prognosis for patients with PI-IBS is somewhat better than for those with unselected IBS, but PI-IBS can still take years to resolve. There are no specific treatments for PI-IBS; these should be tailored to the predominant bowel disturbance, which is most frequently diarrhea.","author":[{"dropping-particle":"","family":"Spiller","given":"Robin","non-dropping-particle":"","parse-names":false,"suffix":""},{"dropping-particle":"","family":"Garsed","given":"Klara","non-dropping-particle":"","parse-names":false,"suffix":""}],"container-title":"Gastroenterology","id":"ITEM-1","issue":"6","issued":{"date-parts":[["2009"]]},"page":"1979-1988","title":"Postinfectious irritable bowel syndrome","type":"article-journal","volume":"136"},"uris":["http://www.mendeley.com/documents/?uuid=558f629d-5edc-4972-b692-093d494343c8"]}],"mendeley":{"formattedCitation":"&lt;sup&gt;8&lt;/sup&gt;","plainTextFormattedCitation":"8","previouslyFormattedCitation":"&lt;sup&gt;8&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8</w:t>
      </w:r>
      <w:r w:rsidR="00956E8C"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while up to 17 % of IBS patients report that their symptoms started upon gastrointestinal infection</w:t>
      </w:r>
      <w:r w:rsidR="00956E8C"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{"citationItems":[{"id":"ITEM-1","itemData":{"DOI":"10.1177/2050640618779923","ISSN":"20506414","abstract":"Background: Gastrointestinal infection is an important risk factor for developing irritable bowel syndrome (IBS). Our aim was to characterise post-infectious IBS (PI-IBS) compared to other IBS patients. Methods: An internet survey of IBS patients using Rome III diagnostic questionnaire, Hospital Anxiety and Depression Scale (HADS) and Patient Health Questionnaire-12 Somatic Symptom (PHQ12-SS) scale score documenting the mode of onset was conducted. Results: A total of 7811 participants (63.2% female), of whom 1004 (13.3%) met criteria for PI-IBS, were studied. Seventy per cent of PI-IBS patients described sudden onset, 35% onset while travelling, 49.6% vomiting, 49.9% fever and 20.3% bloody diarrhoea. Compared to other IBS individuals, PI-IBS was significantly associated with living in Northern Europe and North America, having a hysterectomy, not having an appendicectomy, higher PHQ12-SS score and having more than one toilet in the family home. PI-IBS patients had more frequent stools. At one year recovery rate in the PI-IBS and non-PI-IBS group was 19.7% and 22.2%, p = 0.15. Recovery rates were lower for females (20.7%) vs males (38.8%), those with somatisation (23.0%) vs those without (33.2%) and those living in North America or Northern Europe (21.1%) vs living elsewhere (33.9%) p ≤ 0.001. Conclusion: PI-IBS accounts for around 13% of all IBS in this internet sample, with some distinctive features but a similar prognosis to the remainder.","author":[{"dropping-particle":"","family":"Card","given":"Tim","non-dropping-particle":"","parse-names":false,"suffix":""},{"dropping-particle":"","family":"Enck","given":"Paul","non-dropping-particle":"","parse-names":false,"suffix":""},{"dropping-particle":"","family":"Barbara","given":"Giovanni","non-dropping-particle":"","parse-names":false,"suffix":""},{"dropping-particle":"","family":"Boeckxstaens","given":"Guy E.E.","non-dropping-particle":"","parse-names":false,"suffix":""},{"dropping-particle":"","family":"Santos","given":"Javier","non-dropping-particle":"","parse-names":false,"suffix":""},{"dropping-particle":"","family":"Azpiroz","given":"Fernando","non-dropping-particle":"","parse-names":false,"suffix":""},{"dropping-particle":"","family":"Mearin","given":"Fermin","non-dropping-particle":"","parse-names":false,"suffix":""},{"dropping-particle":"","family":"Aziz","given":"Qasim","non-dropping-particle":"","parse-names":false,"suffix":""},{"dropping-particle":"","family":"Marshall","given":"John","non-dropping-particle":"","parse-names":false,"suffix":""},{"dropping-particle":"","family":"Spiller","given":"Robin","non-dropping-particle":"","parse-names":false,"suffix":""}],"container-title":"United European Gastroenterology Journal","id":"ITEM-1","issue":"8","issued":{"date-parts":[["2018"]]},"page":"1245-1253","title":"Post-infectious IBS: Defining its clinical features and prognosis using an internet-based survey","type":"article-journal","volume":"6"},"uris":["http://www.mendeley.com/documents/?uuid=12646cad-5c7d-40c2-9f17-71fab5702c36"]}],"mendeley":{"formattedCitation":"&lt;sup&gt;9&lt;/sup&gt;","plainTextFormattedCitation":"9","previouslyFormattedCitation":"&lt;sup&gt;9&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9</w:t>
      </w:r>
      <w:r w:rsidR="00956E8C"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t>
      </w:r>
      <w:r w:rsidR="007417C4" w:rsidRPr="00BA6F83">
        <w:rPr>
          <w:rFonts w:asciiTheme="minorHAnsi" w:hAnsiTheme="minorHAnsi"/>
          <w:color w:val="000000" w:themeColor="text1"/>
          <w:lang w:val="en-US"/>
        </w:rPr>
        <w:t>A hypothetical model even suggests that the population-based prevalence of IBS may nearly all be explained by acute gastroenteritis</w:t>
      </w:r>
      <w:r w:rsidR="00175495"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{"citationItems":[{"id":"ITEM-1","itemData":{"DOI":"10.5056/jnm.2012.18.2.200","ISSN":"20930879","abstract":"Background/Aims: Recent studies reveal that acute gastroenteritis can precipitate irritable bowel syndrome (IBS) symptoms leading to the concept of post-infectious IBS. However, the overall contribution of gastroenteritis to the total IBS prevalence is unknown. In this exercise we try to estimate the contribution of gastroenteritis in IBS using the published literature and a longitudinal approach. Methods: Existing literature was reviewed to determine the incidence of IBS after gastroenteritis, the rate of remission over time, data on rates of gastroenteritis in a given population and any patterns of resistance to these effects in human populations. This produced 3 models. The first assumed all humans were susceptible to gastroenteritis and its ability to produce IBS. The second assumed (using meta-analysis data) that 90% of humans in a given outbreak would be resistant to this effect. The third model used a high gastroenteritis exposure rate as might be seen in military deployment. Results: In model 1, the prevalence was unrealistically high with an eventual steady state of 43.6% of the population affected by IBS. In a very conservative approach (model 2), steady state was achieved after 10 years to an overall prevalence of 8.9%. Interestingly, based on a high 1 year exposure rate such as military deployment, the maximum prevalence (steady state) was reached before 1 year suggesting high risk. Conclusions: Although hypothetical in approach, based on conservative estimates in existing literature the contribution of gastroenteritis to the overall prevalence of IBS is substantial. © 2012 The Korean Society of Neurogastroenterology and Motility.","author":[{"dropping-particle":"","family":"Shah","given":"Eric D.","non-dropping-particle":"","parse-names":false,"suffix":""},{"dropping-particle":"","family":"Riddle","given":"Mark S.","non-dropping-particle":"","parse-names":false,"suffix":""},{"dropping-particle":"","family":"Chang","given":"Christopher","non-dropping-particle":"","parse-names":false,"suffix":""},{"dropping-particle":"","family":"Pimentel","given":"Mark","non-dropping-particle":"","parse-names":false,"suffix":""}],"container-title":"Journal of Neurogastroenterology and Motility","id":"ITEM-1","issue":"2","issued":{"date-parts":[["2012"]]},"page":"200-4","title":"Estimating the contribution of acute gastroenteritis to the overall prevalence of irritable bowel syndrome","type":"article-journal","volume":"18"},"uris":["http://www.mendeley.com/documents/?uuid=e665ca68-bdff-471b-ab87-72c15cbb3237"]}],"mendeley":{"formattedCitation":"&lt;sup&gt;10&lt;/sup&gt;","plainTextFormattedCitation":"10","previouslyFormattedCitation":"&lt;sup&gt;10&lt;/sup&gt;"},"properties":{"noteIndex":0},"schema":"https://github.com/citation-style-language/schema/raw/master/csl-citation.json"}</w:instrText>
      </w:r>
      <w:r w:rsidR="00175495"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10</w:t>
      </w:r>
      <w:r w:rsidR="00175495" w:rsidRPr="00BA6F83">
        <w:rPr>
          <w:rFonts w:asciiTheme="minorHAnsi" w:hAnsiTheme="minorHAnsi"/>
          <w:color w:val="000000" w:themeColor="text1"/>
          <w:lang w:val="en-US"/>
        </w:rPr>
        <w:fldChar w:fldCharType="end"/>
      </w:r>
      <w:r w:rsidR="007417C4" w:rsidRPr="00BA6F83">
        <w:rPr>
          <w:rFonts w:asciiTheme="minorHAnsi" w:hAnsiTheme="minorHAnsi"/>
          <w:color w:val="000000" w:themeColor="text1"/>
          <w:lang w:val="en-US"/>
        </w:rPr>
        <w:t xml:space="preserve">. </w:t>
      </w:r>
      <w:r w:rsidR="00666FC6" w:rsidRPr="00BA6F83">
        <w:rPr>
          <w:rFonts w:asciiTheme="minorHAnsi" w:hAnsiTheme="minorHAnsi"/>
          <w:color w:val="000000" w:themeColor="text1"/>
          <w:lang w:val="en-US"/>
        </w:rPr>
        <w:t xml:space="preserve">Over 10% of the general population experience IBS symptoms, </w:t>
      </w:r>
      <w:r w:rsidR="00671B7A">
        <w:rPr>
          <w:rFonts w:asciiTheme="minorHAnsi" w:hAnsiTheme="minorHAnsi"/>
          <w:color w:val="000000" w:themeColor="text1"/>
          <w:lang w:val="en-US"/>
        </w:rPr>
        <w:t>of</w:t>
      </w:r>
      <w:r w:rsidR="00671B7A"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which food ingestion is one of the most common triggers</w:t>
      </w:r>
      <w:r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{"citationItems":[{"id":"ITEM-1","itemData":{"DOI":"10.1056/NEJMra1607547","ISBN":"9780702036408","ISSN":"0028-4793","PMID":"28657875","abstract":"The irritable bowel syndrome (IBS) is a chronic and sometimes disabling functional bowel disorder.1,2 Traditionally, this functional diag- nostic label has been applied when no obvious structural or biochemical abnormalities are found, but emerging evidence suggests that distinct patho- T physiological disturbances may account for the symptoms and that IBS is unlikely to be one disease or merely a psychiatric (somatosensory) disorder.2 The Rome IV criteria,1 derived from a consensus process by a multinational group of experts in functional gastrointestinal disorders, constitute the current standard for diagnos- ing IBS. According to these criteria, IBS is diagnosed on the basis of recurrent abdominal pain related to defecation or in association with a change in stool frequency or form (Table 1). Bloating is a common accompanying symptom. Symp- toms must be chronic, occurring at least once per week, on average, in the previous 3 months, with a duration of at least 6 months. IBS negatively affects quality of life and work productivity. It has been esti- mated that patients would give up 10 to 15 years of life expectancy for an instant cure of the disease.3 The prevalence of IBS in the United States is between 7% and 16%, and the condition is most common in women and young people.4 Direct costs associated with IBS in the United States have been estimated, conservatively, at more than $1 billion.5 Thus, diagnosing IBS accurately, minimizing invasive inves- tigations, and recommending effective treatment have an important role in efforts to","author":[{"dropping-particle":"","family":"Ford","given":"Alexander C.","non-dropping-particle":"","parse-names":false,"suffix":""},{"dropping-particle":"","family":"Lacy","given":"Brian E.","non-dropping-particle":"","parse-names":false,"suffix":""},{"dropping-particle":"","family":"Talley","given":"Nicholas J.","non-dropping-particle":"","parse-names":false,"suffix":""}],"container-title":"New England Journal of Medicine","id":"ITEM-1","issue":"26","issued":{"date-parts":[["2017"]]},"page":"2566-2578","title":"Irritable Bowel Syndrome","type":"article-journal","volume":"376"},"uris":["http://www.mendeley.com/documents/?uuid=08666256-cf78-4242-b401-4395140d765c"]},{"id":"ITEM-2","itemData":{"DOI":"10.1053/j.gastro.2016.02.031","ISBN":"1528-0012 (Electronic) 0016-5085 (Linking)","ISSN":"15280012","PMID":"27144627","abstract":"Functional bowel disorders are highly prevalent disorders found worldwide. These disorders have the potential to affect all members of society, regardless of age, sex, race, creed, color, or socioeconomic status. Improving our understanding of functional bowel disorders (FBD) is critical, as they impose a negative economic impact to the global health care system in addition to reducing quality of life. Research in the basic and clinical sciences during the past decade has produced new information on the epidemiology, etiology, pathophysiology, diagnosis, and treatment of FBDs. These important findings created a need to revise the Rome III criteria for FBDs, last published in 2006. This article classifies the FBDs into 5 distinct categories: irritable bowel syndrome, functional constipation, functional diarrhea, functional abdominal bloating/distention, and unspecified FBD. Also included in this article is a new sixth category, opioid-induced constipation, which is distinct from the functional bowel disorders (FBDs). Each disorder will first be defined, followed by sections on epidemiology, rationale for changes from prior criteria, clinical evaluation, physiologic features, psychosocial features, and treatment. It is the hope of this committee that this new information will assist both clinicians and researchers in the decade to come.","author":[{"dropping-particle":"","family":"Lacy","given":"Brian E.","non-dropping-particle":"","parse-names":false,"suffix":""},{"dropping-particle":"","family":"Mearin","given":"Fermín","non-dropping-particle":"","parse-names":false,"suffix":""},{"dropping-particle":"","family":"Chang","given":"Lin","non-dropping-particle":"","parse-names":false,"suffix":""},{"dropping-particle":"","family":"Chey","given":"William D.","non-dropping-particle":"","parse-names":false,"suffix":""},{"dropping-particle":"","family":"Lembo","given":"Anthony J.","non-dropping-particle":"","parse-names":false,"suffix":""},{"dropping-particle":"","family":"Simren","given":"Magnus","non-dropping-particle":"","parse-names":false,"suffix":""},{"dropping-particle":"","family":"Spiller","given":"Robin","non-dropping-particle":"","parse-names":false,"suffix":""}],"container-title":"Gastroenterology","id":"ITEM-2","issue":"6","issued":{"date-parts":[["2016"]]},"page":"1393-1407e5","publisher":"Elsevier, Inc","title":"Bowel disorders","type":"article-journal","volume":"150"},"uris":["http://www.mendeley.com/documents/?uuid=415a11b0-d0fa-4ab6-ad49-5016385552a8"]}],"mendeley":{"formattedCitation":"&lt;sup&gt;11,12&lt;/sup&gt;","plainTextFormattedCitation":"11,12","previouslyFormattedCitation":"&lt;sup&gt;11,12&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11,12</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t>
      </w:r>
      <w:r w:rsidR="00671B7A">
        <w:rPr>
          <w:rFonts w:asciiTheme="minorHAnsi" w:hAnsiTheme="minorHAnsi"/>
          <w:color w:val="000000" w:themeColor="text1"/>
          <w:lang w:val="en-US"/>
        </w:rPr>
        <w:t>Furthermore, u</w:t>
      </w:r>
      <w:r w:rsidRPr="00BA6F83">
        <w:rPr>
          <w:rFonts w:asciiTheme="minorHAnsi" w:hAnsiTheme="minorHAnsi"/>
          <w:color w:val="000000" w:themeColor="text1"/>
          <w:lang w:val="en-US"/>
        </w:rPr>
        <w:t>p to 84% of patients suffering from IBS report that initiation or exacerbation of their symptoms is associated with food intake, in particular with dairy products, wheat</w:t>
      </w:r>
      <w:r w:rsidR="007417C4" w:rsidRPr="00BA6F83">
        <w:rPr>
          <w:rFonts w:asciiTheme="minorHAnsi" w:hAnsiTheme="minorHAnsi"/>
          <w:color w:val="000000" w:themeColor="text1"/>
          <w:lang w:val="en-US"/>
        </w:rPr>
        <w:t xml:space="preserve"> and</w:t>
      </w:r>
      <w:r w:rsidRPr="00BA6F83">
        <w:rPr>
          <w:rFonts w:asciiTheme="minorHAnsi" w:hAnsiTheme="minorHAnsi"/>
          <w:color w:val="000000" w:themeColor="text1"/>
          <w:lang w:val="en-US"/>
        </w:rPr>
        <w:t xml:space="preserve"> gluten</w:t>
      </w:r>
      <w:r w:rsidR="00956E8C"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{"citationItems":[{"id":"ITEM-1","itemData":{"DOI":"10.1038/ajg.2013.105","ISBN":"1572-0241 (Electronic)\\n0002-9270 (Linking)","ISSN":"00029270","PMID":"23644955","abstract":"OBJECTIVES: Despite the fact that food and diet are central issues, that concern patients with irritable bowel syndrome (IBS), the current understanding about the association between the intake of certain foods/food groups and the gastrointestinal (GI) symptom pattern, psychological symptoms, and quality of life is poor. The aim of this study was to determine which food groups and specific food items IBS patients report causing GI symptoms, and to investigate the association with GI and psychological symptoms and quality of life. METHODS: We included 197 IBS patients (mean age 35 (18-72) years; 142 female subjects) who completed a food questionnaire in which they specified symptoms from 56 different food items or food groups relevant to food intolerance/allergy. The patients also completed questionnaires to assess depression and general anxiety (Hospital Anxiety and Depression), GI-specific anxiety (Visceral Sensitivity Index), IBS symptoms (IBS-Severity Scoring System), somatic symptoms (Patient Health Questionnaire-15), and quality of life (Irritable Bowel Syndrome Quality of Life Questionnaire). RESULTS: In all, 84% of the studied population reported symptoms related to at least one of the food items surveyed. Symptoms related to intake of food items with incompletely absorbed carbohydrates were noted in 138 (70%) patients; the most common were dairy products (49%), beans/lentils (36%), apple (28%), flour (24%), and plum (23%). Of these, 58% experienced GI symptoms from foods rich in biogenic amines, such as wine/beer (31%), salami (22%), and cheese (20%). Histamine-releasing foods, such as milk (43%), wine/beer (31%), and pork (21%), were also considered causes of symptoms in IBS patients. GI symptoms were also frequently reported after intake of fried and fatty foods (52%). With increasing IBS symptom severity, patients reported more food items responsible for their GI symptoms (P=0.004), and this was also found in patients with more severe somatic symptoms (P&lt;0.0001). Women tended to report more food items causing symptoms than men (P=0.06). A high number of food items causing GI symptoms was also associated with reduced quality of life and this was significant for the following domains: sleep (r=-0.25; P=0.001), energy (r=-0.21; P=0.005), food (r=-0.29; P&lt;0.001), social functioning (r=-0.23; P=0.001), and physical status (r=-0.16; P&lt;0.05). However, the number of food items reported to provoke GI symptoms was unrelated to body mass index, age, IBS…","author":[{"dropping-particle":"","family":"Böhn","given":"Lena","non-dropping-particle":"","parse-names":false,"suffix":""},{"dropping-particle":"","family":"Störsrud","given":"Stine","non-dropping-particle":"","parse-names":false,"suffix":""},{"dropping-particle":"","family":"Törnblom","given":"Hans","non-dropping-particle":"","parse-names":false,"suffix":""},{"dropping-particle":"","family":"Bengtsson","given":"Ulf","non-dropping-particle":"","parse-names":false,"suffix":""},{"dropping-particle":"","family":"Simrén","given":"Magnus","non-dropping-particle":"","parse-names":false,"suffix":""}],"container-title":"American Journal of Gastroenterology","id":"ITEM-1","issue":"5","issued":{"date-parts":[["2013"]]},"page":"634-641","title":"Self-reported food-related gastrointestinal symptoms in IBS are common and associated with more severe symptoms and reduced quality of life","type":"article-journal","volume":"108"},"uris":["http://www.mendeley.com/documents/?uuid=1483c0b2-4669-4f77-ba43-81eef34feb9a"]}],"mendeley":{"formattedCitation":"&lt;sup&gt;13&lt;/sup&gt;","plainTextFormattedCitation":"13","previouslyFormattedCitation":"&lt;sup&gt;13&lt;/sup&gt;"},"properties":{"noteIndex":0},"schema":"https://github.com/citation-style-language/schema/raw/master/csl-citation.json"}</w:instrText>
      </w:r>
      <w:r w:rsidR="00956E8C"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13</w:t>
      </w:r>
      <w:r w:rsidR="00956E8C"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IBS is a debilitating and difficult-to-treat condition for which no curative therapies are currently available. To date, treatment is confined to dietary measures avoiding fermentable oligo-, di-, monos</w:t>
      </w:r>
      <w:r w:rsidR="007417C4" w:rsidRPr="00BA6F83">
        <w:rPr>
          <w:rFonts w:asciiTheme="minorHAnsi" w:hAnsiTheme="minorHAnsi"/>
          <w:color w:val="000000" w:themeColor="text1"/>
          <w:lang w:val="en-US"/>
        </w:rPr>
        <w:t>a</w:t>
      </w:r>
      <w:r w:rsidRPr="00BA6F83">
        <w:rPr>
          <w:rFonts w:asciiTheme="minorHAnsi" w:hAnsiTheme="minorHAnsi"/>
          <w:color w:val="000000" w:themeColor="text1"/>
          <w:lang w:val="en-US"/>
        </w:rPr>
        <w:t xml:space="preserve">ccharides and polyols (FODMAPs), gluten-containing and fatty foods combined with prokinetic or anti-diarrheal drugs. However, the main and most </w:t>
      </w:r>
      <w:r w:rsidR="00E034B6" w:rsidRPr="00BA6F83">
        <w:rPr>
          <w:rFonts w:asciiTheme="minorHAnsi" w:hAnsiTheme="minorHAnsi"/>
          <w:color w:val="000000" w:themeColor="text1"/>
          <w:lang w:val="en-US"/>
        </w:rPr>
        <w:t>debilitating</w:t>
      </w:r>
      <w:r w:rsidRPr="00BA6F83">
        <w:rPr>
          <w:rFonts w:asciiTheme="minorHAnsi" w:hAnsiTheme="minorHAnsi"/>
          <w:color w:val="000000" w:themeColor="text1"/>
          <w:lang w:val="en-US"/>
        </w:rPr>
        <w:t xml:space="preserve"> symptom, </w:t>
      </w:r>
      <w:r w:rsidRPr="00BA6F83">
        <w:rPr>
          <w:rFonts w:asciiTheme="minorHAnsi" w:hAnsiTheme="minorHAnsi"/>
          <w:i/>
          <w:iCs/>
          <w:color w:val="000000" w:themeColor="text1"/>
          <w:lang w:val="en-US"/>
        </w:rPr>
        <w:t>i.e.</w:t>
      </w:r>
      <w:r w:rsidRPr="00BA6F83">
        <w:rPr>
          <w:rFonts w:asciiTheme="minorHAnsi" w:hAnsiTheme="minorHAnsi"/>
          <w:color w:val="000000" w:themeColor="text1"/>
          <w:lang w:val="en-US"/>
        </w:rPr>
        <w:t xml:space="preserve"> abdominal pain, remains largely unaffected. Hence, IBS is associated with high health care costs mainly as </w:t>
      </w:r>
      <w:r w:rsidR="00671B7A">
        <w:rPr>
          <w:rFonts w:asciiTheme="minorHAnsi" w:hAnsiTheme="minorHAnsi"/>
          <w:color w:val="000000" w:themeColor="text1"/>
          <w:lang w:val="en-US"/>
        </w:rPr>
        <w:t>its</w:t>
      </w:r>
      <w:r w:rsidRPr="00BA6F83">
        <w:rPr>
          <w:rFonts w:asciiTheme="minorHAnsi" w:hAnsiTheme="minorHAnsi"/>
          <w:color w:val="000000" w:themeColor="text1"/>
          <w:lang w:val="en-US"/>
        </w:rPr>
        <w:t xml:space="preserve"> etiology and pathophysiology are only partly understood. Aberrant pain signaling or visceral hypersensitivity (VHS) to chemical and mechanical stimuli is a hallmark symptom of IBS. In </w:t>
      </w:r>
      <w:r w:rsidRPr="00BA6F83">
        <w:rPr>
          <w:rFonts w:asciiTheme="minorHAnsi" w:hAnsiTheme="minorHAnsi"/>
          <w:color w:val="000000" w:themeColor="text1"/>
          <w:lang w:val="en-US"/>
        </w:rPr>
        <w:lastRenderedPageBreak/>
        <w:t>addition, increased mast cell (MC) numbers and release of MC</w:t>
      </w:r>
      <w:r w:rsidR="00FA1A8B" w:rsidRPr="00BA6F83">
        <w:rPr>
          <w:rFonts w:asciiTheme="minorHAnsi" w:hAnsiTheme="minorHAnsi"/>
          <w:color w:val="000000" w:themeColor="text1"/>
          <w:lang w:val="en-US"/>
        </w:rPr>
        <w:t>-</w:t>
      </w:r>
      <w:r w:rsidRPr="00BA6F83">
        <w:rPr>
          <w:rFonts w:asciiTheme="minorHAnsi" w:hAnsiTheme="minorHAnsi"/>
          <w:color w:val="000000" w:themeColor="text1"/>
          <w:lang w:val="en-US"/>
        </w:rPr>
        <w:t>mediators ha</w:t>
      </w:r>
      <w:r w:rsidR="00AA4439">
        <w:rPr>
          <w:rFonts w:asciiTheme="minorHAnsi" w:hAnsiTheme="minorHAnsi"/>
          <w:color w:val="000000" w:themeColor="text1"/>
          <w:lang w:val="en-US"/>
        </w:rPr>
        <w:t>ve</w:t>
      </w:r>
      <w:r w:rsidRPr="00BA6F83">
        <w:rPr>
          <w:rFonts w:asciiTheme="minorHAnsi" w:hAnsiTheme="minorHAnsi"/>
          <w:color w:val="000000" w:themeColor="text1"/>
          <w:lang w:val="en-US"/>
        </w:rPr>
        <w:t xml:space="preserve"> been proposed to underly VHS</w:t>
      </w:r>
      <w:r w:rsidR="00D465C0">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{"citationItems":[{"id":"ITEM-1","itemData":{"DOI":"10.1053/j.gastro.2006.11.039","ISBN":"0016-5085 (Print)\\r0016-5085 (Linking)","ISSN":"00165085","PMID":"17241857","abstract":"Background &amp; Aims: Intestinal mast cell infiltration may participate to abdominal pain in irritable bowel syndrome (IBS) patients. However, the underlying mechanisms remain unknown. We assessed the effect of mast cell mediators released from the colonic mucosa of IBS patients on the activation of rat sensory neurons in vitro. Methods: Colonic mast cell infiltration and mediator release were assessed with quantitative immunoflorescence and immunoenzymatic assays. The effect of mucosal mediators was tested on mesenteric sensory nerve firing and Ca2+mobilization in dorsal root ganglia in rats. Results: Mediators from IBS patients, but not controls, markedly enhanced the firing of mesenteric nerves (14.7 ± 3.2 imp/sec vs 2.8 ± 1.5 imp/sec; P &lt; .05) and stimulated mobilization of Ca2+in dorsal root ganglia neurons (29% ± 4% vs 11% ± 4%; P &lt; .05). On average, 64% of dorsal root ganglia responsive to mediators were capsaicin-sensitive, known to mediate nociception. Histamine and tryptase were mainly localized to mucosal mast cells. IBS-dependent nerve firing and Ca2+mobilization were correlated with the area of the colonic lamina propria occupied by mast cells (r = 0.74; P &lt; .01, and r = 0.78; P &lt; .01, respectively). IBS-dependent excitation of dorsal root ganglia was inhibited by histamine H1receptor blockade and serine protease inactivation (inhibition of 51.7%; P &lt; .05 and 74.5%; P &lt; .05; respectively). Conclusions: Mucosal mast cell mediators from IBS patients excite rat nociceptive visceral sensory nerves. These results provide new insights into the mechanism underlying visceral hypersensitivity in IBS. © 2007 AGA Institute.","author":[{"dropping-particle":"","family":"Barbara","given":"Giovanni","non-dropping-particle":"","parse-names":false,"suffix":""},{"dropping-particle":"","family":"Wang","given":"Bingxian","non-dropping-particle":"","parse-names":false,"suffix":""},{"dropping-particle":"","family":"Stanghellini","given":"Vincenzo","non-dropping-particle":"","parse-names":false,"suffix":""},{"dropping-particle":"","family":"Giorgio","given":"Roberto","non-dropping-particle":"de","parse-names":false,"suffix":""},{"dropping-particle":"","family":"Cremon","given":"Cesare","non-dropping-particle":"","parse-names":false,"suffix":""},{"dropping-particle":"","family":"Nardo","given":"Giovanni","non-dropping-particle":"Di","parse-names":false,"suffix":""},{"dropping-particle":"","family":"Trevisani","given":"Marcello","non-dropping-particle":"","parse-names":false,"suffix":""},{"dropping-particle":"","family":"Campi","given":"Barbara","non-dropping-particle":"","parse-names":false,"suffix":""},{"dropping-particle":"","family":"Geppetti","given":"Pierangelo","non-dropping-particle":"","parse-names":false,"suffix":""},{"dropping-particle":"","family":"Tonini","given":"Marcello","non-dropping-particle":"","parse-names":false,"suffix":""},{"dropping-particle":"","family":"Bunnett","given":"Nigel W.","non-dropping-particle":"","parse-names":false,"suffix":""},{"dropping-particle":"","family":"Grundy","given":"David","non-dropping-particle":"","parse-names":false,"suffix":""},{"dropping-particle":"","family":"Corinaldesi","given":"Roberto","non-dropping-particle":"","parse-names":false,"suffix":""}],"container-title":"Gastroenterology","id":"ITEM-1","issue":"1","issued":{"date-parts":[["2007"]]},"page":"26-37","title":"Mast Cell-Dependent Excitation of Visceral-Nociceptive Sensory Neurons in Irritable Bowel Syndrome","type":"article-journal","volume":"132"},"uris":["http://www.mendeley.com/documents/?uuid=58bb5ffe-02c7-4b7d-b21f-e31b7d52e43e"]},{"id":"ITEM-2","itemData":{"abstract":"Previously, we showed histamine-mediated sensitization of TRP vanilloid 1 (TRPV1) in patients with irritable bowel syndrome (IBS). Sensitization of TRP ankyrin 1 (TRPA1) and TRP vanilloid 4 (TRPV4) are also involved in aberrant pain perception in preclinical models of somatic pain. Here, we hypothesize that in parallel with TRPV1, histamine sensitizes TRPA1 and TRPV4, contributing to increased visceral pain in patients with IBS. Rectal biopsies were collected from IBS patients and healthy subjects (HS) to study neuronal sensitivity to TRPA1 and TRPV4 agonists (cinnamaldehyde and GSK1016790A) using intracellular Ca2+ imaging. In addition, the effect of supernatants of rectal biopsies on IBS patients and HS was assessed on TRPA1 and TRPV4 responses in murine dorsal root ganglia (DRG) sensory neurons. Finally, we evaluated the role of histamine and histamine 1 receptor (H1R) in TRPA1 and TRPV4 sensitization. Application of TRPA1 and TRPV4 agonists evoked significantly higher peak amplitudes and percentage of responding submucosal neurons in biopsies of IBS patients compared to HS. In HS, pretreatment with histamine significantly increased the Ca2+ responses to cinnamaldehyde and GSK1016790A, an effect prevented by H1R antagonism. IBS supernatants, but not of HS, sensitized TRPA1 and TRPV4 on DRG neurons. This effect was reproduced by histamine and prevented by H1R antagonism. We demonstrate that the mucosal microenvironment in IBS contains mediators, such as histamine, which sensitize TRPV4 and TRPA1 via H1R activation, most likely contributing to increased visceral pain perception in IBS. These data further underscore H1R antagonism as potential treatment for IBS.","author":[{"dropping-particle":"","family":"Dafne Balemans, Javier Aguilera-Lizarraga, Morgane V Florens, Piyush Jain, Alexandre Denadai-Souza, Maria Francesca Viola, Yeranddy Aguiar Alpizar, Schalk Van Der Merwe, Pieter Vanden Berghe, Karel Talavera, Stephen J. Vanner, Mira M Wouters","given":"and Guy E Boeckxstaens","non-dropping-particle":"","parse-names":false,"suffix":""}],"container-title":"American journal of physiology. Gastrointestinal and liver physiology - Gastrointestinal and liver physiology","id":"ITEM-2","issued":{"date-parts":[["2019"]]},"title":"Histamine-mediated potentiation of TRPA1 and TRPV4 signaling in submucosal neurons in IBS patients.","type":"article-journal"},"uris":["http://www.mendeley.com/documents/?uuid=8cc668b5-1f5b-4327-87d9-cafd95b5b357"]}],"mendeley":{"formattedCitation":"&lt;sup&gt;14,15&lt;/sup&gt;","plainTextFormattedCitation":"14,15","previouslyFormattedCitation":"&lt;sup&gt;14,15&lt;/sup&gt;"},"properties":{"noteIndex":0},"schema":"https://github.com/citation-style-language/schema/raw/master/csl-citation.json"}</w:instrText>
      </w:r>
      <w:r w:rsidR="00D465C0">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14,15</w:t>
      </w:r>
      <w:r w:rsidR="00D465C0">
        <w:rPr>
          <w:rFonts w:asciiTheme="minorHAnsi" w:hAnsiTheme="minorHAnsi"/>
          <w:color w:val="000000" w:themeColor="text1"/>
          <w:lang w:val="en-US"/>
        </w:rPr>
        <w:fldChar w:fldCharType="end"/>
      </w:r>
      <w:r w:rsidRPr="00BA6F83">
        <w:rPr>
          <w:rFonts w:asciiTheme="minorHAnsi" w:hAnsiTheme="minorHAnsi"/>
          <w:color w:val="000000" w:themeColor="text1"/>
          <w:lang w:val="en-US"/>
        </w:rPr>
        <w:t>, although the stimuli responsible for the activation of MC in IBS, especially in response to food intake, remain unclear.</w:t>
      </w:r>
    </w:p>
    <w:p w14:paraId="7E3BFC48" w14:textId="058347C6" w:rsidR="001B2468" w:rsidRDefault="00902061" w:rsidP="00160B68">
      <w:pPr>
        <w:autoSpaceDE w:val="0"/>
        <w:autoSpaceDN w:val="0"/>
        <w:adjustRightInd w:val="0"/>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As</w:t>
      </w:r>
      <w:r w:rsidRPr="00BA6F83">
        <w:rPr>
          <w:rFonts w:asciiTheme="minorHAnsi" w:hAnsiTheme="minorHAnsi"/>
          <w:b/>
          <w:color w:val="000000" w:themeColor="text1"/>
          <w:lang w:val="en-US"/>
        </w:rPr>
        <w:t xml:space="preserve"> </w:t>
      </w:r>
      <w:r w:rsidR="00D81E4B" w:rsidRPr="00BA6F83">
        <w:rPr>
          <w:rFonts w:asciiTheme="minorHAnsi" w:hAnsiTheme="minorHAnsi"/>
          <w:color w:val="000000" w:themeColor="text1"/>
          <w:lang w:val="en-US"/>
        </w:rPr>
        <w:t xml:space="preserve">a viral infection can break oral tolerance </w:t>
      </w:r>
      <w:r w:rsidR="00814472" w:rsidRPr="00BA6F83">
        <w:rPr>
          <w:rFonts w:asciiTheme="minorHAnsi" w:hAnsiTheme="minorHAnsi"/>
          <w:color w:val="000000" w:themeColor="text1"/>
          <w:lang w:val="en-US"/>
        </w:rPr>
        <w:t>and trigger a</w:t>
      </w:r>
      <w:r w:rsidR="00BA04E6" w:rsidRPr="00BA6F83">
        <w:rPr>
          <w:rFonts w:asciiTheme="minorHAnsi" w:hAnsiTheme="minorHAnsi"/>
          <w:color w:val="000000" w:themeColor="text1"/>
          <w:lang w:val="en-US"/>
        </w:rPr>
        <w:t>n</w:t>
      </w:r>
      <w:r w:rsidR="00814472" w:rsidRPr="00BA6F83">
        <w:rPr>
          <w:rFonts w:asciiTheme="minorHAnsi" w:hAnsiTheme="minorHAnsi"/>
          <w:color w:val="000000" w:themeColor="text1"/>
          <w:lang w:val="en-US"/>
        </w:rPr>
        <w:t xml:space="preserve"> immune response against dietary antigens</w:t>
      </w:r>
      <w:r w:rsidR="0094501B" w:rsidRPr="00BA6F83">
        <w:rPr>
          <w:rFonts w:asciiTheme="minorHAnsi" w:hAnsiTheme="minorHAnsi"/>
          <w:color w:val="000000" w:themeColor="text1"/>
          <w:lang w:val="en-US"/>
        </w:rPr>
        <w:t xml:space="preserve"> in coeliac disease</w:t>
      </w:r>
      <w:r w:rsidR="00A4619E" w:rsidRPr="00BA6F83">
        <w:rPr>
          <w:rFonts w:asciiTheme="minorHAnsi" w:hAnsiTheme="minorHAnsi"/>
          <w:color w:val="000000" w:themeColor="text1"/>
          <w:lang w:val="en-US"/>
        </w:rPr>
        <w:fldChar w:fldCharType="begin" w:fldLock="1"/>
      </w:r>
      <w:r w:rsidR="00956E8C" w:rsidRPr="00BA6F83">
        <w:rPr>
          <w:rFonts w:asciiTheme="minorHAnsi" w:hAnsiTheme="minorHAnsi"/>
          <w:color w:val="000000" w:themeColor="text1"/>
          <w:lang w:val="en-US"/>
        </w:rPr>
        <w:instrText>ADDIN CSL_CITATION {"citationItems":[{"id":"ITEM-1","itemData":{"DOI":"10.1126/science.aah5298","ISBN":"1095-9203 (Electronic) 0036-8075 (Linking)","ISSN":"10959203","PMID":"28386004","abstract":"Viral infections have been proposed to elicit pathological processes leading to the initiation of T helper 1 (TH1) immunity against dietary gluten and celiac disease (CeD). To test this hypothesis and gain insights into mechanisms underlying virus-induced loss of tolerance to dietary antigens, we developed a viral infection model that makes use of two reovirus strains that infect the intestine but differ in their immunopathological outcomes. Reovirus is an avirulent pathogen that elicits protective immunity, but we discovered that it can nonetheless disrupt intestinal immune homeostasis at inductive and effector sites of oral tolerance by suppressing peripheral regulatory T cell (pTreg) conversion and promoting TH1 immunity to dietary antigen. Initiation of TH1 immunity to dietary antigen was dependent on interferon regulatory factor 1 and dissociated from suppression of pTreg conversion, which was mediated by type-1 interferon. Last, our study in humans supports a role for infection with reovirus, a seemingly innocuous virus, in triggering the development of CeD.","author":[{"dropping-particle":"","family":"Bouziat","given":"Romain","non-dropping-particle":"","parse-names":false,"suffix":""},{"dropping-particle":"","family":"Hinterleitner","given":"Reinhard","non-dropping-particle":"","parse-names":false,"suffix":""},{"dropping-particle":"","family":"Brown","given":"Judy J.","non-dropping-particle":"","parse-names":false,"suffix":""},{"dropping-particle":"","family":"Stencel-Baerenwald","given":"Jennifer E.","non-dropping-particle":"","parse-names":false,"suffix":""},{"dropping-particle":"","family":"Ikizler","given":"Mine","non-dropping-particle":"","parse-names":false,"suffix":""},{"dropping-particle":"","family":"Mayassi","given":"Toufic","non-dropping-particle":"","parse-names":false,"suffix":""},{"dropping-particle":"","family":"Meisel","given":"Marlies","non-dropping-particle":"","parse-names":false,"suffix":""},{"dropping-particle":"","family":"Kim","given":"Sangman M.","non-dropping-particle":"","parse-names":false,"suffix":""},{"dropping-particle":"","family":"Discepolo","given":"Valentina","non-dropping-particle":"","parse-names":false,"suffix":""},{"dropping-particle":"","family":"Pruijssers","given":"Andrea J.","non-dropping-particle":"","parse-names":false,"suffix":""},{"dropping-particle":"","family":"Ernest","given":"Jordan D.","non-dropping-particle":"","parse-names":false,"suffix":""},{"dropping-particle":"","family":"Iskarpatyoti","given":"Jason A.","non-dropping-particle":"","parse-names":false,"suffix":""},{"dropping-particle":"","family":"Costes","given":"Léa M.M.","non-dropping-particle":"","parse-names":false,"suffix":""},{"dropping-particle":"","family":"Lawrence","given":"Ian","non-dropping-particle":"","parse-names":false,"suffix":""},{"dropping-particle":"","family":"Palanski","given":"Brad A.","non-dropping-particle":"","parse-names":false,"suffix":""},{"dropping-particle":"","family":"Varma","given":"Mukund","non-dropping-particle":"","parse-names":false,"suffix":""},{"dropping-particle":"","family":"Zurenski","given":"Matthew A.","non-dropping-particle":"","parse-names":false,"suffix":""},{"dropping-particle":"","family":"Khomandiak","given":"Solomiia","non-dropping-particle":"","parse-names":false,"suffix":""},{"dropping-particle":"","family":"McAllister","given":"Nicole","non-dropping-particle":"","parse-names":false,"suffix":""},{"dropping-particle":"","family":"Aravamudhan","given":"Pavithra","non-dropping-particle":"","parse-names":false,"suffix":""},{"dropping-particle":"","family":"Boehme","given":"Karl W.","non-dropping-particle":"","parse-names":false,"suffix":""},{"dropping-particle":"","family":"Hu","given":"Fengling","non-dropping-particle":"","parse-names":false,"suffix":""},{"dropping-particle":"","family":"Samsom","given":"Janneke N.","non-dropping-particle":"","parse-names":false,"suffix":""},{"dropping-particle":"","family":"Reinecker","given":"Hans Christian","non-dropping-particle":"","parse-names":false,"suffix":""},{"dropping-particle":"","family":"Kupfer","given":"Sonia S.","non-dropping-particle":"","parse-names":false,"suffix":""},{"dropping-particle":"","family":"Guandalini","given":"Stefano","non-dropping-particle":"","parse-names":false,"suffix":""},{"dropping-particle":"","family":"Semrad","given":"Carol E.","non-dropping-particle":"","parse-names":false,"suffix":""},{"dropping-particle":"","family":"Abadie","given":"Valérie","non-dropping-particle":"","parse-names":false,"suffix":""},{"dropping-particle":"","family":"Khosla","given":"Chaitan","non-dropping-particle":"","parse-names":false,"suffix":""},{"dropping-particle":"","family":"Barreiro","given":"Luis B.","non-dropping-particle":"","parse-names":false,"suffix":""},{"dropping-particle":"","family":"Xavier","given":"Ramnik J.","non-dropping-particle":"","parse-names":false,"suffix":""},{"dropping-particle":"","family":"Ng","given":"Aylwin","non-dropping-particle":"","parse-names":false,"suffix":""},{"dropping-particle":"","family":"Dermody","given":"Terence S.","non-dropping-particle":"","parse-names":false,"suffix":""},{"dropping-particle":"","family":"Jabri","given":"Bana","non-dropping-particle":"","parse-names":false,"suffix":""}],"container-title":"Science","id":"ITEM-1","issue":"6333","issued":{"date-parts":[["2017"]]},"page":"44-50","title":"Reovirus infection triggers inflammatory responses to dietary antigens and development of celiac disease","type":"article-journal","volume":"356"},"uris":["http://www.mendeley.com/documents/?uuid=f82f600e-1978-4b05-931f-596cb6241cd5"]}],"mendeley":{"formattedCitation":"&lt;sup&gt;5&lt;/sup&gt;","plainTextFormattedCitation":"5","previouslyFormattedCitation":"&lt;sup&gt;5&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956E8C" w:rsidRPr="00BA6F83">
        <w:rPr>
          <w:rFonts w:asciiTheme="minorHAnsi" w:hAnsiTheme="minorHAnsi"/>
          <w:noProof/>
          <w:color w:val="000000" w:themeColor="text1"/>
          <w:vertAlign w:val="superscript"/>
          <w:lang w:val="en-US"/>
        </w:rPr>
        <w:t>5</w:t>
      </w:r>
      <w:r w:rsidR="00A4619E" w:rsidRPr="00BA6F83">
        <w:rPr>
          <w:rFonts w:asciiTheme="minorHAnsi" w:hAnsiTheme="minorHAnsi"/>
          <w:color w:val="000000" w:themeColor="text1"/>
          <w:lang w:val="en-US"/>
        </w:rPr>
        <w:fldChar w:fldCharType="end"/>
      </w:r>
      <w:r w:rsidRPr="00BA6F83">
        <w:rPr>
          <w:color w:val="000000" w:themeColor="text1"/>
          <w:lang w:val="en-US"/>
        </w:rPr>
        <w:t xml:space="preserve">, </w:t>
      </w:r>
      <w:r w:rsidR="00894FC8" w:rsidRPr="00BA6F83">
        <w:rPr>
          <w:rFonts w:asciiTheme="minorHAnsi" w:hAnsiTheme="minorHAnsi"/>
          <w:color w:val="000000" w:themeColor="text1"/>
          <w:lang w:val="en-US"/>
        </w:rPr>
        <w:t xml:space="preserve"> </w:t>
      </w:r>
      <w:r w:rsidR="00AB4B75" w:rsidRPr="00BA6F83">
        <w:rPr>
          <w:rFonts w:asciiTheme="minorHAnsi" w:hAnsiTheme="minorHAnsi"/>
          <w:color w:val="000000" w:themeColor="text1"/>
          <w:lang w:val="en-US"/>
        </w:rPr>
        <w:t xml:space="preserve">we </w:t>
      </w:r>
      <w:r w:rsidR="00EB01DE" w:rsidRPr="00BA6F83">
        <w:rPr>
          <w:rFonts w:asciiTheme="minorHAnsi" w:hAnsiTheme="minorHAnsi"/>
          <w:color w:val="000000" w:themeColor="text1"/>
          <w:lang w:val="en-US"/>
        </w:rPr>
        <w:t xml:space="preserve">hypothesized </w:t>
      </w:r>
      <w:r w:rsidR="00AB4B75" w:rsidRPr="00BA6F83">
        <w:rPr>
          <w:rFonts w:asciiTheme="minorHAnsi" w:hAnsiTheme="minorHAnsi"/>
          <w:color w:val="000000" w:themeColor="text1"/>
          <w:lang w:val="en-US"/>
        </w:rPr>
        <w:t xml:space="preserve">that </w:t>
      </w:r>
      <w:r w:rsidR="00FD2B90">
        <w:rPr>
          <w:rFonts w:asciiTheme="minorHAnsi" w:hAnsiTheme="minorHAnsi"/>
          <w:color w:val="000000" w:themeColor="text1"/>
          <w:lang w:val="en-US"/>
        </w:rPr>
        <w:t xml:space="preserve">the break of oral tolerance to food antigens caused by </w:t>
      </w:r>
      <w:r w:rsidR="00BD3085" w:rsidRPr="00BA6F83">
        <w:rPr>
          <w:rFonts w:asciiTheme="minorHAnsi" w:hAnsiTheme="minorHAnsi"/>
          <w:color w:val="000000" w:themeColor="text1"/>
          <w:lang w:val="en-US"/>
        </w:rPr>
        <w:t>a bacterial infection</w:t>
      </w:r>
      <w:r w:rsidR="00C159BE" w:rsidRPr="00BA6F83">
        <w:rPr>
          <w:rFonts w:asciiTheme="minorHAnsi" w:hAnsiTheme="minorHAnsi"/>
          <w:color w:val="000000" w:themeColor="text1"/>
          <w:lang w:val="en-US"/>
        </w:rPr>
        <w:t xml:space="preserve"> </w:t>
      </w:r>
      <w:r w:rsidR="00FD2B90">
        <w:rPr>
          <w:rFonts w:asciiTheme="minorHAnsi" w:hAnsiTheme="minorHAnsi"/>
          <w:color w:val="000000" w:themeColor="text1"/>
          <w:lang w:val="en-US"/>
        </w:rPr>
        <w:t xml:space="preserve">underlies </w:t>
      </w:r>
      <w:r w:rsidR="00C159BE" w:rsidRPr="00BA6F83">
        <w:rPr>
          <w:rFonts w:asciiTheme="minorHAnsi" w:hAnsiTheme="minorHAnsi"/>
          <w:color w:val="000000" w:themeColor="text1"/>
          <w:lang w:val="en-US"/>
        </w:rPr>
        <w:t xml:space="preserve">food-induced </w:t>
      </w:r>
      <w:r w:rsidR="00421BCA" w:rsidRPr="00BA6F83">
        <w:rPr>
          <w:rFonts w:asciiTheme="minorHAnsi" w:hAnsiTheme="minorHAnsi"/>
          <w:color w:val="000000" w:themeColor="text1"/>
          <w:lang w:val="en-US"/>
        </w:rPr>
        <w:t>VHS</w:t>
      </w:r>
      <w:r w:rsidR="00AB4B75" w:rsidRPr="00BA6F83">
        <w:rPr>
          <w:rFonts w:asciiTheme="minorHAnsi" w:hAnsiTheme="minorHAnsi"/>
          <w:color w:val="000000" w:themeColor="text1"/>
          <w:lang w:val="en-US"/>
        </w:rPr>
        <w:t>.</w:t>
      </w:r>
      <w:r w:rsidR="008672DE" w:rsidRPr="00BA6F83">
        <w:rPr>
          <w:rFonts w:asciiTheme="minorHAnsi" w:hAnsiTheme="minorHAnsi"/>
          <w:color w:val="000000" w:themeColor="text1"/>
          <w:lang w:val="en-US"/>
        </w:rPr>
        <w:t xml:space="preserve"> </w:t>
      </w:r>
      <w:r w:rsidR="00692652" w:rsidRPr="00BA6F83">
        <w:rPr>
          <w:rFonts w:asciiTheme="minorHAnsi" w:hAnsiTheme="minorHAnsi"/>
          <w:color w:val="000000" w:themeColor="text1"/>
          <w:lang w:val="en-US"/>
        </w:rPr>
        <w:t xml:space="preserve">To test </w:t>
      </w:r>
      <w:r w:rsidR="001061E6" w:rsidRPr="00BA6F83">
        <w:rPr>
          <w:rFonts w:asciiTheme="minorHAnsi" w:hAnsiTheme="minorHAnsi"/>
          <w:color w:val="000000" w:themeColor="text1"/>
          <w:lang w:val="en-US"/>
        </w:rPr>
        <w:t>our hypothesis</w:t>
      </w:r>
      <w:r w:rsidR="00692652" w:rsidRPr="00BA6F83">
        <w:rPr>
          <w:rFonts w:asciiTheme="minorHAnsi" w:hAnsiTheme="minorHAnsi"/>
          <w:color w:val="000000" w:themeColor="text1"/>
          <w:lang w:val="en-US"/>
        </w:rPr>
        <w:t xml:space="preserve">, </w:t>
      </w:r>
      <w:r w:rsidR="006B7882" w:rsidRPr="00BA6F83">
        <w:rPr>
          <w:rFonts w:asciiTheme="minorHAnsi" w:hAnsiTheme="minorHAnsi"/>
          <w:color w:val="000000" w:themeColor="text1"/>
          <w:lang w:val="en-US"/>
        </w:rPr>
        <w:t xml:space="preserve">BALB/c </w:t>
      </w:r>
      <w:r w:rsidR="00FD2B90">
        <w:rPr>
          <w:rFonts w:asciiTheme="minorHAnsi" w:hAnsiTheme="minorHAnsi"/>
          <w:color w:val="000000" w:themeColor="text1"/>
          <w:lang w:val="en-US"/>
        </w:rPr>
        <w:t xml:space="preserve">mice </w:t>
      </w:r>
      <w:r w:rsidR="00692652" w:rsidRPr="00BA6F83">
        <w:rPr>
          <w:rFonts w:asciiTheme="minorHAnsi" w:hAnsiTheme="minorHAnsi"/>
          <w:color w:val="000000" w:themeColor="text1"/>
          <w:lang w:val="en-US"/>
        </w:rPr>
        <w:t xml:space="preserve">were infected with </w:t>
      </w:r>
      <w:r w:rsidR="00692652" w:rsidRPr="00BA6F83">
        <w:rPr>
          <w:rFonts w:asciiTheme="minorHAnsi" w:hAnsiTheme="minorHAnsi"/>
          <w:i/>
          <w:color w:val="000000" w:themeColor="text1"/>
          <w:lang w:val="en-US"/>
        </w:rPr>
        <w:t xml:space="preserve">Citrobacter </w:t>
      </w:r>
      <w:proofErr w:type="spellStart"/>
      <w:r w:rsidR="00692652" w:rsidRPr="00BA6F83">
        <w:rPr>
          <w:rFonts w:asciiTheme="minorHAnsi" w:hAnsiTheme="minorHAnsi"/>
          <w:i/>
          <w:color w:val="000000" w:themeColor="text1"/>
          <w:lang w:val="en-US"/>
        </w:rPr>
        <w:t>rodentium</w:t>
      </w:r>
      <w:proofErr w:type="spellEnd"/>
      <w:r w:rsidR="006B7882" w:rsidRPr="00BA6F83">
        <w:rPr>
          <w:rFonts w:asciiTheme="minorHAnsi" w:hAnsiTheme="minorHAnsi"/>
          <w:i/>
          <w:color w:val="000000" w:themeColor="text1"/>
          <w:lang w:val="en-US"/>
        </w:rPr>
        <w:t xml:space="preserve"> </w:t>
      </w:r>
      <w:r w:rsidR="006B7882" w:rsidRPr="00BA6F83">
        <w:rPr>
          <w:rFonts w:asciiTheme="minorHAnsi" w:hAnsiTheme="minorHAnsi"/>
          <w:color w:val="000000" w:themeColor="text1"/>
          <w:lang w:val="en-US"/>
        </w:rPr>
        <w:t xml:space="preserve">while exposed to ovalbumin (OVA) in the drinking water </w:t>
      </w:r>
      <w:r w:rsidR="000B4254" w:rsidRPr="00BA6F83">
        <w:rPr>
          <w:rFonts w:asciiTheme="minorHAnsi" w:hAnsiTheme="minorHAnsi"/>
          <w:color w:val="000000" w:themeColor="text1"/>
          <w:lang w:val="en-US"/>
        </w:rPr>
        <w:t xml:space="preserve">(OVA/infected) </w:t>
      </w:r>
      <w:r w:rsidR="006B7882" w:rsidRPr="00BA6F83">
        <w:rPr>
          <w:rFonts w:asciiTheme="minorHAnsi" w:hAnsiTheme="minorHAnsi"/>
          <w:color w:val="000000" w:themeColor="text1"/>
          <w:lang w:val="en-US"/>
        </w:rPr>
        <w:t>(</w:t>
      </w:r>
      <w:r w:rsidR="00983FF8" w:rsidRPr="00BA6F83">
        <w:rPr>
          <w:rFonts w:asciiTheme="minorHAnsi" w:hAnsiTheme="minorHAnsi"/>
          <w:color w:val="000000" w:themeColor="text1"/>
          <w:lang w:val="en-US"/>
        </w:rPr>
        <w:t>Fig.</w:t>
      </w:r>
      <w:r w:rsidR="006B7882" w:rsidRPr="00BA6F83">
        <w:rPr>
          <w:rFonts w:asciiTheme="minorHAnsi" w:hAnsiTheme="minorHAnsi"/>
          <w:color w:val="000000" w:themeColor="text1"/>
          <w:lang w:val="en-US"/>
        </w:rPr>
        <w:t xml:space="preserve"> 1</w:t>
      </w:r>
      <w:r w:rsidR="006D1497" w:rsidRPr="00BA6F83">
        <w:rPr>
          <w:rFonts w:asciiTheme="minorHAnsi" w:hAnsiTheme="minorHAnsi"/>
          <w:color w:val="000000" w:themeColor="text1"/>
          <w:lang w:val="en-US"/>
        </w:rPr>
        <w:t>A</w:t>
      </w:r>
      <w:r w:rsidR="006B7882" w:rsidRPr="00BA6F83">
        <w:rPr>
          <w:rFonts w:asciiTheme="minorHAnsi" w:hAnsiTheme="minorHAnsi"/>
          <w:color w:val="000000" w:themeColor="text1"/>
          <w:lang w:val="en-US"/>
        </w:rPr>
        <w:t xml:space="preserve">). </w:t>
      </w:r>
      <w:r w:rsidR="006B7882" w:rsidRPr="00BA6F83">
        <w:rPr>
          <w:rFonts w:asciiTheme="minorHAnsi" w:hAnsiTheme="minorHAnsi"/>
          <w:i/>
          <w:color w:val="000000" w:themeColor="text1"/>
          <w:lang w:val="en-US"/>
        </w:rPr>
        <w:t xml:space="preserve">C. rodentium </w:t>
      </w:r>
      <w:r w:rsidR="006B7882" w:rsidRPr="00BA6F83">
        <w:rPr>
          <w:rFonts w:asciiTheme="minorHAnsi" w:hAnsiTheme="minorHAnsi"/>
          <w:color w:val="000000" w:themeColor="text1"/>
          <w:lang w:val="en-US"/>
        </w:rPr>
        <w:t>ha</w:t>
      </w:r>
      <w:r w:rsidR="00BA0294" w:rsidRPr="00BA6F83">
        <w:rPr>
          <w:rFonts w:asciiTheme="minorHAnsi" w:hAnsiTheme="minorHAnsi"/>
          <w:color w:val="000000" w:themeColor="text1"/>
          <w:lang w:val="en-US"/>
        </w:rPr>
        <w:t>s</w:t>
      </w:r>
      <w:r w:rsidR="006B7882" w:rsidRPr="00BA6F83">
        <w:rPr>
          <w:rFonts w:asciiTheme="minorHAnsi" w:hAnsiTheme="minorHAnsi"/>
          <w:color w:val="000000" w:themeColor="text1"/>
          <w:lang w:val="en-US"/>
        </w:rPr>
        <w:t xml:space="preserve"> been reported</w:t>
      </w:r>
      <w:r w:rsidR="00BB4124" w:rsidRPr="00BA6F83">
        <w:rPr>
          <w:rFonts w:asciiTheme="minorHAnsi" w:hAnsiTheme="minorHAnsi"/>
          <w:color w:val="000000" w:themeColor="text1"/>
          <w:lang w:val="en-US"/>
        </w:rPr>
        <w:t xml:space="preserve"> to </w:t>
      </w:r>
      <w:r w:rsidR="00041EE3" w:rsidRPr="00BA6F83">
        <w:rPr>
          <w:rFonts w:asciiTheme="minorHAnsi" w:hAnsiTheme="minorHAnsi"/>
          <w:color w:val="000000" w:themeColor="text1"/>
          <w:lang w:val="en-US"/>
        </w:rPr>
        <w:t xml:space="preserve">closely resemble </w:t>
      </w:r>
      <w:r w:rsidR="00041EE3" w:rsidRPr="00BA6F83">
        <w:rPr>
          <w:rFonts w:asciiTheme="minorHAnsi" w:hAnsiTheme="minorHAnsi"/>
          <w:i/>
          <w:color w:val="000000" w:themeColor="text1"/>
          <w:lang w:val="en-US"/>
        </w:rPr>
        <w:t>E. coli</w:t>
      </w:r>
      <w:r w:rsidR="008464CD" w:rsidRPr="00BA6F83">
        <w:rPr>
          <w:rFonts w:asciiTheme="minorHAnsi" w:hAnsiTheme="minorHAnsi"/>
          <w:color w:val="000000" w:themeColor="text1"/>
          <w:lang w:val="en-US"/>
        </w:rPr>
        <w:t xml:space="preserve">-infection in humans </w:t>
      </w:r>
      <w:r w:rsidR="00041EE3" w:rsidRPr="00BA6F83">
        <w:rPr>
          <w:rFonts w:asciiTheme="minorHAnsi" w:hAnsiTheme="minorHAnsi"/>
          <w:color w:val="000000" w:themeColor="text1"/>
          <w:lang w:val="en-US"/>
        </w:rPr>
        <w:t xml:space="preserve">and </w:t>
      </w:r>
      <w:r w:rsidR="00FC6119" w:rsidRPr="00BA6F83">
        <w:rPr>
          <w:rFonts w:asciiTheme="minorHAnsi" w:hAnsiTheme="minorHAnsi"/>
          <w:color w:val="000000" w:themeColor="text1"/>
          <w:lang w:val="en-US"/>
        </w:rPr>
        <w:t xml:space="preserve">to </w:t>
      </w:r>
      <w:r w:rsidR="00041EE3" w:rsidRPr="00BA6F83">
        <w:rPr>
          <w:rFonts w:asciiTheme="minorHAnsi" w:hAnsiTheme="minorHAnsi"/>
          <w:color w:val="000000" w:themeColor="text1"/>
          <w:lang w:val="en-US"/>
        </w:rPr>
        <w:t>cause a similar self-limiting colitis</w:t>
      </w:r>
      <w:r w:rsidR="00B4234F" w:rsidRPr="00BA6F83">
        <w:rPr>
          <w:rFonts w:asciiTheme="minorHAnsi" w:hAnsiTheme="minorHAnsi"/>
          <w:color w:val="000000" w:themeColor="text1"/>
          <w:lang w:val="en-US"/>
        </w:rPr>
        <w:t xml:space="preserve"> </w:t>
      </w:r>
      <w:r w:rsidR="006B7882" w:rsidRPr="00BA6F83">
        <w:rPr>
          <w:rFonts w:asciiTheme="minorHAnsi" w:hAnsiTheme="minorHAnsi"/>
          <w:color w:val="000000" w:themeColor="text1"/>
          <w:lang w:val="en-US"/>
        </w:rPr>
        <w:t>in mice</w:t>
      </w:r>
      <w:r w:rsidR="00041EE3" w:rsidRPr="00BA6F83">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{"citationItems":[{"id":"ITEM-1","itemData":{"DOI":"10.1038/nrmicro3315","ISBN":"1740-1526","ISSN":"17401534","PMID":"25088150","abstract":"Citrobacter rodentium is a mucosal pathogen of mice that shares several pathogenic mechanisms with enteropathogenic Escherichia coli (EPEC) and enterohaemorrhagic E. coli (EHEC), which are two clinically important human gastrointestinal pathogens. Thus, C. rodentium has long been used as a model to understand the molecular basis of EPEC and EHEC infection in vivo. In this Review, we discuss recent studies in which C. rodentium has been used to study mucosal immunology, including the deregulation of intestinal inflammatory responses during bacteria-induced colitis and the role of the intestinal microbiota in mediating resistance to colonization by enteric pathogens. These insights should help to elucidate the roles of mucosal inflammatory responses and the microbiota in the virulence of enteric pathogens.","author":[{"dropping-particle":"","family":"Collins","given":"James W.","non-dropping-particle":"","parse-names":false,"suffix":""},{"dropping-particle":"","family":"Keeney","given":"Kristie M.","non-dropping-particle":"","parse-names":false,"suffix":""},{"dropping-particle":"","family":"Crepin","given":"Valerie F.","non-dropping-particle":"","parse-names":false,"suffix":""},{"dropping-particle":"","family":"Rathinam","given":"Vijay A.K.","non-dropping-particle":"","parse-names":false,"suffix":""},{"dropping-particle":"","family":"Fitzgerald","given":"Katherine A.","non-dropping-particle":"","parse-names":false,"suffix":""},{"dropping-particle":"","family":"Finlay","given":"B. Brett","non-dropping-particle":"","parse-names":false,"suffix":""},{"dropping-particle":"","family":"Frankel","given":"Gad","non-dropping-particle":"","parse-names":false,"suffix":""}],"container-title":"Nature Reviews Microbiology","id":"ITEM-1","issue":"9","issued":{"date-parts":[["2014"]]},"page":"612-623","title":"Citrobacter rodentium: Infection, inflammation and the microbiota","type":"article","volume":"12"},"uris":["http://www.mendeley.com/documents/?uuid=7113baec-b26d-4255-ba1e-dff1f0d249fb"]}],"mendeley":{"formattedCitation":"&lt;sup&gt;16&lt;/sup&gt;","plainTextFormattedCitation":"16","previouslyFormattedCitation":"&lt;sup&gt;16&lt;/sup&gt;"},"properties":{"noteIndex":0},"schema":"https://github.com/citation-style-language/schema/raw/master/csl-citation.json"}</w:instrText>
      </w:r>
      <w:r w:rsidR="00041EE3" w:rsidRPr="00BA6F83">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16</w:t>
      </w:r>
      <w:r w:rsidR="00041EE3" w:rsidRPr="00BA6F83">
        <w:rPr>
          <w:rFonts w:asciiTheme="minorHAnsi" w:hAnsiTheme="minorHAnsi"/>
          <w:color w:val="000000" w:themeColor="text1"/>
          <w:lang w:val="en-US"/>
        </w:rPr>
        <w:fldChar w:fldCharType="end"/>
      </w:r>
      <w:r w:rsidR="00275D35" w:rsidRPr="00BA6F83">
        <w:rPr>
          <w:rFonts w:asciiTheme="minorHAnsi" w:hAnsiTheme="minorHAnsi"/>
          <w:color w:val="000000" w:themeColor="text1"/>
          <w:lang w:val="en-US"/>
        </w:rPr>
        <w:t>.</w:t>
      </w:r>
      <w:r w:rsidR="00671B7A">
        <w:rPr>
          <w:rFonts w:asciiTheme="minorHAnsi" w:hAnsiTheme="minorHAnsi"/>
          <w:color w:val="000000" w:themeColor="text1"/>
          <w:lang w:val="en-US"/>
        </w:rPr>
        <w:t xml:space="preserve"> </w:t>
      </w:r>
      <w:r w:rsidR="00B5123B">
        <w:rPr>
          <w:rFonts w:asciiTheme="minorHAnsi" w:hAnsiTheme="minorHAnsi"/>
          <w:color w:val="000000" w:themeColor="text1"/>
          <w:lang w:val="en-US"/>
        </w:rPr>
        <w:t>R</w:t>
      </w:r>
      <w:r w:rsidR="00037A8C" w:rsidRPr="00BA6F83">
        <w:rPr>
          <w:rFonts w:asciiTheme="minorHAnsi" w:hAnsiTheme="minorHAnsi"/>
          <w:color w:val="000000" w:themeColor="text1"/>
          <w:lang w:val="en-US"/>
        </w:rPr>
        <w:t>epeated oral gavages of OVA</w:t>
      </w:r>
      <w:r w:rsidR="00B5123B">
        <w:rPr>
          <w:rFonts w:asciiTheme="minorHAnsi" w:hAnsiTheme="minorHAnsi"/>
          <w:color w:val="000000" w:themeColor="text1"/>
          <w:lang w:val="en-US"/>
        </w:rPr>
        <w:t xml:space="preserve"> </w:t>
      </w:r>
      <w:r w:rsidR="00D465C0">
        <w:rPr>
          <w:rFonts w:asciiTheme="minorHAnsi" w:hAnsiTheme="minorHAnsi"/>
          <w:color w:val="000000" w:themeColor="text1"/>
          <w:lang w:val="en-US"/>
        </w:rPr>
        <w:t xml:space="preserve">(simulating </w:t>
      </w:r>
      <w:r w:rsidR="00E764ED">
        <w:rPr>
          <w:rFonts w:asciiTheme="minorHAnsi" w:hAnsiTheme="minorHAnsi"/>
          <w:color w:val="000000" w:themeColor="text1"/>
          <w:lang w:val="en-US"/>
        </w:rPr>
        <w:t>frequent</w:t>
      </w:r>
      <w:r w:rsidR="00D465C0">
        <w:rPr>
          <w:rFonts w:asciiTheme="minorHAnsi" w:hAnsiTheme="minorHAnsi"/>
          <w:color w:val="000000" w:themeColor="text1"/>
          <w:lang w:val="en-US"/>
        </w:rPr>
        <w:t xml:space="preserve"> exposure to food antigens in humans) </w:t>
      </w:r>
      <w:r w:rsidR="00B5123B">
        <w:rPr>
          <w:rFonts w:asciiTheme="minorHAnsi" w:hAnsiTheme="minorHAnsi"/>
          <w:color w:val="000000" w:themeColor="text1"/>
          <w:lang w:val="en-US"/>
        </w:rPr>
        <w:t>a</w:t>
      </w:r>
      <w:r w:rsidR="00B5123B" w:rsidRPr="00BA6F83">
        <w:rPr>
          <w:rFonts w:asciiTheme="minorHAnsi" w:hAnsiTheme="minorHAnsi"/>
          <w:color w:val="000000" w:themeColor="text1"/>
          <w:lang w:val="en-US"/>
        </w:rPr>
        <w:t xml:space="preserve">fter </w:t>
      </w:r>
      <w:r w:rsidR="00B5123B">
        <w:rPr>
          <w:rFonts w:asciiTheme="minorHAnsi" w:hAnsiTheme="minorHAnsi"/>
          <w:color w:val="000000" w:themeColor="text1"/>
          <w:lang w:val="en-US"/>
        </w:rPr>
        <w:t>clearance of the infection</w:t>
      </w:r>
      <w:r w:rsidR="00B5123B">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{"citationItems":[{"id":"ITEM-1","itemData":{"DOI":"10.1159/000430295","ISSN":"14219778","abstract":"This is an Open Access article licensed under the terms of the Creative Commons Attribution-NonCommercial 3.0 Unported license (CC BY-NC) (www.karger.com/OA-license), applicable to the online version of the article only. Distribution permitted for non-commercial purposes only. Abstract Background/Aims: IL10 is a key inhibitor of effector T cell activation and a mediator of intestinal homeostasis. In addition, IL10 has emerged as a key immunoregulator during infection with various pathogens, ameliorating the excessive T-cell responses that are responsible for much of the immunopathology associated with the infection. Because IL10 plays an important role in both intestinal homeostasis and infection, we studied the function of IL10 in infection-associated intestinal inflammation. Methods: Wildtype mice and mice deficient in CD4 + T cell-derived or regulatory T cells-derived IL10 were infected with the enteric pathogen Citrobacter (C.) rodentium and analyzed for the specific immune response and pathogloy in the colon. Results: We found that IL10 expression is upregulated in colonic tissue after infection with C. rodentium, especially in CD4 + T cells, macrophages and dendritic cells. Whereas the deletion of IL10 in regulatory T cells had no effect on C. rodentium induced colitis, infection of mice deficient in CD4 + T cell-derived IL10 exhibited faster clearance of the bacterial burden but worse colitis, crypt hyperplasia, and pathology than did WT mice. In addition, the depletion of CD4 + T cell-derived IL10 in infected animals was accompanied by an accelerated IFNγ and IL17 response in the colon. Conclusion: Thus, we conclude that CD4 + T cell-derived IL10 is strongly involved in the control of C. rodentium-induced colitis. Interference with this network could have implications for the treatment of infection-associated intestinal inflammation.","author":[{"dropping-particle":"","family":"Seiffart","given":"Virginia","non-dropping-particle":"","parse-names":false,"suffix":""},{"dropping-particle":"","family":"Zoeller","given":"Julia","non-dropping-particle":"","parse-names":false,"suffix":""},{"dropping-particle":"","family":"Klopfleisch","given":"Robert","non-dropping-particle":"","parse-names":false,"suffix":""},{"dropping-particle":"","family":"Wadwa","given":"Munisch","non-dropping-particle":"","parse-names":false,"suffix":""},{"dropping-particle":"","family":"Hansen","given":"Wiebke","non-dropping-particle":"","parse-names":false,"suffix":""},{"dropping-particle":"","family":"Buer","given":"Jan","non-dropping-particle":"","parse-names":false,"suffix":""},{"dropping-particle":"","family":"Riedel","given":"Christian","non-dropping-particle":"","parse-names":false,"suffix":""},{"dropping-particle":"","family":"Westendorf","given":"Astrid M.","non-dropping-particle":"","parse-names":false,"suffix":""}],"container-title":"Cellular Physiology and Biochemistry","id":"ITEM-1","issue":"4","issued":{"date-parts":[["2015"]]},"page":"1259-73","title":"IL10-Deficiency in CD4⁺ T Cells Exacerbates the IFNγ and IL17 Response During Bacteria Induced Colitis.","type":"article-journal","volume":"36"},"uris":["http://www.mendeley.com/documents/?uuid=96a3a148-ffbc-4cbf-9a6e-745952bd4aba"]}],"mendeley":{"formattedCitation":"&lt;sup&gt;17&lt;/sup&gt;","plainTextFormattedCitation":"17","previouslyFormattedCitation":"&lt;sup&gt;17&lt;/sup&gt;"},"properties":{"noteIndex":0},"schema":"https://github.com/citation-style-language/schema/raw/master/csl-citation.json"}</w:instrText>
      </w:r>
      <w:r w:rsidR="00B5123B">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17</w:t>
      </w:r>
      <w:r w:rsidR="00B5123B">
        <w:rPr>
          <w:rFonts w:asciiTheme="minorHAnsi" w:hAnsiTheme="minorHAnsi"/>
          <w:color w:val="000000" w:themeColor="text1"/>
          <w:lang w:val="en-US"/>
        </w:rPr>
        <w:fldChar w:fldCharType="end"/>
      </w:r>
      <w:r w:rsidR="00671B7A">
        <w:rPr>
          <w:rFonts w:asciiTheme="minorHAnsi" w:hAnsiTheme="minorHAnsi"/>
          <w:color w:val="000000" w:themeColor="text1"/>
          <w:lang w:val="en-US"/>
        </w:rPr>
        <w:t xml:space="preserve"> led to the</w:t>
      </w:r>
      <w:r w:rsidRPr="00BA6F83">
        <w:rPr>
          <w:rFonts w:asciiTheme="minorHAnsi" w:hAnsiTheme="minorHAnsi"/>
          <w:color w:val="000000" w:themeColor="text1"/>
          <w:lang w:val="en-US"/>
        </w:rPr>
        <w:t xml:space="preserve"> </w:t>
      </w:r>
      <w:r w:rsidR="00275D35" w:rsidRPr="00BA6F83">
        <w:rPr>
          <w:rFonts w:asciiTheme="minorHAnsi" w:hAnsiTheme="minorHAnsi"/>
          <w:color w:val="000000" w:themeColor="text1"/>
          <w:lang w:val="en-US"/>
        </w:rPr>
        <w:t>develop</w:t>
      </w:r>
      <w:r w:rsidR="00671B7A">
        <w:rPr>
          <w:rFonts w:asciiTheme="minorHAnsi" w:hAnsiTheme="minorHAnsi"/>
          <w:color w:val="000000" w:themeColor="text1"/>
          <w:lang w:val="en-US"/>
        </w:rPr>
        <w:t>ment of</w:t>
      </w:r>
      <w:r w:rsidR="00275D35" w:rsidRPr="00BA6F83">
        <w:rPr>
          <w:rFonts w:asciiTheme="minorHAnsi" w:hAnsiTheme="minorHAnsi"/>
          <w:color w:val="000000" w:themeColor="text1"/>
          <w:lang w:val="en-US"/>
        </w:rPr>
        <w:t xml:space="preserve"> diarrhea</w:t>
      </w:r>
      <w:r w:rsidR="00631BC4" w:rsidRPr="00BA6F83">
        <w:rPr>
          <w:rFonts w:asciiTheme="minorHAnsi" w:hAnsiTheme="minorHAnsi"/>
          <w:color w:val="000000" w:themeColor="text1"/>
          <w:lang w:val="en-US"/>
        </w:rPr>
        <w:t xml:space="preserve">, a well-accepted indicator of </w:t>
      </w:r>
      <w:r w:rsidR="005D087C" w:rsidRPr="00BA6F83">
        <w:rPr>
          <w:rFonts w:asciiTheme="minorHAnsi" w:hAnsiTheme="minorHAnsi"/>
          <w:color w:val="000000" w:themeColor="text1"/>
          <w:lang w:val="en-US"/>
        </w:rPr>
        <w:t>the absence of</w:t>
      </w:r>
      <w:r w:rsidR="00631BC4" w:rsidRPr="00BA6F83">
        <w:rPr>
          <w:rFonts w:asciiTheme="minorHAnsi" w:hAnsiTheme="minorHAnsi"/>
          <w:color w:val="000000" w:themeColor="text1"/>
          <w:lang w:val="en-US"/>
        </w:rPr>
        <w:t xml:space="preserve"> oral tolerance</w:t>
      </w:r>
      <w:r w:rsidR="00631BC4" w:rsidRPr="00BA6F83">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{"citationItems":[{"id":"ITEM-1","itemData":{"DOI":"10.1016/j.immuni.2011.01.016","ISBN":"1097-4180 (Electronic)\\r1074-7613 (Linking)","ISSN":"10747613","PMID":"21333554","abstract":"Tolerance to food antigen manifests in the absence and/or suppression of antigen-specific immune responses locally in the gut but also systemically, a phenomenon known as oral tolerance. Oral tolerance is thought to originate in the gut-draining lymph nodes, which support the generation of FoxP3+ regulatory T (Treg) cells. Here we use several mouse models to show that Treg cells, after their generation in lymph nodes, need to home to the gut to undergo local expansion to install oral tolerance. Proliferation of Treg cells in the intestine and production of interleukin-10 by gut-resident macrophages was blunted in mice deficient in the chemokine (C-X3-C motif) receptor 1 (CX3CR1). We propose a model of stepwise oral tolerance induction comprising the generation of Treg cells in the gut-draining lymph nodes, followed by migration into the gut and subsequent expansion of Treg cells driven by intestinal macrophages. © 2011 Elsevier Inc.","author":[{"dropping-particle":"","family":"Hadis","given":"Usriansyah","non-dropping-particle":"","parse-names":false,"suffix":""},{"dropping-particle":"","family":"Wahl","given":"Benjamin","non-dropping-particle":"","parse-names":false,"suffix":""},{"dropping-particle":"","family":"Schulz","given":"Olga","non-dropping-particle":"","parse-names":false,"suffix":""},{"dropping-particle":"","family":"Hardtke-Wolenski","given":"Matthias","non-dropping-particle":"","parse-names":false,"suffix":""},{"dropping-particle":"","family":"Schippers","given":"Angela","non-dropping-particle":"","parse-names":false,"suffix":""},{"dropping-particle":"","family":"Wagner","given":"Norbert","non-dropping-particle":"","parse-names":false,"suffix":""},{"dropping-particle":"","family":"Müller","given":"Werner","non-dropping-particle":"","parse-names":false,"suffix":""},{"dropping-particle":"","family":"Sparwasser","given":"Tim","non-dropping-particle":"","parse-names":false,"suffix":""},{"dropping-particle":"","family":"Förster","given":"Reinhold","non-dropping-particle":"","parse-names":false,"suffix":""},{"dropping-particle":"","family":"Pabst","given":"Oliver","non-dropping-particle":"","parse-names":false,"suffix":""}],"container-title":"Immunity","id":"ITEM-1","issue":"2","issued":{"date-parts":[["2011"]]},"page":"237-246","title":"Intestinal Tolerance Requires Gut Homing and Expansion of FoxP3+ Regulatory T Cells in the Lamina Propria","type":"article-journal","volume":"34"},"uris":["http://www.mendeley.com/documents/?uuid=703c1f5b-8017-473f-a1aa-f828b1681ad4"]}],"mendeley":{"formattedCitation":"&lt;sup&gt;18&lt;/sup&gt;","plainTextFormattedCitation":"18","previouslyFormattedCitation":"&lt;sup&gt;18&lt;/sup&gt;"},"properties":{"noteIndex":0},"schema":"https://github.com/citation-style-language/schema/raw/master/csl-citation.json"}</w:instrText>
      </w:r>
      <w:r w:rsidR="00631BC4" w:rsidRPr="00BA6F83">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18</w:t>
      </w:r>
      <w:r w:rsidR="00631BC4" w:rsidRPr="00BA6F83">
        <w:rPr>
          <w:rFonts w:asciiTheme="minorHAnsi" w:hAnsiTheme="minorHAnsi"/>
          <w:color w:val="000000" w:themeColor="text1"/>
          <w:lang w:val="en-US"/>
        </w:rPr>
        <w:fldChar w:fldCharType="end"/>
      </w:r>
      <w:r w:rsidR="00AA4439">
        <w:rPr>
          <w:rFonts w:asciiTheme="minorHAnsi" w:hAnsiTheme="minorHAnsi"/>
          <w:color w:val="000000" w:themeColor="text1"/>
          <w:lang w:val="en-US"/>
        </w:rPr>
        <w:t xml:space="preserve">, </w:t>
      </w:r>
      <w:r w:rsidR="001B2468">
        <w:rPr>
          <w:rFonts w:asciiTheme="minorHAnsi" w:hAnsiTheme="minorHAnsi"/>
          <w:color w:val="000000" w:themeColor="text1"/>
          <w:lang w:val="en-US"/>
        </w:rPr>
        <w:t>increased fecal water content and reduced transit time</w:t>
      </w:r>
      <w:r w:rsidR="001B2468" w:rsidRPr="00BA6F83">
        <w:rPr>
          <w:rFonts w:asciiTheme="minorHAnsi" w:hAnsiTheme="minorHAnsi"/>
          <w:color w:val="000000" w:themeColor="text1"/>
          <w:lang w:val="en-US"/>
        </w:rPr>
        <w:t xml:space="preserve"> (Fig. 1B</w:t>
      </w:r>
      <w:r w:rsidR="001B2468">
        <w:rPr>
          <w:rFonts w:asciiTheme="minorHAnsi" w:hAnsiTheme="minorHAnsi"/>
          <w:color w:val="000000" w:themeColor="text1"/>
          <w:lang w:val="en-US"/>
        </w:rPr>
        <w:t>, Extended Data Fig. A, B</w:t>
      </w:r>
      <w:r w:rsidR="001B2468" w:rsidRPr="00BA6F83">
        <w:rPr>
          <w:rFonts w:asciiTheme="minorHAnsi" w:hAnsiTheme="minorHAnsi"/>
          <w:color w:val="000000" w:themeColor="text1"/>
          <w:lang w:val="en-US"/>
        </w:rPr>
        <w:t>)</w:t>
      </w:r>
      <w:r w:rsidR="001B2468">
        <w:rPr>
          <w:rFonts w:asciiTheme="minorHAnsi" w:hAnsiTheme="minorHAnsi"/>
          <w:color w:val="000000" w:themeColor="text1"/>
          <w:lang w:val="en-US"/>
        </w:rPr>
        <w:t xml:space="preserve"> </w:t>
      </w:r>
      <w:r w:rsidR="00AA4439">
        <w:rPr>
          <w:rFonts w:asciiTheme="minorHAnsi" w:hAnsiTheme="minorHAnsi"/>
          <w:color w:val="000000" w:themeColor="text1"/>
          <w:lang w:val="en-US"/>
        </w:rPr>
        <w:t>in</w:t>
      </w:r>
      <w:r w:rsidR="00AA4439" w:rsidRPr="00BA6F83">
        <w:rPr>
          <w:rFonts w:asciiTheme="minorHAnsi" w:hAnsiTheme="minorHAnsi"/>
          <w:color w:val="000000" w:themeColor="text1"/>
          <w:lang w:val="en-US"/>
        </w:rPr>
        <w:t xml:space="preserve"> infected </w:t>
      </w:r>
      <w:r w:rsidR="00AA4439">
        <w:rPr>
          <w:rFonts w:asciiTheme="minorHAnsi" w:hAnsiTheme="minorHAnsi"/>
          <w:color w:val="000000" w:themeColor="text1"/>
          <w:lang w:val="en-US"/>
        </w:rPr>
        <w:t xml:space="preserve">mice </w:t>
      </w:r>
      <w:r w:rsidR="00AA4439" w:rsidRPr="00BA6F83">
        <w:rPr>
          <w:rFonts w:asciiTheme="minorHAnsi" w:hAnsiTheme="minorHAnsi"/>
          <w:color w:val="000000" w:themeColor="text1"/>
          <w:lang w:val="en-US"/>
        </w:rPr>
        <w:t xml:space="preserve">(OVA/infected + OVA) but not  </w:t>
      </w:r>
      <w:r w:rsidR="00AA4439">
        <w:rPr>
          <w:rFonts w:asciiTheme="minorHAnsi" w:hAnsiTheme="minorHAnsi"/>
          <w:color w:val="000000" w:themeColor="text1"/>
          <w:lang w:val="en-US"/>
        </w:rPr>
        <w:t xml:space="preserve">in </w:t>
      </w:r>
      <w:r w:rsidR="00AA4439" w:rsidRPr="00BA6F83">
        <w:rPr>
          <w:rFonts w:asciiTheme="minorHAnsi" w:hAnsiTheme="minorHAnsi"/>
          <w:color w:val="000000" w:themeColor="text1"/>
          <w:lang w:val="en-US"/>
        </w:rPr>
        <w:t>uninfected (OVA/sham + OVA)</w:t>
      </w:r>
      <w:r w:rsidR="00AA4439">
        <w:rPr>
          <w:rFonts w:asciiTheme="minorHAnsi" w:hAnsiTheme="minorHAnsi"/>
          <w:color w:val="000000" w:themeColor="text1"/>
          <w:lang w:val="en-US"/>
        </w:rPr>
        <w:t>.</w:t>
      </w:r>
      <w:r w:rsidR="00C050DC">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In addition, </w:t>
      </w:r>
      <w:r w:rsidR="00021933" w:rsidRPr="00BA6F83">
        <w:rPr>
          <w:rFonts w:asciiTheme="minorHAnsi" w:hAnsiTheme="minorHAnsi"/>
          <w:color w:val="000000" w:themeColor="text1"/>
          <w:lang w:val="en-US"/>
        </w:rPr>
        <w:t xml:space="preserve">OVA-specific </w:t>
      </w:r>
      <w:proofErr w:type="spellStart"/>
      <w:r w:rsidR="00021933" w:rsidRPr="00BA6F83">
        <w:rPr>
          <w:rFonts w:asciiTheme="minorHAnsi" w:hAnsiTheme="minorHAnsi"/>
          <w:color w:val="000000" w:themeColor="text1"/>
          <w:lang w:val="en-US"/>
        </w:rPr>
        <w:t>IgE</w:t>
      </w:r>
      <w:proofErr w:type="spellEnd"/>
      <w:r w:rsidR="00021933" w:rsidRPr="00BA6F83">
        <w:rPr>
          <w:rFonts w:asciiTheme="minorHAnsi" w:hAnsiTheme="minorHAnsi"/>
          <w:color w:val="000000" w:themeColor="text1"/>
          <w:lang w:val="en-US"/>
        </w:rPr>
        <w:t xml:space="preserve"> antibodies were detected in the colon</w:t>
      </w:r>
      <w:r w:rsidR="00734493">
        <w:rPr>
          <w:rFonts w:asciiTheme="minorHAnsi" w:hAnsiTheme="minorHAnsi"/>
          <w:color w:val="000000" w:themeColor="text1"/>
          <w:lang w:val="en-US"/>
        </w:rPr>
        <w:t xml:space="preserve"> of OVA/infected mice</w:t>
      </w:r>
      <w:r w:rsidR="00021933" w:rsidRPr="00BA6F83">
        <w:rPr>
          <w:rFonts w:asciiTheme="minorHAnsi" w:hAnsiTheme="minorHAnsi"/>
          <w:color w:val="000000" w:themeColor="text1"/>
          <w:lang w:val="en-US"/>
        </w:rPr>
        <w:t xml:space="preserve">, the site </w:t>
      </w:r>
      <w:r w:rsidR="00B30158" w:rsidRPr="00BA6F83">
        <w:rPr>
          <w:rFonts w:asciiTheme="minorHAnsi" w:hAnsiTheme="minorHAnsi"/>
          <w:color w:val="000000" w:themeColor="text1"/>
          <w:lang w:val="en-US"/>
        </w:rPr>
        <w:t xml:space="preserve">colonized </w:t>
      </w:r>
      <w:r w:rsidR="00021933" w:rsidRPr="00BA6F83">
        <w:rPr>
          <w:rFonts w:asciiTheme="minorHAnsi" w:hAnsiTheme="minorHAnsi"/>
          <w:color w:val="000000" w:themeColor="text1"/>
          <w:lang w:val="en-US"/>
        </w:rPr>
        <w:t xml:space="preserve">by </w:t>
      </w:r>
      <w:r w:rsidR="00021933" w:rsidRPr="00BA6F83">
        <w:rPr>
          <w:rFonts w:asciiTheme="minorHAnsi" w:hAnsiTheme="minorHAnsi"/>
          <w:i/>
          <w:iCs/>
          <w:color w:val="000000" w:themeColor="text1"/>
          <w:lang w:val="en-US"/>
        </w:rPr>
        <w:t>C. rodentium</w:t>
      </w:r>
      <w:r w:rsidR="00021933" w:rsidRPr="00BA6F83">
        <w:rPr>
          <w:rFonts w:asciiTheme="minorHAnsi" w:hAnsiTheme="minorHAnsi"/>
          <w:color w:val="000000" w:themeColor="text1"/>
          <w:lang w:val="en-US"/>
        </w:rPr>
        <w:t>, but not in the small intestine or serum</w:t>
      </w:r>
      <w:r w:rsidR="001B2468">
        <w:rPr>
          <w:rFonts w:asciiTheme="minorHAnsi" w:hAnsiTheme="minorHAnsi"/>
          <w:color w:val="000000" w:themeColor="text1"/>
          <w:lang w:val="en-US"/>
        </w:rPr>
        <w:t xml:space="preserve"> </w:t>
      </w:r>
      <w:r w:rsidR="001B2468" w:rsidRPr="00BA6F83">
        <w:rPr>
          <w:rFonts w:asciiTheme="minorHAnsi" w:hAnsiTheme="minorHAnsi"/>
          <w:color w:val="000000" w:themeColor="text1"/>
          <w:lang w:val="en-US"/>
        </w:rPr>
        <w:t xml:space="preserve">(Fig. </w:t>
      </w:r>
      <w:r w:rsidR="001B2468" w:rsidRPr="00E162F2">
        <w:rPr>
          <w:rFonts w:asciiTheme="minorHAnsi" w:hAnsiTheme="minorHAnsi"/>
          <w:color w:val="000000" w:themeColor="text1"/>
          <w:lang w:val="en-US"/>
        </w:rPr>
        <w:t>1C and Extended Data Fig. 1C</w:t>
      </w:r>
      <w:r w:rsidR="001B2468" w:rsidRPr="00BA6F83">
        <w:rPr>
          <w:rFonts w:asciiTheme="minorHAnsi" w:hAnsiTheme="minorHAnsi"/>
          <w:color w:val="000000" w:themeColor="text1"/>
          <w:lang w:val="en-US"/>
        </w:rPr>
        <w:t>)</w:t>
      </w:r>
      <w:r w:rsidR="0005791E">
        <w:rPr>
          <w:rFonts w:asciiTheme="minorHAnsi" w:hAnsiTheme="minorHAnsi"/>
          <w:color w:val="000000" w:themeColor="text1"/>
          <w:lang w:val="en-US"/>
        </w:rPr>
        <w:t>.</w:t>
      </w:r>
      <w:r w:rsidR="00021933" w:rsidRPr="00BA6F83">
        <w:rPr>
          <w:rFonts w:asciiTheme="minorHAnsi" w:hAnsiTheme="minorHAnsi"/>
          <w:color w:val="000000" w:themeColor="text1"/>
          <w:lang w:val="en-US"/>
        </w:rPr>
        <w:t xml:space="preserve"> </w:t>
      </w:r>
      <w:r w:rsidR="001B2468">
        <w:rPr>
          <w:rFonts w:asciiTheme="minorHAnsi" w:hAnsiTheme="minorHAnsi"/>
          <w:color w:val="000000" w:themeColor="text1"/>
          <w:lang w:val="en-US"/>
        </w:rPr>
        <w:t>These</w:t>
      </w:r>
      <w:r w:rsidR="00442849" w:rsidRPr="00BA6F83">
        <w:rPr>
          <w:rFonts w:asciiTheme="minorHAnsi" w:hAnsiTheme="minorHAnsi"/>
          <w:color w:val="000000" w:themeColor="text1"/>
          <w:lang w:val="en-US"/>
        </w:rPr>
        <w:t xml:space="preserve"> m</w:t>
      </w:r>
      <w:r w:rsidR="00323589" w:rsidRPr="00BA6F83">
        <w:rPr>
          <w:rFonts w:asciiTheme="minorHAnsi" w:hAnsiTheme="minorHAnsi"/>
          <w:color w:val="000000" w:themeColor="text1"/>
          <w:lang w:val="en-US"/>
        </w:rPr>
        <w:t xml:space="preserve">ice </w:t>
      </w:r>
      <w:r w:rsidR="001B2468">
        <w:rPr>
          <w:rFonts w:asciiTheme="minorHAnsi" w:hAnsiTheme="minorHAnsi"/>
          <w:color w:val="000000" w:themeColor="text1"/>
          <w:lang w:val="en-US"/>
        </w:rPr>
        <w:t xml:space="preserve">however </w:t>
      </w:r>
      <w:r w:rsidR="00323589" w:rsidRPr="00BA6F83">
        <w:rPr>
          <w:rFonts w:asciiTheme="minorHAnsi" w:hAnsiTheme="minorHAnsi"/>
          <w:color w:val="000000" w:themeColor="text1"/>
          <w:lang w:val="en-US"/>
        </w:rPr>
        <w:t>failed to develop</w:t>
      </w:r>
      <w:r w:rsidR="00442849" w:rsidRPr="00BA6F83">
        <w:rPr>
          <w:rFonts w:asciiTheme="minorHAnsi" w:hAnsiTheme="minorHAnsi"/>
          <w:color w:val="000000" w:themeColor="text1"/>
          <w:lang w:val="en-US"/>
        </w:rPr>
        <w:t xml:space="preserve"> ear-swelling after intradermal injection of OVA, compared to OVA-allergic mice (</w:t>
      </w:r>
      <w:r w:rsidR="00983FF8" w:rsidRPr="00BA6F83">
        <w:rPr>
          <w:rFonts w:asciiTheme="minorHAnsi" w:hAnsiTheme="minorHAnsi"/>
          <w:color w:val="000000" w:themeColor="text1"/>
          <w:lang w:val="en-US"/>
        </w:rPr>
        <w:t>Extended Data</w:t>
      </w:r>
      <w:r w:rsidR="00442849"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442849" w:rsidRPr="00BA6F83">
        <w:rPr>
          <w:rFonts w:asciiTheme="minorHAnsi" w:hAnsiTheme="minorHAnsi"/>
          <w:color w:val="000000" w:themeColor="text1"/>
          <w:lang w:val="en-US"/>
        </w:rPr>
        <w:t xml:space="preserve"> 1</w:t>
      </w:r>
      <w:r w:rsidR="00725186">
        <w:rPr>
          <w:rFonts w:asciiTheme="minorHAnsi" w:hAnsiTheme="minorHAnsi"/>
          <w:color w:val="000000" w:themeColor="text1"/>
          <w:lang w:val="en-US"/>
        </w:rPr>
        <w:t>D</w:t>
      </w:r>
      <w:r w:rsidR="00442849" w:rsidRPr="00BA6F83">
        <w:rPr>
          <w:rFonts w:asciiTheme="minorHAnsi" w:hAnsiTheme="minorHAnsi"/>
          <w:color w:val="000000" w:themeColor="text1"/>
          <w:lang w:val="en-US"/>
        </w:rPr>
        <w:t>)</w:t>
      </w:r>
      <w:r w:rsidR="001B2468">
        <w:rPr>
          <w:rFonts w:asciiTheme="minorHAnsi" w:hAnsiTheme="minorHAnsi"/>
          <w:color w:val="000000" w:themeColor="text1"/>
          <w:lang w:val="en-US"/>
        </w:rPr>
        <w:t xml:space="preserve">, </w:t>
      </w:r>
      <w:r w:rsidR="001B2468" w:rsidRPr="00BA6F83">
        <w:rPr>
          <w:rFonts w:asciiTheme="minorHAnsi" w:hAnsiTheme="minorHAnsi"/>
          <w:color w:val="000000" w:themeColor="text1"/>
          <w:lang w:val="en-US"/>
        </w:rPr>
        <w:t xml:space="preserve">suggesting a local but not a systemic immune response, </w:t>
      </w:r>
      <w:r w:rsidR="001B2468">
        <w:rPr>
          <w:rFonts w:asciiTheme="minorHAnsi" w:hAnsiTheme="minorHAnsi"/>
          <w:color w:val="000000" w:themeColor="text1"/>
          <w:lang w:val="en-US"/>
        </w:rPr>
        <w:t>contrary to what is</w:t>
      </w:r>
      <w:r w:rsidR="001B2468" w:rsidRPr="00BA6F83">
        <w:rPr>
          <w:rFonts w:asciiTheme="minorHAnsi" w:hAnsiTheme="minorHAnsi"/>
          <w:color w:val="000000" w:themeColor="text1"/>
          <w:lang w:val="en-US"/>
        </w:rPr>
        <w:t xml:space="preserve"> observed in food allergy</w:t>
      </w:r>
      <w:r w:rsidR="00725186">
        <w:rPr>
          <w:rFonts w:asciiTheme="minorHAnsi" w:hAnsiTheme="minorHAnsi"/>
          <w:color w:val="000000" w:themeColor="text1"/>
          <w:lang w:val="en-US"/>
        </w:rPr>
        <w:t xml:space="preserve"> </w:t>
      </w:r>
      <w:r w:rsidR="00725186" w:rsidRPr="00BA6F83">
        <w:rPr>
          <w:rFonts w:asciiTheme="minorHAnsi" w:hAnsiTheme="minorHAnsi"/>
          <w:color w:val="000000" w:themeColor="text1"/>
          <w:lang w:val="en-US"/>
        </w:rPr>
        <w:t xml:space="preserve">(Fig. </w:t>
      </w:r>
      <w:r w:rsidR="00725186" w:rsidRPr="00E162F2">
        <w:rPr>
          <w:rFonts w:asciiTheme="minorHAnsi" w:hAnsiTheme="minorHAnsi"/>
          <w:color w:val="000000" w:themeColor="text1"/>
          <w:lang w:val="en-US"/>
        </w:rPr>
        <w:t>1C</w:t>
      </w:r>
      <w:r w:rsidR="00725186">
        <w:rPr>
          <w:rFonts w:asciiTheme="minorHAnsi" w:hAnsiTheme="minorHAnsi"/>
          <w:color w:val="000000" w:themeColor="text1"/>
          <w:lang w:val="en-US"/>
        </w:rPr>
        <w:t>)</w:t>
      </w:r>
      <w:r w:rsidR="00021933" w:rsidRPr="00BA6F83">
        <w:rPr>
          <w:rFonts w:asciiTheme="minorHAnsi" w:hAnsiTheme="minorHAnsi"/>
          <w:color w:val="000000" w:themeColor="text1"/>
          <w:lang w:val="en-US"/>
        </w:rPr>
        <w:t>.</w:t>
      </w:r>
      <w:r w:rsidR="00442849" w:rsidRPr="00BA6F83">
        <w:rPr>
          <w:rFonts w:asciiTheme="minorHAnsi" w:hAnsiTheme="minorHAnsi"/>
          <w:color w:val="000000" w:themeColor="text1"/>
          <w:lang w:val="en-US"/>
        </w:rPr>
        <w:t xml:space="preserve"> </w:t>
      </w:r>
    </w:p>
    <w:p w14:paraId="1D6513D3" w14:textId="048F78EF" w:rsidR="00991F15" w:rsidRPr="00BA6F83" w:rsidRDefault="00DB77E1" w:rsidP="00160B68">
      <w:pPr>
        <w:autoSpaceDE w:val="0"/>
        <w:autoSpaceDN w:val="0"/>
        <w:adjustRightInd w:val="0"/>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 xml:space="preserve">To understand the functional implications of this </w:t>
      </w:r>
      <w:r w:rsidR="00601979" w:rsidRPr="00BA6F83">
        <w:rPr>
          <w:rFonts w:asciiTheme="minorHAnsi" w:hAnsiTheme="minorHAnsi"/>
          <w:color w:val="000000" w:themeColor="text1"/>
          <w:lang w:val="en-US"/>
        </w:rPr>
        <w:t xml:space="preserve">altered immune reaction to </w:t>
      </w:r>
      <w:r w:rsidR="00C47924" w:rsidRPr="00BA6F83">
        <w:rPr>
          <w:rFonts w:asciiTheme="minorHAnsi" w:hAnsiTheme="minorHAnsi"/>
          <w:color w:val="000000" w:themeColor="text1"/>
          <w:lang w:val="en-US"/>
        </w:rPr>
        <w:t>a food antigen</w:t>
      </w:r>
      <w:r w:rsidR="006C641A" w:rsidRPr="00BA6F83">
        <w:rPr>
          <w:rFonts w:asciiTheme="minorHAnsi" w:hAnsiTheme="minorHAnsi"/>
          <w:color w:val="000000" w:themeColor="text1"/>
          <w:lang w:val="en-US"/>
        </w:rPr>
        <w:t>,</w:t>
      </w:r>
      <w:r w:rsidR="00C47924"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we </w:t>
      </w:r>
      <w:r w:rsidR="0022782A" w:rsidRPr="00BA6F83">
        <w:rPr>
          <w:rFonts w:asciiTheme="minorHAnsi" w:hAnsiTheme="minorHAnsi"/>
          <w:color w:val="000000" w:themeColor="text1"/>
          <w:lang w:val="en-US"/>
        </w:rPr>
        <w:t>next</w:t>
      </w:r>
      <w:r w:rsidR="00696A9B"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examined if </w:t>
      </w:r>
      <w:r w:rsidR="001837F2" w:rsidRPr="00BA6F83">
        <w:rPr>
          <w:rFonts w:asciiTheme="minorHAnsi" w:hAnsiTheme="minorHAnsi"/>
          <w:color w:val="000000" w:themeColor="text1"/>
          <w:lang w:val="en-US"/>
        </w:rPr>
        <w:t>re-expos</w:t>
      </w:r>
      <w:r w:rsidR="00671B7A">
        <w:rPr>
          <w:rFonts w:asciiTheme="minorHAnsi" w:hAnsiTheme="minorHAnsi"/>
          <w:color w:val="000000" w:themeColor="text1"/>
          <w:lang w:val="en-US"/>
        </w:rPr>
        <w:t>ure</w:t>
      </w:r>
      <w:r w:rsidR="001837F2" w:rsidRPr="00BA6F83">
        <w:rPr>
          <w:rFonts w:asciiTheme="minorHAnsi" w:hAnsiTheme="minorHAnsi"/>
          <w:color w:val="000000" w:themeColor="text1"/>
          <w:lang w:val="en-US"/>
        </w:rPr>
        <w:t xml:space="preserve"> to OVA</w:t>
      </w:r>
      <w:r w:rsidR="000D1930" w:rsidRPr="00BA6F83">
        <w:rPr>
          <w:rFonts w:asciiTheme="minorHAnsi" w:hAnsiTheme="minorHAnsi"/>
          <w:color w:val="000000" w:themeColor="text1"/>
          <w:lang w:val="en-US"/>
        </w:rPr>
        <w:t xml:space="preserve"> </w:t>
      </w:r>
      <w:r w:rsidR="00601979" w:rsidRPr="00BA6F83">
        <w:rPr>
          <w:rFonts w:asciiTheme="minorHAnsi" w:hAnsiTheme="minorHAnsi"/>
          <w:color w:val="000000" w:themeColor="text1"/>
          <w:lang w:val="en-US"/>
        </w:rPr>
        <w:t xml:space="preserve">could affect pain perception. </w:t>
      </w:r>
      <w:bookmarkStart w:id="0" w:name="OLE_LINK1"/>
      <w:r w:rsidR="006040E0" w:rsidRPr="00BA6F83">
        <w:rPr>
          <w:rFonts w:asciiTheme="minorHAnsi" w:hAnsiTheme="minorHAnsi"/>
          <w:color w:val="000000" w:themeColor="text1"/>
          <w:lang w:val="en-US"/>
        </w:rPr>
        <w:t>As previously show</w:t>
      </w:r>
      <w:r w:rsidR="00913ECF" w:rsidRPr="00BA6F83">
        <w:rPr>
          <w:rFonts w:asciiTheme="minorHAnsi" w:hAnsiTheme="minorHAnsi"/>
          <w:color w:val="000000" w:themeColor="text1"/>
          <w:lang w:val="en-US"/>
        </w:rPr>
        <w:t>n</w:t>
      </w:r>
      <w:r w:rsidR="0098534F" w:rsidRPr="00BA6F83">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{"citationItems":[{"id":"ITEM-1","itemData":{"DOI":"10.1111/nmo.12759","ISSN":"13652982","PMID":"26728091","abstract":"© 2016 John Wiley  &amp;  Sons Ltd. Background: Infectious gastroenteritis is a major risk factor to develop postinfectious irritable bowel syndrome (PI-IBS). It remains unknown why only a subgroup of infected individuals develops PI-IBS. We hypothesize that immunogenetic predisposition is an important risk factor. Hence, we studied the effect of Citrobacter rodentium infection on visceral sensitivity in Th1-predominant C57BL/6 and Th2-predominant Balb/c mice. Methods: Eight-week-old mice were gavaged with C. rodentium, followed by 1 h of water avoidance stress (WAS) at 5 weeks PI. At 10, 14 days, and 5 weeks PI, samples were assessed for histology and inflammatory gene expression by RT-qPCR. Visceral sensitivity was evaluated by visceromotor response recordings (VMR) to colorectal distension. Key Results: Citrobacter rodentium evoked a comparable colonic inflammatory response at 14 days PI characterized by increased crypt length and upregulation of Th1/Th17 cytokine mRNA levels (p uncorrected &lt;  0.05) in both C57BL/6 and Balb/c mice. At 5 weeks PI, inflammatory gene mRNA levels returned to baseline in both strains. The VMR was maximal at 14 days PI in C57BL/6 (150 ± 47%; p = 0.02) and Balb/c mice (243 ± 52%; p = 0.03). At 3 weeks PI, the VMR remained increased in Balb/c (176 ± 23%; p = 0.02), but returned to baseline in C57BL/6 mice. At 5 weeks PI, WAS could not re-introduce visceral hypersensitivity (VHS).  Conclusions  &amp;  Inferences: Citrobacter rodentium infection induces transient VHS in C57BL/6 and Balb/c mice, which persisted 1 week longer in Balb/c mice. Although other strain-related differences may contribute, a Th2 background may represent a risk factor for prolonged PI-VHS. As PI-VHS is transient, other factors are crucial for persistent VHS development as observed in PI-IBS.","author":[{"dropping-particle":"","family":"Mondelaers","given":"S.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M.","non-dropping-particle":"","parse-names":false,"suffix":""},{"dropping-particle":"","family":"Mondelaers SU, Theofanous SA, Florens MV, Perna E, Aguilera-Lizarraga J, Boeckxstaens GE","given":"Wouters MM","non-dropping-particle":"","parse-names":false,"suffix":""},{"dropping-particle":"","family":"Mondelaers","given":"S.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M.","non-dropping-particle":"","parse-names":false,"suffix":""}],"container-title":"Neurogastroenterology and Motility","id":"ITEM-1","issue":"5","issued":{"date-parts":[["2016"]]},"page":"647-658","title":"Effect of genetic background and postinfectious stress on visceral sensitivity in Citrobacter rodentium-infected mice","type":"article-journal","volume":"28"},"uris":["http://www.mendeley.com/documents/?uuid=441ca505-bce8-410a-9ee1-1a1c6c0771d6"]}],"mendeley":{"formattedCitation":"&lt;sup&gt;19&lt;/sup&gt;","plainTextFormattedCitation":"19","previouslyFormattedCitation":"&lt;sup&gt;19&lt;/sup&gt;"},"properties":{"noteIndex":0},"schema":"https://github.com/citation-style-language/schema/raw/master/csl-citation.json"}</w:instrText>
      </w:r>
      <w:r w:rsidR="0098534F" w:rsidRPr="00BA6F83">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19</w:t>
      </w:r>
      <w:r w:rsidR="0098534F" w:rsidRPr="00BA6F83">
        <w:rPr>
          <w:rFonts w:asciiTheme="minorHAnsi" w:hAnsiTheme="minorHAnsi"/>
          <w:color w:val="000000" w:themeColor="text1"/>
          <w:lang w:val="en-US"/>
        </w:rPr>
        <w:fldChar w:fldCharType="end"/>
      </w:r>
      <w:r w:rsidR="006040E0" w:rsidRPr="00BA6F83">
        <w:rPr>
          <w:rFonts w:asciiTheme="minorHAnsi" w:hAnsiTheme="minorHAnsi"/>
          <w:color w:val="000000" w:themeColor="text1"/>
          <w:lang w:val="en-US"/>
        </w:rPr>
        <w:t xml:space="preserve">, mice developed </w:t>
      </w:r>
      <w:r w:rsidR="00A747A9" w:rsidRPr="00BA6F83">
        <w:rPr>
          <w:rFonts w:asciiTheme="minorHAnsi" w:hAnsiTheme="minorHAnsi"/>
          <w:color w:val="000000" w:themeColor="text1"/>
          <w:lang w:val="en-US"/>
        </w:rPr>
        <w:t>a short-lasting period of</w:t>
      </w:r>
      <w:r w:rsidR="00B25EA5" w:rsidRPr="00BA6F83">
        <w:rPr>
          <w:rFonts w:asciiTheme="minorHAnsi" w:hAnsiTheme="minorHAnsi"/>
          <w:color w:val="000000" w:themeColor="text1"/>
          <w:lang w:val="en-US"/>
        </w:rPr>
        <w:t xml:space="preserve"> increased pain response to colorectal distension</w:t>
      </w:r>
      <w:r w:rsidR="00986527" w:rsidRPr="00BA6F83">
        <w:rPr>
          <w:rFonts w:asciiTheme="minorHAnsi" w:hAnsiTheme="minorHAnsi"/>
          <w:color w:val="000000" w:themeColor="text1"/>
          <w:lang w:val="en-US"/>
        </w:rPr>
        <w:t>, referred to as VHS,</w:t>
      </w:r>
      <w:r w:rsidR="00B25EA5" w:rsidRPr="00BA6F83">
        <w:rPr>
          <w:rFonts w:asciiTheme="minorHAnsi" w:hAnsiTheme="minorHAnsi"/>
          <w:color w:val="000000" w:themeColor="text1"/>
          <w:lang w:val="en-US"/>
        </w:rPr>
        <w:t xml:space="preserve"> </w:t>
      </w:r>
      <w:r w:rsidR="00A747A9" w:rsidRPr="00BA6F83">
        <w:rPr>
          <w:rFonts w:asciiTheme="minorHAnsi" w:hAnsiTheme="minorHAnsi"/>
          <w:color w:val="000000" w:themeColor="text1"/>
          <w:lang w:val="en-US"/>
        </w:rPr>
        <w:t xml:space="preserve">2 weeks </w:t>
      </w:r>
      <w:r w:rsidR="00631BC4" w:rsidRPr="00BA6F83">
        <w:rPr>
          <w:rFonts w:asciiTheme="minorHAnsi" w:hAnsiTheme="minorHAnsi"/>
          <w:color w:val="000000" w:themeColor="text1"/>
          <w:lang w:val="en-US"/>
        </w:rPr>
        <w:t xml:space="preserve">after </w:t>
      </w:r>
      <w:r w:rsidR="00A747A9" w:rsidRPr="00BA6F83">
        <w:rPr>
          <w:rFonts w:asciiTheme="minorHAnsi" w:hAnsiTheme="minorHAnsi"/>
          <w:color w:val="000000" w:themeColor="text1"/>
          <w:lang w:val="en-US"/>
        </w:rPr>
        <w:t>infection</w:t>
      </w:r>
      <w:r w:rsidR="00601979"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601979" w:rsidRPr="00BA6F83">
        <w:rPr>
          <w:rFonts w:asciiTheme="minorHAnsi" w:hAnsiTheme="minorHAnsi"/>
          <w:color w:val="000000" w:themeColor="text1"/>
          <w:lang w:val="en-US"/>
        </w:rPr>
        <w:t xml:space="preserve"> </w:t>
      </w:r>
      <w:r w:rsidR="002F4263" w:rsidRPr="00BA6F83">
        <w:rPr>
          <w:rFonts w:asciiTheme="minorHAnsi" w:hAnsiTheme="minorHAnsi"/>
          <w:color w:val="000000" w:themeColor="text1"/>
          <w:lang w:val="en-US"/>
        </w:rPr>
        <w:t>1</w:t>
      </w:r>
      <w:r w:rsidR="00A07A76" w:rsidRPr="00BA6F83">
        <w:rPr>
          <w:rFonts w:asciiTheme="minorHAnsi" w:hAnsiTheme="minorHAnsi"/>
          <w:color w:val="000000" w:themeColor="text1"/>
          <w:lang w:val="en-US"/>
        </w:rPr>
        <w:t>D</w:t>
      </w:r>
      <w:r w:rsidR="00601979" w:rsidRPr="00BA6F83">
        <w:rPr>
          <w:rFonts w:asciiTheme="minorHAnsi" w:hAnsiTheme="minorHAnsi"/>
          <w:color w:val="000000" w:themeColor="text1"/>
          <w:lang w:val="en-US"/>
        </w:rPr>
        <w:t>)</w:t>
      </w:r>
      <w:r w:rsidR="006040E0" w:rsidRPr="00BA6F83">
        <w:rPr>
          <w:rFonts w:asciiTheme="minorHAnsi" w:hAnsiTheme="minorHAnsi"/>
          <w:color w:val="000000" w:themeColor="text1"/>
          <w:lang w:val="en-US"/>
        </w:rPr>
        <w:t xml:space="preserve">, </w:t>
      </w:r>
      <w:r w:rsidR="00A747A9" w:rsidRPr="00BA6F83">
        <w:rPr>
          <w:rFonts w:asciiTheme="minorHAnsi" w:hAnsiTheme="minorHAnsi"/>
          <w:color w:val="000000" w:themeColor="text1"/>
          <w:lang w:val="en-US"/>
        </w:rPr>
        <w:t xml:space="preserve">returning to </w:t>
      </w:r>
      <w:r w:rsidR="00913ECF" w:rsidRPr="00BA6F83">
        <w:rPr>
          <w:rFonts w:asciiTheme="minorHAnsi" w:hAnsiTheme="minorHAnsi"/>
          <w:color w:val="000000" w:themeColor="text1"/>
          <w:lang w:val="en-US"/>
        </w:rPr>
        <w:t xml:space="preserve">baseline </w:t>
      </w:r>
      <w:r w:rsidR="00A747A9" w:rsidRPr="00BA6F83">
        <w:rPr>
          <w:rFonts w:asciiTheme="minorHAnsi" w:hAnsiTheme="minorHAnsi"/>
          <w:color w:val="000000" w:themeColor="text1"/>
          <w:lang w:val="en-US"/>
        </w:rPr>
        <w:t>after 4 weeks</w:t>
      </w:r>
      <w:r w:rsidR="005B0027" w:rsidRPr="00BA6F83">
        <w:rPr>
          <w:rFonts w:asciiTheme="minorHAnsi" w:hAnsiTheme="minorHAnsi"/>
          <w:color w:val="000000" w:themeColor="text1"/>
          <w:lang w:val="en-US"/>
        </w:rPr>
        <w:t xml:space="preserve"> following clearance of </w:t>
      </w:r>
      <w:r w:rsidR="005B0027" w:rsidRPr="00BA6F83">
        <w:rPr>
          <w:rFonts w:asciiTheme="minorHAnsi" w:hAnsiTheme="minorHAnsi"/>
          <w:i/>
          <w:color w:val="000000" w:themeColor="text1"/>
          <w:lang w:val="en-US"/>
        </w:rPr>
        <w:t>C. rodentium</w:t>
      </w:r>
      <w:r w:rsidR="00E25236" w:rsidRPr="00BA6F83">
        <w:rPr>
          <w:rFonts w:asciiTheme="minorHAnsi" w:hAnsiTheme="minorHAnsi"/>
          <w:i/>
          <w:color w:val="000000" w:themeColor="text1"/>
          <w:lang w:val="en-US"/>
        </w:rPr>
        <w:fldChar w:fldCharType="begin" w:fldLock="1"/>
      </w:r>
      <w:r w:rsidR="00770BE2">
        <w:rPr>
          <w:rFonts w:asciiTheme="minorHAnsi" w:hAnsiTheme="minorHAnsi"/>
          <w:i/>
          <w:color w:val="000000" w:themeColor="text1"/>
          <w:lang w:val="en-US"/>
        </w:rPr>
        <w:instrText>ADDIN CSL_CITATION {"citationItems":[{"id":"ITEM-1","itemData":{"DOI":"10.1113/jphysiol.2009.169110","ISBN":"1469-7793 (Electronic)\\r0022-3751 (Linking)","ISSN":"00223751","PMID":"19470777","abstract":"To investigate the possible contribution of peripheral sensory mechanisms to abdominal pain following infectious colitis, we examined whether the Citrobacter rodentium mouse model of human E. coli infection caused hyperexcitability of nociceptive colonic dorsal root ganglion (DRG) neurons and whether these changes persisted following recovery from infection. Mice were gavaged with C. rodentium or distilled water. Perforated patch clamp recordings were obtained from acutely dissociated Fast Blue labelled colonic DRG neurons and afferent nerve recordings were obtained from colonic afferents during ramp colonic distensions. Recordings were obtained on day 10 (acute infection) and day 30 (infection resolved). Following gavage, colonic weights, myeloperoxidase (MPO) activity, stool cultures, and histological scoring established that infection caused colitis at day 10 which resolved by day 30 in most tissues. Electrophysiological recordings at day 10 demonstrated hyperexcitability of colonic DRG neurons (40% mean decrease in rheobase, P = 0.02; 50% mean increase in action potential discharge at twice rheobase, P = 0.02). At day 30, the increase in action potential discharge persisted (approximately 150% increase versus control; P = 0.04). In voltage clamp studies, transient outward (I(A)) and delayed rectifier (I(K)) currents were suppressed at day 10 and I(A) currents remained suppressed at day 30. Colonic afferent nerve recordings during colonic distension demonstrated enhanced firing at day 30 in infected animals. These studies demonstrate that acute infectious colitis evokes hyperexcitability of colonic DRG neurons which persists following resolution of the infection and that suppression of I(A) currents may play a role. Together, these findings suggest that peripheral pain mechanisms could contribute to post-infectious symptoms in conditions such as post-infectious irritable bowel syndrome.","author":[{"dropping-particle":"","family":"Ibeakanma","given":"Charles","non-dropping-particle":"","parse-names":false,"suffix":""},{"dropping-particle":"","family":"Miranda-Morales","given":"Marcela","non-dropping-particle":"","parse-names":false,"suffix":""},{"dropping-particle":"","family":"Richards","given":"Michele","non-dropping-particle":"","parse-names":false,"suffix":""},{"dropping-particle":"","family":"Bautista-Cruz","given":"Francisco","non-dropping-particle":"","parse-names":false,"suffix":""},{"dropping-particle":"","family":"Martin","given":"Nancy","non-dropping-particle":"","parse-names":false,"suffix":""},{"dropping-particle":"","family":"Hurlbut","given":"David","non-dropping-particle":"","parse-names":false,"suffix":""},{"dropping-particle":"","family":"Vanner","given":"Stephen","non-dropping-particle":"","parse-names":false,"suffix":""}],"container-title":"Journal of Physiology","id":"ITEM-1","issue":"14","issued":{"date-parts":[["2009"]]},"page":"3505-21","title":"Citrobacter rodentium colitis evokes post-infectious hyperexcitability of mouse nociceptive colonic dorsal root ganglion neurons","type":"article-journal","volume":"587"},"uris":["http://www.mendeley.com/documents/?uuid=725d0cde-cc8c-4baa-8b0d-358d3fe1575a"]},{"id":"ITEM-2","itemData":{"DOI":"10.1159/000430295","ISSN":"14219778","abstract":"This is an Open Access article licensed under the terms of the Creative Commons Attribution-NonCommercial 3.0 Unported license (CC BY-NC) (www.karger.com/OA-license), applicable to the online version of the article only. Distribution permitted for non-commercial purposes only. Abstract Background/Aims: IL10 is a key inhibitor of effector T cell activation and a mediator of intestinal homeostasis. In addition, IL10 has emerged as a key immunoregulator during infection with various pathogens, ameliorating the excessive T-cell responses that are responsible for much of the immunopathology associated with the infection. Because IL10 plays an important role in both intestinal homeostasis and infection, we studied the function of IL10 in infection-associated intestinal inflammation. Methods: Wildtype mice and mice deficient in CD4 + T cell-derived or regulatory T cells-derived IL10 were infected with the enteric pathogen Citrobacter (C.) rodentium and analyzed for the specific immune response and pathogloy in the colon. Results: We found that IL10 expression is upregulated in colonic tissue after infection with C. rodentium, especially in CD4 + T cells, macrophages and dendritic cells. Whereas the deletion of IL10 in regulatory T cells had no effect on C. rodentium induced colitis, infection of mice deficient in CD4 + T cell-derived IL10 exhibited faster clearance of the bacterial burden but worse colitis, crypt hyperplasia, and pathology than did WT mice. In addition, the depletion of CD4 + T cell-derived IL10 in infected animals was accompanied by an accelerated IFNγ and IL17 response in the colon. Conclusion: Thus, we conclude that CD4 + T cell-derived IL10 is strongly involved in the control of C. rodentium-induced colitis. Interference with this network could have implications for the treatment of infection-associated intestinal inflammation.","author":[{"dropping-particle":"","family":"Seiffart","given":"Virginia","non-dropping-particle":"","parse-names":false,"suffix":""},{"dropping-particle":"","family":"Zoeller","given":"Julia","non-dropping-particle":"","parse-names":false,"suffix":""},{"dropping-particle":"","family":"Klopfleisch","given":"Robert","non-dropping-particle":"","parse-names":false,"suffix":""},{"dropping-particle":"","family":"Wadwa","given":"Munisch","non-dropping-particle":"","parse-names":false,"suffix":""},{"dropping-particle":"","family":"Hansen","given":"Wiebke","non-dropping-particle":"","parse-names":false,"suffix":""},{"dropping-particle":"","family":"Buer","given":"Jan","non-dropping-particle":"","parse-names":false,"suffix":""},{"dropping-particle":"","family":"Riedel","given":"Christian","non-dropping-particle":"","parse-names":false,"suffix":""},{"dropping-particle":"","family":"Westendorf","given":"Astrid M.","non-dropping-particle":"","parse-names":false,"suffix":""}],"container-title":"Cellular Physiology and Biochemistry","id":"ITEM-2","issue":"4","issued":{"date-parts":[["2015"]]},"page":"1259-73","title":"IL10-Deficiency in CD4⁺ T Cells Exacerbates the IFNγ and IL17 Response During Bacteria Induced Colitis.","type":"article-journal","volume":"36"},"uris":["http://www.mendeley.com/documents/?uuid=96a3a148-ffbc-4cbf-9a6e-745952bd4aba"]}],"mendeley":{"formattedCitation":"&lt;sup&gt;17,20&lt;/sup&gt;","plainTextFormattedCitation":"17,20","previouslyFormattedCitation":"&lt;sup&gt;17,20&lt;/sup&gt;"},"properties":{"noteIndex":0},"schema":"https://github.com/citation-style-language/schema/raw/master/csl-citation.json"}</w:instrText>
      </w:r>
      <w:r w:rsidR="00E25236" w:rsidRPr="00BA6F83">
        <w:rPr>
          <w:rFonts w:asciiTheme="minorHAnsi" w:hAnsiTheme="minorHAnsi"/>
          <w:i/>
          <w:color w:val="000000" w:themeColor="text1"/>
          <w:lang w:val="en-US"/>
        </w:rPr>
        <w:fldChar w:fldCharType="separate"/>
      </w:r>
      <w:r w:rsidR="00D465C0" w:rsidRPr="00D465C0">
        <w:rPr>
          <w:rFonts w:asciiTheme="minorHAnsi" w:hAnsiTheme="minorHAnsi"/>
          <w:noProof/>
          <w:color w:val="000000" w:themeColor="text1"/>
          <w:vertAlign w:val="superscript"/>
          <w:lang w:val="en-US"/>
        </w:rPr>
        <w:t>17,20</w:t>
      </w:r>
      <w:r w:rsidR="00E25236" w:rsidRPr="00BA6F83">
        <w:rPr>
          <w:rFonts w:asciiTheme="minorHAnsi" w:hAnsiTheme="minorHAnsi"/>
          <w:i/>
          <w:color w:val="000000" w:themeColor="text1"/>
          <w:lang w:val="en-US"/>
        </w:rPr>
        <w:fldChar w:fldCharType="end"/>
      </w:r>
      <w:r w:rsidR="00A747A9" w:rsidRPr="00BA6F83">
        <w:rPr>
          <w:rFonts w:asciiTheme="minorHAnsi" w:hAnsiTheme="minorHAnsi"/>
          <w:color w:val="000000" w:themeColor="text1"/>
          <w:lang w:val="en-US"/>
        </w:rPr>
        <w:t xml:space="preserve">. </w:t>
      </w:r>
      <w:r w:rsidR="005B0027" w:rsidRPr="00BA6F83">
        <w:rPr>
          <w:rFonts w:asciiTheme="minorHAnsi" w:hAnsiTheme="minorHAnsi"/>
          <w:color w:val="000000" w:themeColor="text1"/>
          <w:lang w:val="en-US"/>
        </w:rPr>
        <w:t xml:space="preserve">After 5 weeks, repeated oral gavage </w:t>
      </w:r>
      <w:r w:rsidR="00601979" w:rsidRPr="00BA6F83">
        <w:rPr>
          <w:rFonts w:asciiTheme="minorHAnsi" w:hAnsiTheme="minorHAnsi"/>
          <w:color w:val="000000" w:themeColor="text1"/>
          <w:lang w:val="en-US"/>
        </w:rPr>
        <w:t>of OVA</w:t>
      </w:r>
      <w:r w:rsidR="00082392" w:rsidRPr="00BA6F83">
        <w:rPr>
          <w:rFonts w:asciiTheme="minorHAnsi" w:hAnsiTheme="minorHAnsi"/>
          <w:color w:val="000000" w:themeColor="text1"/>
          <w:lang w:val="en-US"/>
        </w:rPr>
        <w:t xml:space="preserve"> </w:t>
      </w:r>
      <w:r w:rsidR="00D64A7E" w:rsidRPr="00BA6F83">
        <w:rPr>
          <w:rFonts w:asciiTheme="minorHAnsi" w:hAnsiTheme="minorHAnsi"/>
          <w:color w:val="000000" w:themeColor="text1"/>
          <w:lang w:val="en-US"/>
        </w:rPr>
        <w:t>resulted in a gradual increase in visceral pain responses</w:t>
      </w:r>
      <w:r w:rsidR="005A71E2" w:rsidRPr="00BA6F83">
        <w:rPr>
          <w:rFonts w:asciiTheme="minorHAnsi" w:hAnsiTheme="minorHAnsi"/>
          <w:color w:val="000000" w:themeColor="text1"/>
          <w:lang w:val="en-US"/>
        </w:rPr>
        <w:t xml:space="preserve"> or VHS</w:t>
      </w:r>
      <w:r w:rsidR="008125DA" w:rsidRPr="00BA6F83">
        <w:rPr>
          <w:rFonts w:asciiTheme="minorHAnsi" w:hAnsiTheme="minorHAnsi"/>
          <w:color w:val="000000" w:themeColor="text1"/>
          <w:lang w:val="en-US"/>
        </w:rPr>
        <w:t xml:space="preserve"> in </w:t>
      </w:r>
      <w:r w:rsidR="00245F10" w:rsidRPr="00BA6F83">
        <w:rPr>
          <w:rFonts w:asciiTheme="minorHAnsi" w:hAnsiTheme="minorHAnsi"/>
          <w:color w:val="000000" w:themeColor="text1"/>
          <w:lang w:val="en-US"/>
        </w:rPr>
        <w:t>OVA</w:t>
      </w:r>
      <w:r w:rsidR="00F4074E" w:rsidRPr="00BA6F83">
        <w:rPr>
          <w:rFonts w:asciiTheme="minorHAnsi" w:hAnsiTheme="minorHAnsi"/>
          <w:color w:val="000000" w:themeColor="text1"/>
          <w:lang w:val="en-US"/>
        </w:rPr>
        <w:t>/</w:t>
      </w:r>
      <w:r w:rsidR="008125DA" w:rsidRPr="00BA6F83">
        <w:rPr>
          <w:rFonts w:asciiTheme="minorHAnsi" w:hAnsiTheme="minorHAnsi"/>
          <w:color w:val="000000" w:themeColor="text1"/>
          <w:lang w:val="en-US"/>
        </w:rPr>
        <w:t xml:space="preserve">infected, but not in </w:t>
      </w:r>
      <w:r w:rsidR="00703E2F" w:rsidRPr="00BA6F83">
        <w:rPr>
          <w:rFonts w:asciiTheme="minorHAnsi" w:hAnsiTheme="minorHAnsi"/>
          <w:color w:val="000000" w:themeColor="text1"/>
          <w:lang w:val="en-US"/>
        </w:rPr>
        <w:t>uninfected</w:t>
      </w:r>
      <w:r w:rsidR="007A671F">
        <w:rPr>
          <w:rFonts w:asciiTheme="minorHAnsi" w:hAnsiTheme="minorHAnsi"/>
          <w:color w:val="000000" w:themeColor="text1"/>
          <w:lang w:val="en-US"/>
        </w:rPr>
        <w:t xml:space="preserve"> </w:t>
      </w:r>
      <w:r w:rsidR="008125DA" w:rsidRPr="00BA6F83">
        <w:rPr>
          <w:rFonts w:asciiTheme="minorHAnsi" w:hAnsiTheme="minorHAnsi"/>
          <w:color w:val="000000" w:themeColor="text1"/>
          <w:lang w:val="en-US"/>
        </w:rPr>
        <w:t>mice</w:t>
      </w:r>
      <w:r w:rsidR="002F4263" w:rsidRPr="00BA6F83">
        <w:rPr>
          <w:rFonts w:asciiTheme="minorHAnsi" w:hAnsiTheme="minorHAnsi"/>
          <w:b/>
          <w:color w:val="000000" w:themeColor="text1"/>
          <w:lang w:val="en-US"/>
        </w:rPr>
        <w:t xml:space="preserve"> </w:t>
      </w:r>
      <w:r w:rsidR="002F4263" w:rsidRPr="00BA6F83">
        <w:rPr>
          <w:rFonts w:asciiTheme="minorHAnsi" w:hAnsiTheme="minorHAnsi"/>
          <w:color w:val="000000" w:themeColor="text1"/>
          <w:lang w:val="en-US"/>
        </w:rPr>
        <w:t>(</w:t>
      </w:r>
      <w:r w:rsidR="00983FF8" w:rsidRPr="00BA6F83">
        <w:rPr>
          <w:rFonts w:asciiTheme="minorHAnsi" w:hAnsiTheme="minorHAnsi"/>
          <w:color w:val="000000" w:themeColor="text1"/>
          <w:lang w:val="en-US"/>
        </w:rPr>
        <w:t>Fig.</w:t>
      </w:r>
      <w:r w:rsidR="002F4263" w:rsidRPr="00BA6F83">
        <w:rPr>
          <w:rFonts w:asciiTheme="minorHAnsi" w:hAnsiTheme="minorHAnsi"/>
          <w:color w:val="000000" w:themeColor="text1"/>
          <w:lang w:val="en-US"/>
        </w:rPr>
        <w:t xml:space="preserve"> 1</w:t>
      </w:r>
      <w:r w:rsidR="00A07A76" w:rsidRPr="00BA6F83">
        <w:rPr>
          <w:rFonts w:asciiTheme="minorHAnsi" w:hAnsiTheme="minorHAnsi"/>
          <w:color w:val="000000" w:themeColor="text1"/>
          <w:lang w:val="en-US"/>
        </w:rPr>
        <w:t xml:space="preserve">D, </w:t>
      </w:r>
      <w:r w:rsidR="00E83E77" w:rsidRPr="00BA6F83">
        <w:rPr>
          <w:rFonts w:asciiTheme="minorHAnsi" w:hAnsiTheme="minorHAnsi"/>
          <w:color w:val="000000" w:themeColor="text1"/>
          <w:lang w:val="en-US"/>
        </w:rPr>
        <w:t>E</w:t>
      </w:r>
      <w:r w:rsidR="00EE06B1">
        <w:rPr>
          <w:rFonts w:asciiTheme="minorHAnsi" w:hAnsiTheme="minorHAnsi"/>
          <w:color w:val="000000" w:themeColor="text1"/>
          <w:lang w:val="en-US"/>
        </w:rPr>
        <w:t xml:space="preserve"> and Extended Data Fig. 1</w:t>
      </w:r>
      <w:r w:rsidR="00725186">
        <w:rPr>
          <w:rFonts w:asciiTheme="minorHAnsi" w:hAnsiTheme="minorHAnsi"/>
          <w:color w:val="000000" w:themeColor="text1"/>
          <w:lang w:val="en-US"/>
        </w:rPr>
        <w:t>E</w:t>
      </w:r>
      <w:r w:rsidR="002F4263" w:rsidRPr="00BA6F83">
        <w:rPr>
          <w:rFonts w:asciiTheme="minorHAnsi" w:hAnsiTheme="minorHAnsi"/>
          <w:color w:val="000000" w:themeColor="text1"/>
          <w:lang w:val="en-US"/>
        </w:rPr>
        <w:t>)</w:t>
      </w:r>
      <w:r w:rsidR="00FF0E94" w:rsidRPr="00BA6F83">
        <w:rPr>
          <w:rFonts w:asciiTheme="minorHAnsi" w:hAnsiTheme="minorHAnsi"/>
          <w:color w:val="000000" w:themeColor="text1"/>
          <w:lang w:val="en-US"/>
        </w:rPr>
        <w:t>, a phenotype that persisted for at least 4 weeks after the last OVA gavage (</w:t>
      </w:r>
      <w:r w:rsidR="00983FF8" w:rsidRPr="00BA6F83">
        <w:rPr>
          <w:rFonts w:asciiTheme="minorHAnsi" w:hAnsiTheme="minorHAnsi"/>
          <w:color w:val="000000" w:themeColor="text1"/>
          <w:lang w:val="en-US"/>
        </w:rPr>
        <w:t>Extended Data</w:t>
      </w:r>
      <w:r w:rsidR="00E83E77"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FF0E94" w:rsidRPr="00BA6F83">
        <w:rPr>
          <w:rFonts w:asciiTheme="minorHAnsi" w:hAnsiTheme="minorHAnsi"/>
          <w:color w:val="000000" w:themeColor="text1"/>
          <w:lang w:val="en-US"/>
        </w:rPr>
        <w:t xml:space="preserve"> 1</w:t>
      </w:r>
      <w:r w:rsidR="00725186">
        <w:rPr>
          <w:rFonts w:asciiTheme="minorHAnsi" w:hAnsiTheme="minorHAnsi"/>
          <w:color w:val="000000" w:themeColor="text1"/>
          <w:lang w:val="en-US"/>
        </w:rPr>
        <w:t>F</w:t>
      </w:r>
      <w:r w:rsidR="00FF0E94" w:rsidRPr="00BA6F83">
        <w:rPr>
          <w:rFonts w:asciiTheme="minorHAnsi" w:hAnsiTheme="minorHAnsi"/>
          <w:color w:val="000000" w:themeColor="text1"/>
          <w:lang w:val="en-US"/>
        </w:rPr>
        <w:t>).</w:t>
      </w:r>
      <w:r w:rsidR="00696A9B" w:rsidRPr="00BA6F83">
        <w:rPr>
          <w:rFonts w:asciiTheme="minorHAnsi" w:hAnsiTheme="minorHAnsi"/>
          <w:color w:val="000000" w:themeColor="text1"/>
          <w:lang w:val="en-US"/>
        </w:rPr>
        <w:t xml:space="preserve"> </w:t>
      </w:r>
      <w:r w:rsidR="008125DA" w:rsidRPr="00BA6F83">
        <w:rPr>
          <w:rFonts w:asciiTheme="minorHAnsi" w:hAnsiTheme="minorHAnsi"/>
          <w:color w:val="000000" w:themeColor="text1"/>
          <w:lang w:val="en-US"/>
        </w:rPr>
        <w:t>OVA</w:t>
      </w:r>
      <w:r w:rsidR="00F4074E" w:rsidRPr="00BA6F83">
        <w:rPr>
          <w:rFonts w:asciiTheme="minorHAnsi" w:hAnsiTheme="minorHAnsi"/>
          <w:color w:val="000000" w:themeColor="text1"/>
          <w:lang w:val="en-US"/>
        </w:rPr>
        <w:t>/</w:t>
      </w:r>
      <w:r w:rsidR="00D64A7E" w:rsidRPr="00BA6F83">
        <w:rPr>
          <w:rFonts w:asciiTheme="minorHAnsi" w:hAnsiTheme="minorHAnsi"/>
          <w:color w:val="000000" w:themeColor="text1"/>
          <w:lang w:val="en-US"/>
        </w:rPr>
        <w:t xml:space="preserve">infected </w:t>
      </w:r>
      <w:r w:rsidR="008125DA" w:rsidRPr="00BA6F83">
        <w:rPr>
          <w:rFonts w:asciiTheme="minorHAnsi" w:hAnsiTheme="minorHAnsi"/>
          <w:color w:val="000000" w:themeColor="text1"/>
          <w:lang w:val="en-US"/>
        </w:rPr>
        <w:t xml:space="preserve">mice that received </w:t>
      </w:r>
      <w:r w:rsidR="00D64A7E" w:rsidRPr="00BA6F83">
        <w:rPr>
          <w:rFonts w:asciiTheme="minorHAnsi" w:hAnsiTheme="minorHAnsi"/>
          <w:color w:val="000000" w:themeColor="text1"/>
          <w:lang w:val="en-US"/>
        </w:rPr>
        <w:lastRenderedPageBreak/>
        <w:t xml:space="preserve">repeated </w:t>
      </w:r>
      <w:r w:rsidR="008125DA" w:rsidRPr="00BA6F83">
        <w:rPr>
          <w:rFonts w:asciiTheme="minorHAnsi" w:hAnsiTheme="minorHAnsi"/>
          <w:color w:val="000000" w:themeColor="text1"/>
          <w:lang w:val="en-US"/>
        </w:rPr>
        <w:t xml:space="preserve">saline </w:t>
      </w:r>
      <w:r w:rsidR="00D64A7E" w:rsidRPr="00BA6F83">
        <w:rPr>
          <w:rFonts w:asciiTheme="minorHAnsi" w:hAnsiTheme="minorHAnsi"/>
          <w:color w:val="000000" w:themeColor="text1"/>
          <w:lang w:val="en-US"/>
        </w:rPr>
        <w:t xml:space="preserve">gavages or </w:t>
      </w:r>
      <w:r w:rsidR="00815BFC" w:rsidRPr="00BA6F83">
        <w:rPr>
          <w:rFonts w:asciiTheme="minorHAnsi" w:hAnsiTheme="minorHAnsi"/>
          <w:color w:val="000000" w:themeColor="text1"/>
          <w:lang w:val="en-US"/>
        </w:rPr>
        <w:t xml:space="preserve">infected </w:t>
      </w:r>
      <w:r w:rsidR="00D64A7E" w:rsidRPr="00BA6F83">
        <w:rPr>
          <w:rFonts w:asciiTheme="minorHAnsi" w:hAnsiTheme="minorHAnsi"/>
          <w:color w:val="000000" w:themeColor="text1"/>
          <w:lang w:val="en-US"/>
        </w:rPr>
        <w:t xml:space="preserve">mice exposed to </w:t>
      </w:r>
      <w:r w:rsidR="005A71E2" w:rsidRPr="00BA6F83">
        <w:rPr>
          <w:rFonts w:asciiTheme="minorHAnsi" w:hAnsiTheme="minorHAnsi"/>
          <w:color w:val="000000" w:themeColor="text1"/>
          <w:lang w:val="en-US"/>
        </w:rPr>
        <w:t>normal</w:t>
      </w:r>
      <w:r w:rsidR="00D64A7E" w:rsidRPr="00BA6F83">
        <w:rPr>
          <w:rFonts w:asciiTheme="minorHAnsi" w:hAnsiTheme="minorHAnsi"/>
          <w:color w:val="000000" w:themeColor="text1"/>
          <w:lang w:val="en-US"/>
        </w:rPr>
        <w:t xml:space="preserve"> drinking water during infection</w:t>
      </w:r>
      <w:r w:rsidR="008125DA" w:rsidRPr="00BA6F83">
        <w:rPr>
          <w:rFonts w:asciiTheme="minorHAnsi" w:hAnsiTheme="minorHAnsi"/>
          <w:color w:val="000000" w:themeColor="text1"/>
          <w:lang w:val="en-US"/>
        </w:rPr>
        <w:t xml:space="preserve"> </w:t>
      </w:r>
      <w:r w:rsidR="006D1497" w:rsidRPr="00BA6F83">
        <w:rPr>
          <w:rFonts w:asciiTheme="minorHAnsi" w:hAnsiTheme="minorHAnsi"/>
          <w:color w:val="000000" w:themeColor="text1"/>
          <w:lang w:val="en-US"/>
        </w:rPr>
        <w:t>followed by repeated</w:t>
      </w:r>
      <w:r w:rsidR="00D64A7E" w:rsidRPr="00BA6F83">
        <w:rPr>
          <w:rFonts w:asciiTheme="minorHAnsi" w:hAnsiTheme="minorHAnsi"/>
          <w:color w:val="000000" w:themeColor="text1"/>
          <w:lang w:val="en-US"/>
        </w:rPr>
        <w:t xml:space="preserve"> oral gavages of </w:t>
      </w:r>
      <w:r w:rsidR="005A71E2" w:rsidRPr="00BA6F83">
        <w:rPr>
          <w:rFonts w:asciiTheme="minorHAnsi" w:hAnsiTheme="minorHAnsi"/>
          <w:color w:val="000000" w:themeColor="text1"/>
          <w:lang w:val="en-US"/>
        </w:rPr>
        <w:t>OVA</w:t>
      </w:r>
      <w:r w:rsidR="00D64A7E" w:rsidRPr="00BA6F83">
        <w:rPr>
          <w:rFonts w:asciiTheme="minorHAnsi" w:hAnsiTheme="minorHAnsi"/>
          <w:color w:val="000000" w:themeColor="text1"/>
          <w:lang w:val="en-US"/>
        </w:rPr>
        <w:t xml:space="preserve"> failed to develop VHS</w:t>
      </w:r>
      <w:r w:rsidR="005A71E2" w:rsidRPr="00BA6F83">
        <w:rPr>
          <w:rFonts w:asciiTheme="minorHAnsi" w:hAnsiTheme="minorHAnsi"/>
          <w:color w:val="000000" w:themeColor="text1"/>
          <w:lang w:val="en-US"/>
        </w:rPr>
        <w:t xml:space="preserve"> </w:t>
      </w:r>
      <w:r w:rsidR="002F4263" w:rsidRPr="00BA6F83">
        <w:rPr>
          <w:rFonts w:asciiTheme="minorHAnsi" w:hAnsiTheme="minorHAnsi"/>
          <w:color w:val="000000" w:themeColor="text1"/>
          <w:lang w:val="en-US"/>
        </w:rPr>
        <w:t>(</w:t>
      </w:r>
      <w:r w:rsidR="00983FF8" w:rsidRPr="00BA6F83">
        <w:rPr>
          <w:rFonts w:asciiTheme="minorHAnsi" w:hAnsiTheme="minorHAnsi"/>
          <w:color w:val="000000" w:themeColor="text1"/>
          <w:lang w:val="en-US"/>
        </w:rPr>
        <w:t>Fig.</w:t>
      </w:r>
      <w:r w:rsidR="002F4263" w:rsidRPr="00BA6F83">
        <w:rPr>
          <w:rFonts w:asciiTheme="minorHAnsi" w:hAnsiTheme="minorHAnsi"/>
          <w:color w:val="000000" w:themeColor="text1"/>
          <w:lang w:val="en-US"/>
        </w:rPr>
        <w:t xml:space="preserve"> 1</w:t>
      </w:r>
      <w:r w:rsidR="00F1359F" w:rsidRPr="00BA6F83">
        <w:rPr>
          <w:rFonts w:asciiTheme="minorHAnsi" w:hAnsiTheme="minorHAnsi"/>
          <w:color w:val="000000" w:themeColor="text1"/>
          <w:lang w:val="en-US"/>
        </w:rPr>
        <w:t xml:space="preserve">D, </w:t>
      </w:r>
      <w:r w:rsidR="00E83E77" w:rsidRPr="00BA6F83">
        <w:rPr>
          <w:rFonts w:asciiTheme="minorHAnsi" w:hAnsiTheme="minorHAnsi"/>
          <w:color w:val="000000" w:themeColor="text1"/>
          <w:lang w:val="en-US"/>
        </w:rPr>
        <w:t>E</w:t>
      </w:r>
      <w:r w:rsidR="002F4263" w:rsidRPr="00BA6F83">
        <w:rPr>
          <w:rFonts w:asciiTheme="minorHAnsi" w:hAnsiTheme="minorHAnsi"/>
          <w:color w:val="000000" w:themeColor="text1"/>
          <w:lang w:val="en-US"/>
        </w:rPr>
        <w:t>)</w:t>
      </w:r>
      <w:r w:rsidR="00D751D1" w:rsidRPr="00BA6F83">
        <w:rPr>
          <w:rFonts w:asciiTheme="minorHAnsi" w:hAnsiTheme="minorHAnsi"/>
          <w:color w:val="000000" w:themeColor="text1"/>
          <w:lang w:val="en-US"/>
        </w:rPr>
        <w:t>.</w:t>
      </w:r>
      <w:r w:rsidR="00E83E77" w:rsidRPr="00BA6F83">
        <w:rPr>
          <w:rFonts w:asciiTheme="minorHAnsi" w:hAnsiTheme="minorHAnsi"/>
          <w:color w:val="000000" w:themeColor="text1"/>
          <w:lang w:val="en-US"/>
        </w:rPr>
        <w:t xml:space="preserve"> </w:t>
      </w:r>
      <w:r w:rsidR="00991F15" w:rsidRPr="00BA6F83">
        <w:rPr>
          <w:rFonts w:asciiTheme="minorHAnsi" w:hAnsiTheme="minorHAnsi"/>
          <w:color w:val="000000" w:themeColor="text1"/>
          <w:lang w:val="en-US"/>
        </w:rPr>
        <w:t>Given that increased colonic permeability has been linked with IBS</w:t>
      </w:r>
      <w:r w:rsidR="00991F15" w:rsidRPr="00BA6F83">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{"citationItems":[{"id":"ITEM-1","itemData":{"DOI":"10.1016/j.pain.2009.06.017","ISBN":"0304-3959","ISSN":"03043959","PMID":"19595511","abstract":"Irritable bowel syndrome (IBS) is a common gastrointestinal disorder in which the underlying pathophysiology is poorly understood; however, increased intestinal permeability in diarrhea-predominant IBS patients has been reported. Here we demonstrate that diarrhea-predominant IBS (D-IBS) patients display increased intestinal permeability. We have also found that increased intestinal membrane permeability is associated with visceral and thermal hypersensitivity in this subset of D-IBS patients. We evaluated 54 D-IBS patients and 22 controls for intestinal membrane permeability using the lactulose/mannitol method. All subjects ingested 5 g of lactulose and 2 g of mannitol in 100 ml of water after which their urine was collected. We also evaluated the mean mechanical visual analogue scale (M-VAS) pain rating to nociceptive thermal and visceral stimulation in all subjects. All study participants also completed the FBDSI scale. Approximately 39% of diarrhea-predominant IBS patients had increased intestinal membrane permeability as measured by the lactulose/mannitol ratio. These IBS patients also demonstrated higher M-VAS pain intensity reading scale. Interestingly, the IBS patients with hypersensitivity and increased intestinal permeability had a higher FBDSI score (100.8 ± 5.4) than IBS patients with normal membrane permeability and sensitivity (51.6 ± 12.7) and controls (6.1 ± 5.6) (p &lt; 0.001). A subset of D-IBS patients had increased intestinal membrane permeability that was associated with an increased FBDSI score and increased hypersensitivity to visceral and thermal nociceptive pain stimuli. Thus, increased intestinal membrane permeability in D-IBS patients may lead to more severe IBS symptoms and hypersensitivity to somatic and visceral stimuli. © 2009 International Association for the Study of Pain.","author":[{"dropping-particle":"","family":"Zhou","given":"QiQi","non-dropping-particle":"","parse-names":false,"suffix":""},{"dropping-particle":"","family":"Zhang","given":"Buyi","non-dropping-particle":"","parse-names":false,"suffix":""},{"dropping-particle":"","family":"Nicholas Verne","given":"G.","non-dropping-particle":"","parse-names":false,"suffix":""}],"container-title":"Pain","id":"ITEM-1","issue":"1-2","issued":{"date-parts":[["2009"]]},"page":"41-46","title":"Intestinal membrane permeability and hypersensitivity in the irritable bowel syndrome","type":"article-journal","volume":"146"},"uris":["http://www.mendeley.com/documents/?uuid=05e584d1-6eac-472b-a4f5-12962992288e"]},{"id":"ITEM-2","itemData":{"DOI":"10.1136/gut.47.6.804","ISBN":"0017-5749 (Print)\\r0017-5749 (Linking)","ISSN":"00175749","PMID":"11076879","abstract":"BACKGROUND AND AIMS: Post-dysenteric irritable bowel syndrome (PD-IBS) develops in up to 25% of patients following Campylobacter enteritis. Our aim was to define the pathological basis of this subgroup of IBS. METHODS: Twenty one patients (group 1) underwent serial rectal biopsy and gut permeability testing following acute Campylobacter enteritis as did 10 PD-IBS patients (group 2) and 12 asymptomatic controls. RESULTS: In group 1, enteroendocrine cell (EC) numbers were markedly increased initially and at six and 12 weeks (p&lt;0.001) compared with controls. Gut permeability, as assessed by the lactulose/mannitol ratio, was significantly elevated, initially and at 12 weeks (p&lt;0.005). CD3, CD4, and CD8 lymphocyte counts in the lamina propria and intraepithelial lymphocytes (IEL) were significantly increased initially compared with controls. At visit 1, EC numbers were positively correlated with CD3 counts (r=0.6, p=0.01). At one year, seven subjects (five with persistent loose stools) had rectal biopsies which showed significantly elevated EC, CD3, and IEL counts. In group 2, EC and IEL counts were significantly increased compared with controls (p&lt;0.001), as was gut permeability (p&lt;0.01). CONCLUSION: Increased EC, T lymphocytes, and gut permeability are acute changes following Campylobacter enteritis which can persist for more than a year and may contribute to PD-IBS.","author":[{"dropping-particle":"","family":"Spiller","given":"R. C.","non-dropping-particle":"","parse-names":false,"suffix":""},{"dropping-particle":"","family":"Jenkins","given":"D.","non-dropping-particle":"","parse-names":false,"suffix":""},{"dropping-particle":"","family":"Thornley","given":"J. P.","non-dropping-particle":"","parse-names":false,"suffix":""},{"dropping-particle":"","family":"Hebden","given":"J. M.","non-dropping-particle":"","parse-names":false,"suffix":""},{"dropping-particle":"","family":"Wright","given":"T.","non-dropping-particle":"","parse-names":false,"suffix":""},{"dropping-particle":"","family":"Skinner","given":"M.","non-dropping-particle":"","parse-names":false,"suffix":""},{"dropping-particle":"","family":"Neal","given":"K. R.","non-dropping-particle":"","parse-names":false,"suffix":""}],"container-title":"Gut","id":"ITEM-2","issue":"6","issued":{"date-parts":[["2000"]]},"page":"804-811","title":"Increased rectal mucosal enteroendocrine cells, T lymphocytes, and increased gut permeability following acute Campylobacter enteritis and in post-dysenteric irritable bowel syndrome","type":"article-journal","volume":"47"},"uris":["http://www.mendeley.com/documents/?uuid=e0cf150a-6c9b-4207-9354-a76f02a8ce3b"]}],"mendeley":{"formattedCitation":"&lt;sup&gt;21,22&lt;/sup&gt;","plainTextFormattedCitation":"21,22","previouslyFormattedCitation":"&lt;sup&gt;21,22&lt;/sup&gt;"},"properties":{"noteIndex":0},"schema":"https://github.com/citation-style-language/schema/raw/master/csl-citation.json"}</w:instrText>
      </w:r>
      <w:r w:rsidR="00991F15" w:rsidRPr="00BA6F83">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21,22</w:t>
      </w:r>
      <w:r w:rsidR="00991F15" w:rsidRPr="00BA6F83">
        <w:rPr>
          <w:rFonts w:asciiTheme="minorHAnsi" w:hAnsiTheme="minorHAnsi"/>
          <w:color w:val="000000" w:themeColor="text1"/>
          <w:lang w:val="en-US"/>
        </w:rPr>
        <w:fldChar w:fldCharType="end"/>
      </w:r>
      <w:r w:rsidR="00991F15" w:rsidRPr="00BA6F83">
        <w:rPr>
          <w:rFonts w:asciiTheme="minorHAnsi" w:hAnsiTheme="minorHAnsi"/>
          <w:color w:val="000000" w:themeColor="text1"/>
          <w:lang w:val="en-US"/>
        </w:rPr>
        <w:t xml:space="preserve"> and is considered another hallmark feature of IBS, we assessed if the development of VHS was associated with changes in colonic permeability. Repeated oral gavages of OVA in OVA/infected mice increased permeability to sodium fluorescein (</w:t>
      </w:r>
      <w:r w:rsidR="00983FF8" w:rsidRPr="00BA6F83">
        <w:rPr>
          <w:rFonts w:asciiTheme="minorHAnsi" w:hAnsiTheme="minorHAnsi"/>
          <w:color w:val="000000" w:themeColor="text1"/>
          <w:lang w:val="en-US"/>
        </w:rPr>
        <w:t>Extended Data</w:t>
      </w:r>
      <w:r w:rsidR="00BC0BDE"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725186">
        <w:rPr>
          <w:rFonts w:asciiTheme="minorHAnsi" w:hAnsiTheme="minorHAnsi"/>
          <w:color w:val="000000" w:themeColor="text1"/>
          <w:lang w:val="en-US"/>
        </w:rPr>
        <w:t>G</w:t>
      </w:r>
      <w:r w:rsidR="00991F15" w:rsidRPr="00BA6F83">
        <w:rPr>
          <w:rFonts w:asciiTheme="minorHAnsi" w:hAnsiTheme="minorHAnsi"/>
          <w:color w:val="000000" w:themeColor="text1"/>
          <w:lang w:val="en-US"/>
        </w:rPr>
        <w:t xml:space="preserve">), consistent with data obtained in biopsies collected </w:t>
      </w:r>
      <w:r w:rsidR="00991F15" w:rsidRPr="00725186">
        <w:rPr>
          <w:rFonts w:asciiTheme="minorHAnsi" w:hAnsiTheme="minorHAnsi"/>
          <w:color w:val="000000" w:themeColor="text1"/>
          <w:lang w:val="en-US"/>
        </w:rPr>
        <w:t>from IBS patients</w:t>
      </w:r>
      <w:r w:rsidR="00991F15" w:rsidRPr="00725186">
        <w:rPr>
          <w:rFonts w:asciiTheme="minorHAnsi" w:hAnsiTheme="minorHAnsi"/>
          <w:color w:val="000000" w:themeColor="text1"/>
          <w:lang w:val="en-US"/>
        </w:rPr>
        <w:fldChar w:fldCharType="begin" w:fldLock="1"/>
      </w:r>
      <w:r w:rsidR="00770BE2" w:rsidRPr="00725186">
        <w:rPr>
          <w:rFonts w:asciiTheme="minorHAnsi" w:hAnsiTheme="minorHAnsi"/>
          <w:color w:val="000000" w:themeColor="text1"/>
          <w:lang w:val="en-US"/>
        </w:rPr>
        <w:instrText>ADDIN CSL_CITATION {"citationItems":[{"id":"ITEM-1","itemData":{"DOI":"10.1007/s10620-009-1094-8","ISBN":"1062000910948","ISSN":"01632116","PMID":"20087660","abstract":"BACKGROUND AND AIMS: Patients with diarrhea-predominant irritable bowel syndrome (IBS-D) appear to have increased intestinal permeability; it has been suggested that activation of protease-activated receptor-2 (PAR-2) receptors is responsible for this alteration. The aims of this study are to evaluate (1) if rectal (large bowel) permeability is increased in IBS-D and (2) if tryptase plays a critical role in the altered permeability. METHODS: Rectal biopsies from 20 patients with IBS-D and 30 subjects without the condition (normal controls) were assessed for macromolecular permeability using horseradish peroxidase in Ussing chambers in the basal state and after addition of drugs to the basolateral side. Reverse-transcription polymerase chain reaction (RT-PCR) was performed using colonic biopsy tissues from patients with IBS-D and normal subjects. RESULTS: When tryptase was added to the basolateral (not mucosal) side of normal rectal biopsy tissues, permeability appeared to be proportional to the increase in tryptase concentration (P &lt; 0.05) and was abolished by the addition of tryptase inhibitor (100 μM nafamostat; 1.568 ± 0.874 ng/2 h/mm(2) to 0.766 ± 0.661 ng/2 h/mm(2), n = 14, respectively, P &lt; 0.01). Intestinal permeability in patients with IBS-D was significantly increased compared with controls (0.848 ± 0.0.600 ng/2 h/mm(2), n = 21, P &lt; 0.01). Nafamostat significantly reduced the enhanced permeability in IBS-D (0.934 ± 0.589 ng/2 h/mm(2) to 0.247 ± 0.263 ng/2 h/mm(2), n = 14, respectively, P &lt; 0.05). Transcription levels of PAR2 measured by RT-PCR did not differ between IBS-D and normal subjects. CONCLUSION: Tryptase seems to play an important role in the control of human colonic mucosal permeability, and enhanced tryptase activity was responsible for the increased permeability of rectal mucosa in IBS patients.","author":[{"dropping-particle":"","family":"Lee","given":"Jae Woong","non-dropping-particle":"","parse-names":false,"suffix":""},{"dropping-particle":"","family":"Park","given":"Jung Ho","non-dropping-particle":"","parse-names":false,"suffix":""},{"dropping-particle":"","family":"Park","given":"Dong I.L.","non-dropping-particle":"","parse-names":false,"suffix":""},{"dropping-particle":"","family":"Park","given":"Jung Hwan","non-dropping-particle":"","parse-names":false,"suffix":""},{"dropping-particle":"","family":"Kim","given":"Hong Joo","non-dropping-particle":"","parse-names":false,"suffix":""},{"dropping-particle":"","family":"Cho","given":"Yong Kyun","non-dropping-particle":"","parse-names":false,"suffix":""},{"dropping-particle":"","family":"Sohn","given":"Chong I.L.","non-dropping-particle":"","parse-names":false,"suffix":""},{"dropping-particle":"","family":"Jeon","given":"Woo Kyu","non-dropping-particle":"","parse-names":false,"suffix":""},{"dropping-particle":"","family":"Kim","given":"Byung Ik","non-dropping-particle":"","parse-names":false,"suffix":""}],"container-title":"Digestive Diseases and Sciences","id":"ITEM-1","issue":"10","issued":{"date-parts":[["2010"]]},"page":"2922-2928","title":"Subjects with diarrhea-predominant IBS have increased rectal permeability responsive to tryptase","type":"article-journal","volume":"55"},"uris":["http://www.mendeley.com/documents/?uuid=e59077f9-c8fb-4d01-8c5c-7d6814db77a3"]}],"mendeley":{"formattedCitation":"&lt;sup&gt;23&lt;/sup&gt;","plainTextFormattedCitation":"23","previouslyFormattedCitation":"&lt;sup&gt;23&lt;/sup&gt;"},"properties":{"noteIndex":0},"schema":"https://github.com/citation-style-language/schema/raw/master/csl-citation.json"}</w:instrText>
      </w:r>
      <w:r w:rsidR="00991F15" w:rsidRPr="00725186">
        <w:rPr>
          <w:rFonts w:asciiTheme="minorHAnsi" w:hAnsiTheme="minorHAnsi"/>
          <w:color w:val="000000" w:themeColor="text1"/>
          <w:lang w:val="en-US"/>
        </w:rPr>
        <w:fldChar w:fldCharType="separate"/>
      </w:r>
      <w:r w:rsidR="00D465C0" w:rsidRPr="00725186">
        <w:rPr>
          <w:rFonts w:asciiTheme="minorHAnsi" w:hAnsiTheme="minorHAnsi"/>
          <w:noProof/>
          <w:color w:val="000000" w:themeColor="text1"/>
          <w:vertAlign w:val="superscript"/>
          <w:lang w:val="en-US"/>
        </w:rPr>
        <w:t>23</w:t>
      </w:r>
      <w:r w:rsidR="00991F15" w:rsidRPr="00725186">
        <w:rPr>
          <w:rFonts w:asciiTheme="minorHAnsi" w:hAnsiTheme="minorHAnsi"/>
          <w:color w:val="000000" w:themeColor="text1"/>
          <w:lang w:val="en-US"/>
        </w:rPr>
        <w:fldChar w:fldCharType="end"/>
      </w:r>
      <w:r w:rsidR="00081016" w:rsidRPr="00725186">
        <w:rPr>
          <w:rFonts w:asciiTheme="minorHAnsi" w:hAnsiTheme="minorHAnsi"/>
          <w:color w:val="000000" w:themeColor="text1"/>
          <w:lang w:val="en-US"/>
        </w:rPr>
        <w:t xml:space="preserve">, </w:t>
      </w:r>
      <w:r w:rsidR="00081016" w:rsidRPr="00725186">
        <w:rPr>
          <w:rFonts w:eastAsia="Times New Roman" w:cstheme="minorHAnsi"/>
          <w:color w:val="000000" w:themeColor="text1"/>
          <w:lang w:val="en-US"/>
        </w:rPr>
        <w:t xml:space="preserve">suggesting that the </w:t>
      </w:r>
      <w:r w:rsidR="007355CA" w:rsidRPr="00725186">
        <w:rPr>
          <w:rFonts w:eastAsia="Times New Roman" w:cstheme="minorHAnsi"/>
          <w:color w:val="000000" w:themeColor="text1"/>
          <w:lang w:val="en-US"/>
        </w:rPr>
        <w:t xml:space="preserve">paracellular </w:t>
      </w:r>
      <w:r w:rsidR="00081016" w:rsidRPr="00725186">
        <w:rPr>
          <w:rFonts w:eastAsia="Times New Roman" w:cstheme="minorHAnsi"/>
          <w:color w:val="000000" w:themeColor="text1"/>
          <w:lang w:val="en-US"/>
        </w:rPr>
        <w:t>leak pathway</w:t>
      </w:r>
      <w:r w:rsidR="007355CA" w:rsidRPr="00725186">
        <w:rPr>
          <w:rFonts w:eastAsia="Times New Roman" w:cstheme="minorHAnsi"/>
          <w:color w:val="000000" w:themeColor="text1"/>
        </w:rPr>
        <w:fldChar w:fldCharType="begin" w:fldLock="1"/>
      </w:r>
      <w:r w:rsidR="005741AE" w:rsidRPr="00725186">
        <w:rPr>
          <w:rFonts w:eastAsia="Times New Roman" w:cstheme="minorHAnsi"/>
          <w:color w:val="000000" w:themeColor="text1"/>
          <w:lang w:val="en-US"/>
        </w:rPr>
        <w:instrText>ADDIN CSL_CITATION {"citationItems":[{"id":"ITEM-1","itemData":{"DOI":"10.1146/annurev-physiol-012110-142150","ISSN":"00664278","abstract":"Tissue barriers that restrict passage of liquids, ions, and larger solutes are essential for the development of multicellular organisms. In simple organisms this allows distinct cell types to interface with the external environment. In more complex species, the diversity of cell types capable of forming barriers increases dramatically. Although the plasma membranes of these barrier-forming cells prevent flux of most hydrophilic solutes, the paracellular, or shunt, pathway between cells must also be sealed. This function is accomplished in vertebrates by the zonula occludens, or tight junction. The tight junction barrier is not absolute but is selectively permeable and is able to discriminate between solutes on the basis of size and charge. Many tight junction components have been identified over the past 20 years, and recent progress has provided new insights into the proteins and interactions that regulate structure and function. This review presents these data in a historical context and proposes an integrated model in which dynamic regulation of tight junction protein interactions determines barrier function. © 2011 by Annual Reviews. All rights reserved.","author":[{"dropping-particle":"","family":"Shen","given":"Le","non-dropping-particle":"","parse-names":false,"suffix":""},{"dropping-particle":"","family":"Weber","given":"Christopher R.","non-dropping-particle":"","parse-names":false,"suffix":""},{"dropping-particle":"","family":"Raleigh","given":"David R.","non-dropping-particle":"","parse-names":false,"suffix":""},{"dropping-particle":"","family":"Yu","given":"Dan","non-dropping-particle":"","parse-names":false,"suffix":""},{"dropping-particle":"","family":"Turner","given":"Jerrold R.","non-dropping-particle":"","parse-names":false,"suffix":""}],"container-title":"Annual Review of Physiology","id":"ITEM-1","issued":{"date-parts":[["2011"]]},"page":"289-309","title":"Tight junction pore and leak pathways: A dynamic duo","type":"article-journal","volume":"73"},"uris":["http://www.mendeley.com/documents/?uuid=228568c6-4ae3-4cca-b5cd-0ceb03afc419"]}],"mendeley":{"formattedCitation":"&lt;sup&gt;24&lt;/sup&gt;","plainTextFormattedCitation":"24","previouslyFormattedCitation":"&lt;sup&gt;24&lt;/sup&gt;"},"properties":{"noteIndex":0},"schema":"https://github.com/citation-style-language/schema/raw/master/csl-citation.json"}</w:instrText>
      </w:r>
      <w:r w:rsidR="007355CA" w:rsidRPr="00725186">
        <w:rPr>
          <w:rFonts w:eastAsia="Times New Roman" w:cstheme="minorHAnsi"/>
          <w:color w:val="000000" w:themeColor="text1"/>
        </w:rPr>
        <w:fldChar w:fldCharType="separate"/>
      </w:r>
      <w:r w:rsidR="007355CA" w:rsidRPr="00725186">
        <w:rPr>
          <w:rFonts w:eastAsia="Times New Roman" w:cstheme="minorHAnsi"/>
          <w:noProof/>
          <w:color w:val="000000" w:themeColor="text1"/>
          <w:vertAlign w:val="superscript"/>
          <w:lang w:val="en-US"/>
        </w:rPr>
        <w:t>24</w:t>
      </w:r>
      <w:r w:rsidR="007355CA" w:rsidRPr="00725186">
        <w:rPr>
          <w:rFonts w:eastAsia="Times New Roman" w:cstheme="minorHAnsi"/>
          <w:color w:val="000000" w:themeColor="text1"/>
        </w:rPr>
        <w:fldChar w:fldCharType="end"/>
      </w:r>
      <w:r w:rsidR="00081016" w:rsidRPr="00725186">
        <w:rPr>
          <w:rFonts w:eastAsia="Times New Roman" w:cstheme="minorHAnsi"/>
          <w:color w:val="000000" w:themeColor="text1"/>
          <w:lang w:val="en-US"/>
        </w:rPr>
        <w:t xml:space="preserve"> is affected in our model</w:t>
      </w:r>
      <w:r w:rsidR="00991F15" w:rsidRPr="00725186">
        <w:rPr>
          <w:rFonts w:asciiTheme="minorHAnsi" w:hAnsiTheme="minorHAnsi"/>
          <w:color w:val="000000" w:themeColor="text1"/>
          <w:lang w:val="en-US"/>
        </w:rPr>
        <w:t xml:space="preserve">. We then investigated </w:t>
      </w:r>
      <w:r w:rsidR="00991F15" w:rsidRPr="00BA6F83">
        <w:rPr>
          <w:rFonts w:asciiTheme="minorHAnsi" w:hAnsiTheme="minorHAnsi"/>
          <w:color w:val="000000" w:themeColor="text1"/>
          <w:lang w:val="en-US"/>
        </w:rPr>
        <w:t xml:space="preserve">whether an infection with </w:t>
      </w:r>
      <w:r w:rsidR="00991F15" w:rsidRPr="00BA6F83">
        <w:rPr>
          <w:rFonts w:asciiTheme="minorHAnsi" w:hAnsiTheme="minorHAnsi"/>
          <w:i/>
          <w:color w:val="000000" w:themeColor="text1"/>
          <w:lang w:val="en-US"/>
        </w:rPr>
        <w:t>C. rodentium</w:t>
      </w:r>
      <w:r w:rsidR="00991F15" w:rsidRPr="00BA6F83">
        <w:rPr>
          <w:rFonts w:asciiTheme="minorHAnsi" w:hAnsiTheme="minorHAnsi"/>
          <w:color w:val="000000" w:themeColor="text1"/>
          <w:lang w:val="en-US"/>
        </w:rPr>
        <w:t xml:space="preserve"> can induce a break in oral tolerance once established</w:t>
      </w:r>
      <w:r w:rsidR="0069063B" w:rsidRPr="00BA6F83">
        <w:rPr>
          <w:rFonts w:asciiTheme="minorHAnsi" w:hAnsiTheme="minorHAnsi"/>
          <w:color w:val="000000" w:themeColor="text1"/>
          <w:lang w:val="en-US"/>
        </w:rPr>
        <w:t xml:space="preserve"> and lead to dietary antigen-induced VHS</w:t>
      </w:r>
      <w:r w:rsidR="00991F15" w:rsidRPr="00BA6F83">
        <w:rPr>
          <w:rFonts w:asciiTheme="minorHAnsi" w:hAnsiTheme="minorHAnsi"/>
          <w:color w:val="000000" w:themeColor="text1"/>
          <w:lang w:val="en-US"/>
        </w:rPr>
        <w:t xml:space="preserve">. To </w:t>
      </w:r>
      <w:r w:rsidR="0069063B" w:rsidRPr="00BA6F83">
        <w:rPr>
          <w:rFonts w:asciiTheme="minorHAnsi" w:hAnsiTheme="minorHAnsi"/>
          <w:color w:val="000000" w:themeColor="text1"/>
          <w:lang w:val="en-US"/>
        </w:rPr>
        <w:t>induce oral tolerance</w:t>
      </w:r>
      <w:r w:rsidR="00991F15" w:rsidRPr="00BA6F83">
        <w:rPr>
          <w:rFonts w:asciiTheme="minorHAnsi" w:hAnsiTheme="minorHAnsi"/>
          <w:color w:val="000000" w:themeColor="text1"/>
          <w:lang w:val="en-US"/>
        </w:rPr>
        <w:t>, mice either received 1 mg/mL OVA (low dose) in their drinking water for the duration of 1 week</w:t>
      </w:r>
      <w:r w:rsidR="00991F15" w:rsidRPr="00BA6F83">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{"citationItems":[{"id":"ITEM-1","itemData":{"DOI":"10.1016/j.immuni.2011.01.016","ISBN":"1097-4180 (Electronic)\\r1074-7613 (Linking)","ISSN":"10747613","PMID":"21333554","abstract":"Tolerance to food antigen manifests in the absence and/or suppression of antigen-specific immune responses locally in the gut but also systemically, a phenomenon known as oral tolerance. Oral tolerance is thought to originate in the gut-draining lymph nodes, which support the generation of FoxP3+ regulatory T (Treg) cells. Here we use several mouse models to show that Treg cells, after their generation in lymph nodes, need to home to the gut to undergo local expansion to install oral tolerance. Proliferation of Treg cells in the intestine and production of interleukin-10 by gut-resident macrophages was blunted in mice deficient in the chemokine (C-X3-C motif) receptor 1 (CX3CR1). We propose a model of stepwise oral tolerance induction comprising the generation of Treg cells in the gut-draining lymph nodes, followed by migration into the gut and subsequent expansion of Treg cells driven by intestinal macrophages. © 2011 Elsevier Inc.","author":[{"dropping-particle":"","family":"Hadis","given":"Usriansyah","non-dropping-particle":"","parse-names":false,"suffix":""},{"dropping-particle":"","family":"Wahl","given":"Benjamin","non-dropping-particle":"","parse-names":false,"suffix":""},{"dropping-particle":"","family":"Schulz","given":"Olga","non-dropping-particle":"","parse-names":false,"suffix":""},{"dropping-particle":"","family":"Hardtke-Wolenski","given":"Matthias","non-dropping-particle":"","parse-names":false,"suffix":""},{"dropping-particle":"","family":"Schippers","given":"Angela","non-dropping-particle":"","parse-names":false,"suffix":""},{"dropping-particle":"","family":"Wagner","given":"Norbert","non-dropping-particle":"","parse-names":false,"suffix":""},{"dropping-particle":"","family":"Müller","given":"Werner","non-dropping-particle":"","parse-names":false,"suffix":""},{"dropping-particle":"","family":"Sparwasser","given":"Tim","non-dropping-particle":"","parse-names":false,"suffix":""},{"dropping-particle":"","family":"Förster","given":"Reinhold","non-dropping-particle":"","parse-names":false,"suffix":""},{"dropping-particle":"","family":"Pabst","given":"Oliver","non-dropping-particle":"","parse-names":false,"suffix":""}],"container-title":"Immunity","id":"ITEM-1","issue":"2","issued":{"date-parts":[["2011"]]},"page":"237-246","title":"Intestinal Tolerance Requires Gut Homing and Expansion of FoxP3+ Regulatory T Cells in the Lamina Propria","type":"article-journal","volume":"34"},"uris":["http://www.mendeley.com/documents/?uuid=703c1f5b-8017-473f-a1aa-f828b1681ad4"]}],"mendeley":{"formattedCitation":"&lt;sup&gt;18&lt;/sup&gt;","plainTextFormattedCitation":"18","previouslyFormattedCitation":"&lt;sup&gt;18&lt;/sup&gt;"},"properties":{"noteIndex":0},"schema":"https://github.com/citation-style-language/schema/raw/master/csl-citation.json"}</w:instrText>
      </w:r>
      <w:r w:rsidR="00991F15" w:rsidRPr="00BA6F83">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18</w:t>
      </w:r>
      <w:r w:rsidR="00991F15" w:rsidRPr="00BA6F83">
        <w:rPr>
          <w:rFonts w:asciiTheme="minorHAnsi" w:hAnsiTheme="minorHAnsi"/>
          <w:color w:val="000000" w:themeColor="text1"/>
          <w:lang w:val="en-US"/>
        </w:rPr>
        <w:fldChar w:fldCharType="end"/>
      </w:r>
      <w:r w:rsidR="00991F15" w:rsidRPr="00BA6F83">
        <w:rPr>
          <w:rFonts w:asciiTheme="minorHAnsi" w:hAnsiTheme="minorHAnsi"/>
          <w:color w:val="000000" w:themeColor="text1"/>
          <w:lang w:val="en-US"/>
        </w:rPr>
        <w:t xml:space="preserve"> or were challenged orally with 50 mg of OVA (3 times, every other day; high dose</w:t>
      </w:r>
      <w:r w:rsidR="00991F15"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{"citationItems":[{"id":"ITEM-1","itemData":{"DOI":"10.2119/molmed.2016.00062","ISSN":"1076-1551","abstract":"© 2016 Uninversity of Michigan. All rights reserved. Vagotomy (VGX) increases the susceptibility to develop colitis suggesting a crucial role for the cholinergic anti-inflammatory pathway in the regulation of the immune responses. Since oral tolerance and the generation of regulatory T cells (Tregs) are crucial to preserve mucosal immune homeostasis, we studied the effect of vagotomy and the involvement of α7 nicotinic receptors (α7nAChR) at the steady state and during colitis. Therefore, the development of both oral tolerance and colitis (induced by dextran sulfate sodium (DSS) or via T cell transfer) was studied in vagotomized mice and in α7nAChR-/-mice. VGX, but not α7nAChR deficiency, prevented oral tolerance establishment. This effect was associated with reduced Treg conversion in the lamina propria and mesenteric lymphnodes. To the same extent, vagotomized mice, but not α7nAChR-/-mice, developed a more severe DSS colitis compared with control mice treated with DSS, associated with a decreased number of colonic Tregs. However, neither VGX nor absence of α7nAChR in recipient mice affected colitis development in the T cell transfer model. In line, deficiency of α7nAChR exclusively in T cells did not influence the development of colitis induced by T cell transfer. Our results indicate a key role for the vagal intestinal innervation in the development of oral tolerance and colitis, most likely by modulating induction of Tregs independently of α7nAChR.","author":[{"dropping-particle":"","family":"Giovangiulio","given":"Martina","non-dropping-particle":"Di","parse-names":false,"suffix":""},{"dropping-particle":"","family":"Bosmans","given":"Goele","non-dropping-particle":"","parse-names":false,"suffix":""},{"dropping-particle":"","family":"Meroni","given":"Elisa","non-dropping-particle":"","parse-names":false,"suffix":""},{"dropping-particle":"","family":"Stakenborg","given":"Nathalie","non-dropping-particle":"","parse-names":false,"suffix":""},{"dropping-particle":"","family":"Florens","given":"Morgane","non-dropping-particle":"","parse-names":false,"suffix":""},{"dropping-particle":"","family":"Farro","given":"Giovanna","non-dropping-particle":"","parse-names":false,"suffix":""},{"dropping-particle":"","family":"Gomez-Pinilla","given":"Pedro J","non-dropping-particle":"","parse-names":false,"suffix":""},{"dropping-particle":"","family":"Matteoli","given":"Gianluca","non-dropping-particle":"","parse-names":false,"suffix":""},{"dropping-particle":"","family":"Boeckxstaens","given":"Guy E","non-dropping-particle":"","parse-names":false,"suffix":""}],"container-title":"Molecular Medicine","id":"ITEM-1","issued":{"date-parts":[["2016"]]},"page":"464-476","title":"Vagotomy Affects the Development of Oral Tolerance and Increases Susceptibility to Develop Colitis Independently of α-7 Nicotinic Receptor","type":"article-journal","volume":"22"},"uris":["http://www.mendeley.com/documents/?uuid=5cb0162e-3c60-4bc2-9111-cf71c70d7773","http://www.mendeley.com/documents/?uuid=ef8e0824-9918-4c5c-a784-dca683648503"]}],"mendeley":{"formattedCitation":"&lt;sup&gt;25&lt;/sup&gt;","plainTextFormattedCitation":"25","previouslyFormattedCitation":"&lt;sup&gt;25&lt;/sup&gt;"},"properties":{"noteIndex":0},"schema":"https://github.com/citation-style-language/schema/raw/master/csl-citation.json"}</w:instrText>
      </w:r>
      <w:r w:rsidR="00991F15"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25</w:t>
      </w:r>
      <w:r w:rsidR="00991F15" w:rsidRPr="00BA6F83">
        <w:rPr>
          <w:rFonts w:asciiTheme="minorHAnsi" w:hAnsiTheme="minorHAnsi"/>
          <w:color w:val="000000" w:themeColor="text1"/>
          <w:lang w:val="en-US"/>
        </w:rPr>
        <w:fldChar w:fldCharType="end"/>
      </w:r>
      <w:r w:rsidR="00175495" w:rsidRPr="00BA6F83">
        <w:rPr>
          <w:rFonts w:asciiTheme="minorHAnsi" w:hAnsiTheme="minorHAnsi"/>
          <w:color w:val="000000" w:themeColor="text1"/>
          <w:lang w:val="en-US"/>
        </w:rPr>
        <w:t xml:space="preserve">) </w:t>
      </w:r>
      <w:r w:rsidR="00991F15" w:rsidRPr="00BA6F83">
        <w:rPr>
          <w:rFonts w:asciiTheme="minorHAnsi" w:hAnsiTheme="minorHAnsi"/>
          <w:color w:val="000000" w:themeColor="text1"/>
          <w:lang w:val="en-US"/>
        </w:rPr>
        <w:t>2 weeks prior to infection (</w:t>
      </w:r>
      <w:r w:rsidR="00983FF8" w:rsidRPr="00BA6F83">
        <w:rPr>
          <w:rFonts w:asciiTheme="minorHAnsi" w:hAnsiTheme="minorHAnsi"/>
          <w:color w:val="000000" w:themeColor="text1"/>
          <w:lang w:val="en-US"/>
        </w:rPr>
        <w:t>Extended Data</w:t>
      </w:r>
      <w:r w:rsidR="00991F1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725186">
        <w:rPr>
          <w:rFonts w:asciiTheme="minorHAnsi" w:hAnsiTheme="minorHAnsi"/>
          <w:color w:val="000000" w:themeColor="text1"/>
          <w:lang w:val="en-US"/>
        </w:rPr>
        <w:t>H</w:t>
      </w:r>
      <w:r w:rsidR="00991F15" w:rsidRPr="00BA6F83">
        <w:rPr>
          <w:rFonts w:asciiTheme="minorHAnsi" w:hAnsiTheme="minorHAnsi"/>
          <w:color w:val="000000" w:themeColor="text1"/>
          <w:lang w:val="en-US"/>
        </w:rPr>
        <w:t xml:space="preserve">). Notably, mice tolerized to OVA prior to infection also developed VHS upon OVA re-exposure, but only when infected with </w:t>
      </w:r>
      <w:r w:rsidR="00991F15" w:rsidRPr="00BA6F83">
        <w:rPr>
          <w:rFonts w:asciiTheme="minorHAnsi" w:hAnsiTheme="minorHAnsi"/>
          <w:i/>
          <w:color w:val="000000" w:themeColor="text1"/>
          <w:lang w:val="en-US"/>
        </w:rPr>
        <w:t>C. rodentium</w:t>
      </w:r>
      <w:r w:rsidR="00991F15" w:rsidRPr="00BA6F83">
        <w:rPr>
          <w:rFonts w:asciiTheme="minorHAnsi" w:hAnsiTheme="minorHAnsi"/>
          <w:color w:val="000000" w:themeColor="text1"/>
          <w:lang w:val="en-US"/>
        </w:rPr>
        <w:t xml:space="preserve"> in the presence of OVA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D22EFE" w:rsidRPr="00BA6F83">
        <w:rPr>
          <w:rFonts w:asciiTheme="minorHAnsi" w:hAnsiTheme="minorHAnsi"/>
          <w:color w:val="000000" w:themeColor="text1"/>
          <w:lang w:val="en-US"/>
        </w:rPr>
        <w:t xml:space="preserve">F, </w:t>
      </w:r>
      <w:r w:rsidR="00A07A76" w:rsidRPr="00BA6F83">
        <w:rPr>
          <w:rFonts w:asciiTheme="minorHAnsi" w:hAnsiTheme="minorHAnsi"/>
          <w:color w:val="000000" w:themeColor="text1"/>
          <w:lang w:val="en-US"/>
        </w:rPr>
        <w:t>G</w:t>
      </w:r>
      <w:r w:rsidR="00991F15" w:rsidRPr="00BA6F83">
        <w:rPr>
          <w:rFonts w:asciiTheme="minorHAnsi" w:hAnsiTheme="minorHAnsi"/>
          <w:color w:val="000000" w:themeColor="text1"/>
          <w:lang w:val="en-US"/>
        </w:rPr>
        <w:t>). Moreover, the development of VHS was antigen-specific, as repeated gavages of bovine serum albumin (BSA) failed to affect pain perception in OVA/infected mice (</w:t>
      </w:r>
      <w:r w:rsidR="00AE128B">
        <w:rPr>
          <w:rFonts w:asciiTheme="minorHAnsi" w:hAnsiTheme="minorHAnsi"/>
          <w:color w:val="000000" w:themeColor="text1"/>
          <w:lang w:val="en-US"/>
        </w:rPr>
        <w:t xml:space="preserve">Extended Data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725186">
        <w:rPr>
          <w:rFonts w:asciiTheme="minorHAnsi" w:hAnsiTheme="minorHAnsi"/>
          <w:color w:val="000000" w:themeColor="text1"/>
          <w:lang w:val="en-US"/>
        </w:rPr>
        <w:t>I</w:t>
      </w:r>
      <w:r w:rsidR="00D22EFE" w:rsidRPr="00BA6F83">
        <w:rPr>
          <w:rFonts w:asciiTheme="minorHAnsi" w:hAnsiTheme="minorHAnsi"/>
          <w:color w:val="000000" w:themeColor="text1"/>
          <w:lang w:val="en-US"/>
        </w:rPr>
        <w:t xml:space="preserve">, </w:t>
      </w:r>
      <w:r w:rsidR="00725186">
        <w:rPr>
          <w:rFonts w:asciiTheme="minorHAnsi" w:hAnsiTheme="minorHAnsi"/>
          <w:color w:val="000000" w:themeColor="text1"/>
          <w:lang w:val="en-US"/>
        </w:rPr>
        <w:t>J</w:t>
      </w:r>
      <w:r w:rsidR="00991F15" w:rsidRPr="00BA6F83">
        <w:rPr>
          <w:rFonts w:asciiTheme="minorHAnsi" w:hAnsiTheme="minorHAnsi"/>
          <w:color w:val="000000" w:themeColor="text1"/>
          <w:lang w:val="en-US"/>
        </w:rPr>
        <w:t>).</w:t>
      </w:r>
      <w:r w:rsidR="00153FE3" w:rsidRPr="00BA6F83">
        <w:rPr>
          <w:rFonts w:cstheme="minorHAnsi"/>
          <w:color w:val="000000" w:themeColor="text1"/>
          <w:lang w:val="en-US"/>
        </w:rPr>
        <w:t xml:space="preserve"> No differences in the volume-pressure relationship (compliance) were found between groups (</w:t>
      </w:r>
      <w:r w:rsidR="00983FF8" w:rsidRPr="00BA6F83">
        <w:rPr>
          <w:rFonts w:cstheme="minorHAnsi"/>
          <w:color w:val="000000" w:themeColor="text1"/>
          <w:lang w:val="en-US"/>
        </w:rPr>
        <w:t>Extended Data</w:t>
      </w:r>
      <w:r w:rsidR="00D22EFE" w:rsidRPr="00BA6F83">
        <w:rPr>
          <w:rFonts w:cstheme="minorHAnsi"/>
          <w:color w:val="000000" w:themeColor="text1"/>
          <w:lang w:val="en-US"/>
        </w:rPr>
        <w:t xml:space="preserve"> </w:t>
      </w:r>
      <w:r w:rsidR="00153FE3" w:rsidRPr="00BA6F83">
        <w:rPr>
          <w:rFonts w:cstheme="minorHAnsi"/>
          <w:color w:val="000000" w:themeColor="text1"/>
          <w:lang w:val="en-US"/>
        </w:rPr>
        <w:t xml:space="preserve">Table 1), </w:t>
      </w:r>
      <w:r w:rsidR="00FD2B90">
        <w:rPr>
          <w:rFonts w:cstheme="minorHAnsi"/>
          <w:color w:val="000000" w:themeColor="text1"/>
          <w:lang w:val="en-US"/>
        </w:rPr>
        <w:t xml:space="preserve">thereby </w:t>
      </w:r>
      <w:r w:rsidR="00153FE3" w:rsidRPr="00BA6F83">
        <w:rPr>
          <w:rFonts w:cstheme="minorHAnsi"/>
          <w:color w:val="000000" w:themeColor="text1"/>
          <w:lang w:val="en-US"/>
        </w:rPr>
        <w:t>excluding th</w:t>
      </w:r>
      <w:r w:rsidR="00FD2B90">
        <w:rPr>
          <w:rFonts w:cstheme="minorHAnsi"/>
          <w:color w:val="000000" w:themeColor="text1"/>
          <w:lang w:val="en-US"/>
        </w:rPr>
        <w:t>e development of</w:t>
      </w:r>
      <w:r w:rsidR="00153FE3" w:rsidRPr="00BA6F83">
        <w:rPr>
          <w:rFonts w:cstheme="minorHAnsi"/>
          <w:color w:val="000000" w:themeColor="text1"/>
          <w:lang w:val="en-US"/>
        </w:rPr>
        <w:t xml:space="preserve"> inflammatory-mediated changes in wall stiffness </w:t>
      </w:r>
      <w:r w:rsidR="00FD2B90">
        <w:rPr>
          <w:rFonts w:cstheme="minorHAnsi"/>
          <w:color w:val="000000" w:themeColor="text1"/>
          <w:lang w:val="en-US"/>
        </w:rPr>
        <w:t xml:space="preserve">that </w:t>
      </w:r>
      <w:r w:rsidR="00153FE3" w:rsidRPr="00BA6F83">
        <w:rPr>
          <w:rFonts w:cstheme="minorHAnsi"/>
          <w:color w:val="000000" w:themeColor="text1"/>
          <w:lang w:val="en-US"/>
        </w:rPr>
        <w:t>altered nociceptive signaling.</w:t>
      </w:r>
    </w:p>
    <w:p w14:paraId="5EDECA89" w14:textId="312F8E44" w:rsidR="0016738C" w:rsidRPr="00077004" w:rsidRDefault="00986527" w:rsidP="00077004">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 xml:space="preserve">To further explore the </w:t>
      </w:r>
      <w:r w:rsidR="00991F15" w:rsidRPr="00BA6F83">
        <w:rPr>
          <w:rFonts w:asciiTheme="minorHAnsi" w:hAnsiTheme="minorHAnsi"/>
          <w:color w:val="000000" w:themeColor="text1"/>
          <w:lang w:val="en-US"/>
        </w:rPr>
        <w:t>role of the antigen-specific immune response to OVA in VHS, mice were treated with a</w:t>
      </w:r>
      <w:r w:rsidR="00352176">
        <w:rPr>
          <w:rFonts w:asciiTheme="minorHAnsi" w:hAnsiTheme="minorHAnsi"/>
          <w:color w:val="000000" w:themeColor="text1"/>
          <w:lang w:val="en-US"/>
        </w:rPr>
        <w:t xml:space="preserve"> monoclonal </w:t>
      </w:r>
      <w:r w:rsidR="00991F15" w:rsidRPr="00BA6F83">
        <w:rPr>
          <w:rFonts w:asciiTheme="minorHAnsi" w:hAnsiTheme="minorHAnsi"/>
          <w:color w:val="000000" w:themeColor="text1"/>
          <w:lang w:val="en-US"/>
        </w:rPr>
        <w:t>anti-</w:t>
      </w:r>
      <w:proofErr w:type="spellStart"/>
      <w:r w:rsidR="00991F15" w:rsidRPr="00BA6F83">
        <w:rPr>
          <w:rFonts w:asciiTheme="minorHAnsi" w:hAnsiTheme="minorHAnsi"/>
          <w:color w:val="000000" w:themeColor="text1"/>
          <w:lang w:val="en-US"/>
        </w:rPr>
        <w:t>IgE</w:t>
      </w:r>
      <w:proofErr w:type="spellEnd"/>
      <w:r w:rsidR="00991F15" w:rsidRPr="00BA6F83">
        <w:rPr>
          <w:rFonts w:asciiTheme="minorHAnsi" w:hAnsiTheme="minorHAnsi"/>
          <w:color w:val="000000" w:themeColor="text1"/>
          <w:lang w:val="en-US"/>
        </w:rPr>
        <w:t xml:space="preserve"> antibody (</w:t>
      </w:r>
      <w:r w:rsidR="00983FF8" w:rsidRPr="00BA6F83">
        <w:rPr>
          <w:rFonts w:asciiTheme="minorHAnsi" w:hAnsiTheme="minorHAnsi"/>
          <w:color w:val="000000" w:themeColor="text1"/>
          <w:lang w:val="en-US"/>
        </w:rPr>
        <w:t>Extended Data</w:t>
      </w:r>
      <w:r w:rsidR="00991F1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w:t>
      </w:r>
      <w:r w:rsidR="00B82244" w:rsidRPr="00BA6F83">
        <w:rPr>
          <w:rFonts w:asciiTheme="minorHAnsi" w:hAnsiTheme="minorHAnsi"/>
          <w:color w:val="000000" w:themeColor="text1"/>
          <w:lang w:val="en-US"/>
        </w:rPr>
        <w:t>1</w:t>
      </w:r>
      <w:r w:rsidR="00725186">
        <w:rPr>
          <w:rFonts w:asciiTheme="minorHAnsi" w:hAnsiTheme="minorHAnsi"/>
          <w:color w:val="000000" w:themeColor="text1"/>
          <w:lang w:val="en-US"/>
        </w:rPr>
        <w:t>K</w:t>
      </w:r>
      <w:r w:rsidR="00991F15" w:rsidRPr="00BA6F83">
        <w:rPr>
          <w:rFonts w:asciiTheme="minorHAnsi" w:hAnsiTheme="minorHAnsi"/>
          <w:color w:val="000000" w:themeColor="text1"/>
          <w:lang w:val="en-US"/>
        </w:rPr>
        <w:t xml:space="preserve">). This antibody is known to effectively bind </w:t>
      </w:r>
      <w:proofErr w:type="spellStart"/>
      <w:r w:rsidR="00991F15" w:rsidRPr="00BA6F83">
        <w:rPr>
          <w:rFonts w:asciiTheme="minorHAnsi" w:hAnsiTheme="minorHAnsi"/>
          <w:color w:val="000000" w:themeColor="text1"/>
          <w:lang w:val="en-US"/>
        </w:rPr>
        <w:t>IgE</w:t>
      </w:r>
      <w:proofErr w:type="spellEnd"/>
      <w:r w:rsidR="00991F15" w:rsidRPr="00BA6F83">
        <w:rPr>
          <w:rFonts w:asciiTheme="minorHAnsi" w:hAnsiTheme="minorHAnsi"/>
          <w:color w:val="000000" w:themeColor="text1"/>
          <w:lang w:val="en-US"/>
        </w:rPr>
        <w:t xml:space="preserve"> on the same site of the Fc domain as the α chain of the high-affinity </w:t>
      </w:r>
      <w:proofErr w:type="spellStart"/>
      <w:r w:rsidR="00991F15" w:rsidRPr="00BA6F83">
        <w:rPr>
          <w:rFonts w:asciiTheme="minorHAnsi" w:hAnsiTheme="minorHAnsi"/>
          <w:color w:val="000000" w:themeColor="text1"/>
          <w:lang w:val="en-US"/>
        </w:rPr>
        <w:t>FceRI</w:t>
      </w:r>
      <w:proofErr w:type="spellEnd"/>
      <w:r w:rsidR="00991F15" w:rsidRPr="00BA6F83">
        <w:rPr>
          <w:rFonts w:asciiTheme="minorHAnsi" w:hAnsiTheme="minorHAnsi"/>
          <w:color w:val="000000" w:themeColor="text1"/>
          <w:lang w:val="en-US"/>
        </w:rPr>
        <w:t xml:space="preserve">, therefore impeding the interaction between </w:t>
      </w:r>
      <w:proofErr w:type="spellStart"/>
      <w:r w:rsidR="00991F15" w:rsidRPr="00BA6F83">
        <w:rPr>
          <w:rFonts w:asciiTheme="minorHAnsi" w:hAnsiTheme="minorHAnsi"/>
          <w:color w:val="000000" w:themeColor="text1"/>
          <w:lang w:val="en-US"/>
        </w:rPr>
        <w:t>IgE</w:t>
      </w:r>
      <w:proofErr w:type="spellEnd"/>
      <w:r w:rsidR="00991F15" w:rsidRPr="00BA6F83">
        <w:rPr>
          <w:rFonts w:asciiTheme="minorHAnsi" w:hAnsiTheme="minorHAnsi"/>
          <w:color w:val="000000" w:themeColor="text1"/>
          <w:lang w:val="en-US"/>
        </w:rPr>
        <w:t xml:space="preserve"> and MC or basophils</w:t>
      </w:r>
      <w:r w:rsidR="00991F15"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{"citationItems":[{"id":"ITEM-1","itemData":{"DOI":"10.1073/pnas.0504131102","ISBN":"0027-8424 (Print)\\r0027-8424 (Linking)","ISSN":"0027-8424","PMID":"15983366","abstract":"The ability of different forms of myelin peptides to induce tolerance for the treatment of preestablished murine experimental autoimmune encephalomyelitis (EAE), a mouse model of multiple sclerosis, was evaluated. i.v. administration of myelin peptide-pulsed, ethylene carbodiimide-fixed syngeneic splenocytes, but not soluble myelin peptide monomers or oligomers, proved exceedingly effective at treating preestablished EAE, resulting in amelioration of disease progression. In addition to the lack of therapeutic efficacy of soluble peptide and peptide oligomer, administering them i.v. after the onset of clinical symptoms in many but not all peptide-induced EAE models led to a rapid-onset anaphylactic reaction characterized by respiratory distress, erythema, decreased body temperature, unresponsiveness, and, often, death. By using anti-IgE antibody treatments and mice with targeted mutations of the FcgammaRIII alpha-chain or the common gamma-chain of FcepsilonRI and FcgammaRI/III, we demonstrate that IgE crosslinking of FcepsilonRI appears to be necessary and sufficient for myelin peptide-induced anaphylaxis. The implications of these findings to myelin peptide/protein tolerance strategies for the treatment of multiple sclerosis are discussed.","author":[{"dropping-particle":"","family":"Smith","given":"Cassandra E","non-dropping-particle":"","parse-names":false,"suffix":""},{"dropping-particle":"","family":"Eagar","given":"Todd N","non-dropping-particle":"","parse-names":false,"suffix":""},{"dropping-particle":"","family":"Strominger","given":"Jack L","non-dropping-particle":"","parse-names":false,"suffix":""},{"dropping-particle":"","family":"Miller","given":"Stephen D","non-dropping-particle":"","parse-names":false,"suffix":""}],"container-title":"Proceedings of the National Academy of Sciences of the United States of America","id":"ITEM-1","issue":"27","issued":{"date-parts":[["2005"]]},"page":"9595-9600","title":"Differential induction of IgE-mediated anaphylaxis after soluble vs. cell-bound tolerogenic peptide therapy of autoimmune encephalomyelitis.","type":"article-journal","volume":"102"},"uris":["http://www.mendeley.com/documents/?uuid=1fdcc50c-5118-4fad-b5f9-a992b0369e38"]},{"id":"ITEM-2","itemData":{"DOI":"10.1016/0161-5890(91)90030-N","ISBN":"0161-5890 (Print)\\r0161-5890 (Linking)","ISSN":"01615890","PMID":"1717839","abstract":"Three rat monoclonal antibodies specific for mouse IgE (C12B9, 23G3, and B1E3) were established by using monoclonal anti-DNP mouse IgE (mIgE) as immunogen. These antibodies, as well as a fourth, (R1E4) were characterized. It was found that one antibody (C12B9) recognizes an allotypic determinant (Igh-7a) found on the C??{lunate}, chain of mIgE. Antibody cross-blocking studies and epitope mapping studies using recombinant mIgE indicated that 3 antibodies (C12B9, R1E4 and 23G3) were directed against the C??{lunate}3 domain while one (B1E3) was directed against the C??{lunate}4 domain. A highly specific sandwich RIA for mIgE was developed using these antibodies. Use of these monoclonal anti-mIgE antibodies in conjunction with recombinant chimeric mIgE-human IgG1 molecules, demonstrated that the C??{lunate}3 domain is important in the binding of mIgE to the murine B cell Fc??{lunate}RII as well as to the murine mast cell Fc??{lunate}RI. The presence of the C??{lunate}4 domain influenced the binding of the recombinant IgE to the Fc??{lunate}RII; in contrast to the C??{lunate}4 domain had no effect on binding to the Fc??{lunate}RI. ?? 1991.","author":[{"dropping-particle":"","family":"Keegan","given":"Achsah D.","non-dropping-particle":"","parse-names":false,"suffix":""},{"dropping-particle":"","family":"Fratazzi","given":"Candida","non-dropping-particle":"","parse-names":false,"suffix":""},{"dropping-particle":"","family":"Shopes","given":"Bob","non-dropping-particle":"","parse-names":false,"suffix":""},{"dropping-particle":"","family":"Baird","given":"Barbara","non-dropping-particle":"","parse-names":false,"suffix":""},{"dropping-particle":"","family":"Conrad","given":"Daniel H.","non-dropping-particle":"","parse-names":false,"suffix":""}],"container-title":"Molecular Immunology","id":"ITEM-2","issue":"10","issued":{"date-parts":[["1991"]]},"page":"1149-54","title":"Characterization of new rat anti-mouse IgE monoclonals and their use along with chimeric IgE to further define the site that interacts with Fc epsilon RII and Fc epsilon RI","type":"article-journal","volume":"28"},"uris":["http://www.mendeley.com/documents/?uuid=dce79656-957b-4173-993e-5325402014e6"]},{"id":"ITEM-3","itemData":{"DOI":"10.1164/ajrccm.164.supplement_1.2103025","ISSN":"1073449X","abstract":"Immunoglobulin E (IgE) mediates many of the inflammatory processes that underlie the symptoms of asthma and other allergic respiratory disorders. Recently, a recombinant, humanized, monoclonal antibody (mAb) that binds to and neutralizes IgE has been developed for the treatment of these disorders. Preclinical and clinical studies have shown that this mAb, directed against IgE and known as omalizumab, inhibits the binding of IgE to its receptors on effector cells, reduces IgE synthesis by B cells in response to allergen exposure, decreases the expression of IgE receptors, and attenuates both immediate and delayed inflammatory airway responses following exposure to inhaled allergen. Omalizumab is nonanaphylactogenic, and clinical experience to date suggests that omalizumab is safe and well tolerated by patients. These results suggest that specific inhibition of IgE may be an important new therapeutic option for the treatment of asthma and related disorders.","author":[{"dropping-particle":"","family":"Schulman","given":"Edward S.","non-dropping-particle":"","parse-names":false,"suffix":""}],"container-title":"American Journal of Respiratory and Critical Care Medicine","id":"ITEM-3","issued":{"date-parts":[["2001"]]},"page":"15;164(8 Pt 2):S6-11","title":"Development of a monoclonal anti-immunoglobulin E antibody (omalizumab) for the treatment of allergic respiratory disorders","type":"article"},"uris":["http://www.mendeley.com/documents/?uuid=33c7cb78-b1fe-463d-914a-3eae8183b0c0"]}],"mendeley":{"formattedCitation":"&lt;sup&gt;26–28&lt;/sup&gt;","plainTextFormattedCitation":"26–28","previouslyFormattedCitation":"&lt;sup&gt;26–28&lt;/sup&gt;"},"properties":{"noteIndex":0},"schema":"https://github.com/citation-style-language/schema/raw/master/csl-citation.json"}</w:instrText>
      </w:r>
      <w:r w:rsidR="00991F15"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26–28</w:t>
      </w:r>
      <w:r w:rsidR="00991F15" w:rsidRPr="00BA6F83">
        <w:rPr>
          <w:rFonts w:asciiTheme="minorHAnsi" w:hAnsiTheme="minorHAnsi"/>
          <w:color w:val="000000" w:themeColor="text1"/>
          <w:lang w:val="en-US"/>
        </w:rPr>
        <w:fldChar w:fldCharType="end"/>
      </w:r>
      <w:r w:rsidR="00991F15" w:rsidRPr="00BA6F83">
        <w:rPr>
          <w:rFonts w:asciiTheme="minorHAnsi" w:hAnsiTheme="minorHAnsi"/>
          <w:color w:val="000000" w:themeColor="text1"/>
          <w:lang w:val="en-US"/>
        </w:rPr>
        <w:t>. Treatment with anti-</w:t>
      </w:r>
      <w:proofErr w:type="spellStart"/>
      <w:r w:rsidR="00991F15" w:rsidRPr="00BA6F83">
        <w:rPr>
          <w:rFonts w:asciiTheme="minorHAnsi" w:hAnsiTheme="minorHAnsi"/>
          <w:color w:val="000000" w:themeColor="text1"/>
          <w:lang w:val="en-US"/>
        </w:rPr>
        <w:t>IgE</w:t>
      </w:r>
      <w:proofErr w:type="spellEnd"/>
      <w:r w:rsidR="00991F15" w:rsidRPr="00BA6F83">
        <w:rPr>
          <w:rFonts w:asciiTheme="minorHAnsi" w:hAnsiTheme="minorHAnsi"/>
          <w:color w:val="000000" w:themeColor="text1"/>
          <w:lang w:val="en-US"/>
        </w:rPr>
        <w:t xml:space="preserve"> antibody, but not with an isotype control antibody, prevented the development of VHS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AE128B">
        <w:rPr>
          <w:rFonts w:asciiTheme="minorHAnsi" w:hAnsiTheme="minorHAnsi"/>
          <w:color w:val="000000" w:themeColor="text1"/>
          <w:lang w:val="en-US"/>
        </w:rPr>
        <w:t>H, I</w:t>
      </w:r>
      <w:r w:rsidR="00991F15" w:rsidRPr="00BA6F83">
        <w:rPr>
          <w:rFonts w:asciiTheme="minorHAnsi" w:hAnsiTheme="minorHAnsi"/>
          <w:color w:val="000000" w:themeColor="text1"/>
          <w:lang w:val="en-US"/>
        </w:rPr>
        <w:t xml:space="preserve">) and </w:t>
      </w:r>
      <w:r w:rsidR="001837F2" w:rsidRPr="00BA6F83">
        <w:rPr>
          <w:rFonts w:asciiTheme="minorHAnsi" w:hAnsiTheme="minorHAnsi"/>
          <w:color w:val="000000" w:themeColor="text1"/>
          <w:lang w:val="en-US"/>
        </w:rPr>
        <w:t>the increase</w:t>
      </w:r>
      <w:r w:rsidR="00991F15" w:rsidRPr="00BA6F83">
        <w:rPr>
          <w:rFonts w:asciiTheme="minorHAnsi" w:hAnsiTheme="minorHAnsi"/>
          <w:color w:val="000000" w:themeColor="text1"/>
          <w:lang w:val="en-US"/>
        </w:rPr>
        <w:t xml:space="preserve"> </w:t>
      </w:r>
      <w:r w:rsidR="001837F2" w:rsidRPr="00BA6F83">
        <w:rPr>
          <w:rFonts w:asciiTheme="minorHAnsi" w:hAnsiTheme="minorHAnsi"/>
          <w:color w:val="000000" w:themeColor="text1"/>
          <w:lang w:val="en-US"/>
        </w:rPr>
        <w:t xml:space="preserve">in </w:t>
      </w:r>
      <w:r w:rsidR="00991F15" w:rsidRPr="00BA6F83">
        <w:rPr>
          <w:rFonts w:asciiTheme="minorHAnsi" w:hAnsiTheme="minorHAnsi"/>
          <w:color w:val="000000" w:themeColor="text1"/>
          <w:lang w:val="en-US"/>
        </w:rPr>
        <w:t>colonic permeability upon re-exposure to OVA</w:t>
      </w:r>
      <w:r w:rsidR="003A7108" w:rsidRPr="00BA6F83">
        <w:rPr>
          <w:rFonts w:asciiTheme="minorHAnsi" w:hAnsiTheme="minorHAnsi"/>
          <w:color w:val="000000" w:themeColor="text1"/>
          <w:lang w:val="en-US"/>
        </w:rPr>
        <w:t xml:space="preserve"> (Extended Data Fig. 1</w:t>
      </w:r>
      <w:r w:rsidR="00725186">
        <w:rPr>
          <w:rFonts w:asciiTheme="minorHAnsi" w:hAnsiTheme="minorHAnsi"/>
          <w:color w:val="000000" w:themeColor="text1"/>
          <w:lang w:val="en-US"/>
        </w:rPr>
        <w:t>L</w:t>
      </w:r>
      <w:r w:rsidR="003A7108" w:rsidRPr="00BA6F83">
        <w:rPr>
          <w:rFonts w:asciiTheme="minorHAnsi" w:hAnsiTheme="minorHAnsi"/>
          <w:color w:val="000000" w:themeColor="text1"/>
          <w:lang w:val="en-US"/>
        </w:rPr>
        <w:t>)</w:t>
      </w:r>
      <w:r w:rsidR="00991F15" w:rsidRPr="00BA6F83">
        <w:rPr>
          <w:rFonts w:asciiTheme="minorHAnsi" w:hAnsiTheme="minorHAnsi"/>
          <w:color w:val="000000" w:themeColor="text1"/>
          <w:lang w:val="en-US"/>
        </w:rPr>
        <w:t xml:space="preserve">. </w:t>
      </w:r>
      <w:r w:rsidR="007A468C">
        <w:rPr>
          <w:rFonts w:asciiTheme="minorHAnsi" w:hAnsiTheme="minorHAnsi"/>
          <w:color w:val="000000" w:themeColor="text1"/>
          <w:lang w:val="en-US"/>
        </w:rPr>
        <w:t>These results were confirmed in</w:t>
      </w:r>
      <w:r w:rsidR="005D5765">
        <w:rPr>
          <w:rFonts w:asciiTheme="minorHAnsi" w:hAnsiTheme="minorHAnsi"/>
          <w:color w:val="000000" w:themeColor="text1"/>
          <w:lang w:val="en-US"/>
        </w:rPr>
        <w:t xml:space="preserve"> mice </w:t>
      </w:r>
      <w:r w:rsidR="005D5765" w:rsidRPr="00E162F2">
        <w:rPr>
          <w:rFonts w:asciiTheme="minorHAnsi" w:hAnsiTheme="minorHAnsi"/>
          <w:color w:val="000000" w:themeColor="text1"/>
          <w:lang w:val="en-US"/>
        </w:rPr>
        <w:t xml:space="preserve">lacking </w:t>
      </w:r>
      <w:proofErr w:type="spellStart"/>
      <w:r w:rsidR="005D5765" w:rsidRPr="00E162F2">
        <w:rPr>
          <w:rFonts w:asciiTheme="minorHAnsi" w:hAnsiTheme="minorHAnsi"/>
          <w:color w:val="000000" w:themeColor="text1"/>
          <w:lang w:val="en-US"/>
        </w:rPr>
        <w:t>IgE</w:t>
      </w:r>
      <w:proofErr w:type="spellEnd"/>
      <w:r w:rsidR="00B82244" w:rsidRPr="00E162F2">
        <w:rPr>
          <w:rFonts w:asciiTheme="minorHAnsi" w:hAnsiTheme="minorHAnsi"/>
          <w:color w:val="000000" w:themeColor="text1"/>
          <w:lang w:val="en-US"/>
        </w:rPr>
        <w:t xml:space="preserve"> </w:t>
      </w:r>
      <w:r w:rsidR="005D5765" w:rsidRPr="00E162F2">
        <w:rPr>
          <w:rFonts w:asciiTheme="minorHAnsi" w:hAnsiTheme="minorHAnsi"/>
          <w:color w:val="000000" w:themeColor="text1"/>
          <w:lang w:val="en-US"/>
        </w:rPr>
        <w:t>(</w:t>
      </w:r>
      <w:r w:rsidR="005D5765" w:rsidRPr="00E162F2">
        <w:rPr>
          <w:rFonts w:asciiTheme="minorHAnsi" w:hAnsiTheme="minorHAnsi"/>
          <w:i/>
          <w:iCs/>
          <w:color w:val="000000" w:themeColor="text1"/>
          <w:lang w:val="en-US"/>
        </w:rPr>
        <w:t>Igh7</w:t>
      </w:r>
      <w:r w:rsidR="005D5765" w:rsidRPr="00E162F2">
        <w:rPr>
          <w:rFonts w:asciiTheme="minorHAnsi" w:hAnsiTheme="minorHAnsi"/>
          <w:i/>
          <w:color w:val="000000" w:themeColor="text1"/>
          <w:vertAlign w:val="superscript"/>
          <w:lang w:val="en-US"/>
        </w:rPr>
        <w:t>-/-</w:t>
      </w:r>
      <w:r w:rsidR="005D5765" w:rsidRPr="00E162F2">
        <w:rPr>
          <w:rFonts w:asciiTheme="minorHAnsi" w:hAnsiTheme="minorHAnsi"/>
          <w:color w:val="000000" w:themeColor="text1"/>
          <w:lang w:val="en-US"/>
        </w:rPr>
        <w:t xml:space="preserve">) </w:t>
      </w:r>
      <w:r w:rsidR="00330A18" w:rsidRPr="00E162F2">
        <w:rPr>
          <w:rFonts w:asciiTheme="minorHAnsi" w:hAnsiTheme="minorHAnsi"/>
          <w:color w:val="000000" w:themeColor="text1"/>
          <w:lang w:val="en-US"/>
        </w:rPr>
        <w:t>(</w:t>
      </w:r>
      <w:r w:rsidR="007A468C" w:rsidRPr="00E162F2">
        <w:rPr>
          <w:rFonts w:asciiTheme="minorHAnsi" w:hAnsiTheme="minorHAnsi"/>
          <w:color w:val="000000" w:themeColor="text1"/>
          <w:lang w:val="en-US"/>
        </w:rPr>
        <w:t>Figure 1</w:t>
      </w:r>
      <w:r w:rsidR="006A2CE6" w:rsidRPr="00E162F2">
        <w:rPr>
          <w:rFonts w:asciiTheme="minorHAnsi" w:hAnsiTheme="minorHAnsi"/>
          <w:color w:val="000000" w:themeColor="text1"/>
          <w:lang w:val="en-US"/>
        </w:rPr>
        <w:t>J, K and</w:t>
      </w:r>
      <w:r w:rsidR="007A468C" w:rsidRPr="00E162F2">
        <w:rPr>
          <w:rFonts w:asciiTheme="minorHAnsi" w:hAnsiTheme="minorHAnsi"/>
          <w:color w:val="000000" w:themeColor="text1"/>
          <w:lang w:val="en-US"/>
        </w:rPr>
        <w:t xml:space="preserve"> </w:t>
      </w:r>
      <w:r w:rsidR="00330A18" w:rsidRPr="00E162F2">
        <w:rPr>
          <w:rFonts w:asciiTheme="minorHAnsi" w:hAnsiTheme="minorHAnsi"/>
          <w:color w:val="000000" w:themeColor="text1"/>
          <w:lang w:val="en-US"/>
        </w:rPr>
        <w:t>Extended Data Figure 1</w:t>
      </w:r>
      <w:r w:rsidR="00725186">
        <w:rPr>
          <w:rFonts w:asciiTheme="minorHAnsi" w:hAnsiTheme="minorHAnsi"/>
          <w:color w:val="000000" w:themeColor="text1"/>
          <w:lang w:val="en-US"/>
        </w:rPr>
        <w:t>M</w:t>
      </w:r>
      <w:r w:rsidR="00330A18" w:rsidRPr="00E162F2">
        <w:rPr>
          <w:rFonts w:asciiTheme="minorHAnsi" w:hAnsiTheme="minorHAnsi"/>
          <w:color w:val="000000" w:themeColor="text1"/>
          <w:lang w:val="en-US"/>
        </w:rPr>
        <w:t>).</w:t>
      </w:r>
      <w:r w:rsidR="00B82244" w:rsidRPr="00E162F2">
        <w:rPr>
          <w:rFonts w:asciiTheme="minorHAnsi" w:hAnsiTheme="minorHAnsi"/>
          <w:color w:val="000000" w:themeColor="text1"/>
          <w:lang w:val="en-US"/>
        </w:rPr>
        <w:t xml:space="preserve"> </w:t>
      </w:r>
      <w:r w:rsidR="00991F15" w:rsidRPr="00E162F2">
        <w:rPr>
          <w:rFonts w:asciiTheme="minorHAnsi" w:hAnsiTheme="minorHAnsi"/>
          <w:color w:val="000000" w:themeColor="text1"/>
          <w:lang w:val="en-US"/>
        </w:rPr>
        <w:t>Conversely</w:t>
      </w:r>
      <w:r w:rsidR="00991F15" w:rsidRPr="00BA6F83">
        <w:rPr>
          <w:rFonts w:asciiTheme="minorHAnsi" w:hAnsiTheme="minorHAnsi"/>
          <w:color w:val="000000" w:themeColor="text1"/>
          <w:lang w:val="en-US"/>
        </w:rPr>
        <w:t xml:space="preserve">, sensitization of naïve mice with </w:t>
      </w:r>
      <w:r w:rsidR="00991F15" w:rsidRPr="00BA6F83">
        <w:rPr>
          <w:rFonts w:asciiTheme="minorHAnsi" w:hAnsiTheme="minorHAnsi"/>
          <w:color w:val="000000" w:themeColor="text1"/>
          <w:lang w:val="en-US"/>
        </w:rPr>
        <w:lastRenderedPageBreak/>
        <w:t xml:space="preserve">monoclonal OVA-specific </w:t>
      </w:r>
      <w:proofErr w:type="spellStart"/>
      <w:r w:rsidR="00991F15" w:rsidRPr="00BA6F83">
        <w:rPr>
          <w:rFonts w:asciiTheme="minorHAnsi" w:hAnsiTheme="minorHAnsi"/>
          <w:color w:val="000000" w:themeColor="text1"/>
          <w:lang w:val="en-US"/>
        </w:rPr>
        <w:t>IgE</w:t>
      </w:r>
      <w:proofErr w:type="spellEnd"/>
      <w:r w:rsidR="00991F15" w:rsidRPr="00BA6F83">
        <w:rPr>
          <w:rFonts w:asciiTheme="minorHAnsi" w:hAnsiTheme="minorHAnsi"/>
          <w:color w:val="000000" w:themeColor="text1"/>
          <w:lang w:val="en-US"/>
        </w:rPr>
        <w:t xml:space="preserve"> antibody (</w:t>
      </w:r>
      <w:r w:rsidR="00983FF8" w:rsidRPr="00BA6F83">
        <w:rPr>
          <w:rFonts w:asciiTheme="minorHAnsi" w:hAnsiTheme="minorHAnsi"/>
          <w:color w:val="000000" w:themeColor="text1"/>
          <w:lang w:val="en-US"/>
        </w:rPr>
        <w:t xml:space="preserve">Extended </w:t>
      </w:r>
      <w:r w:rsidR="00983FF8" w:rsidRPr="00E162F2">
        <w:rPr>
          <w:rFonts w:asciiTheme="minorHAnsi" w:hAnsiTheme="minorHAnsi"/>
          <w:color w:val="000000" w:themeColor="text1"/>
          <w:lang w:val="en-US"/>
        </w:rPr>
        <w:t>Data</w:t>
      </w:r>
      <w:r w:rsidR="00991F15" w:rsidRPr="00E162F2">
        <w:rPr>
          <w:rFonts w:asciiTheme="minorHAnsi" w:hAnsiTheme="minorHAnsi"/>
          <w:color w:val="000000" w:themeColor="text1"/>
          <w:lang w:val="en-US"/>
        </w:rPr>
        <w:t xml:space="preserve"> </w:t>
      </w:r>
      <w:r w:rsidR="00983FF8" w:rsidRPr="00E162F2">
        <w:rPr>
          <w:rFonts w:asciiTheme="minorHAnsi" w:hAnsiTheme="minorHAnsi"/>
          <w:color w:val="000000" w:themeColor="text1"/>
          <w:lang w:val="en-US"/>
        </w:rPr>
        <w:t>Fig.</w:t>
      </w:r>
      <w:r w:rsidR="00991F15" w:rsidRPr="00E162F2">
        <w:rPr>
          <w:rFonts w:asciiTheme="minorHAnsi" w:hAnsiTheme="minorHAnsi"/>
          <w:color w:val="000000" w:themeColor="text1"/>
          <w:lang w:val="en-US"/>
        </w:rPr>
        <w:t xml:space="preserve"> 1</w:t>
      </w:r>
      <w:r w:rsidR="00725186">
        <w:rPr>
          <w:rFonts w:asciiTheme="minorHAnsi" w:hAnsiTheme="minorHAnsi"/>
          <w:color w:val="000000" w:themeColor="text1"/>
          <w:lang w:val="en-US"/>
        </w:rPr>
        <w:t>N</w:t>
      </w:r>
      <w:r w:rsidR="00991F15" w:rsidRPr="00E162F2">
        <w:rPr>
          <w:rFonts w:asciiTheme="minorHAnsi" w:hAnsiTheme="minorHAnsi"/>
          <w:color w:val="000000" w:themeColor="text1"/>
          <w:lang w:val="en-US"/>
        </w:rPr>
        <w:t>) resulted</w:t>
      </w:r>
      <w:r w:rsidR="00991F15" w:rsidRPr="00BA6F83">
        <w:rPr>
          <w:rFonts w:asciiTheme="minorHAnsi" w:hAnsiTheme="minorHAnsi"/>
          <w:color w:val="000000" w:themeColor="text1"/>
          <w:lang w:val="en-US"/>
        </w:rPr>
        <w:t xml:space="preserve"> in the development of VHS upon repeated OVA administration (</w:t>
      </w:r>
      <w:r w:rsidR="00983FF8" w:rsidRPr="00BA6F83">
        <w:rPr>
          <w:rFonts w:asciiTheme="minorHAnsi" w:hAnsiTheme="minorHAnsi"/>
          <w:color w:val="000000" w:themeColor="text1"/>
          <w:lang w:val="en-US"/>
        </w:rPr>
        <w:t>Fig.</w:t>
      </w:r>
      <w:r w:rsidR="00991F15" w:rsidRPr="00BA6F83">
        <w:rPr>
          <w:rFonts w:asciiTheme="minorHAnsi" w:hAnsiTheme="minorHAnsi"/>
          <w:color w:val="000000" w:themeColor="text1"/>
          <w:lang w:val="en-US"/>
        </w:rPr>
        <w:t xml:space="preserve"> 1</w:t>
      </w:r>
      <w:r w:rsidR="006A2CE6">
        <w:rPr>
          <w:rFonts w:asciiTheme="minorHAnsi" w:hAnsiTheme="minorHAnsi"/>
          <w:color w:val="000000" w:themeColor="text1"/>
          <w:lang w:val="en-US"/>
        </w:rPr>
        <w:t>L</w:t>
      </w:r>
      <w:r w:rsidR="00AE128B">
        <w:rPr>
          <w:rFonts w:asciiTheme="minorHAnsi" w:hAnsiTheme="minorHAnsi"/>
          <w:color w:val="000000" w:themeColor="text1"/>
          <w:lang w:val="en-US"/>
        </w:rPr>
        <w:t xml:space="preserve">, </w:t>
      </w:r>
      <w:r w:rsidR="006A2CE6">
        <w:rPr>
          <w:rFonts w:asciiTheme="minorHAnsi" w:hAnsiTheme="minorHAnsi"/>
          <w:color w:val="000000" w:themeColor="text1"/>
          <w:lang w:val="en-US"/>
        </w:rPr>
        <w:t>M</w:t>
      </w:r>
      <w:r w:rsidR="00991F15"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As IL-4 is required for the production of allergen-specific </w:t>
      </w:r>
      <w:proofErr w:type="spellStart"/>
      <w:r w:rsidRPr="00BA6F83">
        <w:rPr>
          <w:rFonts w:asciiTheme="minorHAnsi" w:hAnsiTheme="minorHAnsi"/>
          <w:color w:val="000000" w:themeColor="text1"/>
          <w:lang w:val="en-US"/>
        </w:rPr>
        <w:t>IgE</w:t>
      </w:r>
      <w:proofErr w:type="spellEnd"/>
      <w:r w:rsidRPr="00BA6F83">
        <w:rPr>
          <w:rFonts w:asciiTheme="minorHAnsi" w:hAnsiTheme="minorHAnsi"/>
          <w:color w:val="000000" w:themeColor="text1"/>
          <w:lang w:val="en-US"/>
        </w:rPr>
        <w:t xml:space="preserve"> production</w:t>
      </w:r>
      <w:r w:rsidR="0069063B" w:rsidRPr="00BA6F83">
        <w:rPr>
          <w:rFonts w:asciiTheme="minorHAnsi" w:hAnsiTheme="minorHAnsi"/>
          <w:color w:val="000000" w:themeColor="text1"/>
          <w:lang w:val="en-US"/>
        </w:rPr>
        <w:t xml:space="preserve"> by B cells</w:t>
      </w:r>
      <w:r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{"citationItems":[{"id":"ITEM-1","itemData":{"DOI":"10.1038/nri1181","ISSN":"14741733","abstract":"Immunoglobulin E (IgE) isotype antibodies are associated with atopic disease, namely allergic rhinitis, asthma and atopic dermatitis, but are also involved in host immune defence mechanisms against parasitic infection. The commitment of a B cell to isotype class switch to an IgE-producing cell is a tightly regulated process, and our understanding of the regulation of IgE-antibody production is central to the prevention and treatment of atopic disease. Both those that are presently in use and potential future therapies to prevent IgE-mediated disease take advantage of our existing knowledge of the specific mechanisms that are required for IgE class switching.","author":[{"dropping-particle":"","family":"Geha","given":"Raif S.","non-dropping-particle":"","parse-names":false,"suffix":""},{"dropping-particle":"","family":"Jabara","given":"Haifa H.","non-dropping-particle":"","parse-names":false,"suffix":""},{"dropping-particle":"","family":"Brodeur","given":"Scott R.","non-dropping-particle":"","parse-names":false,"suffix":""}],"container-title":"Nature Reviews Immunology","id":"ITEM-1","issued":{"date-parts":[["2003"]]},"page":"721-32","title":"The regulation of immunoglobulin E class-switch recombination","type":"article"},"uris":["http://www.mendeley.com/documents/?uuid=091aed4d-6023-402c-9bcb-5ec2663b3e16","http://www.mendeley.com/documents/?uuid=cf8cbf55-ba6d-4b58-8748-7d48c9fe0c8c"]},{"id":"ITEM-2","itemData":{"DOI":"10.1084/jem.20161056","ISSN":"0022-1007","abstract":"Noncoding transcripts originating upstream of the immunoglobulin constant region (I transcripts) are required to direct activation-induced deaminase to initiate class switching in B cells. Differential regulation of Iε and Iγ1 transcription in response to interleukin 4 (IL-4), hence class switching to IgE and IgG1, is not fully understood. In this study, we combine novel mouse reporters and single-cell RNA sequencing to reveal the heterogeneity in IL-4–induced I transcription. We identify an early population of cells expressing Iε but not Iγ1 and demonstrate that early Iε transcription leads to switching to IgE and occurs at lower activation levels than Iγ1. Our results reveal how probabilistic transcription with a lower activation threshold for Iε directs the early choice of IgE versus IgG1, a key physiological response against parasitic infestations and a mediator of allergy and asthma.","author":[{"dropping-particle":"","family":"Wu","given":"Yee Ling","non-dropping-particle":"","parse-names":false,"suffix":""},{"dropping-particle":"","family":"Stubbington","given":"Michael J.T.","non-dropping-particle":"","parse-names":false,"suffix":""},{"dropping-particle":"","family":"Daly","given":"Maria","non-dropping-particle":"","parse-names":false,"suffix":""},{"dropping-particle":"","family":"Teichmann","given":"Sarah A.","non-dropping-particle":"","parse-names":false,"suffix":""},{"dropping-particle":"","family":"Rada","given":"Cristina","non-dropping-particle":"","parse-names":false,"suffix":""}],"container-title":"The Journal of Experimental Medicine","id":"ITEM-2","issue":"1","issued":{"date-parts":[["2017"]]},"page":"183-196","title":"Intrinsic transcriptional heterogeneity in B cells controls early class switching to IgE","type":"article-journal","volume":"214"},"uris":["http://www.mendeley.com/documents/?uuid=0fb90717-7d76-486e-b0f1-d603579f1de7","http://www.mendeley.com/documents/?uuid=635b0d39-15cd-493e-ae8b-a642d1244e9b"]}],"mendeley":{"formattedCitation":"&lt;sup&gt;29,30&lt;/sup&gt;","plainTextFormattedCitation":"29,30","previouslyFormattedCitation":"&lt;sup&gt;29,30&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29,30</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we next evaluated the presence of IL-4 producing lymphocytes in colonic draining mesenteric lymph nodes (MLN) using ELISPOT. Of note, the number of IL-4 producing spots was significantly increased in MLNs of OVA/infected + OVA mice compared to OVA/infected + saline or saline/infected + OVA mice</w:t>
      </w:r>
      <w:r w:rsidR="004826CB"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4826CB" w:rsidRPr="00BA6F83">
        <w:rPr>
          <w:rFonts w:asciiTheme="minorHAnsi" w:hAnsiTheme="minorHAnsi"/>
          <w:color w:val="000000" w:themeColor="text1"/>
          <w:lang w:val="en-US"/>
        </w:rPr>
        <w:t xml:space="preserve"> 1</w:t>
      </w:r>
      <w:r w:rsidR="006A2CE6">
        <w:rPr>
          <w:rFonts w:asciiTheme="minorHAnsi" w:hAnsiTheme="minorHAnsi"/>
          <w:color w:val="000000" w:themeColor="text1"/>
          <w:lang w:val="en-US"/>
        </w:rPr>
        <w:t>N</w:t>
      </w:r>
      <w:r w:rsidR="004826CB"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2F4263" w:rsidRPr="00BA6F83">
        <w:rPr>
          <w:rFonts w:asciiTheme="minorHAnsi" w:hAnsiTheme="minorHAnsi"/>
          <w:color w:val="000000" w:themeColor="text1"/>
          <w:lang w:val="en-US"/>
        </w:rPr>
        <w:t xml:space="preserve">Taken together, these data indicate that a gastrointestinal </w:t>
      </w:r>
      <w:r w:rsidR="009055B9" w:rsidRPr="00BA6F83">
        <w:rPr>
          <w:rFonts w:asciiTheme="minorHAnsi" w:hAnsiTheme="minorHAnsi"/>
          <w:color w:val="000000" w:themeColor="text1"/>
          <w:lang w:val="en-US"/>
        </w:rPr>
        <w:t xml:space="preserve">bacterial </w:t>
      </w:r>
      <w:r w:rsidR="002F4263" w:rsidRPr="00BA6F83">
        <w:rPr>
          <w:rFonts w:asciiTheme="minorHAnsi" w:hAnsiTheme="minorHAnsi"/>
          <w:color w:val="000000" w:themeColor="text1"/>
          <w:lang w:val="en-US"/>
        </w:rPr>
        <w:t>infection can break oral tolerance to a dietary antigen and result</w:t>
      </w:r>
      <w:r w:rsidR="009328B0" w:rsidRPr="00BA6F83">
        <w:rPr>
          <w:rFonts w:asciiTheme="minorHAnsi" w:hAnsiTheme="minorHAnsi"/>
          <w:color w:val="000000" w:themeColor="text1"/>
          <w:lang w:val="en-US"/>
        </w:rPr>
        <w:t xml:space="preserve"> in an adaptive immune response towards food antigens, leading to</w:t>
      </w:r>
      <w:r w:rsidR="002F4263" w:rsidRPr="00BA6F83">
        <w:rPr>
          <w:rFonts w:asciiTheme="minorHAnsi" w:hAnsiTheme="minorHAnsi"/>
          <w:color w:val="000000" w:themeColor="text1"/>
          <w:lang w:val="en-US"/>
        </w:rPr>
        <w:t xml:space="preserve"> increased permeability and abnormal pain signaling upon re-exposure to this antigen.</w:t>
      </w:r>
    </w:p>
    <w:p w14:paraId="58E32FFA" w14:textId="6F17C23F" w:rsidR="0076491A" w:rsidRPr="00BA6F83" w:rsidRDefault="00546310" w:rsidP="00AA5458">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As changes in the gut microbial composition have been associated with IBS</w:t>
      </w:r>
      <w:r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{"citationItems":[{"id":"ITEM-1","itemData":{"DOI":"10.1111/j.1572-0241.2005.40312.x","ISBN":"0002-9270","ISSN":"00029270","PMID":"15667495","abstract":"OBJECTIVE: The gut microbiota may contribute to the onset and maintenance of irritable bowel syndrome (IBS). In this study, the microbiotas of patients suffering from IBS were compared with a control group devoid of gastrointestinal (GI) symptoms. METHODS: Fecal microbiota of patients (n = 27) fulfilling the Rome II criteria for IBS was compared with age- and gender-matched control subjects (n = 22). Fecal samples were obtained at 3 months intervals. Total bacterial DNA was analyzed by 20 quantitative real-time PCR assays covering approximately 300 bacterial species. RESULTS: Extensive individual variation was observed in the GI microbiota among both the IBS- and control groups. Sorting of the IBS patients according to the symptom subtypes (diarrhea, constipation, and alternating predominant type) revealed that lower amounts of Lactobacillus spp. were present in the samples of diarrhea predominant IBS patients whereas constipation predominant IBS patients carried increased amounts of Veillonella spp. Average results from three fecal samples suggested differences in the Clostridium coccoides subgroup and Bifidobacterium catenulatum group between IBS patients (n = 21) and controls (n = 15). Of the intestinal pathogens earlier associated with IBS, no indications of Helicobacter spp. or Clostridium difficile were found whereas one case of Campylobacter jejuni was identified by sequencing. CONCLUSIONS: With these real-time PCR assays, quantitative alterations in the GI microbiota of IBS patients were found. Increasing microbial DNA sequence information will further allow designing of new real-time PCR assays for a more extensive analysis of intestinal microbes in IBS.","author":[{"dropping-particle":"","family":"Malinen","given":"Erja","non-dropping-particle":"","parse-names":false,"suffix":""},{"dropping-particle":"","family":"Rinttila","given":"Teemu","non-dropping-particle":"","parse-names":false,"suffix":""},{"dropping-particle":"","family":"Kajander","given":"Kajsa","non-dropping-particle":"","parse-names":false,"suffix":""},{"dropping-particle":"","family":"Matto","given":"Jaana","non-dropping-particle":"","parse-names":false,"suffix":""},{"dropping-particle":"","family":"Kassinen","given":"Anna","non-dropping-particle":"","parse-names":false,"suffix":""},{"dropping-particle":"","family":"Krogius","given":"Lotta","non-dropping-particle":"","parse-names":false,"suffix":""},{"dropping-particle":"","family":"Saarela","given":"Maria","non-dropping-particle":"","parse-names":false,"suffix":""},{"dropping-particle":"","family":"Korpela","given":"Riitta","non-dropping-particle":"","parse-names":false,"suffix":""},{"dropping-particle":"","family":"Palva","given":"Airi","non-dropping-particle":"","parse-names":false,"suffix":""}],"container-title":"American Journal of Gastroenterology","id":"ITEM-1","issue":"2","issued":{"date-parts":[["2005"]]},"page":"373-82","title":"Analysis of the fecal microbiota of irritable bowel syndrome patients and healthy controls with real-time PCR","type":"article-journal","volume":"100"},"uris":["http://www.mendeley.com/documents/?uuid=139695ad-dbb8-42f4-a8c6-43ee7b7d1155"]},{"id":"ITEM-2","itemData":{"DOI":"10.1053/j.gastro.2007.04.005","ISBN":"0016-5085","ISSN":"00165085","PMID":"17631127","abstract":"Background &amp; Aims: Irritable bowel syndrome (IBS) is a significant gastrointestinal disorder with unknown etiology. The symptoms can greatly weaken patients' quality of life and account for notable economical costs for society. Contribution of the gastrointestinal microbiota in IBS has been suggested. Our objective was to characterize putative differences in gastrointestinal microbiota between patients with IBS and control subjects. These differences could potentially have a causal relationship with the syndrome. Methods: Microbial genomes from fecal samples of 24 patients with IBS and 23 controls were collected, pooled in a groupwise manner, and fractionated according to their guanine cytosine content. Selected fractions were analyzed by extensive high-throughput 16S ribosomal RNA gene cloning and sequencing of 3753 clones. Some of the revealed phylogenetic differences were further confirmed by quantitative polymerase chain reaction assays on individual samples. Results: The coverage of the clone libraries of IBS subtypes and control subjects differed significantly (P &lt; .0253). The samples were also distinguishable by the Bayesian analysis of bacterial population structure. Moreover, significant (P &lt; .05) differences between the clone libraries were found in several bacterial genera, which could be verified by quantitative polymerase chain reaction assays of phylotypes belonging to the genera Coprococcus, Collinsella, and Coprobacillus. Conclusions: The study showed that fecal microbiota is significantly altered in IBS. Further studies on molecular mechanisms underlying these alterations are needed to elucidate the exact role of intestinal bacteria in IBS. © 2007 AGA Institute.","author":[{"dropping-particle":"","family":"Kassinen","given":"Anna","non-dropping-particle":"","parse-names":false,"suffix":""},{"dropping-particle":"","family":"Krogius-Kurikka","given":"Lotta","non-dropping-particle":"","parse-names":false,"suffix":""},{"dropping-particle":"","family":"Mäkivuokko","given":"Harri","non-dropping-particle":"","parse-names":false,"suffix":""},{"dropping-particle":"","family":"Rinttilä","given":"Teemu","non-dropping-particle":"","parse-names":false,"suffix":""},{"dropping-particle":"","family":"Paulin","given":"Lars","non-dropping-particle":"","parse-names":false,"suffix":""},{"dropping-particle":"","family":"Corander","given":"Jukka","non-dropping-particle":"","parse-names":false,"suffix":""},{"dropping-particle":"","family":"Malinen","given":"Erja","non-dropping-particle":"","parse-names":false,"suffix":""},{"dropping-particle":"","family":"Apajalahti","given":"Juha","non-dropping-particle":"","parse-names":false,"suffix":""},{"dropping-particle":"","family":"Palva","given":"Airi","non-dropping-particle":"","parse-names":false,"suffix":""}],"container-title":"Gastroenterology","id":"ITEM-2","issue":"1","issued":{"date-parts":[["2007"]]},"page":"24-33","title":"The Fecal Microbiota of Irritable Bowel Syndrome Patients Differs Significantly From That of Healthy Subjects","type":"article-journal","volume":"133"},"uris":["http://www.mendeley.com/documents/?uuid=1e46a437-51f6-4891-99a8-273274b2e6e7"]}],"mendeley":{"formattedCitation":"&lt;sup&gt;31,32&lt;/sup&gt;","plainTextFormattedCitation":"31,32","previouslyFormattedCitation":"&lt;sup&gt;31,32&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31,32</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we investigated if the intestinal microbiota was involved in the development of VHS in our murine model. Exposure to OVA during </w:t>
      </w:r>
      <w:r w:rsidRPr="00BA6F83">
        <w:rPr>
          <w:rFonts w:asciiTheme="minorHAnsi" w:hAnsiTheme="minorHAnsi"/>
          <w:i/>
          <w:color w:val="000000" w:themeColor="text1"/>
          <w:lang w:val="en-US"/>
        </w:rPr>
        <w:t xml:space="preserve">C. rodentium </w:t>
      </w:r>
      <w:r w:rsidRPr="00BA6F83">
        <w:rPr>
          <w:rFonts w:asciiTheme="minorHAnsi" w:hAnsiTheme="minorHAnsi"/>
          <w:color w:val="000000" w:themeColor="text1"/>
          <w:lang w:val="en-US"/>
        </w:rPr>
        <w:t xml:space="preserve">infection shifted the community structure of the intestinal microbiome, compared to saline-exposure, 10 days after infection and after OVA re-exposure (Adonis, </w:t>
      </w:r>
      <w:r w:rsidRPr="00BA6F83">
        <w:rPr>
          <w:rFonts w:asciiTheme="minorHAnsi" w:hAnsiTheme="minorHAnsi"/>
          <w:i/>
          <w:color w:val="000000" w:themeColor="text1"/>
          <w:lang w:val="en-US"/>
        </w:rPr>
        <w:t>p</w:t>
      </w:r>
      <w:r w:rsidRPr="00BA6F83">
        <w:rPr>
          <w:rFonts w:asciiTheme="minorHAnsi" w:hAnsiTheme="minorHAnsi"/>
          <w:color w:val="000000" w:themeColor="text1"/>
          <w:lang w:val="en-US"/>
        </w:rPr>
        <w:t xml:space="preserve">&lt;0.05; </w:t>
      </w:r>
      <w:r w:rsidR="00983FF8" w:rsidRPr="00BA6F83">
        <w:rPr>
          <w:rFonts w:asciiTheme="minorHAnsi" w:hAnsiTheme="minorHAnsi"/>
          <w:color w:val="000000" w:themeColor="text1"/>
          <w:lang w:val="en-US"/>
        </w:rPr>
        <w:t>Extended Data</w:t>
      </w:r>
      <w:r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2A). </w:t>
      </w:r>
      <w:r w:rsidR="005227E5" w:rsidRPr="00BA6F83">
        <w:rPr>
          <w:rFonts w:asciiTheme="minorHAnsi" w:hAnsiTheme="minorHAnsi"/>
          <w:color w:val="000000" w:themeColor="text1"/>
          <w:lang w:val="en-US"/>
        </w:rPr>
        <w:t xml:space="preserve">While </w:t>
      </w:r>
      <w:proofErr w:type="spellStart"/>
      <w:r w:rsidRPr="00BA6F83">
        <w:rPr>
          <w:rFonts w:asciiTheme="minorHAnsi" w:hAnsiTheme="minorHAnsi"/>
          <w:i/>
          <w:color w:val="000000" w:themeColor="text1"/>
          <w:lang w:val="en-US"/>
        </w:rPr>
        <w:t>Robinsoniella</w:t>
      </w:r>
      <w:proofErr w:type="spellEnd"/>
      <w:r w:rsidRPr="00BA6F83">
        <w:rPr>
          <w:rFonts w:asciiTheme="minorHAnsi" w:hAnsiTheme="minorHAnsi"/>
          <w:color w:val="000000" w:themeColor="text1"/>
          <w:lang w:val="en-US"/>
        </w:rPr>
        <w:t xml:space="preserve"> and </w:t>
      </w:r>
      <w:proofErr w:type="spellStart"/>
      <w:r w:rsidRPr="00BA6F83">
        <w:rPr>
          <w:rFonts w:asciiTheme="minorHAnsi" w:hAnsiTheme="minorHAnsi"/>
          <w:i/>
          <w:color w:val="000000" w:themeColor="text1"/>
          <w:lang w:val="en-US"/>
        </w:rPr>
        <w:t>Eisenbergiella</w:t>
      </w:r>
      <w:proofErr w:type="spellEnd"/>
      <w:r w:rsidRPr="00BA6F83">
        <w:rPr>
          <w:rFonts w:asciiTheme="minorHAnsi" w:hAnsiTheme="minorHAnsi"/>
          <w:color w:val="000000" w:themeColor="text1"/>
          <w:lang w:val="en-US"/>
        </w:rPr>
        <w:t xml:space="preserve"> were two of the strongest drivers of this separation (</w:t>
      </w:r>
      <w:r w:rsidR="00983FF8" w:rsidRPr="00BA6F83">
        <w:rPr>
          <w:rFonts w:asciiTheme="minorHAnsi" w:hAnsiTheme="minorHAnsi"/>
          <w:color w:val="000000" w:themeColor="text1"/>
          <w:lang w:val="en-US"/>
        </w:rPr>
        <w:t>Extended Data</w:t>
      </w:r>
      <w:r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2B, C), the development of VHS showed only a weak and non-significant correlation </w:t>
      </w:r>
      <w:r w:rsidR="005227E5" w:rsidRPr="00BA6F83">
        <w:rPr>
          <w:rFonts w:asciiTheme="minorHAnsi" w:hAnsiTheme="minorHAnsi"/>
          <w:color w:val="000000" w:themeColor="text1"/>
          <w:lang w:val="en-US"/>
        </w:rPr>
        <w:t xml:space="preserve">or lack of association with these bacteria, respectively </w:t>
      </w:r>
      <w:r w:rsidRPr="00BA6F83">
        <w:rPr>
          <w:rFonts w:asciiTheme="minorHAnsi" w:hAnsiTheme="minorHAnsi"/>
          <w:color w:val="000000" w:themeColor="text1"/>
          <w:lang w:val="en-US"/>
        </w:rPr>
        <w:t>(</w:t>
      </w:r>
      <w:r w:rsidR="00983FF8" w:rsidRPr="00BA6F83">
        <w:rPr>
          <w:rFonts w:asciiTheme="minorHAnsi" w:hAnsiTheme="minorHAnsi"/>
          <w:color w:val="000000" w:themeColor="text1"/>
          <w:lang w:val="en-US"/>
        </w:rPr>
        <w:t>Extended Data</w:t>
      </w:r>
      <w:r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2D). </w:t>
      </w:r>
      <w:r w:rsidR="00D30FB5" w:rsidRPr="00E162F2">
        <w:rPr>
          <w:rFonts w:asciiTheme="minorHAnsi" w:hAnsiTheme="minorHAnsi"/>
          <w:lang w:val="en-US"/>
        </w:rPr>
        <w:t>Other genera (</w:t>
      </w:r>
      <w:proofErr w:type="spellStart"/>
      <w:r w:rsidR="00D30FB5" w:rsidRPr="00E162F2">
        <w:rPr>
          <w:rFonts w:eastAsia="Times New Roman" w:cstheme="minorHAnsi"/>
          <w:i/>
          <w:iCs/>
          <w:shd w:val="clear" w:color="auto" w:fill="FFFFFF"/>
          <w:lang w:val="en-US"/>
        </w:rPr>
        <w:t>Senegalimassilia</w:t>
      </w:r>
      <w:proofErr w:type="spellEnd"/>
      <w:r w:rsidR="00D30FB5" w:rsidRPr="00E162F2">
        <w:rPr>
          <w:rFonts w:eastAsia="Times New Roman" w:cstheme="minorHAnsi"/>
          <w:i/>
          <w:iCs/>
          <w:shd w:val="clear" w:color="auto" w:fill="FFFFFF"/>
          <w:lang w:val="en-US"/>
        </w:rPr>
        <w:t xml:space="preserve">, </w:t>
      </w:r>
      <w:proofErr w:type="spellStart"/>
      <w:r w:rsidR="00D30FB5" w:rsidRPr="00E162F2">
        <w:rPr>
          <w:rFonts w:eastAsia="Times New Roman" w:cstheme="minorHAnsi"/>
          <w:i/>
          <w:iCs/>
          <w:shd w:val="clear" w:color="auto" w:fill="FFFFFF"/>
          <w:lang w:val="en-US"/>
        </w:rPr>
        <w:t>Murimonas</w:t>
      </w:r>
      <w:proofErr w:type="spellEnd"/>
      <w:r w:rsidR="00D30FB5" w:rsidRPr="00E162F2">
        <w:rPr>
          <w:rFonts w:eastAsia="Times New Roman" w:cstheme="minorHAnsi"/>
          <w:i/>
          <w:iCs/>
          <w:shd w:val="clear" w:color="auto" w:fill="FFFFFF"/>
          <w:lang w:val="en-US"/>
        </w:rPr>
        <w:t xml:space="preserve">, </w:t>
      </w:r>
      <w:proofErr w:type="spellStart"/>
      <w:r w:rsidR="00D30FB5" w:rsidRPr="00E162F2">
        <w:rPr>
          <w:rFonts w:eastAsia="Times New Roman" w:cstheme="minorHAnsi"/>
          <w:i/>
          <w:iCs/>
          <w:shd w:val="clear" w:color="auto" w:fill="FFFFFF"/>
          <w:lang w:val="en-US"/>
        </w:rPr>
        <w:t>Clostridium_XVIII</w:t>
      </w:r>
      <w:proofErr w:type="spellEnd"/>
      <w:r w:rsidR="00D30FB5" w:rsidRPr="00E162F2">
        <w:rPr>
          <w:rFonts w:eastAsia="Times New Roman" w:cstheme="minorHAnsi"/>
          <w:i/>
          <w:iCs/>
          <w:shd w:val="clear" w:color="auto" w:fill="FFFFFF"/>
          <w:lang w:val="en-US"/>
        </w:rPr>
        <w:t xml:space="preserve"> </w:t>
      </w:r>
      <w:r w:rsidR="00D30FB5" w:rsidRPr="00E162F2">
        <w:rPr>
          <w:rFonts w:eastAsia="Times New Roman" w:cstheme="minorHAnsi"/>
          <w:shd w:val="clear" w:color="auto" w:fill="FFFFFF"/>
          <w:lang w:val="en-US"/>
        </w:rPr>
        <w:t xml:space="preserve">or </w:t>
      </w:r>
      <w:proofErr w:type="spellStart"/>
      <w:r w:rsidR="00D30FB5" w:rsidRPr="00E162F2">
        <w:rPr>
          <w:rFonts w:eastAsia="Times New Roman" w:cstheme="minorHAnsi"/>
          <w:i/>
          <w:iCs/>
          <w:shd w:val="clear" w:color="auto" w:fill="FFFFFF"/>
          <w:lang w:val="en-US"/>
        </w:rPr>
        <w:t>Stomatobaculum</w:t>
      </w:r>
      <w:proofErr w:type="spellEnd"/>
      <w:r w:rsidR="00D30FB5" w:rsidRPr="00E162F2">
        <w:rPr>
          <w:rFonts w:asciiTheme="minorHAnsi" w:hAnsiTheme="minorHAnsi"/>
          <w:lang w:val="en-US"/>
        </w:rPr>
        <w:t>) also showed no associ</w:t>
      </w:r>
      <w:r w:rsidR="00D30FB5">
        <w:rPr>
          <w:rFonts w:asciiTheme="minorHAnsi" w:hAnsiTheme="minorHAnsi"/>
          <w:color w:val="000000" w:themeColor="text1"/>
          <w:lang w:val="en-US"/>
        </w:rPr>
        <w:t xml:space="preserve">ation with VHS. </w:t>
      </w:r>
      <w:r w:rsidRPr="00BA6F83">
        <w:rPr>
          <w:rFonts w:asciiTheme="minorHAnsi" w:hAnsiTheme="minorHAnsi"/>
          <w:color w:val="000000" w:themeColor="text1"/>
          <w:lang w:val="en-US"/>
        </w:rPr>
        <w:t>These results suggest that the microbiota shift is unlikely to be of relevance to the observed phenotype. Further, OVA/infected</w:t>
      </w:r>
      <w:r w:rsidR="00F15124">
        <w:rPr>
          <w:rFonts w:asciiTheme="minorHAnsi" w:hAnsiTheme="minorHAnsi"/>
          <w:color w:val="000000" w:themeColor="text1"/>
          <w:lang w:val="en-US"/>
        </w:rPr>
        <w:t xml:space="preserve"> + OVA</w:t>
      </w:r>
      <w:r w:rsidRPr="00BA6F83">
        <w:rPr>
          <w:rFonts w:asciiTheme="minorHAnsi" w:hAnsiTheme="minorHAnsi"/>
          <w:color w:val="000000" w:themeColor="text1"/>
          <w:lang w:val="en-US"/>
        </w:rPr>
        <w:t xml:space="preserve"> mice treated with antibiotics to deplete the gut microbio</w:t>
      </w:r>
      <w:r w:rsidR="00352176">
        <w:rPr>
          <w:rFonts w:asciiTheme="minorHAnsi" w:hAnsiTheme="minorHAnsi"/>
          <w:color w:val="000000" w:themeColor="text1"/>
          <w:lang w:val="en-US"/>
        </w:rPr>
        <w:t>ta</w:t>
      </w:r>
      <w:r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{"citationItems":[{"id":"ITEM-1","itemData":{"DOI":"10.1371/journal.pone.0017996","ISSN":"19326203","abstract":"BACKGROUND: Inappropriate cross talk between mammals and their gut microbiota may trigger intestinal inflammation and drive extra-intestinal immune-mediated diseases. Epithelial cells constitute the interface between gut microbiota and host tissue, and may regulate host responses to commensal enteric bacteria. Gnotobiotic animals represent a powerful approach to study bacterial-host interaction but are not readily accessible to the wide scientific community. We aimed at refining a protocol that in a robust manner would deplete the cultivable intestinal microbiota of conventionally raised mice and that would prove to have significant biologic validity.\\n\\nMETHODOLOGY/PRINCIPAL FINDINGS: Previously published protocols for depleting mice of their intestinal microbiota by administering broad-spectrum antibiotics in drinking water were difficult to reproduce. We show that twice daily delivery of antibiotics by gavage depleted mice of their cultivable fecal microbiota and reduced the fecal bacterial DNA load by 400 fold while ensuring the animals' health. Mice subjected to the protocol for 17 days displayed enlarged ceca, reduced Peyer's patches and small spleens. Antibiotic treatment significantly reduced the expression of antimicrobial factors to a level similar to that of germ-free mice and altered the expression of 517 genes in total in the colonic epithelium. Genes involved in cell cycle were significantly altered concomitant with reduced epithelial proliferative activity in situ assessed by Ki-67 expression, suggesting that commensal microbiota drives cellular proliferation in colonic epithelium.\\n\\nCONCLUSION: We present a robust protocol for depleting conventionally raised mice of their cultivatable intestinal microbiota with antibiotics by gavage and show that the biological effect of this depletion phenocopies physiological characteristics of germ-free mice.","author":[{"dropping-particle":"","family":"Reikvam","given":"Dag Henrik","non-dropping-particle":"","parse-names":false,"suffix":""},{"dropping-particle":"","family":"Erofeev","given":"Alexander","non-dropping-particle":"","parse-names":false,"suffix":""},{"dropping-particle":"","family":"Sandvik","given":"Anders","non-dropping-particle":"","parse-names":false,"suffix":""},{"dropping-particle":"","family":"Grcic","given":"Vedrana","non-dropping-particle":"","parse-names":false,"suffix":""},{"dropping-particle":"","family":"Jahnsen","given":"Frode Lars","non-dropping-particle":"","parse-names":false,"suffix":""},{"dropping-particle":"","family":"Gaustad","given":"Peter","non-dropping-particle":"","parse-names":false,"suffix":""},{"dropping-particle":"","family":"McCoy","given":"Kathy D.","non-dropping-particle":"","parse-names":false,"suffix":""},{"dropping-particle":"","family":"Macpherson","given":"Andrew J.","non-dropping-particle":"","parse-names":false,"suffix":""},{"dropping-particle":"","family":"Meza-Zepeda","given":"Leonardo A.","non-dropping-particle":"","parse-names":false,"suffix":""},{"dropping-particle":"","family":"Johansen","given":"Finn Eirik","non-dropping-particle":"","parse-names":false,"suffix":""}],"container-title":"PLoS ONE","id":"ITEM-1","issue":"3","issued":{"date-parts":[["2011"]]},"page":"e17996","title":"Depletion of murine intestinal microbiota: Effects on gut mucosa and epithelial gene expression","type":"article-journal","volume":"6"},"uris":["http://www.mendeley.com/documents/?uuid=6b74a900-247f-4985-9093-cbc8a2912cc6","http://www.mendeley.com/documents/?uuid=da327437-a721-4065-bcf4-09c288442352"]}],"mendeley":{"formattedCitation":"&lt;sup&gt;33&lt;/sup&gt;","plainTextFormattedCitation":"33","previouslyFormattedCitation":"&lt;sup&gt;33&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33</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developed VHS similar to vehicle</w:t>
      </w:r>
      <w:r w:rsidR="004B7CC1">
        <w:rPr>
          <w:rFonts w:asciiTheme="minorHAnsi" w:hAnsiTheme="minorHAnsi"/>
          <w:color w:val="000000" w:themeColor="text1"/>
          <w:lang w:val="en-US"/>
        </w:rPr>
        <w:t>-</w:t>
      </w:r>
      <w:r w:rsidRPr="00BA6F83">
        <w:rPr>
          <w:rFonts w:asciiTheme="minorHAnsi" w:hAnsiTheme="minorHAnsi"/>
          <w:color w:val="000000" w:themeColor="text1"/>
          <w:lang w:val="en-US"/>
        </w:rPr>
        <w:t>treated mice (</w:t>
      </w:r>
      <w:r w:rsidR="00983FF8" w:rsidRPr="00BA6F83">
        <w:rPr>
          <w:rFonts w:asciiTheme="minorHAnsi" w:hAnsiTheme="minorHAnsi"/>
          <w:color w:val="000000" w:themeColor="text1"/>
          <w:lang w:val="en-US"/>
        </w:rPr>
        <w:t>Extended Data</w:t>
      </w:r>
      <w:r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2</w:t>
      </w:r>
      <w:r w:rsidR="00F15124">
        <w:rPr>
          <w:rFonts w:asciiTheme="minorHAnsi" w:hAnsiTheme="minorHAnsi"/>
          <w:color w:val="000000" w:themeColor="text1"/>
          <w:lang w:val="en-US"/>
        </w:rPr>
        <w:t>E-G</w:t>
      </w:r>
      <w:r w:rsidRPr="00BA6F83">
        <w:rPr>
          <w:rFonts w:asciiTheme="minorHAnsi" w:hAnsiTheme="minorHAnsi"/>
          <w:color w:val="000000" w:themeColor="text1"/>
          <w:lang w:val="en-US"/>
        </w:rPr>
        <w:t xml:space="preserve">). Despite the shift in microbiota composition observed in VHS mice, we show that </w:t>
      </w:r>
      <w:r w:rsidR="0069063B" w:rsidRPr="00BA6F83">
        <w:rPr>
          <w:rFonts w:asciiTheme="minorHAnsi" w:hAnsiTheme="minorHAnsi"/>
          <w:color w:val="000000" w:themeColor="text1"/>
          <w:lang w:val="en-US"/>
        </w:rPr>
        <w:t xml:space="preserve">this </w:t>
      </w:r>
      <w:r w:rsidRPr="00BA6F83">
        <w:rPr>
          <w:rFonts w:asciiTheme="minorHAnsi" w:hAnsiTheme="minorHAnsi"/>
          <w:color w:val="000000" w:themeColor="text1"/>
          <w:lang w:val="en-US"/>
        </w:rPr>
        <w:t>process is</w:t>
      </w:r>
      <w:r w:rsidR="007A7E63">
        <w:rPr>
          <w:rFonts w:asciiTheme="minorHAnsi" w:hAnsiTheme="minorHAnsi"/>
          <w:color w:val="000000" w:themeColor="text1"/>
          <w:lang w:val="en-US"/>
        </w:rPr>
        <w:t xml:space="preserve"> likely to be</w:t>
      </w:r>
      <w:r w:rsidRPr="00BA6F83">
        <w:rPr>
          <w:rFonts w:asciiTheme="minorHAnsi" w:hAnsiTheme="minorHAnsi"/>
          <w:color w:val="000000" w:themeColor="text1"/>
          <w:lang w:val="en-US"/>
        </w:rPr>
        <w:t xml:space="preserve"> independent from the gut microbiota. </w:t>
      </w:r>
    </w:p>
    <w:bookmarkEnd w:id="0"/>
    <w:p w14:paraId="626FCD2C" w14:textId="53BADF09" w:rsidR="003563B9" w:rsidRPr="00077004" w:rsidRDefault="004D5E83" w:rsidP="006A0B76">
      <w:pPr>
        <w:autoSpaceDE w:val="0"/>
        <w:autoSpaceDN w:val="0"/>
        <w:adjustRightInd w:val="0"/>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 xml:space="preserve"> “</w:t>
      </w:r>
      <w:r w:rsidR="001837F2" w:rsidRPr="00BA6F83">
        <w:rPr>
          <w:rFonts w:asciiTheme="minorHAnsi" w:hAnsiTheme="minorHAnsi"/>
          <w:color w:val="000000" w:themeColor="text1"/>
          <w:lang w:val="en-US"/>
        </w:rPr>
        <w:t>L</w:t>
      </w:r>
      <w:r w:rsidRPr="00BA6F83">
        <w:rPr>
          <w:rFonts w:asciiTheme="minorHAnsi" w:hAnsiTheme="minorHAnsi"/>
          <w:color w:val="000000" w:themeColor="text1"/>
          <w:lang w:val="en-US"/>
        </w:rPr>
        <w:t>ow-grade” inflammation</w:t>
      </w:r>
      <w:r w:rsidR="006F6C2D" w:rsidRPr="00BA6F83">
        <w:rPr>
          <w:rFonts w:asciiTheme="minorHAnsi" w:hAnsiTheme="minorHAnsi"/>
          <w:color w:val="000000" w:themeColor="text1"/>
          <w:lang w:val="en-US"/>
        </w:rPr>
        <w:t xml:space="preserve"> and</w:t>
      </w:r>
      <w:r w:rsidR="009D15C9" w:rsidRPr="00BA6F83">
        <w:rPr>
          <w:rFonts w:asciiTheme="minorHAnsi" w:hAnsiTheme="minorHAnsi"/>
          <w:color w:val="000000" w:themeColor="text1"/>
          <w:lang w:val="en-US"/>
        </w:rPr>
        <w:t>,</w:t>
      </w:r>
      <w:r w:rsidR="006F6C2D" w:rsidRPr="00BA6F83">
        <w:rPr>
          <w:rFonts w:asciiTheme="minorHAnsi" w:hAnsiTheme="minorHAnsi"/>
          <w:color w:val="000000" w:themeColor="text1"/>
          <w:lang w:val="en-US"/>
        </w:rPr>
        <w:t xml:space="preserve"> in particular</w:t>
      </w:r>
      <w:r w:rsidR="009D15C9" w:rsidRPr="00BA6F83">
        <w:rPr>
          <w:rFonts w:asciiTheme="minorHAnsi" w:hAnsiTheme="minorHAnsi"/>
          <w:color w:val="000000" w:themeColor="text1"/>
          <w:lang w:val="en-US"/>
        </w:rPr>
        <w:t>,</w:t>
      </w:r>
      <w:r w:rsidR="006F6C2D" w:rsidRPr="00BA6F83">
        <w:rPr>
          <w:rFonts w:asciiTheme="minorHAnsi" w:hAnsiTheme="minorHAnsi"/>
          <w:color w:val="000000" w:themeColor="text1"/>
          <w:lang w:val="en-US"/>
        </w:rPr>
        <w:t xml:space="preserve"> </w:t>
      </w:r>
      <w:r w:rsidR="00332CBD" w:rsidRPr="00BA6F83">
        <w:rPr>
          <w:rFonts w:asciiTheme="minorHAnsi" w:hAnsiTheme="minorHAnsi"/>
          <w:color w:val="000000" w:themeColor="text1"/>
          <w:lang w:val="en-US"/>
        </w:rPr>
        <w:t xml:space="preserve">increased </w:t>
      </w:r>
      <w:r w:rsidR="00AD5BCB" w:rsidRPr="00BA6F83">
        <w:rPr>
          <w:rFonts w:asciiTheme="minorHAnsi" w:hAnsiTheme="minorHAnsi"/>
          <w:color w:val="000000" w:themeColor="text1"/>
          <w:lang w:val="en-US"/>
        </w:rPr>
        <w:t>MC</w:t>
      </w:r>
      <w:r w:rsidR="00332CBD" w:rsidRPr="00BA6F83">
        <w:rPr>
          <w:rFonts w:asciiTheme="minorHAnsi" w:hAnsiTheme="minorHAnsi"/>
          <w:color w:val="000000" w:themeColor="text1"/>
          <w:lang w:val="en-US"/>
        </w:rPr>
        <w:t xml:space="preserve"> activation</w:t>
      </w:r>
      <w:r w:rsidRPr="00BA6F83">
        <w:rPr>
          <w:rFonts w:asciiTheme="minorHAnsi" w:hAnsiTheme="minorHAnsi"/>
          <w:color w:val="000000" w:themeColor="text1"/>
          <w:lang w:val="en-US"/>
        </w:rPr>
        <w:t xml:space="preserve"> ha</w:t>
      </w:r>
      <w:r w:rsidR="009D15C9" w:rsidRPr="00BA6F83">
        <w:rPr>
          <w:rFonts w:asciiTheme="minorHAnsi" w:hAnsiTheme="minorHAnsi"/>
          <w:color w:val="000000" w:themeColor="text1"/>
          <w:lang w:val="en-US"/>
        </w:rPr>
        <w:t>ve</w:t>
      </w:r>
      <w:r w:rsidR="00C41CD7" w:rsidRPr="00BA6F83">
        <w:rPr>
          <w:rFonts w:asciiTheme="minorHAnsi" w:hAnsiTheme="minorHAnsi"/>
          <w:color w:val="000000" w:themeColor="text1"/>
          <w:lang w:val="en-US"/>
        </w:rPr>
        <w:t xml:space="preserve"> also</w:t>
      </w:r>
      <w:r w:rsidRPr="00BA6F83">
        <w:rPr>
          <w:rFonts w:asciiTheme="minorHAnsi" w:hAnsiTheme="minorHAnsi"/>
          <w:color w:val="000000" w:themeColor="text1"/>
          <w:lang w:val="en-US"/>
        </w:rPr>
        <w:t xml:space="preserve"> </w:t>
      </w:r>
      <w:r w:rsidR="00941107" w:rsidRPr="00BA6F83">
        <w:rPr>
          <w:rFonts w:asciiTheme="minorHAnsi" w:hAnsiTheme="minorHAnsi"/>
          <w:color w:val="000000" w:themeColor="text1"/>
          <w:lang w:val="en-US"/>
        </w:rPr>
        <w:t xml:space="preserve">been </w:t>
      </w:r>
      <w:r w:rsidRPr="00BA6F83">
        <w:rPr>
          <w:rFonts w:asciiTheme="minorHAnsi" w:hAnsiTheme="minorHAnsi"/>
          <w:color w:val="000000" w:themeColor="text1"/>
          <w:lang w:val="en-US"/>
        </w:rPr>
        <w:t xml:space="preserve">proposed as underlying mechanism in IBS, especially in </w:t>
      </w:r>
      <w:r w:rsidR="00CD433D" w:rsidRPr="00BA6F83">
        <w:rPr>
          <w:rFonts w:asciiTheme="minorHAnsi" w:hAnsiTheme="minorHAnsi"/>
          <w:color w:val="000000" w:themeColor="text1"/>
          <w:lang w:val="en-US"/>
        </w:rPr>
        <w:t>post-infectious IBS</w:t>
      </w:r>
      <w:r w:rsidR="00A4619E" w:rsidRPr="00BA6F83">
        <w:rPr>
          <w:rFonts w:asciiTheme="minorHAnsi" w:hAnsiTheme="minorHAnsi"/>
          <w:color w:val="000000" w:themeColor="text1"/>
          <w:lang w:val="en-US"/>
        </w:rPr>
        <w:fldChar w:fldCharType="begin" w:fldLock="1"/>
      </w:r>
      <w:r w:rsidR="00CE07BA">
        <w:rPr>
          <w:rFonts w:asciiTheme="minorHAnsi" w:hAnsiTheme="minorHAnsi"/>
          <w:color w:val="000000" w:themeColor="text1"/>
          <w:lang w:val="en-US"/>
        </w:rPr>
        <w:instrText>ADDIN CSL_CITATION {"citationItems":[{"id":"ITEM-1","itemData":{"DOI":"10.1053/j.gastro.2009.02.074","ISBN":"1528-0012 (Electronic)\\r0016-5085 (Linking)","ISSN":"1528-0012; 0016-5085","PMID":"19457422","abstract":"Approximately 1 in ten patients with irritable bowel syndrome (IBS) believe their IBS began with an infectious illness. Prospective studies have shown that 3% to 36% of enteric infections lead to persistent new IBS symptoms; the precise incidence depends on the infecting organism. Whereas viral gastroenteritis seems to have only short-term effects, bacterial enteritis and protozoan and helminth infections are followed by prolonged postinfective IBS (PI-IBS). Risk factors for developing PI-IBS include, in order of importance, prolonged duration of initial illness, toxicity of infecting bacterial strain, smoking, mucosal markers of inflammation, female gender, depression, hypochondriasis, and adverse life events in the preceding 3 months. Age older than 60 years might protect against PI-IBS, whereas treatment with antibiotics has been associated with increased risk. The mechanisms that cause PI-IBS are unknown but could include residual inflammation or persistent changes in mucosal immunocytes, enterochromaffin and mast cells, enteric nerves, and the gastrointestinal microbiota. Adverse psychological factors contribute to persistent low-grade inflammation. The prognosis for patients with PI-IBS is somewhat better than for those with unselected IBS, but PI-IBS can still take years to resolve. There are no specific treatments for PI-IBS; these should be tailored to the predominant bowel disturbance, which is most frequently diarrhea.","author":[{"dropping-particle":"","family":"Spiller","given":"Robin","non-dropping-particle":"","parse-names":false,"suffix":""},{"dropping-particle":"","family":"Garsed","given":"Klara","non-dropping-particle":"","parse-names":false,"suffix":""}],"container-title":"Gastroenterology","id":"ITEM-1","issue":"6","issued":{"date-parts":[["2009"]]},"page":"1979-1988","title":"Postinfectious irritable bowel syndrome","type":"article-journal","volume":"136"},"uris":["http://www.mendeley.com/documents/?uuid=558f629d-5edc-4972-b692-093d494343c8"]}],"mendeley":{"formattedCitation":"&lt;sup&gt;8&lt;/sup&gt;","plainTextFormattedCitation":"8","previouslyFormattedCitation":"&lt;sup&gt;8&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834A4E" w:rsidRPr="00834A4E">
        <w:rPr>
          <w:rFonts w:asciiTheme="minorHAnsi" w:hAnsiTheme="minorHAnsi"/>
          <w:noProof/>
          <w:color w:val="000000" w:themeColor="text1"/>
          <w:vertAlign w:val="superscript"/>
          <w:lang w:val="en-US"/>
        </w:rPr>
        <w:t>8</w:t>
      </w:r>
      <w:r w:rsidR="00A4619E" w:rsidRPr="00BA6F83">
        <w:rPr>
          <w:rFonts w:asciiTheme="minorHAnsi" w:hAnsiTheme="minorHAnsi"/>
          <w:color w:val="000000" w:themeColor="text1"/>
          <w:lang w:val="en-US"/>
        </w:rPr>
        <w:fldChar w:fldCharType="end"/>
      </w:r>
      <w:r w:rsidR="001837F2" w:rsidRPr="00BA6F83">
        <w:rPr>
          <w:rFonts w:asciiTheme="minorHAnsi" w:hAnsiTheme="minorHAnsi"/>
          <w:color w:val="000000" w:themeColor="text1"/>
          <w:lang w:val="en-US"/>
        </w:rPr>
        <w:t>. Hence,</w:t>
      </w:r>
      <w:r w:rsidRPr="00BA6F83">
        <w:rPr>
          <w:rFonts w:asciiTheme="minorHAnsi" w:hAnsiTheme="minorHAnsi"/>
          <w:color w:val="000000" w:themeColor="text1"/>
          <w:lang w:val="en-US"/>
        </w:rPr>
        <w:t xml:space="preserve"> we </w:t>
      </w:r>
      <w:r w:rsidR="00CD433D" w:rsidRPr="00BA6F83">
        <w:rPr>
          <w:rFonts w:asciiTheme="minorHAnsi" w:hAnsiTheme="minorHAnsi"/>
          <w:color w:val="000000" w:themeColor="text1"/>
          <w:lang w:val="en-US"/>
        </w:rPr>
        <w:t xml:space="preserve">assessed </w:t>
      </w:r>
      <w:r w:rsidRPr="00BA6F83">
        <w:rPr>
          <w:rFonts w:asciiTheme="minorHAnsi" w:hAnsiTheme="minorHAnsi"/>
          <w:color w:val="000000" w:themeColor="text1"/>
          <w:lang w:val="en-US"/>
        </w:rPr>
        <w:t>colonic inflammation by histology</w:t>
      </w:r>
      <w:r w:rsidR="009D15C9" w:rsidRPr="00BA6F83">
        <w:rPr>
          <w:rFonts w:asciiTheme="minorHAnsi" w:hAnsiTheme="minorHAnsi"/>
          <w:color w:val="000000" w:themeColor="text1"/>
          <w:lang w:val="en-US"/>
        </w:rPr>
        <w:t xml:space="preserve"> and</w:t>
      </w:r>
      <w:r w:rsidRPr="00BA6F83">
        <w:rPr>
          <w:rFonts w:asciiTheme="minorHAnsi" w:hAnsiTheme="minorHAnsi"/>
          <w:color w:val="000000" w:themeColor="text1"/>
          <w:lang w:val="en-US"/>
        </w:rPr>
        <w:t xml:space="preserve"> </w:t>
      </w:r>
      <w:r w:rsidR="009D15C9" w:rsidRPr="00BA6F83">
        <w:rPr>
          <w:rFonts w:asciiTheme="minorHAnsi" w:hAnsiTheme="minorHAnsi"/>
          <w:color w:val="000000" w:themeColor="text1"/>
          <w:lang w:val="en-US"/>
        </w:rPr>
        <w:t xml:space="preserve">expression </w:t>
      </w:r>
      <w:r w:rsidRPr="00BA6F83">
        <w:rPr>
          <w:rFonts w:asciiTheme="minorHAnsi" w:hAnsiTheme="minorHAnsi"/>
          <w:color w:val="000000" w:themeColor="text1"/>
          <w:lang w:val="en-US"/>
        </w:rPr>
        <w:t xml:space="preserve">of inflammatory cytokines </w:t>
      </w:r>
      <w:r w:rsidR="00943C5A" w:rsidRPr="00BA6F83">
        <w:rPr>
          <w:rFonts w:asciiTheme="minorHAnsi" w:hAnsiTheme="minorHAnsi"/>
          <w:color w:val="000000" w:themeColor="text1"/>
          <w:lang w:val="en-US"/>
        </w:rPr>
        <w:t>after repeated gavages of OVA</w:t>
      </w:r>
      <w:r w:rsidRPr="00BA6F83">
        <w:rPr>
          <w:rFonts w:asciiTheme="minorHAnsi" w:hAnsiTheme="minorHAnsi"/>
          <w:color w:val="000000" w:themeColor="text1"/>
          <w:lang w:val="en-US"/>
        </w:rPr>
        <w:t>.</w:t>
      </w:r>
      <w:r w:rsidR="00CE07BA">
        <w:rPr>
          <w:rFonts w:asciiTheme="minorHAnsi" w:hAnsiTheme="minorHAnsi"/>
          <w:color w:val="000000" w:themeColor="text1"/>
          <w:lang w:val="en-US"/>
        </w:rPr>
        <w:t xml:space="preserve"> While </w:t>
      </w:r>
      <w:r w:rsidR="00CE07BA">
        <w:rPr>
          <w:rFonts w:asciiTheme="minorHAnsi" w:hAnsiTheme="minorHAnsi"/>
          <w:color w:val="000000" w:themeColor="text1"/>
          <w:lang w:val="en-US"/>
        </w:rPr>
        <w:lastRenderedPageBreak/>
        <w:t>mild</w:t>
      </w:r>
      <w:r w:rsidR="00F11627">
        <w:rPr>
          <w:rFonts w:asciiTheme="minorHAnsi" w:hAnsiTheme="minorHAnsi"/>
          <w:color w:val="000000" w:themeColor="text1"/>
          <w:lang w:val="en-US"/>
        </w:rPr>
        <w:t xml:space="preserve"> colonic</w:t>
      </w:r>
      <w:r w:rsidR="00CE07BA">
        <w:rPr>
          <w:rFonts w:asciiTheme="minorHAnsi" w:hAnsiTheme="minorHAnsi"/>
          <w:color w:val="000000" w:themeColor="text1"/>
          <w:lang w:val="en-US"/>
        </w:rPr>
        <w:t xml:space="preserve"> inflammation </w:t>
      </w:r>
      <w:r w:rsidR="00147A91">
        <w:rPr>
          <w:rFonts w:asciiTheme="minorHAnsi" w:hAnsiTheme="minorHAnsi"/>
          <w:color w:val="000000" w:themeColor="text1"/>
          <w:lang w:val="en-US"/>
        </w:rPr>
        <w:t>was</w:t>
      </w:r>
      <w:r w:rsidR="00CE07BA">
        <w:rPr>
          <w:rFonts w:asciiTheme="minorHAnsi" w:hAnsiTheme="minorHAnsi"/>
          <w:color w:val="000000" w:themeColor="text1"/>
          <w:lang w:val="en-US"/>
        </w:rPr>
        <w:t xml:space="preserve"> observed in </w:t>
      </w:r>
      <w:r w:rsidR="00F000AA">
        <w:rPr>
          <w:rFonts w:asciiTheme="minorHAnsi" w:hAnsiTheme="minorHAnsi"/>
          <w:color w:val="000000" w:themeColor="text1"/>
          <w:lang w:val="en-US"/>
        </w:rPr>
        <w:t>the acute phase of the infection (</w:t>
      </w:r>
      <w:r w:rsidR="00CE07BA">
        <w:rPr>
          <w:rFonts w:asciiTheme="minorHAnsi" w:hAnsiTheme="minorHAnsi"/>
          <w:color w:val="000000" w:themeColor="text1"/>
          <w:lang w:val="en-US"/>
        </w:rPr>
        <w:t>10-14 days after infection</w:t>
      </w:r>
      <w:r w:rsidR="00CE07BA">
        <w:rPr>
          <w:rFonts w:asciiTheme="minorHAnsi" w:hAnsiTheme="minorHAnsi"/>
          <w:color w:val="000000" w:themeColor="text1"/>
          <w:lang w:val="en-US"/>
        </w:rPr>
        <w:fldChar w:fldCharType="begin" w:fldLock="1"/>
      </w:r>
      <w:r w:rsidR="00770BE2">
        <w:rPr>
          <w:rFonts w:asciiTheme="minorHAnsi" w:hAnsiTheme="minorHAnsi"/>
          <w:color w:val="000000" w:themeColor="text1"/>
          <w:lang w:val="en-US"/>
        </w:rPr>
        <w:instrText>ADDIN CSL_CITATION {"citationItems":[{"id":"ITEM-1","itemData":{"DOI":"10.1111/nmo.12759","ISSN":"13652982","PMID":"26728091","abstract":"© 2016 John Wiley  &amp;  Sons Ltd. Background: Infectious gastroenteritis is a major risk factor to develop postinfectious irritable bowel syndrome (PI-IBS). It remains unknown why only a subgroup of infected individuals develops PI-IBS. We hypothesize that immunogenetic predisposition is an important risk factor. Hence, we studied the effect of Citrobacter rodentium infection on visceral sensitivity in Th1-predominant C57BL/6 and Th2-predominant Balb/c mice. Methods: Eight-week-old mice were gavaged with C. rodentium, followed by 1 h of water avoidance stress (WAS) at 5 weeks PI. At 10, 14 days, and 5 weeks PI, samples were assessed for histology and inflammatory gene expression by RT-qPCR. Visceral sensitivity was evaluated by visceromotor response recordings (VMR) to colorectal distension. Key Results: Citrobacter rodentium evoked a comparable colonic inflammatory response at 14 days PI characterized by increased crypt length and upregulation of Th1/Th17 cytokine mRNA levels (p uncorrected &lt;  0.05) in both C57BL/6 and Balb/c mice. At 5 weeks PI, inflammatory gene mRNA levels returned to baseline in both strains. The VMR was maximal at 14 days PI in C57BL/6 (150 ± 47%; p = 0.02) and Balb/c mice (243 ± 52%; p = 0.03). At 3 weeks PI, the VMR remained increased in Balb/c (176 ± 23%; p = 0.02), but returned to baseline in C57BL/6 mice. At 5 weeks PI, WAS could not re-introduce visceral hypersensitivity (VHS).  Conclusions  &amp;  Inferences: Citrobacter rodentium infection induces transient VHS in C57BL/6 and Balb/c mice, which persisted 1 week longer in Balb/c mice. Although other strain-related differences may contribute, a Th2 background may represent a risk factor for prolonged PI-VHS. As PI-VHS is transient, other factors are crucial for persistent VHS development as observed in PI-IBS.","author":[{"dropping-particle":"","family":"Mondelaers","given":"S.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M.","non-dropping-particle":"","parse-names":false,"suffix":""},{"dropping-particle":"","family":"Mondelaers SU, Theofanous SA, Florens MV, Perna E, Aguilera-Lizarraga J, Boeckxstaens GE","given":"Wouters MM","non-dropping-particle":"","parse-names":false,"suffix":""},{"dropping-particle":"","family":"Mondelaers","given":"S.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M.","non-dropping-particle":"","parse-names":false,"suffix":""}],"container-title":"Neurogastroenterology and Motility","id":"ITEM-1","issue":"5","issued":{"date-parts":[["2016"]]},"page":"647-658","title":"Effect of genetic background and postinfectious stress on visceral sensitivity in Citrobacter rodentium-infected mice","type":"article-journal","volume":"28"},"uris":["http://www.mendeley.com/documents/?uuid=441ca505-bce8-410a-9ee1-1a1c6c0771d6"]}],"mendeley":{"formattedCitation":"&lt;sup&gt;19&lt;/sup&gt;","plainTextFormattedCitation":"19","previouslyFormattedCitation":"&lt;sup&gt;19&lt;/sup&gt;"},"properties":{"noteIndex":0},"schema":"https://github.com/citation-style-language/schema/raw/master/csl-citation.json"}</w:instrText>
      </w:r>
      <w:r w:rsidR="00CE07BA">
        <w:rPr>
          <w:rFonts w:asciiTheme="minorHAnsi" w:hAnsiTheme="minorHAnsi"/>
          <w:color w:val="000000" w:themeColor="text1"/>
          <w:lang w:val="en-US"/>
        </w:rPr>
        <w:fldChar w:fldCharType="separate"/>
      </w:r>
      <w:r w:rsidR="00D465C0" w:rsidRPr="00D465C0">
        <w:rPr>
          <w:rFonts w:asciiTheme="minorHAnsi" w:hAnsiTheme="minorHAnsi"/>
          <w:noProof/>
          <w:color w:val="000000" w:themeColor="text1"/>
          <w:vertAlign w:val="superscript"/>
          <w:lang w:val="en-US"/>
        </w:rPr>
        <w:t>19</w:t>
      </w:r>
      <w:r w:rsidR="00CE07BA">
        <w:rPr>
          <w:rFonts w:asciiTheme="minorHAnsi" w:hAnsiTheme="minorHAnsi"/>
          <w:color w:val="000000" w:themeColor="text1"/>
          <w:lang w:val="en-US"/>
        </w:rPr>
        <w:fldChar w:fldCharType="end"/>
      </w:r>
      <w:r w:rsidR="00F000AA">
        <w:rPr>
          <w:rFonts w:asciiTheme="minorHAnsi" w:hAnsiTheme="minorHAnsi"/>
          <w:color w:val="000000" w:themeColor="text1"/>
          <w:lang w:val="en-US"/>
        </w:rPr>
        <w:t>)</w:t>
      </w:r>
      <w:r w:rsidR="00CE07BA">
        <w:rPr>
          <w:rFonts w:asciiTheme="minorHAnsi" w:hAnsiTheme="minorHAnsi"/>
          <w:color w:val="000000" w:themeColor="text1"/>
          <w:lang w:val="en-US"/>
        </w:rPr>
        <w:t>, n</w:t>
      </w:r>
      <w:r w:rsidRPr="00BA6F83">
        <w:rPr>
          <w:rFonts w:asciiTheme="minorHAnsi" w:hAnsiTheme="minorHAnsi"/>
          <w:color w:val="000000" w:themeColor="text1"/>
          <w:lang w:val="en-US"/>
        </w:rPr>
        <w:t>o differences in crypt length (</w:t>
      </w:r>
      <w:r w:rsidR="00983FF8" w:rsidRPr="00BA6F83">
        <w:rPr>
          <w:rFonts w:asciiTheme="minorHAnsi" w:hAnsiTheme="minorHAnsi"/>
          <w:color w:val="000000" w:themeColor="text1"/>
          <w:lang w:val="en-US"/>
        </w:rPr>
        <w:t>Extended Data</w:t>
      </w:r>
      <w:r w:rsidR="00B5396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4377A6" w:rsidRPr="00BA6F83">
        <w:rPr>
          <w:rFonts w:asciiTheme="minorHAnsi" w:hAnsiTheme="minorHAnsi"/>
          <w:color w:val="000000" w:themeColor="text1"/>
          <w:lang w:val="en-US"/>
        </w:rPr>
        <w:t xml:space="preserve"> </w:t>
      </w:r>
      <w:r w:rsidR="0068685C" w:rsidRPr="00BA6F83">
        <w:rPr>
          <w:rFonts w:asciiTheme="minorHAnsi" w:hAnsiTheme="minorHAnsi"/>
          <w:color w:val="000000" w:themeColor="text1"/>
          <w:lang w:val="en-US"/>
        </w:rPr>
        <w:t>3</w:t>
      </w:r>
      <w:r w:rsidR="000A1DB5" w:rsidRPr="00BA6F83">
        <w:rPr>
          <w:rFonts w:asciiTheme="minorHAnsi" w:hAnsiTheme="minorHAnsi"/>
          <w:color w:val="000000" w:themeColor="text1"/>
          <w:lang w:val="en-US"/>
        </w:rPr>
        <w:t>A</w:t>
      </w:r>
      <w:r w:rsidR="004377A6" w:rsidRPr="00BA6F83">
        <w:rPr>
          <w:rFonts w:asciiTheme="minorHAnsi" w:hAnsiTheme="minorHAnsi"/>
          <w:color w:val="000000" w:themeColor="text1"/>
          <w:lang w:val="en-US"/>
        </w:rPr>
        <w:t>, B</w:t>
      </w:r>
      <w:r w:rsidRPr="00BA6F83">
        <w:rPr>
          <w:rFonts w:asciiTheme="minorHAnsi" w:hAnsiTheme="minorHAnsi"/>
          <w:color w:val="000000" w:themeColor="text1"/>
          <w:lang w:val="en-US"/>
        </w:rPr>
        <w:t>)</w:t>
      </w:r>
      <w:r w:rsidR="002B0CF3" w:rsidRPr="00BA6F83">
        <w:rPr>
          <w:rFonts w:asciiTheme="minorHAnsi" w:hAnsiTheme="minorHAnsi"/>
          <w:color w:val="000000" w:themeColor="text1"/>
          <w:lang w:val="en-US"/>
        </w:rPr>
        <w:t xml:space="preserve"> or</w:t>
      </w:r>
      <w:r w:rsidRPr="00BA6F83">
        <w:rPr>
          <w:rFonts w:asciiTheme="minorHAnsi" w:hAnsiTheme="minorHAnsi"/>
          <w:color w:val="000000" w:themeColor="text1"/>
          <w:lang w:val="en-US"/>
        </w:rPr>
        <w:t xml:space="preserve"> cytokine release (</w:t>
      </w:r>
      <w:bookmarkStart w:id="1" w:name="OLE_LINK4"/>
      <w:r w:rsidR="00983FF8" w:rsidRPr="00BA6F83">
        <w:rPr>
          <w:rFonts w:asciiTheme="minorHAnsi" w:hAnsiTheme="minorHAnsi"/>
          <w:color w:val="000000" w:themeColor="text1"/>
          <w:lang w:val="en-US"/>
        </w:rPr>
        <w:t>Extended Data</w:t>
      </w:r>
      <w:r w:rsidR="00B5396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0A1DB5" w:rsidRPr="00BA6F83">
        <w:rPr>
          <w:rFonts w:asciiTheme="minorHAnsi" w:hAnsiTheme="minorHAnsi"/>
          <w:color w:val="000000" w:themeColor="text1"/>
          <w:lang w:val="en-US"/>
        </w:rPr>
        <w:t xml:space="preserve"> </w:t>
      </w:r>
      <w:bookmarkEnd w:id="1"/>
      <w:r w:rsidR="0068685C" w:rsidRPr="00BA6F83">
        <w:rPr>
          <w:rFonts w:asciiTheme="minorHAnsi" w:hAnsiTheme="minorHAnsi"/>
          <w:color w:val="000000" w:themeColor="text1"/>
          <w:lang w:val="en-US"/>
        </w:rPr>
        <w:t>3</w:t>
      </w:r>
      <w:r w:rsidR="004377A6" w:rsidRPr="00BA6F83">
        <w:rPr>
          <w:rFonts w:asciiTheme="minorHAnsi" w:hAnsiTheme="minorHAnsi"/>
          <w:color w:val="000000" w:themeColor="text1"/>
          <w:lang w:val="en-US"/>
        </w:rPr>
        <w:t>C</w:t>
      </w:r>
      <w:r w:rsidR="000A1DB5" w:rsidRPr="00BA6F83">
        <w:rPr>
          <w:rFonts w:asciiTheme="minorHAnsi" w:hAnsiTheme="minorHAnsi"/>
          <w:color w:val="000000" w:themeColor="text1"/>
          <w:lang w:val="en-US"/>
        </w:rPr>
        <w:t>-</w:t>
      </w:r>
      <w:r w:rsidR="004377A6" w:rsidRPr="00BA6F83">
        <w:rPr>
          <w:rFonts w:asciiTheme="minorHAnsi" w:hAnsiTheme="minorHAnsi"/>
          <w:color w:val="000000" w:themeColor="text1"/>
          <w:lang w:val="en-US"/>
        </w:rPr>
        <w:t>K</w:t>
      </w:r>
      <w:r w:rsidRPr="00BA6F83">
        <w:rPr>
          <w:rFonts w:asciiTheme="minorHAnsi" w:hAnsiTheme="minorHAnsi"/>
          <w:color w:val="000000" w:themeColor="text1"/>
          <w:lang w:val="en-US"/>
        </w:rPr>
        <w:t>)</w:t>
      </w:r>
      <w:r w:rsidR="0068685C"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were fou</w:t>
      </w:r>
      <w:r w:rsidRPr="00E162F2">
        <w:rPr>
          <w:rFonts w:asciiTheme="minorHAnsi" w:hAnsiTheme="minorHAnsi"/>
          <w:color w:val="000000" w:themeColor="text1"/>
          <w:lang w:val="en-US"/>
        </w:rPr>
        <w:t xml:space="preserve">nd </w:t>
      </w:r>
      <w:r w:rsidR="00F000AA" w:rsidRPr="00E162F2">
        <w:rPr>
          <w:rFonts w:asciiTheme="minorHAnsi" w:hAnsiTheme="minorHAnsi"/>
          <w:color w:val="000000" w:themeColor="text1"/>
          <w:lang w:val="en-US"/>
        </w:rPr>
        <w:t xml:space="preserve">7 weeks after infection </w:t>
      </w:r>
      <w:r w:rsidRPr="00E162F2">
        <w:rPr>
          <w:rFonts w:asciiTheme="minorHAnsi" w:hAnsiTheme="minorHAnsi"/>
          <w:color w:val="000000" w:themeColor="text1"/>
          <w:lang w:val="en-US"/>
        </w:rPr>
        <w:t>between</w:t>
      </w:r>
      <w:r w:rsidRPr="00BA6F83">
        <w:rPr>
          <w:rFonts w:asciiTheme="minorHAnsi" w:hAnsiTheme="minorHAnsi"/>
          <w:color w:val="000000" w:themeColor="text1"/>
          <w:lang w:val="en-US"/>
        </w:rPr>
        <w:t xml:space="preserve"> </w:t>
      </w:r>
      <w:r w:rsidR="004E391E" w:rsidRPr="00BA6F83">
        <w:rPr>
          <w:rFonts w:asciiTheme="minorHAnsi" w:hAnsiTheme="minorHAnsi"/>
          <w:color w:val="000000" w:themeColor="text1"/>
          <w:lang w:val="en-US"/>
        </w:rPr>
        <w:t xml:space="preserve">OVA/infected + OVA </w:t>
      </w:r>
      <w:r w:rsidRPr="00BA6F83">
        <w:rPr>
          <w:rFonts w:asciiTheme="minorHAnsi" w:hAnsiTheme="minorHAnsi"/>
          <w:color w:val="000000" w:themeColor="text1"/>
          <w:lang w:val="en-US"/>
        </w:rPr>
        <w:t>mice</w:t>
      </w:r>
      <w:r w:rsidR="00D415C5" w:rsidRPr="00BA6F83">
        <w:rPr>
          <w:rFonts w:asciiTheme="minorHAnsi" w:hAnsiTheme="minorHAnsi"/>
          <w:color w:val="000000" w:themeColor="text1"/>
          <w:lang w:val="en-US"/>
        </w:rPr>
        <w:t xml:space="preserve"> and </w:t>
      </w:r>
      <w:r w:rsidR="004E391E" w:rsidRPr="00BA6F83">
        <w:rPr>
          <w:rFonts w:asciiTheme="minorHAnsi" w:hAnsiTheme="minorHAnsi"/>
          <w:color w:val="000000" w:themeColor="text1"/>
          <w:lang w:val="en-US"/>
        </w:rPr>
        <w:t>OVA/</w:t>
      </w:r>
      <w:r w:rsidR="004377A6" w:rsidRPr="00BA6F83">
        <w:rPr>
          <w:rFonts w:asciiTheme="minorHAnsi" w:hAnsiTheme="minorHAnsi"/>
          <w:color w:val="000000" w:themeColor="text1"/>
          <w:lang w:val="en-US"/>
        </w:rPr>
        <w:t xml:space="preserve">sham </w:t>
      </w:r>
      <w:r w:rsidR="004E391E" w:rsidRPr="00BA6F83">
        <w:rPr>
          <w:rFonts w:asciiTheme="minorHAnsi" w:hAnsiTheme="minorHAnsi"/>
          <w:color w:val="000000" w:themeColor="text1"/>
          <w:lang w:val="en-US"/>
        </w:rPr>
        <w:t>+ OVA, saline/infected + OVA</w:t>
      </w:r>
      <w:r w:rsidR="00B53965" w:rsidRPr="00BA6F83">
        <w:rPr>
          <w:rFonts w:asciiTheme="minorHAnsi" w:hAnsiTheme="minorHAnsi"/>
          <w:color w:val="000000" w:themeColor="text1"/>
          <w:lang w:val="en-US"/>
        </w:rPr>
        <w:t>, OVA/infected + saline</w:t>
      </w:r>
      <w:r w:rsidR="004E391E" w:rsidRPr="00BA6F83">
        <w:rPr>
          <w:rFonts w:asciiTheme="minorHAnsi" w:hAnsiTheme="minorHAnsi"/>
          <w:color w:val="000000" w:themeColor="text1"/>
          <w:lang w:val="en-US"/>
        </w:rPr>
        <w:t xml:space="preserve"> </w:t>
      </w:r>
      <w:r w:rsidR="00D415C5" w:rsidRPr="00BA6F83">
        <w:rPr>
          <w:rFonts w:asciiTheme="minorHAnsi" w:hAnsiTheme="minorHAnsi"/>
          <w:color w:val="000000" w:themeColor="text1"/>
          <w:lang w:val="en-US"/>
        </w:rPr>
        <w:t>mice</w:t>
      </w:r>
      <w:r w:rsidRPr="00BA6F83">
        <w:rPr>
          <w:rFonts w:asciiTheme="minorHAnsi" w:hAnsiTheme="minorHAnsi"/>
          <w:color w:val="000000" w:themeColor="text1"/>
          <w:lang w:val="en-US"/>
        </w:rPr>
        <w:t xml:space="preserve">. </w:t>
      </w:r>
      <w:r w:rsidR="0000513A" w:rsidRPr="00BA6F83">
        <w:rPr>
          <w:rFonts w:asciiTheme="minorHAnsi" w:hAnsiTheme="minorHAnsi"/>
          <w:color w:val="000000" w:themeColor="text1"/>
          <w:lang w:val="en-US"/>
        </w:rPr>
        <w:t xml:space="preserve">Flow cytometry (FACS) analysis of immune cells isolated from the colonic lamina propria </w:t>
      </w:r>
      <w:r w:rsidR="00067E17">
        <w:rPr>
          <w:rFonts w:asciiTheme="minorHAnsi" w:hAnsiTheme="minorHAnsi"/>
          <w:color w:val="000000" w:themeColor="text1"/>
          <w:lang w:val="en-US"/>
        </w:rPr>
        <w:t xml:space="preserve">and small intestine </w:t>
      </w:r>
      <w:r w:rsidR="0000513A" w:rsidRPr="00BA6F83">
        <w:rPr>
          <w:rFonts w:asciiTheme="minorHAnsi" w:hAnsiTheme="minorHAnsi"/>
          <w:color w:val="000000" w:themeColor="text1"/>
          <w:lang w:val="en-US"/>
        </w:rPr>
        <w:t>confirmed the absence of overt inflammation, as the number of CD11b</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Ly6G</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SiglecF</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neutrophils, </w:t>
      </w:r>
      <w:r w:rsidR="006811BF" w:rsidRPr="00BA6F83">
        <w:rPr>
          <w:rFonts w:asciiTheme="minorHAnsi" w:hAnsiTheme="minorHAnsi"/>
          <w:color w:val="000000" w:themeColor="text1"/>
          <w:lang w:val="en-US"/>
        </w:rPr>
        <w:t>CD11b</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SiglecF</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eosinophils, CD117</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w:t>
      </w:r>
      <w:proofErr w:type="spellStart"/>
      <w:r w:rsidR="0000513A" w:rsidRPr="00BA6F83">
        <w:rPr>
          <w:rFonts w:asciiTheme="minorHAnsi" w:hAnsiTheme="minorHAnsi"/>
          <w:color w:val="000000" w:themeColor="text1"/>
          <w:lang w:val="en-US"/>
        </w:rPr>
        <w:t>Fcε</w:t>
      </w:r>
      <w:r w:rsidR="0093172A" w:rsidRPr="00BA6F83">
        <w:rPr>
          <w:rFonts w:asciiTheme="minorHAnsi" w:hAnsiTheme="minorHAnsi"/>
          <w:color w:val="000000" w:themeColor="text1"/>
          <w:lang w:val="en-US"/>
        </w:rPr>
        <w:t>R</w:t>
      </w:r>
      <w:r w:rsidR="0000513A" w:rsidRPr="00BA6F83">
        <w:rPr>
          <w:rFonts w:asciiTheme="minorHAnsi" w:hAnsiTheme="minorHAnsi"/>
          <w:color w:val="000000" w:themeColor="text1"/>
          <w:lang w:val="en-US"/>
        </w:rPr>
        <w:t>I</w:t>
      </w:r>
      <w:proofErr w:type="spellEnd"/>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mast cells, CD3</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T cells, CD3</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CD4</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T cells</w:t>
      </w:r>
      <w:r w:rsidR="00067E17">
        <w:rPr>
          <w:rFonts w:asciiTheme="minorHAnsi" w:hAnsiTheme="minorHAnsi"/>
          <w:color w:val="000000" w:themeColor="text1"/>
          <w:lang w:val="en-US"/>
        </w:rPr>
        <w:t>,</w:t>
      </w:r>
      <w:r w:rsidR="0000513A" w:rsidRPr="00BA6F83">
        <w:rPr>
          <w:rFonts w:asciiTheme="minorHAnsi" w:hAnsiTheme="minorHAnsi"/>
          <w:color w:val="000000" w:themeColor="text1"/>
          <w:lang w:val="en-US"/>
        </w:rPr>
        <w:t xml:space="preserve"> CD3</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CD4</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F</w:t>
      </w:r>
      <w:r w:rsidR="0041689F" w:rsidRPr="00BA6F83">
        <w:rPr>
          <w:rFonts w:asciiTheme="minorHAnsi" w:hAnsiTheme="minorHAnsi"/>
          <w:color w:val="000000" w:themeColor="text1"/>
          <w:lang w:val="en-US"/>
        </w:rPr>
        <w:t>OXP</w:t>
      </w:r>
      <w:r w:rsidR="0000513A" w:rsidRPr="00BA6F83">
        <w:rPr>
          <w:rFonts w:asciiTheme="minorHAnsi" w:hAnsiTheme="minorHAnsi"/>
          <w:color w:val="000000" w:themeColor="text1"/>
          <w:lang w:val="en-US"/>
        </w:rPr>
        <w:t>3</w:t>
      </w:r>
      <w:r w:rsidR="0000513A" w:rsidRPr="00BA6F83">
        <w:rPr>
          <w:rFonts w:asciiTheme="minorHAnsi" w:hAnsiTheme="minorHAnsi"/>
          <w:color w:val="000000" w:themeColor="text1"/>
          <w:vertAlign w:val="superscript"/>
          <w:lang w:val="en-US"/>
        </w:rPr>
        <w:t>+</w:t>
      </w:r>
      <w:r w:rsidR="0000513A" w:rsidRPr="00BA6F83">
        <w:rPr>
          <w:rFonts w:asciiTheme="minorHAnsi" w:hAnsiTheme="minorHAnsi"/>
          <w:color w:val="000000" w:themeColor="text1"/>
          <w:lang w:val="en-US"/>
        </w:rPr>
        <w:t xml:space="preserve"> T cells</w:t>
      </w:r>
      <w:r w:rsidR="00E162F2">
        <w:rPr>
          <w:rFonts w:asciiTheme="minorHAnsi" w:hAnsiTheme="minorHAnsi"/>
          <w:color w:val="000000" w:themeColor="text1"/>
          <w:lang w:val="en-US"/>
        </w:rPr>
        <w:t xml:space="preserve"> and </w:t>
      </w:r>
      <w:r w:rsidR="00E162F2" w:rsidRPr="00E162F2">
        <w:rPr>
          <w:rFonts w:asciiTheme="minorHAnsi" w:hAnsiTheme="minorHAnsi"/>
          <w:color w:val="000000" w:themeColor="text1"/>
          <w:lang w:val="en-US"/>
        </w:rPr>
        <w:t>Helios</w:t>
      </w:r>
      <w:r w:rsidR="00E162F2" w:rsidRPr="008151E0">
        <w:rPr>
          <w:rFonts w:asciiTheme="minorHAnsi" w:hAnsiTheme="minorHAnsi"/>
          <w:color w:val="000000" w:themeColor="text1"/>
          <w:vertAlign w:val="superscript"/>
          <w:lang w:val="en-US"/>
        </w:rPr>
        <w:t>-</w:t>
      </w:r>
      <w:r w:rsidR="009535CC" w:rsidRPr="00E162F2">
        <w:rPr>
          <w:rFonts w:asciiTheme="minorHAnsi" w:hAnsiTheme="minorHAnsi"/>
          <w:color w:val="000000" w:themeColor="text1"/>
          <w:lang w:val="en-US"/>
        </w:rPr>
        <w:t>Nrp1</w:t>
      </w:r>
      <w:r w:rsidR="009535CC" w:rsidRPr="007B6F79">
        <w:rPr>
          <w:rFonts w:asciiTheme="minorHAnsi" w:hAnsiTheme="minorHAnsi"/>
          <w:color w:val="000000" w:themeColor="text1"/>
          <w:vertAlign w:val="superscript"/>
          <w:lang w:val="en-US"/>
        </w:rPr>
        <w:t>lo</w:t>
      </w:r>
      <w:r w:rsidR="00E162F2">
        <w:rPr>
          <w:rFonts w:asciiTheme="minorHAnsi" w:hAnsiTheme="minorHAnsi"/>
          <w:color w:val="000000" w:themeColor="text1"/>
          <w:lang w:val="en-US"/>
        </w:rPr>
        <w:t>FOXP3</w:t>
      </w:r>
      <w:r w:rsidR="00E162F2" w:rsidRPr="008151E0">
        <w:rPr>
          <w:rFonts w:asciiTheme="minorHAnsi" w:hAnsiTheme="minorHAnsi"/>
          <w:color w:val="000000" w:themeColor="text1"/>
          <w:vertAlign w:val="superscript"/>
          <w:lang w:val="en-US"/>
        </w:rPr>
        <w:t>+</w:t>
      </w:r>
      <w:r w:rsidR="00E162F2">
        <w:rPr>
          <w:rFonts w:asciiTheme="minorHAnsi" w:hAnsiTheme="minorHAnsi"/>
          <w:color w:val="000000" w:themeColor="text1"/>
          <w:lang w:val="en-US"/>
        </w:rPr>
        <w:t xml:space="preserve"> </w:t>
      </w:r>
      <w:proofErr w:type="spellStart"/>
      <w:r w:rsidR="00E162F2">
        <w:rPr>
          <w:rFonts w:asciiTheme="minorHAnsi" w:hAnsiTheme="minorHAnsi"/>
          <w:color w:val="000000" w:themeColor="text1"/>
          <w:lang w:val="en-US"/>
        </w:rPr>
        <w:t>pTregs</w:t>
      </w:r>
      <w:proofErr w:type="spellEnd"/>
      <w:r w:rsidR="004377A6" w:rsidRPr="00BA6F83">
        <w:rPr>
          <w:rFonts w:asciiTheme="minorHAnsi" w:hAnsiTheme="minorHAnsi"/>
          <w:color w:val="000000" w:themeColor="text1"/>
          <w:lang w:val="en-US"/>
        </w:rPr>
        <w:t xml:space="preserve"> </w:t>
      </w:r>
      <w:r w:rsidR="0000513A" w:rsidRPr="00BA6F83">
        <w:rPr>
          <w:rFonts w:asciiTheme="minorHAnsi" w:hAnsiTheme="minorHAnsi"/>
          <w:color w:val="000000" w:themeColor="text1"/>
          <w:lang w:val="en-US"/>
        </w:rPr>
        <w:t>did not differ between</w:t>
      </w:r>
      <w:r w:rsidR="000F7EF0" w:rsidRPr="00BA6F83">
        <w:rPr>
          <w:rFonts w:asciiTheme="minorHAnsi" w:hAnsiTheme="minorHAnsi"/>
          <w:color w:val="000000" w:themeColor="text1"/>
          <w:lang w:val="en-US"/>
        </w:rPr>
        <w:t xml:space="preserve"> </w:t>
      </w:r>
      <w:r w:rsidR="0000513A" w:rsidRPr="00BA6F83">
        <w:rPr>
          <w:rFonts w:asciiTheme="minorHAnsi" w:hAnsiTheme="minorHAnsi"/>
          <w:color w:val="000000" w:themeColor="text1"/>
          <w:lang w:val="en-US"/>
        </w:rPr>
        <w:t>OVA/</w:t>
      </w:r>
      <w:r w:rsidR="004377A6" w:rsidRPr="00BA6F83">
        <w:rPr>
          <w:rFonts w:asciiTheme="minorHAnsi" w:hAnsiTheme="minorHAnsi"/>
          <w:color w:val="000000" w:themeColor="text1"/>
          <w:lang w:val="en-US"/>
        </w:rPr>
        <w:t>sham</w:t>
      </w:r>
      <w:r w:rsidR="0000513A" w:rsidRPr="00BA6F83">
        <w:rPr>
          <w:rFonts w:asciiTheme="minorHAnsi" w:hAnsiTheme="minorHAnsi"/>
          <w:color w:val="000000" w:themeColor="text1"/>
          <w:lang w:val="en-US"/>
        </w:rPr>
        <w:t xml:space="preserve"> + OVA, OVA/infected + saline, saline/infected + OVA and OVA/infected + OVA mice (</w:t>
      </w:r>
      <w:r w:rsidR="00983FF8" w:rsidRPr="00BA6F83">
        <w:rPr>
          <w:rFonts w:asciiTheme="minorHAnsi" w:hAnsiTheme="minorHAnsi"/>
          <w:color w:val="000000" w:themeColor="text1"/>
          <w:lang w:val="en-US"/>
        </w:rPr>
        <w:t>Extended Data</w:t>
      </w:r>
      <w:r w:rsidR="009853D3"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00513A" w:rsidRPr="00BA6F83">
        <w:rPr>
          <w:rFonts w:asciiTheme="minorHAnsi" w:hAnsiTheme="minorHAnsi"/>
          <w:color w:val="000000" w:themeColor="text1"/>
          <w:lang w:val="en-US"/>
        </w:rPr>
        <w:t xml:space="preserve"> </w:t>
      </w:r>
      <w:r w:rsidR="009853D3" w:rsidRPr="00BA6F83">
        <w:rPr>
          <w:rFonts w:asciiTheme="minorHAnsi" w:hAnsiTheme="minorHAnsi"/>
          <w:color w:val="000000" w:themeColor="text1"/>
          <w:lang w:val="en-US"/>
        </w:rPr>
        <w:t xml:space="preserve">3L, </w:t>
      </w:r>
      <w:r w:rsidR="00E162F2">
        <w:rPr>
          <w:rFonts w:asciiTheme="minorHAnsi" w:hAnsiTheme="minorHAnsi"/>
          <w:color w:val="000000" w:themeColor="text1"/>
          <w:lang w:val="en-US"/>
        </w:rPr>
        <w:t>P</w:t>
      </w:r>
      <w:r w:rsidR="009853D3" w:rsidRPr="00BA6F83">
        <w:rPr>
          <w:rFonts w:asciiTheme="minorHAnsi" w:hAnsiTheme="minorHAnsi"/>
          <w:color w:val="000000" w:themeColor="text1"/>
          <w:lang w:val="en-US"/>
        </w:rPr>
        <w:t>)</w:t>
      </w:r>
      <w:r w:rsidR="0000513A" w:rsidRPr="00BA6F83">
        <w:rPr>
          <w:rFonts w:asciiTheme="minorHAnsi" w:hAnsiTheme="minorHAnsi"/>
          <w:color w:val="000000" w:themeColor="text1"/>
          <w:lang w:val="en-US"/>
        </w:rPr>
        <w:t xml:space="preserve">. </w:t>
      </w:r>
      <w:r w:rsidR="00B9739F" w:rsidRPr="00BA6F83">
        <w:rPr>
          <w:rFonts w:asciiTheme="minorHAnsi" w:hAnsiTheme="minorHAnsi"/>
          <w:color w:val="000000" w:themeColor="text1"/>
          <w:lang w:val="en-US"/>
        </w:rPr>
        <w:t>Moreover</w:t>
      </w:r>
      <w:r w:rsidR="00C42CAB" w:rsidRPr="00BA6F83">
        <w:rPr>
          <w:rFonts w:asciiTheme="minorHAnsi" w:hAnsiTheme="minorHAnsi"/>
          <w:color w:val="000000" w:themeColor="text1"/>
          <w:lang w:val="en-US"/>
        </w:rPr>
        <w:t>, no differences were found in gene expression of inflammatory cytokines (</w:t>
      </w:r>
      <w:r w:rsidR="00983FF8" w:rsidRPr="00BA6F83">
        <w:rPr>
          <w:rFonts w:asciiTheme="minorHAnsi" w:hAnsiTheme="minorHAnsi"/>
          <w:color w:val="000000" w:themeColor="text1"/>
          <w:lang w:val="en-US"/>
        </w:rPr>
        <w:t>Fig.</w:t>
      </w:r>
      <w:r w:rsidR="00C42CAB" w:rsidRPr="00BA6F83">
        <w:rPr>
          <w:rFonts w:asciiTheme="minorHAnsi" w:hAnsiTheme="minorHAnsi"/>
          <w:color w:val="000000" w:themeColor="text1"/>
          <w:lang w:val="en-US"/>
        </w:rPr>
        <w:t xml:space="preserve"> 2</w:t>
      </w:r>
      <w:r w:rsidR="009853D3" w:rsidRPr="00BA6F83">
        <w:rPr>
          <w:rFonts w:asciiTheme="minorHAnsi" w:hAnsiTheme="minorHAnsi"/>
          <w:color w:val="000000" w:themeColor="text1"/>
          <w:lang w:val="en-US"/>
        </w:rPr>
        <w:t>A</w:t>
      </w:r>
      <w:r w:rsidR="00C42CAB"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Of interest,</w:t>
      </w:r>
      <w:r w:rsidR="00D415C5" w:rsidRPr="00BA6F83">
        <w:rPr>
          <w:rFonts w:asciiTheme="minorHAnsi" w:hAnsiTheme="minorHAnsi"/>
          <w:color w:val="000000" w:themeColor="text1"/>
          <w:lang w:val="en-US"/>
        </w:rPr>
        <w:t xml:space="preserve"> </w:t>
      </w:r>
      <w:r w:rsidR="0000513A" w:rsidRPr="00BA6F83">
        <w:rPr>
          <w:rFonts w:asciiTheme="minorHAnsi" w:hAnsiTheme="minorHAnsi"/>
          <w:color w:val="000000" w:themeColor="text1"/>
          <w:lang w:val="en-US"/>
        </w:rPr>
        <w:t xml:space="preserve">however, </w:t>
      </w:r>
      <w:r w:rsidR="005F1F2C" w:rsidRPr="00BA6F83">
        <w:rPr>
          <w:rFonts w:asciiTheme="minorHAnsi" w:hAnsiTheme="minorHAnsi"/>
          <w:color w:val="000000" w:themeColor="text1"/>
          <w:lang w:val="en-US"/>
        </w:rPr>
        <w:t xml:space="preserve">gene expression of </w:t>
      </w:r>
      <w:r w:rsidR="009055B9" w:rsidRPr="00BA6F83">
        <w:rPr>
          <w:rFonts w:asciiTheme="minorHAnsi" w:hAnsiTheme="minorHAnsi"/>
          <w:color w:val="000000" w:themeColor="text1"/>
          <w:lang w:val="en-US"/>
        </w:rPr>
        <w:t xml:space="preserve">the </w:t>
      </w:r>
      <w:r w:rsidR="00AD5BCB" w:rsidRPr="00BA6F83">
        <w:rPr>
          <w:rFonts w:asciiTheme="minorHAnsi" w:hAnsiTheme="minorHAnsi"/>
          <w:color w:val="000000" w:themeColor="text1"/>
          <w:lang w:val="en-US"/>
        </w:rPr>
        <w:t>MC</w:t>
      </w:r>
      <w:r w:rsidR="005F1F2C" w:rsidRPr="00BA6F83">
        <w:rPr>
          <w:rFonts w:asciiTheme="minorHAnsi" w:hAnsiTheme="minorHAnsi"/>
          <w:color w:val="000000" w:themeColor="text1"/>
          <w:lang w:val="en-US"/>
        </w:rPr>
        <w:t xml:space="preserve">-restricted </w:t>
      </w:r>
      <w:r w:rsidR="0088471E" w:rsidRPr="00BA6F83">
        <w:rPr>
          <w:rFonts w:asciiTheme="minorHAnsi" w:hAnsiTheme="minorHAnsi"/>
          <w:color w:val="000000" w:themeColor="text1"/>
          <w:lang w:val="en-US"/>
        </w:rPr>
        <w:t>t</w:t>
      </w:r>
      <w:r w:rsidR="002D72D6" w:rsidRPr="00BA6F83">
        <w:rPr>
          <w:rFonts w:asciiTheme="minorHAnsi" w:hAnsiTheme="minorHAnsi"/>
          <w:color w:val="000000" w:themeColor="text1"/>
          <w:lang w:val="en-US"/>
        </w:rPr>
        <w:t xml:space="preserve">ryptase </w:t>
      </w:r>
      <w:r w:rsidRPr="00BA6F83">
        <w:rPr>
          <w:rFonts w:asciiTheme="minorHAnsi" w:hAnsiTheme="minorHAnsi"/>
          <w:color w:val="000000" w:themeColor="text1"/>
          <w:lang w:val="en-US"/>
        </w:rPr>
        <w:t xml:space="preserve">α/β-1 </w:t>
      </w:r>
      <w:r w:rsidR="009055B9" w:rsidRPr="00BA6F83">
        <w:rPr>
          <w:rFonts w:asciiTheme="minorHAnsi" w:hAnsiTheme="minorHAnsi"/>
          <w:color w:val="000000" w:themeColor="text1"/>
          <w:lang w:val="en-US"/>
        </w:rPr>
        <w:t xml:space="preserve">gene </w:t>
      </w:r>
      <w:r w:rsidR="0088471E" w:rsidRPr="00BA6F83">
        <w:rPr>
          <w:rFonts w:asciiTheme="minorHAnsi" w:hAnsiTheme="minorHAnsi"/>
          <w:color w:val="000000" w:themeColor="text1"/>
          <w:lang w:val="en-US"/>
        </w:rPr>
        <w:t>(</w:t>
      </w:r>
      <w:r w:rsidR="0088471E" w:rsidRPr="00BA6F83">
        <w:rPr>
          <w:rFonts w:asciiTheme="minorHAnsi" w:hAnsiTheme="minorHAnsi"/>
          <w:i/>
          <w:color w:val="000000" w:themeColor="text1"/>
          <w:lang w:val="en-US"/>
        </w:rPr>
        <w:t>Tpsab1</w:t>
      </w:r>
      <w:r w:rsidR="0088471E"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was highly upregulated in the colon of </w:t>
      </w:r>
      <w:r w:rsidR="00D415C5" w:rsidRPr="00BA6F83">
        <w:rPr>
          <w:rFonts w:asciiTheme="minorHAnsi" w:hAnsiTheme="minorHAnsi"/>
          <w:color w:val="000000" w:themeColor="text1"/>
          <w:lang w:val="en-US"/>
        </w:rPr>
        <w:t>OVA</w:t>
      </w:r>
      <w:r w:rsidR="00037A8C" w:rsidRPr="00BA6F83">
        <w:rPr>
          <w:rFonts w:asciiTheme="minorHAnsi" w:hAnsiTheme="minorHAnsi"/>
          <w:color w:val="000000" w:themeColor="text1"/>
          <w:lang w:val="en-US"/>
        </w:rPr>
        <w:t>/</w:t>
      </w:r>
      <w:r w:rsidR="00D415C5" w:rsidRPr="00BA6F83">
        <w:rPr>
          <w:rFonts w:asciiTheme="minorHAnsi" w:hAnsiTheme="minorHAnsi"/>
          <w:color w:val="000000" w:themeColor="text1"/>
          <w:lang w:val="en-US"/>
        </w:rPr>
        <w:t xml:space="preserve">infected </w:t>
      </w:r>
      <w:r w:rsidRPr="00BA6F83">
        <w:rPr>
          <w:rFonts w:asciiTheme="minorHAnsi" w:hAnsiTheme="minorHAnsi"/>
          <w:color w:val="000000" w:themeColor="text1"/>
          <w:lang w:val="en-US"/>
        </w:rPr>
        <w:t xml:space="preserve">mice </w:t>
      </w:r>
      <w:r w:rsidR="00D415C5" w:rsidRPr="00BA6F83">
        <w:rPr>
          <w:rFonts w:asciiTheme="minorHAnsi" w:hAnsiTheme="minorHAnsi"/>
          <w:color w:val="000000" w:themeColor="text1"/>
          <w:lang w:val="en-US"/>
        </w:rPr>
        <w:t xml:space="preserve">irrespective of </w:t>
      </w:r>
      <w:r w:rsidR="00352176">
        <w:rPr>
          <w:rFonts w:asciiTheme="minorHAnsi" w:hAnsiTheme="minorHAnsi"/>
          <w:color w:val="000000" w:themeColor="text1"/>
          <w:lang w:val="en-US"/>
        </w:rPr>
        <w:t xml:space="preserve">OVA </w:t>
      </w:r>
      <w:r w:rsidR="00D415C5" w:rsidRPr="00BA6F83">
        <w:rPr>
          <w:rFonts w:asciiTheme="minorHAnsi" w:hAnsiTheme="minorHAnsi"/>
          <w:color w:val="000000" w:themeColor="text1"/>
          <w:lang w:val="en-US"/>
        </w:rPr>
        <w:t>re-</w:t>
      </w:r>
      <w:r w:rsidRPr="00BA6F83">
        <w:rPr>
          <w:rFonts w:asciiTheme="minorHAnsi" w:hAnsiTheme="minorHAnsi"/>
          <w:color w:val="000000" w:themeColor="text1"/>
          <w:lang w:val="en-US"/>
        </w:rPr>
        <w:t>expos</w:t>
      </w:r>
      <w:r w:rsidR="00D415C5" w:rsidRPr="00BA6F83">
        <w:rPr>
          <w:rFonts w:asciiTheme="minorHAnsi" w:hAnsiTheme="minorHAnsi"/>
          <w:color w:val="000000" w:themeColor="text1"/>
          <w:lang w:val="en-US"/>
        </w:rPr>
        <w:t>ure</w:t>
      </w:r>
      <w:r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2</w:t>
      </w:r>
      <w:r w:rsidR="00352176">
        <w:rPr>
          <w:rFonts w:asciiTheme="minorHAnsi" w:hAnsiTheme="minorHAnsi"/>
          <w:color w:val="000000" w:themeColor="text1"/>
          <w:lang w:val="en-US"/>
        </w:rPr>
        <w:t>A</w:t>
      </w:r>
      <w:r w:rsidRPr="00BA6F83">
        <w:rPr>
          <w:rFonts w:asciiTheme="minorHAnsi" w:hAnsiTheme="minorHAnsi"/>
          <w:color w:val="000000" w:themeColor="text1"/>
          <w:lang w:val="en-US"/>
        </w:rPr>
        <w:t>)</w:t>
      </w:r>
      <w:r w:rsidR="004C7D3E"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suggesting </w:t>
      </w:r>
      <w:r w:rsidR="00096909" w:rsidRPr="00BA6F83">
        <w:rPr>
          <w:rFonts w:asciiTheme="minorHAnsi" w:hAnsiTheme="minorHAnsi"/>
          <w:color w:val="000000" w:themeColor="text1"/>
          <w:lang w:val="en-US"/>
        </w:rPr>
        <w:t xml:space="preserve">that </w:t>
      </w:r>
      <w:r w:rsidR="00AF6054" w:rsidRPr="00BA6F83">
        <w:rPr>
          <w:rFonts w:asciiTheme="minorHAnsi" w:hAnsiTheme="minorHAnsi"/>
          <w:color w:val="000000" w:themeColor="text1"/>
          <w:lang w:val="en-US"/>
        </w:rPr>
        <w:t>MC</w:t>
      </w:r>
      <w:r w:rsidR="00D415C5" w:rsidRPr="00BA6F83">
        <w:rPr>
          <w:rFonts w:asciiTheme="minorHAnsi" w:hAnsiTheme="minorHAnsi"/>
          <w:color w:val="000000" w:themeColor="text1"/>
          <w:lang w:val="en-US"/>
        </w:rPr>
        <w:t xml:space="preserve"> </w:t>
      </w:r>
      <w:r w:rsidR="00943C5A" w:rsidRPr="00BA6F83">
        <w:rPr>
          <w:rFonts w:asciiTheme="minorHAnsi" w:hAnsiTheme="minorHAnsi"/>
          <w:color w:val="000000" w:themeColor="text1"/>
          <w:lang w:val="en-US"/>
        </w:rPr>
        <w:t>are sensitized or activated as a result of the</w:t>
      </w:r>
      <w:r w:rsidR="003061FD" w:rsidRPr="00BA6F83">
        <w:rPr>
          <w:rFonts w:asciiTheme="minorHAnsi" w:hAnsiTheme="minorHAnsi"/>
          <w:color w:val="000000" w:themeColor="text1"/>
          <w:lang w:val="en-US"/>
        </w:rPr>
        <w:t xml:space="preserve"> exposure to the dietary antigen </w:t>
      </w:r>
      <w:r w:rsidR="00485E71" w:rsidRPr="00BA6F83">
        <w:rPr>
          <w:rFonts w:asciiTheme="minorHAnsi" w:hAnsiTheme="minorHAnsi"/>
          <w:color w:val="000000" w:themeColor="text1"/>
          <w:lang w:val="en-US"/>
        </w:rPr>
        <w:t xml:space="preserve">during </w:t>
      </w:r>
      <w:r w:rsidR="00943C5A" w:rsidRPr="00BA6F83">
        <w:rPr>
          <w:rFonts w:asciiTheme="minorHAnsi" w:hAnsiTheme="minorHAnsi"/>
          <w:color w:val="000000" w:themeColor="text1"/>
          <w:lang w:val="en-US"/>
        </w:rPr>
        <w:t>infection.</w:t>
      </w:r>
      <w:r w:rsidR="000B297E" w:rsidRPr="00BA6F83">
        <w:rPr>
          <w:rFonts w:asciiTheme="minorHAnsi" w:hAnsiTheme="minorHAnsi"/>
          <w:color w:val="000000" w:themeColor="text1"/>
          <w:lang w:val="en-US"/>
        </w:rPr>
        <w:t xml:space="preserve"> </w:t>
      </w:r>
      <w:bookmarkStart w:id="2" w:name="OLE_LINK5"/>
      <w:r w:rsidR="003C7211" w:rsidRPr="00BA6F83">
        <w:rPr>
          <w:rFonts w:asciiTheme="minorHAnsi" w:hAnsiTheme="minorHAnsi"/>
          <w:color w:val="000000" w:themeColor="text1"/>
          <w:lang w:val="en-US"/>
        </w:rPr>
        <w:t xml:space="preserve">To further </w:t>
      </w:r>
      <w:r w:rsidR="004B2F16" w:rsidRPr="00BA6F83">
        <w:rPr>
          <w:rFonts w:asciiTheme="minorHAnsi" w:hAnsiTheme="minorHAnsi"/>
          <w:color w:val="000000" w:themeColor="text1"/>
          <w:lang w:val="en-US"/>
        </w:rPr>
        <w:t>evaluate</w:t>
      </w:r>
      <w:r w:rsidR="003C7211" w:rsidRPr="00BA6F83">
        <w:rPr>
          <w:rFonts w:asciiTheme="minorHAnsi" w:hAnsiTheme="minorHAnsi"/>
          <w:color w:val="000000" w:themeColor="text1"/>
          <w:lang w:val="en-US"/>
        </w:rPr>
        <w:t xml:space="preserve"> the role of MC, </w:t>
      </w:r>
      <w:r w:rsidR="00C94A3F" w:rsidRPr="00BA6F83">
        <w:rPr>
          <w:rFonts w:asciiTheme="minorHAnsi" w:hAnsiTheme="minorHAnsi"/>
          <w:color w:val="000000" w:themeColor="text1"/>
          <w:lang w:val="en-US"/>
        </w:rPr>
        <w:t xml:space="preserve">we used fluorochrome-labelled avidin to monitor </w:t>
      </w:r>
      <w:r w:rsidR="00C00B61" w:rsidRPr="00BA6F83">
        <w:rPr>
          <w:rFonts w:asciiTheme="minorHAnsi" w:hAnsiTheme="minorHAnsi"/>
          <w:color w:val="000000" w:themeColor="text1"/>
          <w:lang w:val="en-US"/>
        </w:rPr>
        <w:t>MC</w:t>
      </w:r>
      <w:r w:rsidR="00C94A3F" w:rsidRPr="00BA6F83">
        <w:rPr>
          <w:rFonts w:asciiTheme="minorHAnsi" w:hAnsiTheme="minorHAnsi"/>
          <w:color w:val="000000" w:themeColor="text1"/>
          <w:lang w:val="en-US"/>
        </w:rPr>
        <w:t xml:space="preserve"> degranulation</w:t>
      </w:r>
      <w:r w:rsidR="00A545A3"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{"citationItems":[{"id":"ITEM-1","itemData":{"DOI":"10.1038/ncomms7174","ISSN":"20411723","abstract":"Mast cells are tissue-resident immune cells that play a key role in inflammation and allergy. Here we show that interaction of mast cells with antibody-targeted cells induces the polarized exocytosis of their granules resulting in a sustained exposure of effector enzymes, such as tryptase and chymase, at the cell-cell contact site. This previously unidentified mast cell effector mechanism, which we name the antibody-dependent degranulatory synapse (ADDS), is triggered by both IgE- and IgG-targeted cells. ADDSs take place within an area of cortical actin cytoskeleton clearance in the absence of microtubule organizing centre and Golgi apparatus repositioning towards the stimulating cell. Remarkably, IgG-mediated degranulatory synapses also occur upon contact with opsonized Toxoplasma gondii tachyzoites resulting in tryptase-dependent parasite death. Our results broaden current views of mast cell degranulation by revealing that human mast cells form degranulatory synapses with antibody-targeted cells and pathogens for dedicated secretion and defence.","author":[{"dropping-particle":"","family":"Joulia","given":"Régis","non-dropping-particle":"","parse-names":false,"suffix":""},{"dropping-particle":"","family":"Gaudenzio","given":"Nicolas","non-dropping-particle":"","parse-names":false,"suffix":""},{"dropping-particle":"","family":"Rodrigues","given":"Magda","non-dropping-particle":"","parse-names":false,"suffix":""},{"dropping-particle":"","family":"Lopez","given":"Jodie","non-dropping-particle":"","parse-names":false,"suffix":""},{"dropping-particle":"","family":"Blanchard","given":"Nicolas","non-dropping-particle":"","parse-names":false,"suffix":""},{"dropping-particle":"","family":"Valitutti","given":"Salvatore","non-dropping-particle":"","parse-names":false,"suffix":""},{"dropping-particle":"","family":"Espinosa","given":"Eric","non-dropping-particle":"","parse-names":false,"suffix":""}],"container-title":"Nature Communications","id":"ITEM-1","issue":"6","issued":{"date-parts":[["2015"]]},"page":"6174","title":"Mast cells form antibody-dependent degranulatory synapse for dedicated secretion and defence","type":"article-journal","volume":"25"},"uris":["http://www.mendeley.com/documents/?uuid=43f01317-7dfd-48e2-9ec1-9f50f0c8411a"]}],"mendeley":{"formattedCitation":"&lt;sup&gt;34&lt;/sup&gt;","plainTextFormattedCitation":"34","previouslyFormattedCitation":"&lt;sup&gt;34&lt;/sup&gt;"},"properties":{"noteIndex":0},"schema":"https://github.com/citation-style-language/schema/raw/master/csl-citation.json"}</w:instrText>
      </w:r>
      <w:r w:rsidR="00A545A3"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34</w:t>
      </w:r>
      <w:r w:rsidR="00A545A3" w:rsidRPr="00BA6F83">
        <w:rPr>
          <w:rFonts w:asciiTheme="minorHAnsi" w:hAnsiTheme="minorHAnsi"/>
          <w:color w:val="000000" w:themeColor="text1"/>
          <w:lang w:val="en-US"/>
        </w:rPr>
        <w:fldChar w:fldCharType="end"/>
      </w:r>
      <w:r w:rsidR="00AB7106" w:rsidRPr="00BA6F83">
        <w:rPr>
          <w:rFonts w:asciiTheme="minorHAnsi" w:hAnsiTheme="minorHAnsi"/>
          <w:color w:val="000000" w:themeColor="text1"/>
          <w:lang w:val="en-US"/>
        </w:rPr>
        <w:t xml:space="preserve"> upon antigen stimulation</w:t>
      </w:r>
      <w:r w:rsidR="00352176">
        <w:rPr>
          <w:rFonts w:asciiTheme="minorHAnsi" w:hAnsiTheme="minorHAnsi"/>
          <w:color w:val="000000" w:themeColor="text1"/>
          <w:lang w:val="en-US"/>
        </w:rPr>
        <w:t xml:space="preserve"> in live cells</w:t>
      </w:r>
      <w:r w:rsidR="00C94A3F" w:rsidRPr="00BA6F83">
        <w:rPr>
          <w:rFonts w:asciiTheme="minorHAnsi" w:hAnsiTheme="minorHAnsi"/>
          <w:color w:val="000000" w:themeColor="text1"/>
          <w:lang w:val="en-US"/>
        </w:rPr>
        <w:t xml:space="preserve">. </w:t>
      </w:r>
      <w:r w:rsidR="001B7816">
        <w:rPr>
          <w:rFonts w:asciiTheme="minorHAnsi" w:hAnsiTheme="minorHAnsi"/>
          <w:color w:val="000000" w:themeColor="text1"/>
          <w:lang w:val="en-US"/>
        </w:rPr>
        <w:t>Twenty-eight</w:t>
      </w:r>
      <w:r w:rsidR="00AF1C72" w:rsidRPr="00BA6F83">
        <w:rPr>
          <w:color w:val="000000" w:themeColor="text1"/>
          <w:lang w:val="en-US"/>
        </w:rPr>
        <w:t xml:space="preserve"> min</w:t>
      </w:r>
      <w:r w:rsidR="00BE6577" w:rsidRPr="00BA6F83">
        <w:rPr>
          <w:color w:val="000000" w:themeColor="text1"/>
          <w:lang w:val="en-US"/>
        </w:rPr>
        <w:t>utes</w:t>
      </w:r>
      <w:r w:rsidR="00AF1C72" w:rsidRPr="00BA6F83">
        <w:rPr>
          <w:color w:val="000000" w:themeColor="text1"/>
          <w:lang w:val="en-US"/>
        </w:rPr>
        <w:t xml:space="preserve"> after OVA-peptide incubation, </w:t>
      </w:r>
      <w:r w:rsidR="00C00B61" w:rsidRPr="00BA6F83">
        <w:rPr>
          <w:color w:val="000000" w:themeColor="text1"/>
          <w:lang w:val="en-US"/>
        </w:rPr>
        <w:t>MC</w:t>
      </w:r>
      <w:r w:rsidR="00AF1C72" w:rsidRPr="00BA6F83">
        <w:rPr>
          <w:color w:val="000000" w:themeColor="text1"/>
          <w:lang w:val="en-US"/>
        </w:rPr>
        <w:t xml:space="preserve"> from VHS</w:t>
      </w:r>
      <w:r w:rsidR="00C94A3F" w:rsidRPr="00BA6F83">
        <w:rPr>
          <w:rFonts w:asciiTheme="minorHAnsi" w:hAnsiTheme="minorHAnsi"/>
          <w:color w:val="000000" w:themeColor="text1"/>
          <w:lang w:val="en-US"/>
        </w:rPr>
        <w:t xml:space="preserve"> </w:t>
      </w:r>
      <w:r w:rsidR="00AF1C72" w:rsidRPr="00BA6F83">
        <w:rPr>
          <w:rFonts w:asciiTheme="minorHAnsi" w:hAnsiTheme="minorHAnsi"/>
          <w:color w:val="000000" w:themeColor="text1"/>
          <w:lang w:val="en-US"/>
        </w:rPr>
        <w:t xml:space="preserve">mice </w:t>
      </w:r>
      <w:r w:rsidR="00AF1C72" w:rsidRPr="00BA6F83">
        <w:rPr>
          <w:color w:val="000000" w:themeColor="text1"/>
          <w:lang w:val="en-US"/>
        </w:rPr>
        <w:t xml:space="preserve">(OVA/infected + OVA) showed </w:t>
      </w:r>
      <w:r w:rsidR="001E3660" w:rsidRPr="00BA6F83">
        <w:rPr>
          <w:color w:val="000000" w:themeColor="text1"/>
          <w:lang w:val="en-US"/>
        </w:rPr>
        <w:t>a significant decrease in avidin signal intensity</w:t>
      </w:r>
      <w:r w:rsidR="00AE77B3" w:rsidRPr="00BA6F83">
        <w:rPr>
          <w:color w:val="000000" w:themeColor="text1"/>
          <w:lang w:val="en-US"/>
        </w:rPr>
        <w:t xml:space="preserve"> (</w:t>
      </w:r>
      <w:r w:rsidR="00983FF8" w:rsidRPr="00BA6F83">
        <w:rPr>
          <w:color w:val="000000" w:themeColor="text1"/>
          <w:lang w:val="en-US"/>
        </w:rPr>
        <w:t>Fig.</w:t>
      </w:r>
      <w:r w:rsidR="00AE77B3" w:rsidRPr="00BA6F83">
        <w:rPr>
          <w:color w:val="000000" w:themeColor="text1"/>
          <w:lang w:val="en-US"/>
        </w:rPr>
        <w:t xml:space="preserve"> 2</w:t>
      </w:r>
      <w:r w:rsidR="008940A0" w:rsidRPr="00BA6F83">
        <w:rPr>
          <w:color w:val="000000" w:themeColor="text1"/>
          <w:lang w:val="en-US"/>
        </w:rPr>
        <w:t>B</w:t>
      </w:r>
      <w:r w:rsidR="00AE77B3" w:rsidRPr="00BA6F83">
        <w:rPr>
          <w:color w:val="000000" w:themeColor="text1"/>
          <w:lang w:val="en-US"/>
        </w:rPr>
        <w:t xml:space="preserve"> and </w:t>
      </w:r>
      <w:r w:rsidR="00983FF8" w:rsidRPr="00BA6F83">
        <w:rPr>
          <w:color w:val="000000" w:themeColor="text1"/>
          <w:lang w:val="en-US"/>
        </w:rPr>
        <w:t>Extended Data</w:t>
      </w:r>
      <w:r w:rsidR="00AE77B3" w:rsidRPr="00BA6F83">
        <w:rPr>
          <w:color w:val="000000" w:themeColor="text1"/>
          <w:lang w:val="en-US"/>
        </w:rPr>
        <w:t xml:space="preserve"> Fig </w:t>
      </w:r>
      <w:r w:rsidR="005501ED" w:rsidRPr="00BA6F83">
        <w:rPr>
          <w:color w:val="000000" w:themeColor="text1"/>
          <w:lang w:val="en-US"/>
        </w:rPr>
        <w:t>4</w:t>
      </w:r>
      <w:r w:rsidR="00C41CD7" w:rsidRPr="00BA6F83">
        <w:rPr>
          <w:color w:val="000000" w:themeColor="text1"/>
          <w:lang w:val="en-US"/>
        </w:rPr>
        <w:t>A</w:t>
      </w:r>
      <w:r w:rsidR="004057E2">
        <w:rPr>
          <w:color w:val="000000" w:themeColor="text1"/>
          <w:lang w:val="en-US"/>
        </w:rPr>
        <w:t>-D</w:t>
      </w:r>
      <w:r w:rsidR="00C41CD7" w:rsidRPr="00BA6F83">
        <w:rPr>
          <w:color w:val="000000" w:themeColor="text1"/>
          <w:lang w:val="en-US"/>
        </w:rPr>
        <w:t>)</w:t>
      </w:r>
      <w:r w:rsidR="001E3660" w:rsidRPr="00BA6F83">
        <w:rPr>
          <w:color w:val="000000" w:themeColor="text1"/>
          <w:lang w:val="en-US"/>
        </w:rPr>
        <w:t xml:space="preserve">, indicative of </w:t>
      </w:r>
      <w:r w:rsidR="00AF1C72" w:rsidRPr="00BA6F83">
        <w:rPr>
          <w:color w:val="000000" w:themeColor="text1"/>
          <w:lang w:val="en-US"/>
        </w:rPr>
        <w:t xml:space="preserve">increased </w:t>
      </w:r>
      <w:r w:rsidR="00C654C7" w:rsidRPr="00BA6F83">
        <w:rPr>
          <w:color w:val="000000" w:themeColor="text1"/>
          <w:lang w:val="en-US"/>
        </w:rPr>
        <w:t xml:space="preserve">release of </w:t>
      </w:r>
      <w:r w:rsidR="0069063B" w:rsidRPr="00BA6F83">
        <w:rPr>
          <w:color w:val="000000" w:themeColor="text1"/>
          <w:lang w:val="en-US"/>
        </w:rPr>
        <w:t xml:space="preserve">stored </w:t>
      </w:r>
      <w:r w:rsidR="00C654C7" w:rsidRPr="00BA6F83">
        <w:rPr>
          <w:color w:val="000000" w:themeColor="text1"/>
          <w:lang w:val="en-US"/>
        </w:rPr>
        <w:t>granule</w:t>
      </w:r>
      <w:r w:rsidR="00C00B61" w:rsidRPr="00BA6F83">
        <w:rPr>
          <w:color w:val="000000" w:themeColor="text1"/>
          <w:lang w:val="en-US"/>
        </w:rPr>
        <w:t>s</w:t>
      </w:r>
      <w:r w:rsidR="00B84DD9" w:rsidRPr="00BA6F83">
        <w:rPr>
          <w:color w:val="000000" w:themeColor="text1"/>
          <w:lang w:val="en-US"/>
        </w:rPr>
        <w:t xml:space="preserve">. </w:t>
      </w:r>
      <w:r w:rsidR="000151FA">
        <w:rPr>
          <w:color w:val="000000" w:themeColor="text1"/>
          <w:lang w:val="en-US"/>
        </w:rPr>
        <w:t xml:space="preserve">Notably, </w:t>
      </w:r>
      <w:r w:rsidR="00EE06B1">
        <w:rPr>
          <w:color w:val="000000" w:themeColor="text1"/>
          <w:lang w:val="en-US"/>
        </w:rPr>
        <w:t>66</w:t>
      </w:r>
      <w:r w:rsidR="00C654C7" w:rsidRPr="00BA6F83">
        <w:rPr>
          <w:rFonts w:cs="Calibri"/>
          <w:color w:val="000000" w:themeColor="text1"/>
          <w:lang w:val="en-US"/>
        </w:rPr>
        <w:t>% and 3</w:t>
      </w:r>
      <w:r w:rsidR="00EE06B1">
        <w:rPr>
          <w:rFonts w:cs="Calibri"/>
          <w:color w:val="000000" w:themeColor="text1"/>
          <w:lang w:val="en-US"/>
        </w:rPr>
        <w:t>7</w:t>
      </w:r>
      <w:r w:rsidR="00C654C7" w:rsidRPr="00BA6F83">
        <w:rPr>
          <w:rFonts w:cs="Calibri"/>
          <w:color w:val="000000" w:themeColor="text1"/>
          <w:lang w:val="en-US"/>
        </w:rPr>
        <w:t xml:space="preserve">% of </w:t>
      </w:r>
      <w:r w:rsidR="00C00B61" w:rsidRPr="00BA6F83">
        <w:rPr>
          <w:rFonts w:cs="Calibri"/>
          <w:color w:val="000000" w:themeColor="text1"/>
          <w:lang w:val="en-US"/>
        </w:rPr>
        <w:t>MC</w:t>
      </w:r>
      <w:r w:rsidR="00C654C7" w:rsidRPr="00BA6F83">
        <w:rPr>
          <w:rFonts w:cs="Calibri"/>
          <w:color w:val="000000" w:themeColor="text1"/>
          <w:lang w:val="en-US"/>
        </w:rPr>
        <w:t xml:space="preserve"> from OVA/infected + OVA and OVA/infected + saline mice</w:t>
      </w:r>
      <w:r w:rsidR="00AE77B3" w:rsidRPr="00BA6F83">
        <w:rPr>
          <w:rFonts w:cs="Calibri"/>
          <w:color w:val="000000" w:themeColor="text1"/>
          <w:lang w:val="en-US"/>
        </w:rPr>
        <w:t xml:space="preserve">, respectively, </w:t>
      </w:r>
      <w:r w:rsidR="0046090A" w:rsidRPr="00BA6F83">
        <w:rPr>
          <w:rFonts w:cs="Calibri"/>
          <w:color w:val="000000" w:themeColor="text1"/>
          <w:lang w:val="en-US"/>
        </w:rPr>
        <w:t xml:space="preserve">were degranulated compared to </w:t>
      </w:r>
      <w:r w:rsidR="00EE06B1">
        <w:rPr>
          <w:rFonts w:cs="Calibri"/>
          <w:color w:val="000000" w:themeColor="text1"/>
          <w:lang w:val="en-US"/>
        </w:rPr>
        <w:t>6</w:t>
      </w:r>
      <w:r w:rsidR="0046090A" w:rsidRPr="00BA6F83">
        <w:rPr>
          <w:rFonts w:cs="Calibri"/>
          <w:color w:val="000000" w:themeColor="text1"/>
          <w:lang w:val="en-US"/>
        </w:rPr>
        <w:t>% in OVA/</w:t>
      </w:r>
      <w:r w:rsidR="008940A0" w:rsidRPr="00BA6F83">
        <w:rPr>
          <w:rFonts w:cs="Calibri"/>
          <w:color w:val="000000" w:themeColor="text1"/>
          <w:lang w:val="en-US"/>
        </w:rPr>
        <w:t>sham</w:t>
      </w:r>
      <w:r w:rsidR="0046090A" w:rsidRPr="00BA6F83">
        <w:rPr>
          <w:rFonts w:cs="Calibri"/>
          <w:color w:val="000000" w:themeColor="text1"/>
          <w:lang w:val="en-US"/>
        </w:rPr>
        <w:t xml:space="preserve"> + OVA mice and 1</w:t>
      </w:r>
      <w:r w:rsidR="00EE06B1">
        <w:rPr>
          <w:rFonts w:cs="Calibri"/>
          <w:color w:val="000000" w:themeColor="text1"/>
          <w:lang w:val="en-US"/>
        </w:rPr>
        <w:t>7</w:t>
      </w:r>
      <w:r w:rsidR="0046090A" w:rsidRPr="00BA6F83">
        <w:rPr>
          <w:rFonts w:cs="Calibri"/>
          <w:color w:val="000000" w:themeColor="text1"/>
          <w:lang w:val="en-US"/>
        </w:rPr>
        <w:t>% in saline/infected + OVA mice (</w:t>
      </w:r>
      <w:r w:rsidR="00983FF8" w:rsidRPr="00BA6F83">
        <w:rPr>
          <w:rFonts w:cs="Calibri"/>
          <w:color w:val="000000" w:themeColor="text1"/>
          <w:lang w:val="en-US"/>
        </w:rPr>
        <w:t>Fig.</w:t>
      </w:r>
      <w:r w:rsidR="0046090A" w:rsidRPr="00BA6F83">
        <w:rPr>
          <w:rFonts w:cs="Calibri"/>
          <w:color w:val="000000" w:themeColor="text1"/>
          <w:lang w:val="en-US"/>
        </w:rPr>
        <w:t xml:space="preserve"> 2</w:t>
      </w:r>
      <w:r w:rsidR="008E2E32" w:rsidRPr="00BA6F83">
        <w:rPr>
          <w:rFonts w:cs="Calibri"/>
          <w:color w:val="000000" w:themeColor="text1"/>
          <w:lang w:val="en-US"/>
        </w:rPr>
        <w:t>C</w:t>
      </w:r>
      <w:r w:rsidR="0046090A" w:rsidRPr="00BA6F83">
        <w:rPr>
          <w:rFonts w:cs="Calibri"/>
          <w:color w:val="000000" w:themeColor="text1"/>
          <w:lang w:val="en-US"/>
        </w:rPr>
        <w:t>)</w:t>
      </w:r>
      <w:r w:rsidR="00AE77B3" w:rsidRPr="00BA6F83">
        <w:rPr>
          <w:rFonts w:cs="Calibri"/>
          <w:color w:val="000000" w:themeColor="text1"/>
          <w:lang w:val="en-US"/>
        </w:rPr>
        <w:t>.</w:t>
      </w:r>
      <w:r w:rsidR="007C000F">
        <w:rPr>
          <w:rFonts w:cs="Calibri"/>
          <w:color w:val="000000" w:themeColor="text1"/>
          <w:lang w:val="en-US"/>
        </w:rPr>
        <w:t xml:space="preserve"> Incubation with the positive control ionomycin </w:t>
      </w:r>
      <w:r w:rsidR="00525CA9">
        <w:rPr>
          <w:rFonts w:cs="Calibri"/>
          <w:color w:val="000000" w:themeColor="text1"/>
          <w:lang w:val="en-US"/>
        </w:rPr>
        <w:t xml:space="preserve">induced degranulation in </w:t>
      </w:r>
      <w:r w:rsidR="007C000F">
        <w:rPr>
          <w:rFonts w:cs="Calibri"/>
          <w:color w:val="000000" w:themeColor="text1"/>
          <w:lang w:val="en-US"/>
        </w:rPr>
        <w:t>more</w:t>
      </w:r>
      <w:r w:rsidR="00525CA9">
        <w:rPr>
          <w:rFonts w:cs="Calibri"/>
          <w:color w:val="000000" w:themeColor="text1"/>
          <w:lang w:val="en-US"/>
        </w:rPr>
        <w:t xml:space="preserve"> </w:t>
      </w:r>
      <w:r w:rsidR="007C000F">
        <w:rPr>
          <w:rFonts w:cs="Calibri"/>
          <w:color w:val="000000" w:themeColor="text1"/>
          <w:lang w:val="en-US"/>
        </w:rPr>
        <w:t xml:space="preserve">than </w:t>
      </w:r>
      <w:r w:rsidR="00EE06B1">
        <w:rPr>
          <w:rFonts w:cs="Calibri"/>
          <w:color w:val="000000" w:themeColor="text1"/>
          <w:lang w:val="en-US"/>
        </w:rPr>
        <w:t>7</w:t>
      </w:r>
      <w:r w:rsidR="004057E2">
        <w:rPr>
          <w:rFonts w:cs="Calibri"/>
          <w:color w:val="000000" w:themeColor="text1"/>
          <w:lang w:val="en-US"/>
        </w:rPr>
        <w:t>3</w:t>
      </w:r>
      <w:r w:rsidR="007C000F">
        <w:rPr>
          <w:rFonts w:cs="Calibri"/>
          <w:color w:val="000000" w:themeColor="text1"/>
          <w:lang w:val="en-US"/>
        </w:rPr>
        <w:t xml:space="preserve">% </w:t>
      </w:r>
      <w:r w:rsidR="00525CA9">
        <w:rPr>
          <w:rFonts w:cs="Calibri"/>
          <w:color w:val="000000" w:themeColor="text1"/>
          <w:lang w:val="en-US"/>
        </w:rPr>
        <w:t>of</w:t>
      </w:r>
      <w:r w:rsidR="007C000F">
        <w:rPr>
          <w:rFonts w:cs="Calibri"/>
          <w:color w:val="000000" w:themeColor="text1"/>
          <w:lang w:val="en-US"/>
        </w:rPr>
        <w:t xml:space="preserve"> MC in all groups </w:t>
      </w:r>
      <w:r w:rsidR="00525CA9">
        <w:rPr>
          <w:rFonts w:cs="Calibri"/>
          <w:color w:val="000000" w:themeColor="text1"/>
          <w:lang w:val="en-US"/>
        </w:rPr>
        <w:t xml:space="preserve">within </w:t>
      </w:r>
      <w:r w:rsidR="007C000F">
        <w:rPr>
          <w:rFonts w:cs="Calibri"/>
          <w:color w:val="000000" w:themeColor="text1"/>
          <w:lang w:val="en-US"/>
        </w:rPr>
        <w:t>7 min (Fig. 2C).</w:t>
      </w:r>
      <w:r w:rsidR="00C00B61" w:rsidRPr="00BA6F83">
        <w:rPr>
          <w:rFonts w:cs="Calibri"/>
          <w:color w:val="000000" w:themeColor="text1"/>
          <w:lang w:val="en-US"/>
        </w:rPr>
        <w:t xml:space="preserve"> </w:t>
      </w:r>
      <w:r w:rsidR="00B84DD9" w:rsidRPr="00BA6F83">
        <w:rPr>
          <w:rFonts w:cs="Calibri"/>
          <w:color w:val="000000" w:themeColor="text1"/>
          <w:lang w:val="en-US"/>
        </w:rPr>
        <w:t xml:space="preserve">In line with these findings, </w:t>
      </w:r>
      <w:bookmarkEnd w:id="2"/>
      <w:r w:rsidR="00B23467" w:rsidRPr="00BA6F83">
        <w:rPr>
          <w:rFonts w:asciiTheme="minorHAnsi" w:hAnsiTheme="minorHAnsi"/>
          <w:color w:val="000000" w:themeColor="text1"/>
          <w:lang w:val="en-US"/>
        </w:rPr>
        <w:t>treatment</w:t>
      </w:r>
      <w:r w:rsidR="00B84DD9" w:rsidRPr="00BA6F83">
        <w:rPr>
          <w:rFonts w:asciiTheme="minorHAnsi" w:hAnsiTheme="minorHAnsi"/>
          <w:color w:val="000000" w:themeColor="text1"/>
          <w:lang w:val="en-US"/>
        </w:rPr>
        <w:t xml:space="preserve"> with the </w:t>
      </w:r>
      <w:r w:rsidR="00B84DD9" w:rsidRPr="00BA6F83">
        <w:rPr>
          <w:rFonts w:cs="Calibri"/>
          <w:color w:val="000000" w:themeColor="text1"/>
          <w:lang w:val="en-US"/>
        </w:rPr>
        <w:t xml:space="preserve">mast cell stabilizer </w:t>
      </w:r>
      <w:proofErr w:type="spellStart"/>
      <w:r w:rsidR="00B84DD9" w:rsidRPr="00BA6F83">
        <w:rPr>
          <w:rFonts w:asciiTheme="minorHAnsi" w:hAnsiTheme="minorHAnsi"/>
          <w:color w:val="000000" w:themeColor="text1"/>
          <w:lang w:val="en-US"/>
        </w:rPr>
        <w:t>doxantrazole</w:t>
      </w:r>
      <w:proofErr w:type="spellEnd"/>
      <w:r w:rsidR="00B84DD9" w:rsidRPr="00BA6F83">
        <w:rPr>
          <w:rFonts w:asciiTheme="minorHAnsi" w:hAnsiTheme="minorHAnsi"/>
          <w:color w:val="000000" w:themeColor="text1"/>
          <w:lang w:val="en-US"/>
        </w:rPr>
        <w:t xml:space="preserve"> </w:t>
      </w:r>
      <w:r w:rsidR="00B23467" w:rsidRPr="00BA6F83">
        <w:rPr>
          <w:rFonts w:asciiTheme="minorHAnsi" w:hAnsiTheme="minorHAnsi"/>
          <w:color w:val="000000" w:themeColor="text1"/>
          <w:lang w:val="en-US"/>
        </w:rPr>
        <w:t>normalized</w:t>
      </w:r>
      <w:r w:rsidR="00C258C2" w:rsidRPr="00BA6F83">
        <w:rPr>
          <w:rFonts w:asciiTheme="minorHAnsi" w:hAnsiTheme="minorHAnsi"/>
          <w:color w:val="000000" w:themeColor="text1"/>
          <w:lang w:val="en-US"/>
        </w:rPr>
        <w:t xml:space="preserve"> </w:t>
      </w:r>
      <w:r w:rsidR="003C7211" w:rsidRPr="00BA6F83">
        <w:rPr>
          <w:rFonts w:asciiTheme="minorHAnsi" w:hAnsiTheme="minorHAnsi"/>
          <w:color w:val="000000" w:themeColor="text1"/>
          <w:lang w:val="en-US"/>
        </w:rPr>
        <w:t>pain responses to colorectal distention</w:t>
      </w:r>
      <w:r w:rsidR="00B23467" w:rsidRPr="00BA6F83">
        <w:rPr>
          <w:rFonts w:asciiTheme="minorHAnsi" w:hAnsiTheme="minorHAnsi"/>
          <w:color w:val="000000" w:themeColor="text1"/>
          <w:lang w:val="en-US"/>
        </w:rPr>
        <w:t xml:space="preserve"> in </w:t>
      </w:r>
      <w:r w:rsidR="002200D8" w:rsidRPr="00BA6F83">
        <w:rPr>
          <w:rFonts w:asciiTheme="minorHAnsi" w:hAnsiTheme="minorHAnsi"/>
          <w:color w:val="000000" w:themeColor="text1"/>
          <w:lang w:val="en-US"/>
        </w:rPr>
        <w:t xml:space="preserve">VHS </w:t>
      </w:r>
      <w:r w:rsidR="00B23467" w:rsidRPr="00BA6F83">
        <w:rPr>
          <w:rFonts w:asciiTheme="minorHAnsi" w:hAnsiTheme="minorHAnsi"/>
          <w:color w:val="000000" w:themeColor="text1"/>
          <w:lang w:val="en-US"/>
        </w:rPr>
        <w:t>mice (</w:t>
      </w:r>
      <w:r w:rsidR="00983FF8" w:rsidRPr="00BA6F83">
        <w:rPr>
          <w:rFonts w:asciiTheme="minorHAnsi" w:hAnsiTheme="minorHAnsi"/>
          <w:color w:val="000000" w:themeColor="text1"/>
          <w:lang w:val="en-US"/>
        </w:rPr>
        <w:t>Fig.</w:t>
      </w:r>
      <w:r w:rsidR="00B23467" w:rsidRPr="00BA6F83">
        <w:rPr>
          <w:rFonts w:asciiTheme="minorHAnsi" w:hAnsiTheme="minorHAnsi"/>
          <w:color w:val="000000" w:themeColor="text1"/>
          <w:lang w:val="en-US"/>
        </w:rPr>
        <w:t xml:space="preserve"> 2</w:t>
      </w:r>
      <w:r w:rsidR="00AC2425" w:rsidRPr="00BA6F83">
        <w:rPr>
          <w:rFonts w:asciiTheme="minorHAnsi" w:hAnsiTheme="minorHAnsi"/>
          <w:color w:val="000000" w:themeColor="text1"/>
          <w:lang w:val="en-US"/>
        </w:rPr>
        <w:t>D, E</w:t>
      </w:r>
      <w:r w:rsidR="00B23467" w:rsidRPr="00BA6F83">
        <w:rPr>
          <w:rFonts w:asciiTheme="minorHAnsi" w:hAnsiTheme="minorHAnsi"/>
          <w:color w:val="000000" w:themeColor="text1"/>
          <w:lang w:val="en-US"/>
        </w:rPr>
        <w:t>) and decreased colonic permeability (</w:t>
      </w:r>
      <w:r w:rsidR="00983FF8" w:rsidRPr="00BA6F83">
        <w:rPr>
          <w:rFonts w:asciiTheme="minorHAnsi" w:hAnsiTheme="minorHAnsi"/>
          <w:color w:val="000000" w:themeColor="text1"/>
          <w:lang w:val="en-US"/>
        </w:rPr>
        <w:t>Extended Data</w:t>
      </w:r>
      <w:r w:rsidR="00AC242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B23467" w:rsidRPr="00BA6F83">
        <w:rPr>
          <w:rFonts w:asciiTheme="minorHAnsi" w:hAnsiTheme="minorHAnsi"/>
          <w:color w:val="000000" w:themeColor="text1"/>
          <w:lang w:val="en-US"/>
        </w:rPr>
        <w:t xml:space="preserve"> </w:t>
      </w:r>
      <w:r w:rsidR="00AC2425" w:rsidRPr="00BA6F83">
        <w:rPr>
          <w:rFonts w:asciiTheme="minorHAnsi" w:hAnsiTheme="minorHAnsi"/>
          <w:color w:val="000000" w:themeColor="text1"/>
          <w:lang w:val="en-US"/>
        </w:rPr>
        <w:t>4</w:t>
      </w:r>
      <w:r w:rsidR="004057E2">
        <w:rPr>
          <w:rFonts w:asciiTheme="minorHAnsi" w:hAnsiTheme="minorHAnsi"/>
          <w:color w:val="000000" w:themeColor="text1"/>
          <w:lang w:val="en-US"/>
        </w:rPr>
        <w:t>E</w:t>
      </w:r>
      <w:r w:rsidR="00B23467" w:rsidRPr="00BA6F83">
        <w:rPr>
          <w:rFonts w:asciiTheme="minorHAnsi" w:hAnsiTheme="minorHAnsi"/>
          <w:color w:val="000000" w:themeColor="text1"/>
          <w:lang w:val="en-US"/>
        </w:rPr>
        <w:t>) compared to vehicle</w:t>
      </w:r>
      <w:r w:rsidR="00B920F4" w:rsidRPr="00BA6F83">
        <w:rPr>
          <w:rFonts w:asciiTheme="minorHAnsi" w:hAnsiTheme="minorHAnsi"/>
          <w:color w:val="000000" w:themeColor="text1"/>
          <w:lang w:val="en-US"/>
        </w:rPr>
        <w:t>-</w:t>
      </w:r>
      <w:r w:rsidR="00B23467" w:rsidRPr="00BA6F83">
        <w:rPr>
          <w:rFonts w:asciiTheme="minorHAnsi" w:hAnsiTheme="minorHAnsi"/>
          <w:color w:val="000000" w:themeColor="text1"/>
          <w:lang w:val="en-US"/>
        </w:rPr>
        <w:t>treat</w:t>
      </w:r>
      <w:r w:rsidR="00AF2375" w:rsidRPr="00BA6F83">
        <w:rPr>
          <w:rFonts w:asciiTheme="minorHAnsi" w:hAnsiTheme="minorHAnsi"/>
          <w:color w:val="000000" w:themeColor="text1"/>
          <w:lang w:val="en-US"/>
        </w:rPr>
        <w:t>ed mice</w:t>
      </w:r>
      <w:r w:rsidR="00B23467" w:rsidRPr="00BA6F83">
        <w:rPr>
          <w:rFonts w:asciiTheme="minorHAnsi" w:hAnsiTheme="minorHAnsi"/>
          <w:color w:val="000000" w:themeColor="text1"/>
          <w:lang w:val="en-US"/>
        </w:rPr>
        <w:t xml:space="preserve">. </w:t>
      </w:r>
      <w:r w:rsidR="00B84DD9" w:rsidRPr="00BA6F83">
        <w:rPr>
          <w:rFonts w:asciiTheme="minorHAnsi" w:hAnsiTheme="minorHAnsi"/>
          <w:color w:val="000000" w:themeColor="text1"/>
          <w:lang w:val="en-US"/>
        </w:rPr>
        <w:t>Further</w:t>
      </w:r>
      <w:r w:rsidR="003C7211" w:rsidRPr="00BA6F83">
        <w:rPr>
          <w:rFonts w:asciiTheme="minorHAnsi" w:hAnsiTheme="minorHAnsi"/>
          <w:color w:val="000000" w:themeColor="text1"/>
          <w:lang w:val="en-US"/>
        </w:rPr>
        <w:t xml:space="preserve">, </w:t>
      </w:r>
      <w:r w:rsidR="00AF6054" w:rsidRPr="00BA6F83">
        <w:rPr>
          <w:rFonts w:asciiTheme="minorHAnsi" w:hAnsiTheme="minorHAnsi"/>
          <w:color w:val="000000" w:themeColor="text1"/>
          <w:lang w:val="en-US"/>
        </w:rPr>
        <w:t>MC</w:t>
      </w:r>
      <w:r w:rsidR="00B23467" w:rsidRPr="00BA6F83">
        <w:rPr>
          <w:rFonts w:asciiTheme="minorHAnsi" w:hAnsiTheme="minorHAnsi"/>
          <w:color w:val="000000" w:themeColor="text1"/>
          <w:lang w:val="en-US"/>
        </w:rPr>
        <w:t xml:space="preserve">-deficient </w:t>
      </w:r>
      <w:r w:rsidR="00B23467" w:rsidRPr="00BA6F83">
        <w:rPr>
          <w:rFonts w:asciiTheme="minorHAnsi" w:hAnsiTheme="minorHAnsi"/>
          <w:i/>
          <w:color w:val="000000" w:themeColor="text1"/>
          <w:lang w:val="en-US"/>
        </w:rPr>
        <w:t>C</w:t>
      </w:r>
      <w:r w:rsidR="00093A8D" w:rsidRPr="00BA6F83">
        <w:rPr>
          <w:rFonts w:asciiTheme="minorHAnsi" w:hAnsiTheme="minorHAnsi"/>
          <w:i/>
          <w:color w:val="000000" w:themeColor="text1"/>
          <w:lang w:val="en-US"/>
        </w:rPr>
        <w:t>pa</w:t>
      </w:r>
      <w:r w:rsidR="00B23467" w:rsidRPr="00BA6F83">
        <w:rPr>
          <w:rFonts w:asciiTheme="minorHAnsi" w:hAnsiTheme="minorHAnsi"/>
          <w:i/>
          <w:color w:val="000000" w:themeColor="text1"/>
          <w:lang w:val="en-US"/>
        </w:rPr>
        <w:t>3</w:t>
      </w:r>
      <w:r w:rsidR="00B23467" w:rsidRPr="00BA6F83">
        <w:rPr>
          <w:rFonts w:asciiTheme="minorHAnsi" w:hAnsiTheme="minorHAnsi"/>
          <w:i/>
          <w:color w:val="000000" w:themeColor="text1"/>
          <w:vertAlign w:val="superscript"/>
          <w:lang w:val="en-US"/>
        </w:rPr>
        <w:t>Cre/+</w:t>
      </w:r>
      <w:r w:rsidR="00B23467" w:rsidRPr="00BA6F83">
        <w:rPr>
          <w:rFonts w:asciiTheme="minorHAnsi" w:hAnsiTheme="minorHAnsi"/>
          <w:color w:val="000000" w:themeColor="text1"/>
          <w:lang w:val="en-US"/>
        </w:rPr>
        <w:t xml:space="preserve"> mice</w:t>
      </w:r>
      <w:r w:rsidR="00A4619E"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{"citationItems":[{"id":"ITEM-1","itemData":{"DOI":"10.1016/j.immuni.2011.09.015","ISBN":"1097-4180 (Electronic)\\n1074-7613 (Linking)","ISSN":"10747613","PMID":"22101159","abstract":"Immunological functions of mast cells remain poorly understood. Studies in Kit mutant mice suggest key roles for mast cells in certain antibody- and T cell-mediated autoimmune diseases. However, Kit mutations affect multiple cell types of both immune and nonimmune origin. Here, we show that targeted insertion of Cre-recombinase into the mast cell carboxypeptidase A3 locus deleted mast cells in connective and mucosal tissues by a genotoxic Trp53-dependent mechanism. Cre-mediated mast cell eradication (Cre-Master) mice had, with the exception of a lack of mast cells and reduced basophils, a normal immune system. Cre-Master mice were refractory to IgE-mediated anaphylaxis, and this defect was rescued by mast cell reconstitution. This mast cell-deficient strain was fully susceptible to antibody-induced autoimmune arthritis and to experimental autoimmune encephalomyelitis. Differences comparing Kit mutant mast cell deficiency models to selectively mast cell-deficient mice call for a systematic re-evaluation of immunological functions of mast cells beyond allergy. ?? 2011 Elsevier Inc.","author":[{"dropping-particle":"","family":"Feyerabend","given":"Thorsten B.","non-dropping-particle":"","parse-names":false,"suffix":""},{"dropping-particle":"","family":"Weiser","given":"Anne","non-dropping-particle":"","parse-names":false,"suffix":""},{"dropping-particle":"","family":"Tietz","given":"Annette","non-dropping-particle":"","parse-names":false,"suffix":""},{"dropping-particle":"","family":"Stassen","given":"Michael","non-dropping-particle":"","parse-names":false,"suffix":""},{"dropping-particle":"","family":"Harris","given":"Nicola","non-dropping-particle":"","parse-names":false,"suffix":""},{"dropping-particle":"","family":"Kopf","given":"Manfred","non-dropping-particle":"","parse-names":false,"suffix":""},{"dropping-particle":"","family":"Radermacher","given":"Peter","non-dropping-particle":"","parse-names":false,"suffix":""},{"dropping-particle":"","family":"Möller","given":"Peter","non-dropping-particle":"","parse-names":false,"suffix":""},{"dropping-particle":"","family":"Benoist","given":"Christophe","non-dropping-particle":"","parse-names":false,"suffix":""},{"dropping-particle":"","family":"Mathis","given":"Diane","non-dropping-particle":"","parse-names":false,"suffix":""},{"dropping-particle":"","family":"Fehling","given":"Hans Jörg","non-dropping-particle":"","parse-names":false,"suffix":""},{"dropping-particle":"","family":"Rodewald","given":"Hans Reimer","non-dropping-particle":"","parse-names":false,"suffix":""}],"container-title":"Immunity","id":"ITEM-1","issue":"5","issued":{"date-parts":[["2011"]]},"page":"832-844","title":"Cre-mediated cell ablation contests mast cell contribution in models of antibody- and T cell-mediated autoimmunity","type":"article-journal","volume":"35"},"uris":["http://www.mendeley.com/documents/?uuid=3a2c8baf-2f86-4585-ba70-fc955c7368bc"]}],"mendeley":{"formattedCitation":"&lt;sup&gt;35&lt;/sup&gt;","plainTextFormattedCitation":"35","previouslyFormattedCitation":"&lt;sup&gt;35&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35</w:t>
      </w:r>
      <w:r w:rsidR="00A4619E" w:rsidRPr="00BA6F83">
        <w:rPr>
          <w:rFonts w:asciiTheme="minorHAnsi" w:hAnsiTheme="minorHAnsi"/>
          <w:color w:val="000000" w:themeColor="text1"/>
          <w:lang w:val="en-US"/>
        </w:rPr>
        <w:fldChar w:fldCharType="end"/>
      </w:r>
      <w:r w:rsidR="00B23467" w:rsidRPr="00BA6F83">
        <w:rPr>
          <w:rFonts w:asciiTheme="minorHAnsi" w:hAnsiTheme="minorHAnsi"/>
          <w:color w:val="000000" w:themeColor="text1"/>
          <w:lang w:val="en-US"/>
        </w:rPr>
        <w:t xml:space="preserve"> </w:t>
      </w:r>
      <w:r w:rsidR="006A0B76">
        <w:rPr>
          <w:rFonts w:asciiTheme="minorHAnsi" w:hAnsiTheme="minorHAnsi"/>
          <w:color w:val="000000" w:themeColor="text1"/>
          <w:lang w:val="en-US"/>
        </w:rPr>
        <w:t>(Extended Data Fig. 4</w:t>
      </w:r>
      <w:r w:rsidR="004057E2">
        <w:rPr>
          <w:rFonts w:asciiTheme="minorHAnsi" w:hAnsiTheme="minorHAnsi"/>
          <w:color w:val="000000" w:themeColor="text1"/>
          <w:lang w:val="en-US"/>
        </w:rPr>
        <w:t>F</w:t>
      </w:r>
      <w:r w:rsidR="006A0B76">
        <w:rPr>
          <w:rFonts w:asciiTheme="minorHAnsi" w:hAnsiTheme="minorHAnsi"/>
          <w:color w:val="000000" w:themeColor="text1"/>
          <w:lang w:val="en-US"/>
        </w:rPr>
        <w:t xml:space="preserve">) </w:t>
      </w:r>
      <w:r w:rsidR="00B23467" w:rsidRPr="00BA6F83">
        <w:rPr>
          <w:rFonts w:asciiTheme="minorHAnsi" w:hAnsiTheme="minorHAnsi"/>
          <w:color w:val="000000" w:themeColor="text1"/>
          <w:lang w:val="en-US"/>
        </w:rPr>
        <w:t>displayed decreased visceral pain</w:t>
      </w:r>
      <w:r w:rsidR="000B297E" w:rsidRPr="00BA6F83">
        <w:rPr>
          <w:rFonts w:asciiTheme="minorHAnsi" w:hAnsiTheme="minorHAnsi"/>
          <w:color w:val="000000" w:themeColor="text1"/>
          <w:lang w:val="en-US"/>
        </w:rPr>
        <w:t xml:space="preserve"> perception</w:t>
      </w:r>
      <w:r w:rsidR="00B23467" w:rsidRPr="00BA6F83">
        <w:rPr>
          <w:rFonts w:asciiTheme="minorHAnsi" w:hAnsiTheme="minorHAnsi"/>
          <w:color w:val="000000" w:themeColor="text1"/>
          <w:lang w:val="en-US"/>
        </w:rPr>
        <w:t xml:space="preserve"> and </w:t>
      </w:r>
      <w:r w:rsidR="003C7211" w:rsidRPr="00BA6F83">
        <w:rPr>
          <w:rFonts w:asciiTheme="minorHAnsi" w:hAnsiTheme="minorHAnsi"/>
          <w:color w:val="000000" w:themeColor="text1"/>
          <w:lang w:val="en-US"/>
        </w:rPr>
        <w:t>normal</w:t>
      </w:r>
      <w:r w:rsidR="009F1B55" w:rsidRPr="00BA6F83">
        <w:rPr>
          <w:rFonts w:asciiTheme="minorHAnsi" w:hAnsiTheme="minorHAnsi"/>
          <w:color w:val="000000" w:themeColor="text1"/>
          <w:lang w:val="en-US"/>
        </w:rPr>
        <w:t>ized</w:t>
      </w:r>
      <w:r w:rsidR="003C7211" w:rsidRPr="00BA6F83">
        <w:rPr>
          <w:rFonts w:asciiTheme="minorHAnsi" w:hAnsiTheme="minorHAnsi"/>
          <w:color w:val="000000" w:themeColor="text1"/>
          <w:lang w:val="en-US"/>
        </w:rPr>
        <w:t xml:space="preserve"> </w:t>
      </w:r>
      <w:r w:rsidR="00B23467" w:rsidRPr="00BA6F83">
        <w:rPr>
          <w:rFonts w:asciiTheme="minorHAnsi" w:hAnsiTheme="minorHAnsi"/>
          <w:color w:val="000000" w:themeColor="text1"/>
          <w:lang w:val="en-US"/>
        </w:rPr>
        <w:t xml:space="preserve">colonic permeability </w:t>
      </w:r>
      <w:r w:rsidR="003C7211" w:rsidRPr="00BA6F83">
        <w:rPr>
          <w:rFonts w:asciiTheme="minorHAnsi" w:hAnsiTheme="minorHAnsi"/>
          <w:color w:val="000000" w:themeColor="text1"/>
          <w:lang w:val="en-US"/>
        </w:rPr>
        <w:t xml:space="preserve">after </w:t>
      </w:r>
      <w:r w:rsidR="00B23467" w:rsidRPr="00BA6F83">
        <w:rPr>
          <w:rFonts w:asciiTheme="minorHAnsi" w:hAnsiTheme="minorHAnsi"/>
          <w:color w:val="000000" w:themeColor="text1"/>
          <w:lang w:val="en-US"/>
        </w:rPr>
        <w:t xml:space="preserve">OVA re-exposure compared to </w:t>
      </w:r>
      <w:r w:rsidR="00AF2375" w:rsidRPr="00BA6F83">
        <w:rPr>
          <w:rFonts w:asciiTheme="minorHAnsi" w:hAnsiTheme="minorHAnsi"/>
          <w:color w:val="000000" w:themeColor="text1"/>
          <w:lang w:val="en-US"/>
        </w:rPr>
        <w:t>wild-type (</w:t>
      </w:r>
      <w:r w:rsidR="00B23467" w:rsidRPr="00BA6F83">
        <w:rPr>
          <w:rFonts w:asciiTheme="minorHAnsi" w:hAnsiTheme="minorHAnsi"/>
          <w:color w:val="000000" w:themeColor="text1"/>
          <w:lang w:val="en-US"/>
        </w:rPr>
        <w:t>WT</w:t>
      </w:r>
      <w:r w:rsidR="00AF2375" w:rsidRPr="00BA6F83">
        <w:rPr>
          <w:rFonts w:asciiTheme="minorHAnsi" w:hAnsiTheme="minorHAnsi"/>
          <w:color w:val="000000" w:themeColor="text1"/>
          <w:lang w:val="en-US"/>
        </w:rPr>
        <w:t>)</w:t>
      </w:r>
      <w:r w:rsidR="00B23467" w:rsidRPr="00BA6F83">
        <w:rPr>
          <w:rFonts w:asciiTheme="minorHAnsi" w:hAnsiTheme="minorHAnsi"/>
          <w:color w:val="000000" w:themeColor="text1"/>
          <w:lang w:val="en-US"/>
        </w:rPr>
        <w:t xml:space="preserve"> littermates (</w:t>
      </w:r>
      <w:r w:rsidR="00983FF8" w:rsidRPr="00BA6F83">
        <w:rPr>
          <w:rFonts w:asciiTheme="minorHAnsi" w:hAnsiTheme="minorHAnsi"/>
          <w:color w:val="000000" w:themeColor="text1"/>
          <w:lang w:val="en-US"/>
        </w:rPr>
        <w:t>Fig.</w:t>
      </w:r>
      <w:r w:rsidR="00B23467" w:rsidRPr="00BA6F83">
        <w:rPr>
          <w:rFonts w:asciiTheme="minorHAnsi" w:hAnsiTheme="minorHAnsi"/>
          <w:color w:val="000000" w:themeColor="text1"/>
          <w:lang w:val="en-US"/>
        </w:rPr>
        <w:t xml:space="preserve"> 2</w:t>
      </w:r>
      <w:r w:rsidR="009F1B55" w:rsidRPr="00BA6F83">
        <w:rPr>
          <w:rFonts w:asciiTheme="minorHAnsi" w:hAnsiTheme="minorHAnsi"/>
          <w:color w:val="000000" w:themeColor="text1"/>
          <w:lang w:val="en-US"/>
        </w:rPr>
        <w:t xml:space="preserve">F, G and </w:t>
      </w:r>
      <w:r w:rsidR="00983FF8" w:rsidRPr="00BA6F83">
        <w:rPr>
          <w:rFonts w:asciiTheme="minorHAnsi" w:hAnsiTheme="minorHAnsi"/>
          <w:color w:val="000000" w:themeColor="text1"/>
          <w:lang w:val="en-US"/>
        </w:rPr>
        <w:t>Extended Data</w:t>
      </w:r>
      <w:r w:rsidR="009F1B5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F1B55" w:rsidRPr="00BA6F83">
        <w:rPr>
          <w:rFonts w:asciiTheme="minorHAnsi" w:hAnsiTheme="minorHAnsi"/>
          <w:color w:val="000000" w:themeColor="text1"/>
          <w:lang w:val="en-US"/>
        </w:rPr>
        <w:t xml:space="preserve"> 4</w:t>
      </w:r>
      <w:r w:rsidR="004057E2">
        <w:rPr>
          <w:rFonts w:asciiTheme="minorHAnsi" w:hAnsiTheme="minorHAnsi"/>
          <w:color w:val="000000" w:themeColor="text1"/>
          <w:lang w:val="en-US"/>
        </w:rPr>
        <w:t>G</w:t>
      </w:r>
      <w:r w:rsidR="00B23467" w:rsidRPr="00BA6F83">
        <w:rPr>
          <w:rFonts w:asciiTheme="minorHAnsi" w:hAnsiTheme="minorHAnsi"/>
          <w:color w:val="000000" w:themeColor="text1"/>
          <w:lang w:val="en-US"/>
        </w:rPr>
        <w:t>)</w:t>
      </w:r>
      <w:r w:rsidR="00B97FCA" w:rsidRPr="00BA6F83">
        <w:rPr>
          <w:rFonts w:asciiTheme="minorHAnsi" w:hAnsiTheme="minorHAnsi"/>
          <w:color w:val="000000" w:themeColor="text1"/>
          <w:lang w:val="en-US"/>
        </w:rPr>
        <w:t xml:space="preserve">. </w:t>
      </w:r>
      <w:r w:rsidR="00B84DD9" w:rsidRPr="00BA6F83">
        <w:rPr>
          <w:rFonts w:asciiTheme="minorHAnsi" w:hAnsiTheme="minorHAnsi"/>
          <w:color w:val="000000" w:themeColor="text1"/>
          <w:lang w:val="en-US"/>
        </w:rPr>
        <w:t>Based on these findings</w:t>
      </w:r>
      <w:r w:rsidR="009328B0" w:rsidRPr="00BA6F83">
        <w:rPr>
          <w:rFonts w:asciiTheme="minorHAnsi" w:hAnsiTheme="minorHAnsi"/>
          <w:color w:val="000000" w:themeColor="text1"/>
          <w:lang w:val="en-US"/>
        </w:rPr>
        <w:t>, w</w:t>
      </w:r>
      <w:r w:rsidR="00596F6B" w:rsidRPr="00BA6F83">
        <w:rPr>
          <w:rFonts w:asciiTheme="minorHAnsi" w:hAnsiTheme="minorHAnsi"/>
          <w:color w:val="000000" w:themeColor="text1"/>
          <w:lang w:val="en-US"/>
        </w:rPr>
        <w:t>e</w:t>
      </w:r>
      <w:r w:rsidR="005F76A9" w:rsidRPr="00BA6F83">
        <w:rPr>
          <w:rFonts w:asciiTheme="minorHAnsi" w:hAnsiTheme="minorHAnsi"/>
          <w:color w:val="000000" w:themeColor="text1"/>
          <w:lang w:val="en-US"/>
        </w:rPr>
        <w:t xml:space="preserve"> </w:t>
      </w:r>
      <w:r w:rsidR="00596F6B" w:rsidRPr="00BA6F83">
        <w:rPr>
          <w:rFonts w:asciiTheme="minorHAnsi" w:hAnsiTheme="minorHAnsi"/>
          <w:color w:val="000000" w:themeColor="text1"/>
          <w:lang w:val="en-US"/>
        </w:rPr>
        <w:lastRenderedPageBreak/>
        <w:t>speculated that</w:t>
      </w:r>
      <w:r w:rsidR="00C57CEB" w:rsidRPr="00BA6F83">
        <w:rPr>
          <w:rFonts w:asciiTheme="minorHAnsi" w:hAnsiTheme="minorHAnsi"/>
          <w:color w:val="000000" w:themeColor="text1"/>
          <w:lang w:val="en-US"/>
        </w:rPr>
        <w:t xml:space="preserve"> </w:t>
      </w:r>
      <w:r w:rsidR="00596F6B" w:rsidRPr="00BA6F83">
        <w:rPr>
          <w:rFonts w:asciiTheme="minorHAnsi" w:hAnsiTheme="minorHAnsi"/>
          <w:color w:val="000000" w:themeColor="text1"/>
          <w:lang w:val="en-US"/>
        </w:rPr>
        <w:t>OVA-specific-antibodies (</w:t>
      </w:r>
      <w:r w:rsidR="00983FF8" w:rsidRPr="00BA6F83">
        <w:rPr>
          <w:rFonts w:asciiTheme="minorHAnsi" w:hAnsiTheme="minorHAnsi"/>
          <w:color w:val="000000" w:themeColor="text1"/>
          <w:lang w:val="en-US"/>
        </w:rPr>
        <w:t>Fig.</w:t>
      </w:r>
      <w:r w:rsidR="00596F6B" w:rsidRPr="00BA6F83">
        <w:rPr>
          <w:rFonts w:asciiTheme="minorHAnsi" w:hAnsiTheme="minorHAnsi"/>
          <w:color w:val="000000" w:themeColor="text1"/>
          <w:lang w:val="en-US"/>
        </w:rPr>
        <w:t xml:space="preserve"> 1C)</w:t>
      </w:r>
      <w:r w:rsidR="00BD7ABF">
        <w:rPr>
          <w:rFonts w:asciiTheme="minorHAnsi" w:hAnsiTheme="minorHAnsi"/>
          <w:color w:val="000000" w:themeColor="text1"/>
          <w:lang w:val="en-US"/>
        </w:rPr>
        <w:t>,</w:t>
      </w:r>
      <w:r w:rsidR="009F1B55" w:rsidRPr="00BA6F83">
        <w:rPr>
          <w:rFonts w:asciiTheme="minorHAnsi" w:hAnsiTheme="minorHAnsi"/>
          <w:color w:val="000000" w:themeColor="text1"/>
          <w:lang w:val="en-US"/>
        </w:rPr>
        <w:t xml:space="preserve"> </w:t>
      </w:r>
      <w:r w:rsidR="00596F6B" w:rsidRPr="00BA6F83">
        <w:rPr>
          <w:rFonts w:asciiTheme="minorHAnsi" w:hAnsiTheme="minorHAnsi"/>
          <w:color w:val="000000" w:themeColor="text1"/>
          <w:lang w:val="en-US"/>
        </w:rPr>
        <w:t xml:space="preserve">produced </w:t>
      </w:r>
      <w:r w:rsidR="00C57CEB" w:rsidRPr="00BA6F83">
        <w:rPr>
          <w:rFonts w:asciiTheme="minorHAnsi" w:hAnsiTheme="minorHAnsi"/>
          <w:color w:val="000000" w:themeColor="text1"/>
          <w:lang w:val="en-US"/>
        </w:rPr>
        <w:t xml:space="preserve">locally </w:t>
      </w:r>
      <w:r w:rsidR="00596F6B" w:rsidRPr="00BA6F83">
        <w:rPr>
          <w:rFonts w:asciiTheme="minorHAnsi" w:hAnsiTheme="minorHAnsi"/>
          <w:color w:val="000000" w:themeColor="text1"/>
          <w:lang w:val="en-US"/>
        </w:rPr>
        <w:t xml:space="preserve">by B </w:t>
      </w:r>
      <w:r w:rsidR="00AC770A">
        <w:rPr>
          <w:rFonts w:asciiTheme="minorHAnsi" w:hAnsiTheme="minorHAnsi"/>
          <w:color w:val="000000" w:themeColor="text1"/>
          <w:lang w:val="en-US"/>
        </w:rPr>
        <w:t xml:space="preserve">cells </w:t>
      </w:r>
      <w:r w:rsidR="00596F6B" w:rsidRPr="00BA6F83">
        <w:rPr>
          <w:rFonts w:asciiTheme="minorHAnsi" w:hAnsiTheme="minorHAnsi"/>
          <w:color w:val="000000" w:themeColor="text1"/>
          <w:lang w:val="en-US"/>
        </w:rPr>
        <w:t>and plasma cells</w:t>
      </w:r>
      <w:r w:rsidR="00BD7ABF">
        <w:rPr>
          <w:rFonts w:asciiTheme="minorHAnsi" w:hAnsiTheme="minorHAnsi"/>
          <w:color w:val="000000" w:themeColor="text1"/>
          <w:lang w:val="en-US"/>
        </w:rPr>
        <w:t>,</w:t>
      </w:r>
      <w:r w:rsidR="00596F6B" w:rsidRPr="00BA6F83">
        <w:rPr>
          <w:rFonts w:asciiTheme="minorHAnsi" w:hAnsiTheme="minorHAnsi"/>
          <w:color w:val="000000" w:themeColor="text1"/>
          <w:lang w:val="en-US"/>
        </w:rPr>
        <w:t xml:space="preserve"> sensitize MC to subsequently mediate MC activation upon re-exposure to OVA. </w:t>
      </w:r>
      <w:r w:rsidR="00B84DD9" w:rsidRPr="00BA6F83">
        <w:rPr>
          <w:rFonts w:asciiTheme="minorHAnsi" w:hAnsiTheme="minorHAnsi"/>
          <w:color w:val="000000" w:themeColor="text1"/>
          <w:lang w:val="en-US"/>
        </w:rPr>
        <w:t>As expected, elimination of B220</w:t>
      </w:r>
      <w:r w:rsidR="00B84DD9" w:rsidRPr="00BA6F83">
        <w:rPr>
          <w:rFonts w:asciiTheme="minorHAnsi" w:hAnsiTheme="minorHAnsi"/>
          <w:color w:val="000000" w:themeColor="text1"/>
          <w:vertAlign w:val="superscript"/>
          <w:lang w:val="en-US"/>
        </w:rPr>
        <w:t>+</w:t>
      </w:r>
      <w:r w:rsidR="00B84DD9" w:rsidRPr="00BA6F83">
        <w:rPr>
          <w:rFonts w:asciiTheme="minorHAnsi" w:hAnsiTheme="minorHAnsi"/>
          <w:color w:val="000000" w:themeColor="text1"/>
          <w:lang w:val="en-US"/>
        </w:rPr>
        <w:t>IgM</w:t>
      </w:r>
      <w:r w:rsidR="00B84DD9" w:rsidRPr="00BA6F83">
        <w:rPr>
          <w:rFonts w:asciiTheme="minorHAnsi" w:hAnsiTheme="minorHAnsi"/>
          <w:color w:val="000000" w:themeColor="text1"/>
          <w:vertAlign w:val="superscript"/>
          <w:lang w:val="en-US"/>
        </w:rPr>
        <w:t>+</w:t>
      </w:r>
      <w:r w:rsidR="00B84DD9" w:rsidRPr="00BA6F83">
        <w:rPr>
          <w:rFonts w:asciiTheme="minorHAnsi" w:hAnsiTheme="minorHAnsi"/>
          <w:color w:val="000000" w:themeColor="text1"/>
          <w:lang w:val="en-US"/>
        </w:rPr>
        <w:t xml:space="preserve"> B cells and CD19</w:t>
      </w:r>
      <w:r w:rsidR="00B84DD9" w:rsidRPr="00BA6F83">
        <w:rPr>
          <w:rFonts w:asciiTheme="minorHAnsi" w:hAnsiTheme="minorHAnsi"/>
          <w:color w:val="000000" w:themeColor="text1"/>
          <w:vertAlign w:val="superscript"/>
          <w:lang w:val="en-US"/>
        </w:rPr>
        <w:t>+</w:t>
      </w:r>
      <w:r w:rsidR="00B84DD9" w:rsidRPr="00BA6F83">
        <w:rPr>
          <w:rFonts w:asciiTheme="minorHAnsi" w:hAnsiTheme="minorHAnsi"/>
          <w:color w:val="000000" w:themeColor="text1"/>
          <w:lang w:val="en-US"/>
        </w:rPr>
        <w:t>Ly6K</w:t>
      </w:r>
      <w:r w:rsidR="00B84DD9" w:rsidRPr="00BA6F83">
        <w:rPr>
          <w:rFonts w:asciiTheme="minorHAnsi" w:hAnsiTheme="minorHAnsi"/>
          <w:color w:val="000000" w:themeColor="text1"/>
          <w:vertAlign w:val="superscript"/>
          <w:lang w:val="en-US"/>
        </w:rPr>
        <w:t>+</w:t>
      </w:r>
      <w:r w:rsidR="00B84DD9" w:rsidRPr="00BA6F83">
        <w:rPr>
          <w:rFonts w:asciiTheme="minorHAnsi" w:hAnsiTheme="minorHAnsi"/>
          <w:color w:val="000000" w:themeColor="text1"/>
          <w:lang w:val="en-US"/>
        </w:rPr>
        <w:t xml:space="preserve"> plasma cells </w:t>
      </w:r>
      <w:r w:rsidR="00596F6B" w:rsidRPr="00BA6F83">
        <w:rPr>
          <w:rFonts w:asciiTheme="minorHAnsi" w:hAnsiTheme="minorHAnsi"/>
          <w:color w:val="000000" w:themeColor="text1"/>
          <w:lang w:val="en-US"/>
        </w:rPr>
        <w:t>with a combination of anti-CD20 antibody (5D2 clone)</w:t>
      </w:r>
      <w:r w:rsidR="00596F6B"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{"citationItems":[{"id":"ITEM-1","itemData":{"DOI":"10.1084/jem.20052283","ISBN":"0022-1007 (Print)","ISSN":"0022-1007","PMID":"16520392","abstract":"CD20 monoclonal antibody (mAb) immunotherapy is effective for lymphoma and autoimmune disease. In a mouse model of immunotherapy using mouse anti-mouse CD20 mAbs, the innate monocyte network depletes B cells through immunoglobulin (Ig)G Fc receptor (FcgammaR)-dependent pathways with a hierarchy of IgG2a/c&gt;IgG1/IgG2b&gt;IgG3. To understand the molecular basis for these CD20 mAb subclass differences, B cell depletion was assessed in mice deficient or blocked for stimulatory FcgammaRI, FcgammaRIII, FcgammaRIV, or FcR common gamma chain, or inhibitory FcgammaRIIB. IgG1 CD20 mAbs induced B cell depletion through preferential, if not exclusive, interactions with low-affinity FcgammaRIII. IgG2b CD20 mAbs interacted preferentially with intermediate affinity FcgammaRIV. The potency of IgG2a/c CD20 mAbs resulted from FcgammaRIV interactions, with potential contributions from high-affinity FcgammaRI. Regardless, FcgammaRIV could mediate IgG2a/b/c CD20 mAb-induced depletion in the absence of FcgammaRI and FcgammaRIII. In contrast, inhibitory FcgammaRIIB deficiency significantly increased CD20 mAb-induced B cell depletion by enhancing monocyte function. Although FcgammaR-dependent pathways regulated B cell depletion from lymphoid tissues, both FcgammaR-dependent and -independent pathways contributed to mature bone marrow and circulating B cell clearance by CD20 mAbs. Thus, isotype-specific mAb interactions with distinct FcgammaRs contribute significantly to the effectiveness of CD20 mAbs in vivo, which may have important clinical implications for CD20 and other mAb-based therapies.","author":[{"dropping-particle":"","family":"Hamaguchi","given":"Yasuhito","non-dropping-particle":"","parse-names":false,"suffix":""},{"dropping-particle":"","family":"Xiu","given":"Yan","non-dropping-particle":"","parse-names":false,"suffix":""},{"dropping-particle":"","family":"Komura","given":"Kazuhiro","non-dropping-particle":"","parse-names":false,"suffix":""},{"dropping-particle":"","family":"Nimmerjahn","given":"Falk","non-dropping-particle":"","parse-names":false,"suffix":""},{"dropping-particle":"","family":"Tedder","given":"Thomas F.","non-dropping-particle":"","parse-names":false,"suffix":""}],"container-title":"The Journal of Experimental Medicine","id":"ITEM-1","issue":"3","issued":{"date-parts":[["2006"]]},"page":"743-753","title":"Antibody isotype-specific engagement of Fcγ receptors regulates B lymphocyte depletion during CD20 immunotherapy","type":"article-journal","volume":"203"},"uris":["http://www.mendeley.com/documents/?uuid=eb405835-49f4-4fae-af39-5e87caee3995"]}],"mendeley":{"formattedCitation":"&lt;sup&gt;36&lt;/sup&gt;","plainTextFormattedCitation":"36","previouslyFormattedCitation":"&lt;sup&gt;36&lt;/sup&gt;"},"properties":{"noteIndex":0},"schema":"https://github.com/citation-style-language/schema/raw/master/csl-citation.json"}</w:instrText>
      </w:r>
      <w:r w:rsidR="00596F6B"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36</w:t>
      </w:r>
      <w:r w:rsidR="00596F6B" w:rsidRPr="00BA6F83">
        <w:rPr>
          <w:rFonts w:asciiTheme="minorHAnsi" w:hAnsiTheme="minorHAnsi"/>
          <w:color w:val="000000" w:themeColor="text1"/>
          <w:lang w:val="en-US"/>
        </w:rPr>
        <w:fldChar w:fldCharType="end"/>
      </w:r>
      <w:r w:rsidR="00596F6B" w:rsidRPr="00BA6F83">
        <w:rPr>
          <w:rFonts w:asciiTheme="minorHAnsi" w:hAnsiTheme="minorHAnsi"/>
          <w:color w:val="000000" w:themeColor="text1"/>
          <w:lang w:val="en-US"/>
        </w:rPr>
        <w:t xml:space="preserve"> and bortezomib</w:t>
      </w:r>
      <w:r w:rsidR="00596F6B"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{"citationItems":[{"id":"ITEM-1","itemData":{"DOI":"10.1371/journal.pone.0135081","ISSN":"19326203","PMID":"26252021","abstract":"METHODS: NZB/W F1 mice were treated with: 1) anti-CD20, 2) anti-CD20 plus bortezomib, 3) anti-CD20 plus anti-LFA-1/anti-VLA-4 blocking antibodies, 4) anti-CD20 plus bortezomib and anti-LFA-1/anti-VLA4 blocking antibodies. Short- and long-lived plasma cells including autoreactive cells in the bone marrow and spleen were enumerated by flow cytometry and ELISPOT seven days after treatment. Based on these data in another experiment, mice received one cycle of anti-CD20 plus bortezomib followed by four cycles of anti-CD20 therapy every 10 days and were monitored for its effect on plasma cells and disease.\\n\\nRESULTS: Short-lived plasma cells in bone marrow and spleen were efficiently depleted by all regimens targeting plasma cells. Conversely, LLPCs and anti-dsDNA-secreting plasma cells in bone marrow and spleen showed resistance to depletion and were strongly reduced by bortezomib plus anti-CD20. The effective depletion of plasma cells by bortezomib complemented by the continuous depletion of their precursor B cells using anti-CD20 promoted the persistent reduction of IgG anti-dsDNA antibodies, delayed nephritis and prolonged survival in NZB/W F1 mice.\\n\\nCONCLUSIONS: These findings suggest that the effective depletion of LLPCs using bortezomib in combination with a therapy that continuously targeting B cells as their precursors may prevent the regeneration of autoreactive LLPCs and, thus, might represent a promising treatment strategy for SLE and other (auto)antibody-mediated diseases.","author":[{"dropping-particle":"","family":"Khodadadi","given":"Laleh","non-dropping-particle":"","parse-names":false,"suffix":""},{"dropping-particle":"","family":"Cheng","given":"Qingyu","non-dropping-particle":"","parse-names":false,"suffix":""},{"dropping-particle":"","family":"Alexander","given":"Tobias","non-dropping-particle":"","parse-names":false,"suffix":""},{"dropping-particle":"","family":"Sercan-Alp","given":"Ozen","non-dropping-particle":"","parse-names":false,"suffix":""},{"dropping-particle":"","family":"Klotsche","given":"Jens","non-dropping-particle":"","parse-names":false,"suffix":""},{"dropping-particle":"","family":"Radbruch","given":"Andreas","non-dropping-particle":"","parse-names":false,"suffix":""},{"dropping-particle":"","family":"Hiepe","given":"Falk","non-dropping-particle":"","parse-names":false,"suffix":""},{"dropping-particle":"","family":"Hoyer","given":"Bimba F.","non-dropping-particle":"","parse-names":false,"suffix":""},{"dropping-particle":"","family":"Taddeo","given":"Adriano","non-dropping-particle":"","parse-names":false,"suffix":""}],"container-title":"PLoS ONE","id":"ITEM-1","issue":"8","issued":{"date-parts":[["2015"]]},"page":"1-17","title":"Bortezomib plus continuous b cell depletion results in sustained plasma cell depletion and amelioration of lupus nephritis in NZB/WF1 Mice","type":"article-journal","volume":"10"},"uris":["http://www.mendeley.com/documents/?uuid=bb2222a3-7e08-4011-b43f-e114a299b3c7"]}],"mendeley":{"formattedCitation":"&lt;sup&gt;37&lt;/sup&gt;","plainTextFormattedCitation":"37","previouslyFormattedCitation":"&lt;sup&gt;37&lt;/sup&gt;"},"properties":{"noteIndex":0},"schema":"https://github.com/citation-style-language/schema/raw/master/csl-citation.json"}</w:instrText>
      </w:r>
      <w:r w:rsidR="00596F6B"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37</w:t>
      </w:r>
      <w:r w:rsidR="00596F6B" w:rsidRPr="00BA6F83">
        <w:rPr>
          <w:rFonts w:asciiTheme="minorHAnsi" w:hAnsiTheme="minorHAnsi"/>
          <w:color w:val="000000" w:themeColor="text1"/>
          <w:lang w:val="en-US"/>
        </w:rPr>
        <w:fldChar w:fldCharType="end"/>
      </w:r>
      <w:r w:rsidR="00596F6B"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5F76A9"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596F6B" w:rsidRPr="00BA6F83">
        <w:rPr>
          <w:rFonts w:asciiTheme="minorHAnsi" w:hAnsiTheme="minorHAnsi"/>
          <w:color w:val="000000" w:themeColor="text1"/>
          <w:lang w:val="en-US"/>
        </w:rPr>
        <w:t xml:space="preserve"> </w:t>
      </w:r>
      <w:r w:rsidR="006A0B76" w:rsidRPr="00BA6F83">
        <w:rPr>
          <w:rFonts w:asciiTheme="minorHAnsi" w:hAnsiTheme="minorHAnsi"/>
          <w:color w:val="000000" w:themeColor="text1"/>
          <w:lang w:val="en-US"/>
        </w:rPr>
        <w:t>4</w:t>
      </w:r>
      <w:r w:rsidR="00A63224">
        <w:rPr>
          <w:rFonts w:asciiTheme="minorHAnsi" w:hAnsiTheme="minorHAnsi"/>
          <w:color w:val="000000" w:themeColor="text1"/>
          <w:lang w:val="en-US"/>
        </w:rPr>
        <w:t>H</w:t>
      </w:r>
      <w:r w:rsidR="009F1B55" w:rsidRPr="00BA6F83">
        <w:rPr>
          <w:rFonts w:asciiTheme="minorHAnsi" w:hAnsiTheme="minorHAnsi"/>
          <w:color w:val="000000" w:themeColor="text1"/>
          <w:lang w:val="en-US"/>
        </w:rPr>
        <w:t>-</w:t>
      </w:r>
      <w:r w:rsidR="004057E2">
        <w:rPr>
          <w:rFonts w:asciiTheme="minorHAnsi" w:hAnsiTheme="minorHAnsi"/>
          <w:color w:val="000000" w:themeColor="text1"/>
          <w:lang w:val="en-US"/>
        </w:rPr>
        <w:t>J</w:t>
      </w:r>
      <w:r w:rsidR="00596F6B" w:rsidRPr="00BA6F83">
        <w:rPr>
          <w:rFonts w:asciiTheme="minorHAnsi" w:hAnsiTheme="minorHAnsi"/>
          <w:color w:val="000000" w:themeColor="text1"/>
          <w:lang w:val="en-US"/>
        </w:rPr>
        <w:t>)</w:t>
      </w:r>
      <w:r w:rsidR="00B84DD9" w:rsidRPr="00BA6F83">
        <w:rPr>
          <w:rFonts w:asciiTheme="minorHAnsi" w:hAnsiTheme="minorHAnsi"/>
          <w:color w:val="000000" w:themeColor="text1"/>
          <w:lang w:val="en-US"/>
        </w:rPr>
        <w:t xml:space="preserve"> lowered OVA-specific </w:t>
      </w:r>
      <w:proofErr w:type="spellStart"/>
      <w:r w:rsidR="00B84DD9" w:rsidRPr="00BA6F83">
        <w:rPr>
          <w:rFonts w:asciiTheme="minorHAnsi" w:hAnsiTheme="minorHAnsi"/>
          <w:color w:val="000000" w:themeColor="text1"/>
          <w:lang w:val="en-US"/>
        </w:rPr>
        <w:t>IgE</w:t>
      </w:r>
      <w:proofErr w:type="spellEnd"/>
      <w:r w:rsidR="00B84DD9" w:rsidRPr="00BA6F83">
        <w:rPr>
          <w:rFonts w:asciiTheme="minorHAnsi" w:hAnsiTheme="minorHAnsi"/>
          <w:color w:val="000000" w:themeColor="text1"/>
          <w:lang w:val="en-US"/>
        </w:rPr>
        <w:t xml:space="preserve"> </w:t>
      </w:r>
      <w:r w:rsidR="006A7358" w:rsidRPr="00BA6F83">
        <w:rPr>
          <w:rFonts w:asciiTheme="minorHAnsi" w:hAnsiTheme="minorHAnsi"/>
          <w:color w:val="000000" w:themeColor="text1"/>
          <w:lang w:val="en-US"/>
        </w:rPr>
        <w:t xml:space="preserve">levels </w:t>
      </w:r>
      <w:r w:rsidR="00B84DD9" w:rsidRPr="00BA6F83">
        <w:rPr>
          <w:rFonts w:asciiTheme="minorHAnsi" w:hAnsiTheme="minorHAnsi"/>
          <w:color w:val="000000" w:themeColor="text1"/>
          <w:lang w:val="en-US"/>
        </w:rPr>
        <w:t>(</w:t>
      </w:r>
      <w:r w:rsidR="00983FF8" w:rsidRPr="00BA6F83">
        <w:rPr>
          <w:rFonts w:asciiTheme="minorHAnsi" w:hAnsiTheme="minorHAnsi"/>
          <w:color w:val="000000" w:themeColor="text1"/>
          <w:lang w:val="en-US"/>
        </w:rPr>
        <w:t>Extended Data</w:t>
      </w:r>
      <w:r w:rsidR="00B84DD9"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B84DD9" w:rsidRPr="00BA6F83">
        <w:rPr>
          <w:rFonts w:asciiTheme="minorHAnsi" w:hAnsiTheme="minorHAnsi"/>
          <w:color w:val="000000" w:themeColor="text1"/>
          <w:lang w:val="en-US"/>
        </w:rPr>
        <w:t xml:space="preserve"> </w:t>
      </w:r>
      <w:r w:rsidR="006A0B76" w:rsidRPr="00BA6F83">
        <w:rPr>
          <w:rFonts w:asciiTheme="minorHAnsi" w:hAnsiTheme="minorHAnsi"/>
          <w:color w:val="000000" w:themeColor="text1"/>
          <w:lang w:val="en-US"/>
        </w:rPr>
        <w:t>4</w:t>
      </w:r>
      <w:r w:rsidR="004057E2">
        <w:rPr>
          <w:rFonts w:asciiTheme="minorHAnsi" w:hAnsiTheme="minorHAnsi"/>
          <w:color w:val="000000" w:themeColor="text1"/>
          <w:lang w:val="en-US"/>
        </w:rPr>
        <w:t>K</w:t>
      </w:r>
      <w:r w:rsidR="00B84DD9" w:rsidRPr="00BA6F83">
        <w:rPr>
          <w:rFonts w:asciiTheme="minorHAnsi" w:hAnsiTheme="minorHAnsi"/>
          <w:color w:val="000000" w:themeColor="text1"/>
          <w:lang w:val="en-US"/>
        </w:rPr>
        <w:t>) and prevented the development of</w:t>
      </w:r>
      <w:r w:rsidR="00596F6B" w:rsidRPr="00BA6F83">
        <w:rPr>
          <w:rFonts w:asciiTheme="minorHAnsi" w:hAnsiTheme="minorHAnsi"/>
          <w:color w:val="000000" w:themeColor="text1"/>
          <w:lang w:val="en-US"/>
        </w:rPr>
        <w:t xml:space="preserve"> VHS (</w:t>
      </w:r>
      <w:r w:rsidR="00983FF8" w:rsidRPr="00BA6F83">
        <w:rPr>
          <w:rFonts w:asciiTheme="minorHAnsi" w:hAnsiTheme="minorHAnsi"/>
          <w:color w:val="000000" w:themeColor="text1"/>
          <w:lang w:val="en-US"/>
        </w:rPr>
        <w:t>Fig.</w:t>
      </w:r>
      <w:r w:rsidR="00596F6B" w:rsidRPr="00BA6F83">
        <w:rPr>
          <w:rFonts w:asciiTheme="minorHAnsi" w:hAnsiTheme="minorHAnsi"/>
          <w:color w:val="000000" w:themeColor="text1"/>
          <w:lang w:val="en-US"/>
        </w:rPr>
        <w:t xml:space="preserve"> </w:t>
      </w:r>
      <w:r w:rsidR="005F76A9" w:rsidRPr="00BA6F83">
        <w:rPr>
          <w:rFonts w:asciiTheme="minorHAnsi" w:hAnsiTheme="minorHAnsi"/>
          <w:color w:val="000000" w:themeColor="text1"/>
          <w:lang w:val="en-US"/>
        </w:rPr>
        <w:t>2</w:t>
      </w:r>
      <w:r w:rsidR="009F1B55" w:rsidRPr="00BA6F83">
        <w:rPr>
          <w:rFonts w:asciiTheme="minorHAnsi" w:hAnsiTheme="minorHAnsi"/>
          <w:color w:val="000000" w:themeColor="text1"/>
          <w:lang w:val="en-US"/>
        </w:rPr>
        <w:t>H, I</w:t>
      </w:r>
      <w:r w:rsidR="00596F6B" w:rsidRPr="00BA6F83">
        <w:rPr>
          <w:rFonts w:asciiTheme="minorHAnsi" w:hAnsiTheme="minorHAnsi"/>
          <w:color w:val="000000" w:themeColor="text1"/>
          <w:lang w:val="en-US"/>
        </w:rPr>
        <w:t>)</w:t>
      </w:r>
      <w:r w:rsidR="006A7358" w:rsidRPr="00BA6F83">
        <w:rPr>
          <w:rFonts w:asciiTheme="minorHAnsi" w:hAnsiTheme="minorHAnsi"/>
          <w:color w:val="000000" w:themeColor="text1"/>
          <w:lang w:val="en-US"/>
        </w:rPr>
        <w:t xml:space="preserve"> compared to control/vehicle-treated animals</w:t>
      </w:r>
      <w:r w:rsidR="00B84DD9" w:rsidRPr="00BA6F83">
        <w:rPr>
          <w:rFonts w:asciiTheme="minorHAnsi" w:hAnsiTheme="minorHAnsi"/>
          <w:color w:val="000000" w:themeColor="text1"/>
          <w:lang w:val="en-US"/>
        </w:rPr>
        <w:t>.</w:t>
      </w:r>
      <w:r w:rsidR="005F76A9" w:rsidRPr="00BA6F83">
        <w:rPr>
          <w:rFonts w:asciiTheme="minorHAnsi" w:hAnsiTheme="minorHAnsi"/>
          <w:color w:val="000000" w:themeColor="text1"/>
          <w:lang w:val="en-US"/>
        </w:rPr>
        <w:t xml:space="preserve"> </w:t>
      </w:r>
      <w:r w:rsidR="009328B0" w:rsidRPr="00BA6F83">
        <w:rPr>
          <w:rFonts w:asciiTheme="minorHAnsi" w:hAnsiTheme="minorHAnsi"/>
          <w:color w:val="000000" w:themeColor="text1"/>
          <w:lang w:val="en-US"/>
        </w:rPr>
        <w:t xml:space="preserve">Taken together, </w:t>
      </w:r>
      <w:r w:rsidR="003111DD" w:rsidRPr="00BA6F83">
        <w:rPr>
          <w:rFonts w:asciiTheme="minorHAnsi" w:hAnsiTheme="minorHAnsi"/>
          <w:color w:val="000000" w:themeColor="text1"/>
          <w:lang w:val="en-US"/>
        </w:rPr>
        <w:t xml:space="preserve">our results </w:t>
      </w:r>
      <w:r w:rsidR="004D5431" w:rsidRPr="00BA6F83">
        <w:rPr>
          <w:rFonts w:asciiTheme="minorHAnsi" w:hAnsiTheme="minorHAnsi"/>
          <w:color w:val="000000" w:themeColor="text1"/>
          <w:lang w:val="en-US"/>
        </w:rPr>
        <w:t>show that</w:t>
      </w:r>
      <w:r w:rsidR="009328B0" w:rsidRPr="00BA6F83">
        <w:rPr>
          <w:rFonts w:asciiTheme="minorHAnsi" w:hAnsiTheme="minorHAnsi"/>
          <w:color w:val="000000" w:themeColor="text1"/>
          <w:lang w:val="en-US"/>
        </w:rPr>
        <w:t xml:space="preserve"> MC </w:t>
      </w:r>
      <w:r w:rsidR="003111DD" w:rsidRPr="00BA6F83">
        <w:rPr>
          <w:rFonts w:asciiTheme="minorHAnsi" w:hAnsiTheme="minorHAnsi"/>
          <w:color w:val="000000" w:themeColor="text1"/>
          <w:lang w:val="en-US"/>
        </w:rPr>
        <w:t xml:space="preserve">activation </w:t>
      </w:r>
      <w:r w:rsidR="009328B0" w:rsidRPr="00BA6F83">
        <w:rPr>
          <w:rFonts w:asciiTheme="minorHAnsi" w:hAnsiTheme="minorHAnsi"/>
          <w:color w:val="000000" w:themeColor="text1"/>
          <w:lang w:val="en-US"/>
        </w:rPr>
        <w:t>play</w:t>
      </w:r>
      <w:r w:rsidR="003111DD" w:rsidRPr="00BA6F83">
        <w:rPr>
          <w:rFonts w:asciiTheme="minorHAnsi" w:hAnsiTheme="minorHAnsi"/>
          <w:color w:val="000000" w:themeColor="text1"/>
          <w:lang w:val="en-US"/>
        </w:rPr>
        <w:t>s</w:t>
      </w:r>
      <w:r w:rsidR="009328B0" w:rsidRPr="00BA6F83">
        <w:rPr>
          <w:rFonts w:asciiTheme="minorHAnsi" w:hAnsiTheme="minorHAnsi"/>
          <w:color w:val="000000" w:themeColor="text1"/>
          <w:lang w:val="en-US"/>
        </w:rPr>
        <w:t xml:space="preserve"> a major role in the development of VHS and increased colonic permeability, as has been suggested in IBS</w:t>
      </w:r>
      <w:r w:rsidR="006444D0" w:rsidRPr="00BA6F83">
        <w:rPr>
          <w:rFonts w:asciiTheme="minorHAnsi" w:hAnsiTheme="minorHAnsi"/>
          <w:color w:val="000000" w:themeColor="text1"/>
          <w:lang w:val="en-US"/>
        </w:rPr>
        <w:t>.</w:t>
      </w:r>
    </w:p>
    <w:p w14:paraId="29C7B056" w14:textId="225BE3F2" w:rsidR="002200D8" w:rsidRDefault="002200D8" w:rsidP="00AA5458">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Recently, we</w:t>
      </w:r>
      <w:r w:rsidR="00C959E3" w:rsidRPr="00BA6F83">
        <w:rPr>
          <w:rFonts w:asciiTheme="minorHAnsi" w:hAnsiTheme="minorHAnsi"/>
          <w:color w:val="000000" w:themeColor="text1"/>
          <w:lang w:val="en-US"/>
        </w:rPr>
        <w:t xml:space="preserve"> and others have</w:t>
      </w:r>
      <w:r w:rsidRPr="00BA6F83">
        <w:rPr>
          <w:rFonts w:asciiTheme="minorHAnsi" w:hAnsiTheme="minorHAnsi"/>
          <w:color w:val="000000" w:themeColor="text1"/>
          <w:lang w:val="en-US"/>
        </w:rPr>
        <w:t xml:space="preserve"> demonstrated that </w:t>
      </w:r>
      <w:r w:rsidR="00352176">
        <w:rPr>
          <w:rFonts w:asciiTheme="minorHAnsi" w:hAnsiTheme="minorHAnsi"/>
          <w:color w:val="000000" w:themeColor="text1"/>
          <w:lang w:val="en-US"/>
        </w:rPr>
        <w:t xml:space="preserve">both </w:t>
      </w:r>
      <w:r w:rsidR="00977DE9" w:rsidRPr="00BA6F83">
        <w:rPr>
          <w:rFonts w:asciiTheme="minorHAnsi" w:hAnsiTheme="minorHAnsi"/>
          <w:color w:val="000000" w:themeColor="text1"/>
          <w:lang w:val="en-US"/>
        </w:rPr>
        <w:t xml:space="preserve">biopsy </w:t>
      </w:r>
      <w:r w:rsidRPr="00BA6F83">
        <w:rPr>
          <w:rFonts w:asciiTheme="minorHAnsi" w:hAnsiTheme="minorHAnsi"/>
          <w:color w:val="000000" w:themeColor="text1"/>
          <w:lang w:val="en-US"/>
        </w:rPr>
        <w:t>supernatant</w:t>
      </w:r>
      <w:r w:rsidR="0014369F" w:rsidRPr="00BA6F83">
        <w:rPr>
          <w:rFonts w:asciiTheme="minorHAnsi" w:hAnsiTheme="minorHAnsi"/>
          <w:color w:val="000000" w:themeColor="text1"/>
          <w:lang w:val="en-US"/>
        </w:rPr>
        <w:t>s</w:t>
      </w:r>
      <w:r w:rsidRPr="00BA6F83">
        <w:rPr>
          <w:rFonts w:asciiTheme="minorHAnsi" w:hAnsiTheme="minorHAnsi"/>
          <w:color w:val="000000" w:themeColor="text1"/>
          <w:lang w:val="en-US"/>
        </w:rPr>
        <w:t xml:space="preserve"> </w:t>
      </w:r>
      <w:r w:rsidR="00977DE9" w:rsidRPr="00BA6F83">
        <w:rPr>
          <w:rFonts w:asciiTheme="minorHAnsi" w:hAnsiTheme="minorHAnsi"/>
          <w:color w:val="000000" w:themeColor="text1"/>
          <w:lang w:val="en-US"/>
        </w:rPr>
        <w:t xml:space="preserve">from </w:t>
      </w:r>
      <w:r w:rsidRPr="00BA6F83">
        <w:rPr>
          <w:rFonts w:asciiTheme="minorHAnsi" w:hAnsiTheme="minorHAnsi"/>
          <w:color w:val="000000" w:themeColor="text1"/>
          <w:lang w:val="en-US"/>
        </w:rPr>
        <w:t xml:space="preserve">IBS </w:t>
      </w:r>
      <w:r w:rsidR="00977DE9" w:rsidRPr="00BA6F83">
        <w:rPr>
          <w:rFonts w:asciiTheme="minorHAnsi" w:hAnsiTheme="minorHAnsi"/>
          <w:color w:val="000000" w:themeColor="text1"/>
          <w:lang w:val="en-US"/>
        </w:rPr>
        <w:t xml:space="preserve">patients </w:t>
      </w:r>
      <w:r w:rsidRPr="00BA6F83">
        <w:rPr>
          <w:rFonts w:asciiTheme="minorHAnsi" w:hAnsiTheme="minorHAnsi"/>
          <w:color w:val="000000" w:themeColor="text1"/>
          <w:lang w:val="en-US"/>
        </w:rPr>
        <w:t>and histamine, one of the main mediators released by MC, not only activate but also sensitize visceral afferents and dorsal root ganglia (DRG)</w:t>
      </w:r>
      <w:r w:rsidR="00E125D9" w:rsidRPr="00BA6F83">
        <w:rPr>
          <w:rFonts w:asciiTheme="minorHAnsi" w:hAnsiTheme="minorHAnsi"/>
          <w:color w:val="000000" w:themeColor="text1"/>
          <w:lang w:val="en-US"/>
        </w:rPr>
        <w:t xml:space="preserve"> neurons</w:t>
      </w:r>
      <w:r w:rsidR="00A4619E"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{"citationItems":[{"id":"ITEM-1","itemData":{"DOI":"10.1038/s41598-017-12618-7","ISBN":"2045-2322","ISSN":"20452322","PMID":"29051514","abstract":"Post-infectious irritable bowel syndrome (PI-IBS) is a common gastrointestinal disorder characterized by persistent abdominal pain despite recovery from acute gastroenteritis. The underlying mechanisms are unclear, although long-term changes in neuronal function, and low grade inflammation of the bowel have been hypothesized. We investigated the presence and mechanism of neuronal sensitization in a unique cohort of individuals who developed PI-IBS following exposure to contaminated drinking water 7 years ago. We provide direct evidence of ongoing sensitization of neuronal signaling in the bowel of patients with PI-IBS. These changes occur in the absence of any detectable tissue inflammation, and instead appear to be driven by pro-nociceptive changes in the gut micro-environment. This is evidenced by the activation of murine colonic afferents, and sensitization responses to capsaicin in dorsal root ganglia (DRGs) following application of supernatants generated from tissue biopsy of patients with PI-IBS. We demonstrate that neuronal signaling within the bowel of PI-IBS patients is sensitized 2 years after the initial infection has resolved. This sensitization appears to be mediated by a persistent pro-nociceptive change in the gut micro-environment, that has the capacity to stimulate visceral afferents and facilitate neuronal TRPV1 signaling.","author":[{"dropping-particle":"","family":"Balemans","given":"D.","non-dropping-particle":"","parse-names":false,"suffix":""},{"dropping-particle":"","family":"Mondelaers","given":"S. U.","non-dropping-particle":"","parse-names":false,"suffix":""},{"dropping-particle":"","family":"Cibert-Goton","given":"V.","non-dropping-particle":"","parse-names":false,"suffix":""},{"dropping-particle":"","family":"Stakenborg","given":"N.","non-dropping-particle":"","parse-names":false,"suffix":""},{"dropping-particle":"","family":"Aguilera-Lizarraga","given":"J.","non-dropping-particle":"","parse-names":false,"suffix":""},{"dropping-particle":"","family":"Dooley","given":"J.","non-dropping-particle":"","parse-names":false,"suffix":""},{"dropping-particle":"","family":"Liston","given":"A.","non-dropping-particle":"","parse-names":false,"suffix":""},{"dropping-particle":"","family":"Bulmer","given":"D. C.","non-dropping-particle":"","parse-names":false,"suffix":""},{"dropping-particle":"","family":"Berghe","given":"P.","non-dropping-particle":"Vanden","parse-names":false,"suffix":""},{"dropping-particle":"","family":"Boeckxstaens","given":"G. E.","non-dropping-particle":"","parse-names":false,"suffix":""},{"dropping-particle":"","family":"Wouters","given":"M. M.","non-dropping-particle":"","parse-names":false,"suffix":""}],"container-title":"Scientific Reports","id":"ITEM-1","issue":"1","issued":{"date-parts":[["2017"]]},"page":"13606","title":"Evidence for long-term sensitization of the bowel in patients with post-infectious-IBS","type":"article-journal","volume":"7"},"uris":["http://www.mendeley.com/documents/?uuid=e03a9b25-3761-475f-926b-67ad02167b6e"]},{"id":"ITEM-2","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E.","non-dropping-particle":"","parse-names":false,"suffix":""}],"container-title":"Gastroenterology","id":"ITEM-2","issue":"4","issued":{"date-parts":[["2016"]]},"page":"875-887.e9","title":"Histamine Receptor H1-Mediated Sensitization of TRPV1 Mediates Visceral Hypersensitivity and Symptoms in Patients with Irritable Bowel Syndrome","type":"article-journal","volume":"150"},"uris":["http://www.mendeley.com/documents/?uuid=877088fd-6212-4474-952f-b2f94ca5f924"]},{"id":"ITEM-3","itemData":{"DOI":"10.1053/j.gastro.2006.11.039","ISBN":"0016-5085 (Print)\\r0016-5085 (Linking)","ISSN":"00165085","PMID":"17241857","abstract":"Background &amp; Aims: Intestinal mast cell infiltration may participate to abdominal pain in irritable bowel syndrome (IBS) patients. However, the underlying mechanisms remain unknown. We assessed the effect of mast cell mediators released from the colonic mucosa of IBS patients on the activation of rat sensory neurons in vitro. Methods: Colonic mast cell infiltration and mediator release were assessed with quantitative immunoflorescence and immunoenzymatic assays. The effect of mucosal mediators was tested on mesenteric sensory nerve firing and Ca2+mobilization in dorsal root ganglia in rats. Results: Mediators from IBS patients, but not controls, markedly enhanced the firing of mesenteric nerves (14.7 ± 3.2 imp/sec vs 2.8 ± 1.5 imp/sec; P &lt; .05) and stimulated mobilization of Ca2+in dorsal root ganglia neurons (29% ± 4% vs 11% ± 4%; P &lt; .05). On average, 64% of dorsal root ganglia responsive to mediators were capsaicin-sensitive, known to mediate nociception. Histamine and tryptase were mainly localized to mucosal mast cells. IBS-dependent nerve firing and Ca2+mobilization were correlated with the area of the colonic lamina propria occupied by mast cells (r = 0.74; P &lt; .01, and r = 0.78; P &lt; .01, respectively). IBS-dependent excitation of dorsal root ganglia was inhibited by histamine H1receptor blockade and serine protease inactivation (inhibition of 51.7%; P &lt; .05 and 74.5%; P &lt; .05; respectively). Conclusions: Mucosal mast cell mediators from IBS patients excite rat nociceptive visceral sensory nerves. These results provide new insights into the mechanism underlying visceral hypersensitivity in IBS. © 2007 AGA Institute.","author":[{"dropping-particle":"","family":"Barbara","given":"Giovanni","non-dropping-particle":"","parse-names":false,"suffix":""},{"dropping-particle":"","family":"Wang","given":"Bingxian","non-dropping-particle":"","parse-names":false,"suffix":""},{"dropping-particle":"","family":"Stanghellini","given":"Vincenzo","non-dropping-particle":"","parse-names":false,"suffix":""},{"dropping-particle":"","family":"Giorgio","given":"Roberto","non-dropping-particle":"de","parse-names":false,"suffix":""},{"dropping-particle":"","family":"Cremon","given":"Cesare","non-dropping-particle":"","parse-names":false,"suffix":""},{"dropping-particle":"","family":"Nardo","given":"Giovanni","non-dropping-particle":"Di","parse-names":false,"suffix":""},{"dropping-particle":"","family":"Trevisani","given":"Marcello","non-dropping-particle":"","parse-names":false,"suffix":""},{"dropping-particle":"","family":"Campi","given":"Barbara","non-dropping-particle":"","parse-names":false,"suffix":""},{"dropping-particle":"","family":"Geppetti","given":"Pierangelo","non-dropping-particle":"","parse-names":false,"suffix":""},{"dropping-particle":"","family":"Tonini","given":"Marcello","non-dropping-particle":"","parse-names":false,"suffix":""},{"dropping-particle":"","family":"Bunnett","given":"Nigel W.","non-dropping-particle":"","parse-names":false,"suffix":""},{"dropping-particle":"","family":"Grundy","given":"David","non-dropping-particle":"","parse-names":false,"suffix":""},{"dropping-particle":"","family":"Corinaldesi","given":"Roberto","non-dropping-particle":"","parse-names":false,"suffix":""}],"container-title":"Gastroenterology","id":"ITEM-3","issue":"1","issued":{"date-parts":[["2007"]]},"page":"26-37","title":"Mast Cell-Dependent Excitation of Visceral-Nociceptive Sensory Neurons in Irritable Bowel Syndrome","type":"article-journal","volume":"132"},"uris":["http://www.mendeley.com/documents/?uuid=58bb5ffe-02c7-4b7d-b21f-e31b7d52e43e"]}],"mendeley":{"formattedCitation":"&lt;sup&gt;14,38,39&lt;/sup&gt;","plainTextFormattedCitation":"14,38,39","previouslyFormattedCitation":"&lt;sup&gt;14,38,39&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14,38,39</w:t>
      </w:r>
      <w:r w:rsidR="00A4619E"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t>
      </w:r>
      <w:r w:rsidR="00C63336" w:rsidRPr="000151FA">
        <w:rPr>
          <w:rFonts w:asciiTheme="minorHAnsi" w:hAnsiTheme="minorHAnsi"/>
          <w:color w:val="000000" w:themeColor="text1"/>
          <w:lang w:val="en-US"/>
        </w:rPr>
        <w:t>Mechanical stimulation of splanchnic nerves, known to transmit visceral pain signals to the spinal cord</w:t>
      </w:r>
      <w:r w:rsidR="00C819E0" w:rsidRPr="000151FA">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{"citationItems":[{"id":"ITEM-1","itemData":{"DOI":"10.1136/gut.2008.170811","ISBN":"1468-3288 (Electronic)\\r0017-5749 (Linking)","ISSN":"00175749","PMID":"19324867","abstract":"Intestinal infection evokes hypersensitivity in a subgroup of patients with irritable bowel syndrome (IBS) long after healing of the initial injury. Trinitrobenzene sulfonic acid (TNBS)-induced colitis in rodents likewise results in delayed maintained hypersensitivity, regarded as a model of some aspects of IBS. The colon and rectum have a complex sensory innervation, comprising five classes of mechanosensitive afferents in the splanchnic and pelvic nerves. Their plasticity may hold the key to underlying mechanisms in IBS. Our aim was therefore to determine the contribution of each afferent class in each pathway towards post-inflammatory visceral hypersensitivity.","author":[{"dropping-particle":"","family":"Hughes","given":"P. A.","non-dropping-particle":"","parse-names":false,"suffix":""},{"dropping-particle":"","family":"Brierley","given":"S. M.","non-dropping-particle":"","parse-names":false,"suffix":""},{"dropping-particle":"","family":"Martin","given":"C. M.","non-dropping-particle":"","parse-names":false,"suffix":""},{"dropping-particle":"","family":"Brookes","given":"S. J H","non-dropping-particle":"","parse-names":false,"suffix":""},{"dropping-particle":"","family":"Linden","given":"D. R.","non-dropping-particle":"","parse-names":false,"suffix":""},{"dropping-particle":"","family":"Blackshaw","given":"L. A.","non-dropping-particle":"","parse-names":false,"suffix":""}],"container-title":"Gut","id":"ITEM-1","issue":"10","issued":{"date-parts":[["2009"]]},"page":"1333-1341","title":"Post-inflammatory colonic afferent sensitisation: Different subtypes, different pathways and different time courses","type":"article-journal","volume":"58"},"uris":["http://www.mendeley.com/documents/?uuid=698617f9-8c03-45e7-a2fe-d8af2bf9f36d"]}],"mendeley":{"formattedCitation":"&lt;sup&gt;40&lt;/sup&gt;","plainTextFormattedCitation":"40","previouslyFormattedCitation":"&lt;sup&gt;40&lt;/sup&gt;"},"properties":{"noteIndex":0},"schema":"https://github.com/citation-style-language/schema/raw/master/csl-citation.json"}</w:instrText>
      </w:r>
      <w:r w:rsidR="00C819E0" w:rsidRPr="000151FA">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40</w:t>
      </w:r>
      <w:r w:rsidR="00C819E0" w:rsidRPr="000151FA">
        <w:rPr>
          <w:rFonts w:asciiTheme="minorHAnsi" w:hAnsiTheme="minorHAnsi"/>
          <w:color w:val="000000" w:themeColor="text1"/>
          <w:lang w:val="en-US"/>
        </w:rPr>
        <w:fldChar w:fldCharType="end"/>
      </w:r>
      <w:r w:rsidR="00C63336" w:rsidRPr="000151FA">
        <w:rPr>
          <w:rFonts w:asciiTheme="minorHAnsi" w:hAnsiTheme="minorHAnsi"/>
          <w:color w:val="000000" w:themeColor="text1"/>
          <w:lang w:val="en-US"/>
        </w:rPr>
        <w:t xml:space="preserve">, evoked an increased action potential discharge in VHS (OVA/infected + OVA) mice compared to </w:t>
      </w:r>
      <w:proofErr w:type="spellStart"/>
      <w:r w:rsidR="00C63336" w:rsidRPr="000151FA">
        <w:rPr>
          <w:rFonts w:asciiTheme="minorHAnsi" w:hAnsiTheme="minorHAnsi"/>
          <w:color w:val="000000" w:themeColor="text1"/>
          <w:lang w:val="en-US"/>
        </w:rPr>
        <w:t>normosensitive</w:t>
      </w:r>
      <w:proofErr w:type="spellEnd"/>
      <w:r w:rsidR="00C63336" w:rsidRPr="000151FA">
        <w:rPr>
          <w:rFonts w:asciiTheme="minorHAnsi" w:hAnsiTheme="minorHAnsi"/>
          <w:color w:val="000000" w:themeColor="text1"/>
          <w:lang w:val="en-US"/>
        </w:rPr>
        <w:t xml:space="preserve"> </w:t>
      </w:r>
      <w:r w:rsidR="00BD7ABF">
        <w:rPr>
          <w:rFonts w:asciiTheme="minorHAnsi" w:hAnsiTheme="minorHAnsi"/>
          <w:color w:val="000000" w:themeColor="text1"/>
          <w:lang w:val="en-US"/>
        </w:rPr>
        <w:t xml:space="preserve">mice </w:t>
      </w:r>
      <w:r w:rsidR="00C63336" w:rsidRPr="000151FA">
        <w:rPr>
          <w:rFonts w:asciiTheme="minorHAnsi" w:hAnsiTheme="minorHAnsi"/>
          <w:color w:val="000000" w:themeColor="text1"/>
          <w:lang w:val="en-US"/>
        </w:rPr>
        <w:t>(OVA/infected + saline</w:t>
      </w:r>
      <w:r w:rsidR="00CB3A32">
        <w:rPr>
          <w:rFonts w:asciiTheme="minorHAnsi" w:hAnsiTheme="minorHAnsi"/>
          <w:color w:val="000000" w:themeColor="text1"/>
          <w:lang w:val="en-US"/>
        </w:rPr>
        <w:t xml:space="preserve"> and naïve mice</w:t>
      </w:r>
      <w:r w:rsidR="00C63336" w:rsidRPr="000151FA">
        <w:rPr>
          <w:rFonts w:asciiTheme="minorHAnsi" w:hAnsiTheme="minorHAnsi"/>
          <w:color w:val="000000" w:themeColor="text1"/>
          <w:lang w:val="en-US"/>
        </w:rPr>
        <w:t>) (</w:t>
      </w:r>
      <w:r w:rsidR="00983FF8" w:rsidRPr="000151FA">
        <w:rPr>
          <w:rFonts w:asciiTheme="minorHAnsi" w:hAnsiTheme="minorHAnsi"/>
          <w:color w:val="000000" w:themeColor="text1"/>
          <w:lang w:val="en-US"/>
        </w:rPr>
        <w:t>Fig.</w:t>
      </w:r>
      <w:r w:rsidR="00C63336" w:rsidRPr="000151FA">
        <w:rPr>
          <w:rFonts w:asciiTheme="minorHAnsi" w:hAnsiTheme="minorHAnsi"/>
          <w:color w:val="000000" w:themeColor="text1"/>
          <w:lang w:val="en-US"/>
        </w:rPr>
        <w:t xml:space="preserve"> </w:t>
      </w:r>
      <w:r w:rsidR="00C819E0" w:rsidRPr="000151FA">
        <w:rPr>
          <w:rFonts w:asciiTheme="minorHAnsi" w:hAnsiTheme="minorHAnsi"/>
          <w:color w:val="000000" w:themeColor="text1"/>
          <w:lang w:val="en-US"/>
        </w:rPr>
        <w:t>3</w:t>
      </w:r>
      <w:r w:rsidR="00C63336" w:rsidRPr="000151FA">
        <w:rPr>
          <w:rFonts w:asciiTheme="minorHAnsi" w:hAnsiTheme="minorHAnsi"/>
          <w:color w:val="000000" w:themeColor="text1"/>
          <w:lang w:val="en-US"/>
        </w:rPr>
        <w:t>A), indicating</w:t>
      </w:r>
      <w:r w:rsidR="004E2D9A" w:rsidRPr="000151FA">
        <w:rPr>
          <w:rFonts w:asciiTheme="minorHAnsi" w:hAnsiTheme="minorHAnsi"/>
          <w:color w:val="000000" w:themeColor="text1"/>
          <w:lang w:val="en-US"/>
        </w:rPr>
        <w:t xml:space="preserve"> </w:t>
      </w:r>
      <w:r w:rsidR="00C63336" w:rsidRPr="000151FA">
        <w:rPr>
          <w:rFonts w:asciiTheme="minorHAnsi" w:hAnsiTheme="minorHAnsi"/>
          <w:color w:val="000000" w:themeColor="text1"/>
          <w:lang w:val="en-US"/>
        </w:rPr>
        <w:t xml:space="preserve">increased sensitivity </w:t>
      </w:r>
      <w:r w:rsidR="004E2D9A" w:rsidRPr="000151FA">
        <w:rPr>
          <w:rFonts w:asciiTheme="minorHAnsi" w:hAnsiTheme="minorHAnsi"/>
          <w:color w:val="000000" w:themeColor="text1"/>
          <w:lang w:val="en-US"/>
        </w:rPr>
        <w:t xml:space="preserve">of visceral nerves </w:t>
      </w:r>
      <w:r w:rsidR="00C63336" w:rsidRPr="000151FA">
        <w:rPr>
          <w:rFonts w:asciiTheme="minorHAnsi" w:hAnsiTheme="minorHAnsi"/>
          <w:color w:val="000000" w:themeColor="text1"/>
          <w:lang w:val="en-US"/>
        </w:rPr>
        <w:t>in VHS mice.</w:t>
      </w:r>
      <w:r w:rsidRPr="00BA6F83">
        <w:rPr>
          <w:rFonts w:asciiTheme="minorHAnsi" w:hAnsiTheme="minorHAnsi"/>
          <w:color w:val="000000" w:themeColor="text1"/>
          <w:lang w:val="en-US"/>
        </w:rPr>
        <w:t xml:space="preserve"> </w:t>
      </w:r>
      <w:r w:rsidR="00C63336" w:rsidRPr="00BA6F83">
        <w:rPr>
          <w:rFonts w:asciiTheme="minorHAnsi" w:hAnsiTheme="minorHAnsi"/>
          <w:color w:val="000000" w:themeColor="text1"/>
          <w:lang w:val="en-US"/>
        </w:rPr>
        <w:t xml:space="preserve">Next, </w:t>
      </w:r>
      <w:r w:rsidRPr="00BA6F83">
        <w:rPr>
          <w:rFonts w:asciiTheme="minorHAnsi" w:hAnsiTheme="minorHAnsi"/>
          <w:color w:val="000000" w:themeColor="text1"/>
          <w:lang w:val="en-US"/>
        </w:rPr>
        <w:t>we</w:t>
      </w:r>
      <w:r w:rsidR="00AF1D90" w:rsidRPr="00BA6F83">
        <w:rPr>
          <w:rFonts w:asciiTheme="minorHAnsi" w:hAnsiTheme="minorHAnsi"/>
          <w:color w:val="000000" w:themeColor="text1"/>
          <w:lang w:val="en-US"/>
        </w:rPr>
        <w:t xml:space="preserve"> </w:t>
      </w:r>
      <w:r w:rsidR="007054C6" w:rsidRPr="00BA6F83">
        <w:rPr>
          <w:rFonts w:asciiTheme="minorHAnsi" w:hAnsiTheme="minorHAnsi"/>
          <w:color w:val="000000" w:themeColor="text1"/>
          <w:lang w:val="en-US"/>
        </w:rPr>
        <w:t xml:space="preserve">used patch-clamp recordings to </w:t>
      </w:r>
      <w:r w:rsidRPr="00BA6F83">
        <w:rPr>
          <w:rFonts w:asciiTheme="minorHAnsi" w:hAnsiTheme="minorHAnsi"/>
          <w:color w:val="000000" w:themeColor="text1"/>
          <w:lang w:val="en-US"/>
        </w:rPr>
        <w:t>assess whether supernatant of colonic tissue collected from VHS mice could increase DRG neurons</w:t>
      </w:r>
      <w:r w:rsidR="0014369F" w:rsidRPr="00BA6F83">
        <w:rPr>
          <w:rFonts w:asciiTheme="minorHAnsi" w:hAnsiTheme="minorHAnsi"/>
          <w:color w:val="000000" w:themeColor="text1"/>
          <w:lang w:val="en-US"/>
        </w:rPr>
        <w:t xml:space="preserve"> excitability</w:t>
      </w:r>
      <w:r w:rsidR="009A75BA" w:rsidRPr="00BA6F83">
        <w:rPr>
          <w:rFonts w:asciiTheme="minorHAnsi" w:hAnsiTheme="minorHAnsi"/>
          <w:color w:val="000000" w:themeColor="text1"/>
          <w:lang w:val="en-US"/>
        </w:rPr>
        <w:t>, similar to findings in IBS patients</w:t>
      </w:r>
      <w:r w:rsidR="00A4619E"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{"citationItems":[{"id":"ITEM-1","itemData":{"DOI":"10.1038/ajg.2013.241","ISBN":"1572-0241 (Electronic)\\r0002-9270 (Linking)","ISSN":"00029270","PMID":"23958521","abstract":"OBJECTIVES: This study examined whether mediators from biopsies of human irritable bowel syndrome (IBS) colons alter intrinsic excitability of colonic nociceptive dorsal root ganglion (DRG) neurons by a protease activated receptor 2 (PAR2)-mediated mechanism.\\n\\nMETHODS: Colonic mucosal biopsies from IBS patients with constipation (IBS-C) or diarrhea (IBS-D) and from healthy controls were incubated in medium, and supernatants were collected. Small-diameter mouse colonic DRG neurons were incubated in supernatants overnight and perforated patch current-clamp recordings obtained. Measurements of rheobase and action potential discharge at twice rheobase were compared between IBS and controls to assess differences in intrinsic excitability.\\n\\nRESULTS: Supernatants from IBS-D patients elicited a marked increase in neuronal excitability compared with controls. These changes were consistent among individual patients but the relative contribution of rheobase and action potential discharge varied. In contrast, no differences in neuronal excitability were seen with IBS-C patient supernatants. The increased excitability seen with IBS-D supernatant was not observed in PAR2 knockout mice. A cysteine protease inhibitor, which had no effect on the pronociceptive actions of a serine protease, inhibited the proexcitatory actions of IBS-D supernatant.\\n\\nCONCLUSIONS: Soluble mediators from colonic biopsies from IBS-D but not IBS-C patients sensitized colonic nociceptive DRG neurons, suggesting differences between these two groups. PAR2 signaling plays a role in this action and this protease signaling pathway could provide novel biomarkers and therapeutic targets for treatment.","author":[{"dropping-particle":"","family":"Valdez-Morales","given":"Eduardo E.","non-dropping-particle":"","parse-names":false,"suffix":""},{"dropping-particle":"","family":"Overington","given":"Jeff","non-dropping-particle":"","parse-names":false,"suffix":""},{"dropping-particle":"","family":"Guerrero-Alba","given":"Raquel","non-dropping-particle":"","parse-names":false,"suffix":""},{"dropping-particle":"","family":"Ochoa-Cortes","given":"Fernando","non-dropping-particle":"","parse-names":false,"suffix":""},{"dropping-particle":"","family":"Ibeakanma","given":"Charles O.","non-dropping-particle":"","parse-names":false,"suffix":""},{"dropping-particle":"","family":"Spreadbury","given":"Ian","non-dropping-particle":"","parse-names":false,"suffix":""},{"dropping-particle":"","family":"Bunnett","given":"Nigel W.","non-dropping-particle":"","parse-names":false,"suffix":""},{"dropping-particle":"","family":"Beyak","given":"Michael","non-dropping-particle":"","parse-names":false,"suffix":""},{"dropping-particle":"","family":"Vanner","given":"Stephen J.","non-dropping-particle":"","parse-names":false,"suffix":""}],"container-title":"American Journal of Gastroenterology","id":"ITEM-1","issue":"10","issued":{"date-parts":[["2013"]]},"page":"1634-1643","title":"Sensitization of peripheral sensory nerves by mediators from colonic biopsies of diarrhea-predominant irritable bowel syndrome patients: A role for PAR2","type":"article-journal","volume":"108"},"uris":["http://www.mendeley.com/documents/?uuid=14901538-c405-4bb6-b9a6-bb250e6a90d2"]}],"mendeley":{"formattedCitation":"&lt;sup&gt;41&lt;/sup&gt;","plainTextFormattedCitation":"41","previouslyFormattedCitation":"&lt;sup&gt;41&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41</w:t>
      </w:r>
      <w:r w:rsidR="00A4619E" w:rsidRPr="00BA6F83">
        <w:rPr>
          <w:rFonts w:asciiTheme="minorHAnsi" w:hAnsiTheme="minorHAnsi"/>
          <w:color w:val="000000" w:themeColor="text1"/>
          <w:lang w:val="en-US"/>
        </w:rPr>
        <w:fldChar w:fldCharType="end"/>
      </w:r>
      <w:r w:rsidR="009A75BA" w:rsidRPr="00BA6F83">
        <w:rPr>
          <w:rFonts w:asciiTheme="minorHAnsi" w:hAnsiTheme="minorHAnsi"/>
          <w:color w:val="000000" w:themeColor="text1"/>
          <w:lang w:val="en-US"/>
        </w:rPr>
        <w:t xml:space="preserve">. </w:t>
      </w:r>
      <w:r w:rsidR="002D4292" w:rsidRPr="00BA6F83">
        <w:rPr>
          <w:rFonts w:asciiTheme="minorHAnsi" w:hAnsiTheme="minorHAnsi"/>
          <w:color w:val="000000" w:themeColor="text1"/>
          <w:lang w:val="en-US"/>
        </w:rPr>
        <w:t>C</w:t>
      </w:r>
      <w:r w:rsidRPr="00BA6F83">
        <w:rPr>
          <w:rFonts w:asciiTheme="minorHAnsi" w:hAnsiTheme="minorHAnsi"/>
          <w:color w:val="000000" w:themeColor="text1"/>
          <w:lang w:val="en-US"/>
        </w:rPr>
        <w:t>olonic supernatant of VHS mice</w:t>
      </w:r>
      <w:r w:rsidR="00BD7190" w:rsidRPr="00BA6F83">
        <w:rPr>
          <w:rFonts w:asciiTheme="minorHAnsi" w:hAnsiTheme="minorHAnsi"/>
          <w:color w:val="000000" w:themeColor="text1"/>
          <w:lang w:val="en-US"/>
        </w:rPr>
        <w:t xml:space="preserve"> </w:t>
      </w:r>
      <w:bookmarkStart w:id="3" w:name="_Hlk11156408"/>
      <w:r w:rsidR="00BD7190" w:rsidRPr="00BA6F83">
        <w:rPr>
          <w:rFonts w:asciiTheme="minorHAnsi" w:hAnsiTheme="minorHAnsi"/>
          <w:color w:val="000000" w:themeColor="text1"/>
          <w:lang w:val="en-US"/>
        </w:rPr>
        <w:t>(OVA/infected + OVA)</w:t>
      </w:r>
      <w:bookmarkEnd w:id="3"/>
      <w:r w:rsidRPr="00BA6F83">
        <w:rPr>
          <w:rFonts w:asciiTheme="minorHAnsi" w:hAnsiTheme="minorHAnsi"/>
          <w:color w:val="000000" w:themeColor="text1"/>
          <w:lang w:val="en-US"/>
        </w:rPr>
        <w:t xml:space="preserve"> reduced neuronal rheobase and increased the number of action potentials at 2x rheobase compared to </w:t>
      </w:r>
      <w:r w:rsidR="00D4274D" w:rsidRPr="00BA6F83">
        <w:rPr>
          <w:rFonts w:asciiTheme="minorHAnsi" w:hAnsiTheme="minorHAnsi"/>
          <w:color w:val="000000" w:themeColor="text1"/>
          <w:lang w:val="en-US"/>
        </w:rPr>
        <w:t xml:space="preserve">supernatant of </w:t>
      </w:r>
      <w:proofErr w:type="spellStart"/>
      <w:r w:rsidR="000900D7" w:rsidRPr="00BA6F83">
        <w:rPr>
          <w:rFonts w:asciiTheme="minorHAnsi" w:hAnsiTheme="minorHAnsi"/>
          <w:color w:val="000000" w:themeColor="text1"/>
          <w:lang w:val="en-US"/>
        </w:rPr>
        <w:t>normosensitive</w:t>
      </w:r>
      <w:proofErr w:type="spellEnd"/>
      <w:r w:rsidR="00C8298B" w:rsidRPr="00BA6F83">
        <w:rPr>
          <w:rFonts w:asciiTheme="minorHAnsi" w:hAnsiTheme="minorHAnsi"/>
          <w:color w:val="000000" w:themeColor="text1"/>
          <w:lang w:val="en-US"/>
        </w:rPr>
        <w:t xml:space="preserve"> </w:t>
      </w:r>
      <w:bookmarkStart w:id="4" w:name="_Hlk11156472"/>
      <w:r w:rsidR="004E2D9A" w:rsidRPr="00BA6F83">
        <w:rPr>
          <w:rFonts w:asciiTheme="minorHAnsi" w:hAnsiTheme="minorHAnsi"/>
          <w:color w:val="000000" w:themeColor="text1"/>
          <w:lang w:val="en-US"/>
        </w:rPr>
        <w:t xml:space="preserve">mice </w:t>
      </w:r>
      <w:r w:rsidR="00C8298B" w:rsidRPr="00BA6F83">
        <w:rPr>
          <w:rFonts w:asciiTheme="minorHAnsi" w:hAnsiTheme="minorHAnsi"/>
          <w:color w:val="000000" w:themeColor="text1"/>
          <w:lang w:val="en-US"/>
        </w:rPr>
        <w:t>(OVA/</w:t>
      </w:r>
      <w:r w:rsidR="00703E2F" w:rsidRPr="00BA6F83">
        <w:rPr>
          <w:rFonts w:asciiTheme="minorHAnsi" w:hAnsiTheme="minorHAnsi"/>
          <w:color w:val="000000" w:themeColor="text1"/>
          <w:lang w:val="en-US"/>
        </w:rPr>
        <w:t>sham</w:t>
      </w:r>
      <w:r w:rsidR="00C8298B" w:rsidRPr="00BA6F83">
        <w:rPr>
          <w:rFonts w:asciiTheme="minorHAnsi" w:hAnsiTheme="minorHAnsi"/>
          <w:color w:val="000000" w:themeColor="text1"/>
          <w:lang w:val="en-US"/>
        </w:rPr>
        <w:t xml:space="preserve"> + OVA</w:t>
      </w:r>
      <w:r w:rsidR="00BD7190" w:rsidRPr="00BA6F83">
        <w:rPr>
          <w:rFonts w:asciiTheme="minorHAnsi" w:hAnsiTheme="minorHAnsi"/>
          <w:color w:val="000000" w:themeColor="text1"/>
          <w:lang w:val="en-US"/>
        </w:rPr>
        <w:t xml:space="preserve"> and saline/infected + OVA</w:t>
      </w:r>
      <w:r w:rsidR="004E2D9A" w:rsidRPr="00BA6F83">
        <w:rPr>
          <w:rFonts w:asciiTheme="minorHAnsi" w:hAnsiTheme="minorHAnsi"/>
          <w:color w:val="000000" w:themeColor="text1"/>
          <w:lang w:val="en-US"/>
        </w:rPr>
        <w:t>)</w:t>
      </w:r>
      <w:bookmarkEnd w:id="4"/>
      <w:r w:rsidR="004E2D9A"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2D4292" w:rsidRPr="00BA6F83">
        <w:rPr>
          <w:rFonts w:asciiTheme="minorHAnsi" w:hAnsiTheme="minorHAnsi"/>
          <w:color w:val="000000" w:themeColor="text1"/>
          <w:lang w:val="en-US"/>
        </w:rPr>
        <w:t xml:space="preserve"> </w:t>
      </w:r>
      <w:r w:rsidR="006C673F" w:rsidRPr="00BA6F83">
        <w:rPr>
          <w:rFonts w:asciiTheme="minorHAnsi" w:hAnsiTheme="minorHAnsi"/>
          <w:color w:val="000000" w:themeColor="text1"/>
          <w:lang w:val="en-US"/>
        </w:rPr>
        <w:t>3</w:t>
      </w:r>
      <w:r w:rsidR="006C673F">
        <w:rPr>
          <w:rFonts w:asciiTheme="minorHAnsi" w:hAnsiTheme="minorHAnsi"/>
          <w:color w:val="000000" w:themeColor="text1"/>
          <w:lang w:val="en-US"/>
        </w:rPr>
        <w:t>B</w:t>
      </w:r>
      <w:r w:rsidR="002D4292"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9B1435" w:rsidRPr="00BA6F83">
        <w:rPr>
          <w:rFonts w:asciiTheme="minorHAnsi" w:hAnsiTheme="minorHAnsi"/>
          <w:color w:val="000000" w:themeColor="text1"/>
          <w:lang w:val="en-US"/>
        </w:rPr>
        <w:t>Moreover</w:t>
      </w:r>
      <w:r w:rsidR="009924B6"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 </w:t>
      </w:r>
      <w:r w:rsidR="002D4292" w:rsidRPr="00BA6F83">
        <w:rPr>
          <w:rFonts w:asciiTheme="minorHAnsi" w:hAnsiTheme="minorHAnsi"/>
          <w:color w:val="000000" w:themeColor="text1"/>
          <w:lang w:val="en-US"/>
        </w:rPr>
        <w:t>incubation with supernatant</w:t>
      </w:r>
      <w:r w:rsidR="008151E0">
        <w:rPr>
          <w:rFonts w:asciiTheme="minorHAnsi" w:hAnsiTheme="minorHAnsi"/>
          <w:color w:val="000000" w:themeColor="text1"/>
          <w:lang w:val="en-US"/>
        </w:rPr>
        <w:t xml:space="preserve"> from VHS</w:t>
      </w:r>
      <w:r w:rsidR="00C8298B" w:rsidRPr="00BA6F83">
        <w:rPr>
          <w:rFonts w:asciiTheme="minorHAnsi" w:hAnsiTheme="minorHAnsi"/>
          <w:color w:val="000000" w:themeColor="text1"/>
          <w:lang w:val="en-US"/>
        </w:rPr>
        <w:t xml:space="preserve"> (</w:t>
      </w:r>
      <w:bookmarkStart w:id="5" w:name="_Hlk11156335"/>
      <w:r w:rsidR="00C8298B" w:rsidRPr="00BA6F83">
        <w:rPr>
          <w:rFonts w:asciiTheme="minorHAnsi" w:hAnsiTheme="minorHAnsi"/>
          <w:color w:val="000000" w:themeColor="text1"/>
          <w:lang w:val="en-US"/>
        </w:rPr>
        <w:t>OVA/infected + OVA)</w:t>
      </w:r>
      <w:bookmarkEnd w:id="5"/>
      <w:r w:rsidR="002D4292" w:rsidRPr="00BA6F83">
        <w:rPr>
          <w:rFonts w:asciiTheme="minorHAnsi" w:hAnsiTheme="minorHAnsi"/>
          <w:color w:val="000000" w:themeColor="text1"/>
          <w:lang w:val="en-US"/>
        </w:rPr>
        <w:t xml:space="preserve">, but not </w:t>
      </w:r>
      <w:r w:rsidR="008151E0">
        <w:rPr>
          <w:rFonts w:asciiTheme="minorHAnsi" w:hAnsiTheme="minorHAnsi"/>
          <w:color w:val="000000" w:themeColor="text1"/>
          <w:lang w:val="en-US"/>
        </w:rPr>
        <w:t>from</w:t>
      </w:r>
      <w:r w:rsidR="002D4292" w:rsidRPr="00BA6F83">
        <w:rPr>
          <w:rFonts w:asciiTheme="minorHAnsi" w:hAnsiTheme="minorHAnsi"/>
          <w:color w:val="000000" w:themeColor="text1"/>
          <w:lang w:val="en-US"/>
        </w:rPr>
        <w:t xml:space="preserve"> </w:t>
      </w:r>
      <w:proofErr w:type="spellStart"/>
      <w:r w:rsidR="000900D7" w:rsidRPr="00BA6F83">
        <w:rPr>
          <w:rFonts w:asciiTheme="minorHAnsi" w:hAnsiTheme="minorHAnsi"/>
          <w:color w:val="000000" w:themeColor="text1"/>
          <w:lang w:val="en-US"/>
        </w:rPr>
        <w:t>normosensitive</w:t>
      </w:r>
      <w:proofErr w:type="spellEnd"/>
      <w:r w:rsidR="002D4292" w:rsidRPr="00BA6F83">
        <w:rPr>
          <w:rFonts w:asciiTheme="minorHAnsi" w:hAnsiTheme="minorHAnsi"/>
          <w:color w:val="000000" w:themeColor="text1"/>
          <w:lang w:val="en-US"/>
        </w:rPr>
        <w:t xml:space="preserve"> </w:t>
      </w:r>
      <w:r w:rsidR="008151E0">
        <w:rPr>
          <w:rFonts w:asciiTheme="minorHAnsi" w:hAnsiTheme="minorHAnsi"/>
          <w:color w:val="000000" w:themeColor="text1"/>
          <w:lang w:val="en-US"/>
        </w:rPr>
        <w:t>mice</w:t>
      </w:r>
      <w:r w:rsidR="00C8298B" w:rsidRPr="00BA6F83">
        <w:rPr>
          <w:rFonts w:asciiTheme="minorHAnsi" w:hAnsiTheme="minorHAnsi"/>
          <w:color w:val="000000" w:themeColor="text1"/>
          <w:lang w:val="en-US"/>
        </w:rPr>
        <w:t xml:space="preserve"> (OVA/infected + saline)</w:t>
      </w:r>
      <w:r w:rsidR="002D4292" w:rsidRPr="00BA6F83">
        <w:rPr>
          <w:rFonts w:asciiTheme="minorHAnsi" w:hAnsiTheme="minorHAnsi"/>
          <w:color w:val="000000" w:themeColor="text1"/>
          <w:lang w:val="en-US"/>
        </w:rPr>
        <w:t xml:space="preserve">, </w:t>
      </w:r>
      <w:r w:rsidR="00787238" w:rsidRPr="00BA6F83">
        <w:rPr>
          <w:rFonts w:asciiTheme="minorHAnsi" w:hAnsiTheme="minorHAnsi"/>
          <w:color w:val="000000" w:themeColor="text1"/>
          <w:lang w:val="en-US"/>
        </w:rPr>
        <w:t xml:space="preserve">significantly </w:t>
      </w:r>
      <w:r w:rsidR="002D4292" w:rsidRPr="00BA6F83">
        <w:rPr>
          <w:rFonts w:asciiTheme="minorHAnsi" w:hAnsiTheme="minorHAnsi"/>
          <w:color w:val="000000" w:themeColor="text1"/>
          <w:lang w:val="en-US"/>
        </w:rPr>
        <w:t xml:space="preserve">increased </w:t>
      </w:r>
      <w:r w:rsidRPr="00BA6F83">
        <w:rPr>
          <w:rFonts w:asciiTheme="minorHAnsi" w:hAnsiTheme="minorHAnsi"/>
          <w:color w:val="000000" w:themeColor="text1"/>
          <w:lang w:val="en-US"/>
        </w:rPr>
        <w:t xml:space="preserve">the sensitivity of </w:t>
      </w:r>
      <w:r w:rsidR="002D4292" w:rsidRPr="00BA6F83">
        <w:rPr>
          <w:rFonts w:asciiTheme="minorHAnsi" w:hAnsiTheme="minorHAnsi"/>
          <w:color w:val="000000" w:themeColor="text1"/>
          <w:lang w:val="en-US"/>
        </w:rPr>
        <w:t xml:space="preserve">DRG neurons to capsaicin, a specific agonist of </w:t>
      </w:r>
      <w:r w:rsidRPr="00BA6F83">
        <w:rPr>
          <w:rFonts w:asciiTheme="minorHAnsi" w:hAnsiTheme="minorHAnsi"/>
          <w:color w:val="000000" w:themeColor="text1"/>
          <w:lang w:val="en-US"/>
        </w:rPr>
        <w:t>the transient receptor potential</w:t>
      </w:r>
      <w:r w:rsidR="002F24B7" w:rsidRPr="00BA6F83">
        <w:rPr>
          <w:rFonts w:asciiTheme="minorHAnsi" w:hAnsiTheme="minorHAnsi"/>
          <w:color w:val="000000" w:themeColor="text1"/>
          <w:lang w:val="en-US"/>
        </w:rPr>
        <w:t xml:space="preserve"> </w:t>
      </w:r>
      <w:r w:rsidRPr="00BA6F83">
        <w:rPr>
          <w:rFonts w:asciiTheme="minorHAnsi" w:hAnsiTheme="minorHAnsi"/>
          <w:color w:val="000000" w:themeColor="text1"/>
          <w:lang w:val="en-US"/>
        </w:rPr>
        <w:t>TRPV1</w:t>
      </w:r>
      <w:r w:rsidR="00A717B3"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A717B3" w:rsidRPr="00BA6F83">
        <w:rPr>
          <w:rFonts w:asciiTheme="minorHAnsi" w:hAnsiTheme="minorHAnsi"/>
          <w:color w:val="000000" w:themeColor="text1"/>
          <w:lang w:val="en-US"/>
        </w:rPr>
        <w:t xml:space="preserve"> </w:t>
      </w:r>
      <w:r w:rsidR="00A802A8" w:rsidRPr="00BA6F83">
        <w:rPr>
          <w:rFonts w:asciiTheme="minorHAnsi" w:hAnsiTheme="minorHAnsi"/>
          <w:color w:val="000000" w:themeColor="text1"/>
          <w:lang w:val="en-US"/>
        </w:rPr>
        <w:t>3</w:t>
      </w:r>
      <w:r w:rsidR="00A717B3" w:rsidRPr="00BA6F83">
        <w:rPr>
          <w:rFonts w:asciiTheme="minorHAnsi" w:hAnsiTheme="minorHAnsi"/>
          <w:color w:val="000000" w:themeColor="text1"/>
          <w:lang w:val="en-US"/>
        </w:rPr>
        <w:t>C</w:t>
      </w:r>
      <w:r w:rsidR="00C819E0" w:rsidRPr="00BA6F83">
        <w:rPr>
          <w:rFonts w:asciiTheme="minorHAnsi" w:hAnsiTheme="minorHAnsi"/>
          <w:color w:val="000000" w:themeColor="text1"/>
          <w:lang w:val="en-US"/>
        </w:rPr>
        <w:t>, D</w:t>
      </w:r>
      <w:r w:rsidR="00A717B3" w:rsidRPr="00BA6F83">
        <w:rPr>
          <w:rFonts w:asciiTheme="minorHAnsi" w:hAnsiTheme="minorHAnsi"/>
          <w:color w:val="000000" w:themeColor="text1"/>
          <w:lang w:val="en-US"/>
        </w:rPr>
        <w:t>)</w:t>
      </w:r>
      <w:r w:rsidR="0088471E" w:rsidRPr="00BA6F83">
        <w:rPr>
          <w:rFonts w:asciiTheme="minorHAnsi" w:hAnsiTheme="minorHAnsi"/>
          <w:color w:val="000000" w:themeColor="text1"/>
          <w:lang w:val="en-US"/>
        </w:rPr>
        <w:t>. This</w:t>
      </w:r>
      <w:r w:rsidRPr="00BA6F83">
        <w:rPr>
          <w:rFonts w:asciiTheme="minorHAnsi" w:hAnsiTheme="minorHAnsi"/>
          <w:color w:val="000000" w:themeColor="text1"/>
          <w:lang w:val="en-US"/>
        </w:rPr>
        <w:t xml:space="preserve"> </w:t>
      </w:r>
      <w:r w:rsidR="0088471E" w:rsidRPr="00BA6F83">
        <w:rPr>
          <w:rFonts w:asciiTheme="minorHAnsi" w:hAnsiTheme="minorHAnsi"/>
          <w:color w:val="000000" w:themeColor="text1"/>
          <w:lang w:val="en-US"/>
        </w:rPr>
        <w:t xml:space="preserve">cation channel on </w:t>
      </w:r>
      <w:r w:rsidRPr="00BA6F83">
        <w:rPr>
          <w:rFonts w:asciiTheme="minorHAnsi" w:hAnsiTheme="minorHAnsi"/>
          <w:color w:val="000000" w:themeColor="text1"/>
          <w:lang w:val="en-US"/>
        </w:rPr>
        <w:t>nociceptor</w:t>
      </w:r>
      <w:r w:rsidR="0088471E" w:rsidRPr="00BA6F83">
        <w:rPr>
          <w:rFonts w:asciiTheme="minorHAnsi" w:hAnsiTheme="minorHAnsi"/>
          <w:color w:val="000000" w:themeColor="text1"/>
          <w:lang w:val="en-US"/>
        </w:rPr>
        <w:t>s is</w:t>
      </w:r>
      <w:r w:rsidRPr="00BA6F83">
        <w:rPr>
          <w:rFonts w:asciiTheme="minorHAnsi" w:hAnsiTheme="minorHAnsi"/>
          <w:color w:val="000000" w:themeColor="text1"/>
          <w:lang w:val="en-US"/>
        </w:rPr>
        <w:t xml:space="preserve"> involved in VHS in IBS</w:t>
      </w:r>
      <w:r w:rsidR="00A4619E"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E.","non-dropping-particle":"","parse-names":false,"suffix":""}],"container-title":"Gastroenterology","id":"ITEM-1","issue":"4","issued":{"date-parts":[["2016"]]},"page":"875-887.e9","title":"Histamine Receptor H1-Mediated Sensitization of TRPV1 Mediates Visceral Hypersensitivity and Symptoms in Patients with Irritable Bowel Syndrome","type":"article-journal","volume":"150"},"uris":["http://www.mendeley.com/documents/?uuid=877088fd-6212-4474-952f-b2f94ca5f924"]}],"mendeley":{"formattedCitation":"&lt;sup&gt;39&lt;/sup&gt;","plainTextFormattedCitation":"39","previouslyFormattedCitation":"&lt;sup&gt;39&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39</w:t>
      </w:r>
      <w:r w:rsidR="00A4619E"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w:t>
      </w:r>
      <w:r w:rsidR="00C06B8E" w:rsidRPr="00BA6F83">
        <w:rPr>
          <w:rFonts w:asciiTheme="minorHAnsi" w:hAnsiTheme="minorHAnsi"/>
          <w:color w:val="000000" w:themeColor="text1"/>
          <w:lang w:val="en-US"/>
        </w:rPr>
        <w:t>I</w:t>
      </w:r>
      <w:r w:rsidR="002A3FDD" w:rsidRPr="00BA6F83">
        <w:rPr>
          <w:rFonts w:asciiTheme="minorHAnsi" w:hAnsiTheme="minorHAnsi"/>
          <w:color w:val="000000" w:themeColor="text1"/>
          <w:lang w:val="en-US"/>
        </w:rPr>
        <w:t xml:space="preserve">ncubation with the </w:t>
      </w:r>
      <w:r w:rsidR="007A3DB1" w:rsidRPr="00BA6F83">
        <w:rPr>
          <w:rFonts w:asciiTheme="minorHAnsi" w:hAnsiTheme="minorHAnsi"/>
          <w:color w:val="000000" w:themeColor="text1"/>
          <w:lang w:val="en-US"/>
        </w:rPr>
        <w:t>histamine receptor H</w:t>
      </w:r>
      <w:r w:rsidR="007A3DB1" w:rsidRPr="00BA6F83">
        <w:rPr>
          <w:rFonts w:asciiTheme="minorHAnsi" w:hAnsiTheme="minorHAnsi"/>
          <w:color w:val="000000" w:themeColor="text1"/>
          <w:vertAlign w:val="subscript"/>
          <w:lang w:val="en-US"/>
        </w:rPr>
        <w:t>1</w:t>
      </w:r>
      <w:r w:rsidR="007A3DB1" w:rsidRPr="00BA6F83">
        <w:rPr>
          <w:rFonts w:asciiTheme="minorHAnsi" w:hAnsiTheme="minorHAnsi"/>
          <w:color w:val="000000" w:themeColor="text1"/>
          <w:lang w:val="en-US"/>
        </w:rPr>
        <w:t xml:space="preserve"> (</w:t>
      </w:r>
      <w:bookmarkStart w:id="6" w:name="OLE_LINK24"/>
      <w:r w:rsidR="00C16D78" w:rsidRPr="00BA6F83">
        <w:rPr>
          <w:rFonts w:asciiTheme="minorHAnsi" w:hAnsiTheme="minorHAnsi"/>
          <w:color w:val="000000" w:themeColor="text1"/>
          <w:lang w:val="en-US"/>
        </w:rPr>
        <w:t>H</w:t>
      </w:r>
      <w:r w:rsidR="00C16D78" w:rsidRPr="00BA6F83">
        <w:rPr>
          <w:rFonts w:asciiTheme="minorHAnsi" w:hAnsiTheme="minorHAnsi"/>
          <w:color w:val="000000" w:themeColor="text1"/>
          <w:vertAlign w:val="subscript"/>
          <w:lang w:val="en-US"/>
        </w:rPr>
        <w:t>1</w:t>
      </w:r>
      <w:r w:rsidR="007A3DB1" w:rsidRPr="00BA6F83">
        <w:rPr>
          <w:rFonts w:asciiTheme="minorHAnsi" w:hAnsiTheme="minorHAnsi"/>
          <w:color w:val="000000" w:themeColor="text1"/>
          <w:lang w:val="en-US"/>
        </w:rPr>
        <w:t>R</w:t>
      </w:r>
      <w:bookmarkEnd w:id="6"/>
      <w:r w:rsidR="007A3DB1" w:rsidRPr="00BA6F83">
        <w:rPr>
          <w:rFonts w:asciiTheme="minorHAnsi" w:hAnsiTheme="minorHAnsi"/>
          <w:color w:val="000000" w:themeColor="text1"/>
          <w:lang w:val="en-US"/>
        </w:rPr>
        <w:t>)</w:t>
      </w:r>
      <w:r w:rsidR="00C16D78" w:rsidRPr="00BA6F83">
        <w:rPr>
          <w:rFonts w:asciiTheme="minorHAnsi" w:hAnsiTheme="minorHAnsi"/>
          <w:color w:val="000000" w:themeColor="text1"/>
          <w:lang w:val="en-US"/>
        </w:rPr>
        <w:t>-</w:t>
      </w:r>
      <w:r w:rsidR="002A3FDD" w:rsidRPr="00BA6F83">
        <w:rPr>
          <w:rFonts w:asciiTheme="minorHAnsi" w:hAnsiTheme="minorHAnsi"/>
          <w:color w:val="000000" w:themeColor="text1"/>
          <w:lang w:val="en-US"/>
        </w:rPr>
        <w:t xml:space="preserve">antagonist pyrilamine </w:t>
      </w:r>
      <w:r w:rsidR="00787238" w:rsidRPr="00BA6F83">
        <w:rPr>
          <w:rFonts w:asciiTheme="minorHAnsi" w:hAnsiTheme="minorHAnsi"/>
          <w:color w:val="000000" w:themeColor="text1"/>
          <w:lang w:val="en-US"/>
        </w:rPr>
        <w:t xml:space="preserve">prevented </w:t>
      </w:r>
      <w:r w:rsidR="002A3FDD" w:rsidRPr="00BA6F83">
        <w:rPr>
          <w:rFonts w:asciiTheme="minorHAnsi" w:hAnsiTheme="minorHAnsi"/>
          <w:color w:val="000000" w:themeColor="text1"/>
          <w:lang w:val="en-US"/>
        </w:rPr>
        <w:t>the effect of VHS supernatant on the rheobase,</w:t>
      </w:r>
      <w:r w:rsidR="00E014D2">
        <w:rPr>
          <w:rFonts w:asciiTheme="minorHAnsi" w:hAnsiTheme="minorHAnsi"/>
          <w:color w:val="000000" w:themeColor="text1"/>
          <w:lang w:val="en-US"/>
        </w:rPr>
        <w:t xml:space="preserve"> number of</w:t>
      </w:r>
      <w:r w:rsidR="002A3FDD" w:rsidRPr="00BA6F83">
        <w:rPr>
          <w:rFonts w:asciiTheme="minorHAnsi" w:hAnsiTheme="minorHAnsi"/>
          <w:color w:val="000000" w:themeColor="text1"/>
          <w:lang w:val="en-US"/>
        </w:rPr>
        <w:t xml:space="preserve"> action potential</w:t>
      </w:r>
      <w:r w:rsidR="00E014D2">
        <w:rPr>
          <w:rFonts w:asciiTheme="minorHAnsi" w:hAnsiTheme="minorHAnsi"/>
          <w:color w:val="000000" w:themeColor="text1"/>
          <w:lang w:val="en-US"/>
        </w:rPr>
        <w:t>s</w:t>
      </w:r>
      <w:r w:rsidR="002A3FDD" w:rsidRPr="00BA6F83">
        <w:rPr>
          <w:rFonts w:asciiTheme="minorHAnsi" w:hAnsiTheme="minorHAnsi"/>
          <w:color w:val="000000" w:themeColor="text1"/>
          <w:lang w:val="en-US"/>
        </w:rPr>
        <w:t xml:space="preserve"> and TRPV1</w:t>
      </w:r>
      <w:r w:rsidR="00787238" w:rsidRPr="00BA6F83">
        <w:rPr>
          <w:rFonts w:asciiTheme="minorHAnsi" w:hAnsiTheme="minorHAnsi"/>
          <w:color w:val="000000" w:themeColor="text1"/>
          <w:lang w:val="en-US"/>
        </w:rPr>
        <w:t>-mediated</w:t>
      </w:r>
      <w:r w:rsidR="002A3FDD" w:rsidRPr="00BA6F83">
        <w:rPr>
          <w:rFonts w:asciiTheme="minorHAnsi" w:hAnsiTheme="minorHAnsi"/>
          <w:color w:val="000000" w:themeColor="text1"/>
          <w:lang w:val="en-US"/>
        </w:rPr>
        <w:t xml:space="preserve"> response in DRG neurons treated with VHS </w:t>
      </w:r>
      <w:r w:rsidR="004E2D9A" w:rsidRPr="00BA6F83">
        <w:rPr>
          <w:rFonts w:asciiTheme="minorHAnsi" w:hAnsiTheme="minorHAnsi"/>
          <w:color w:val="000000" w:themeColor="text1"/>
          <w:lang w:val="en-US"/>
        </w:rPr>
        <w:t xml:space="preserve">colonic </w:t>
      </w:r>
      <w:r w:rsidR="002A3FDD" w:rsidRPr="00BA6F83">
        <w:rPr>
          <w:rFonts w:asciiTheme="minorHAnsi" w:hAnsiTheme="minorHAnsi"/>
          <w:color w:val="000000" w:themeColor="text1"/>
          <w:lang w:val="en-US"/>
        </w:rPr>
        <w:t>supernatant (</w:t>
      </w:r>
      <w:r w:rsidR="00983FF8" w:rsidRPr="00BA6F83">
        <w:rPr>
          <w:rFonts w:asciiTheme="minorHAnsi" w:hAnsiTheme="minorHAnsi"/>
          <w:color w:val="000000" w:themeColor="text1"/>
          <w:lang w:val="en-US"/>
        </w:rPr>
        <w:t>Fig.</w:t>
      </w:r>
      <w:r w:rsidR="002A3FDD" w:rsidRPr="00BA6F83">
        <w:rPr>
          <w:rFonts w:asciiTheme="minorHAnsi" w:hAnsiTheme="minorHAnsi"/>
          <w:color w:val="000000" w:themeColor="text1"/>
          <w:lang w:val="en-US"/>
        </w:rPr>
        <w:t xml:space="preserve"> </w:t>
      </w:r>
      <w:r w:rsidR="00AA1291" w:rsidRPr="00BA6F83">
        <w:rPr>
          <w:rFonts w:asciiTheme="minorHAnsi" w:hAnsiTheme="minorHAnsi"/>
          <w:color w:val="000000" w:themeColor="text1"/>
          <w:lang w:val="en-US"/>
        </w:rPr>
        <w:t>3</w:t>
      </w:r>
      <w:r w:rsidR="00235AC5" w:rsidRPr="00BA6F83">
        <w:rPr>
          <w:rFonts w:asciiTheme="minorHAnsi" w:hAnsiTheme="minorHAnsi"/>
          <w:color w:val="000000" w:themeColor="text1"/>
          <w:lang w:val="en-US"/>
        </w:rPr>
        <w:t>E</w:t>
      </w:r>
      <w:r w:rsidR="00AA1291" w:rsidRPr="00BA6F83">
        <w:rPr>
          <w:rFonts w:asciiTheme="minorHAnsi" w:hAnsiTheme="minorHAnsi"/>
          <w:color w:val="000000" w:themeColor="text1"/>
          <w:lang w:val="en-US"/>
        </w:rPr>
        <w:t>, F</w:t>
      </w:r>
      <w:r w:rsidR="002A3FDD" w:rsidRPr="00BA6F83">
        <w:rPr>
          <w:rFonts w:asciiTheme="minorHAnsi" w:hAnsiTheme="minorHAnsi"/>
          <w:color w:val="000000" w:themeColor="text1"/>
          <w:lang w:val="en-US"/>
        </w:rPr>
        <w:t xml:space="preserve">), </w:t>
      </w:r>
      <w:r w:rsidR="0026389B" w:rsidRPr="00BA6F83">
        <w:rPr>
          <w:rFonts w:asciiTheme="minorHAnsi" w:hAnsiTheme="minorHAnsi"/>
          <w:color w:val="000000" w:themeColor="text1"/>
          <w:lang w:val="en-US"/>
        </w:rPr>
        <w:t>similar to our findings in IBS patients</w:t>
      </w:r>
      <w:r w:rsidR="00A4619E" w:rsidRPr="00BA6F83">
        <w:rPr>
          <w:rFonts w:asciiTheme="minorHAnsi" w:hAnsiTheme="minorHAnsi"/>
          <w:color w:val="000000" w:themeColor="text1"/>
          <w:lang w:val="en-US"/>
        </w:rPr>
        <w:fldChar w:fldCharType="begin" w:fldLock="1"/>
      </w:r>
      <w:r w:rsidR="00271D58">
        <w:rPr>
          <w:rFonts w:asciiTheme="minorHAnsi" w:hAnsiTheme="minorHAnsi"/>
          <w:color w:val="000000" w:themeColor="text1"/>
          <w:lang w:val="en-US"/>
        </w:rPr>
        <w:instrText>ADDIN CSL_CITATION {"citationItems":[{"id":"ITEM-1","itemData":{"DOI":"10.1053/j.gastro.2015.12.034","ISBN":"0016-5085","ISSN":"15280012","PMID":"26752109","abstract":"Background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E.","non-dropping-particle":"","parse-names":false,"suffix":""}],"container-title":"Gastroenterology","id":"ITEM-1","issue":"4","issued":{"date-parts":[["2016"]]},"page":"875-887.e9","title":"Histamine Receptor H1-Mediated Sensitization of TRPV1 Mediates Visceral Hypersensitivity and Symptoms in Patients with Irritable Bowel Syndrome","type":"article-journal","volume":"150"},"uris":["http://www.mendeley.com/documents/?uuid=877088fd-6212-4474-952f-b2f94ca5f924"]}],"mendeley":{"formattedCitation":"&lt;sup&gt;39&lt;/sup&gt;","plainTextFormattedCitation":"39","previouslyFormattedCitation":"&lt;sup&gt;39&lt;/sup&gt;"},"properties":{"noteIndex":0},"schema":"https://github.com/citation-style-language/schema/raw/master/csl-citation.json"}</w:instrText>
      </w:r>
      <w:r w:rsidR="00A4619E" w:rsidRPr="00BA6F83">
        <w:rPr>
          <w:rFonts w:asciiTheme="minorHAnsi" w:hAnsiTheme="minorHAnsi"/>
          <w:color w:val="000000" w:themeColor="text1"/>
          <w:lang w:val="en-US"/>
        </w:rPr>
        <w:fldChar w:fldCharType="separate"/>
      </w:r>
      <w:r w:rsidR="007355CA" w:rsidRPr="007355CA">
        <w:rPr>
          <w:rFonts w:asciiTheme="minorHAnsi" w:hAnsiTheme="minorHAnsi"/>
          <w:noProof/>
          <w:color w:val="000000" w:themeColor="text1"/>
          <w:vertAlign w:val="superscript"/>
          <w:lang w:val="en-US"/>
        </w:rPr>
        <w:t>39</w:t>
      </w:r>
      <w:r w:rsidR="00A4619E" w:rsidRPr="00BA6F83">
        <w:rPr>
          <w:rFonts w:asciiTheme="minorHAnsi" w:hAnsiTheme="minorHAnsi"/>
          <w:color w:val="000000" w:themeColor="text1"/>
          <w:lang w:val="en-US"/>
        </w:rPr>
        <w:fldChar w:fldCharType="end"/>
      </w:r>
      <w:r w:rsidR="002A3FDD" w:rsidRPr="00BA6F83">
        <w:rPr>
          <w:rFonts w:asciiTheme="minorHAnsi" w:hAnsiTheme="minorHAnsi"/>
          <w:color w:val="000000" w:themeColor="text1"/>
          <w:lang w:val="en-US"/>
        </w:rPr>
        <w:t>.</w:t>
      </w:r>
      <w:r w:rsidR="0026389B" w:rsidRPr="00BA6F83">
        <w:rPr>
          <w:rFonts w:asciiTheme="minorHAnsi" w:hAnsiTheme="minorHAnsi"/>
          <w:color w:val="000000" w:themeColor="text1"/>
          <w:lang w:val="en-US"/>
        </w:rPr>
        <w:t xml:space="preserve"> In</w:t>
      </w:r>
      <w:r w:rsidR="00137323" w:rsidRPr="00BA6F83">
        <w:rPr>
          <w:rFonts w:asciiTheme="minorHAnsi" w:hAnsiTheme="minorHAnsi"/>
          <w:color w:val="000000" w:themeColor="text1"/>
          <w:lang w:val="en-US"/>
        </w:rPr>
        <w:t xml:space="preserve"> </w:t>
      </w:r>
      <w:r w:rsidR="00C06B8E" w:rsidRPr="00BA6F83">
        <w:rPr>
          <w:rFonts w:asciiTheme="minorHAnsi" w:hAnsiTheme="minorHAnsi"/>
          <w:color w:val="000000" w:themeColor="text1"/>
          <w:lang w:val="en-US"/>
        </w:rPr>
        <w:t>keeping with these findings</w:t>
      </w:r>
      <w:r w:rsidR="0026389B" w:rsidRPr="00BA6F83">
        <w:rPr>
          <w:rFonts w:asciiTheme="minorHAnsi" w:hAnsiTheme="minorHAnsi"/>
          <w:color w:val="000000" w:themeColor="text1"/>
          <w:lang w:val="en-US"/>
        </w:rPr>
        <w:t xml:space="preserve">, treatment </w:t>
      </w:r>
      <w:r w:rsidRPr="00BA6F83">
        <w:rPr>
          <w:rFonts w:asciiTheme="minorHAnsi" w:hAnsiTheme="minorHAnsi"/>
          <w:color w:val="000000" w:themeColor="text1"/>
          <w:lang w:val="en-US"/>
        </w:rPr>
        <w:t xml:space="preserve">with pyrilamine reduced the pain response to colorectal distention </w:t>
      </w:r>
      <w:r w:rsidRPr="00BA6F83">
        <w:rPr>
          <w:rFonts w:asciiTheme="minorHAnsi" w:hAnsiTheme="minorHAnsi"/>
          <w:color w:val="000000" w:themeColor="text1"/>
          <w:lang w:val="en-US"/>
        </w:rPr>
        <w:lastRenderedPageBreak/>
        <w:t>in VHS mice compared to vehicle treatment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w:t>
      </w:r>
      <w:r w:rsidR="00A802A8" w:rsidRPr="00BA6F83">
        <w:rPr>
          <w:rFonts w:asciiTheme="minorHAnsi" w:hAnsiTheme="minorHAnsi"/>
          <w:color w:val="000000" w:themeColor="text1"/>
          <w:lang w:val="en-US"/>
        </w:rPr>
        <w:t>3</w:t>
      </w:r>
      <w:r w:rsidR="00235AC5" w:rsidRPr="00BA6F83">
        <w:rPr>
          <w:rFonts w:asciiTheme="minorHAnsi" w:hAnsiTheme="minorHAnsi"/>
          <w:color w:val="000000" w:themeColor="text1"/>
          <w:lang w:val="en-US"/>
        </w:rPr>
        <w:t>G</w:t>
      </w:r>
      <w:r w:rsidR="00AA1291" w:rsidRPr="00BA6F83">
        <w:rPr>
          <w:rFonts w:asciiTheme="minorHAnsi" w:hAnsiTheme="minorHAnsi"/>
          <w:color w:val="000000" w:themeColor="text1"/>
          <w:lang w:val="en-US"/>
        </w:rPr>
        <w:t>, H</w:t>
      </w:r>
      <w:r w:rsidRPr="00BA6F83">
        <w:rPr>
          <w:rFonts w:asciiTheme="minorHAnsi" w:hAnsiTheme="minorHAnsi"/>
          <w:color w:val="000000" w:themeColor="text1"/>
          <w:lang w:val="en-US"/>
        </w:rPr>
        <w:t>).</w:t>
      </w:r>
      <w:r w:rsidR="00793DA6">
        <w:rPr>
          <w:rFonts w:asciiTheme="minorHAnsi" w:hAnsiTheme="minorHAnsi"/>
          <w:color w:val="000000" w:themeColor="text1"/>
          <w:lang w:val="en-US"/>
        </w:rPr>
        <w:t xml:space="preserve"> </w:t>
      </w:r>
      <w:r w:rsidRPr="00BA6F83">
        <w:rPr>
          <w:rFonts w:asciiTheme="minorHAnsi" w:hAnsiTheme="minorHAnsi"/>
          <w:color w:val="000000" w:themeColor="text1"/>
          <w:lang w:val="en-US"/>
        </w:rPr>
        <w:t xml:space="preserve">These findings were confirmed in </w:t>
      </w:r>
      <w:r w:rsidR="007A3DB1" w:rsidRPr="00BA6F83">
        <w:rPr>
          <w:rFonts w:asciiTheme="minorHAnsi" w:hAnsiTheme="minorHAnsi"/>
          <w:i/>
          <w:color w:val="000000" w:themeColor="text1"/>
          <w:lang w:val="en-US"/>
        </w:rPr>
        <w:t>H</w:t>
      </w:r>
      <w:r w:rsidR="00410BE7" w:rsidRPr="00BA6F83">
        <w:rPr>
          <w:rFonts w:asciiTheme="minorHAnsi" w:hAnsiTheme="minorHAnsi"/>
          <w:i/>
          <w:color w:val="000000" w:themeColor="text1"/>
          <w:lang w:val="en-US"/>
        </w:rPr>
        <w:t>rh1</w:t>
      </w:r>
      <w:r w:rsidR="00BD74EE" w:rsidRPr="00BA6F83">
        <w:rPr>
          <w:rFonts w:asciiTheme="minorHAnsi" w:hAnsiTheme="minorHAnsi"/>
          <w:color w:val="000000" w:themeColor="text1"/>
          <w:vertAlign w:val="superscript"/>
          <w:lang w:val="en-US"/>
        </w:rPr>
        <w:t>-/-</w:t>
      </w:r>
      <w:r w:rsidRPr="00BA6F83">
        <w:rPr>
          <w:rFonts w:asciiTheme="minorHAnsi" w:hAnsiTheme="minorHAnsi"/>
          <w:color w:val="000000" w:themeColor="text1"/>
          <w:lang w:val="en-US"/>
        </w:rPr>
        <w:t xml:space="preserve"> mice (</w:t>
      </w:r>
      <w:r w:rsidR="00983FF8" w:rsidRPr="00BA6F83">
        <w:rPr>
          <w:rFonts w:asciiTheme="minorHAnsi" w:hAnsiTheme="minorHAnsi"/>
          <w:color w:val="000000" w:themeColor="text1"/>
          <w:lang w:val="en-US"/>
        </w:rPr>
        <w:t>Fig.</w:t>
      </w:r>
      <w:r w:rsidRPr="00BA6F83">
        <w:rPr>
          <w:rFonts w:asciiTheme="minorHAnsi" w:hAnsiTheme="minorHAnsi"/>
          <w:color w:val="000000" w:themeColor="text1"/>
          <w:lang w:val="en-US"/>
        </w:rPr>
        <w:t xml:space="preserve"> </w:t>
      </w:r>
      <w:r w:rsidR="00A802A8" w:rsidRPr="00BA6F83">
        <w:rPr>
          <w:rFonts w:asciiTheme="minorHAnsi" w:hAnsiTheme="minorHAnsi"/>
          <w:color w:val="000000" w:themeColor="text1"/>
          <w:lang w:val="en-US"/>
        </w:rPr>
        <w:t>3</w:t>
      </w:r>
      <w:r w:rsidR="00AA1291" w:rsidRPr="00BA6F83">
        <w:rPr>
          <w:rFonts w:asciiTheme="minorHAnsi" w:hAnsiTheme="minorHAnsi"/>
          <w:color w:val="000000" w:themeColor="text1"/>
          <w:lang w:val="en-US"/>
        </w:rPr>
        <w:t>I, J</w:t>
      </w:r>
      <w:r w:rsidRPr="00BA6F83">
        <w:rPr>
          <w:rFonts w:asciiTheme="minorHAnsi" w:hAnsiTheme="minorHAnsi"/>
          <w:color w:val="000000" w:themeColor="text1"/>
          <w:lang w:val="en-US"/>
        </w:rPr>
        <w:t>), indicating that the MC</w:t>
      </w:r>
      <w:r w:rsidR="00B57CC1" w:rsidRPr="00BA6F83">
        <w:rPr>
          <w:rFonts w:asciiTheme="minorHAnsi" w:hAnsiTheme="minorHAnsi"/>
          <w:color w:val="000000" w:themeColor="text1"/>
          <w:lang w:val="en-US"/>
        </w:rPr>
        <w:t>-</w:t>
      </w:r>
      <w:r w:rsidRPr="00BA6F83">
        <w:rPr>
          <w:rFonts w:asciiTheme="minorHAnsi" w:hAnsiTheme="minorHAnsi"/>
          <w:color w:val="000000" w:themeColor="text1"/>
          <w:lang w:val="en-US"/>
        </w:rPr>
        <w:t xml:space="preserve">mediated increase in visceral pain signaling is mediated </w:t>
      </w:r>
      <w:r w:rsidR="001E2985" w:rsidRPr="00BA6F83">
        <w:rPr>
          <w:rFonts w:asciiTheme="minorHAnsi" w:hAnsiTheme="minorHAnsi"/>
          <w:color w:val="000000" w:themeColor="text1"/>
          <w:lang w:val="en-US"/>
        </w:rPr>
        <w:t>via</w:t>
      </w:r>
      <w:r w:rsidRPr="00BA6F83">
        <w:rPr>
          <w:rFonts w:asciiTheme="minorHAnsi" w:hAnsiTheme="minorHAnsi"/>
          <w:color w:val="000000" w:themeColor="text1"/>
          <w:lang w:val="en-US"/>
        </w:rPr>
        <w:t xml:space="preserve"> </w:t>
      </w:r>
      <w:r w:rsidR="007A3DB1" w:rsidRPr="00BA6F83">
        <w:rPr>
          <w:rFonts w:asciiTheme="minorHAnsi" w:hAnsiTheme="minorHAnsi"/>
          <w:color w:val="000000" w:themeColor="text1"/>
          <w:lang w:val="en-US"/>
        </w:rPr>
        <w:t>H</w:t>
      </w:r>
      <w:r w:rsidR="007A3DB1" w:rsidRPr="00BA6F83">
        <w:rPr>
          <w:rFonts w:asciiTheme="minorHAnsi" w:hAnsiTheme="minorHAnsi"/>
          <w:color w:val="000000" w:themeColor="text1"/>
          <w:vertAlign w:val="subscript"/>
          <w:lang w:val="en-US"/>
        </w:rPr>
        <w:t>1</w:t>
      </w:r>
      <w:r w:rsidR="007A3DB1" w:rsidRPr="00BA6F83">
        <w:rPr>
          <w:rFonts w:asciiTheme="minorHAnsi" w:hAnsiTheme="minorHAnsi"/>
          <w:color w:val="000000" w:themeColor="text1"/>
          <w:lang w:val="en-US"/>
        </w:rPr>
        <w:t>R</w:t>
      </w:r>
      <w:r w:rsidR="006879CF">
        <w:rPr>
          <w:rFonts w:asciiTheme="minorHAnsi" w:hAnsiTheme="minorHAnsi"/>
          <w:color w:val="000000" w:themeColor="text1"/>
          <w:lang w:val="en-US"/>
        </w:rPr>
        <w:t xml:space="preserve"> and involves</w:t>
      </w:r>
      <w:r w:rsidRPr="00BA6F83">
        <w:rPr>
          <w:rFonts w:asciiTheme="minorHAnsi" w:hAnsiTheme="minorHAnsi"/>
          <w:color w:val="000000" w:themeColor="text1"/>
          <w:lang w:val="en-US"/>
        </w:rPr>
        <w:t xml:space="preserve"> sensitization of TRPV1 </w:t>
      </w:r>
      <w:r w:rsidR="00817FB1" w:rsidRPr="00BA6F83">
        <w:rPr>
          <w:rFonts w:asciiTheme="minorHAnsi" w:hAnsiTheme="minorHAnsi"/>
          <w:color w:val="000000" w:themeColor="text1"/>
          <w:lang w:val="en-US"/>
        </w:rPr>
        <w:t>and</w:t>
      </w:r>
      <w:r w:rsidR="00066AAC">
        <w:rPr>
          <w:rFonts w:asciiTheme="minorHAnsi" w:hAnsiTheme="minorHAnsi"/>
          <w:color w:val="000000" w:themeColor="text1"/>
          <w:lang w:val="en-US"/>
        </w:rPr>
        <w:t xml:space="preserve">, most </w:t>
      </w:r>
      <w:r w:rsidR="006879CF">
        <w:rPr>
          <w:rFonts w:asciiTheme="minorHAnsi" w:hAnsiTheme="minorHAnsi"/>
          <w:color w:val="000000" w:themeColor="text1"/>
          <w:lang w:val="en-US"/>
        </w:rPr>
        <w:t>likely</w:t>
      </w:r>
      <w:r w:rsidR="00066AAC">
        <w:rPr>
          <w:rFonts w:asciiTheme="minorHAnsi" w:hAnsiTheme="minorHAnsi"/>
          <w:color w:val="000000" w:themeColor="text1"/>
          <w:lang w:val="en-US"/>
        </w:rPr>
        <w:t>,</w:t>
      </w:r>
      <w:r w:rsidR="006879CF">
        <w:rPr>
          <w:rFonts w:asciiTheme="minorHAnsi" w:hAnsiTheme="minorHAnsi"/>
          <w:color w:val="000000" w:themeColor="text1"/>
          <w:lang w:val="en-US"/>
        </w:rPr>
        <w:t xml:space="preserve"> </w:t>
      </w:r>
      <w:r w:rsidR="000E7708">
        <w:rPr>
          <w:rFonts w:asciiTheme="minorHAnsi" w:hAnsiTheme="minorHAnsi"/>
          <w:color w:val="000000" w:themeColor="text1"/>
          <w:lang w:val="en-US"/>
        </w:rPr>
        <w:t xml:space="preserve">other </w:t>
      </w:r>
      <w:r w:rsidR="00817FB1" w:rsidRPr="00BA6F83">
        <w:rPr>
          <w:rFonts w:asciiTheme="minorHAnsi" w:hAnsiTheme="minorHAnsi"/>
          <w:color w:val="000000" w:themeColor="text1"/>
          <w:lang w:val="en-US"/>
        </w:rPr>
        <w:t>voltage-</w:t>
      </w:r>
      <w:r w:rsidR="009A75BA" w:rsidRPr="00BA6F83">
        <w:rPr>
          <w:rFonts w:asciiTheme="minorHAnsi" w:hAnsiTheme="minorHAnsi"/>
          <w:color w:val="000000" w:themeColor="text1"/>
          <w:lang w:val="en-US"/>
        </w:rPr>
        <w:t>gated ion channels</w:t>
      </w:r>
      <w:r w:rsidR="00F12F5C" w:rsidRPr="00BA6F83">
        <w:rPr>
          <w:rFonts w:asciiTheme="minorHAnsi" w:hAnsiTheme="minorHAnsi"/>
          <w:color w:val="000000" w:themeColor="text1"/>
          <w:lang w:val="en-US"/>
        </w:rPr>
        <w:t xml:space="preserve"> </w:t>
      </w:r>
      <w:r w:rsidR="0041689F" w:rsidRPr="00BA6F83">
        <w:rPr>
          <w:rFonts w:asciiTheme="minorHAnsi" w:hAnsiTheme="minorHAnsi"/>
          <w:color w:val="000000" w:themeColor="text1"/>
          <w:lang w:val="en-US"/>
        </w:rPr>
        <w:t>i</w:t>
      </w:r>
      <w:r w:rsidRPr="00BA6F83">
        <w:rPr>
          <w:rFonts w:asciiTheme="minorHAnsi" w:hAnsiTheme="minorHAnsi"/>
          <w:color w:val="000000" w:themeColor="text1"/>
          <w:lang w:val="en-US"/>
        </w:rPr>
        <w:t xml:space="preserve">n </w:t>
      </w:r>
      <w:r w:rsidR="00C06B8E" w:rsidRPr="00BA6F83">
        <w:rPr>
          <w:rFonts w:asciiTheme="minorHAnsi" w:hAnsiTheme="minorHAnsi"/>
          <w:color w:val="000000" w:themeColor="text1"/>
          <w:lang w:val="en-US"/>
        </w:rPr>
        <w:t>sensory neurons</w:t>
      </w:r>
      <w:r w:rsidRPr="00BA6F83">
        <w:rPr>
          <w:rFonts w:asciiTheme="minorHAnsi" w:hAnsiTheme="minorHAnsi"/>
          <w:color w:val="000000" w:themeColor="text1"/>
          <w:lang w:val="en-US"/>
        </w:rPr>
        <w:t xml:space="preserve">. </w:t>
      </w:r>
    </w:p>
    <w:p w14:paraId="2EAFB4CC" w14:textId="6FCD5E91" w:rsidR="00F61771" w:rsidRPr="00BA6F83" w:rsidRDefault="00C06D97" w:rsidP="00AA5458">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 xml:space="preserve">To further understand </w:t>
      </w:r>
      <w:r w:rsidR="006A26D9" w:rsidRPr="00BA6F83">
        <w:rPr>
          <w:rFonts w:asciiTheme="minorHAnsi" w:hAnsiTheme="minorHAnsi"/>
          <w:color w:val="000000" w:themeColor="text1"/>
          <w:lang w:val="en-US"/>
        </w:rPr>
        <w:t xml:space="preserve">the </w:t>
      </w:r>
      <w:r w:rsidRPr="00BA6F83">
        <w:rPr>
          <w:rFonts w:asciiTheme="minorHAnsi" w:hAnsiTheme="minorHAnsi"/>
          <w:color w:val="000000" w:themeColor="text1"/>
          <w:lang w:val="en-US"/>
        </w:rPr>
        <w:t>concept</w:t>
      </w:r>
      <w:r w:rsidR="006A26D9" w:rsidRPr="00BA6F83">
        <w:rPr>
          <w:rFonts w:asciiTheme="minorHAnsi" w:hAnsiTheme="minorHAnsi"/>
          <w:color w:val="000000" w:themeColor="text1"/>
          <w:lang w:val="en-US"/>
        </w:rPr>
        <w:t xml:space="preserve"> of food-</w:t>
      </w:r>
      <w:r w:rsidR="00787238" w:rsidRPr="00BA6F83">
        <w:rPr>
          <w:rFonts w:asciiTheme="minorHAnsi" w:hAnsiTheme="minorHAnsi"/>
          <w:color w:val="000000" w:themeColor="text1"/>
          <w:lang w:val="en-US"/>
        </w:rPr>
        <w:t>induced</w:t>
      </w:r>
      <w:r w:rsidR="006A26D9" w:rsidRPr="00BA6F83">
        <w:rPr>
          <w:rFonts w:asciiTheme="minorHAnsi" w:hAnsiTheme="minorHAnsi"/>
          <w:color w:val="000000" w:themeColor="text1"/>
          <w:lang w:val="en-US"/>
        </w:rPr>
        <w:t xml:space="preserve"> VHS</w:t>
      </w:r>
      <w:r w:rsidRPr="00BA6F83">
        <w:rPr>
          <w:rFonts w:asciiTheme="minorHAnsi" w:hAnsiTheme="minorHAnsi"/>
          <w:color w:val="000000" w:themeColor="text1"/>
          <w:lang w:val="en-US"/>
        </w:rPr>
        <w:t xml:space="preserve">, </w:t>
      </w:r>
      <w:r w:rsidR="00316F53" w:rsidRPr="00BA6F83">
        <w:rPr>
          <w:rFonts w:asciiTheme="minorHAnsi" w:hAnsiTheme="minorHAnsi"/>
          <w:color w:val="000000" w:themeColor="text1"/>
          <w:lang w:val="en-US"/>
        </w:rPr>
        <w:t xml:space="preserve">we </w:t>
      </w:r>
      <w:r w:rsidR="008C47E1" w:rsidRPr="00BA6F83">
        <w:rPr>
          <w:rFonts w:asciiTheme="minorHAnsi" w:hAnsiTheme="minorHAnsi"/>
          <w:color w:val="000000" w:themeColor="text1"/>
          <w:lang w:val="en-US"/>
        </w:rPr>
        <w:t xml:space="preserve">explored if other conditions could trigger a similar </w:t>
      </w:r>
      <w:r w:rsidR="001D0CE5" w:rsidRPr="00BA6F83">
        <w:rPr>
          <w:rFonts w:asciiTheme="minorHAnsi" w:hAnsiTheme="minorHAnsi"/>
          <w:color w:val="000000" w:themeColor="text1"/>
          <w:lang w:val="en-US"/>
        </w:rPr>
        <w:t>OVA</w:t>
      </w:r>
      <w:r w:rsidR="009A5356" w:rsidRPr="00BA6F83">
        <w:rPr>
          <w:rFonts w:asciiTheme="minorHAnsi" w:hAnsiTheme="minorHAnsi"/>
          <w:color w:val="000000" w:themeColor="text1"/>
          <w:lang w:val="en-US"/>
        </w:rPr>
        <w:t xml:space="preserve">-specific aberrant immune </w:t>
      </w:r>
      <w:r w:rsidR="00316F53" w:rsidRPr="00BA6F83">
        <w:rPr>
          <w:rFonts w:asciiTheme="minorHAnsi" w:hAnsiTheme="minorHAnsi"/>
          <w:color w:val="000000" w:themeColor="text1"/>
          <w:lang w:val="en-US"/>
        </w:rPr>
        <w:t>response</w:t>
      </w:r>
      <w:r w:rsidR="008C47E1" w:rsidRPr="00BA6F83">
        <w:rPr>
          <w:rFonts w:asciiTheme="minorHAnsi" w:hAnsiTheme="minorHAnsi"/>
          <w:color w:val="000000" w:themeColor="text1"/>
          <w:lang w:val="en-US"/>
        </w:rPr>
        <w:t>. In the upper airway,</w:t>
      </w:r>
      <w:r w:rsidR="00316F53" w:rsidRPr="00BA6F83">
        <w:rPr>
          <w:rFonts w:asciiTheme="minorHAnsi" w:hAnsiTheme="minorHAnsi"/>
          <w:color w:val="000000" w:themeColor="text1"/>
          <w:lang w:val="en-US"/>
        </w:rPr>
        <w:t xml:space="preserve"> </w:t>
      </w:r>
      <w:r w:rsidR="009C134C" w:rsidRPr="00BA6F83">
        <w:rPr>
          <w:rFonts w:asciiTheme="minorHAnsi" w:hAnsiTheme="minorHAnsi"/>
          <w:color w:val="000000" w:themeColor="text1"/>
          <w:lang w:val="en-US"/>
        </w:rPr>
        <w:t>s</w:t>
      </w:r>
      <w:r w:rsidR="00316F53" w:rsidRPr="00BA6F83">
        <w:rPr>
          <w:rFonts w:asciiTheme="minorHAnsi" w:hAnsiTheme="minorHAnsi"/>
          <w:color w:val="000000" w:themeColor="text1"/>
          <w:lang w:val="en-US"/>
        </w:rPr>
        <w:t>uper</w:t>
      </w:r>
      <w:r w:rsidR="009C134C" w:rsidRPr="00BA6F83">
        <w:rPr>
          <w:rFonts w:asciiTheme="minorHAnsi" w:hAnsiTheme="minorHAnsi"/>
          <w:color w:val="000000" w:themeColor="text1"/>
          <w:lang w:val="en-US"/>
        </w:rPr>
        <w:t>antigens (</w:t>
      </w:r>
      <w:proofErr w:type="spellStart"/>
      <w:r w:rsidR="009C134C" w:rsidRPr="00BA6F83">
        <w:rPr>
          <w:rFonts w:asciiTheme="minorHAnsi" w:hAnsiTheme="minorHAnsi"/>
          <w:color w:val="000000" w:themeColor="text1"/>
          <w:lang w:val="en-US"/>
        </w:rPr>
        <w:t>SAgs</w:t>
      </w:r>
      <w:proofErr w:type="spellEnd"/>
      <w:r w:rsidR="009C134C" w:rsidRPr="00BA6F83">
        <w:rPr>
          <w:rFonts w:asciiTheme="minorHAnsi" w:hAnsiTheme="minorHAnsi"/>
          <w:color w:val="000000" w:themeColor="text1"/>
          <w:lang w:val="en-US"/>
        </w:rPr>
        <w:t>)</w:t>
      </w:r>
      <w:r w:rsidR="008C47E1" w:rsidRPr="00BA6F83">
        <w:rPr>
          <w:rFonts w:asciiTheme="minorHAnsi" w:hAnsiTheme="minorHAnsi"/>
          <w:color w:val="000000" w:themeColor="text1"/>
          <w:lang w:val="en-US"/>
        </w:rPr>
        <w:t xml:space="preserve">, </w:t>
      </w:r>
      <w:r w:rsidR="00316F53" w:rsidRPr="00BA6F83">
        <w:rPr>
          <w:rFonts w:asciiTheme="minorHAnsi" w:hAnsiTheme="minorHAnsi"/>
          <w:color w:val="000000" w:themeColor="text1"/>
          <w:lang w:val="en-US"/>
        </w:rPr>
        <w:t xml:space="preserve">microbial </w:t>
      </w:r>
      <w:r w:rsidR="008C47E1" w:rsidRPr="00BA6F83">
        <w:rPr>
          <w:rFonts w:asciiTheme="minorHAnsi" w:hAnsiTheme="minorHAnsi"/>
          <w:color w:val="000000" w:themeColor="text1"/>
          <w:lang w:val="en-US"/>
        </w:rPr>
        <w:t>antigens released by bacteria known to</w:t>
      </w:r>
      <w:r w:rsidR="00316F53" w:rsidRPr="00BA6F83">
        <w:rPr>
          <w:rFonts w:asciiTheme="minorHAnsi" w:hAnsiTheme="minorHAnsi"/>
          <w:color w:val="000000" w:themeColor="text1"/>
          <w:lang w:val="en-US"/>
        </w:rPr>
        <w:t xml:space="preserve"> </w:t>
      </w:r>
      <w:r w:rsidR="008C47E1" w:rsidRPr="00BA6F83">
        <w:rPr>
          <w:rFonts w:asciiTheme="minorHAnsi" w:hAnsiTheme="minorHAnsi"/>
          <w:color w:val="000000" w:themeColor="text1"/>
          <w:lang w:val="en-US"/>
        </w:rPr>
        <w:t>cause non-specific activation of T cells</w:t>
      </w:r>
      <w:r w:rsidR="002200D8" w:rsidRPr="00BA6F83">
        <w:rPr>
          <w:rFonts w:asciiTheme="minorHAnsi" w:hAnsiTheme="minorHAnsi"/>
          <w:color w:val="000000" w:themeColor="text1"/>
          <w:lang w:val="en-US"/>
        </w:rPr>
        <w:t>,</w:t>
      </w:r>
      <w:r w:rsidR="008C47E1" w:rsidRPr="00BA6F83">
        <w:rPr>
          <w:rFonts w:asciiTheme="minorHAnsi" w:hAnsiTheme="minorHAnsi"/>
          <w:color w:val="000000" w:themeColor="text1"/>
          <w:lang w:val="en-US"/>
        </w:rPr>
        <w:t xml:space="preserve"> have been implicated in the pathogenesis of asthma and atopic rhinitis</w:t>
      </w:r>
      <w:r w:rsidR="006D69BD" w:rsidRPr="00BA6F83">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{"citationItems":[{"id":"ITEM-1","itemData":{"DOI":"10.4168/aair.2014.6.3.263","ISSN":"20927363","PMID":"24843803","abstract":"Staphylococcus aureus is the most common bacterium present in upper respiratory tract, and the toxins it produced are involved in allergic inflammation pathogenesis. In this study, we investigated the clinical significance of IgE in association with staphylococcal superantigens in allergic asthma with rhinitis (BAwAR) and allergic rhinitis alone (AR). We recruited 100 patients with BAwAR (group I), 100 patients with AR (group II), and 88 healthy controls (group III). Patients were clinically diagnosed by physicians, and were sensitized to house dust mites. Specific IgE antibodies to staphylococcal superantigen A (SEA), B (SEB), and toxic shock syndrome toxin-1 (TSST-1) were measured using the ImmunoCAP system. Other clinical parameters were retrospectively analyzed. All specific IgE antibodies to SEA, SEB, and TSST-1 were detected most frequently in group I (22%, 21%, and 27%), followed by group II (11%, 14%, and 21%) and group III (4.5%, 3.4%, and 2.3%). Absolute values of serum specific IgE to SEA, SEB, and TSST-1 were also significantly higher in group I (0.300±1.533 kU/L, 0.663±2.933 kU/L, and 0.581±1.931 kU/L) and group II (0.502±2.011 kU/L, 0.695±3.337 kU/L, and 1.067±4.688 kU/L) compared to those in group III (0.03±0.133 kU/L, 0.03±0.14 kU/L, and 0.028±0.112 kU/L). The prevalence of serum specific IgE to SEA was significantly higher in group I compared to group II (P=0.025). Blood eosinophil counts were significantly higher in patients with specific IgE to SEA or SEB, and higher serum levels of specific IgE to house dust mites were noted in patients with specific IgE to TSST-1. In conclusion, the present study suggested that IgE responses to staphylococcal superantigens are prevalent in the sera of both BAwAR and AR patients. This may contribute to an augmented IgE response to indoor allergens and eosinophilic inflammation.","author":[{"dropping-particle":"","family":"Liu","given":"Jing Nan","non-dropping-particle":"","parse-names":false,"suffix":""},{"dropping-particle":"","family":"Shin","given":"Yoo Seob","non-dropping-particle":"","parse-names":false,"suffix":""},{"dropping-particle":"","family":"Yoo","given":"Hye Soo","non-dropping-particle":"","parse-names":false,"suffix":""},{"dropping-particle":"","family":"Nam","given":"Young Hee","non-dropping-particle":"","parse-names":false,"suffix":""},{"dropping-particle":"","family":"Jin","given":"Hyun Jung","non-dropping-particle":"","parse-names":false,"suffix":""},{"dropping-particle":"","family":"Ye","given":"Young Min","non-dropping-particle":"","parse-names":false,"suffix":""},{"dropping-particle":"","family":"Nahm","given":"Dong Ho","non-dropping-particle":"","parse-names":false,"suffix":""},{"dropping-particle":"","family":"Park","given":"Hae Sim","non-dropping-particle":"","parse-names":false,"suffix":""}],"container-title":"Allergy, Asthma and Immunology Research","id":"ITEM-1","issue":"3","issued":{"date-parts":[["2014"]]},"page":"263-266","title":"The prevalence of serum specific IgE to superantigens in asthma and allergic rhinitis patients","type":"article-journal","volume":"6"},"uris":["http://www.mendeley.com/documents/?uuid=193ae108-4534-45ac-8513-d9ab35cb5f40"]},{"id":"ITEM-2","itemData":{"DOI":"10.1159/000350329","ISBN":"3805582668","ISSN":"10182438","PMID":"17369708","abstract":"Gram-positive Staphylococcus aureus germs constitutively have the possibility to release classical and egc-locus-derived enterotoxins which show superantigen activity, and effectively modify the functions of T and B cells, eosinophils, and other inflammatory and structural cells. The stimulation may lead to a type 2 T helper cell-polarized eosinophilic inflammation as well as a multiclonal IgE production, aggravating airway disease in the upper and lower respiratory tract. Recently, S. aureus has been demonstrated to reside intraepithelially, and potentially to release superantigens into the tissue from within the epithelial cells. An immune defect, either in the innate or adaptive immunity, might be responsible for this phenomenon. Follicle-like structures and lymphocyte accumulations, specifically binding enterotoxins, can be found within the mucosal tissue. Interestingly also, IgE antibodies to enterotoxins can be found in the majority of aspirin-sensitive patients, in nasal polyps and severe asthma alike. We here summarize the current evidence from animal and human studies for an active role of staphylococcal enterotoxins (SEs) in allergic rhinitis, nasal polyps, asthma, chronic obstructive pulmonary disease and finally early childhood wheezing, and discuss the similarities between those disease manifestations. As a principle, the occurrence of IgE antibodies to SEs correlates with disease severity in terms of total IgE formation, inflammatory markers and clinical expression of the disease. Preliminary evidence from animal models underlines the high potency of SEs to induce or modulate disease, and a few pilot intervention trials may serve as proof of concept for the impact of SEs on disease severity. However, therapeutic approaches are so far limited and empirical, and need further improvement to tackle this currently underestimated clinical challenge","author":[{"dropping-particle":"","family":"Huvenne","given":"Wouter","non-dropping-particle":"","parse-names":false,"suffix":""},{"dropping-particle":"","family":"Hellings","given":"Peter W.","non-dropping-particle":"","parse-names":false,"suffix":""},{"dropping-particle":"","family":"Bachert","given":"Claus","non-dropping-particle":"","parse-names":false,"suffix":""}],"container-title":"International Archives of Allergy and Immunology","id":"ITEM-2","issue":"4","issued":{"date-parts":[["2013"]]},"page":"304-314","title":"Role of staphylococcal superantigens in airway disease","type":"article","volume":"161"},"uris":["http://www.mendeley.com/documents/?uuid=e924aa35-8111-44fe-a8e9-38ec26fbbb96"]}],"mendeley":{"formattedCitation":"&lt;sup&gt;42,43&lt;/sup&gt;","plainTextFormattedCitation":"42,43","previouslyFormattedCitation":"&lt;sup&gt;42,43&lt;/sup&gt;"},"properties":{"noteIndex":0},"schema":"https://github.com/citation-style-language/schema/raw/master/csl-citation.json"}</w:instrText>
      </w:r>
      <w:r w:rsidR="006D69BD" w:rsidRPr="00BA6F83">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42,43</w:t>
      </w:r>
      <w:r w:rsidR="006D69BD" w:rsidRPr="00BA6F83">
        <w:rPr>
          <w:rFonts w:asciiTheme="minorHAnsi" w:hAnsiTheme="minorHAnsi"/>
          <w:color w:val="000000" w:themeColor="text1"/>
          <w:lang w:val="en-US"/>
        </w:rPr>
        <w:fldChar w:fldCharType="end"/>
      </w:r>
      <w:r w:rsidR="006C3510" w:rsidRPr="00BA6F83">
        <w:rPr>
          <w:rFonts w:asciiTheme="minorHAnsi" w:hAnsiTheme="minorHAnsi"/>
          <w:color w:val="000000" w:themeColor="text1"/>
          <w:lang w:val="en-US"/>
        </w:rPr>
        <w:t xml:space="preserve"> </w:t>
      </w:r>
      <w:r w:rsidR="00E125D9" w:rsidRPr="00BA6F83">
        <w:rPr>
          <w:rFonts w:asciiTheme="minorHAnsi" w:hAnsiTheme="minorHAnsi"/>
          <w:color w:val="000000" w:themeColor="text1"/>
          <w:lang w:val="en-US"/>
        </w:rPr>
        <w:t>via</w:t>
      </w:r>
      <w:r w:rsidR="008C47E1" w:rsidRPr="00BA6F83">
        <w:rPr>
          <w:rFonts w:asciiTheme="minorHAnsi" w:hAnsiTheme="minorHAnsi"/>
          <w:color w:val="000000" w:themeColor="text1"/>
          <w:lang w:val="en-US"/>
        </w:rPr>
        <w:t xml:space="preserve"> a bystander </w:t>
      </w:r>
      <w:r w:rsidR="009C134C" w:rsidRPr="00BA6F83">
        <w:rPr>
          <w:rFonts w:asciiTheme="minorHAnsi" w:hAnsiTheme="minorHAnsi"/>
          <w:color w:val="000000" w:themeColor="text1"/>
          <w:lang w:val="en-US"/>
        </w:rPr>
        <w:t>Th2-polarized</w:t>
      </w:r>
      <w:r w:rsidR="00316F53" w:rsidRPr="00BA6F83">
        <w:rPr>
          <w:rFonts w:asciiTheme="minorHAnsi" w:hAnsiTheme="minorHAnsi"/>
          <w:color w:val="000000" w:themeColor="text1"/>
          <w:lang w:val="en-US"/>
        </w:rPr>
        <w:t xml:space="preserve"> immune response against innocent antigens</w:t>
      </w:r>
      <w:r w:rsidR="006D69BD" w:rsidRPr="00BA6F83">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{"citationItems":[{"id":"ITEM-1","itemData":{"DOI":"10.1111/j.1365-2222.2011.03861.x","ISSN":"09547894","PMID":"22092786","abstract":"BACKGROUND:The allergen-induced activation and expansion of IL-4 producing T helper type 2 (Th2) cells is a key event in the initiation and progression of allergic disease. Intriguingly, concomitant early childhood staphylococcal skin infections are being increasingly implicated in the allergen-induced switch of primary T cell responses towards the Th2 phenotype.\\n\\nOBJECTIVE:We sought to identify whether or not staphylococcal-derived superantigen can influence the primary T cell response in the skin to food allergens with a view to determining whether such exposures create the immune pathology that predisposes to the development of food allergy.\\n\\nMETHODS:Using a novel Th2 reporter model, we determined the ability of the staphylococcal superantigen (SEB) to influence priming in the skin of IL-4 expressing Th2 cells by peanut extract (PE). Factors including the effect of SEB on the magnitude of the Th2 response in the skin draining lymph nodes, T cell receptor V region usage and the influence of endotoxin were evaluated.\\n\\nRESULTS:Primary exposure to PE and SEB lead to significantly enhanced PE specific Th2 responses when the mice were subsequently exposed to PE alone. The enhancement of the Th2 response was dependent on the Vβ-binding properties of the SEB, but was not affected by endotoxin-mediated TLR-4 effects or strain differences in the mice.\\n\\nCONCLUSIONS AND CLINICAL RELEVANCE:These results identify that in the skin environment, the presence of SEB can significantly increase the numbers of allergen-induced Th2 cells which develop in response to subsequent allergen exposure. These data highlight the process by which individuals may become pathologically sensitized to food allergens in early life.","author":[{"dropping-particle":"","family":"Forbes-Blom","given":"E.","non-dropping-particle":"","parse-names":false,"suffix":""},{"dropping-particle":"","family":"Camberis","given":"M.","non-dropping-particle":"","parse-names":false,"suffix":""},{"dropping-particle":"","family":"Prout","given":"M.","non-dropping-particle":"","parse-names":false,"suffix":""},{"dropping-particle":"","family":"Tang","given":"S. C.","non-dropping-particle":"","parse-names":false,"suffix":""},{"dropping-particle":"","family":"Gros","given":"G.","non-dropping-particle":"Le","parse-names":false,"suffix":""}],"container-title":"Clinical and Experimental Allergy","id":"ITEM-1","issue":"2","issued":{"date-parts":[["2012"]]},"page":"305-314","title":"Staphylococcal-derived superantigen enhances peanut induced Th2 responses in the skin","type":"article-journal","volume":"42"},"uris":["http://www.mendeley.com/documents/?uuid=82860f3c-a809-4e86-8a24-1dbcb667a520"]},{"id":"ITEM-2","itemData":{"DOI":"10.1016/j.jaci.2008.10.011","ISBN":"1097-6825 (Electronic)","ISSN":"00916749","PMID":"19022495","abstract":"Background: Food allergy is a disorder in which antigenic food proteins elicit immune responses. Animal models of food allergy have several limitations that influence their utility, including failure to recapitulate several key immunologic hallmarks. Consequently, little is known regarding the pathogenesis and mechanisms leading to food allergy. Staphylococcus aureus-derived enterotoxins, a common cause of food contamination, are associated with antigen responses in atopic dermatitis. Objective: We hypothesized that S aureus-derived enterotoxins might influence the development of food allergy. We examined the influence of administration of staphylococcal enterotoxin B (SEB) with food allergens on immunologic responses and compared these responses with those elicited by a cholera toxin-driven food allergy model. Methods: Oral administration of ovalbumin or whole peanut extract with or without SEB was performed once weekly. After 8 weeks, mice were challenged with oral antigen alone, and the physiologic and immunologic responses to antigen were studied. Results: SEB administered with antigen resulted in immune responses to the antigen. Responses were highly TH2 polarized, and oral challenge with antigen triggered anaphylaxis and local and systemic mast cell degranulation. SEB-driven sensitization induced eosinophilia in the blood and intestinal tissues not observed with cholera toxin sensitization. SEB impaired tolerance specifically by impairing expression of TGF-β and regulatory T cells, and tolerance was restored with high-dose antigen. Conclusions: We demonstrate a new model of food allergy to oral antigen in common laboratory strains of mice that recapitulates many features of clinical food allergy that are not seen in other models. We demonstrate that SEB impairs oral tolerance and permits allergic responses. © 2009 American Academy of Allergy, Asthma &amp; Immunology.","author":[{"dropping-particle":"","family":"Ganeshan","given":"Kirthana","non-dropping-particle":"","parse-names":false,"suffix":""},{"dropping-particle":"V.","family":"Neilsen","given":"Colleen","non-dropping-particle":"","parse-names":false,"suffix":""},{"dropping-particle":"","family":"Hadsaitong","given":"April","non-dropping-particle":"","parse-names":false,"suffix":""},{"dropping-particle":"","family":"Schleimer","given":"Robert P.","non-dropping-particle":"","parse-names":false,"suffix":""},{"dropping-particle":"","family":"Luo","given":"Xunrong","non-dropping-particle":"","parse-names":false,"suffix":""},{"dropping-particle":"","family":"Bryce","given":"Paul J.","non-dropping-particle":"","parse-names":false,"suffix":""}],"container-title":"Journal of Allergy and Clinical Immunology","id":"ITEM-2","issue":"1","issued":{"date-parts":[["2009"]]},"page":"231-238","title":"Impairing oral tolerance promotes allergy and anaphylaxis: A new murine food allergy model","type":"article-journal","volume":"123"},"uris":["http://www.mendeley.com/documents/?uuid=e9f448c5-807b-4a64-b1ee-5d96d3e665cf"]}],"mendeley":{"formattedCitation":"&lt;sup&gt;44,45&lt;/sup&gt;","plainTextFormattedCitation":"44,45","previouslyFormattedCitation":"&lt;sup&gt;44,45&lt;/sup&gt;"},"properties":{"noteIndex":0},"schema":"https://github.com/citation-style-language/schema/raw/master/csl-citation.json"}</w:instrText>
      </w:r>
      <w:r w:rsidR="006D69BD" w:rsidRPr="00BA6F83">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44,45</w:t>
      </w:r>
      <w:r w:rsidR="006D69BD" w:rsidRPr="00BA6F83">
        <w:rPr>
          <w:rFonts w:asciiTheme="minorHAnsi" w:hAnsiTheme="minorHAnsi"/>
          <w:color w:val="000000" w:themeColor="text1"/>
          <w:lang w:val="en-US"/>
        </w:rPr>
        <w:fldChar w:fldCharType="end"/>
      </w:r>
      <w:r w:rsidR="009C134C" w:rsidRPr="00BA6F83">
        <w:rPr>
          <w:rFonts w:asciiTheme="minorHAnsi" w:hAnsiTheme="minorHAnsi"/>
          <w:color w:val="000000" w:themeColor="text1"/>
          <w:lang w:val="en-US"/>
        </w:rPr>
        <w:t xml:space="preserve">. </w:t>
      </w:r>
      <w:r w:rsidR="0074062A" w:rsidRPr="00BA6F83">
        <w:rPr>
          <w:rFonts w:asciiTheme="minorHAnsi" w:hAnsiTheme="minorHAnsi"/>
          <w:i/>
          <w:color w:val="000000" w:themeColor="text1"/>
          <w:lang w:val="en-US"/>
        </w:rPr>
        <w:t>Staphylococcus aureus</w:t>
      </w:r>
      <w:r w:rsidR="001D0CE5" w:rsidRPr="00BA6F83">
        <w:rPr>
          <w:rFonts w:asciiTheme="minorHAnsi" w:hAnsiTheme="minorHAnsi"/>
          <w:color w:val="000000" w:themeColor="text1"/>
          <w:lang w:val="en-US"/>
        </w:rPr>
        <w:t>,</w:t>
      </w:r>
      <w:r w:rsidR="00867595" w:rsidRPr="00BA6F83">
        <w:rPr>
          <w:rFonts w:asciiTheme="minorHAnsi" w:hAnsiTheme="minorHAnsi"/>
          <w:color w:val="000000" w:themeColor="text1"/>
          <w:lang w:val="en-US"/>
        </w:rPr>
        <w:t xml:space="preserve"> known to produce a wide variety of</w:t>
      </w:r>
      <w:r w:rsidR="0074062A" w:rsidRPr="00BA6F83">
        <w:rPr>
          <w:rFonts w:asciiTheme="minorHAnsi" w:hAnsiTheme="minorHAnsi"/>
          <w:color w:val="000000" w:themeColor="text1"/>
          <w:lang w:val="en-US"/>
        </w:rPr>
        <w:t xml:space="preserve"> </w:t>
      </w:r>
      <w:proofErr w:type="spellStart"/>
      <w:r w:rsidR="0074062A" w:rsidRPr="00BA6F83">
        <w:rPr>
          <w:rFonts w:asciiTheme="minorHAnsi" w:hAnsiTheme="minorHAnsi"/>
          <w:color w:val="000000" w:themeColor="text1"/>
          <w:lang w:val="en-US"/>
        </w:rPr>
        <w:t>SAg</w:t>
      </w:r>
      <w:r w:rsidR="008D29E0" w:rsidRPr="00BA6F83">
        <w:rPr>
          <w:rFonts w:asciiTheme="minorHAnsi" w:hAnsiTheme="minorHAnsi"/>
          <w:color w:val="000000" w:themeColor="text1"/>
          <w:lang w:val="en-US"/>
        </w:rPr>
        <w:t>s</w:t>
      </w:r>
      <w:proofErr w:type="spellEnd"/>
      <w:r w:rsidR="001D0CE5" w:rsidRPr="00BA6F83">
        <w:rPr>
          <w:rFonts w:asciiTheme="minorHAnsi" w:hAnsiTheme="minorHAnsi"/>
          <w:color w:val="000000" w:themeColor="text1"/>
          <w:lang w:val="en-US"/>
        </w:rPr>
        <w:t xml:space="preserve">, </w:t>
      </w:r>
      <w:r w:rsidR="00871496" w:rsidRPr="00BA6F83">
        <w:rPr>
          <w:rFonts w:asciiTheme="minorHAnsi" w:hAnsiTheme="minorHAnsi"/>
          <w:color w:val="000000" w:themeColor="text1"/>
          <w:lang w:val="en-US"/>
        </w:rPr>
        <w:t>are</w:t>
      </w:r>
      <w:r w:rsidR="0050070B" w:rsidRPr="00BA6F83">
        <w:rPr>
          <w:rFonts w:asciiTheme="minorHAnsi" w:hAnsiTheme="minorHAnsi"/>
          <w:color w:val="000000" w:themeColor="text1"/>
          <w:lang w:val="en-US"/>
        </w:rPr>
        <w:t xml:space="preserve"> a frequen</w:t>
      </w:r>
      <w:r w:rsidR="002200D8" w:rsidRPr="00BA6F83">
        <w:rPr>
          <w:rFonts w:asciiTheme="minorHAnsi" w:hAnsiTheme="minorHAnsi"/>
          <w:color w:val="000000" w:themeColor="text1"/>
          <w:lang w:val="en-US"/>
        </w:rPr>
        <w:t>t cause of acute rhinosinusitis and</w:t>
      </w:r>
      <w:r w:rsidR="0050070B" w:rsidRPr="00BA6F83">
        <w:rPr>
          <w:rFonts w:asciiTheme="minorHAnsi" w:hAnsiTheme="minorHAnsi"/>
          <w:color w:val="000000" w:themeColor="text1"/>
          <w:lang w:val="en-US"/>
        </w:rPr>
        <w:t xml:space="preserve"> </w:t>
      </w:r>
      <w:r w:rsidR="001D0CE5" w:rsidRPr="00BA6F83">
        <w:rPr>
          <w:rFonts w:asciiTheme="minorHAnsi" w:hAnsiTheme="minorHAnsi"/>
          <w:color w:val="000000" w:themeColor="text1"/>
          <w:lang w:val="en-US"/>
        </w:rPr>
        <w:t>commonly colonize the respiratory tract</w:t>
      </w:r>
      <w:r w:rsidR="006D69BD" w:rsidRPr="00BA6F83">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{"citationItems":[{"id":"ITEM-1","itemData":{"DOI":"10.1086/522763","ISSN":"1058-4838","PMID":"17968816","abstract":"BACKGROUND: Acute bacterial rhinosinusitis is a common health problem in the United States. Appropriate recommendations for the treatment of acute bacterial rhinosinusitis are based on the prevalence and expected antimicrobial susceptibilities of specific pathogens. METHODS: A meta-analysis was performed on the English language literature from the period 1990-2006, including prospective studies of antibiotic therapy for acute bacterial rhinosinusitis for which sinus cultures were required in the form of either maxillary sinus taps or middle meatal cultures. Weighted mean culture rates for Streptococcus pneumoniae, Haemophilus influenzae, Moraxella catarrhalis, and Staphylococcus aureus were abstracted from the included articles and compared according to culture technique. RESULTS: Culture rates (i.e., the percentage of patients with positive culture results) were 32.7% for S. pneumoniae, 31.6% for H. influenzae, 10.1% for S. aureus, and 8.8% for M. catarrhalis. No statistically significant difference was seen between the culture rates for S. aureus and M. catarrhalis. Analysis of the effect of culture technique on the culture rates revealed no statistically significant difference. CONCLUSIONS: The prevalence of S. aureus among sinus cultures warrants its reconsideration as a major pathogen in acute bacterial rhinosinusitis. As a result, increasing trends of drug-resistant strains may complicate antibiotic recommendations.","author":[{"dropping-particle":"","family":"Payne","given":"S. C.","non-dropping-particle":"","parse-names":false,"suffix":""},{"dropping-particle":"","family":"Benninger","given":"M. S.","non-dropping-particle":"","parse-names":false,"suffix":""}],"container-title":"Clinical Infectious Diseases","id":"ITEM-1","issue":"10","issued":{"date-parts":[["2007"]]},"page":"e121-e127","title":"Staphylococcus aureus Is a Major Pathogen in Acute Bacterial Rhinosinusitis: A Meta-Analysis","type":"article-journal","volume":"45"},"uris":["http://www.mendeley.com/documents/?uuid=899a1965-9a72-4d5c-ba82-eeef8b67f2ad"]}],"mendeley":{"formattedCitation":"&lt;sup&gt;46&lt;/sup&gt;","plainTextFormattedCitation":"46","previouslyFormattedCitation":"&lt;sup&gt;46&lt;/sup&gt;"},"properties":{"noteIndex":0},"schema":"https://github.com/citation-style-language/schema/raw/master/csl-citation.json"}</w:instrText>
      </w:r>
      <w:r w:rsidR="006D69BD" w:rsidRPr="00BA6F83">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46</w:t>
      </w:r>
      <w:r w:rsidR="006D69BD" w:rsidRPr="00BA6F83">
        <w:rPr>
          <w:rFonts w:asciiTheme="minorHAnsi" w:hAnsiTheme="minorHAnsi"/>
          <w:color w:val="000000" w:themeColor="text1"/>
          <w:lang w:val="en-US"/>
        </w:rPr>
        <w:fldChar w:fldCharType="end"/>
      </w:r>
      <w:r w:rsidR="00CF3EE5" w:rsidRPr="00BA6F83">
        <w:rPr>
          <w:rFonts w:asciiTheme="minorHAnsi" w:hAnsiTheme="minorHAnsi"/>
          <w:color w:val="000000" w:themeColor="text1"/>
          <w:lang w:val="en-US"/>
        </w:rPr>
        <w:t xml:space="preserve">. </w:t>
      </w:r>
      <w:r w:rsidR="00891200" w:rsidRPr="00BA6F83">
        <w:rPr>
          <w:rFonts w:asciiTheme="minorHAnsi" w:hAnsiTheme="minorHAnsi"/>
          <w:color w:val="000000" w:themeColor="text1"/>
          <w:lang w:val="en-US"/>
        </w:rPr>
        <w:t>We</w:t>
      </w:r>
      <w:r w:rsidR="004A4C30" w:rsidRPr="00BA6F83">
        <w:rPr>
          <w:rFonts w:asciiTheme="minorHAnsi" w:hAnsiTheme="minorHAnsi"/>
          <w:color w:val="000000" w:themeColor="text1"/>
          <w:lang w:val="en-US"/>
        </w:rPr>
        <w:t xml:space="preserve"> reasoned that </w:t>
      </w:r>
      <w:r w:rsidR="008C47E1" w:rsidRPr="00BA6F83">
        <w:rPr>
          <w:rFonts w:asciiTheme="minorHAnsi" w:hAnsiTheme="minorHAnsi"/>
          <w:color w:val="000000" w:themeColor="text1"/>
          <w:lang w:val="en-US"/>
        </w:rPr>
        <w:t xml:space="preserve">exposure of the intestinal immune system to </w:t>
      </w:r>
      <w:proofErr w:type="spellStart"/>
      <w:r w:rsidR="008C47E1" w:rsidRPr="00BA6F83">
        <w:rPr>
          <w:rFonts w:asciiTheme="minorHAnsi" w:hAnsiTheme="minorHAnsi"/>
          <w:color w:val="000000" w:themeColor="text1"/>
          <w:lang w:val="en-US"/>
        </w:rPr>
        <w:t>SAgs</w:t>
      </w:r>
      <w:proofErr w:type="spellEnd"/>
      <w:r w:rsidR="008C47E1" w:rsidRPr="00BA6F83">
        <w:rPr>
          <w:rFonts w:asciiTheme="minorHAnsi" w:hAnsiTheme="minorHAnsi"/>
          <w:color w:val="000000" w:themeColor="text1"/>
          <w:lang w:val="en-US"/>
        </w:rPr>
        <w:t xml:space="preserve">, for </w:t>
      </w:r>
      <w:r w:rsidR="00245F10" w:rsidRPr="00BA6F83">
        <w:rPr>
          <w:rFonts w:asciiTheme="minorHAnsi" w:hAnsiTheme="minorHAnsi"/>
          <w:color w:val="000000" w:themeColor="text1"/>
          <w:lang w:val="en-US"/>
        </w:rPr>
        <w:t>instance after</w:t>
      </w:r>
      <w:r w:rsidR="008C47E1" w:rsidRPr="00BA6F83">
        <w:rPr>
          <w:rFonts w:asciiTheme="minorHAnsi" w:hAnsiTheme="minorHAnsi"/>
          <w:color w:val="000000" w:themeColor="text1"/>
          <w:lang w:val="en-US"/>
        </w:rPr>
        <w:t xml:space="preserve"> swallo</w:t>
      </w:r>
      <w:r w:rsidR="00F92F4E" w:rsidRPr="00BA6F83">
        <w:rPr>
          <w:rFonts w:asciiTheme="minorHAnsi" w:hAnsiTheme="minorHAnsi"/>
          <w:color w:val="000000" w:themeColor="text1"/>
          <w:lang w:val="en-US"/>
        </w:rPr>
        <w:t xml:space="preserve">wing of </w:t>
      </w:r>
      <w:proofErr w:type="spellStart"/>
      <w:r w:rsidR="00F92F4E" w:rsidRPr="00BA6F83">
        <w:rPr>
          <w:rFonts w:asciiTheme="minorHAnsi" w:hAnsiTheme="minorHAnsi"/>
          <w:color w:val="000000" w:themeColor="text1"/>
          <w:lang w:val="en-US"/>
        </w:rPr>
        <w:t>SAgs</w:t>
      </w:r>
      <w:proofErr w:type="spellEnd"/>
      <w:r w:rsidR="00F92F4E" w:rsidRPr="00BA6F83">
        <w:rPr>
          <w:rFonts w:asciiTheme="minorHAnsi" w:hAnsiTheme="minorHAnsi"/>
          <w:color w:val="000000" w:themeColor="text1"/>
          <w:lang w:val="en-US"/>
        </w:rPr>
        <w:t xml:space="preserve"> </w:t>
      </w:r>
      <w:r w:rsidR="008C47E1" w:rsidRPr="00BA6F83">
        <w:rPr>
          <w:rFonts w:asciiTheme="minorHAnsi" w:hAnsiTheme="minorHAnsi"/>
          <w:color w:val="000000" w:themeColor="text1"/>
          <w:lang w:val="en-US"/>
        </w:rPr>
        <w:t xml:space="preserve">during an </w:t>
      </w:r>
      <w:r w:rsidR="00F92F4E" w:rsidRPr="00BA6F83">
        <w:rPr>
          <w:rFonts w:asciiTheme="minorHAnsi" w:hAnsiTheme="minorHAnsi"/>
          <w:color w:val="000000" w:themeColor="text1"/>
          <w:lang w:val="en-US"/>
        </w:rPr>
        <w:t xml:space="preserve">episode of </w:t>
      </w:r>
      <w:r w:rsidR="008C47E1" w:rsidRPr="00BA6F83">
        <w:rPr>
          <w:rFonts w:asciiTheme="minorHAnsi" w:hAnsiTheme="minorHAnsi"/>
          <w:color w:val="000000" w:themeColor="text1"/>
          <w:lang w:val="en-US"/>
        </w:rPr>
        <w:t xml:space="preserve">acute </w:t>
      </w:r>
      <w:r w:rsidR="00F92F4E" w:rsidRPr="00BA6F83">
        <w:rPr>
          <w:rFonts w:asciiTheme="minorHAnsi" w:hAnsiTheme="minorHAnsi"/>
          <w:color w:val="000000" w:themeColor="text1"/>
          <w:lang w:val="en-US"/>
        </w:rPr>
        <w:t>rhinitis</w:t>
      </w:r>
      <w:r w:rsidR="00EA60F1">
        <w:rPr>
          <w:rFonts w:asciiTheme="minorHAnsi" w:hAnsiTheme="minorHAnsi"/>
          <w:color w:val="000000" w:themeColor="text1"/>
          <w:lang w:val="en-US"/>
        </w:rPr>
        <w:t xml:space="preserve"> or produced by </w:t>
      </w:r>
      <w:r w:rsidR="00CA4B05">
        <w:rPr>
          <w:rFonts w:asciiTheme="minorHAnsi" w:hAnsiTheme="minorHAnsi"/>
          <w:color w:val="000000" w:themeColor="text1"/>
          <w:lang w:val="en-US"/>
        </w:rPr>
        <w:t>the microbiome</w:t>
      </w:r>
      <w:r w:rsidR="00F92F4E" w:rsidRPr="00BA6F83">
        <w:rPr>
          <w:rFonts w:asciiTheme="minorHAnsi" w:hAnsiTheme="minorHAnsi"/>
          <w:color w:val="000000" w:themeColor="text1"/>
          <w:lang w:val="en-US"/>
        </w:rPr>
        <w:t xml:space="preserve">, could trigger a similar aberrant immune response to dietary antigens </w:t>
      </w:r>
      <w:r w:rsidR="002200D8" w:rsidRPr="00BA6F83">
        <w:rPr>
          <w:rFonts w:asciiTheme="minorHAnsi" w:hAnsiTheme="minorHAnsi"/>
          <w:color w:val="000000" w:themeColor="text1"/>
          <w:lang w:val="en-US"/>
        </w:rPr>
        <w:t>as</w:t>
      </w:r>
      <w:r w:rsidR="00BD7ABF">
        <w:rPr>
          <w:rFonts w:asciiTheme="minorHAnsi" w:hAnsiTheme="minorHAnsi"/>
          <w:color w:val="000000" w:themeColor="text1"/>
          <w:lang w:val="en-US"/>
        </w:rPr>
        <w:t xml:space="preserve"> we observed with</w:t>
      </w:r>
      <w:r w:rsidR="002200D8" w:rsidRPr="00BA6F83">
        <w:rPr>
          <w:rFonts w:asciiTheme="minorHAnsi" w:hAnsiTheme="minorHAnsi"/>
          <w:color w:val="000000" w:themeColor="text1"/>
          <w:lang w:val="en-US"/>
        </w:rPr>
        <w:t xml:space="preserve"> a bacterial gastroenteritis. </w:t>
      </w:r>
      <w:r w:rsidR="00F92F4E" w:rsidRPr="00BA6F83">
        <w:rPr>
          <w:rFonts w:asciiTheme="minorHAnsi" w:hAnsiTheme="minorHAnsi"/>
          <w:color w:val="000000" w:themeColor="text1"/>
          <w:lang w:val="en-US"/>
        </w:rPr>
        <w:t xml:space="preserve">To test this hypothesis, </w:t>
      </w:r>
      <w:r w:rsidR="00361CD7" w:rsidRPr="00BA6F83">
        <w:rPr>
          <w:rFonts w:asciiTheme="minorHAnsi" w:hAnsiTheme="minorHAnsi"/>
          <w:color w:val="000000" w:themeColor="text1"/>
          <w:lang w:val="en-US"/>
        </w:rPr>
        <w:t>BALB</w:t>
      </w:r>
      <w:r w:rsidR="00BA0508" w:rsidRPr="00BA6F83">
        <w:rPr>
          <w:rFonts w:asciiTheme="minorHAnsi" w:hAnsiTheme="minorHAnsi"/>
          <w:color w:val="000000" w:themeColor="text1"/>
          <w:lang w:val="en-US"/>
        </w:rPr>
        <w:t xml:space="preserve">/c mice received </w:t>
      </w:r>
      <w:r w:rsidR="000233F3" w:rsidRPr="00BA6F83">
        <w:rPr>
          <w:rFonts w:asciiTheme="minorHAnsi" w:hAnsiTheme="minorHAnsi"/>
          <w:color w:val="000000" w:themeColor="text1"/>
          <w:lang w:val="en-US"/>
        </w:rPr>
        <w:t>Staphylococcal</w:t>
      </w:r>
      <w:r w:rsidR="00F92F4E" w:rsidRPr="00BA6F83">
        <w:rPr>
          <w:rFonts w:asciiTheme="minorHAnsi" w:hAnsiTheme="minorHAnsi"/>
          <w:i/>
          <w:color w:val="000000" w:themeColor="text1"/>
          <w:lang w:val="en-US"/>
        </w:rPr>
        <w:t xml:space="preserve"> </w:t>
      </w:r>
      <w:r w:rsidR="00F92F4E" w:rsidRPr="00BA6F83">
        <w:rPr>
          <w:rFonts w:asciiTheme="minorHAnsi" w:hAnsiTheme="minorHAnsi"/>
          <w:color w:val="000000" w:themeColor="text1"/>
          <w:lang w:val="en-US"/>
        </w:rPr>
        <w:t>enterotoxin</w:t>
      </w:r>
      <w:r w:rsidR="00F92F4E" w:rsidRPr="00BA6F83">
        <w:rPr>
          <w:rFonts w:asciiTheme="minorHAnsi" w:hAnsiTheme="minorHAnsi"/>
          <w:i/>
          <w:color w:val="000000" w:themeColor="text1"/>
          <w:lang w:val="en-US"/>
        </w:rPr>
        <w:t xml:space="preserve"> </w:t>
      </w:r>
      <w:r w:rsidR="00F92F4E" w:rsidRPr="00BA6F83">
        <w:rPr>
          <w:rFonts w:asciiTheme="minorHAnsi" w:hAnsiTheme="minorHAnsi"/>
          <w:color w:val="000000" w:themeColor="text1"/>
          <w:lang w:val="en-US"/>
        </w:rPr>
        <w:t>B (SEB)</w:t>
      </w:r>
      <w:r w:rsidR="008D29E0" w:rsidRPr="00BA6F83">
        <w:rPr>
          <w:rFonts w:asciiTheme="minorHAnsi" w:hAnsiTheme="minorHAnsi"/>
          <w:color w:val="000000" w:themeColor="text1"/>
          <w:lang w:val="en-US"/>
        </w:rPr>
        <w:t xml:space="preserve"> as </w:t>
      </w:r>
      <w:proofErr w:type="spellStart"/>
      <w:r w:rsidR="008D29E0" w:rsidRPr="00BA6F83">
        <w:rPr>
          <w:rFonts w:asciiTheme="minorHAnsi" w:hAnsiTheme="minorHAnsi"/>
          <w:color w:val="000000" w:themeColor="text1"/>
          <w:lang w:val="en-US"/>
        </w:rPr>
        <w:t>SAg</w:t>
      </w:r>
      <w:proofErr w:type="spellEnd"/>
      <w:r w:rsidR="00F92F4E" w:rsidRPr="00BA6F83">
        <w:rPr>
          <w:rFonts w:asciiTheme="minorHAnsi" w:hAnsiTheme="minorHAnsi"/>
          <w:color w:val="000000" w:themeColor="text1"/>
          <w:lang w:val="en-US"/>
        </w:rPr>
        <w:t xml:space="preserve"> </w:t>
      </w:r>
      <w:r w:rsidR="00CF3EE5" w:rsidRPr="00BA6F83">
        <w:rPr>
          <w:rFonts w:asciiTheme="minorHAnsi" w:hAnsiTheme="minorHAnsi"/>
          <w:color w:val="000000" w:themeColor="text1"/>
          <w:lang w:val="en-US"/>
        </w:rPr>
        <w:t>alone (saline</w:t>
      </w:r>
      <w:r w:rsidR="00774F32" w:rsidRPr="00BA6F83">
        <w:rPr>
          <w:rFonts w:asciiTheme="minorHAnsi" w:hAnsiTheme="minorHAnsi"/>
          <w:color w:val="000000" w:themeColor="text1"/>
          <w:lang w:val="en-US"/>
        </w:rPr>
        <w:t>/</w:t>
      </w:r>
      <w:r w:rsidR="00CF3EE5" w:rsidRPr="00BA6F83">
        <w:rPr>
          <w:rFonts w:asciiTheme="minorHAnsi" w:hAnsiTheme="minorHAnsi"/>
          <w:color w:val="000000" w:themeColor="text1"/>
          <w:lang w:val="en-US"/>
        </w:rPr>
        <w:t xml:space="preserve">SEB) or in the presence of </w:t>
      </w:r>
      <w:r w:rsidR="003236A5" w:rsidRPr="00BA6F83">
        <w:rPr>
          <w:rFonts w:asciiTheme="minorHAnsi" w:hAnsiTheme="minorHAnsi"/>
          <w:color w:val="000000" w:themeColor="text1"/>
          <w:lang w:val="en-US"/>
        </w:rPr>
        <w:t xml:space="preserve">OVA </w:t>
      </w:r>
      <w:r w:rsidR="00CF3EE5" w:rsidRPr="00BA6F83">
        <w:rPr>
          <w:rFonts w:asciiTheme="minorHAnsi" w:hAnsiTheme="minorHAnsi"/>
          <w:color w:val="000000" w:themeColor="text1"/>
          <w:lang w:val="en-US"/>
        </w:rPr>
        <w:t>(OVA</w:t>
      </w:r>
      <w:r w:rsidR="00774F32" w:rsidRPr="00BA6F83">
        <w:rPr>
          <w:rFonts w:asciiTheme="minorHAnsi" w:hAnsiTheme="minorHAnsi"/>
          <w:color w:val="000000" w:themeColor="text1"/>
          <w:lang w:val="en-US"/>
        </w:rPr>
        <w:t>/</w:t>
      </w:r>
      <w:r w:rsidR="00CF3EE5" w:rsidRPr="00BA6F83">
        <w:rPr>
          <w:rFonts w:asciiTheme="minorHAnsi" w:hAnsiTheme="minorHAnsi"/>
          <w:color w:val="000000" w:themeColor="text1"/>
          <w:lang w:val="en-US"/>
        </w:rPr>
        <w:t>SEB)</w:t>
      </w:r>
      <w:r w:rsidR="00E43757" w:rsidRPr="00BA6F83">
        <w:rPr>
          <w:rFonts w:asciiTheme="minorHAnsi" w:hAnsiTheme="minorHAnsi"/>
          <w:color w:val="000000" w:themeColor="text1"/>
          <w:lang w:val="en-US"/>
        </w:rPr>
        <w:t xml:space="preserve"> </w:t>
      </w:r>
      <w:r w:rsidR="00F92F4E" w:rsidRPr="00BA6F83">
        <w:rPr>
          <w:rFonts w:asciiTheme="minorHAnsi" w:hAnsiTheme="minorHAnsi"/>
          <w:color w:val="000000" w:themeColor="text1"/>
          <w:lang w:val="en-US"/>
        </w:rPr>
        <w:t xml:space="preserve">by oral gavage on three </w:t>
      </w:r>
      <w:r w:rsidR="00E125D9" w:rsidRPr="00BA6F83">
        <w:rPr>
          <w:rFonts w:asciiTheme="minorHAnsi" w:hAnsiTheme="minorHAnsi"/>
          <w:color w:val="000000" w:themeColor="text1"/>
          <w:lang w:val="en-US"/>
        </w:rPr>
        <w:t xml:space="preserve">consecutive </w:t>
      </w:r>
      <w:r w:rsidR="00F92F4E" w:rsidRPr="00BA6F83">
        <w:rPr>
          <w:rFonts w:asciiTheme="minorHAnsi" w:hAnsiTheme="minorHAnsi"/>
          <w:color w:val="000000" w:themeColor="text1"/>
          <w:lang w:val="en-US"/>
        </w:rPr>
        <w:t xml:space="preserve">days </w:t>
      </w:r>
      <w:r w:rsidR="00E125D9" w:rsidRPr="00BA6F83">
        <w:rPr>
          <w:rFonts w:asciiTheme="minorHAnsi" w:hAnsiTheme="minorHAnsi"/>
          <w:color w:val="000000" w:themeColor="text1"/>
          <w:lang w:val="en-US"/>
        </w:rPr>
        <w:t xml:space="preserve">followed by </w:t>
      </w:r>
      <w:r w:rsidR="00BA0508" w:rsidRPr="00BA6F83">
        <w:rPr>
          <w:rFonts w:asciiTheme="minorHAnsi" w:hAnsiTheme="minorHAnsi"/>
          <w:color w:val="000000" w:themeColor="text1"/>
          <w:lang w:val="en-US"/>
        </w:rPr>
        <w:t>re-</w:t>
      </w:r>
      <w:r w:rsidR="00E125D9" w:rsidRPr="00BA6F83">
        <w:rPr>
          <w:rFonts w:asciiTheme="minorHAnsi" w:hAnsiTheme="minorHAnsi"/>
          <w:color w:val="000000" w:themeColor="text1"/>
          <w:lang w:val="en-US"/>
        </w:rPr>
        <w:t xml:space="preserve">exposure </w:t>
      </w:r>
      <w:r w:rsidR="00BA0508" w:rsidRPr="00BA6F83">
        <w:rPr>
          <w:rFonts w:asciiTheme="minorHAnsi" w:hAnsiTheme="minorHAnsi"/>
          <w:color w:val="000000" w:themeColor="text1"/>
          <w:lang w:val="en-US"/>
        </w:rPr>
        <w:t>to OVA</w:t>
      </w:r>
      <w:r w:rsidR="00F92F4E" w:rsidRPr="00BA6F83">
        <w:rPr>
          <w:rFonts w:asciiTheme="minorHAnsi" w:hAnsiTheme="minorHAnsi"/>
          <w:color w:val="000000" w:themeColor="text1"/>
          <w:lang w:val="en-US"/>
        </w:rPr>
        <w:t xml:space="preserve"> by repeated oral gavages from week</w:t>
      </w:r>
      <w:r w:rsidR="00E125D9" w:rsidRPr="00BA6F83">
        <w:rPr>
          <w:rFonts w:asciiTheme="minorHAnsi" w:hAnsiTheme="minorHAnsi"/>
          <w:color w:val="000000" w:themeColor="text1"/>
          <w:lang w:val="en-US"/>
        </w:rPr>
        <w:t xml:space="preserve"> 5</w:t>
      </w:r>
      <w:r w:rsidR="00F92F4E" w:rsidRPr="00BA6F83">
        <w:rPr>
          <w:rFonts w:asciiTheme="minorHAnsi" w:hAnsiTheme="minorHAnsi"/>
          <w:color w:val="000000" w:themeColor="text1"/>
          <w:lang w:val="en-US"/>
        </w:rPr>
        <w:t xml:space="preserve"> onward</w:t>
      </w:r>
      <w:r w:rsidR="009C13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AA1291"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E40921" w:rsidRPr="00BA6F83">
        <w:rPr>
          <w:rFonts w:asciiTheme="minorHAnsi" w:hAnsiTheme="minorHAnsi"/>
          <w:color w:val="000000" w:themeColor="text1"/>
          <w:lang w:val="en-US"/>
        </w:rPr>
        <w:t xml:space="preserve"> </w:t>
      </w:r>
      <w:r w:rsidR="00AA1291" w:rsidRPr="00BA6F83">
        <w:rPr>
          <w:rFonts w:asciiTheme="minorHAnsi" w:hAnsiTheme="minorHAnsi"/>
          <w:color w:val="000000" w:themeColor="text1"/>
          <w:lang w:val="en-US"/>
        </w:rPr>
        <w:t>5</w:t>
      </w:r>
      <w:r w:rsidR="00235AC5" w:rsidRPr="00BA6F83">
        <w:rPr>
          <w:rFonts w:asciiTheme="minorHAnsi" w:hAnsiTheme="minorHAnsi"/>
          <w:color w:val="000000" w:themeColor="text1"/>
          <w:lang w:val="en-US"/>
        </w:rPr>
        <w:t>A</w:t>
      </w:r>
      <w:r w:rsidR="009C134C" w:rsidRPr="00BA6F83">
        <w:rPr>
          <w:rFonts w:asciiTheme="minorHAnsi" w:hAnsiTheme="minorHAnsi"/>
          <w:color w:val="000000" w:themeColor="text1"/>
          <w:lang w:val="en-US"/>
        </w:rPr>
        <w:t>)</w:t>
      </w:r>
      <w:r w:rsidR="00F92F4E" w:rsidRPr="00BA6F83">
        <w:rPr>
          <w:rFonts w:asciiTheme="minorHAnsi" w:hAnsiTheme="minorHAnsi"/>
          <w:color w:val="000000" w:themeColor="text1"/>
          <w:lang w:val="en-US"/>
        </w:rPr>
        <w:t xml:space="preserve">. </w:t>
      </w:r>
      <w:r w:rsidR="00BA0508" w:rsidRPr="00BA6F83">
        <w:rPr>
          <w:rFonts w:asciiTheme="minorHAnsi" w:hAnsiTheme="minorHAnsi"/>
          <w:color w:val="000000" w:themeColor="text1"/>
          <w:lang w:val="en-US"/>
        </w:rPr>
        <w:t xml:space="preserve">Similar to </w:t>
      </w:r>
      <w:r w:rsidR="00CC7968" w:rsidRPr="00BA6F83">
        <w:rPr>
          <w:rFonts w:asciiTheme="minorHAnsi" w:hAnsiTheme="minorHAnsi"/>
          <w:color w:val="000000" w:themeColor="text1"/>
          <w:lang w:val="en-US"/>
        </w:rPr>
        <w:t>OVA</w:t>
      </w:r>
      <w:r w:rsidR="00037A8C" w:rsidRPr="00BA6F83">
        <w:rPr>
          <w:rFonts w:asciiTheme="minorHAnsi" w:hAnsiTheme="minorHAnsi"/>
          <w:color w:val="000000" w:themeColor="text1"/>
          <w:lang w:val="en-US"/>
        </w:rPr>
        <w:t>/</w:t>
      </w:r>
      <w:r w:rsidR="007B2625" w:rsidRPr="00BA6F83">
        <w:rPr>
          <w:rFonts w:asciiTheme="minorHAnsi" w:hAnsiTheme="minorHAnsi"/>
          <w:color w:val="000000" w:themeColor="text1"/>
          <w:lang w:val="en-US"/>
        </w:rPr>
        <w:t xml:space="preserve">infected </w:t>
      </w:r>
      <w:r w:rsidR="00CC7968" w:rsidRPr="00BA6F83">
        <w:rPr>
          <w:rFonts w:asciiTheme="minorHAnsi" w:hAnsiTheme="minorHAnsi"/>
          <w:color w:val="000000" w:themeColor="text1"/>
          <w:lang w:val="en-US"/>
        </w:rPr>
        <w:t>mice</w:t>
      </w:r>
      <w:r w:rsidR="00BA0508" w:rsidRPr="00BA6F83">
        <w:rPr>
          <w:rFonts w:asciiTheme="minorHAnsi" w:hAnsiTheme="minorHAnsi"/>
          <w:color w:val="000000" w:themeColor="text1"/>
          <w:lang w:val="en-US"/>
        </w:rPr>
        <w:t>,</w:t>
      </w:r>
      <w:r w:rsidR="007B2625" w:rsidRPr="00BA6F83">
        <w:rPr>
          <w:rFonts w:asciiTheme="minorHAnsi" w:hAnsiTheme="minorHAnsi"/>
          <w:color w:val="000000" w:themeColor="text1"/>
          <w:lang w:val="en-US"/>
        </w:rPr>
        <w:t xml:space="preserve"> </w:t>
      </w:r>
      <w:r w:rsidR="00CC7968" w:rsidRPr="00BA6F83">
        <w:rPr>
          <w:rFonts w:asciiTheme="minorHAnsi" w:hAnsiTheme="minorHAnsi"/>
          <w:color w:val="000000" w:themeColor="text1"/>
          <w:lang w:val="en-US"/>
        </w:rPr>
        <w:t>OVA</w:t>
      </w:r>
      <w:r w:rsidR="00774F32" w:rsidRPr="00BA6F83">
        <w:rPr>
          <w:rFonts w:asciiTheme="minorHAnsi" w:hAnsiTheme="minorHAnsi"/>
          <w:color w:val="000000" w:themeColor="text1"/>
          <w:lang w:val="en-US"/>
        </w:rPr>
        <w:t>/</w:t>
      </w:r>
      <w:r w:rsidR="00F92F4E" w:rsidRPr="00BA6F83">
        <w:rPr>
          <w:rFonts w:asciiTheme="minorHAnsi" w:hAnsiTheme="minorHAnsi"/>
          <w:color w:val="000000" w:themeColor="text1"/>
          <w:lang w:val="en-US"/>
        </w:rPr>
        <w:t>SEB mice</w:t>
      </w:r>
      <w:r w:rsidR="00BA0508" w:rsidRPr="00BA6F83">
        <w:rPr>
          <w:rFonts w:asciiTheme="minorHAnsi" w:hAnsiTheme="minorHAnsi"/>
          <w:color w:val="000000" w:themeColor="text1"/>
          <w:lang w:val="en-US"/>
        </w:rPr>
        <w:t xml:space="preserve"> developed VHS </w:t>
      </w:r>
      <w:r w:rsidR="00980976" w:rsidRPr="00BA6F83">
        <w:rPr>
          <w:rFonts w:asciiTheme="minorHAnsi" w:hAnsiTheme="minorHAnsi"/>
          <w:color w:val="000000" w:themeColor="text1"/>
          <w:lang w:val="en-US"/>
        </w:rPr>
        <w:t>when re-exposed to OVA</w:t>
      </w:r>
      <w:r w:rsidR="004C1FEE" w:rsidRPr="00BA6F83">
        <w:rPr>
          <w:rFonts w:asciiTheme="minorHAnsi" w:hAnsiTheme="minorHAnsi"/>
          <w:color w:val="000000" w:themeColor="text1"/>
          <w:lang w:val="en-US"/>
        </w:rPr>
        <w:t xml:space="preserve">, even if these were tolerized to OVA prior </w:t>
      </w:r>
      <w:r w:rsidR="00D4390D" w:rsidRPr="00BA6F83">
        <w:rPr>
          <w:rFonts w:asciiTheme="minorHAnsi" w:hAnsiTheme="minorHAnsi"/>
          <w:color w:val="000000" w:themeColor="text1"/>
          <w:lang w:val="en-US"/>
        </w:rPr>
        <w:t xml:space="preserve">to </w:t>
      </w:r>
      <w:r w:rsidR="004C1FEE" w:rsidRPr="00BA6F83">
        <w:rPr>
          <w:rFonts w:asciiTheme="minorHAnsi" w:hAnsiTheme="minorHAnsi"/>
          <w:color w:val="000000" w:themeColor="text1"/>
          <w:lang w:val="en-US"/>
        </w:rPr>
        <w:t>SEB administration</w:t>
      </w:r>
      <w:r w:rsidR="007B2625"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E40921" w:rsidRPr="00BA6F83">
        <w:rPr>
          <w:rFonts w:asciiTheme="minorHAnsi" w:hAnsiTheme="minorHAnsi"/>
          <w:color w:val="000000" w:themeColor="text1"/>
          <w:lang w:val="en-US"/>
        </w:rPr>
        <w:t xml:space="preserve"> </w:t>
      </w:r>
      <w:r w:rsidR="00964C4C" w:rsidRPr="00BA6F83">
        <w:rPr>
          <w:rFonts w:asciiTheme="minorHAnsi" w:hAnsiTheme="minorHAnsi"/>
          <w:color w:val="000000" w:themeColor="text1"/>
          <w:lang w:val="en-US"/>
        </w:rPr>
        <w:t>5B</w:t>
      </w:r>
      <w:bookmarkStart w:id="7" w:name="OLE_LINK7"/>
      <w:r w:rsidR="00891200" w:rsidRPr="00BA6F83">
        <w:rPr>
          <w:rFonts w:asciiTheme="minorHAnsi" w:hAnsiTheme="minorHAnsi"/>
          <w:color w:val="000000" w:themeColor="text1"/>
          <w:lang w:val="en-US"/>
        </w:rPr>
        <w:t>)</w:t>
      </w:r>
      <w:r w:rsidR="00727D29" w:rsidRPr="00BA6F83">
        <w:rPr>
          <w:rFonts w:asciiTheme="minorHAnsi" w:hAnsiTheme="minorHAnsi"/>
          <w:color w:val="000000" w:themeColor="text1"/>
          <w:lang w:val="en-US"/>
        </w:rPr>
        <w:t>,</w:t>
      </w:r>
      <w:r w:rsidR="00891200" w:rsidRPr="00BA6F83">
        <w:rPr>
          <w:rFonts w:asciiTheme="minorHAnsi" w:hAnsiTheme="minorHAnsi"/>
          <w:b/>
          <w:color w:val="000000" w:themeColor="text1"/>
          <w:lang w:val="en-US"/>
        </w:rPr>
        <w:t xml:space="preserve"> </w:t>
      </w:r>
      <w:r w:rsidR="00891200" w:rsidRPr="00BA6F83">
        <w:rPr>
          <w:rFonts w:asciiTheme="minorHAnsi" w:hAnsiTheme="minorHAnsi"/>
          <w:color w:val="000000" w:themeColor="text1"/>
          <w:lang w:val="en-US"/>
        </w:rPr>
        <w:t xml:space="preserve">and </w:t>
      </w:r>
      <w:r w:rsidR="00346CB6" w:rsidRPr="00BA6F83">
        <w:rPr>
          <w:rFonts w:asciiTheme="minorHAnsi" w:hAnsiTheme="minorHAnsi"/>
          <w:color w:val="000000" w:themeColor="text1"/>
          <w:lang w:val="en-US"/>
        </w:rPr>
        <w:t>displayed</w:t>
      </w:r>
      <w:r w:rsidR="00B7230E" w:rsidRPr="00BA6F83">
        <w:rPr>
          <w:rFonts w:asciiTheme="minorHAnsi" w:hAnsiTheme="minorHAnsi"/>
          <w:color w:val="000000" w:themeColor="text1"/>
          <w:lang w:val="en-US"/>
        </w:rPr>
        <w:t xml:space="preserve"> </w:t>
      </w:r>
      <w:r w:rsidR="00BA0508" w:rsidRPr="00BA6F83">
        <w:rPr>
          <w:rFonts w:asciiTheme="minorHAnsi" w:hAnsiTheme="minorHAnsi"/>
          <w:color w:val="000000" w:themeColor="text1"/>
          <w:lang w:val="en-US"/>
        </w:rPr>
        <w:t>increased mucosal permeability</w:t>
      </w:r>
      <w:bookmarkEnd w:id="7"/>
      <w:r w:rsidR="00BA0508" w:rsidRPr="00BA6F83">
        <w:rPr>
          <w:rFonts w:asciiTheme="minorHAnsi" w:hAnsiTheme="minorHAnsi"/>
          <w:color w:val="000000" w:themeColor="text1"/>
          <w:lang w:val="en-US"/>
        </w:rPr>
        <w:t xml:space="preserve"> </w:t>
      </w:r>
      <w:r w:rsidR="00891200" w:rsidRPr="00BA6F83">
        <w:rPr>
          <w:rFonts w:asciiTheme="minorHAnsi" w:hAnsiTheme="minorHAnsi"/>
          <w:color w:val="000000" w:themeColor="text1"/>
          <w:lang w:val="en-US"/>
        </w:rPr>
        <w:t xml:space="preserve">compared to </w:t>
      </w:r>
      <w:r w:rsidR="00866DD7" w:rsidRPr="00BA6F83">
        <w:rPr>
          <w:rFonts w:asciiTheme="minorHAnsi" w:hAnsiTheme="minorHAnsi"/>
          <w:color w:val="000000" w:themeColor="text1"/>
          <w:lang w:val="en-US"/>
        </w:rPr>
        <w:t>saline</w:t>
      </w:r>
      <w:r w:rsidR="00774F32" w:rsidRPr="00BA6F83">
        <w:rPr>
          <w:rFonts w:asciiTheme="minorHAnsi" w:hAnsiTheme="minorHAnsi"/>
          <w:color w:val="000000" w:themeColor="text1"/>
          <w:lang w:val="en-US"/>
        </w:rPr>
        <w:t>/</w:t>
      </w:r>
      <w:r w:rsidR="00866DD7" w:rsidRPr="00BA6F83">
        <w:rPr>
          <w:rFonts w:asciiTheme="minorHAnsi" w:hAnsiTheme="minorHAnsi"/>
          <w:color w:val="000000" w:themeColor="text1"/>
          <w:lang w:val="en-US"/>
        </w:rPr>
        <w:t xml:space="preserve">SEB </w:t>
      </w:r>
      <w:r w:rsidR="00891200" w:rsidRPr="00BA6F83">
        <w:rPr>
          <w:rFonts w:asciiTheme="minorHAnsi" w:hAnsiTheme="minorHAnsi"/>
          <w:color w:val="000000" w:themeColor="text1"/>
          <w:lang w:val="en-US"/>
        </w:rPr>
        <w:t>mice</w:t>
      </w:r>
      <w:r w:rsidR="007F7B01"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5C</w:t>
      </w:r>
      <w:r w:rsidR="007F7B01" w:rsidRPr="00BA6F83">
        <w:rPr>
          <w:rFonts w:asciiTheme="minorHAnsi" w:hAnsiTheme="minorHAnsi"/>
          <w:color w:val="000000" w:themeColor="text1"/>
          <w:lang w:val="en-US"/>
        </w:rPr>
        <w:t>)</w:t>
      </w:r>
      <w:r w:rsidR="00866DD7" w:rsidRPr="00BA6F83">
        <w:rPr>
          <w:rFonts w:asciiTheme="minorHAnsi" w:hAnsiTheme="minorHAnsi"/>
          <w:color w:val="000000" w:themeColor="text1"/>
          <w:lang w:val="en-US"/>
        </w:rPr>
        <w:t>.</w:t>
      </w:r>
      <w:r w:rsidR="00BA0508" w:rsidRPr="00BA6F83">
        <w:rPr>
          <w:rFonts w:asciiTheme="minorHAnsi" w:hAnsiTheme="minorHAnsi"/>
          <w:color w:val="000000" w:themeColor="text1"/>
          <w:lang w:val="en-US"/>
        </w:rPr>
        <w:t xml:space="preserve"> </w:t>
      </w:r>
      <w:r w:rsidR="00891200" w:rsidRPr="00BA6F83">
        <w:rPr>
          <w:rFonts w:asciiTheme="minorHAnsi" w:hAnsiTheme="minorHAnsi"/>
          <w:color w:val="000000" w:themeColor="text1"/>
          <w:lang w:val="en-US"/>
        </w:rPr>
        <w:t>SEB-</w:t>
      </w:r>
      <w:r w:rsidR="00A7517C" w:rsidRPr="00BA6F83">
        <w:rPr>
          <w:rFonts w:asciiTheme="minorHAnsi" w:hAnsiTheme="minorHAnsi"/>
          <w:color w:val="000000" w:themeColor="text1"/>
          <w:lang w:val="en-US"/>
        </w:rPr>
        <w:t xml:space="preserve">VHS </w:t>
      </w:r>
      <w:r w:rsidR="00891200" w:rsidRPr="00BA6F83">
        <w:rPr>
          <w:rFonts w:asciiTheme="minorHAnsi" w:hAnsiTheme="minorHAnsi"/>
          <w:color w:val="000000" w:themeColor="text1"/>
          <w:lang w:val="en-US"/>
        </w:rPr>
        <w:t xml:space="preserve">mice showed </w:t>
      </w:r>
      <w:r w:rsidR="00A7517C" w:rsidRPr="00BA6F83">
        <w:rPr>
          <w:rFonts w:asciiTheme="minorHAnsi" w:hAnsiTheme="minorHAnsi"/>
          <w:color w:val="000000" w:themeColor="text1"/>
          <w:lang w:val="en-US"/>
        </w:rPr>
        <w:t xml:space="preserve">an </w:t>
      </w:r>
      <w:r w:rsidR="00891200" w:rsidRPr="00BA6F83">
        <w:rPr>
          <w:rFonts w:asciiTheme="minorHAnsi" w:hAnsiTheme="minorHAnsi"/>
          <w:color w:val="000000" w:themeColor="text1"/>
          <w:lang w:val="en-US"/>
        </w:rPr>
        <w:t xml:space="preserve">upregulation </w:t>
      </w:r>
      <w:r w:rsidR="00A7517C" w:rsidRPr="00BA6F83">
        <w:rPr>
          <w:rFonts w:asciiTheme="minorHAnsi" w:hAnsiTheme="minorHAnsi"/>
          <w:color w:val="000000" w:themeColor="text1"/>
          <w:lang w:val="en-US"/>
        </w:rPr>
        <w:t>of</w:t>
      </w:r>
      <w:r w:rsidR="00891200" w:rsidRPr="00BA6F83">
        <w:rPr>
          <w:rFonts w:asciiTheme="minorHAnsi" w:hAnsiTheme="minorHAnsi"/>
          <w:color w:val="000000" w:themeColor="text1"/>
          <w:lang w:val="en-US"/>
        </w:rPr>
        <w:t xml:space="preserve"> </w:t>
      </w:r>
      <w:bookmarkStart w:id="8" w:name="OLE_LINK34"/>
      <w:r w:rsidR="00425EBF" w:rsidRPr="00BA6F83">
        <w:rPr>
          <w:rFonts w:asciiTheme="minorHAnsi" w:hAnsiTheme="minorHAnsi"/>
          <w:color w:val="000000" w:themeColor="text1"/>
          <w:lang w:val="en-US"/>
        </w:rPr>
        <w:t>tryptase α/β-1 (</w:t>
      </w:r>
      <w:r w:rsidR="00425EBF" w:rsidRPr="00BA6F83">
        <w:rPr>
          <w:rFonts w:asciiTheme="minorHAnsi" w:hAnsiTheme="minorHAnsi"/>
          <w:i/>
          <w:color w:val="000000" w:themeColor="text1"/>
          <w:lang w:val="en-US"/>
        </w:rPr>
        <w:t>Tpsab1</w:t>
      </w:r>
      <w:r w:rsidR="00425EBF" w:rsidRPr="00BA6F83">
        <w:rPr>
          <w:rFonts w:asciiTheme="minorHAnsi" w:hAnsiTheme="minorHAnsi"/>
          <w:color w:val="000000" w:themeColor="text1"/>
          <w:lang w:val="en-US"/>
        </w:rPr>
        <w:t>)</w:t>
      </w:r>
      <w:r w:rsidR="00891200" w:rsidRPr="00BA6F83">
        <w:rPr>
          <w:rFonts w:asciiTheme="minorHAnsi" w:hAnsiTheme="minorHAnsi"/>
          <w:color w:val="000000" w:themeColor="text1"/>
          <w:lang w:val="en-US"/>
        </w:rPr>
        <w:t xml:space="preserve">, </w:t>
      </w:r>
      <w:r w:rsidR="00E6239E" w:rsidRPr="00BA6F83">
        <w:rPr>
          <w:rFonts w:asciiTheme="minorHAnsi" w:hAnsiTheme="minorHAnsi"/>
          <w:i/>
          <w:color w:val="000000" w:themeColor="text1"/>
          <w:lang w:val="en-US"/>
        </w:rPr>
        <w:t>I</w:t>
      </w:r>
      <w:r w:rsidR="00891200" w:rsidRPr="00BA6F83">
        <w:rPr>
          <w:rFonts w:asciiTheme="minorHAnsi" w:hAnsiTheme="minorHAnsi"/>
          <w:i/>
          <w:color w:val="000000" w:themeColor="text1"/>
          <w:lang w:val="en-US"/>
        </w:rPr>
        <w:t xml:space="preserve">l4, </w:t>
      </w:r>
      <w:r w:rsidR="00E6239E" w:rsidRPr="00BA6F83">
        <w:rPr>
          <w:rFonts w:asciiTheme="minorHAnsi" w:hAnsiTheme="minorHAnsi"/>
          <w:i/>
          <w:color w:val="000000" w:themeColor="text1"/>
          <w:lang w:val="en-US"/>
        </w:rPr>
        <w:t>I</w:t>
      </w:r>
      <w:r w:rsidR="00891200" w:rsidRPr="00BA6F83">
        <w:rPr>
          <w:rFonts w:asciiTheme="minorHAnsi" w:hAnsiTheme="minorHAnsi"/>
          <w:i/>
          <w:color w:val="000000" w:themeColor="text1"/>
          <w:lang w:val="en-US"/>
        </w:rPr>
        <w:t>l6</w:t>
      </w:r>
      <w:r w:rsidR="00891200" w:rsidRPr="00BA6F83">
        <w:rPr>
          <w:rFonts w:asciiTheme="minorHAnsi" w:hAnsiTheme="minorHAnsi"/>
          <w:color w:val="000000" w:themeColor="text1"/>
          <w:lang w:val="en-US"/>
        </w:rPr>
        <w:t xml:space="preserve"> and </w:t>
      </w:r>
      <w:r w:rsidR="00E6239E" w:rsidRPr="00BA6F83">
        <w:rPr>
          <w:rFonts w:asciiTheme="minorHAnsi" w:hAnsiTheme="minorHAnsi"/>
          <w:i/>
          <w:color w:val="000000" w:themeColor="text1"/>
          <w:lang w:val="en-US"/>
        </w:rPr>
        <w:t>I</w:t>
      </w:r>
      <w:r w:rsidR="00891200" w:rsidRPr="00BA6F83">
        <w:rPr>
          <w:rFonts w:asciiTheme="minorHAnsi" w:hAnsiTheme="minorHAnsi"/>
          <w:i/>
          <w:color w:val="000000" w:themeColor="text1"/>
          <w:lang w:val="en-US"/>
        </w:rPr>
        <w:t>l10</w:t>
      </w:r>
      <w:r w:rsidR="00891200" w:rsidRPr="00BA6F83">
        <w:rPr>
          <w:rFonts w:asciiTheme="minorHAnsi" w:hAnsiTheme="minorHAnsi"/>
          <w:color w:val="000000" w:themeColor="text1"/>
          <w:lang w:val="en-US"/>
        </w:rPr>
        <w:t xml:space="preserve"> genes</w:t>
      </w:r>
      <w:bookmarkEnd w:id="8"/>
      <w:r w:rsidR="00891200"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5D</w:t>
      </w:r>
      <w:r w:rsidR="00891200" w:rsidRPr="00BA6F83">
        <w:rPr>
          <w:rFonts w:asciiTheme="minorHAnsi" w:hAnsiTheme="minorHAnsi"/>
          <w:color w:val="000000" w:themeColor="text1"/>
          <w:lang w:val="en-US"/>
        </w:rPr>
        <w:t>)</w:t>
      </w:r>
      <w:r w:rsidR="00B7230E" w:rsidRPr="00BA6F83">
        <w:rPr>
          <w:rFonts w:asciiTheme="minorHAnsi" w:hAnsiTheme="minorHAnsi"/>
          <w:color w:val="000000" w:themeColor="text1"/>
          <w:lang w:val="en-US"/>
        </w:rPr>
        <w:t>.</w:t>
      </w:r>
      <w:r w:rsidR="00E40921" w:rsidRPr="00BA6F83">
        <w:rPr>
          <w:rFonts w:asciiTheme="minorHAnsi" w:hAnsiTheme="minorHAnsi"/>
          <w:color w:val="000000" w:themeColor="text1"/>
          <w:lang w:val="en-US"/>
        </w:rPr>
        <w:t xml:space="preserve"> </w:t>
      </w:r>
      <w:r w:rsidR="00E014D2">
        <w:rPr>
          <w:rFonts w:asciiTheme="minorHAnsi" w:hAnsiTheme="minorHAnsi"/>
          <w:color w:val="000000" w:themeColor="text1"/>
          <w:lang w:val="en-US"/>
        </w:rPr>
        <w:t>Similar to</w:t>
      </w:r>
      <w:r w:rsidR="00392C8E" w:rsidRPr="00BA6F83">
        <w:rPr>
          <w:rFonts w:asciiTheme="minorHAnsi" w:hAnsiTheme="minorHAnsi"/>
          <w:color w:val="000000" w:themeColor="text1"/>
          <w:lang w:val="en-US"/>
        </w:rPr>
        <w:t xml:space="preserve"> </w:t>
      </w:r>
      <w:r w:rsidR="00C9124B" w:rsidRPr="00BA6F83">
        <w:rPr>
          <w:rFonts w:asciiTheme="minorHAnsi" w:hAnsiTheme="minorHAnsi"/>
          <w:color w:val="000000" w:themeColor="text1"/>
          <w:lang w:val="en-US"/>
        </w:rPr>
        <w:t>OVA</w:t>
      </w:r>
      <w:r w:rsidR="00037A8C" w:rsidRPr="00BA6F83">
        <w:rPr>
          <w:rFonts w:asciiTheme="minorHAnsi" w:hAnsiTheme="minorHAnsi"/>
          <w:color w:val="000000" w:themeColor="text1"/>
          <w:lang w:val="en-US"/>
        </w:rPr>
        <w:t>/</w:t>
      </w:r>
      <w:r w:rsidR="00392C8E" w:rsidRPr="00BA6F83">
        <w:rPr>
          <w:rFonts w:asciiTheme="minorHAnsi" w:hAnsiTheme="minorHAnsi"/>
          <w:color w:val="000000" w:themeColor="text1"/>
          <w:lang w:val="en-US"/>
        </w:rPr>
        <w:t>infected</w:t>
      </w:r>
      <w:r w:rsidR="00E014D2">
        <w:rPr>
          <w:rFonts w:asciiTheme="minorHAnsi" w:hAnsiTheme="minorHAnsi"/>
          <w:color w:val="000000" w:themeColor="text1"/>
          <w:lang w:val="en-US"/>
        </w:rPr>
        <w:t xml:space="preserve"> + OVA</w:t>
      </w:r>
      <w:r w:rsidR="00392C8E" w:rsidRPr="00BA6F83">
        <w:rPr>
          <w:rFonts w:asciiTheme="minorHAnsi" w:hAnsiTheme="minorHAnsi"/>
          <w:color w:val="000000" w:themeColor="text1"/>
          <w:lang w:val="en-US"/>
        </w:rPr>
        <w:t xml:space="preserve"> mice, MC activation mediated these changes as they were blocked by </w:t>
      </w:r>
      <w:r w:rsidR="00346CB6" w:rsidRPr="00BA6F83">
        <w:rPr>
          <w:rFonts w:asciiTheme="minorHAnsi" w:hAnsiTheme="minorHAnsi"/>
          <w:color w:val="000000" w:themeColor="text1"/>
          <w:lang w:val="en-US"/>
        </w:rPr>
        <w:t xml:space="preserve">the </w:t>
      </w:r>
      <w:r w:rsidR="00AD5BCB" w:rsidRPr="00BA6F83">
        <w:rPr>
          <w:rFonts w:asciiTheme="minorHAnsi" w:hAnsiTheme="minorHAnsi"/>
          <w:color w:val="000000" w:themeColor="text1"/>
          <w:lang w:val="en-US"/>
        </w:rPr>
        <w:t>MC</w:t>
      </w:r>
      <w:r w:rsidR="00346CB6" w:rsidRPr="00BA6F83">
        <w:rPr>
          <w:rFonts w:asciiTheme="minorHAnsi" w:hAnsiTheme="minorHAnsi"/>
          <w:color w:val="000000" w:themeColor="text1"/>
          <w:lang w:val="en-US"/>
        </w:rPr>
        <w:t>-stabilizer</w:t>
      </w:r>
      <w:r w:rsidR="00BA0508" w:rsidRPr="00BA6F83">
        <w:rPr>
          <w:rFonts w:asciiTheme="minorHAnsi" w:hAnsiTheme="minorHAnsi"/>
          <w:color w:val="000000" w:themeColor="text1"/>
          <w:lang w:val="en-US"/>
        </w:rPr>
        <w:t xml:space="preserve"> </w:t>
      </w:r>
      <w:proofErr w:type="spellStart"/>
      <w:r w:rsidR="00BA0508" w:rsidRPr="00BA6F83">
        <w:rPr>
          <w:rFonts w:asciiTheme="minorHAnsi" w:hAnsiTheme="minorHAnsi"/>
          <w:color w:val="000000" w:themeColor="text1"/>
          <w:lang w:val="en-US"/>
        </w:rPr>
        <w:t>doxantrazole</w:t>
      </w:r>
      <w:proofErr w:type="spellEnd"/>
      <w:r w:rsidR="00BA0508"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5E, F</w:t>
      </w:r>
      <w:r w:rsidR="00BA0508" w:rsidRPr="00BA6F83">
        <w:rPr>
          <w:rFonts w:asciiTheme="minorHAnsi" w:hAnsiTheme="minorHAnsi"/>
          <w:color w:val="000000" w:themeColor="text1"/>
          <w:lang w:val="en-US"/>
        </w:rPr>
        <w:t>)</w:t>
      </w:r>
      <w:r w:rsidR="00346CB6" w:rsidRPr="00BA6F83">
        <w:rPr>
          <w:rFonts w:asciiTheme="minorHAnsi" w:hAnsiTheme="minorHAnsi"/>
          <w:color w:val="000000" w:themeColor="text1"/>
          <w:lang w:val="en-US"/>
        </w:rPr>
        <w:t xml:space="preserve"> </w:t>
      </w:r>
      <w:r w:rsidR="00392C8E" w:rsidRPr="00BA6F83">
        <w:rPr>
          <w:rFonts w:asciiTheme="minorHAnsi" w:hAnsiTheme="minorHAnsi"/>
          <w:color w:val="000000" w:themeColor="text1"/>
          <w:lang w:val="en-US"/>
        </w:rPr>
        <w:t xml:space="preserve">and </w:t>
      </w:r>
      <w:r w:rsidR="00A83959" w:rsidRPr="00BA6F83">
        <w:rPr>
          <w:rFonts w:asciiTheme="minorHAnsi" w:hAnsiTheme="minorHAnsi"/>
          <w:color w:val="000000" w:themeColor="text1"/>
          <w:lang w:val="en-US"/>
        </w:rPr>
        <w:t xml:space="preserve">were </w:t>
      </w:r>
      <w:r w:rsidR="00392C8E" w:rsidRPr="00BA6F83">
        <w:rPr>
          <w:rFonts w:asciiTheme="minorHAnsi" w:hAnsiTheme="minorHAnsi"/>
          <w:color w:val="000000" w:themeColor="text1"/>
          <w:lang w:val="en-US"/>
        </w:rPr>
        <w:t xml:space="preserve">absent in </w:t>
      </w:r>
      <w:r w:rsidR="00BA0508" w:rsidRPr="00BA6F83">
        <w:rPr>
          <w:rFonts w:asciiTheme="minorHAnsi" w:hAnsiTheme="minorHAnsi"/>
          <w:i/>
          <w:color w:val="000000" w:themeColor="text1"/>
          <w:lang w:val="en-US"/>
        </w:rPr>
        <w:t>Cpa3</w:t>
      </w:r>
      <w:r w:rsidR="003C47D1" w:rsidRPr="00BA6F83">
        <w:rPr>
          <w:rFonts w:asciiTheme="minorHAnsi" w:hAnsiTheme="minorHAnsi"/>
          <w:i/>
          <w:color w:val="000000" w:themeColor="text1"/>
          <w:vertAlign w:val="superscript"/>
          <w:lang w:val="en-US"/>
        </w:rPr>
        <w:t>Cre</w:t>
      </w:r>
      <w:r w:rsidR="00BA0508" w:rsidRPr="00BA6F83">
        <w:rPr>
          <w:rFonts w:asciiTheme="minorHAnsi" w:hAnsiTheme="minorHAnsi"/>
          <w:i/>
          <w:color w:val="000000" w:themeColor="text1"/>
          <w:vertAlign w:val="superscript"/>
          <w:lang w:val="en-US"/>
        </w:rPr>
        <w:t>/+</w:t>
      </w:r>
      <w:r w:rsidR="00392C8E" w:rsidRPr="00BA6F83">
        <w:rPr>
          <w:rFonts w:asciiTheme="minorHAnsi" w:hAnsiTheme="minorHAnsi"/>
          <w:color w:val="000000" w:themeColor="text1"/>
          <w:lang w:val="en-US"/>
        </w:rPr>
        <w:t xml:space="preserve"> mice</w:t>
      </w:r>
      <w:r w:rsidR="003C47D1"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5G, H</w:t>
      </w:r>
      <w:r w:rsidR="003C47D1" w:rsidRPr="00BA6F83">
        <w:rPr>
          <w:rFonts w:asciiTheme="minorHAnsi" w:hAnsiTheme="minorHAnsi"/>
          <w:color w:val="000000" w:themeColor="text1"/>
          <w:lang w:val="en-US"/>
        </w:rPr>
        <w:t>).</w:t>
      </w:r>
      <w:r w:rsidR="00A7517C" w:rsidRPr="00BA6F83">
        <w:rPr>
          <w:rFonts w:asciiTheme="minorHAnsi" w:hAnsiTheme="minorHAnsi"/>
          <w:color w:val="000000" w:themeColor="text1"/>
          <w:lang w:val="en-US"/>
        </w:rPr>
        <w:t xml:space="preserve"> </w:t>
      </w:r>
      <w:r w:rsidR="00C44513" w:rsidRPr="00BA6F83">
        <w:rPr>
          <w:rFonts w:asciiTheme="minorHAnsi" w:hAnsiTheme="minorHAnsi"/>
          <w:color w:val="000000" w:themeColor="text1"/>
          <w:lang w:val="en-US"/>
        </w:rPr>
        <w:t xml:space="preserve">Colonic </w:t>
      </w:r>
      <w:r w:rsidR="003C47D1" w:rsidRPr="00BA6F83">
        <w:rPr>
          <w:rFonts w:asciiTheme="minorHAnsi" w:hAnsiTheme="minorHAnsi"/>
          <w:color w:val="000000" w:themeColor="text1"/>
          <w:lang w:val="en-US"/>
        </w:rPr>
        <w:t xml:space="preserve">OVA-specific </w:t>
      </w:r>
      <w:proofErr w:type="spellStart"/>
      <w:r w:rsidR="003C47D1" w:rsidRPr="00BA6F83">
        <w:rPr>
          <w:rFonts w:asciiTheme="minorHAnsi" w:hAnsiTheme="minorHAnsi"/>
          <w:color w:val="000000" w:themeColor="text1"/>
          <w:lang w:val="en-US"/>
        </w:rPr>
        <w:t>IgE</w:t>
      </w:r>
      <w:proofErr w:type="spellEnd"/>
      <w:r w:rsidR="003C47D1" w:rsidRPr="00BA6F83">
        <w:rPr>
          <w:rFonts w:asciiTheme="minorHAnsi" w:hAnsiTheme="minorHAnsi"/>
          <w:color w:val="000000" w:themeColor="text1"/>
          <w:lang w:val="en-US"/>
        </w:rPr>
        <w:t xml:space="preserve"> w</w:t>
      </w:r>
      <w:r w:rsidR="00E23404" w:rsidRPr="00BA6F83">
        <w:rPr>
          <w:rFonts w:asciiTheme="minorHAnsi" w:hAnsiTheme="minorHAnsi"/>
          <w:color w:val="000000" w:themeColor="text1"/>
          <w:lang w:val="en-US"/>
        </w:rPr>
        <w:t>as</w:t>
      </w:r>
      <w:r w:rsidR="00897A83" w:rsidRPr="00BA6F83">
        <w:rPr>
          <w:rFonts w:asciiTheme="minorHAnsi" w:hAnsiTheme="minorHAnsi"/>
          <w:color w:val="000000" w:themeColor="text1"/>
          <w:lang w:val="en-US"/>
        </w:rPr>
        <w:t xml:space="preserve"> </w:t>
      </w:r>
      <w:r w:rsidR="00C44513" w:rsidRPr="00BA6F83">
        <w:rPr>
          <w:rFonts w:asciiTheme="minorHAnsi" w:hAnsiTheme="minorHAnsi"/>
          <w:color w:val="000000" w:themeColor="text1"/>
          <w:lang w:val="en-US"/>
        </w:rPr>
        <w:t xml:space="preserve">higher </w:t>
      </w:r>
      <w:r w:rsidR="003C47D1" w:rsidRPr="00BA6F83">
        <w:rPr>
          <w:rFonts w:asciiTheme="minorHAnsi" w:hAnsiTheme="minorHAnsi"/>
          <w:color w:val="000000" w:themeColor="text1"/>
          <w:lang w:val="en-US"/>
        </w:rPr>
        <w:t>in SEB</w:t>
      </w:r>
      <w:r w:rsidR="00897A83" w:rsidRPr="00BA6F83">
        <w:rPr>
          <w:rFonts w:asciiTheme="minorHAnsi" w:hAnsiTheme="minorHAnsi"/>
          <w:color w:val="000000" w:themeColor="text1"/>
          <w:lang w:val="en-US"/>
        </w:rPr>
        <w:t>-</w:t>
      </w:r>
      <w:r w:rsidR="00A7517C" w:rsidRPr="00BA6F83">
        <w:rPr>
          <w:rFonts w:asciiTheme="minorHAnsi" w:hAnsiTheme="minorHAnsi"/>
          <w:color w:val="000000" w:themeColor="text1"/>
          <w:lang w:val="en-US"/>
        </w:rPr>
        <w:t xml:space="preserve">VHS </w:t>
      </w:r>
      <w:r w:rsidR="003C47D1" w:rsidRPr="00BA6F83">
        <w:rPr>
          <w:rFonts w:asciiTheme="minorHAnsi" w:hAnsiTheme="minorHAnsi"/>
          <w:color w:val="000000" w:themeColor="text1"/>
          <w:lang w:val="en-US"/>
        </w:rPr>
        <w:t xml:space="preserve">mice compared to </w:t>
      </w:r>
      <w:r w:rsidR="003236A5" w:rsidRPr="00BA6F83">
        <w:rPr>
          <w:rFonts w:asciiTheme="minorHAnsi" w:hAnsiTheme="minorHAnsi"/>
          <w:color w:val="000000" w:themeColor="text1"/>
          <w:lang w:val="en-US"/>
        </w:rPr>
        <w:t>saline</w:t>
      </w:r>
      <w:r w:rsidR="00774F32" w:rsidRPr="00BA6F83">
        <w:rPr>
          <w:rFonts w:asciiTheme="minorHAnsi" w:hAnsiTheme="minorHAnsi"/>
          <w:color w:val="000000" w:themeColor="text1"/>
          <w:lang w:val="en-US"/>
        </w:rPr>
        <w:t>/</w:t>
      </w:r>
      <w:r w:rsidR="003236A5" w:rsidRPr="00BA6F83">
        <w:rPr>
          <w:rFonts w:asciiTheme="minorHAnsi" w:hAnsiTheme="minorHAnsi"/>
          <w:color w:val="000000" w:themeColor="text1"/>
          <w:lang w:val="en-US"/>
        </w:rPr>
        <w:t xml:space="preserve">SEB </w:t>
      </w:r>
      <w:r w:rsidR="003C47D1" w:rsidRPr="00BA6F83">
        <w:rPr>
          <w:rFonts w:asciiTheme="minorHAnsi" w:hAnsiTheme="minorHAnsi"/>
          <w:color w:val="000000" w:themeColor="text1"/>
          <w:lang w:val="en-US"/>
        </w:rPr>
        <w:t>mice</w:t>
      </w:r>
      <w:r w:rsidR="00C44513"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5I</w:t>
      </w:r>
      <w:r w:rsidR="00C44513" w:rsidRPr="00BA6F83">
        <w:rPr>
          <w:rFonts w:asciiTheme="minorHAnsi" w:hAnsiTheme="minorHAnsi"/>
          <w:color w:val="000000" w:themeColor="text1"/>
          <w:lang w:val="en-US"/>
        </w:rPr>
        <w:t>)</w:t>
      </w:r>
      <w:r w:rsidR="00964C4C" w:rsidRPr="00BA6F83">
        <w:rPr>
          <w:rFonts w:asciiTheme="minorHAnsi" w:hAnsiTheme="minorHAnsi"/>
          <w:color w:val="000000" w:themeColor="text1"/>
          <w:lang w:val="en-US"/>
        </w:rPr>
        <w:t xml:space="preserve"> and </w:t>
      </w:r>
      <w:r w:rsidR="00352176">
        <w:rPr>
          <w:rFonts w:asciiTheme="minorHAnsi" w:hAnsiTheme="minorHAnsi"/>
          <w:color w:val="000000" w:themeColor="text1"/>
          <w:lang w:val="en-US"/>
        </w:rPr>
        <w:t xml:space="preserve">SEB-VHS mice </w:t>
      </w:r>
      <w:r w:rsidR="00964C4C" w:rsidRPr="00BA6F83">
        <w:rPr>
          <w:rFonts w:asciiTheme="minorHAnsi" w:hAnsiTheme="minorHAnsi"/>
          <w:color w:val="000000" w:themeColor="text1"/>
          <w:lang w:val="en-US"/>
        </w:rPr>
        <w:t>failed</w:t>
      </w:r>
      <w:r w:rsidR="00F82C87" w:rsidRPr="00BA6F83">
        <w:rPr>
          <w:rFonts w:asciiTheme="minorHAnsi" w:hAnsiTheme="minorHAnsi"/>
          <w:color w:val="000000" w:themeColor="text1"/>
          <w:lang w:val="en-US"/>
        </w:rPr>
        <w:t xml:space="preserve"> to develop</w:t>
      </w:r>
      <w:r w:rsidR="00346CB6" w:rsidRPr="00BA6F83">
        <w:rPr>
          <w:rFonts w:asciiTheme="minorHAnsi" w:hAnsiTheme="minorHAnsi"/>
          <w:color w:val="000000" w:themeColor="text1"/>
          <w:lang w:val="en-US"/>
        </w:rPr>
        <w:t xml:space="preserve"> </w:t>
      </w:r>
      <w:r w:rsidR="00F82C87" w:rsidRPr="00BA6F83">
        <w:rPr>
          <w:rFonts w:asciiTheme="minorHAnsi" w:hAnsiTheme="minorHAnsi"/>
          <w:color w:val="000000" w:themeColor="text1"/>
          <w:lang w:val="en-US"/>
        </w:rPr>
        <w:t>ear-swelling after intradermal injection of OVA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5J)</w:t>
      </w:r>
      <w:r w:rsidR="00F82C87" w:rsidRPr="00BA6F83">
        <w:rPr>
          <w:rFonts w:asciiTheme="minorHAnsi" w:hAnsiTheme="minorHAnsi"/>
          <w:color w:val="000000" w:themeColor="text1"/>
          <w:lang w:val="en-US"/>
        </w:rPr>
        <w:t xml:space="preserve">, </w:t>
      </w:r>
      <w:bookmarkStart w:id="9" w:name="_Hlk11340255"/>
      <w:r w:rsidR="00267BBD" w:rsidRPr="00BA6F83">
        <w:rPr>
          <w:rFonts w:asciiTheme="minorHAnsi" w:hAnsiTheme="minorHAnsi"/>
          <w:color w:val="000000" w:themeColor="text1"/>
          <w:lang w:val="en-US"/>
        </w:rPr>
        <w:t xml:space="preserve">indicating the absence of </w:t>
      </w:r>
      <w:bookmarkEnd w:id="9"/>
      <w:r w:rsidR="00F82C87" w:rsidRPr="00BA6F83">
        <w:rPr>
          <w:rFonts w:asciiTheme="minorHAnsi" w:hAnsiTheme="minorHAnsi"/>
          <w:color w:val="000000" w:themeColor="text1"/>
          <w:lang w:val="en-US"/>
        </w:rPr>
        <w:t xml:space="preserve">a systemic </w:t>
      </w:r>
      <w:r w:rsidR="00CC089C" w:rsidRPr="00BA6F83">
        <w:rPr>
          <w:rFonts w:asciiTheme="minorHAnsi" w:hAnsiTheme="minorHAnsi"/>
          <w:color w:val="000000" w:themeColor="text1"/>
          <w:lang w:val="en-US"/>
        </w:rPr>
        <w:t xml:space="preserve">immune </w:t>
      </w:r>
      <w:r w:rsidR="00F82C87" w:rsidRPr="00BA6F83">
        <w:rPr>
          <w:rFonts w:asciiTheme="minorHAnsi" w:hAnsiTheme="minorHAnsi"/>
          <w:color w:val="000000" w:themeColor="text1"/>
          <w:lang w:val="en-US"/>
        </w:rPr>
        <w:t>response to OVA.</w:t>
      </w:r>
      <w:r w:rsidR="00DA152F" w:rsidRPr="00BA6F83">
        <w:rPr>
          <w:rFonts w:asciiTheme="minorHAnsi" w:hAnsiTheme="minorHAnsi"/>
          <w:color w:val="000000" w:themeColor="text1"/>
          <w:lang w:val="en-US"/>
        </w:rPr>
        <w:t xml:space="preserve"> </w:t>
      </w:r>
      <w:r w:rsidR="00CC089C" w:rsidRPr="00BA6F83">
        <w:rPr>
          <w:rFonts w:asciiTheme="minorHAnsi" w:hAnsiTheme="minorHAnsi"/>
          <w:color w:val="000000" w:themeColor="text1"/>
          <w:lang w:val="en-US"/>
        </w:rPr>
        <w:t>Taken together, t</w:t>
      </w:r>
      <w:r w:rsidR="00BA0508" w:rsidRPr="00BA6F83">
        <w:rPr>
          <w:rFonts w:asciiTheme="minorHAnsi" w:hAnsiTheme="minorHAnsi"/>
          <w:color w:val="000000" w:themeColor="text1"/>
          <w:lang w:val="en-US"/>
        </w:rPr>
        <w:t xml:space="preserve">hese </w:t>
      </w:r>
      <w:r w:rsidR="00A505FC" w:rsidRPr="00BA6F83">
        <w:rPr>
          <w:rFonts w:asciiTheme="minorHAnsi" w:hAnsiTheme="minorHAnsi"/>
          <w:color w:val="000000" w:themeColor="text1"/>
          <w:lang w:val="en-US"/>
        </w:rPr>
        <w:t xml:space="preserve">data show that the development of </w:t>
      </w:r>
      <w:r w:rsidR="004A0EC9" w:rsidRPr="00BA6F83">
        <w:rPr>
          <w:rFonts w:asciiTheme="minorHAnsi" w:hAnsiTheme="minorHAnsi"/>
          <w:color w:val="000000" w:themeColor="text1"/>
          <w:lang w:val="en-US"/>
        </w:rPr>
        <w:t xml:space="preserve">MC activation triggered by a dietary antigen with subsequent </w:t>
      </w:r>
      <w:r w:rsidR="00A7517C" w:rsidRPr="00BA6F83">
        <w:rPr>
          <w:rFonts w:asciiTheme="minorHAnsi" w:hAnsiTheme="minorHAnsi"/>
          <w:color w:val="000000" w:themeColor="text1"/>
          <w:lang w:val="en-US"/>
        </w:rPr>
        <w:lastRenderedPageBreak/>
        <w:t>abnormal visceral pain signaling</w:t>
      </w:r>
      <w:r w:rsidR="00A505FC" w:rsidRPr="00BA6F83">
        <w:rPr>
          <w:rFonts w:asciiTheme="minorHAnsi" w:hAnsiTheme="minorHAnsi"/>
          <w:color w:val="000000" w:themeColor="text1"/>
          <w:lang w:val="en-US"/>
        </w:rPr>
        <w:t xml:space="preserve"> </w:t>
      </w:r>
      <w:r w:rsidR="00A7517C" w:rsidRPr="00BA6F83">
        <w:rPr>
          <w:rFonts w:asciiTheme="minorHAnsi" w:hAnsiTheme="minorHAnsi"/>
          <w:color w:val="000000" w:themeColor="text1"/>
          <w:lang w:val="en-US"/>
        </w:rPr>
        <w:t>can result</w:t>
      </w:r>
      <w:r w:rsidR="00352176">
        <w:rPr>
          <w:rFonts w:asciiTheme="minorHAnsi" w:hAnsiTheme="minorHAnsi"/>
          <w:color w:val="000000" w:themeColor="text1"/>
          <w:lang w:val="en-US"/>
        </w:rPr>
        <w:t xml:space="preserve"> not only</w:t>
      </w:r>
      <w:r w:rsidR="00A7517C" w:rsidRPr="00BA6F83">
        <w:rPr>
          <w:rFonts w:asciiTheme="minorHAnsi" w:hAnsiTheme="minorHAnsi"/>
          <w:color w:val="000000" w:themeColor="text1"/>
          <w:lang w:val="en-US"/>
        </w:rPr>
        <w:t xml:space="preserve"> from an aberrant immune response following a</w:t>
      </w:r>
      <w:r w:rsidR="00BD7ABF">
        <w:rPr>
          <w:rFonts w:asciiTheme="minorHAnsi" w:hAnsiTheme="minorHAnsi"/>
          <w:color w:val="000000" w:themeColor="text1"/>
          <w:lang w:val="en-US"/>
        </w:rPr>
        <w:t xml:space="preserve"> self-limiting</w:t>
      </w:r>
      <w:r w:rsidR="00A7517C" w:rsidRPr="00BA6F83">
        <w:rPr>
          <w:rFonts w:asciiTheme="minorHAnsi" w:hAnsiTheme="minorHAnsi"/>
          <w:color w:val="000000" w:themeColor="text1"/>
          <w:lang w:val="en-US"/>
        </w:rPr>
        <w:t xml:space="preserve"> infectious gastroenteritis, but</w:t>
      </w:r>
      <w:r w:rsidR="006B3571">
        <w:rPr>
          <w:rFonts w:asciiTheme="minorHAnsi" w:hAnsiTheme="minorHAnsi"/>
          <w:color w:val="000000" w:themeColor="text1"/>
          <w:lang w:val="en-US"/>
        </w:rPr>
        <w:t xml:space="preserve"> </w:t>
      </w:r>
      <w:r w:rsidR="00206E3F" w:rsidRPr="00BA6F83">
        <w:rPr>
          <w:rFonts w:asciiTheme="minorHAnsi" w:hAnsiTheme="minorHAnsi"/>
          <w:color w:val="000000" w:themeColor="text1"/>
          <w:lang w:val="en-US"/>
        </w:rPr>
        <w:t xml:space="preserve">may </w:t>
      </w:r>
      <w:r w:rsidR="00F000AA">
        <w:rPr>
          <w:rFonts w:asciiTheme="minorHAnsi" w:hAnsiTheme="minorHAnsi"/>
          <w:color w:val="000000" w:themeColor="text1"/>
          <w:lang w:val="en-US"/>
        </w:rPr>
        <w:t xml:space="preserve">possibly also </w:t>
      </w:r>
      <w:r w:rsidR="00A7517C" w:rsidRPr="00BA6F83">
        <w:rPr>
          <w:rFonts w:asciiTheme="minorHAnsi" w:hAnsiTheme="minorHAnsi"/>
          <w:color w:val="000000" w:themeColor="text1"/>
          <w:lang w:val="en-US"/>
        </w:rPr>
        <w:t xml:space="preserve">be induced by </w:t>
      </w:r>
      <w:proofErr w:type="spellStart"/>
      <w:r w:rsidR="00A505FC" w:rsidRPr="00BA6F83">
        <w:rPr>
          <w:rFonts w:asciiTheme="minorHAnsi" w:hAnsiTheme="minorHAnsi"/>
          <w:color w:val="000000" w:themeColor="text1"/>
          <w:lang w:val="en-US"/>
        </w:rPr>
        <w:t>S</w:t>
      </w:r>
      <w:r w:rsidR="008507E4" w:rsidRPr="00BA6F83">
        <w:rPr>
          <w:rFonts w:asciiTheme="minorHAnsi" w:hAnsiTheme="minorHAnsi"/>
          <w:color w:val="000000" w:themeColor="text1"/>
          <w:lang w:val="en-US"/>
        </w:rPr>
        <w:t>A</w:t>
      </w:r>
      <w:r w:rsidR="00A505FC" w:rsidRPr="00BA6F83">
        <w:rPr>
          <w:rFonts w:asciiTheme="minorHAnsi" w:hAnsiTheme="minorHAnsi"/>
          <w:color w:val="000000" w:themeColor="text1"/>
          <w:lang w:val="en-US"/>
        </w:rPr>
        <w:t>gs</w:t>
      </w:r>
      <w:proofErr w:type="spellEnd"/>
      <w:r w:rsidR="00C44513" w:rsidRPr="00BA6F83">
        <w:rPr>
          <w:rFonts w:asciiTheme="minorHAnsi" w:hAnsiTheme="minorHAnsi"/>
          <w:color w:val="000000" w:themeColor="text1"/>
          <w:lang w:val="en-US"/>
        </w:rPr>
        <w:t>, released</w:t>
      </w:r>
      <w:r w:rsidR="0064694E" w:rsidRPr="00BA6F83">
        <w:rPr>
          <w:rFonts w:asciiTheme="minorHAnsi" w:hAnsiTheme="minorHAnsi"/>
          <w:color w:val="000000" w:themeColor="text1"/>
          <w:lang w:val="en-US"/>
        </w:rPr>
        <w:t xml:space="preserve"> either from microbiota in the nasal cavity or the intestine.</w:t>
      </w:r>
      <w:r w:rsidR="00F61771" w:rsidRPr="00BA6F83">
        <w:rPr>
          <w:rFonts w:asciiTheme="minorHAnsi" w:hAnsiTheme="minorHAnsi"/>
          <w:color w:val="000000" w:themeColor="text1"/>
          <w:lang w:val="en-US"/>
        </w:rPr>
        <w:t xml:space="preserve"> To evaluate </w:t>
      </w:r>
      <w:r w:rsidR="00A7517C" w:rsidRPr="00BA6F83">
        <w:rPr>
          <w:rFonts w:asciiTheme="minorHAnsi" w:hAnsiTheme="minorHAnsi"/>
          <w:color w:val="000000" w:themeColor="text1"/>
          <w:lang w:val="en-US"/>
        </w:rPr>
        <w:t xml:space="preserve">whether this hypothesis applies to patients with IBS, </w:t>
      </w:r>
      <w:r w:rsidR="005E6F9D" w:rsidRPr="00BA6F83">
        <w:rPr>
          <w:rFonts w:asciiTheme="minorHAnsi" w:hAnsiTheme="minorHAnsi"/>
          <w:color w:val="000000" w:themeColor="text1"/>
          <w:lang w:val="en-US"/>
        </w:rPr>
        <w:t xml:space="preserve">we </w:t>
      </w:r>
      <w:r w:rsidR="00C44513" w:rsidRPr="00BA6F83">
        <w:rPr>
          <w:rFonts w:asciiTheme="minorHAnsi" w:hAnsiTheme="minorHAnsi"/>
          <w:color w:val="000000" w:themeColor="text1"/>
          <w:lang w:val="en-US"/>
        </w:rPr>
        <w:t xml:space="preserve">compared </w:t>
      </w:r>
      <w:r w:rsidR="005E6F9D" w:rsidRPr="00BA6F83">
        <w:rPr>
          <w:rFonts w:asciiTheme="minorHAnsi" w:hAnsiTheme="minorHAnsi"/>
          <w:color w:val="000000" w:themeColor="text1"/>
          <w:lang w:val="en-US"/>
        </w:rPr>
        <w:t xml:space="preserve">the presence of </w:t>
      </w:r>
      <w:r w:rsidR="00962683" w:rsidRPr="00BA6F83">
        <w:rPr>
          <w:rFonts w:asciiTheme="minorHAnsi" w:hAnsiTheme="minorHAnsi"/>
          <w:color w:val="000000" w:themeColor="text1"/>
          <w:lang w:val="en-US"/>
        </w:rPr>
        <w:t xml:space="preserve">the main </w:t>
      </w:r>
      <w:proofErr w:type="spellStart"/>
      <w:r w:rsidR="005E6F9D" w:rsidRPr="00BA6F83">
        <w:rPr>
          <w:rFonts w:asciiTheme="minorHAnsi" w:hAnsiTheme="minorHAnsi"/>
          <w:color w:val="000000" w:themeColor="text1"/>
          <w:lang w:val="en-US"/>
        </w:rPr>
        <w:t>SAg</w:t>
      </w:r>
      <w:proofErr w:type="spellEnd"/>
      <w:r w:rsidR="005E6F9D" w:rsidRPr="00BA6F83">
        <w:rPr>
          <w:rFonts w:asciiTheme="minorHAnsi" w:hAnsiTheme="minorHAnsi"/>
          <w:color w:val="000000" w:themeColor="text1"/>
          <w:lang w:val="en-US"/>
        </w:rPr>
        <w:t>-producing bacteria</w:t>
      </w:r>
      <w:r w:rsidR="00962683" w:rsidRPr="00BA6F83">
        <w:rPr>
          <w:rFonts w:asciiTheme="minorHAnsi" w:hAnsiTheme="minorHAnsi"/>
          <w:color w:val="000000" w:themeColor="text1"/>
          <w:lang w:val="en-US"/>
        </w:rPr>
        <w:t xml:space="preserve"> (i.e. </w:t>
      </w:r>
      <w:r w:rsidR="00962683" w:rsidRPr="00BA6F83">
        <w:rPr>
          <w:rFonts w:asciiTheme="minorHAnsi" w:hAnsiTheme="minorHAnsi"/>
          <w:i/>
          <w:color w:val="000000" w:themeColor="text1"/>
          <w:lang w:val="en-US"/>
        </w:rPr>
        <w:t>Staphylococcus aureus</w:t>
      </w:r>
      <w:r w:rsidR="00962683" w:rsidRPr="00BA6F83">
        <w:rPr>
          <w:rFonts w:asciiTheme="minorHAnsi" w:hAnsiTheme="minorHAnsi"/>
          <w:color w:val="000000" w:themeColor="text1"/>
          <w:lang w:val="en-US"/>
        </w:rPr>
        <w:t xml:space="preserve"> and </w:t>
      </w:r>
      <w:r w:rsidR="00962683" w:rsidRPr="00BA6F83">
        <w:rPr>
          <w:rFonts w:asciiTheme="minorHAnsi" w:hAnsiTheme="minorHAnsi"/>
          <w:i/>
          <w:color w:val="000000" w:themeColor="text1"/>
          <w:lang w:val="en-US"/>
        </w:rPr>
        <w:t>Streptococcus</w:t>
      </w:r>
      <w:r w:rsidR="00962683" w:rsidRPr="00BA6F83">
        <w:rPr>
          <w:rFonts w:asciiTheme="minorHAnsi" w:hAnsiTheme="minorHAnsi"/>
          <w:color w:val="000000" w:themeColor="text1"/>
          <w:lang w:val="en-US"/>
        </w:rPr>
        <w:t xml:space="preserve"> </w:t>
      </w:r>
      <w:r w:rsidR="00962683" w:rsidRPr="00BA6F83">
        <w:rPr>
          <w:rFonts w:asciiTheme="minorHAnsi" w:hAnsiTheme="minorHAnsi"/>
          <w:i/>
          <w:color w:val="000000" w:themeColor="text1"/>
          <w:lang w:val="en-US"/>
        </w:rPr>
        <w:t>pyogenes</w:t>
      </w:r>
      <w:r w:rsidR="00962683" w:rsidRPr="00BA6F83">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{"citationItems":[{"id":"ITEM-1","itemData":{"author":[{"dropping-particle":"","family":"Proft","given":"T &amp; Fraser JD","non-dropping-particle":"","parse-names":false,"suffix":""}],"container-title":"Clinical and Experimental immunology","id":"ITEM-1","issue":"3","issued":{"date-parts":[["2003"]]},"page":"299-306","title":"Bacterial Superantigens","type":"article-journal","volume":"133"},"uris":["http://www.mendeley.com/documents/?uuid=05d40f03-3280-4ff4-baff-be082fc25d65"]}],"mendeley":{"formattedCitation":"&lt;sup&gt;47&lt;/sup&gt;","plainTextFormattedCitation":"47","previouslyFormattedCitation":"&lt;sup&gt;47&lt;/sup&gt;"},"properties":{"noteIndex":0},"schema":"https://github.com/citation-style-language/schema/raw/master/csl-citation.json"}</w:instrText>
      </w:r>
      <w:r w:rsidR="00962683" w:rsidRPr="00BA6F83">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47</w:t>
      </w:r>
      <w:r w:rsidR="00962683" w:rsidRPr="00BA6F83">
        <w:rPr>
          <w:rFonts w:asciiTheme="minorHAnsi" w:hAnsiTheme="minorHAnsi"/>
          <w:color w:val="000000" w:themeColor="text1"/>
          <w:lang w:val="en-US"/>
        </w:rPr>
        <w:fldChar w:fldCharType="end"/>
      </w:r>
      <w:r w:rsidR="00962683" w:rsidRPr="00BA6F83">
        <w:rPr>
          <w:rFonts w:asciiTheme="minorHAnsi" w:hAnsiTheme="minorHAnsi"/>
          <w:color w:val="000000" w:themeColor="text1"/>
          <w:lang w:val="en-US"/>
        </w:rPr>
        <w:t>)</w:t>
      </w:r>
      <w:r w:rsidR="005E6F9D" w:rsidRPr="00BA6F83">
        <w:rPr>
          <w:rFonts w:asciiTheme="minorHAnsi" w:hAnsiTheme="minorHAnsi"/>
          <w:color w:val="000000" w:themeColor="text1"/>
          <w:lang w:val="en-US"/>
        </w:rPr>
        <w:t xml:space="preserve"> in fecal samples </w:t>
      </w:r>
      <w:r w:rsidR="00962683" w:rsidRPr="00BA6F83">
        <w:rPr>
          <w:rFonts w:asciiTheme="minorHAnsi" w:hAnsiTheme="minorHAnsi"/>
          <w:color w:val="000000" w:themeColor="text1"/>
          <w:lang w:val="en-US"/>
        </w:rPr>
        <w:t>from</w:t>
      </w:r>
      <w:r w:rsidR="005E6F9D" w:rsidRPr="00BA6F83">
        <w:rPr>
          <w:rFonts w:asciiTheme="minorHAnsi" w:hAnsiTheme="minorHAnsi"/>
          <w:color w:val="000000" w:themeColor="text1"/>
          <w:lang w:val="en-US"/>
        </w:rPr>
        <w:t xml:space="preserve"> patients</w:t>
      </w:r>
      <w:r w:rsidR="00962683" w:rsidRPr="00BA6F83">
        <w:rPr>
          <w:rFonts w:asciiTheme="minorHAnsi" w:hAnsiTheme="minorHAnsi"/>
          <w:color w:val="000000" w:themeColor="text1"/>
          <w:lang w:val="en-US"/>
        </w:rPr>
        <w:t xml:space="preserve"> and HV</w:t>
      </w:r>
      <w:r w:rsidR="005E6F9D" w:rsidRPr="00BA6F83">
        <w:rPr>
          <w:rFonts w:asciiTheme="minorHAnsi" w:hAnsiTheme="minorHAnsi"/>
          <w:color w:val="000000" w:themeColor="text1"/>
          <w:lang w:val="en-US"/>
        </w:rPr>
        <w:t xml:space="preserve">. </w:t>
      </w:r>
      <w:r w:rsidR="00A0729C" w:rsidRPr="00BA6F83">
        <w:rPr>
          <w:rFonts w:asciiTheme="minorHAnsi" w:hAnsiTheme="minorHAnsi"/>
          <w:color w:val="000000" w:themeColor="text1"/>
          <w:lang w:val="en-US"/>
        </w:rPr>
        <w:t xml:space="preserve">Indeed, </w:t>
      </w:r>
      <w:r w:rsidR="00962683" w:rsidRPr="00BA6F83">
        <w:rPr>
          <w:rFonts w:asciiTheme="minorHAnsi" w:hAnsiTheme="minorHAnsi"/>
          <w:color w:val="000000" w:themeColor="text1"/>
          <w:lang w:val="en-US"/>
        </w:rPr>
        <w:t xml:space="preserve">23% </w:t>
      </w:r>
      <w:r w:rsidR="000B3D80" w:rsidRPr="00BA6F83">
        <w:rPr>
          <w:rFonts w:asciiTheme="minorHAnsi" w:hAnsiTheme="minorHAnsi"/>
          <w:color w:val="000000" w:themeColor="text1"/>
          <w:lang w:val="en-US"/>
        </w:rPr>
        <w:t>of the</w:t>
      </w:r>
      <w:r w:rsidR="005E6F9D" w:rsidRPr="00BA6F83">
        <w:rPr>
          <w:rFonts w:asciiTheme="minorHAnsi" w:hAnsiTheme="minorHAnsi"/>
          <w:color w:val="000000" w:themeColor="text1"/>
          <w:lang w:val="en-US"/>
        </w:rPr>
        <w:t xml:space="preserve"> fecal samples </w:t>
      </w:r>
      <w:r w:rsidR="000B3D80" w:rsidRPr="00BA6F83">
        <w:rPr>
          <w:rFonts w:asciiTheme="minorHAnsi" w:hAnsiTheme="minorHAnsi"/>
          <w:color w:val="000000" w:themeColor="text1"/>
          <w:lang w:val="en-US"/>
        </w:rPr>
        <w:t>from</w:t>
      </w:r>
      <w:r w:rsidR="005E6F9D" w:rsidRPr="00BA6F83">
        <w:rPr>
          <w:rFonts w:asciiTheme="minorHAnsi" w:hAnsiTheme="minorHAnsi"/>
          <w:color w:val="000000" w:themeColor="text1"/>
          <w:lang w:val="en-US"/>
        </w:rPr>
        <w:t xml:space="preserve"> IBS patients </w:t>
      </w:r>
      <w:r w:rsidR="001E2985" w:rsidRPr="00BA6F83">
        <w:rPr>
          <w:rFonts w:asciiTheme="minorHAnsi" w:hAnsiTheme="minorHAnsi"/>
          <w:color w:val="000000" w:themeColor="text1"/>
          <w:lang w:val="en-US"/>
        </w:rPr>
        <w:t>tested</w:t>
      </w:r>
      <w:r w:rsidR="005E6F9D" w:rsidRPr="00BA6F83">
        <w:rPr>
          <w:rFonts w:asciiTheme="minorHAnsi" w:hAnsiTheme="minorHAnsi"/>
          <w:color w:val="000000" w:themeColor="text1"/>
          <w:lang w:val="en-US"/>
        </w:rPr>
        <w:t xml:space="preserve"> positive for </w:t>
      </w:r>
      <w:r w:rsidR="005E6F9D" w:rsidRPr="00BA6F83">
        <w:rPr>
          <w:rFonts w:asciiTheme="minorHAnsi" w:hAnsiTheme="minorHAnsi"/>
          <w:i/>
          <w:color w:val="000000" w:themeColor="text1"/>
          <w:lang w:val="en-US"/>
        </w:rPr>
        <w:t>S</w:t>
      </w:r>
      <w:r w:rsidR="004C281C" w:rsidRPr="00BA6F83">
        <w:rPr>
          <w:rFonts w:asciiTheme="minorHAnsi" w:hAnsiTheme="minorHAnsi"/>
          <w:i/>
          <w:color w:val="000000" w:themeColor="text1"/>
          <w:lang w:val="en-US"/>
        </w:rPr>
        <w:t>.</w:t>
      </w:r>
      <w:r w:rsidR="005E6F9D" w:rsidRPr="00BA6F83">
        <w:rPr>
          <w:rFonts w:asciiTheme="minorHAnsi" w:hAnsiTheme="minorHAnsi"/>
          <w:i/>
          <w:color w:val="000000" w:themeColor="text1"/>
          <w:lang w:val="en-US"/>
        </w:rPr>
        <w:t xml:space="preserve"> aureus</w:t>
      </w:r>
      <w:r w:rsidR="005E6F9D" w:rsidRPr="00BA6F83">
        <w:rPr>
          <w:rFonts w:asciiTheme="minorHAnsi" w:hAnsiTheme="minorHAnsi"/>
          <w:color w:val="000000" w:themeColor="text1"/>
          <w:lang w:val="en-US"/>
        </w:rPr>
        <w:t xml:space="preserve">, compared </w:t>
      </w:r>
      <w:r w:rsidR="000B3D80" w:rsidRPr="00BA6F83">
        <w:rPr>
          <w:rFonts w:asciiTheme="minorHAnsi" w:hAnsiTheme="minorHAnsi"/>
          <w:color w:val="000000" w:themeColor="text1"/>
          <w:lang w:val="en-US"/>
        </w:rPr>
        <w:t>to 9% in HV</w:t>
      </w:r>
      <w:r w:rsidR="005E6F9D"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Extended Data</w:t>
      </w:r>
      <w:r w:rsidR="00964C4C"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964C4C" w:rsidRPr="00BA6F83">
        <w:rPr>
          <w:rFonts w:asciiTheme="minorHAnsi" w:hAnsiTheme="minorHAnsi"/>
          <w:color w:val="000000" w:themeColor="text1"/>
          <w:lang w:val="en-US"/>
        </w:rPr>
        <w:t xml:space="preserve"> 5K</w:t>
      </w:r>
      <w:r w:rsidR="005E6F9D" w:rsidRPr="00BA6F83">
        <w:rPr>
          <w:rFonts w:asciiTheme="minorHAnsi" w:hAnsiTheme="minorHAnsi"/>
          <w:color w:val="000000" w:themeColor="text1"/>
          <w:lang w:val="en-US"/>
        </w:rPr>
        <w:t xml:space="preserve">). </w:t>
      </w:r>
      <w:r w:rsidR="000B3D80" w:rsidRPr="00BA6F83">
        <w:rPr>
          <w:rFonts w:asciiTheme="minorHAnsi" w:hAnsiTheme="minorHAnsi"/>
          <w:color w:val="000000" w:themeColor="text1"/>
          <w:lang w:val="en-US"/>
        </w:rPr>
        <w:t>Moreover</w:t>
      </w:r>
      <w:r w:rsidR="005E6F9D" w:rsidRPr="00BA6F83">
        <w:rPr>
          <w:rFonts w:asciiTheme="minorHAnsi" w:hAnsiTheme="minorHAnsi"/>
          <w:color w:val="000000" w:themeColor="text1"/>
          <w:lang w:val="en-US"/>
        </w:rPr>
        <w:t xml:space="preserve">, </w:t>
      </w:r>
      <w:r w:rsidR="000B3D80" w:rsidRPr="00BA6F83">
        <w:rPr>
          <w:rFonts w:asciiTheme="minorHAnsi" w:hAnsiTheme="minorHAnsi"/>
          <w:color w:val="000000" w:themeColor="text1"/>
          <w:lang w:val="en-US"/>
        </w:rPr>
        <w:t>47%</w:t>
      </w:r>
      <w:r w:rsidR="005E6F9D" w:rsidRPr="00BA6F83">
        <w:rPr>
          <w:rFonts w:asciiTheme="minorHAnsi" w:hAnsiTheme="minorHAnsi"/>
          <w:color w:val="000000" w:themeColor="text1"/>
          <w:lang w:val="en-US"/>
        </w:rPr>
        <w:t xml:space="preserve"> of the positive IBS samples were positive for one or more </w:t>
      </w:r>
      <w:proofErr w:type="spellStart"/>
      <w:r w:rsidR="005E6F9D" w:rsidRPr="00BA6F83">
        <w:rPr>
          <w:rFonts w:asciiTheme="minorHAnsi" w:hAnsiTheme="minorHAnsi"/>
          <w:color w:val="000000" w:themeColor="text1"/>
          <w:lang w:val="en-US"/>
        </w:rPr>
        <w:t>SAgs</w:t>
      </w:r>
      <w:proofErr w:type="spellEnd"/>
      <w:r w:rsidR="005E6F9D" w:rsidRPr="00BA6F83">
        <w:rPr>
          <w:rFonts w:asciiTheme="minorHAnsi" w:hAnsiTheme="minorHAnsi"/>
          <w:color w:val="000000" w:themeColor="text1"/>
          <w:lang w:val="en-US"/>
        </w:rPr>
        <w:t xml:space="preserve"> compared to</w:t>
      </w:r>
      <w:r w:rsidR="000B3D80" w:rsidRPr="00BA6F83">
        <w:rPr>
          <w:rFonts w:asciiTheme="minorHAnsi" w:hAnsiTheme="minorHAnsi"/>
          <w:color w:val="000000" w:themeColor="text1"/>
          <w:lang w:val="en-US"/>
        </w:rPr>
        <w:t xml:space="preserve"> 17%</w:t>
      </w:r>
      <w:r w:rsidR="005E6F9D" w:rsidRPr="00BA6F83">
        <w:rPr>
          <w:rFonts w:asciiTheme="minorHAnsi" w:hAnsiTheme="minorHAnsi"/>
          <w:color w:val="000000" w:themeColor="text1"/>
          <w:lang w:val="en-US"/>
        </w:rPr>
        <w:t xml:space="preserve"> </w:t>
      </w:r>
      <w:r w:rsidR="000B3D80" w:rsidRPr="00BA6F83">
        <w:rPr>
          <w:rFonts w:asciiTheme="minorHAnsi" w:hAnsiTheme="minorHAnsi"/>
          <w:color w:val="000000" w:themeColor="text1"/>
          <w:lang w:val="en-US"/>
        </w:rPr>
        <w:t>of the HV samples.</w:t>
      </w:r>
      <w:r w:rsidR="005E6F9D" w:rsidRPr="00BA6F83">
        <w:rPr>
          <w:rFonts w:asciiTheme="minorHAnsi" w:hAnsiTheme="minorHAnsi"/>
          <w:color w:val="000000" w:themeColor="text1"/>
          <w:lang w:val="en-US"/>
        </w:rPr>
        <w:t xml:space="preserve"> </w:t>
      </w:r>
      <w:r w:rsidR="00770BE2">
        <w:rPr>
          <w:rFonts w:asciiTheme="minorHAnsi" w:hAnsiTheme="minorHAnsi"/>
          <w:color w:val="000000" w:themeColor="text1"/>
          <w:lang w:val="en-US"/>
        </w:rPr>
        <w:t xml:space="preserve">Previous studies have linked </w:t>
      </w:r>
      <w:r w:rsidR="00770BE2" w:rsidRPr="009535CC">
        <w:rPr>
          <w:rFonts w:asciiTheme="minorHAnsi" w:hAnsiTheme="minorHAnsi"/>
          <w:i/>
          <w:iCs/>
          <w:color w:val="000000" w:themeColor="text1"/>
          <w:lang w:val="en-US"/>
        </w:rPr>
        <w:t>S. aureus</w:t>
      </w:r>
      <w:r w:rsidR="00770BE2">
        <w:rPr>
          <w:rFonts w:asciiTheme="minorHAnsi" w:hAnsiTheme="minorHAnsi"/>
          <w:color w:val="000000" w:themeColor="text1"/>
          <w:lang w:val="en-US"/>
        </w:rPr>
        <w:t xml:space="preserve"> colonization to conditions associated with antigen-specific sensitization such as allergic rhinitis, asthma and food allergy</w:t>
      </w:r>
      <w:r w:rsidR="00770BE2">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{"citationItems":[{"id":"ITEM-1","itemData":{"DOI":"10.1016/j.jaci.2019.04.025","ISSN":"10976825","PMID":"31160034","abstract":"Background: Staphylococcus aureus has been implicated in the pathophysiology of eczema, allergic rhinitis, asthma, and food allergy. S aureus is a marker of more severe eczema, which is a risk factor for food sensitization/allergy. Therefore it might be that the association between S aureus and food allergy in eczematous patients is related to eczema severity. Objective: We sought to investigate the association of S aureus colonization with specific IgE (sIgE) production to common food allergens and allergies in early childhood independent of eczema severity. We additionally determined the association of S aureus colonization with eczema severity and persistence. Methods: In Learning Early About Peanut Allergy (LEAP) study participants eczema severity was assessed, and skin/nasal swabs were cultured for S aureus. Sensitization was identified by measuring sIgE levels. Peanut allergy was primarily determined by means of oral food challenge, and persistent egg allergy was primarily determined by using skin prick tests. Results: Skin S aureus colonization was significantly associated with eczema severity across the LEAP study, whereas at 12 and 60 months of age, it was related to subsequent eczema deterioration. Skin S aureus colonization at any time point was associated with increased levels of hen's egg white and peanut sIgE independent of eczema severity. Participants with S aureus were more likely to have persistent egg allergy and peanut allergy at 60 and 72 months of age independent of eczema severity. All but one of the 9 LEAP study consumers with peanut allergy (9/312) were colonized at least once with S aureus. Conclusion: S aureus, independent of eczema severity, is associated with food sensitization and allergy and can impair tolerance to foods. This could be an important consideration in future interventions aimed at inducing and maintaining tolerance to food allergens in eczematous infants.","author":[{"dropping-particle":"","family":"Tsilochristou","given":"Olympia","non-dropping-particle":"","parse-names":false,"suffix":""},{"dropping-particle":"","family":"Toit","given":"George","non-dropping-particle":"du","parse-names":false,"suffix":""},{"dropping-particle":"","family":"Sayre","given":"Peter H.","non-dropping-particle":"","parse-names":false,"suffix":""},{"dropping-particle":"","family":"Roberts","given":"Graham","non-dropping-particle":"","parse-names":false,"suffix":""},{"dropping-particle":"","family":"Lawson","given":"Kaitie","non-dropping-particle":"","parse-names":false,"suffix":""},{"dropping-particle":"","family":"Sever","given":"Michelle L.","non-dropping-particle":"","parse-names":false,"suffix":""},{"dropping-particle":"","family":"Bahnson","given":"Henry T.","non-dropping-particle":"","parse-names":false,"suffix":""},{"dropping-particle":"","family":"Radulovic","given":"Suzana","non-dropping-particle":"","parse-names":false,"suffix":""},{"dropping-particle":"","family":"Basting","given":"Monica","non-dropping-particle":"","parse-names":false,"suffix":""},{"dropping-particle":"","family":"Plaut","given":"Marshall","non-dropping-particle":"","parse-names":false,"suffix":""},{"dropping-particle":"","family":"Lack","given":"Gideon","non-dropping-particle":"","parse-names":false,"suffix":""},{"dropping-particle":"","family":"Chan","given":"S.","non-dropping-particle":"","parse-names":false,"suffix":""},{"dropping-particle":"","family":"Fox","given":"Adam","non-dropping-particle":"","parse-names":false,"suffix":""},{"dropping-particle":"","family":"Fisher","given":"H.","non-dropping-particle":"","parse-names":false,"suffix":""},{"dropping-particle":"","family":"Abraham","given":"M.","non-dropping-particle":"","parse-names":false,"suffix":""},{"dropping-particle":"","family":"Adam","given":"Muhsinah","non-dropping-particle":"","parse-names":false,"suffix":""},{"dropping-particle":"","family":"Coverdale","given":"Louise","non-dropping-particle":"","parse-names":false,"suffix":""},{"dropping-particle":"","family":"Duncan","given":"Claire","non-dropping-particle":"","parse-names":false,"suffix":""},{"dropping-particle":"","family":"Nixon","given":"Amy","non-dropping-particle":"","parse-names":false,"suffix":""},{"dropping-particle":"","family":"O'Dwyer-Leeson","given":"Una","non-dropping-particle":"","parse-names":false,"suffix":""},{"dropping-particle":"","family":"Offord","given":"Victoria","non-dropping-particle":"","parse-names":false,"suffix":""},{"dropping-particle":"","family":"Sheridan","given":"Aine","non-dropping-particle":"","parse-names":false,"suffix":""},{"dropping-particle":"","family":"Watson","given":"F.","non-dropping-particle":"","parse-names":false,"suffix":""},{"dropping-particle":"","family":"Witham","given":"Natalie","non-dropping-particle":"","parse-names":false,"suffix":""},{"dropping-particle":"","family":"Cockerell","given":"Kathryn","non-dropping-particle":"","parse-names":false,"suffix":""},{"dropping-particle":"","family":"Harland","given":"Gail","non-dropping-particle":"","parse-names":false,"suffix":""},{"dropping-particle":"","family":"Miller","given":"Tiffany","non-dropping-particle":"","parse-names":false,"suffix":""},{"dropping-particle":"","family":"Stedman","given":"Charlotte","non-dropping-particle":"","parse-names":false,"suffix":""},{"dropping-particle":"","family":"Clarke","given":"Catherine","non-dropping-particle":"","parse-names":false,"suffix":""},{"dropping-particle":"","family":"Cleaver","given":"Richard","non-dropping-particle":"","parse-names":false,"suffix":""},{"dropping-particle":"","family":"Deutsch","given":"G.","non-dropping-particle":"","parse-names":false,"suffix":""},{"dropping-particle":"","family":"Parr","given":"Alicia","non-dropping-particle":"","parse-names":false,"suffix":""},{"dropping-particle":"","family":"Becares","given":"Natalia","non-dropping-particle":"","parse-names":false,"suffix":""},{"dropping-particle":"","family":"Crossley","given":"Matthew","non-dropping-particle":"","parse-names":false,"suffix":""},{"dropping-particle":"","family":"Francisco","given":"Natalia do Couto","non-dropping-particle":"","parse-names":false,"suffix":""},{"dropping-particle":"","family":"Richards","given":"K.","non-dropping-particle":"","parse-names":false,"suffix":""},{"dropping-particle":"","family":"Pietraszewicz","given":"Ewa","non-dropping-particle":"","parse-names":false,"suffix":""},{"dropping-particle":"","family":"Stephens","given":"A.","non-dropping-particle":"","parse-names":false,"suffix":""},{"dropping-particle":"","family":"Sudra","given":"Asha","non-dropping-particle":"","parse-names":false,"suffix":""},{"dropping-particle":"","family":"Wester","given":"Rianne","non-dropping-particle":"","parse-names":false,"suffix":""},{"dropping-particle":"","family":"Wilson","given":"Alastair","non-dropping-particle":"","parse-names":false,"suffix":""},{"dropping-particle":"","family":"Wu","given":"Celine","non-dropping-particle":"","parse-names":false,"suffix":""},{"dropping-particle":"","family":"Heath","given":"J.","non-dropping-particle":"","parse-names":false,"suffix":""},{"dropping-particle":"","family":"Hersee","given":"Kathryn","non-dropping-particle":"","parse-names":false,"suffix":""},{"dropping-particle":"","family":"Patkunam","given":"Devi","non-dropping-particle":"","parse-names":false,"suffix":""},{"dropping-particle":"","family":"Asare","given":"Adam","non-dropping-particle":"","parse-names":false,"suffix":""},{"dropping-particle":"","family":"Chani","given":"Eduard","non-dropping-particle":"","parse-names":false,"suffix":""},{"dropping-particle":"","family":"Evind","given":"Judith","non-dropping-particle":"","parse-names":false,"suffix":""},{"dropping-particle":"","family":"Lim","given":"Noha","non-dropping-particle":"","parse-names":false,"suffix":""},{"dropping-particle":"","family":"Plough","given":"Audrey","non-dropping-particle":"","parse-names":false,"suffix":""},{"dropping-particle":"","family":"Whitehouse","given":"Don","non-dropping-particle":"","parse-names":false,"suffix":""},{"dropping-particle":"","family":"Lorenzo","given":"Margarita Gomez","non-dropping-particle":"","parse-names":false,"suffix":""},{"dropping-particle":"","family":"Panza","given":"Joy Laurienzo","non-dropping-particle":"","parse-names":false,"suffix":""},{"dropping-particle":"","family":"Lussier","given":"Stephanie","non-dropping-particle":"","parse-names":false,"suffix":""},{"dropping-particle":"","family":"Hu","given":"Jack","non-dropping-particle":"","parse-names":false,"suffix":""},{"dropping-particle":"","family":"Mason","given":"Travis","non-dropping-particle":"","parse-names":false,"suffix":""}],"container-title":"Journal of Allergy and Clinical Immunology","id":"ITEM-1","issue":"2","issued":{"date-parts":[["2019"]]},"page":"494-503","title":"Association of Staphylococcus aureus colonization with food allergy occurs independently of eczema severity","type":"article-journal","volume":"144"},"uris":["http://www.mendeley.com/documents/?uuid=62e1a009-e966-488f-9458-a6c7156c68cd"]},{"id":"ITEM-2","itemData":{"DOI":"10.1016/j.jaci.2016.01.010","ISSN":"10976825","author":[{"dropping-particle":"","family":"Jones","given":"Andrea L.","non-dropping-particle":"","parse-names":false,"suffix":""},{"dropping-particle":"","family":"Curran-Everett","given":"Douglas","non-dropping-particle":"","parse-names":false,"suffix":""},{"dropping-particle":"","family":"Leung","given":"Donald Y.M.","non-dropping-particle":"","parse-names":false,"suffix":""}],"container-title":"Journal of Allergy and Clinical Immunology","id":"ITEM-2","issue":"4","issued":{"date-parts":[["2016"]]},"page":"1247-1248","title":"Food allergy is associated with Staphylococcus aureus colonization in children with atopic dermatitis","type":"article-journal","volume":"137"},"uris":["http://www.mendeley.com/documents/?uuid=b06f72e1-e4e1-4014-8b21-22563df03855"]}],"mendeley":{"formattedCitation":"&lt;sup&gt;48,49&lt;/sup&gt;","plainTextFormattedCitation":"48,49","previouslyFormattedCitation":"&lt;sup&gt;48,49&lt;/sup&gt;"},"properties":{"noteIndex":0},"schema":"https://github.com/citation-style-language/schema/raw/master/csl-citation.json"}</w:instrText>
      </w:r>
      <w:r w:rsidR="00770BE2">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48,49</w:t>
      </w:r>
      <w:r w:rsidR="00770BE2">
        <w:rPr>
          <w:rFonts w:asciiTheme="minorHAnsi" w:hAnsiTheme="minorHAnsi"/>
          <w:color w:val="000000" w:themeColor="text1"/>
          <w:lang w:val="en-US"/>
        </w:rPr>
        <w:fldChar w:fldCharType="end"/>
      </w:r>
      <w:r w:rsidR="00770BE2">
        <w:rPr>
          <w:rFonts w:asciiTheme="minorHAnsi" w:hAnsiTheme="minorHAnsi"/>
          <w:color w:val="000000" w:themeColor="text1"/>
          <w:lang w:val="en-US"/>
        </w:rPr>
        <w:t xml:space="preserve">. </w:t>
      </w:r>
      <w:r w:rsidR="00F000AA">
        <w:rPr>
          <w:rFonts w:asciiTheme="minorHAnsi" w:hAnsiTheme="minorHAnsi"/>
          <w:color w:val="000000" w:themeColor="text1"/>
          <w:lang w:val="en-US"/>
        </w:rPr>
        <w:t>Based on</w:t>
      </w:r>
      <w:r w:rsidR="00770BE2">
        <w:rPr>
          <w:rFonts w:asciiTheme="minorHAnsi" w:hAnsiTheme="minorHAnsi"/>
          <w:color w:val="000000" w:themeColor="text1"/>
          <w:lang w:val="en-US"/>
        </w:rPr>
        <w:t xml:space="preserve"> </w:t>
      </w:r>
      <w:r w:rsidR="00F000AA">
        <w:rPr>
          <w:rFonts w:asciiTheme="minorHAnsi" w:hAnsiTheme="minorHAnsi"/>
          <w:color w:val="000000" w:themeColor="text1"/>
          <w:lang w:val="en-US"/>
        </w:rPr>
        <w:t>these and our</w:t>
      </w:r>
      <w:r w:rsidR="00BC4FB9">
        <w:rPr>
          <w:rFonts w:asciiTheme="minorHAnsi" w:hAnsiTheme="minorHAnsi"/>
          <w:color w:val="000000" w:themeColor="text1"/>
          <w:lang w:val="en-US"/>
        </w:rPr>
        <w:t xml:space="preserve"> findings</w:t>
      </w:r>
      <w:r w:rsidR="00770BE2">
        <w:rPr>
          <w:rFonts w:asciiTheme="minorHAnsi" w:hAnsiTheme="minorHAnsi"/>
          <w:color w:val="000000" w:themeColor="text1"/>
          <w:lang w:val="en-US"/>
        </w:rPr>
        <w:t xml:space="preserve">, </w:t>
      </w:r>
      <w:r w:rsidR="00F000AA" w:rsidRPr="009535CC">
        <w:rPr>
          <w:rFonts w:asciiTheme="minorHAnsi" w:hAnsiTheme="minorHAnsi"/>
          <w:color w:val="000000" w:themeColor="text1"/>
          <w:lang w:val="en-US"/>
        </w:rPr>
        <w:t>we speculate</w:t>
      </w:r>
      <w:r w:rsidR="00F000AA">
        <w:rPr>
          <w:rFonts w:asciiTheme="minorHAnsi" w:hAnsiTheme="minorHAnsi"/>
          <w:color w:val="000000" w:themeColor="text1"/>
          <w:lang w:val="en-US"/>
        </w:rPr>
        <w:t xml:space="preserve"> </w:t>
      </w:r>
      <w:r w:rsidR="00BD7ABF">
        <w:rPr>
          <w:rFonts w:asciiTheme="minorHAnsi" w:hAnsiTheme="minorHAnsi"/>
          <w:color w:val="000000" w:themeColor="text1"/>
          <w:lang w:val="en-US"/>
        </w:rPr>
        <w:t xml:space="preserve">that </w:t>
      </w:r>
      <w:proofErr w:type="spellStart"/>
      <w:r w:rsidR="005E6F9D" w:rsidRPr="00BA6F83">
        <w:rPr>
          <w:rFonts w:asciiTheme="minorHAnsi" w:hAnsiTheme="minorHAnsi"/>
          <w:color w:val="000000" w:themeColor="text1"/>
          <w:lang w:val="en-US"/>
        </w:rPr>
        <w:t>SAgs</w:t>
      </w:r>
      <w:proofErr w:type="spellEnd"/>
      <w:r w:rsidR="005E6F9D" w:rsidRPr="00BA6F83">
        <w:rPr>
          <w:rFonts w:asciiTheme="minorHAnsi" w:hAnsiTheme="minorHAnsi"/>
          <w:color w:val="000000" w:themeColor="text1"/>
          <w:lang w:val="en-US"/>
        </w:rPr>
        <w:t xml:space="preserve"> </w:t>
      </w:r>
      <w:r w:rsidR="0064694E" w:rsidRPr="00BA6F83">
        <w:rPr>
          <w:rFonts w:asciiTheme="minorHAnsi" w:hAnsiTheme="minorHAnsi"/>
          <w:color w:val="000000" w:themeColor="text1"/>
          <w:lang w:val="en-US"/>
        </w:rPr>
        <w:t>m</w:t>
      </w:r>
      <w:r w:rsidR="00770BE2">
        <w:rPr>
          <w:rFonts w:asciiTheme="minorHAnsi" w:hAnsiTheme="minorHAnsi"/>
          <w:color w:val="000000" w:themeColor="text1"/>
          <w:lang w:val="en-US"/>
        </w:rPr>
        <w:t>ight</w:t>
      </w:r>
      <w:r w:rsidR="0064694E" w:rsidRPr="00BA6F83">
        <w:rPr>
          <w:rFonts w:asciiTheme="minorHAnsi" w:hAnsiTheme="minorHAnsi"/>
          <w:color w:val="000000" w:themeColor="text1"/>
          <w:lang w:val="en-US"/>
        </w:rPr>
        <w:t xml:space="preserve"> be involved in in</w:t>
      </w:r>
      <w:r w:rsidR="00C06B8E" w:rsidRPr="00BA6F83">
        <w:rPr>
          <w:rFonts w:asciiTheme="minorHAnsi" w:hAnsiTheme="minorHAnsi"/>
          <w:color w:val="000000" w:themeColor="text1"/>
          <w:lang w:val="en-US"/>
        </w:rPr>
        <w:t xml:space="preserve">itiating </w:t>
      </w:r>
      <w:r w:rsidR="0064694E" w:rsidRPr="00BA6F83">
        <w:rPr>
          <w:rFonts w:asciiTheme="minorHAnsi" w:hAnsiTheme="minorHAnsi"/>
          <w:color w:val="000000" w:themeColor="text1"/>
          <w:lang w:val="en-US"/>
        </w:rPr>
        <w:t xml:space="preserve">visceral hypersensitivity in </w:t>
      </w:r>
      <w:r w:rsidR="0088471E" w:rsidRPr="00BA6F83">
        <w:rPr>
          <w:rFonts w:asciiTheme="minorHAnsi" w:hAnsiTheme="minorHAnsi"/>
          <w:color w:val="000000" w:themeColor="text1"/>
          <w:lang w:val="en-US"/>
        </w:rPr>
        <w:t xml:space="preserve">subsets of </w:t>
      </w:r>
      <w:r w:rsidR="0064694E" w:rsidRPr="00BA6F83">
        <w:rPr>
          <w:rFonts w:asciiTheme="minorHAnsi" w:hAnsiTheme="minorHAnsi"/>
          <w:color w:val="000000" w:themeColor="text1"/>
          <w:lang w:val="en-US"/>
        </w:rPr>
        <w:t>IBS</w:t>
      </w:r>
      <w:r w:rsidR="0088471E" w:rsidRPr="00BA6F83">
        <w:rPr>
          <w:rFonts w:asciiTheme="minorHAnsi" w:hAnsiTheme="minorHAnsi"/>
          <w:color w:val="000000" w:themeColor="text1"/>
          <w:lang w:val="en-US"/>
        </w:rPr>
        <w:t xml:space="preserve"> patients</w:t>
      </w:r>
      <w:r w:rsidR="0064694E" w:rsidRPr="00BA6F83">
        <w:rPr>
          <w:rFonts w:asciiTheme="minorHAnsi" w:hAnsiTheme="minorHAnsi"/>
          <w:color w:val="000000" w:themeColor="text1"/>
          <w:lang w:val="en-US"/>
        </w:rPr>
        <w:t>.</w:t>
      </w:r>
    </w:p>
    <w:p w14:paraId="3DCE667D" w14:textId="7358F3F8" w:rsidR="00F87445" w:rsidRDefault="00A17766" w:rsidP="008A087E">
      <w:pPr>
        <w:spacing w:after="120" w:line="480" w:lineRule="auto"/>
        <w:ind w:firstLine="720"/>
        <w:jc w:val="both"/>
        <w:rPr>
          <w:rFonts w:asciiTheme="minorHAnsi" w:hAnsiTheme="minorHAnsi"/>
          <w:color w:val="000000" w:themeColor="text1"/>
          <w:lang w:val="en-US"/>
        </w:rPr>
      </w:pPr>
      <w:r w:rsidRPr="00BA6F83">
        <w:rPr>
          <w:rFonts w:asciiTheme="minorHAnsi" w:hAnsiTheme="minorHAnsi"/>
          <w:color w:val="000000" w:themeColor="text1"/>
          <w:lang w:val="en-US"/>
        </w:rPr>
        <w:t xml:space="preserve">After characterizing the mechanisms underlying food-mediated VHS in </w:t>
      </w:r>
      <w:r w:rsidR="00A2371F" w:rsidRPr="00BA6F83">
        <w:rPr>
          <w:rFonts w:asciiTheme="minorHAnsi" w:hAnsiTheme="minorHAnsi"/>
          <w:color w:val="000000" w:themeColor="text1"/>
          <w:lang w:val="en-US"/>
        </w:rPr>
        <w:t>two</w:t>
      </w:r>
      <w:r w:rsidRPr="00BA6F83">
        <w:rPr>
          <w:rFonts w:asciiTheme="minorHAnsi" w:hAnsiTheme="minorHAnsi"/>
          <w:color w:val="000000" w:themeColor="text1"/>
          <w:lang w:val="en-US"/>
        </w:rPr>
        <w:t xml:space="preserve"> pre-clinical models, we investigated whether a similar process is present in IBS patients. A recent study reported indirect evidence by showing food</w:t>
      </w:r>
      <w:r w:rsidR="004B7CC1">
        <w:rPr>
          <w:rFonts w:asciiTheme="minorHAnsi" w:hAnsiTheme="minorHAnsi"/>
          <w:color w:val="000000" w:themeColor="text1"/>
          <w:lang w:val="en-US"/>
        </w:rPr>
        <w:t xml:space="preserve"> </w:t>
      </w:r>
      <w:r w:rsidRPr="00BA6F83">
        <w:rPr>
          <w:rFonts w:asciiTheme="minorHAnsi" w:hAnsiTheme="minorHAnsi"/>
          <w:color w:val="000000" w:themeColor="text1"/>
          <w:lang w:val="en-US"/>
        </w:rPr>
        <w:t>antigen</w:t>
      </w:r>
      <w:r w:rsidR="004B7CC1">
        <w:rPr>
          <w:rFonts w:asciiTheme="minorHAnsi" w:hAnsiTheme="minorHAnsi"/>
          <w:color w:val="000000" w:themeColor="text1"/>
          <w:lang w:val="en-US"/>
        </w:rPr>
        <w:t>-</w:t>
      </w:r>
      <w:r w:rsidRPr="00BA6F83">
        <w:rPr>
          <w:rFonts w:asciiTheme="minorHAnsi" w:hAnsiTheme="minorHAnsi"/>
          <w:color w:val="000000" w:themeColor="text1"/>
          <w:lang w:val="en-US"/>
        </w:rPr>
        <w:t>induced structural changes in the duodenal mucosa and an increase in number of intraepithelial lymphocytes using confocal laser endomicroscopy</w:t>
      </w:r>
      <w:r w:rsidRPr="00BA6F83">
        <w:rPr>
          <w:rFonts w:asciiTheme="minorHAnsi" w:hAnsiTheme="minorHAnsi"/>
          <w:color w:val="000000" w:themeColor="text1"/>
          <w:lang w:val="en-US"/>
        </w:rPr>
        <w:fldChar w:fldCharType="begin" w:fldLock="1"/>
      </w:r>
      <w:r w:rsidR="008151E0">
        <w:rPr>
          <w:rFonts w:asciiTheme="minorHAnsi" w:hAnsiTheme="minorHAnsi"/>
          <w:color w:val="000000" w:themeColor="text1"/>
          <w:lang w:val="en-US"/>
        </w:rPr>
        <w:instrText>ADDIN CSL_CITATION {"citationItems":[{"id":"ITEM-1","itemData":{"DOI":"10.1053/j.gastro.2014.07.046","ISBN":"1528-0012 (Electronic)\\r0016-5085 (Linking)","ISSN":"1528-0012","PMID":"25083606","abstract":"BACKGROUND: &amp; Aims: We investigated suspected food intolerances in patients with irritable bowel syndrome (IBS) using confocal laser endomicroscopy (CLE) for real time visualization of structural/functional changes in the intestinal mucosa following food challenge. Patients with functional changes following food challenge (CLE+) were placed on personalized exclusion diets and followed for long-term symptom relief.\\n\\nMETHODS: Thirty-six IBS patients with suspected food intolerance and 10 with Barrett's esophagus (controls) without IBS-symptoms were examined by CLE at University Hospital, Kiel, Germany. Diluted food antigens were directly administered to the duodenal mucosa through the working channel of the endoscope. Epithelial breaks, inter-villous spaces, and numbers of intraepithelial lymphocytes (IEL) were measured before/after food challenge. CLE+ patients were placed on exclusion diets, given symptom score questionnaires, and followed for 1 year; controls resumed their previous diet.\\n\\nRESULTS: CLE revealed real-time response to food antigens in 22/36 patients; no responses were observed in 14/36 patients (CLE-) or any of the controls. Baseline IEL were significantly higher in CLE+ than CLE- subjects (P=.004); numbers increased significantly following food challenge(P=.0008). Within 5 minutes of exposure of CLE+ patients to food antigens, IEL increased, epithelial leaks/gaps formed, intervillous spaces widened. Epithelial leaks and intervillous spaces also increased significantly in CLE+ vs baseline (both P&lt;.001). Concordance of IEL measured by CLE and conventional histology was 70.6%; they did not correlate (P=.89; r2=0.027). Symptom scores improved &gt;50% in CLE+ patients after 4 weeks exclusion diet and increased to 74% at 12 months; symptoms continued in CLE- patients.\\n\\nCONCLUSIONS: Based on CLE analysis of IBS patients with suspected food intolerance, exposure to candidate food antigens caused immediate breaks, increased intervillous spaces and IEL in the intestinal mucosa. These changes associate with patients' response to exclusion diets Registered at clinicaltrials.gov (registration number: NCT01692613).","author":[{"dropping-particle":"","family":"Fritscher-Ravens","given":"Annette","non-dropping-particle":"","parse-names":false,"suffix":""},{"dropping-particle":"","family":"Schuppan","given":"Detlef","non-dropping-particle":"","parse-names":false,"suffix":""},{"dropping-particle":"","family":"Ellrichmann","given":"Mark","non-dropping-particle":"","parse-names":false,"suffix":""},{"dropping-particle":"","family":"Schoch","given":"Stefan","non-dropping-particle":"","parse-names":false,"suffix":""},{"dropping-particle":"","family":"Röcken","given":"Christoph","non-dropping-particle":"","parse-names":false,"suffix":""},{"dropping-particle":"","family":"Brasch","given":"Jochen","non-dropping-particle":"","parse-names":false,"suffix":""},{"dropping-particle":"","family":"Bethge","given":"Johannes","non-dropping-particle":"","parse-names":false,"suffix":""},{"dropping-particle":"","family":"Böttner","given":"Martina","non-dropping-particle":"","parse-names":false,"suffix":""},{"dropping-particle":"","family":"Klose","given":"Julius","non-dropping-particle":"","parse-names":false,"suffix":""},{"dropping-particle":"","family":"Milla","given":"Peter J.","non-dropping-particle":"","parse-names":false,"suffix":""}],"container-title":"Gastroenterology","id":"ITEM-1","issue":"5","issued":{"date-parts":[["2014"]]},"page":"1012-1020.e3","title":"Confocal endomicroscopy shows food-associated changes in the intestinal mucosa of patients with irritable bowel syndrome","type":"article-journal","volume":"147"},"uris":["http://www.mendeley.com/documents/?uuid=6b5adc6f-863f-4cd9-aa43-7db6d659e036"]},{"id":"ITEM-2","itemData":{"DOI":"10.1053/j.gastro.2019.03.046","ISSN":"00165085","author":[{"dropping-particle":"","family":"Fritscher-Ravens","given":"Annette","non-dropping-particle":"","parse-names":false,"suffix":""},{"dropping-particle":"","family":"Pflaum","given":"Theresa","non-dropping-particle":"","parse-names":false,"suffix":""},{"dropping-particle":"","family":"Mösinger","given":"Marie","non-dropping-particle":"","parse-names":false,"suffix":""},{"dropping-particle":"","family":"Ruchai","given":"Zino","non-dropping-particle":"","parse-names":false,"suffix":""},{"dropping-particle":"","family":"Röcken","given":"Christoph","non-dropping-particle":"","parse-names":false,"suffix":""},{"dropping-particle":"","family":"Milla","given":"Peter J.","non-dropping-particle":"","parse-names":false,"suffix":""},{"dropping-particle":"","family":"Das","given":"Melda","non-dropping-particle":"","parse-names":false,"suffix":""},{"dropping-particle":"","family":"Böttner","given":"Martina","non-dropping-particle":"","parse-names":false,"suffix":""},{"dropping-particle":"","family":"Wedel","given":"Thilo","non-dropping-particle":"","parse-names":false,"suffix":""},{"dropping-particle":"","family":"Schuppan","given":"Detlef","non-dropping-particle":"","parse-names":false,"suffix":""}],"container-title":"Gastroenterology","id":"ITEM-2","issued":{"date-parts":[["2019"]]},"title":"Many Patients With Irritable Bowel Syndrome Have Atypical Food Allergies Not Associated With Immunoglobulin E","type":"article-journal","volume":"DOI"},"uris":["http://www.mendeley.com/documents/?uuid=373b32a0-ed3e-4cbf-9fc2-17a5a73df190"]}],"mendeley":{"formattedCitation":"&lt;sup&gt;50,51&lt;/sup&gt;","plainTextFormattedCitation":"50,51","previouslyFormattedCitation":"&lt;sup&gt;50,51&lt;/sup&gt;"},"properties":{"noteIndex":0},"schema":"https://github.com/citation-style-language/schema/raw/master/csl-citation.json"}</w:instrText>
      </w:r>
      <w:r w:rsidRPr="00BA6F83">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50,51</w:t>
      </w:r>
      <w:r w:rsidRPr="00BA6F83">
        <w:rPr>
          <w:rFonts w:asciiTheme="minorHAnsi" w:hAnsiTheme="minorHAnsi"/>
          <w:color w:val="000000" w:themeColor="text1"/>
          <w:lang w:val="en-US"/>
        </w:rPr>
        <w:fldChar w:fldCharType="end"/>
      </w:r>
      <w:r w:rsidRPr="00BA6F83">
        <w:rPr>
          <w:rFonts w:asciiTheme="minorHAnsi" w:hAnsiTheme="minorHAnsi"/>
          <w:color w:val="000000" w:themeColor="text1"/>
          <w:lang w:val="en-US"/>
        </w:rPr>
        <w:t xml:space="preserve">. To evaluate if food antigens can indeed evoke a localized immune response in the colon, solutions of soy, wheat, gluten and milk were injected in the rectosigmoid mucosa of </w:t>
      </w:r>
      <w:r w:rsidR="004E5D8B" w:rsidRPr="00BA6F83">
        <w:rPr>
          <w:rFonts w:asciiTheme="minorHAnsi" w:hAnsiTheme="minorHAnsi"/>
          <w:color w:val="000000" w:themeColor="text1"/>
          <w:lang w:val="en-US"/>
        </w:rPr>
        <w:t xml:space="preserve">12 </w:t>
      </w:r>
      <w:r w:rsidRPr="00BA6F83">
        <w:rPr>
          <w:rFonts w:asciiTheme="minorHAnsi" w:hAnsiTheme="minorHAnsi"/>
          <w:color w:val="000000" w:themeColor="text1"/>
          <w:lang w:val="en-US"/>
        </w:rPr>
        <w:t xml:space="preserve">IBS patients and </w:t>
      </w:r>
      <w:r w:rsidR="004E5D8B" w:rsidRPr="00BA6F83">
        <w:rPr>
          <w:rFonts w:asciiTheme="minorHAnsi" w:hAnsiTheme="minorHAnsi"/>
          <w:color w:val="000000" w:themeColor="text1"/>
          <w:lang w:val="en-US"/>
        </w:rPr>
        <w:t xml:space="preserve">8 </w:t>
      </w:r>
      <w:r w:rsidRPr="00BA6F83">
        <w:rPr>
          <w:rFonts w:asciiTheme="minorHAnsi" w:hAnsiTheme="minorHAnsi"/>
          <w:color w:val="000000" w:themeColor="text1"/>
          <w:lang w:val="en-US"/>
        </w:rPr>
        <w:t>healthy volunteers (HV)</w:t>
      </w:r>
      <w:r w:rsidR="006D1B82" w:rsidRPr="00BA6F83">
        <w:rPr>
          <w:rFonts w:asciiTheme="minorHAnsi" w:hAnsiTheme="minorHAnsi"/>
          <w:color w:val="000000" w:themeColor="text1"/>
          <w:lang w:val="en-US"/>
        </w:rPr>
        <w:t xml:space="preserve"> (Extended Data Movie 1)</w:t>
      </w:r>
      <w:r w:rsidRPr="00BA6F83">
        <w:rPr>
          <w:rFonts w:asciiTheme="minorHAnsi" w:hAnsiTheme="minorHAnsi"/>
          <w:color w:val="000000" w:themeColor="text1"/>
          <w:lang w:val="en-US"/>
        </w:rPr>
        <w:t xml:space="preserve">. All study </w:t>
      </w:r>
      <w:r w:rsidR="001E2985" w:rsidRPr="00BA6F83">
        <w:rPr>
          <w:rFonts w:asciiTheme="minorHAnsi" w:hAnsiTheme="minorHAnsi"/>
          <w:color w:val="000000" w:themeColor="text1"/>
          <w:lang w:val="en-US"/>
        </w:rPr>
        <w:t>individuals</w:t>
      </w:r>
      <w:r w:rsidRPr="00BA6F83">
        <w:rPr>
          <w:rFonts w:asciiTheme="minorHAnsi" w:hAnsiTheme="minorHAnsi"/>
          <w:color w:val="000000" w:themeColor="text1"/>
          <w:lang w:val="en-US"/>
        </w:rPr>
        <w:t xml:space="preserve"> were first screened to exclude food allergy by skin prick tests and serum </w:t>
      </w:r>
      <w:proofErr w:type="spellStart"/>
      <w:r w:rsidRPr="00BA6F83">
        <w:rPr>
          <w:rFonts w:asciiTheme="minorHAnsi" w:hAnsiTheme="minorHAnsi"/>
          <w:color w:val="000000" w:themeColor="text1"/>
          <w:lang w:val="en-US"/>
        </w:rPr>
        <w:t>IgE</w:t>
      </w:r>
      <w:proofErr w:type="spellEnd"/>
      <w:r w:rsidRPr="00BA6F83">
        <w:rPr>
          <w:rFonts w:asciiTheme="minorHAnsi" w:hAnsiTheme="minorHAnsi"/>
          <w:color w:val="000000" w:themeColor="text1"/>
          <w:lang w:val="en-US"/>
        </w:rPr>
        <w:t xml:space="preserve"> levels against the 4 food antigens studied</w:t>
      </w:r>
      <w:r w:rsidR="00D87C2E">
        <w:rPr>
          <w:rFonts w:asciiTheme="minorHAnsi" w:hAnsiTheme="minorHAnsi"/>
          <w:color w:val="000000" w:themeColor="text1"/>
          <w:lang w:val="en-US"/>
        </w:rPr>
        <w:t xml:space="preserve"> (Extended Data Table 5)</w:t>
      </w:r>
      <w:r w:rsidRPr="00BA6F83">
        <w:rPr>
          <w:rFonts w:asciiTheme="minorHAnsi" w:hAnsiTheme="minorHAnsi"/>
          <w:color w:val="000000" w:themeColor="text1"/>
          <w:lang w:val="en-US"/>
        </w:rPr>
        <w:t xml:space="preserve">. </w:t>
      </w:r>
      <w:r w:rsidR="00A2371F" w:rsidRPr="00BA6F83">
        <w:rPr>
          <w:rFonts w:asciiTheme="minorHAnsi" w:hAnsiTheme="minorHAnsi"/>
          <w:color w:val="000000" w:themeColor="text1"/>
          <w:lang w:val="en-US"/>
        </w:rPr>
        <w:t>Notably</w:t>
      </w:r>
      <w:r w:rsidRPr="00BA6F83">
        <w:rPr>
          <w:rFonts w:asciiTheme="minorHAnsi" w:hAnsiTheme="minorHAnsi"/>
          <w:color w:val="000000" w:themeColor="text1"/>
          <w:lang w:val="en-US"/>
        </w:rPr>
        <w:t xml:space="preserve">, all </w:t>
      </w:r>
      <w:r w:rsidR="00956B70" w:rsidRPr="00BA6F83">
        <w:rPr>
          <w:rFonts w:asciiTheme="minorHAnsi" w:hAnsiTheme="minorHAnsi"/>
          <w:color w:val="000000" w:themeColor="text1"/>
          <w:lang w:val="en-US"/>
        </w:rPr>
        <w:t xml:space="preserve">12 </w:t>
      </w:r>
      <w:r w:rsidRPr="00BA6F83">
        <w:rPr>
          <w:rFonts w:asciiTheme="minorHAnsi" w:hAnsiTheme="minorHAnsi"/>
          <w:color w:val="000000" w:themeColor="text1"/>
          <w:lang w:val="en-US"/>
        </w:rPr>
        <w:t>IBS patients showed mucosal reactions to at least one of the food antigens tested (</w:t>
      </w:r>
      <w:r w:rsidR="00983FF8" w:rsidRPr="00BA6F83">
        <w:rPr>
          <w:rFonts w:asciiTheme="minorHAnsi" w:hAnsiTheme="minorHAnsi"/>
          <w:color w:val="000000" w:themeColor="text1"/>
          <w:lang w:val="en-US"/>
        </w:rPr>
        <w:t>Fig.</w:t>
      </w:r>
      <w:r w:rsidR="00E90FF3" w:rsidRPr="00BA6F83">
        <w:rPr>
          <w:rFonts w:asciiTheme="minorHAnsi" w:hAnsiTheme="minorHAnsi"/>
          <w:color w:val="000000" w:themeColor="text1"/>
          <w:lang w:val="en-US"/>
        </w:rPr>
        <w:t xml:space="preserve"> </w:t>
      </w:r>
      <w:r w:rsidR="00AA1291" w:rsidRPr="00BA6F83">
        <w:rPr>
          <w:rFonts w:asciiTheme="minorHAnsi" w:hAnsiTheme="minorHAnsi"/>
          <w:color w:val="000000" w:themeColor="text1"/>
          <w:lang w:val="en-US"/>
        </w:rPr>
        <w:t>4</w:t>
      </w:r>
      <w:r w:rsidR="00235AC5" w:rsidRPr="00BA6F83">
        <w:rPr>
          <w:rFonts w:asciiTheme="minorHAnsi" w:hAnsiTheme="minorHAnsi"/>
          <w:color w:val="000000" w:themeColor="text1"/>
          <w:lang w:val="en-US"/>
        </w:rPr>
        <w:t>A, B</w:t>
      </w:r>
      <w:r w:rsidR="006D1B82" w:rsidRPr="00BA6F83">
        <w:rPr>
          <w:rFonts w:asciiTheme="minorHAnsi" w:hAnsiTheme="minorHAnsi"/>
          <w:color w:val="000000" w:themeColor="text1"/>
          <w:lang w:val="en-US"/>
        </w:rPr>
        <w:t xml:space="preserve"> and Extended Data Movie 2-4</w:t>
      </w:r>
      <w:r w:rsidRPr="00BA6F83">
        <w:rPr>
          <w:rFonts w:asciiTheme="minorHAnsi" w:hAnsiTheme="minorHAnsi"/>
          <w:color w:val="000000" w:themeColor="text1"/>
          <w:lang w:val="en-US"/>
        </w:rPr>
        <w:t xml:space="preserve">), whereas only two HV showed a single positive reaction to soy or gluten. </w:t>
      </w:r>
    </w:p>
    <w:p w14:paraId="78715E28" w14:textId="71A64EA8" w:rsidR="00E225D1" w:rsidRPr="00BA6F83" w:rsidRDefault="00AA3241" w:rsidP="009931B4">
      <w:pPr>
        <w:spacing w:after="120" w:line="480" w:lineRule="auto"/>
        <w:ind w:firstLine="720"/>
        <w:jc w:val="both"/>
        <w:rPr>
          <w:rFonts w:asciiTheme="minorHAnsi" w:eastAsia="Times New Roman" w:hAnsiTheme="minorHAnsi"/>
          <w:color w:val="000000" w:themeColor="text1"/>
          <w:spacing w:val="3"/>
          <w:shd w:val="clear" w:color="auto" w:fill="FFFFFF"/>
          <w:lang w:val="en-US"/>
        </w:rPr>
      </w:pPr>
      <w:r w:rsidRPr="00AA3241">
        <w:rPr>
          <w:rFonts w:asciiTheme="minorHAnsi" w:hAnsiTheme="minorHAnsi"/>
          <w:color w:val="000000" w:themeColor="text1"/>
        </w:rPr>
        <w:t>Histamine was not detected in supernatants of biopsies taken from the site of antigen injection, most likely as it was degraded by the time biopsies were taken</w:t>
      </w:r>
      <w:r>
        <w:rPr>
          <w:rFonts w:asciiTheme="minorHAnsi" w:hAnsiTheme="minorHAnsi"/>
          <w:color w:val="000000" w:themeColor="text1"/>
        </w:rPr>
        <w:fldChar w:fldCharType="begin" w:fldLock="1"/>
      </w:r>
      <w:r w:rsidR="008151E0">
        <w:rPr>
          <w:rFonts w:asciiTheme="minorHAnsi" w:hAnsiTheme="minorHAnsi"/>
          <w:color w:val="000000" w:themeColor="text1"/>
        </w:rPr>
        <w:instrText>ADDIN CSL_CITATION {"citationItems":[{"id":"ITEM-1","itemData":{"DOI":"10.1111/all.13663","ISSN":"13989995","PMID":"30418682","abstract":"Background: Histaminolytic activity mediated by diamine oxidase (DAO) is present in plasma after induction of severe anaphylaxis in rats, guinea pigs, and rabbits. Heparin released during mast cell degranulation in the gastrointestinal tract might liberate DAO from heparin-sensitive storage sites. DAO release during anaphylaxis has not been demonstrated in humans. Methods: Plasma DAO, tryptase, and histamine concentrations of four severe anaphylaxis events were determined at multiple serial time points in two patients with systemic mastocytosis. The histamine degradation rates were measured in anaphylaxis samples and in pregnancy sera and plasma with comparable DAO concentrations. Results: Mean DAO (132 ng/mL) and tryptase (304 ng/mL) concentrations increased 187- and 4.0-fold, respectively, over baseline values (DAO 0.7 ng/mL, tryptase 76 ng/mL) during severe anaphylaxis. Under non-anaphylaxis conditions, DAO concentrations were not elevated in 29 mastocytosis patients compared to healthy volunteers and there was no correlation between DAO and tryptase levels in mastocytosis patients. The histamine degradation rate of DAO in plasma from mastocytosis patients during anaphylaxis is severely compromised compared to DAO from pregnancy samples. Conclusion: During severe anaphylaxis in mastocytosis patients, DAO is likely released from heparin-sensitive gastrointestinal storage sites. The measured concentrations can degrade histamine, but DAO activity is compromised compared to pregnancy samples. For accurate histamine measurements during anaphylaxis, DAO inhibition is essential to inhibit further histamine degradation after blood withdrawal. Determination of DAO antigen levels might be of clinical value to improve the diagnosis of mast cell activation.","author":[{"dropping-particle":"","family":"Boehm","given":"Thomas","non-dropping-particle":"","parse-names":false,"suffix":""},{"dropping-particle":"","family":"Reiter","given":"Birgit","non-dropping-particle":"","parse-names":false,"suffix":""},{"dropping-particle":"","family":"Ristl","given":"Robin","non-dropping-particle":"","parse-names":false,"suffix":""},{"dropping-particle":"","family":"Petroczi","given":"Karin","non-dropping-particle":"","parse-names":false,"suffix":""},{"dropping-particle":"","family":"Sperr","given":"Wolfgang","non-dropping-particle":"","parse-names":false,"suffix":""},{"dropping-particle":"","family":"Stimpfl","given":"Thomas","non-dropping-particle":"","parse-names":false,"suffix":""},{"dropping-particle":"","family":"Valent","given":"Peter","non-dropping-particle":"","parse-names":false,"suffix":""},{"dropping-particle":"","family":"Jilma","given":"Bernd","non-dropping-particle":"","parse-names":false,"suffix":""}],"container-title":"Allergy: European Journal of Allergy and Clinical Immunology","id":"ITEM-1","issue":"3","issued":{"date-parts":[["2019"]]},"page":"583-593","title":"Massive release of the histamine-degrading enzyme diamine oxidase during severe anaphylaxis in mastocytosis patients","type":"article-journal","volume":"74"},"uris":["http://www.mendeley.com/documents/?uuid=80ef3964-fff4-4afc-8210-708b25760d94"]}],"mendeley":{"formattedCitation":"&lt;sup&gt;52&lt;/sup&gt;","plainTextFormattedCitation":"52","previouslyFormattedCitation":"&lt;sup&gt;52&lt;/sup&gt;"},"properties":{"noteIndex":0},"schema":"https://github.com/citation-style-language/schema/raw/master/csl-citation.json"}</w:instrText>
      </w:r>
      <w:r>
        <w:rPr>
          <w:rFonts w:asciiTheme="minorHAnsi" w:hAnsiTheme="minorHAnsi"/>
          <w:color w:val="000000" w:themeColor="text1"/>
        </w:rPr>
        <w:fldChar w:fldCharType="separate"/>
      </w:r>
      <w:r w:rsidR="008151E0" w:rsidRPr="008151E0">
        <w:rPr>
          <w:rFonts w:asciiTheme="minorHAnsi" w:hAnsiTheme="minorHAnsi"/>
          <w:noProof/>
          <w:color w:val="000000" w:themeColor="text1"/>
          <w:vertAlign w:val="superscript"/>
        </w:rPr>
        <w:t>52</w:t>
      </w:r>
      <w:r>
        <w:rPr>
          <w:rFonts w:asciiTheme="minorHAnsi" w:hAnsiTheme="minorHAnsi"/>
          <w:color w:val="000000" w:themeColor="text1"/>
        </w:rPr>
        <w:fldChar w:fldCharType="end"/>
      </w:r>
      <w:r w:rsidRPr="00AA3241">
        <w:rPr>
          <w:rFonts w:asciiTheme="minorHAnsi" w:hAnsiTheme="minorHAnsi"/>
          <w:color w:val="000000" w:themeColor="text1"/>
        </w:rPr>
        <w:t xml:space="preserve"> (more than 12 min after injection of food antigens). In turn, we assessed tryptase activity as a proxy for mast cell degranulation, as this is another major component of MC secretory granules</w:t>
      </w:r>
      <w:r>
        <w:rPr>
          <w:rFonts w:asciiTheme="minorHAnsi" w:hAnsiTheme="minorHAnsi"/>
          <w:color w:val="000000" w:themeColor="text1"/>
          <w:lang w:val="en-US"/>
        </w:rPr>
        <w:t xml:space="preserve"> and </w:t>
      </w:r>
      <w:bookmarkStart w:id="10" w:name="OLE_LINK23"/>
      <w:r w:rsidR="008151E0">
        <w:rPr>
          <w:rFonts w:asciiTheme="minorHAnsi" w:hAnsiTheme="minorHAnsi"/>
          <w:color w:val="000000" w:themeColor="text1"/>
          <w:lang w:val="en-US"/>
        </w:rPr>
        <w:t>has a longer half-life. As previously described</w:t>
      </w:r>
      <w:r w:rsidR="008151E0">
        <w:rPr>
          <w:rFonts w:asciiTheme="minorHAnsi" w:hAnsiTheme="minorHAnsi"/>
          <w:color w:val="000000" w:themeColor="text1"/>
          <w:lang w:val="en-US"/>
        </w:rPr>
        <w:fldChar w:fldCharType="begin" w:fldLock="1"/>
      </w:r>
      <w:r w:rsidR="00756206">
        <w:rPr>
          <w:rFonts w:asciiTheme="minorHAnsi" w:hAnsiTheme="minorHAnsi"/>
          <w:color w:val="000000" w:themeColor="text1"/>
          <w:lang w:val="en-US"/>
        </w:rPr>
        <w:instrText>ADDIN CSL_CITATION {"citationItems":[{"id":"ITEM-1","itemData":{"DOI":"10.1172/JCI29255","ISBN":"0021-9738 (Print) 0021-9738 (Linking)","ISSN":"0021-9738","PMID":"17304351","abstract":"Mediators involved in the generation of symptoms in patients with irritable bowel syndrome (IBS) are poorly understood. Here we show that colonic biopsy samples from IBS patients release increased levels of proteolytic activity (arginine cleavage) compared to asymptomatic controls. This was dependent on the activation of NF-κB. In addition, increased proteolytic activity was measured in vivo, in colonic washes from IBS compared with control patients. Trypsin and tryptase expression and release were increased in colonic biopsies from IBS patients compared with control subjects. Biopsies from IBS patients (but not controls) released mediators that sensitized murine sensory neurons in culture. Sensitization was prevented by a serine protease inhibitor and was absent in neurons lacking functional protease-activated receptor-2 (PAR2). Supernatants from colonic biopsies of IBS patients, but not controls, also caused somatic and visceral hyperalgesia and allodynia in mice, when administered into the colon. These pronociceptive effects were inhibited by serine protease inhibitors and a PAR2 antagonist and were absent in PAR2-deficient mice. Our study establishes that proteases are released in IBS and that they can directly stimulate sensory neurons and generate hypersensitivity symptoms through the activation of PAR2.","author":[{"dropping-particle":"","family":"Cenac","given":"Nicolas","non-dropping-particle":"","parse-names":false,"suffix":""},{"dropping-particle":"","family":"Andrews","given":"Christopher N.","non-dropping-particle":"","parse-names":false,"suffix":""},{"dropping-particle":"","family":"Holzhausen","given":"Marinella","non-dropping-particle":"","parse-names":false,"suffix":""},{"dropping-particle":"","family":"Chapman","given":"Kevin","non-dropping-particle":"","parse-names":false,"suffix":""},{"dropping-particle":"","family":"Cottrell","given":"Graeme","non-dropping-particle":"","parse-names":false,"suffix":""},{"dropping-particle":"","family":"Andrade-Gordon","given":"Patricia","non-dropping-particle":"","parse-names":false,"suffix":""},{"dropping-particle":"","family":"Steinhoff","given":"Martin","non-dropping-particle":"","parse-names":false,"suffix":""},{"dropping-particle":"","family":"Barbara","given":"Giovanni","non-dropping-particle":"","parse-names":false,"suffix":""},{"dropping-particle":"","family":"Beck","given":"Paul","non-dropping-particle":"","parse-names":false,"suffix":""},{"dropping-particle":"","family":"Bunnett","given":"Nigel W.","non-dropping-particle":"","parse-names":false,"suffix":""},{"dropping-particle":"","family":"Sharkey","given":"Keith A.","non-dropping-particle":"","parse-names":false,"suffix":""},{"dropping-particle":"","family":"Ferraz","given":"Jose Geraldo P.","non-dropping-particle":"","parse-names":false,"suffix":""},{"dropping-particle":"","family":"Shaffer","given":"Eldon","non-dropping-particle":"","parse-names":false,"suffix":""},{"dropping-particle":"","family":"Vergnolle","given":"Nathalie","non-dropping-particle":"","parse-names":false,"suffix":""}],"container-title":"The Journal of clinical investigation","id":"ITEM-1","issue":"3","issued":{"date-parts":[["2007"]]},"page":"636-647","title":"Role for protease activity in visceral pain in irritable bowel syndrome.","type":"article-journal","volume":"117"},"uris":["http://www.mendeley.com/documents/?uuid=e4b746fe-d891-4aef-98ea-cde199e3a579"]},{"id":"ITEM-2","itemData":{"DOI":"10.1136/gutjnl-2016-312094","ISBN":"0017-5749","ISSN":"14683288","PMID":"28096305","abstract":"OBJECTIVES Proteases are key mediators of pain and altered enteric neuronal signalling, although the types and sources of these important intestinal mediators are unknown. We hypothesised that intestinal epithelium is a major source of trypsin-like activity in patients with IBS and this activity signals to primary afferent and enteric nerves and induces visceral hypersensitivity. DESIGN Trypsin-like activity was determined in tissues from patients with IBS and in supernatants of Caco-2 cells stimulated or not. These supernatants were also applied to cultures of primary afferents. mRNA isoforms of trypsin (PRSS1, 2 and 3) were detected by reverse transcription-PCR, and trypsin-3 protein expression was studied by western blot analysis and immunohistochemistry. Electrophysiological recordings and Ca(2+) imaging in response to trypsin-3 were performed in mouse primary afferent and in human submucosal neurons, respectively. Visceromotor response to colorectal distension was recorded in mice administered intracolonically with trypsin-3. RESULTS We showed that stimulated intestinal epithelial cells released trypsin-like activity specifically from the basolateral side. This activity was able to activate sensory neurons. In colons of patients with IBS, increased trypsin-like activity was associated with the epithelium. We identified that trypsin-3 was the only form of trypsin upregulated in stimulated intestinal epithelial cells and in tissues from patients with IBS. Trypsin-3 was able to signal to human submucosal enteric neurons and mouse sensory neurons, and to induce visceral hypersensitivity in vivo, all by a protease-activated receptor-2-dependent mechanism. CONCLUSIONS In IBS, the intestinal epithelium produces and releases the active protease trypsin-3, which is able to signal to enteric neurons and to induce visceral hypersensitivity.","author":[{"dropping-particle":"","family":"Rolland-Fourcade","given":"Claire","non-dropping-particle":"","parse-names":false,"suffix":""},{"dropping-particle":"","family":"Denadai-Souza","given":"Alexandre","non-dropping-particle":"","parse-names":false,"suffix":""},{"dropping-particle":"","family":"Cirillo","given":"Carla","non-dropping-particle":"","parse-names":false,"suffix":""},{"dropping-particle":"","family":"Lopez","given":"Cintya","non-dropping-particle":"","parse-names":false,"suffix":""},{"dropping-particle":"","family":"Jaramillo","given":"Josue Obed","non-dropping-particle":"","parse-names":false,"suffix":""},{"dropping-particle":"","family":"Desormeaux","given":"Cleo","non-dropping-particle":"","parse-names":false,"suffix":""},{"dropping-particle":"","family":"Cenac","given":"Nicolas","non-dropping-particle":"","parse-names":false,"suffix":""},{"dropping-particle":"","family":"Motta","given":"Jean Paul","non-dropping-particle":"","parse-names":false,"suffix":""},{"dropping-particle":"","family":"Larauche","given":"Muriel","non-dropping-particle":"","parse-names":false,"suffix":""},{"dropping-particle":"","family":"Taché","given":"Yvette","non-dropping-particle":"","parse-names":false,"suffix":""},{"dropping-particle":"Vanden","family":"Berghe","given":"Pieter","non-dropping-particle":"","parse-names":false,"suffix":""},{"dropping-particle":"","family":"Neunlist","given":"Michel","non-dropping-particle":"","parse-names":false,"suffix":""},{"dropping-particle":"","family":"Coron","given":"Emmanuel","non-dropping-particle":"","parse-names":false,"suffix":""},{"dropping-particle":"","family":"Kirzin","given":"Sylvain","non-dropping-particle":"","parse-names":false,"suffix":""},{"dropping-particle":"","family":"Portier","given":"Guillaume","non-dropping-particle":"","parse-names":false,"suffix":""},{"dropping-particle":"","family":"Bonnet","given":"Delphine","non-dropping-particle":"","parse-names":false,"suffix":""},{"dropping-particle":"","family":"Alric","given":"Laurent","non-dropping-particle":"","parse-names":false,"suffix":""},{"dropping-particle":"","family":"Vanner","given":"Stephen","non-dropping-particle":"","parse-names":false,"suffix":""},{"dropping-particle":"","family":"Deraison","given":"Celine","non-dropping-particle":"","parse-names":false,"suffix":""},{"dropping-particle":"","family":"Vergnolle","given":"Nathalie","non-dropping-particle":"","parse-names":false,"suffix":""}],"container-title":"Gut","id":"ITEM-2","issued":{"date-parts":[["2017"]]},"title":"Epithelial expression and function of trypsin-3 in irritable bowel syndrome","type":"article-journal"},"uris":["http://www.mendeley.com/documents/?uuid=452a4c55-3299-4baf-8baa-de67bae495d8"]}],"mendeley":{"formattedCitation":"&lt;sup&gt;53,54&lt;/sup&gt;","plainTextFormattedCitation":"53,54","previouslyFormattedCitation":"&lt;sup&gt;53,54&lt;/sup&gt;"},"properties":{"noteIndex":0},"schema":"https://github.com/citation-style-language/schema/raw/master/csl-citation.json"}</w:instrText>
      </w:r>
      <w:r w:rsidR="008151E0">
        <w:rPr>
          <w:rFonts w:asciiTheme="minorHAnsi" w:hAnsiTheme="minorHAnsi"/>
          <w:color w:val="000000" w:themeColor="text1"/>
          <w:lang w:val="en-US"/>
        </w:rPr>
        <w:fldChar w:fldCharType="separate"/>
      </w:r>
      <w:r w:rsidR="008151E0" w:rsidRPr="008151E0">
        <w:rPr>
          <w:rFonts w:asciiTheme="minorHAnsi" w:hAnsiTheme="minorHAnsi"/>
          <w:noProof/>
          <w:color w:val="000000" w:themeColor="text1"/>
          <w:vertAlign w:val="superscript"/>
          <w:lang w:val="en-US"/>
        </w:rPr>
        <w:t>53,54</w:t>
      </w:r>
      <w:r w:rsidR="008151E0">
        <w:rPr>
          <w:rFonts w:asciiTheme="minorHAnsi" w:hAnsiTheme="minorHAnsi"/>
          <w:color w:val="000000" w:themeColor="text1"/>
          <w:lang w:val="en-US"/>
        </w:rPr>
        <w:fldChar w:fldCharType="end"/>
      </w:r>
      <w:r w:rsidR="008151E0">
        <w:rPr>
          <w:rFonts w:asciiTheme="minorHAnsi" w:hAnsiTheme="minorHAnsi"/>
          <w:color w:val="000000" w:themeColor="text1"/>
          <w:lang w:val="en-US"/>
        </w:rPr>
        <w:t xml:space="preserve">, total </w:t>
      </w:r>
      <w:r w:rsidR="008F5E28">
        <w:rPr>
          <w:rFonts w:asciiTheme="minorHAnsi" w:hAnsiTheme="minorHAnsi"/>
          <w:color w:val="000000" w:themeColor="text1"/>
          <w:lang w:val="en-US"/>
        </w:rPr>
        <w:lastRenderedPageBreak/>
        <w:t xml:space="preserve">trypsin-like-activity </w:t>
      </w:r>
      <w:r w:rsidR="00594D0B">
        <w:rPr>
          <w:rFonts w:asciiTheme="minorHAnsi" w:hAnsiTheme="minorHAnsi"/>
          <w:color w:val="000000" w:themeColor="text1"/>
          <w:lang w:val="en-US"/>
        </w:rPr>
        <w:t>was found</w:t>
      </w:r>
      <w:r w:rsidR="008F5E28">
        <w:rPr>
          <w:rFonts w:asciiTheme="minorHAnsi" w:hAnsiTheme="minorHAnsi"/>
          <w:color w:val="000000" w:themeColor="text1"/>
          <w:lang w:val="en-US"/>
        </w:rPr>
        <w:t xml:space="preserve"> increased in IBS patients compared to HV </w:t>
      </w:r>
      <w:r w:rsidR="008D2638">
        <w:rPr>
          <w:rFonts w:asciiTheme="minorHAnsi" w:hAnsiTheme="minorHAnsi"/>
          <w:color w:val="000000" w:themeColor="text1"/>
          <w:lang w:val="en-US"/>
        </w:rPr>
        <w:t xml:space="preserve">in basal conditions </w:t>
      </w:r>
      <w:r w:rsidR="008F5E28">
        <w:rPr>
          <w:rFonts w:asciiTheme="minorHAnsi" w:hAnsiTheme="minorHAnsi"/>
          <w:color w:val="000000" w:themeColor="text1"/>
          <w:lang w:val="en-US"/>
        </w:rPr>
        <w:t>(Fig. 4C)</w:t>
      </w:r>
      <w:bookmarkEnd w:id="10"/>
      <w:r w:rsidR="004832F5" w:rsidRPr="00BA6F83">
        <w:rPr>
          <w:rFonts w:asciiTheme="minorHAnsi" w:eastAsia="Times New Roman" w:hAnsiTheme="minorHAnsi"/>
          <w:color w:val="000000" w:themeColor="text1"/>
          <w:spacing w:val="3"/>
          <w:shd w:val="clear" w:color="auto" w:fill="FFFFFF"/>
          <w:lang w:val="en-US"/>
        </w:rPr>
        <w:t xml:space="preserve">. </w:t>
      </w:r>
      <w:r w:rsidR="002F0CFD" w:rsidRPr="00BA6F83">
        <w:rPr>
          <w:rFonts w:asciiTheme="minorHAnsi" w:eastAsia="Times New Roman" w:hAnsiTheme="minorHAnsi"/>
          <w:color w:val="000000" w:themeColor="text1"/>
          <w:spacing w:val="3"/>
          <w:shd w:val="clear" w:color="auto" w:fill="FFFFFF"/>
          <w:lang w:val="en-US"/>
        </w:rPr>
        <w:t>Since other trypsin-like serine peptidases hydroly</w:t>
      </w:r>
      <w:r w:rsidR="0041689F" w:rsidRPr="00BA6F83">
        <w:rPr>
          <w:rFonts w:asciiTheme="minorHAnsi" w:eastAsia="Times New Roman" w:hAnsiTheme="minorHAnsi"/>
          <w:color w:val="000000" w:themeColor="text1"/>
          <w:spacing w:val="3"/>
          <w:shd w:val="clear" w:color="auto" w:fill="FFFFFF"/>
          <w:lang w:val="en-US"/>
        </w:rPr>
        <w:t>z</w:t>
      </w:r>
      <w:r w:rsidR="002F0CFD" w:rsidRPr="00BA6F83">
        <w:rPr>
          <w:rFonts w:asciiTheme="minorHAnsi" w:eastAsia="Times New Roman" w:hAnsiTheme="minorHAnsi"/>
          <w:color w:val="000000" w:themeColor="text1"/>
          <w:spacing w:val="3"/>
          <w:shd w:val="clear" w:color="auto" w:fill="FFFFFF"/>
          <w:lang w:val="en-US"/>
        </w:rPr>
        <w:t xml:space="preserve">e </w:t>
      </w:r>
      <w:proofErr w:type="spellStart"/>
      <w:r w:rsidR="002F0CFD" w:rsidRPr="00BA6F83">
        <w:rPr>
          <w:rFonts w:asciiTheme="minorHAnsi" w:eastAsia="Times New Roman" w:hAnsiTheme="minorHAnsi"/>
          <w:color w:val="000000" w:themeColor="text1"/>
          <w:spacing w:val="3"/>
          <w:shd w:val="clear" w:color="auto" w:fill="FFFFFF"/>
          <w:lang w:val="en-US"/>
        </w:rPr>
        <w:t>Arg</w:t>
      </w:r>
      <w:proofErr w:type="spellEnd"/>
      <w:r w:rsidR="00C94582" w:rsidRPr="00BA6F83">
        <w:rPr>
          <w:rFonts w:asciiTheme="minorHAnsi" w:eastAsia="Times New Roman" w:hAnsiTheme="minorHAnsi"/>
          <w:color w:val="000000" w:themeColor="text1"/>
          <w:spacing w:val="3"/>
          <w:shd w:val="clear" w:color="auto" w:fill="FFFFFF"/>
          <w:lang w:val="en-US"/>
        </w:rPr>
        <w:t>-based</w:t>
      </w:r>
      <w:r w:rsidR="002F0CFD" w:rsidRPr="00BA6F83">
        <w:rPr>
          <w:rFonts w:asciiTheme="minorHAnsi" w:eastAsia="Times New Roman" w:hAnsiTheme="minorHAnsi"/>
          <w:color w:val="000000" w:themeColor="text1"/>
          <w:spacing w:val="3"/>
          <w:shd w:val="clear" w:color="auto" w:fill="FFFFFF"/>
          <w:lang w:val="en-US"/>
        </w:rPr>
        <w:t xml:space="preserve"> substrates,</w:t>
      </w:r>
      <w:r w:rsidR="00871496" w:rsidRPr="00BA6F83">
        <w:rPr>
          <w:color w:val="000000" w:themeColor="text1"/>
          <w:lang w:val="en-US"/>
        </w:rPr>
        <w:t xml:space="preserve"> </w:t>
      </w:r>
      <w:r w:rsidR="00871496" w:rsidRPr="00BA6F83">
        <w:rPr>
          <w:rFonts w:asciiTheme="minorHAnsi" w:eastAsia="Times New Roman" w:hAnsiTheme="minorHAnsi"/>
          <w:color w:val="000000" w:themeColor="text1"/>
          <w:spacing w:val="3"/>
          <w:shd w:val="clear" w:color="auto" w:fill="FFFFFF"/>
          <w:lang w:val="en-US"/>
        </w:rPr>
        <w:t>tryptase</w:t>
      </w:r>
      <w:r w:rsidR="002F0CFD" w:rsidRPr="00BA6F83">
        <w:rPr>
          <w:rFonts w:asciiTheme="minorHAnsi" w:eastAsia="Times New Roman" w:hAnsiTheme="minorHAnsi"/>
          <w:color w:val="000000" w:themeColor="text1"/>
          <w:spacing w:val="3"/>
          <w:shd w:val="clear" w:color="auto" w:fill="FFFFFF"/>
          <w:lang w:val="en-US"/>
        </w:rPr>
        <w:t xml:space="preserve"> activity was discriminated </w:t>
      </w:r>
      <w:r w:rsidR="00C94582" w:rsidRPr="00BA6F83">
        <w:rPr>
          <w:rFonts w:asciiTheme="minorHAnsi" w:eastAsia="Times New Roman" w:hAnsiTheme="minorHAnsi"/>
          <w:color w:val="000000" w:themeColor="text1"/>
          <w:spacing w:val="3"/>
          <w:shd w:val="clear" w:color="auto" w:fill="FFFFFF"/>
          <w:lang w:val="en-US"/>
        </w:rPr>
        <w:t xml:space="preserve">from </w:t>
      </w:r>
      <w:r w:rsidR="00871496" w:rsidRPr="00BA6F83">
        <w:rPr>
          <w:rFonts w:asciiTheme="minorHAnsi" w:eastAsia="Times New Roman" w:hAnsiTheme="minorHAnsi"/>
          <w:color w:val="000000" w:themeColor="text1"/>
          <w:spacing w:val="3"/>
          <w:shd w:val="clear" w:color="auto" w:fill="FFFFFF"/>
          <w:lang w:val="en-US"/>
        </w:rPr>
        <w:t xml:space="preserve">the </w:t>
      </w:r>
      <w:r w:rsidR="00C94582" w:rsidRPr="00BA6F83">
        <w:rPr>
          <w:rFonts w:asciiTheme="minorHAnsi" w:eastAsia="Times New Roman" w:hAnsiTheme="minorHAnsi"/>
          <w:color w:val="000000" w:themeColor="text1"/>
          <w:spacing w:val="3"/>
          <w:shd w:val="clear" w:color="auto" w:fill="FFFFFF"/>
          <w:lang w:val="en-US"/>
        </w:rPr>
        <w:t xml:space="preserve">overall activity </w:t>
      </w:r>
      <w:r w:rsidR="002F0CFD" w:rsidRPr="00BA6F83">
        <w:rPr>
          <w:rFonts w:asciiTheme="minorHAnsi" w:eastAsia="Times New Roman" w:hAnsiTheme="minorHAnsi"/>
          <w:color w:val="000000" w:themeColor="text1"/>
          <w:spacing w:val="3"/>
          <w:shd w:val="clear" w:color="auto" w:fill="FFFFFF"/>
          <w:lang w:val="en-US"/>
        </w:rPr>
        <w:t xml:space="preserve">by using the specific inhibitor APC-366. </w:t>
      </w:r>
      <w:r w:rsidR="0088471E" w:rsidRPr="00BA6F83">
        <w:rPr>
          <w:rFonts w:asciiTheme="minorHAnsi" w:eastAsia="Times New Roman" w:hAnsiTheme="minorHAnsi"/>
          <w:color w:val="000000" w:themeColor="text1"/>
          <w:spacing w:val="3"/>
          <w:shd w:val="clear" w:color="auto" w:fill="FFFFFF"/>
          <w:lang w:val="en-US"/>
        </w:rPr>
        <w:t>T</w:t>
      </w:r>
      <w:r w:rsidR="002F0CFD" w:rsidRPr="00BA6F83">
        <w:rPr>
          <w:rFonts w:asciiTheme="minorHAnsi" w:eastAsia="Times New Roman" w:hAnsiTheme="minorHAnsi"/>
          <w:color w:val="000000" w:themeColor="text1"/>
          <w:spacing w:val="3"/>
          <w:shd w:val="clear" w:color="auto" w:fill="FFFFFF"/>
          <w:lang w:val="en-US"/>
        </w:rPr>
        <w:t>ryptase</w:t>
      </w:r>
      <w:r w:rsidR="000F7361" w:rsidRPr="00BA6F83">
        <w:rPr>
          <w:rFonts w:asciiTheme="minorHAnsi" w:eastAsia="Times New Roman" w:hAnsiTheme="minorHAnsi"/>
          <w:color w:val="000000" w:themeColor="text1"/>
          <w:spacing w:val="3"/>
          <w:shd w:val="clear" w:color="auto" w:fill="FFFFFF"/>
          <w:lang w:val="en-US"/>
        </w:rPr>
        <w:t>-like activity</w:t>
      </w:r>
      <w:r w:rsidR="004832F5" w:rsidRPr="00BA6F83">
        <w:rPr>
          <w:rFonts w:asciiTheme="minorHAnsi" w:eastAsia="Times New Roman" w:hAnsiTheme="minorHAnsi"/>
          <w:color w:val="000000" w:themeColor="text1"/>
          <w:spacing w:val="3"/>
          <w:shd w:val="clear" w:color="auto" w:fill="FFFFFF"/>
          <w:lang w:val="en-US"/>
        </w:rPr>
        <w:t xml:space="preserve"> </w:t>
      </w:r>
      <w:r w:rsidR="00C94582" w:rsidRPr="00BA6F83">
        <w:rPr>
          <w:rFonts w:asciiTheme="minorHAnsi" w:eastAsia="Times New Roman" w:hAnsiTheme="minorHAnsi"/>
          <w:color w:val="000000" w:themeColor="text1"/>
          <w:spacing w:val="3"/>
          <w:shd w:val="clear" w:color="auto" w:fill="FFFFFF"/>
          <w:lang w:val="en-US"/>
        </w:rPr>
        <w:t xml:space="preserve">was higher </w:t>
      </w:r>
      <w:r w:rsidR="004832F5" w:rsidRPr="00BA6F83">
        <w:rPr>
          <w:rFonts w:asciiTheme="minorHAnsi" w:eastAsia="Times New Roman" w:hAnsiTheme="minorHAnsi"/>
          <w:color w:val="000000" w:themeColor="text1"/>
          <w:spacing w:val="3"/>
          <w:shd w:val="clear" w:color="auto" w:fill="FFFFFF"/>
          <w:lang w:val="en-US"/>
        </w:rPr>
        <w:t>after</w:t>
      </w:r>
      <w:r w:rsidR="009B5B6B" w:rsidRPr="00BA6F83">
        <w:rPr>
          <w:rFonts w:asciiTheme="minorHAnsi" w:eastAsia="Times New Roman" w:hAnsiTheme="minorHAnsi"/>
          <w:color w:val="000000" w:themeColor="text1"/>
          <w:spacing w:val="3"/>
          <w:shd w:val="clear" w:color="auto" w:fill="FFFFFF"/>
          <w:lang w:val="en-US"/>
        </w:rPr>
        <w:t xml:space="preserve"> injection </w:t>
      </w:r>
      <w:r w:rsidR="00A0729C" w:rsidRPr="00BA6F83">
        <w:rPr>
          <w:rFonts w:asciiTheme="minorHAnsi" w:eastAsia="Times New Roman" w:hAnsiTheme="minorHAnsi"/>
          <w:color w:val="000000" w:themeColor="text1"/>
          <w:spacing w:val="3"/>
          <w:shd w:val="clear" w:color="auto" w:fill="FFFFFF"/>
          <w:lang w:val="en-US"/>
        </w:rPr>
        <w:t xml:space="preserve">of </w:t>
      </w:r>
      <w:r w:rsidR="004832F5" w:rsidRPr="00BA6F83">
        <w:rPr>
          <w:rFonts w:asciiTheme="minorHAnsi" w:eastAsia="Times New Roman" w:hAnsiTheme="minorHAnsi"/>
          <w:color w:val="000000" w:themeColor="text1"/>
          <w:spacing w:val="3"/>
          <w:shd w:val="clear" w:color="auto" w:fill="FFFFFF"/>
          <w:lang w:val="en-US"/>
        </w:rPr>
        <w:t>histamine</w:t>
      </w:r>
      <w:r w:rsidR="002F0CFD" w:rsidRPr="00BA6F83">
        <w:rPr>
          <w:rFonts w:asciiTheme="minorHAnsi" w:eastAsia="Times New Roman" w:hAnsiTheme="minorHAnsi"/>
          <w:color w:val="000000" w:themeColor="text1"/>
          <w:spacing w:val="3"/>
          <w:shd w:val="clear" w:color="auto" w:fill="FFFFFF"/>
          <w:lang w:val="en-US"/>
        </w:rPr>
        <w:t>,</w:t>
      </w:r>
      <w:r w:rsidR="00A0729C" w:rsidRPr="00BA6F83">
        <w:rPr>
          <w:rFonts w:asciiTheme="minorHAnsi" w:eastAsia="Times New Roman" w:hAnsiTheme="minorHAnsi"/>
          <w:color w:val="000000" w:themeColor="text1"/>
          <w:spacing w:val="3"/>
          <w:shd w:val="clear" w:color="auto" w:fill="FFFFFF"/>
          <w:lang w:val="en-US"/>
        </w:rPr>
        <w:t xml:space="preserve"> soy</w:t>
      </w:r>
      <w:r w:rsidR="00FA56F3" w:rsidRPr="00BA6F83">
        <w:rPr>
          <w:rFonts w:asciiTheme="minorHAnsi" w:eastAsia="Times New Roman" w:hAnsiTheme="minorHAnsi"/>
          <w:color w:val="000000" w:themeColor="text1"/>
          <w:spacing w:val="3"/>
          <w:shd w:val="clear" w:color="auto" w:fill="FFFFFF"/>
          <w:lang w:val="en-US"/>
        </w:rPr>
        <w:t>,</w:t>
      </w:r>
      <w:r w:rsidR="002F0CFD" w:rsidRPr="00BA6F83">
        <w:rPr>
          <w:rFonts w:asciiTheme="minorHAnsi" w:eastAsia="Times New Roman" w:hAnsiTheme="minorHAnsi"/>
          <w:color w:val="000000" w:themeColor="text1"/>
          <w:spacing w:val="3"/>
          <w:shd w:val="clear" w:color="auto" w:fill="FFFFFF"/>
          <w:lang w:val="en-US"/>
        </w:rPr>
        <w:t xml:space="preserve"> wheat</w:t>
      </w:r>
      <w:r w:rsidR="00FA56F3" w:rsidRPr="00BA6F83">
        <w:rPr>
          <w:rFonts w:asciiTheme="minorHAnsi" w:eastAsia="Times New Roman" w:hAnsiTheme="minorHAnsi"/>
          <w:color w:val="000000" w:themeColor="text1"/>
          <w:spacing w:val="3"/>
          <w:shd w:val="clear" w:color="auto" w:fill="FFFFFF"/>
          <w:lang w:val="en-US"/>
        </w:rPr>
        <w:t xml:space="preserve"> and gluten</w:t>
      </w:r>
      <w:r w:rsidR="002F0CFD" w:rsidRPr="00BA6F83">
        <w:rPr>
          <w:rFonts w:asciiTheme="minorHAnsi" w:eastAsia="Times New Roman" w:hAnsiTheme="minorHAnsi"/>
          <w:color w:val="000000" w:themeColor="text1"/>
          <w:spacing w:val="3"/>
          <w:shd w:val="clear" w:color="auto" w:fill="FFFFFF"/>
          <w:lang w:val="en-US"/>
        </w:rPr>
        <w:t xml:space="preserve"> </w:t>
      </w:r>
      <w:r w:rsidR="00811798" w:rsidRPr="00BA6F83">
        <w:rPr>
          <w:rFonts w:asciiTheme="minorHAnsi" w:eastAsia="Times New Roman" w:hAnsiTheme="minorHAnsi"/>
          <w:color w:val="000000" w:themeColor="text1"/>
          <w:spacing w:val="3"/>
          <w:lang w:val="en-US"/>
        </w:rPr>
        <w:t>(</w:t>
      </w:r>
      <w:r w:rsidR="00983FF8" w:rsidRPr="00BA6F83">
        <w:rPr>
          <w:rFonts w:asciiTheme="minorHAnsi" w:eastAsia="Times New Roman" w:hAnsiTheme="minorHAnsi"/>
          <w:color w:val="000000" w:themeColor="text1"/>
          <w:spacing w:val="3"/>
          <w:lang w:val="en-US"/>
        </w:rPr>
        <w:t>Fig.</w:t>
      </w:r>
      <w:r w:rsidR="00E03B73" w:rsidRPr="00BA6F83">
        <w:rPr>
          <w:rFonts w:asciiTheme="minorHAnsi" w:eastAsia="Times New Roman" w:hAnsiTheme="minorHAnsi"/>
          <w:color w:val="000000" w:themeColor="text1"/>
          <w:spacing w:val="3"/>
          <w:lang w:val="en-US"/>
        </w:rPr>
        <w:t xml:space="preserve"> </w:t>
      </w:r>
      <w:r w:rsidR="00AA1291" w:rsidRPr="00BA6F83">
        <w:rPr>
          <w:rFonts w:asciiTheme="minorHAnsi" w:eastAsia="Times New Roman" w:hAnsiTheme="minorHAnsi"/>
          <w:color w:val="000000" w:themeColor="text1"/>
          <w:spacing w:val="3"/>
          <w:lang w:val="en-US"/>
        </w:rPr>
        <w:t>4</w:t>
      </w:r>
      <w:r w:rsidR="00013E2E">
        <w:rPr>
          <w:rFonts w:asciiTheme="minorHAnsi" w:eastAsia="Times New Roman" w:hAnsiTheme="minorHAnsi"/>
          <w:color w:val="000000" w:themeColor="text1"/>
          <w:spacing w:val="3"/>
          <w:lang w:val="en-US"/>
        </w:rPr>
        <w:t>D</w:t>
      </w:r>
      <w:r w:rsidR="00E03B73" w:rsidRPr="00BA6F83">
        <w:rPr>
          <w:rFonts w:asciiTheme="minorHAnsi" w:eastAsia="Times New Roman" w:hAnsiTheme="minorHAnsi"/>
          <w:color w:val="000000" w:themeColor="text1"/>
          <w:spacing w:val="3"/>
          <w:lang w:val="en-US"/>
        </w:rPr>
        <w:t>)</w:t>
      </w:r>
      <w:r w:rsidR="00DD1760" w:rsidRPr="00BA6F83">
        <w:rPr>
          <w:rFonts w:asciiTheme="minorHAnsi" w:eastAsia="Times New Roman" w:hAnsiTheme="minorHAnsi"/>
          <w:color w:val="000000" w:themeColor="text1"/>
          <w:spacing w:val="3"/>
          <w:lang w:val="en-US"/>
        </w:rPr>
        <w:t>,</w:t>
      </w:r>
      <w:r w:rsidR="00DD1760" w:rsidRPr="00BA6F83">
        <w:rPr>
          <w:rFonts w:asciiTheme="minorHAnsi" w:eastAsia="Times New Roman" w:hAnsiTheme="minorHAnsi"/>
          <w:color w:val="000000" w:themeColor="text1"/>
          <w:spacing w:val="3"/>
          <w:shd w:val="clear" w:color="auto" w:fill="FFFFFF"/>
          <w:lang w:val="en-US"/>
        </w:rPr>
        <w:t xml:space="preserve"> indicating that </w:t>
      </w:r>
      <w:r w:rsidR="00AD5BCB" w:rsidRPr="00BA6F83">
        <w:rPr>
          <w:rFonts w:asciiTheme="minorHAnsi" w:eastAsia="Times New Roman" w:hAnsiTheme="minorHAnsi"/>
          <w:color w:val="000000" w:themeColor="text1"/>
          <w:spacing w:val="3"/>
          <w:shd w:val="clear" w:color="auto" w:fill="FFFFFF"/>
          <w:lang w:val="en-US"/>
        </w:rPr>
        <w:t>MC</w:t>
      </w:r>
      <w:r w:rsidR="00DD1760" w:rsidRPr="00BA6F83">
        <w:rPr>
          <w:rFonts w:asciiTheme="minorHAnsi" w:eastAsia="Times New Roman" w:hAnsiTheme="minorHAnsi"/>
          <w:color w:val="000000" w:themeColor="text1"/>
          <w:spacing w:val="3"/>
          <w:shd w:val="clear" w:color="auto" w:fill="FFFFFF"/>
          <w:lang w:val="en-US"/>
        </w:rPr>
        <w:t xml:space="preserve"> degranulation occurs in significant levels </w:t>
      </w:r>
      <w:r w:rsidR="00F759C2" w:rsidRPr="00BA6F83">
        <w:rPr>
          <w:rFonts w:asciiTheme="minorHAnsi" w:eastAsia="Times New Roman" w:hAnsiTheme="minorHAnsi"/>
          <w:color w:val="000000" w:themeColor="text1"/>
          <w:spacing w:val="3"/>
          <w:shd w:val="clear" w:color="auto" w:fill="FFFFFF"/>
          <w:lang w:val="en-US"/>
        </w:rPr>
        <w:t>under</w:t>
      </w:r>
      <w:r w:rsidR="00DD1760" w:rsidRPr="00BA6F83">
        <w:rPr>
          <w:rFonts w:asciiTheme="minorHAnsi" w:eastAsia="Times New Roman" w:hAnsiTheme="minorHAnsi"/>
          <w:color w:val="000000" w:themeColor="text1"/>
          <w:spacing w:val="3"/>
          <w:shd w:val="clear" w:color="auto" w:fill="FFFFFF"/>
          <w:lang w:val="en-US"/>
        </w:rPr>
        <w:t xml:space="preserve"> these conditions.</w:t>
      </w:r>
      <w:r w:rsidR="00D364B9" w:rsidRPr="00BA6F83">
        <w:rPr>
          <w:rFonts w:asciiTheme="minorHAnsi" w:eastAsia="Times New Roman" w:hAnsiTheme="minorHAnsi"/>
          <w:color w:val="000000" w:themeColor="text1"/>
          <w:spacing w:val="3"/>
          <w:shd w:val="clear" w:color="auto" w:fill="FFFFFF"/>
          <w:lang w:val="en-US"/>
        </w:rPr>
        <w:t xml:space="preserve"> </w:t>
      </w:r>
      <w:r w:rsidR="004832F5" w:rsidRPr="00BA6F83">
        <w:rPr>
          <w:rFonts w:asciiTheme="minorHAnsi" w:eastAsia="Times New Roman" w:hAnsiTheme="minorHAnsi"/>
          <w:color w:val="000000" w:themeColor="text1"/>
          <w:spacing w:val="3"/>
          <w:shd w:val="clear" w:color="auto" w:fill="FFFFFF"/>
          <w:lang w:val="en-US"/>
        </w:rPr>
        <w:t xml:space="preserve">In </w:t>
      </w:r>
      <w:r w:rsidR="0041689F" w:rsidRPr="00BA6F83">
        <w:rPr>
          <w:rFonts w:asciiTheme="minorHAnsi" w:eastAsia="Times New Roman" w:hAnsiTheme="minorHAnsi"/>
          <w:color w:val="000000" w:themeColor="text1"/>
          <w:spacing w:val="3"/>
          <w:shd w:val="clear" w:color="auto" w:fill="FFFFFF"/>
          <w:lang w:val="en-US"/>
        </w:rPr>
        <w:t>addition,</w:t>
      </w:r>
      <w:r w:rsidR="00C313A3" w:rsidRPr="00BA6F83">
        <w:rPr>
          <w:rFonts w:asciiTheme="minorHAnsi" w:eastAsia="Times New Roman" w:hAnsiTheme="minorHAnsi"/>
          <w:color w:val="000000" w:themeColor="text1"/>
          <w:spacing w:val="3"/>
          <w:shd w:val="clear" w:color="auto" w:fill="FFFFFF"/>
          <w:lang w:val="en-US"/>
        </w:rPr>
        <w:t xml:space="preserve"> AEBSF</w:t>
      </w:r>
      <w:r w:rsidR="00D364B9" w:rsidRPr="00BA6F83">
        <w:rPr>
          <w:rFonts w:asciiTheme="minorHAnsi" w:eastAsia="Times New Roman" w:hAnsiTheme="minorHAnsi"/>
          <w:color w:val="000000" w:themeColor="text1"/>
          <w:spacing w:val="3"/>
          <w:shd w:val="clear" w:color="auto" w:fill="FFFFFF"/>
          <w:lang w:val="en-US"/>
        </w:rPr>
        <w:t xml:space="preserve"> </w:t>
      </w:r>
      <w:r w:rsidR="00C313A3" w:rsidRPr="00BA6F83">
        <w:rPr>
          <w:rFonts w:asciiTheme="minorHAnsi" w:eastAsia="Times New Roman" w:hAnsiTheme="minorHAnsi"/>
          <w:color w:val="000000" w:themeColor="text1"/>
          <w:spacing w:val="3"/>
          <w:shd w:val="clear" w:color="auto" w:fill="FFFFFF"/>
          <w:lang w:val="en-US"/>
        </w:rPr>
        <w:t>(</w:t>
      </w:r>
      <w:r w:rsidR="00D364B9" w:rsidRPr="00BA6F83">
        <w:rPr>
          <w:rFonts w:asciiTheme="minorHAnsi" w:eastAsia="Times New Roman" w:hAnsiTheme="minorHAnsi"/>
          <w:color w:val="000000" w:themeColor="text1"/>
          <w:spacing w:val="3"/>
          <w:shd w:val="clear" w:color="auto" w:fill="FFFFFF"/>
          <w:lang w:val="en-US"/>
        </w:rPr>
        <w:t>a broad-spectrum serine protease inhibitor</w:t>
      </w:r>
      <w:r w:rsidR="00C313A3" w:rsidRPr="00BA6F83">
        <w:rPr>
          <w:rFonts w:asciiTheme="minorHAnsi" w:eastAsia="Times New Roman" w:hAnsiTheme="minorHAnsi"/>
          <w:color w:val="000000" w:themeColor="text1"/>
          <w:spacing w:val="3"/>
          <w:shd w:val="clear" w:color="auto" w:fill="FFFFFF"/>
          <w:lang w:val="en-US"/>
        </w:rPr>
        <w:t xml:space="preserve">) completely inhibited trypsin-like activity, </w:t>
      </w:r>
      <w:r w:rsidR="006A621C" w:rsidRPr="00BA6F83">
        <w:rPr>
          <w:rFonts w:asciiTheme="minorHAnsi" w:eastAsia="Times New Roman" w:hAnsiTheme="minorHAnsi"/>
          <w:color w:val="000000" w:themeColor="text1"/>
          <w:spacing w:val="3"/>
          <w:shd w:val="clear" w:color="auto" w:fill="FFFFFF"/>
          <w:lang w:val="en-US"/>
        </w:rPr>
        <w:t>indica</w:t>
      </w:r>
      <w:r w:rsidR="000A1E3B" w:rsidRPr="00BA6F83">
        <w:rPr>
          <w:rFonts w:asciiTheme="minorHAnsi" w:eastAsia="Times New Roman" w:hAnsiTheme="minorHAnsi"/>
          <w:color w:val="000000" w:themeColor="text1"/>
          <w:spacing w:val="3"/>
          <w:shd w:val="clear" w:color="auto" w:fill="FFFFFF"/>
          <w:lang w:val="en-US"/>
        </w:rPr>
        <w:t>t</w:t>
      </w:r>
      <w:r w:rsidR="00C313A3" w:rsidRPr="00BA6F83">
        <w:rPr>
          <w:rFonts w:asciiTheme="minorHAnsi" w:eastAsia="Times New Roman" w:hAnsiTheme="minorHAnsi"/>
          <w:color w:val="000000" w:themeColor="text1"/>
          <w:spacing w:val="3"/>
          <w:shd w:val="clear" w:color="auto" w:fill="FFFFFF"/>
          <w:lang w:val="en-US"/>
        </w:rPr>
        <w:t xml:space="preserve">ing that other serine </w:t>
      </w:r>
      <w:r w:rsidR="00C94582" w:rsidRPr="00BA6F83">
        <w:rPr>
          <w:rFonts w:asciiTheme="minorHAnsi" w:eastAsia="Times New Roman" w:hAnsiTheme="minorHAnsi"/>
          <w:color w:val="000000" w:themeColor="text1"/>
          <w:spacing w:val="3"/>
          <w:shd w:val="clear" w:color="auto" w:fill="FFFFFF"/>
          <w:lang w:val="en-US"/>
        </w:rPr>
        <w:t xml:space="preserve">peptidases </w:t>
      </w:r>
      <w:r w:rsidR="00C313A3" w:rsidRPr="00BA6F83">
        <w:rPr>
          <w:rFonts w:asciiTheme="minorHAnsi" w:eastAsia="Times New Roman" w:hAnsiTheme="minorHAnsi"/>
          <w:color w:val="000000" w:themeColor="text1"/>
          <w:spacing w:val="3"/>
          <w:shd w:val="clear" w:color="auto" w:fill="FFFFFF"/>
          <w:lang w:val="en-US"/>
        </w:rPr>
        <w:t xml:space="preserve">are constitutively </w:t>
      </w:r>
      <w:r w:rsidR="000A1E3B" w:rsidRPr="00BA6F83">
        <w:rPr>
          <w:rFonts w:asciiTheme="minorHAnsi" w:eastAsia="Times New Roman" w:hAnsiTheme="minorHAnsi"/>
          <w:color w:val="000000" w:themeColor="text1"/>
          <w:spacing w:val="3"/>
          <w:shd w:val="clear" w:color="auto" w:fill="FFFFFF"/>
          <w:lang w:val="en-US"/>
        </w:rPr>
        <w:t xml:space="preserve">secreted </w:t>
      </w:r>
      <w:r w:rsidR="00C313A3" w:rsidRPr="00BA6F83">
        <w:rPr>
          <w:rFonts w:asciiTheme="minorHAnsi" w:eastAsia="Times New Roman" w:hAnsiTheme="minorHAnsi"/>
          <w:color w:val="000000" w:themeColor="text1"/>
          <w:spacing w:val="3"/>
          <w:shd w:val="clear" w:color="auto" w:fill="FFFFFF"/>
          <w:lang w:val="en-US"/>
        </w:rPr>
        <w:t xml:space="preserve">by rectal biopsies </w:t>
      </w:r>
      <w:r w:rsidR="006A621C" w:rsidRPr="00BA6F83">
        <w:rPr>
          <w:rFonts w:asciiTheme="minorHAnsi" w:eastAsia="Times New Roman" w:hAnsiTheme="minorHAnsi"/>
          <w:color w:val="000000" w:themeColor="text1"/>
          <w:spacing w:val="3"/>
          <w:shd w:val="clear" w:color="auto" w:fill="FFFFFF"/>
          <w:lang w:val="en-US"/>
        </w:rPr>
        <w:t>of IBS patients</w:t>
      </w:r>
      <w:r w:rsidR="00D364B9" w:rsidRPr="00BA6F83">
        <w:rPr>
          <w:rFonts w:asciiTheme="minorHAnsi" w:eastAsia="Times New Roman" w:hAnsiTheme="minorHAnsi"/>
          <w:color w:val="000000" w:themeColor="text1"/>
          <w:spacing w:val="3"/>
          <w:shd w:val="clear" w:color="auto" w:fill="FFFFFF"/>
          <w:lang w:val="en-US"/>
        </w:rPr>
        <w:t>.</w:t>
      </w:r>
      <w:r w:rsidR="00A2371F" w:rsidRPr="00BA6F83">
        <w:rPr>
          <w:rFonts w:asciiTheme="minorHAnsi" w:eastAsia="Times New Roman" w:hAnsiTheme="minorHAnsi"/>
          <w:color w:val="000000" w:themeColor="text1"/>
          <w:spacing w:val="3"/>
          <w:shd w:val="clear" w:color="auto" w:fill="FFFFFF"/>
          <w:lang w:val="en-US"/>
        </w:rPr>
        <w:t xml:space="preserve"> </w:t>
      </w:r>
      <w:r w:rsidR="004A1116" w:rsidRPr="00BA6F83">
        <w:rPr>
          <w:rFonts w:asciiTheme="minorHAnsi" w:eastAsia="Times New Roman" w:hAnsiTheme="minorHAnsi"/>
          <w:color w:val="000000" w:themeColor="text1"/>
          <w:spacing w:val="3"/>
          <w:shd w:val="clear" w:color="auto" w:fill="FFFFFF"/>
          <w:lang w:val="en-US"/>
        </w:rPr>
        <w:t>Finally</w:t>
      </w:r>
      <w:r w:rsidR="00E225D1" w:rsidRPr="00BA6F83">
        <w:rPr>
          <w:rFonts w:asciiTheme="minorHAnsi" w:eastAsia="Times New Roman" w:hAnsiTheme="minorHAnsi"/>
          <w:color w:val="000000" w:themeColor="text1"/>
          <w:spacing w:val="3"/>
          <w:shd w:val="clear" w:color="auto" w:fill="FFFFFF"/>
          <w:lang w:val="en-US"/>
        </w:rPr>
        <w:t xml:space="preserve">, </w:t>
      </w:r>
      <w:r w:rsidR="00D36B72" w:rsidRPr="00BA6F83">
        <w:rPr>
          <w:rFonts w:asciiTheme="minorHAnsi" w:eastAsia="Times New Roman" w:hAnsiTheme="minorHAnsi"/>
          <w:color w:val="000000" w:themeColor="text1"/>
          <w:spacing w:val="3"/>
          <w:shd w:val="clear" w:color="auto" w:fill="FFFFFF"/>
          <w:lang w:val="en-US"/>
        </w:rPr>
        <w:t xml:space="preserve">to evaluate </w:t>
      </w:r>
      <w:r w:rsidR="004A1116" w:rsidRPr="00BA6F83">
        <w:rPr>
          <w:rFonts w:asciiTheme="minorHAnsi" w:eastAsia="Times New Roman" w:hAnsiTheme="minorHAnsi"/>
          <w:color w:val="000000" w:themeColor="text1"/>
          <w:spacing w:val="3"/>
          <w:shd w:val="clear" w:color="auto" w:fill="FFFFFF"/>
          <w:lang w:val="en-US"/>
        </w:rPr>
        <w:t xml:space="preserve">the potential role of </w:t>
      </w:r>
      <w:proofErr w:type="spellStart"/>
      <w:r w:rsidR="004A1116" w:rsidRPr="00BA6F83">
        <w:rPr>
          <w:rFonts w:asciiTheme="minorHAnsi" w:eastAsia="Times New Roman" w:hAnsiTheme="minorHAnsi"/>
          <w:color w:val="000000" w:themeColor="text1"/>
          <w:spacing w:val="3"/>
          <w:shd w:val="clear" w:color="auto" w:fill="FFFFFF"/>
          <w:lang w:val="en-US"/>
        </w:rPr>
        <w:t>IgE</w:t>
      </w:r>
      <w:proofErr w:type="spellEnd"/>
      <w:r w:rsidR="004A1116" w:rsidRPr="00BA6F83">
        <w:rPr>
          <w:rFonts w:asciiTheme="minorHAnsi" w:eastAsia="Times New Roman" w:hAnsiTheme="minorHAnsi"/>
          <w:color w:val="000000" w:themeColor="text1"/>
          <w:spacing w:val="3"/>
          <w:shd w:val="clear" w:color="auto" w:fill="FFFFFF"/>
          <w:lang w:val="en-US"/>
        </w:rPr>
        <w:t xml:space="preserve"> in IBS, </w:t>
      </w:r>
      <w:r w:rsidR="00C44513" w:rsidRPr="00BA6F83">
        <w:rPr>
          <w:rFonts w:asciiTheme="minorHAnsi" w:eastAsia="Times New Roman" w:hAnsiTheme="minorHAnsi"/>
          <w:color w:val="000000" w:themeColor="text1"/>
          <w:spacing w:val="3"/>
          <w:shd w:val="clear" w:color="auto" w:fill="FFFFFF"/>
          <w:lang w:val="en-US"/>
        </w:rPr>
        <w:t xml:space="preserve">we performed confocal </w:t>
      </w:r>
      <w:r w:rsidR="00D36B72" w:rsidRPr="00BA6F83">
        <w:rPr>
          <w:rFonts w:asciiTheme="minorHAnsi" w:eastAsia="Times New Roman" w:hAnsiTheme="minorHAnsi"/>
          <w:color w:val="000000" w:themeColor="text1"/>
          <w:spacing w:val="3"/>
          <w:shd w:val="clear" w:color="auto" w:fill="FFFFFF"/>
          <w:lang w:val="en-US"/>
        </w:rPr>
        <w:t xml:space="preserve">immunofluorescence </w:t>
      </w:r>
      <w:r w:rsidR="00C44513" w:rsidRPr="00BA6F83">
        <w:rPr>
          <w:rFonts w:asciiTheme="minorHAnsi" w:eastAsia="Times New Roman" w:hAnsiTheme="minorHAnsi"/>
          <w:color w:val="000000" w:themeColor="text1"/>
          <w:spacing w:val="3"/>
          <w:shd w:val="clear" w:color="auto" w:fill="FFFFFF"/>
          <w:lang w:val="en-US"/>
        </w:rPr>
        <w:t xml:space="preserve">imaging </w:t>
      </w:r>
      <w:r w:rsidR="00AD5BCB" w:rsidRPr="00BA6F83">
        <w:rPr>
          <w:rFonts w:asciiTheme="minorHAnsi" w:eastAsia="Times New Roman" w:hAnsiTheme="minorHAnsi"/>
          <w:color w:val="000000" w:themeColor="text1"/>
          <w:spacing w:val="3"/>
          <w:shd w:val="clear" w:color="auto" w:fill="FFFFFF"/>
          <w:lang w:val="en-US"/>
        </w:rPr>
        <w:t xml:space="preserve">of </w:t>
      </w:r>
      <w:proofErr w:type="spellStart"/>
      <w:r w:rsidR="00AD5BCB" w:rsidRPr="00BA6F83">
        <w:rPr>
          <w:rFonts w:asciiTheme="minorHAnsi" w:eastAsia="Times New Roman" w:hAnsiTheme="minorHAnsi"/>
          <w:color w:val="000000" w:themeColor="text1"/>
          <w:spacing w:val="3"/>
          <w:shd w:val="clear" w:color="auto" w:fill="FFFFFF"/>
          <w:lang w:val="en-US"/>
        </w:rPr>
        <w:t>IgE</w:t>
      </w:r>
      <w:proofErr w:type="spellEnd"/>
      <w:r w:rsidR="00AD5BCB" w:rsidRPr="00BA6F83">
        <w:rPr>
          <w:rFonts w:asciiTheme="minorHAnsi" w:eastAsia="Times New Roman" w:hAnsiTheme="minorHAnsi"/>
          <w:color w:val="000000" w:themeColor="text1"/>
          <w:spacing w:val="3"/>
          <w:shd w:val="clear" w:color="auto" w:fill="FFFFFF"/>
          <w:lang w:val="en-US"/>
        </w:rPr>
        <w:t xml:space="preserve"> </w:t>
      </w:r>
      <w:r w:rsidR="009B5B6B" w:rsidRPr="00BA6F83">
        <w:rPr>
          <w:rFonts w:asciiTheme="minorHAnsi" w:eastAsia="Times New Roman" w:hAnsiTheme="minorHAnsi"/>
          <w:color w:val="000000" w:themeColor="text1"/>
          <w:spacing w:val="3"/>
          <w:shd w:val="clear" w:color="auto" w:fill="FFFFFF"/>
          <w:lang w:val="en-US"/>
        </w:rPr>
        <w:t>in rectal biopsies of HV and IBS patients</w:t>
      </w:r>
      <w:r w:rsidR="00D36B72" w:rsidRPr="00BA6F83">
        <w:rPr>
          <w:rFonts w:asciiTheme="minorHAnsi" w:eastAsia="Times New Roman" w:hAnsiTheme="minorHAnsi"/>
          <w:color w:val="000000" w:themeColor="text1"/>
          <w:spacing w:val="3"/>
          <w:shd w:val="clear" w:color="auto" w:fill="FFFFFF"/>
          <w:lang w:val="en-US"/>
        </w:rPr>
        <w:t xml:space="preserve">. </w:t>
      </w:r>
      <w:r w:rsidR="005638BB" w:rsidRPr="00BA6F83">
        <w:rPr>
          <w:rFonts w:asciiTheme="minorHAnsi" w:eastAsia="Times New Roman" w:hAnsiTheme="minorHAnsi"/>
          <w:color w:val="000000" w:themeColor="text1"/>
          <w:spacing w:val="3"/>
          <w:shd w:val="clear" w:color="auto" w:fill="FFFFFF"/>
          <w:lang w:val="en-US"/>
        </w:rPr>
        <w:t xml:space="preserve">While no differences were found in the </w:t>
      </w:r>
      <w:r w:rsidR="006F5C1B">
        <w:rPr>
          <w:rFonts w:asciiTheme="minorHAnsi" w:eastAsia="Times New Roman" w:hAnsiTheme="minorHAnsi"/>
          <w:color w:val="000000" w:themeColor="text1"/>
          <w:spacing w:val="3"/>
          <w:shd w:val="clear" w:color="auto" w:fill="FFFFFF"/>
          <w:lang w:val="en-US"/>
        </w:rPr>
        <w:t xml:space="preserve">total </w:t>
      </w:r>
      <w:r w:rsidR="005638BB" w:rsidRPr="00BA6F83">
        <w:rPr>
          <w:rFonts w:asciiTheme="minorHAnsi" w:eastAsia="Times New Roman" w:hAnsiTheme="minorHAnsi"/>
          <w:color w:val="000000" w:themeColor="text1"/>
          <w:spacing w:val="3"/>
          <w:shd w:val="clear" w:color="auto" w:fill="FFFFFF"/>
          <w:lang w:val="en-US"/>
        </w:rPr>
        <w:t xml:space="preserve">number of MC or </w:t>
      </w:r>
      <w:proofErr w:type="spellStart"/>
      <w:r w:rsidR="005638BB" w:rsidRPr="00BA6F83">
        <w:rPr>
          <w:rFonts w:asciiTheme="minorHAnsi" w:eastAsia="Times New Roman" w:hAnsiTheme="minorHAnsi"/>
          <w:color w:val="000000" w:themeColor="text1"/>
          <w:spacing w:val="3"/>
          <w:shd w:val="clear" w:color="auto" w:fill="FFFFFF"/>
          <w:lang w:val="en-US"/>
        </w:rPr>
        <w:t>IgE</w:t>
      </w:r>
      <w:proofErr w:type="spellEnd"/>
      <w:r w:rsidR="005638BB" w:rsidRPr="00BA6F83">
        <w:rPr>
          <w:rFonts w:asciiTheme="minorHAnsi" w:eastAsia="Times New Roman" w:hAnsiTheme="minorHAnsi"/>
          <w:color w:val="000000" w:themeColor="text1"/>
          <w:spacing w:val="3"/>
          <w:shd w:val="clear" w:color="auto" w:fill="FFFFFF"/>
          <w:vertAlign w:val="superscript"/>
          <w:lang w:val="en-US"/>
        </w:rPr>
        <w:t>+</w:t>
      </w:r>
      <w:r w:rsidR="005638BB" w:rsidRPr="00BA6F83">
        <w:rPr>
          <w:rFonts w:asciiTheme="minorHAnsi" w:eastAsia="Times New Roman" w:hAnsiTheme="minorHAnsi"/>
          <w:color w:val="000000" w:themeColor="text1"/>
          <w:spacing w:val="3"/>
          <w:shd w:val="clear" w:color="auto" w:fill="FFFFFF"/>
          <w:lang w:val="en-US"/>
        </w:rPr>
        <w:t xml:space="preserve"> MC (</w:t>
      </w:r>
      <w:r w:rsidR="00983FF8" w:rsidRPr="00BA6F83">
        <w:rPr>
          <w:rFonts w:asciiTheme="minorHAnsi" w:hAnsiTheme="minorHAnsi"/>
          <w:color w:val="000000" w:themeColor="text1"/>
          <w:lang w:val="en-US"/>
        </w:rPr>
        <w:t>Extended Data</w:t>
      </w:r>
      <w:r w:rsidR="00A802A8"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A802A8" w:rsidRPr="00BA6F83">
        <w:rPr>
          <w:rFonts w:asciiTheme="minorHAnsi" w:hAnsiTheme="minorHAnsi"/>
          <w:color w:val="000000" w:themeColor="text1"/>
          <w:lang w:val="en-US"/>
        </w:rPr>
        <w:t xml:space="preserve"> </w:t>
      </w:r>
      <w:r w:rsidR="005638BB" w:rsidRPr="00BA6F83">
        <w:rPr>
          <w:rFonts w:asciiTheme="minorHAnsi" w:eastAsia="Times New Roman" w:hAnsiTheme="minorHAnsi"/>
          <w:color w:val="000000" w:themeColor="text1"/>
          <w:spacing w:val="3"/>
          <w:shd w:val="clear" w:color="auto" w:fill="FFFFFF"/>
          <w:lang w:val="en-US"/>
        </w:rPr>
        <w:t>6</w:t>
      </w:r>
      <w:r w:rsidR="00235AC5" w:rsidRPr="00BA6F83">
        <w:rPr>
          <w:rFonts w:asciiTheme="minorHAnsi" w:eastAsia="Times New Roman" w:hAnsiTheme="minorHAnsi"/>
          <w:color w:val="000000" w:themeColor="text1"/>
          <w:spacing w:val="3"/>
          <w:shd w:val="clear" w:color="auto" w:fill="FFFFFF"/>
          <w:lang w:val="en-US"/>
        </w:rPr>
        <w:t>A, B</w:t>
      </w:r>
      <w:r w:rsidR="005638BB" w:rsidRPr="00BA6F83">
        <w:rPr>
          <w:rFonts w:asciiTheme="minorHAnsi" w:eastAsia="Times New Roman" w:hAnsiTheme="minorHAnsi"/>
          <w:color w:val="000000" w:themeColor="text1"/>
          <w:spacing w:val="3"/>
          <w:shd w:val="clear" w:color="auto" w:fill="FFFFFF"/>
          <w:lang w:val="en-US"/>
        </w:rPr>
        <w:t>),</w:t>
      </w:r>
      <w:r w:rsidR="00CA4503">
        <w:rPr>
          <w:rFonts w:asciiTheme="minorHAnsi" w:eastAsia="Times New Roman" w:hAnsiTheme="minorHAnsi"/>
          <w:color w:val="000000" w:themeColor="text1"/>
          <w:spacing w:val="3"/>
          <w:shd w:val="clear" w:color="auto" w:fill="FFFFFF"/>
          <w:lang w:val="en-US"/>
        </w:rPr>
        <w:t xml:space="preserve"> </w:t>
      </w:r>
      <w:r w:rsidR="006E7DFF">
        <w:rPr>
          <w:rFonts w:asciiTheme="minorHAnsi" w:eastAsia="Times New Roman" w:hAnsiTheme="minorHAnsi"/>
          <w:color w:val="000000" w:themeColor="text1"/>
          <w:spacing w:val="3"/>
          <w:shd w:val="clear" w:color="auto" w:fill="FFFFFF"/>
          <w:lang w:val="en-US"/>
        </w:rPr>
        <w:t xml:space="preserve">IBS patients showed </w:t>
      </w:r>
      <w:r w:rsidR="00C13C87">
        <w:rPr>
          <w:rFonts w:asciiTheme="minorHAnsi" w:eastAsia="Times New Roman" w:hAnsiTheme="minorHAnsi"/>
          <w:color w:val="000000" w:themeColor="text1"/>
          <w:spacing w:val="3"/>
          <w:shd w:val="clear" w:color="auto" w:fill="FFFFFF"/>
          <w:lang w:val="en-US"/>
        </w:rPr>
        <w:t xml:space="preserve">an </w:t>
      </w:r>
      <w:r w:rsidR="006E7DFF">
        <w:rPr>
          <w:rFonts w:asciiTheme="minorHAnsi" w:eastAsia="Times New Roman" w:hAnsiTheme="minorHAnsi"/>
          <w:color w:val="000000" w:themeColor="text1"/>
          <w:spacing w:val="3"/>
          <w:shd w:val="clear" w:color="auto" w:fill="FFFFFF"/>
          <w:lang w:val="en-US"/>
        </w:rPr>
        <w:t xml:space="preserve">increased number of </w:t>
      </w:r>
      <w:proofErr w:type="spellStart"/>
      <w:r w:rsidR="00CA4503" w:rsidRPr="00BA6F83">
        <w:rPr>
          <w:rFonts w:asciiTheme="minorHAnsi" w:eastAsia="Times New Roman" w:hAnsiTheme="minorHAnsi"/>
          <w:color w:val="000000" w:themeColor="text1"/>
          <w:spacing w:val="3"/>
          <w:shd w:val="clear" w:color="auto" w:fill="FFFFFF"/>
          <w:lang w:val="en-US"/>
        </w:rPr>
        <w:t>IgE</w:t>
      </w:r>
      <w:proofErr w:type="spellEnd"/>
      <w:r w:rsidR="00CA4503" w:rsidRPr="00BA6F83">
        <w:rPr>
          <w:rFonts w:asciiTheme="minorHAnsi" w:eastAsia="Times New Roman" w:hAnsiTheme="minorHAnsi"/>
          <w:color w:val="000000" w:themeColor="text1"/>
          <w:spacing w:val="3"/>
          <w:shd w:val="clear" w:color="auto" w:fill="FFFFFF"/>
          <w:vertAlign w:val="superscript"/>
          <w:lang w:val="en-US"/>
        </w:rPr>
        <w:t>+</w:t>
      </w:r>
      <w:r w:rsidR="00CA4503" w:rsidRPr="00BA6F83">
        <w:rPr>
          <w:rFonts w:asciiTheme="minorHAnsi" w:eastAsia="Times New Roman" w:hAnsiTheme="minorHAnsi"/>
          <w:color w:val="000000" w:themeColor="text1"/>
          <w:spacing w:val="3"/>
          <w:shd w:val="clear" w:color="auto" w:fill="FFFFFF"/>
          <w:lang w:val="en-US"/>
        </w:rPr>
        <w:t xml:space="preserve"> MC</w:t>
      </w:r>
      <w:r w:rsidR="00CA4503">
        <w:rPr>
          <w:rFonts w:asciiTheme="minorHAnsi" w:eastAsia="Times New Roman" w:hAnsiTheme="minorHAnsi"/>
          <w:color w:val="000000" w:themeColor="text1"/>
          <w:spacing w:val="3"/>
          <w:shd w:val="clear" w:color="auto" w:fill="FFFFFF"/>
          <w:lang w:val="en-US"/>
        </w:rPr>
        <w:t xml:space="preserve"> in close proximity</w:t>
      </w:r>
      <w:r w:rsidR="006E7DFF">
        <w:rPr>
          <w:rFonts w:asciiTheme="minorHAnsi" w:eastAsia="Times New Roman" w:hAnsiTheme="minorHAnsi"/>
          <w:color w:val="000000" w:themeColor="text1"/>
          <w:spacing w:val="3"/>
          <w:shd w:val="clear" w:color="auto" w:fill="FFFFFF"/>
          <w:lang w:val="en-US"/>
        </w:rPr>
        <w:t xml:space="preserve"> </w:t>
      </w:r>
      <w:r w:rsidR="004717F2">
        <w:rPr>
          <w:rFonts w:asciiTheme="minorHAnsi" w:eastAsia="Times New Roman" w:hAnsiTheme="minorHAnsi"/>
          <w:color w:val="000000" w:themeColor="text1"/>
          <w:spacing w:val="3"/>
          <w:shd w:val="clear" w:color="auto" w:fill="FFFFFF"/>
          <w:lang w:val="en-US"/>
        </w:rPr>
        <w:t xml:space="preserve">to nerve fibers </w:t>
      </w:r>
      <w:r w:rsidR="006E7DFF">
        <w:rPr>
          <w:rFonts w:asciiTheme="minorHAnsi" w:eastAsia="Times New Roman" w:hAnsiTheme="minorHAnsi"/>
          <w:color w:val="000000" w:themeColor="text1"/>
          <w:spacing w:val="3"/>
          <w:shd w:val="clear" w:color="auto" w:fill="FFFFFF"/>
          <w:lang w:val="en-US"/>
        </w:rPr>
        <w:t xml:space="preserve">(≤5 </w:t>
      </w:r>
      <w:proofErr w:type="spellStart"/>
      <w:r w:rsidR="006E7DFF">
        <w:rPr>
          <w:rFonts w:asciiTheme="minorHAnsi" w:eastAsia="Times New Roman" w:hAnsiTheme="minorHAnsi"/>
          <w:color w:val="000000" w:themeColor="text1"/>
          <w:spacing w:val="3"/>
          <w:shd w:val="clear" w:color="auto" w:fill="FFFFFF"/>
          <w:lang w:val="en-US"/>
        </w:rPr>
        <w:t>μm</w:t>
      </w:r>
      <w:proofErr w:type="spellEnd"/>
      <w:r w:rsidR="006E7DFF">
        <w:rPr>
          <w:rFonts w:asciiTheme="minorHAnsi" w:eastAsia="Times New Roman" w:hAnsiTheme="minorHAnsi"/>
          <w:color w:val="000000" w:themeColor="text1"/>
          <w:spacing w:val="3"/>
          <w:shd w:val="clear" w:color="auto" w:fill="FFFFFF"/>
          <w:lang w:val="en-US"/>
        </w:rPr>
        <w:t xml:space="preserve">) </w:t>
      </w:r>
      <w:r w:rsidR="00AC34A9">
        <w:rPr>
          <w:rFonts w:asciiTheme="minorHAnsi" w:eastAsia="Times New Roman" w:hAnsiTheme="minorHAnsi"/>
          <w:color w:val="000000" w:themeColor="text1"/>
          <w:spacing w:val="3"/>
          <w:shd w:val="clear" w:color="auto" w:fill="FFFFFF"/>
          <w:lang w:val="en-US"/>
        </w:rPr>
        <w:t>(Fig. 4E, F)</w:t>
      </w:r>
      <w:r w:rsidR="009931B4">
        <w:rPr>
          <w:rFonts w:asciiTheme="minorHAnsi" w:eastAsia="Times New Roman" w:hAnsiTheme="minorHAnsi"/>
          <w:color w:val="000000" w:themeColor="text1"/>
          <w:spacing w:val="3"/>
          <w:shd w:val="clear" w:color="auto" w:fill="FFFFFF"/>
          <w:lang w:val="en-US"/>
        </w:rPr>
        <w:t>,</w:t>
      </w:r>
      <w:r w:rsidR="006E7DFF">
        <w:rPr>
          <w:rFonts w:asciiTheme="minorHAnsi" w:eastAsia="Times New Roman" w:hAnsiTheme="minorHAnsi"/>
          <w:color w:val="000000" w:themeColor="text1"/>
          <w:spacing w:val="3"/>
          <w:shd w:val="clear" w:color="auto" w:fill="FFFFFF"/>
          <w:lang w:val="en-US"/>
        </w:rPr>
        <w:t xml:space="preserve"> </w:t>
      </w:r>
      <w:r w:rsidR="009931B4">
        <w:rPr>
          <w:rFonts w:asciiTheme="minorHAnsi" w:eastAsia="Times New Roman" w:hAnsiTheme="minorHAnsi"/>
          <w:color w:val="000000" w:themeColor="text1"/>
          <w:spacing w:val="3"/>
          <w:shd w:val="clear" w:color="auto" w:fill="FFFFFF"/>
          <w:lang w:val="en-US"/>
        </w:rPr>
        <w:t>i</w:t>
      </w:r>
      <w:r w:rsidR="006E7DFF">
        <w:rPr>
          <w:rFonts w:asciiTheme="minorHAnsi" w:eastAsia="Times New Roman" w:hAnsiTheme="minorHAnsi"/>
          <w:color w:val="000000" w:themeColor="text1"/>
          <w:spacing w:val="3"/>
          <w:shd w:val="clear" w:color="auto" w:fill="FFFFFF"/>
          <w:lang w:val="en-US"/>
        </w:rPr>
        <w:t xml:space="preserve">n keeping with </w:t>
      </w:r>
      <w:r w:rsidR="00DB61D7">
        <w:rPr>
          <w:rFonts w:asciiTheme="minorHAnsi" w:eastAsia="Times New Roman" w:hAnsiTheme="minorHAnsi"/>
          <w:color w:val="000000" w:themeColor="text1"/>
          <w:spacing w:val="3"/>
          <w:shd w:val="clear" w:color="auto" w:fill="FFFFFF"/>
          <w:lang w:val="en-US"/>
        </w:rPr>
        <w:t xml:space="preserve">a </w:t>
      </w:r>
      <w:r w:rsidR="00AC34A9">
        <w:rPr>
          <w:rFonts w:asciiTheme="minorHAnsi" w:eastAsia="Times New Roman" w:hAnsiTheme="minorHAnsi"/>
          <w:color w:val="000000" w:themeColor="text1"/>
          <w:spacing w:val="3"/>
          <w:shd w:val="clear" w:color="auto" w:fill="FFFFFF"/>
          <w:lang w:val="en-US"/>
        </w:rPr>
        <w:t xml:space="preserve">previous </w:t>
      </w:r>
      <w:r w:rsidR="00DB61D7">
        <w:rPr>
          <w:rFonts w:asciiTheme="minorHAnsi" w:eastAsia="Times New Roman" w:hAnsiTheme="minorHAnsi"/>
          <w:color w:val="000000" w:themeColor="text1"/>
          <w:spacing w:val="3"/>
          <w:shd w:val="clear" w:color="auto" w:fill="FFFFFF"/>
          <w:lang w:val="en-US"/>
        </w:rPr>
        <w:t>stud</w:t>
      </w:r>
      <w:r w:rsidR="00C03823">
        <w:rPr>
          <w:rFonts w:asciiTheme="minorHAnsi" w:eastAsia="Times New Roman" w:hAnsiTheme="minorHAnsi"/>
          <w:color w:val="000000" w:themeColor="text1"/>
          <w:spacing w:val="3"/>
          <w:shd w:val="clear" w:color="auto" w:fill="FFFFFF"/>
          <w:lang w:val="en-US"/>
        </w:rPr>
        <w:t xml:space="preserve">ies </w:t>
      </w:r>
      <w:r w:rsidR="00DB61D7">
        <w:rPr>
          <w:rFonts w:asciiTheme="minorHAnsi" w:eastAsia="Times New Roman" w:hAnsiTheme="minorHAnsi"/>
          <w:color w:val="000000" w:themeColor="text1"/>
          <w:spacing w:val="3"/>
          <w:shd w:val="clear" w:color="auto" w:fill="FFFFFF"/>
          <w:lang w:val="en-US"/>
        </w:rPr>
        <w:t>of Barbara et al</w:t>
      </w:r>
      <w:r w:rsidR="00756206">
        <w:rPr>
          <w:rFonts w:asciiTheme="minorHAnsi" w:eastAsia="Times New Roman" w:hAnsiTheme="minorHAnsi"/>
          <w:color w:val="000000" w:themeColor="text1"/>
          <w:spacing w:val="3"/>
          <w:shd w:val="clear" w:color="auto" w:fill="FFFFFF"/>
          <w:lang w:val="en-US"/>
        </w:rPr>
        <w:fldChar w:fldCharType="begin" w:fldLock="1"/>
      </w:r>
      <w:r w:rsidR="00756206">
        <w:rPr>
          <w:rFonts w:asciiTheme="minorHAnsi" w:eastAsia="Times New Roman" w:hAnsiTheme="minorHAnsi"/>
          <w:color w:val="000000" w:themeColor="text1"/>
          <w:spacing w:val="3"/>
          <w:shd w:val="clear" w:color="auto" w:fill="FFFFFF"/>
          <w:lang w:val="en-US"/>
        </w:rPr>
        <w:instrText>ADDIN CSL_CITATION {"citationItems":[{"id":"ITEM-1","itemData":{"DOI":"10.1053/j.gastro.2003.11.055","ISBN":"0016-5085 (Print)\\r0016-5085 (Linking)","ISSN":"00165085","PMID":"14988823","abstract":"Background &amp; Aims: The mechanisms underlying abdominal pain perception in irritable bowel syndrome (IBS) are poorly understood. Intestinal mast cell infiltration may perturb nerve function leading to symptom perception. We assessed colonic mast cell infiltration, mediator release, and spatial interactions with mucosal innervation and their correlation with abdominal pain in IBS patients. Methods: IBS patients were diagnosed according to Rome II criteria and abdominal pain quantified according to a validated questionnaire. Colonic mucosal mast cells were identified immunohistochemically and quantified with a computer-assisted counting method. Mast cell tryptase and histamine release were analyzed immunoenzymatically. Intestinal nerve to mast cell distance was assessed with electron microscopy. Results: Thirty-four out of 44 IBS patients (77%) showed an increased area of mucosa occupied by mast cells as compared with controls (9.2% ± 2.5% vs. 3.3 ± 0.8%, respectively; P &lt; 0.001). There was a 150% increase in the number of degranulating mast cells (4.76 ± 3.18/field vs. 2.42 ± 2.26/field, respectively; P = 0.026). Mucosal content of tryptase was increased in IBS and mast cells spontaneously released more tryptase (3.22 ± 3.48 pmol/min/mg vs. 0.87 ± 0.65 pmol/min/mg, respectively; P = 0.015) and histamine (339.7 ± 59.0 ng/g vs. 169.3 ± 30.6 ng/g, respectively; P = 0.015). Mast cells located within 5 μm of nerve fibers were 7.14 ± 3.87/field vs. 2.27 ± 1.63/field in IBS vs. controls (P &lt; 0.001). Only mast cells in close proximity to nerves were significantly correlated with severity and frequency of abdominal pain/discomfort (P &lt; 0.001 and P = 0.003, respectively). Conclusions: Colonic mast cell infiltration and mediator release in proximity to mucosal innervation may contribute to abdominal pain perception in IBS patients.","author":[{"dropping-particle":"","family":"Barbara","given":"Giovanni","non-dropping-particle":"","parse-names":false,"suffix":""},{"dropping-particle":"","family":"Stanghellini","given":"Vincenzo","non-dropping-particle":"","parse-names":false,"suffix":""},{"dropping-particle":"","family":"Giorgio","given":"Roberto","non-dropping-particle":"De","parse-names":false,"suffix":""},{"dropping-particle":"","family":"Cremon","given":"Cesare","non-dropping-particle":"","parse-names":false,"suffix":""},{"dropping-particle":"","family":"Cottrell","given":"Graeme S.","non-dropping-particle":"","parse-names":false,"suffix":""},{"dropping-particle":"","family":"Santini","given":"Donatella","non-dropping-particle":"","parse-names":false,"suffix":""},{"dropping-particle":"","family":"Pasquinelli","given":"Gianandrea","non-dropping-particle":"","parse-names":false,"suffix":""},{"dropping-particle":"","family":"Morselli-Labate","given":"Antonio M.","non-dropping-particle":"","parse-names":false,"suffix":""},{"dropping-particle":"","family":"Grady","given":"Eileen F.","non-dropping-particle":"","parse-names":false,"suffix":""},{"dropping-particle":"","family":"Bunnett","given":"Nigel W.","non-dropping-particle":"","parse-names":false,"suffix":""},{"dropping-particle":"","family":"Collins","given":"Stephen M.","non-dropping-particle":"","parse-names":false,"suffix":""},{"dropping-particle":"","family":"Corinaldesi","given":"Roberto","non-dropping-particle":"","parse-names":false,"suffix":""}],"container-title":"Gastroenterology","id":"ITEM-1","issue":"3","issued":{"date-parts":[["2004"]]},"page":"693-702","title":"Activated Mast Cells in Proximity to Colonic Nerves Correlate with Abdominal Pain in Irritable Bowel Syndrome","type":"article-journal","volume":"126"},"uris":["http://www.mendeley.com/documents/?uuid=d50746b1-02b1-46a1-a7f8-d0903bbc0569"]}],"mendeley":{"formattedCitation":"&lt;sup&gt;55&lt;/sup&gt;","plainTextFormattedCitation":"55"},"properties":{"noteIndex":0},"schema":"https://github.com/citation-style-language/schema/raw/master/csl-citation.json"}</w:instrText>
      </w:r>
      <w:r w:rsidR="00756206">
        <w:rPr>
          <w:rFonts w:asciiTheme="minorHAnsi" w:eastAsia="Times New Roman" w:hAnsiTheme="minorHAnsi"/>
          <w:color w:val="000000" w:themeColor="text1"/>
          <w:spacing w:val="3"/>
          <w:shd w:val="clear" w:color="auto" w:fill="FFFFFF"/>
          <w:lang w:val="en-US"/>
        </w:rPr>
        <w:fldChar w:fldCharType="separate"/>
      </w:r>
      <w:r w:rsidR="00756206" w:rsidRPr="00756206">
        <w:rPr>
          <w:rFonts w:asciiTheme="minorHAnsi" w:eastAsia="Times New Roman" w:hAnsiTheme="minorHAnsi"/>
          <w:noProof/>
          <w:color w:val="000000" w:themeColor="text1"/>
          <w:spacing w:val="3"/>
          <w:shd w:val="clear" w:color="auto" w:fill="FFFFFF"/>
          <w:vertAlign w:val="superscript"/>
          <w:lang w:val="en-US"/>
        </w:rPr>
        <w:t>55</w:t>
      </w:r>
      <w:r w:rsidR="00756206">
        <w:rPr>
          <w:rFonts w:asciiTheme="minorHAnsi" w:eastAsia="Times New Roman" w:hAnsiTheme="minorHAnsi"/>
          <w:color w:val="000000" w:themeColor="text1"/>
          <w:spacing w:val="3"/>
          <w:shd w:val="clear" w:color="auto" w:fill="FFFFFF"/>
          <w:lang w:val="en-US"/>
        </w:rPr>
        <w:fldChar w:fldCharType="end"/>
      </w:r>
      <w:r w:rsidR="009931B4">
        <w:rPr>
          <w:rFonts w:asciiTheme="minorHAnsi" w:eastAsia="Times New Roman" w:hAnsiTheme="minorHAnsi"/>
          <w:color w:val="000000" w:themeColor="text1"/>
          <w:spacing w:val="3"/>
          <w:shd w:val="clear" w:color="auto" w:fill="FFFFFF"/>
          <w:lang w:val="en-US"/>
        </w:rPr>
        <w:t>. Moreover</w:t>
      </w:r>
      <w:r w:rsidR="00E2676E">
        <w:rPr>
          <w:rFonts w:asciiTheme="minorHAnsi" w:eastAsia="Times New Roman" w:hAnsiTheme="minorHAnsi"/>
          <w:color w:val="000000" w:themeColor="text1"/>
          <w:spacing w:val="3"/>
          <w:shd w:val="clear" w:color="auto" w:fill="FFFFFF"/>
          <w:lang w:val="en-US"/>
        </w:rPr>
        <w:t>,</w:t>
      </w:r>
      <w:r w:rsidR="00E2676E" w:rsidRPr="00E2676E">
        <w:rPr>
          <w:rFonts w:asciiTheme="minorHAnsi" w:eastAsia="Times New Roman" w:hAnsiTheme="minorHAnsi"/>
          <w:color w:val="000000" w:themeColor="text1"/>
          <w:spacing w:val="3"/>
          <w:shd w:val="clear" w:color="auto" w:fill="FFFFFF"/>
          <w:lang w:val="en-US"/>
        </w:rPr>
        <w:t xml:space="preserve"> </w:t>
      </w:r>
      <w:r w:rsidR="00C13C87">
        <w:rPr>
          <w:rFonts w:asciiTheme="minorHAnsi" w:eastAsia="Times New Roman" w:hAnsiTheme="minorHAnsi"/>
          <w:color w:val="000000" w:themeColor="text1"/>
          <w:spacing w:val="3"/>
          <w:shd w:val="clear" w:color="auto" w:fill="FFFFFF"/>
          <w:lang w:val="en-US"/>
        </w:rPr>
        <w:t>the</w:t>
      </w:r>
      <w:r w:rsidR="00AC34A9">
        <w:rPr>
          <w:rFonts w:asciiTheme="minorHAnsi" w:eastAsia="Times New Roman" w:hAnsiTheme="minorHAnsi"/>
          <w:color w:val="000000" w:themeColor="text1"/>
          <w:spacing w:val="3"/>
          <w:shd w:val="clear" w:color="auto" w:fill="FFFFFF"/>
          <w:lang w:val="en-US"/>
        </w:rPr>
        <w:t xml:space="preserve"> distance between </w:t>
      </w:r>
      <w:proofErr w:type="spellStart"/>
      <w:r w:rsidR="00AC34A9" w:rsidRPr="00BA6F83">
        <w:rPr>
          <w:rFonts w:asciiTheme="minorHAnsi" w:eastAsia="Times New Roman" w:hAnsiTheme="minorHAnsi"/>
          <w:color w:val="000000" w:themeColor="text1"/>
          <w:spacing w:val="3"/>
          <w:shd w:val="clear" w:color="auto" w:fill="FFFFFF"/>
          <w:lang w:val="en-US"/>
        </w:rPr>
        <w:t>IgE</w:t>
      </w:r>
      <w:proofErr w:type="spellEnd"/>
      <w:r w:rsidR="00AC34A9" w:rsidRPr="00BA6F83">
        <w:rPr>
          <w:rFonts w:asciiTheme="minorHAnsi" w:eastAsia="Times New Roman" w:hAnsiTheme="minorHAnsi"/>
          <w:color w:val="000000" w:themeColor="text1"/>
          <w:spacing w:val="3"/>
          <w:shd w:val="clear" w:color="auto" w:fill="FFFFFF"/>
          <w:vertAlign w:val="superscript"/>
          <w:lang w:val="en-US"/>
        </w:rPr>
        <w:t>+</w:t>
      </w:r>
      <w:r w:rsidR="00AC34A9" w:rsidRPr="00BA6F83">
        <w:rPr>
          <w:rFonts w:asciiTheme="minorHAnsi" w:eastAsia="Times New Roman" w:hAnsiTheme="minorHAnsi"/>
          <w:color w:val="000000" w:themeColor="text1"/>
          <w:spacing w:val="3"/>
          <w:shd w:val="clear" w:color="auto" w:fill="FFFFFF"/>
          <w:lang w:val="en-US"/>
        </w:rPr>
        <w:t xml:space="preserve"> MC</w:t>
      </w:r>
      <w:r w:rsidR="00AC34A9">
        <w:rPr>
          <w:rFonts w:asciiTheme="minorHAnsi" w:eastAsia="Times New Roman" w:hAnsiTheme="minorHAnsi"/>
          <w:color w:val="000000" w:themeColor="text1"/>
          <w:spacing w:val="3"/>
          <w:shd w:val="clear" w:color="auto" w:fill="FFFFFF"/>
          <w:lang w:val="en-US"/>
        </w:rPr>
        <w:t xml:space="preserve"> and nerve fibers</w:t>
      </w:r>
      <w:r w:rsidR="00C13C87">
        <w:rPr>
          <w:rFonts w:asciiTheme="minorHAnsi" w:eastAsia="Times New Roman" w:hAnsiTheme="minorHAnsi"/>
          <w:color w:val="000000" w:themeColor="text1"/>
          <w:spacing w:val="3"/>
          <w:shd w:val="clear" w:color="auto" w:fill="FFFFFF"/>
          <w:lang w:val="en-US"/>
        </w:rPr>
        <w:t xml:space="preserve"> was smaller in IBS compared to controls</w:t>
      </w:r>
      <w:r w:rsidR="00AC34A9">
        <w:rPr>
          <w:rFonts w:asciiTheme="minorHAnsi" w:eastAsia="Times New Roman" w:hAnsiTheme="minorHAnsi"/>
          <w:color w:val="000000" w:themeColor="text1"/>
          <w:spacing w:val="3"/>
          <w:shd w:val="clear" w:color="auto" w:fill="FFFFFF"/>
          <w:lang w:val="en-US"/>
        </w:rPr>
        <w:t xml:space="preserve"> (Fig. 4G), </w:t>
      </w:r>
      <w:r w:rsidR="00C13C87">
        <w:rPr>
          <w:rFonts w:asciiTheme="minorHAnsi" w:eastAsia="Times New Roman" w:hAnsiTheme="minorHAnsi"/>
          <w:color w:val="000000" w:themeColor="text1"/>
          <w:spacing w:val="3"/>
          <w:shd w:val="clear" w:color="auto" w:fill="FFFFFF"/>
          <w:lang w:val="en-US"/>
        </w:rPr>
        <w:t>and</w:t>
      </w:r>
      <w:r w:rsidR="00AC34A9">
        <w:rPr>
          <w:rFonts w:asciiTheme="minorHAnsi" w:eastAsia="Times New Roman" w:hAnsiTheme="minorHAnsi"/>
          <w:color w:val="000000" w:themeColor="text1"/>
          <w:spacing w:val="3"/>
          <w:shd w:val="clear" w:color="auto" w:fill="FFFFFF"/>
          <w:lang w:val="en-US"/>
        </w:rPr>
        <w:t xml:space="preserve"> was</w:t>
      </w:r>
      <w:r w:rsidR="00E2676E">
        <w:rPr>
          <w:rFonts w:asciiTheme="minorHAnsi" w:eastAsia="Times New Roman" w:hAnsiTheme="minorHAnsi"/>
          <w:color w:val="000000" w:themeColor="text1"/>
          <w:spacing w:val="3"/>
          <w:shd w:val="clear" w:color="auto" w:fill="FFFFFF"/>
          <w:lang w:val="en-US"/>
        </w:rPr>
        <w:t xml:space="preserve"> inversely correlated </w:t>
      </w:r>
      <w:r w:rsidR="00E2676E" w:rsidRPr="00BA6F83">
        <w:rPr>
          <w:rFonts w:asciiTheme="minorHAnsi" w:eastAsia="Times New Roman" w:hAnsiTheme="minorHAnsi"/>
          <w:color w:val="000000" w:themeColor="text1"/>
          <w:spacing w:val="3"/>
          <w:shd w:val="clear" w:color="auto" w:fill="FFFFFF"/>
          <w:lang w:val="en-US"/>
        </w:rPr>
        <w:t>with abdominal pain severity (Fig. 4</w:t>
      </w:r>
      <w:r w:rsidR="00E2676E">
        <w:rPr>
          <w:rFonts w:asciiTheme="minorHAnsi" w:eastAsia="Times New Roman" w:hAnsiTheme="minorHAnsi"/>
          <w:color w:val="000000" w:themeColor="text1"/>
          <w:spacing w:val="3"/>
          <w:shd w:val="clear" w:color="auto" w:fill="FFFFFF"/>
          <w:lang w:val="en-US"/>
        </w:rPr>
        <w:t>H).</w:t>
      </w:r>
      <w:r w:rsidR="00756206">
        <w:rPr>
          <w:rFonts w:asciiTheme="minorHAnsi" w:eastAsia="Times New Roman" w:hAnsiTheme="minorHAnsi"/>
          <w:color w:val="000000" w:themeColor="text1"/>
          <w:spacing w:val="3"/>
          <w:shd w:val="clear" w:color="auto" w:fill="FFFFFF"/>
          <w:lang w:val="en-US"/>
        </w:rPr>
        <w:t xml:space="preserve"> Of interest,</w:t>
      </w:r>
      <w:r w:rsidR="00E2676E" w:rsidRPr="00E2676E">
        <w:rPr>
          <w:rFonts w:asciiTheme="minorHAnsi" w:eastAsia="Times New Roman" w:hAnsiTheme="minorHAnsi"/>
          <w:color w:val="000000" w:themeColor="text1"/>
          <w:spacing w:val="3"/>
          <w:shd w:val="clear" w:color="auto" w:fill="FFFFFF"/>
          <w:lang w:val="en-US"/>
        </w:rPr>
        <w:t xml:space="preserve"> </w:t>
      </w:r>
      <w:proofErr w:type="spellStart"/>
      <w:r w:rsidR="00C13C87">
        <w:rPr>
          <w:rFonts w:asciiTheme="minorHAnsi" w:eastAsia="Times New Roman" w:hAnsiTheme="minorHAnsi"/>
          <w:color w:val="000000" w:themeColor="text1"/>
          <w:spacing w:val="3"/>
          <w:shd w:val="clear" w:color="auto" w:fill="FFFFFF"/>
          <w:lang w:val="en-US"/>
        </w:rPr>
        <w:t>IgE</w:t>
      </w:r>
      <w:proofErr w:type="spellEnd"/>
      <w:r w:rsidR="00C13C87">
        <w:rPr>
          <w:rFonts w:asciiTheme="minorHAnsi" w:eastAsia="Times New Roman" w:hAnsiTheme="minorHAnsi"/>
          <w:color w:val="000000" w:themeColor="text1"/>
          <w:spacing w:val="3"/>
          <w:shd w:val="clear" w:color="auto" w:fill="FFFFFF"/>
          <w:lang w:val="en-US"/>
        </w:rPr>
        <w:t xml:space="preserve"> immunofluorescent</w:t>
      </w:r>
      <w:r w:rsidR="008E5A8D" w:rsidRPr="00BA6F83">
        <w:rPr>
          <w:rFonts w:asciiTheme="minorHAnsi" w:eastAsia="Times New Roman" w:hAnsiTheme="minorHAnsi"/>
          <w:color w:val="000000" w:themeColor="text1"/>
          <w:spacing w:val="3"/>
          <w:shd w:val="clear" w:color="auto" w:fill="FFFFFF"/>
          <w:lang w:val="en-US"/>
        </w:rPr>
        <w:t xml:space="preserve"> intensity </w:t>
      </w:r>
      <w:r w:rsidR="009B5B6B" w:rsidRPr="00BA6F83">
        <w:rPr>
          <w:rFonts w:asciiTheme="minorHAnsi" w:eastAsia="Times New Roman" w:hAnsiTheme="minorHAnsi"/>
          <w:color w:val="000000" w:themeColor="text1"/>
          <w:spacing w:val="3"/>
          <w:shd w:val="clear" w:color="auto" w:fill="FFFFFF"/>
          <w:lang w:val="en-US"/>
        </w:rPr>
        <w:t>o</w:t>
      </w:r>
      <w:r w:rsidR="004A1116" w:rsidRPr="00BA6F83">
        <w:rPr>
          <w:rFonts w:asciiTheme="minorHAnsi" w:eastAsia="Times New Roman" w:hAnsiTheme="minorHAnsi"/>
          <w:color w:val="000000" w:themeColor="text1"/>
          <w:spacing w:val="3"/>
          <w:shd w:val="clear" w:color="auto" w:fill="FFFFFF"/>
          <w:lang w:val="en-US"/>
        </w:rPr>
        <w:t xml:space="preserve">n </w:t>
      </w:r>
      <w:r w:rsidR="00AD5BCB" w:rsidRPr="00BA6F83">
        <w:rPr>
          <w:rFonts w:asciiTheme="minorHAnsi" w:eastAsia="Times New Roman" w:hAnsiTheme="minorHAnsi"/>
          <w:color w:val="000000" w:themeColor="text1"/>
          <w:spacing w:val="3"/>
          <w:shd w:val="clear" w:color="auto" w:fill="FFFFFF"/>
          <w:lang w:val="en-US"/>
        </w:rPr>
        <w:t>MC</w:t>
      </w:r>
      <w:r w:rsidR="009B5B6B" w:rsidRPr="00BA6F83">
        <w:rPr>
          <w:rFonts w:asciiTheme="minorHAnsi" w:eastAsia="Times New Roman" w:hAnsiTheme="minorHAnsi"/>
          <w:color w:val="000000" w:themeColor="text1"/>
          <w:spacing w:val="3"/>
          <w:shd w:val="clear" w:color="auto" w:fill="FFFFFF"/>
          <w:lang w:val="en-US"/>
        </w:rPr>
        <w:t xml:space="preserve"> </w:t>
      </w:r>
      <w:r w:rsidR="00C13C87">
        <w:rPr>
          <w:rFonts w:asciiTheme="minorHAnsi" w:eastAsia="Times New Roman" w:hAnsiTheme="minorHAnsi"/>
          <w:color w:val="000000" w:themeColor="text1"/>
          <w:spacing w:val="3"/>
          <w:shd w:val="clear" w:color="auto" w:fill="FFFFFF"/>
          <w:lang w:val="en-US"/>
        </w:rPr>
        <w:t>in</w:t>
      </w:r>
      <w:r w:rsidR="004717F2">
        <w:rPr>
          <w:rFonts w:asciiTheme="minorHAnsi" w:eastAsia="Times New Roman" w:hAnsiTheme="minorHAnsi"/>
          <w:color w:val="000000" w:themeColor="text1"/>
          <w:spacing w:val="3"/>
          <w:shd w:val="clear" w:color="auto" w:fill="FFFFFF"/>
          <w:lang w:val="en-US"/>
        </w:rPr>
        <w:t xml:space="preserve"> IBS patients </w:t>
      </w:r>
      <w:r w:rsidR="008E5A8D" w:rsidRPr="00BA6F83">
        <w:rPr>
          <w:rFonts w:asciiTheme="minorHAnsi" w:eastAsia="Times New Roman" w:hAnsiTheme="minorHAnsi"/>
          <w:color w:val="000000" w:themeColor="text1"/>
          <w:spacing w:val="3"/>
          <w:shd w:val="clear" w:color="auto" w:fill="FFFFFF"/>
          <w:lang w:val="en-US"/>
        </w:rPr>
        <w:t>was increased</w:t>
      </w:r>
      <w:r w:rsidR="0083607D" w:rsidRPr="00BA6F83">
        <w:rPr>
          <w:rFonts w:asciiTheme="minorHAnsi" w:eastAsia="Times New Roman" w:hAnsiTheme="minorHAnsi"/>
          <w:color w:val="000000" w:themeColor="text1"/>
          <w:spacing w:val="3"/>
          <w:shd w:val="clear" w:color="auto" w:fill="FFFFFF"/>
          <w:lang w:val="en-US"/>
        </w:rPr>
        <w:t xml:space="preserve"> (</w:t>
      </w:r>
      <w:r w:rsidR="00983FF8" w:rsidRPr="00BA6F83">
        <w:rPr>
          <w:rFonts w:asciiTheme="minorHAnsi" w:eastAsia="Times New Roman" w:hAnsiTheme="minorHAnsi"/>
          <w:color w:val="000000" w:themeColor="text1"/>
          <w:spacing w:val="3"/>
          <w:shd w:val="clear" w:color="auto" w:fill="FFFFFF"/>
          <w:lang w:val="en-US"/>
        </w:rPr>
        <w:t>Fig.</w:t>
      </w:r>
      <w:r w:rsidR="0083607D" w:rsidRPr="00BA6F83">
        <w:rPr>
          <w:rFonts w:asciiTheme="minorHAnsi" w:eastAsia="Times New Roman" w:hAnsiTheme="minorHAnsi"/>
          <w:color w:val="000000" w:themeColor="text1"/>
          <w:spacing w:val="3"/>
          <w:shd w:val="clear" w:color="auto" w:fill="FFFFFF"/>
          <w:lang w:val="en-US"/>
        </w:rPr>
        <w:t xml:space="preserve"> </w:t>
      </w:r>
      <w:r w:rsidR="00AA1291" w:rsidRPr="00BA6F83">
        <w:rPr>
          <w:rFonts w:asciiTheme="minorHAnsi" w:eastAsia="Times New Roman" w:hAnsiTheme="minorHAnsi"/>
          <w:color w:val="000000" w:themeColor="text1"/>
          <w:spacing w:val="3"/>
          <w:shd w:val="clear" w:color="auto" w:fill="FFFFFF"/>
          <w:lang w:val="en-US"/>
        </w:rPr>
        <w:t>4</w:t>
      </w:r>
      <w:r w:rsidR="00F36C29">
        <w:rPr>
          <w:rFonts w:asciiTheme="minorHAnsi" w:eastAsia="Times New Roman" w:hAnsiTheme="minorHAnsi"/>
          <w:color w:val="000000" w:themeColor="text1"/>
          <w:spacing w:val="3"/>
          <w:shd w:val="clear" w:color="auto" w:fill="FFFFFF"/>
          <w:lang w:val="en-US"/>
        </w:rPr>
        <w:t>I</w:t>
      </w:r>
      <w:r w:rsidR="00E2676E">
        <w:rPr>
          <w:rFonts w:asciiTheme="minorHAnsi" w:eastAsia="Times New Roman" w:hAnsiTheme="minorHAnsi"/>
          <w:color w:val="000000" w:themeColor="text1"/>
          <w:spacing w:val="3"/>
          <w:shd w:val="clear" w:color="auto" w:fill="FFFFFF"/>
          <w:lang w:val="en-US"/>
        </w:rPr>
        <w:t>, J</w:t>
      </w:r>
      <w:r w:rsidR="0083607D" w:rsidRPr="00BA6F83">
        <w:rPr>
          <w:rFonts w:asciiTheme="minorHAnsi" w:eastAsia="Times New Roman" w:hAnsiTheme="minorHAnsi"/>
          <w:color w:val="000000" w:themeColor="text1"/>
          <w:spacing w:val="3"/>
          <w:shd w:val="clear" w:color="auto" w:fill="FFFFFF"/>
          <w:lang w:val="en-US"/>
        </w:rPr>
        <w:t>)</w:t>
      </w:r>
      <w:r w:rsidR="00E059AF" w:rsidRPr="00BA6F83">
        <w:rPr>
          <w:rFonts w:asciiTheme="minorHAnsi" w:eastAsia="Times New Roman" w:hAnsiTheme="minorHAnsi"/>
          <w:color w:val="000000" w:themeColor="text1"/>
          <w:spacing w:val="3"/>
          <w:shd w:val="clear" w:color="auto" w:fill="FFFFFF"/>
          <w:lang w:val="en-US"/>
        </w:rPr>
        <w:t xml:space="preserve"> </w:t>
      </w:r>
      <w:r w:rsidR="009931B4">
        <w:rPr>
          <w:rFonts w:asciiTheme="minorHAnsi" w:eastAsia="Times New Roman" w:hAnsiTheme="minorHAnsi"/>
          <w:color w:val="000000" w:themeColor="text1"/>
          <w:spacing w:val="3"/>
          <w:shd w:val="clear" w:color="auto" w:fill="FFFFFF"/>
          <w:lang w:val="en-US"/>
        </w:rPr>
        <w:t xml:space="preserve">and </w:t>
      </w:r>
      <w:r w:rsidR="00E059AF" w:rsidRPr="00BA6F83">
        <w:rPr>
          <w:rFonts w:asciiTheme="minorHAnsi" w:eastAsia="Times New Roman" w:hAnsiTheme="minorHAnsi"/>
          <w:color w:val="000000" w:themeColor="text1"/>
          <w:spacing w:val="3"/>
          <w:shd w:val="clear" w:color="auto" w:fill="FFFFFF"/>
          <w:lang w:val="en-US"/>
        </w:rPr>
        <w:t xml:space="preserve">positively correlated with abdominal pain severity </w:t>
      </w:r>
      <w:r w:rsidR="00CA4503" w:rsidRPr="00BA6F83">
        <w:rPr>
          <w:rFonts w:asciiTheme="minorHAnsi" w:eastAsia="Times New Roman" w:hAnsiTheme="minorHAnsi"/>
          <w:color w:val="000000" w:themeColor="text1"/>
          <w:spacing w:val="3"/>
          <w:shd w:val="clear" w:color="auto" w:fill="FFFFFF"/>
          <w:lang w:val="en-US"/>
        </w:rPr>
        <w:t>(Fig. 4</w:t>
      </w:r>
      <w:r w:rsidR="00E21562">
        <w:rPr>
          <w:rFonts w:asciiTheme="minorHAnsi" w:eastAsia="Times New Roman" w:hAnsiTheme="minorHAnsi"/>
          <w:color w:val="000000" w:themeColor="text1"/>
          <w:spacing w:val="3"/>
          <w:shd w:val="clear" w:color="auto" w:fill="FFFFFF"/>
          <w:lang w:val="en-US"/>
        </w:rPr>
        <w:t>K</w:t>
      </w:r>
      <w:r w:rsidR="00CA4503">
        <w:rPr>
          <w:rFonts w:asciiTheme="minorHAnsi" w:eastAsia="Times New Roman" w:hAnsiTheme="minorHAnsi"/>
          <w:color w:val="000000" w:themeColor="text1"/>
          <w:spacing w:val="3"/>
          <w:shd w:val="clear" w:color="auto" w:fill="FFFFFF"/>
          <w:lang w:val="en-US"/>
        </w:rPr>
        <w:t xml:space="preserve">) </w:t>
      </w:r>
      <w:r w:rsidR="005A3319" w:rsidRPr="008151E0">
        <w:rPr>
          <w:rFonts w:asciiTheme="minorHAnsi" w:eastAsia="Times New Roman" w:hAnsiTheme="minorHAnsi"/>
          <w:color w:val="000000" w:themeColor="text1"/>
          <w:spacing w:val="3"/>
          <w:shd w:val="clear" w:color="auto" w:fill="FFFFFF"/>
          <w:lang w:val="en-US"/>
        </w:rPr>
        <w:t xml:space="preserve">and </w:t>
      </w:r>
      <w:r w:rsidR="00C13C87">
        <w:rPr>
          <w:rFonts w:asciiTheme="minorHAnsi" w:eastAsia="Times New Roman" w:hAnsiTheme="minorHAnsi"/>
          <w:color w:val="000000" w:themeColor="text1"/>
          <w:spacing w:val="3"/>
          <w:shd w:val="clear" w:color="auto" w:fill="FFFFFF"/>
          <w:lang w:val="en-US"/>
        </w:rPr>
        <w:t xml:space="preserve">with </w:t>
      </w:r>
      <w:r w:rsidR="005A3319" w:rsidRPr="008151E0">
        <w:rPr>
          <w:rFonts w:asciiTheme="minorHAnsi" w:eastAsia="Times New Roman" w:hAnsiTheme="minorHAnsi"/>
          <w:color w:val="000000" w:themeColor="text1"/>
          <w:spacing w:val="3"/>
          <w:shd w:val="clear" w:color="auto" w:fill="FFFFFF"/>
          <w:lang w:val="en-US"/>
        </w:rPr>
        <w:t xml:space="preserve">the </w:t>
      </w:r>
      <w:r w:rsidR="005A3319" w:rsidRPr="008151E0">
        <w:rPr>
          <w:rFonts w:eastAsia="Times New Roman" w:cstheme="minorHAnsi"/>
          <w:color w:val="000000" w:themeColor="text1"/>
          <w:shd w:val="clear" w:color="auto" w:fill="FFFFFF"/>
          <w:lang w:val="en-US"/>
        </w:rPr>
        <w:t xml:space="preserve">size of the mucosal-edema diameter </w:t>
      </w:r>
      <w:r w:rsidR="00F36C29">
        <w:rPr>
          <w:rFonts w:eastAsia="Times New Roman" w:cstheme="minorHAnsi"/>
          <w:color w:val="000000" w:themeColor="text1"/>
          <w:shd w:val="clear" w:color="auto" w:fill="FFFFFF"/>
          <w:lang w:val="en-US"/>
        </w:rPr>
        <w:t>(</w:t>
      </w:r>
      <w:r w:rsidR="005A3319" w:rsidRPr="008151E0">
        <w:rPr>
          <w:rFonts w:eastAsia="Times New Roman" w:cstheme="minorHAnsi"/>
          <w:color w:val="000000" w:themeColor="text1"/>
          <w:shd w:val="clear" w:color="auto" w:fill="FFFFFF"/>
          <w:lang w:val="en-US"/>
        </w:rPr>
        <w:t>considering the maximum edema response</w:t>
      </w:r>
      <w:r w:rsidR="00F36C29">
        <w:rPr>
          <w:rFonts w:eastAsia="Times New Roman" w:cstheme="minorHAnsi"/>
          <w:color w:val="000000" w:themeColor="text1"/>
          <w:shd w:val="clear" w:color="auto" w:fill="FFFFFF"/>
          <w:lang w:val="en-US"/>
        </w:rPr>
        <w:t>)</w:t>
      </w:r>
      <w:r w:rsidR="00E059AF" w:rsidRPr="008151E0">
        <w:rPr>
          <w:rFonts w:asciiTheme="minorHAnsi" w:eastAsia="Times New Roman" w:hAnsiTheme="minorHAnsi"/>
          <w:color w:val="000000" w:themeColor="text1"/>
          <w:spacing w:val="3"/>
          <w:shd w:val="clear" w:color="auto" w:fill="FFFFFF"/>
          <w:lang w:val="en-US"/>
        </w:rPr>
        <w:t xml:space="preserve"> </w:t>
      </w:r>
      <w:r w:rsidR="00E059AF" w:rsidRPr="00BA6F83">
        <w:rPr>
          <w:rFonts w:asciiTheme="minorHAnsi" w:eastAsia="Times New Roman" w:hAnsiTheme="minorHAnsi"/>
          <w:color w:val="000000" w:themeColor="text1"/>
          <w:spacing w:val="3"/>
          <w:shd w:val="clear" w:color="auto" w:fill="FFFFFF"/>
          <w:lang w:val="en-US"/>
        </w:rPr>
        <w:t>(</w:t>
      </w:r>
      <w:r w:rsidR="00CA4503">
        <w:rPr>
          <w:rFonts w:asciiTheme="minorHAnsi" w:eastAsia="Times New Roman" w:hAnsiTheme="minorHAnsi"/>
          <w:color w:val="000000" w:themeColor="text1"/>
          <w:spacing w:val="3"/>
          <w:shd w:val="clear" w:color="auto" w:fill="FFFFFF"/>
          <w:lang w:val="en-US"/>
        </w:rPr>
        <w:t>Extended Data Fig. 6</w:t>
      </w:r>
      <w:r w:rsidR="006D337D">
        <w:rPr>
          <w:rFonts w:asciiTheme="minorHAnsi" w:eastAsia="Times New Roman" w:hAnsiTheme="minorHAnsi"/>
          <w:color w:val="000000" w:themeColor="text1"/>
          <w:spacing w:val="3"/>
          <w:shd w:val="clear" w:color="auto" w:fill="FFFFFF"/>
          <w:lang w:val="en-US"/>
        </w:rPr>
        <w:t>D</w:t>
      </w:r>
      <w:r w:rsidR="00E059AF" w:rsidRPr="00BA6F83">
        <w:rPr>
          <w:rFonts w:asciiTheme="minorHAnsi" w:eastAsia="Times New Roman" w:hAnsiTheme="minorHAnsi"/>
          <w:color w:val="000000" w:themeColor="text1"/>
          <w:spacing w:val="3"/>
          <w:shd w:val="clear" w:color="auto" w:fill="FFFFFF"/>
          <w:lang w:val="en-US"/>
        </w:rPr>
        <w:t>)</w:t>
      </w:r>
      <w:r w:rsidR="009931B4">
        <w:rPr>
          <w:rFonts w:asciiTheme="minorHAnsi" w:eastAsia="Times New Roman" w:hAnsiTheme="minorHAnsi"/>
          <w:color w:val="000000" w:themeColor="text1"/>
          <w:spacing w:val="3"/>
          <w:shd w:val="clear" w:color="auto" w:fill="FFFFFF"/>
          <w:lang w:val="en-US"/>
        </w:rPr>
        <w:t xml:space="preserve">. These results are </w:t>
      </w:r>
      <w:r w:rsidR="00756206" w:rsidRPr="00BA6F83">
        <w:rPr>
          <w:rFonts w:asciiTheme="minorHAnsi" w:eastAsia="Times New Roman" w:hAnsiTheme="minorHAnsi"/>
          <w:color w:val="000000" w:themeColor="text1"/>
          <w:spacing w:val="3"/>
          <w:shd w:val="clear" w:color="auto" w:fill="FFFFFF"/>
          <w:lang w:val="en-US"/>
        </w:rPr>
        <w:t xml:space="preserve">in line with our hypothesis that </w:t>
      </w:r>
      <w:proofErr w:type="spellStart"/>
      <w:r w:rsidR="00756206" w:rsidRPr="00BA6F83">
        <w:rPr>
          <w:rFonts w:asciiTheme="minorHAnsi" w:eastAsia="Times New Roman" w:hAnsiTheme="minorHAnsi"/>
          <w:color w:val="000000" w:themeColor="text1"/>
          <w:spacing w:val="3"/>
          <w:shd w:val="clear" w:color="auto" w:fill="FFFFFF"/>
          <w:lang w:val="en-US"/>
        </w:rPr>
        <w:t>IgE</w:t>
      </w:r>
      <w:proofErr w:type="spellEnd"/>
      <w:r w:rsidR="00756206" w:rsidRPr="00BA6F83">
        <w:rPr>
          <w:rFonts w:asciiTheme="minorHAnsi" w:eastAsia="Times New Roman" w:hAnsiTheme="minorHAnsi"/>
          <w:color w:val="000000" w:themeColor="text1"/>
          <w:spacing w:val="3"/>
          <w:shd w:val="clear" w:color="auto" w:fill="FFFFFF"/>
          <w:lang w:val="en-US"/>
        </w:rPr>
        <w:t>-mediated MC activation is involved in IBS</w:t>
      </w:r>
      <w:r w:rsidR="00756206">
        <w:rPr>
          <w:rFonts w:asciiTheme="minorHAnsi" w:eastAsia="Times New Roman" w:hAnsiTheme="minorHAnsi"/>
          <w:color w:val="000000" w:themeColor="text1"/>
          <w:spacing w:val="3"/>
          <w:shd w:val="clear" w:color="auto" w:fill="FFFFFF"/>
          <w:lang w:val="en-US"/>
        </w:rPr>
        <w:t xml:space="preserve"> and VHS</w:t>
      </w:r>
      <w:r w:rsidR="00E059AF" w:rsidRPr="00BA6F83">
        <w:rPr>
          <w:rFonts w:asciiTheme="minorHAnsi" w:eastAsia="Times New Roman" w:hAnsiTheme="minorHAnsi"/>
          <w:color w:val="000000" w:themeColor="text1"/>
          <w:spacing w:val="3"/>
          <w:shd w:val="clear" w:color="auto" w:fill="FFFFFF"/>
          <w:lang w:val="en-US"/>
        </w:rPr>
        <w:t>.</w:t>
      </w:r>
      <w:r w:rsidR="000A5B52" w:rsidRPr="00BA6F83">
        <w:rPr>
          <w:rFonts w:asciiTheme="minorHAnsi" w:eastAsia="Times New Roman" w:hAnsiTheme="minorHAnsi"/>
          <w:color w:val="000000" w:themeColor="text1"/>
          <w:spacing w:val="3"/>
          <w:shd w:val="clear" w:color="auto" w:fill="FFFFFF"/>
          <w:lang w:val="en-US"/>
        </w:rPr>
        <w:t xml:space="preserve"> </w:t>
      </w:r>
      <w:r w:rsidR="00632964" w:rsidRPr="00BA6F83">
        <w:rPr>
          <w:rFonts w:asciiTheme="minorHAnsi" w:eastAsia="Times New Roman" w:hAnsiTheme="minorHAnsi"/>
          <w:color w:val="000000" w:themeColor="text1"/>
          <w:spacing w:val="3"/>
          <w:shd w:val="clear" w:color="auto" w:fill="FFFFFF"/>
          <w:lang w:val="en-US"/>
        </w:rPr>
        <w:t xml:space="preserve">We further tested whether the number of </w:t>
      </w:r>
      <w:proofErr w:type="spellStart"/>
      <w:r w:rsidR="00632964" w:rsidRPr="00BA6F83">
        <w:rPr>
          <w:rFonts w:asciiTheme="minorHAnsi" w:eastAsia="Times New Roman" w:hAnsiTheme="minorHAnsi"/>
          <w:color w:val="000000" w:themeColor="text1"/>
          <w:spacing w:val="3"/>
          <w:shd w:val="clear" w:color="auto" w:fill="FFFFFF"/>
          <w:lang w:val="en-US"/>
        </w:rPr>
        <w:t>IgE</w:t>
      </w:r>
      <w:proofErr w:type="spellEnd"/>
      <w:r w:rsidR="00632964" w:rsidRPr="00BA6F83">
        <w:rPr>
          <w:rFonts w:asciiTheme="minorHAnsi" w:eastAsia="Times New Roman" w:hAnsiTheme="minorHAnsi"/>
          <w:color w:val="000000" w:themeColor="text1"/>
          <w:spacing w:val="3"/>
          <w:shd w:val="clear" w:color="auto" w:fill="FFFFFF"/>
          <w:lang w:val="en-US"/>
        </w:rPr>
        <w:t xml:space="preserve">-expressing B cells or plasma cells in rectal biopsies differed between IBS patients and healthy volunteers using deep sequencing of immunoglobulin genes from tissue cDNA, </w:t>
      </w:r>
      <w:r w:rsidR="005946A8" w:rsidRPr="00BA6F83">
        <w:rPr>
          <w:rFonts w:asciiTheme="minorHAnsi" w:eastAsia="Times New Roman" w:hAnsiTheme="minorHAnsi"/>
          <w:color w:val="000000" w:themeColor="text1"/>
          <w:spacing w:val="3"/>
          <w:shd w:val="clear" w:color="auto" w:fill="FFFFFF"/>
          <w:lang w:val="en-US"/>
        </w:rPr>
        <w:t>and</w:t>
      </w:r>
      <w:r w:rsidR="00632964" w:rsidRPr="00BA6F83">
        <w:rPr>
          <w:rFonts w:asciiTheme="minorHAnsi" w:eastAsia="Times New Roman" w:hAnsiTheme="minorHAnsi"/>
          <w:color w:val="000000" w:themeColor="text1"/>
          <w:spacing w:val="3"/>
          <w:shd w:val="clear" w:color="auto" w:fill="FFFFFF"/>
          <w:lang w:val="en-US"/>
        </w:rPr>
        <w:t xml:space="preserve"> found comparable numbers of </w:t>
      </w:r>
      <w:proofErr w:type="spellStart"/>
      <w:r w:rsidR="00632964" w:rsidRPr="00BA6F83">
        <w:rPr>
          <w:rFonts w:asciiTheme="minorHAnsi" w:eastAsia="Times New Roman" w:hAnsiTheme="minorHAnsi"/>
          <w:color w:val="000000" w:themeColor="text1"/>
          <w:spacing w:val="3"/>
          <w:shd w:val="clear" w:color="auto" w:fill="FFFFFF"/>
          <w:lang w:val="en-US"/>
        </w:rPr>
        <w:t>IgE</w:t>
      </w:r>
      <w:proofErr w:type="spellEnd"/>
      <w:r w:rsidR="00632964" w:rsidRPr="00BA6F83">
        <w:rPr>
          <w:rFonts w:asciiTheme="minorHAnsi" w:eastAsia="Times New Roman" w:hAnsiTheme="minorHAnsi"/>
          <w:color w:val="000000" w:themeColor="text1"/>
          <w:spacing w:val="3"/>
          <w:shd w:val="clear" w:color="auto" w:fill="FFFFFF"/>
          <w:vertAlign w:val="superscript"/>
          <w:lang w:val="en-US"/>
        </w:rPr>
        <w:t>+</w:t>
      </w:r>
      <w:r w:rsidR="00632964" w:rsidRPr="00BA6F83">
        <w:rPr>
          <w:rFonts w:asciiTheme="minorHAnsi" w:eastAsia="Times New Roman" w:hAnsiTheme="minorHAnsi"/>
          <w:color w:val="000000" w:themeColor="text1"/>
          <w:spacing w:val="3"/>
          <w:shd w:val="clear" w:color="auto" w:fill="FFFFFF"/>
          <w:lang w:val="en-US"/>
        </w:rPr>
        <w:t xml:space="preserve"> clones in the biopsies from each group (</w:t>
      </w:r>
      <w:r w:rsidR="00983FF8" w:rsidRPr="00BA6F83">
        <w:rPr>
          <w:rFonts w:asciiTheme="minorHAnsi" w:hAnsiTheme="minorHAnsi"/>
          <w:color w:val="000000" w:themeColor="text1"/>
          <w:lang w:val="en-US"/>
        </w:rPr>
        <w:t>Extended Data</w:t>
      </w:r>
      <w:r w:rsidR="00A802A8" w:rsidRPr="00BA6F83">
        <w:rPr>
          <w:rFonts w:asciiTheme="minorHAnsi" w:hAnsiTheme="minorHAnsi"/>
          <w:color w:val="000000" w:themeColor="text1"/>
          <w:lang w:val="en-US"/>
        </w:rPr>
        <w:t xml:space="preserve"> </w:t>
      </w:r>
      <w:r w:rsidR="00983FF8" w:rsidRPr="00BA6F83">
        <w:rPr>
          <w:rFonts w:asciiTheme="minorHAnsi" w:hAnsiTheme="minorHAnsi"/>
          <w:color w:val="000000" w:themeColor="text1"/>
          <w:lang w:val="en-US"/>
        </w:rPr>
        <w:t>Fig.</w:t>
      </w:r>
      <w:r w:rsidR="00A802A8" w:rsidRPr="00BA6F83">
        <w:rPr>
          <w:rFonts w:asciiTheme="minorHAnsi" w:hAnsiTheme="minorHAnsi"/>
          <w:color w:val="000000" w:themeColor="text1"/>
          <w:lang w:val="en-US"/>
        </w:rPr>
        <w:t xml:space="preserve"> </w:t>
      </w:r>
      <w:r w:rsidR="00F2731F" w:rsidRPr="00BA6F83">
        <w:rPr>
          <w:rFonts w:asciiTheme="minorHAnsi" w:eastAsia="Times New Roman" w:hAnsiTheme="minorHAnsi"/>
          <w:color w:val="000000" w:themeColor="text1"/>
          <w:spacing w:val="3"/>
          <w:shd w:val="clear" w:color="auto" w:fill="FFFFFF"/>
          <w:lang w:val="en-US"/>
        </w:rPr>
        <w:t>6</w:t>
      </w:r>
      <w:r w:rsidR="00235AC5" w:rsidRPr="00BA6F83">
        <w:rPr>
          <w:rFonts w:asciiTheme="minorHAnsi" w:eastAsia="Times New Roman" w:hAnsiTheme="minorHAnsi"/>
          <w:color w:val="000000" w:themeColor="text1"/>
          <w:spacing w:val="3"/>
          <w:shd w:val="clear" w:color="auto" w:fill="FFFFFF"/>
          <w:lang w:val="en-US"/>
        </w:rPr>
        <w:t>C</w:t>
      </w:r>
      <w:r w:rsidR="00632964" w:rsidRPr="00BA6F83">
        <w:rPr>
          <w:rFonts w:asciiTheme="minorHAnsi" w:eastAsia="Times New Roman" w:hAnsiTheme="minorHAnsi"/>
          <w:color w:val="000000" w:themeColor="text1"/>
          <w:spacing w:val="3"/>
          <w:shd w:val="clear" w:color="auto" w:fill="FFFFFF"/>
          <w:lang w:val="en-US"/>
        </w:rPr>
        <w:t>).</w:t>
      </w:r>
      <w:r w:rsidR="000D73DA" w:rsidRPr="00BA6F83">
        <w:rPr>
          <w:color w:val="000000" w:themeColor="text1"/>
          <w:lang w:val="en-US"/>
        </w:rPr>
        <w:t xml:space="preserve"> Evaluation of allergen-specific clonal populations will be needed to further explore potential local sources of pathogenic </w:t>
      </w:r>
      <w:proofErr w:type="spellStart"/>
      <w:r w:rsidR="000D73DA" w:rsidRPr="00BA6F83">
        <w:rPr>
          <w:color w:val="000000" w:themeColor="text1"/>
          <w:lang w:val="en-US"/>
        </w:rPr>
        <w:t>IgE</w:t>
      </w:r>
      <w:proofErr w:type="spellEnd"/>
      <w:r w:rsidR="000D73DA" w:rsidRPr="00BA6F83">
        <w:rPr>
          <w:color w:val="000000" w:themeColor="text1"/>
          <w:lang w:val="en-US"/>
        </w:rPr>
        <w:t>.</w:t>
      </w:r>
      <w:r w:rsidR="0019224D" w:rsidRPr="00BA6F83">
        <w:rPr>
          <w:rFonts w:asciiTheme="minorHAnsi" w:eastAsia="Times New Roman" w:hAnsiTheme="minorHAnsi"/>
          <w:color w:val="000000" w:themeColor="text1"/>
          <w:spacing w:val="3"/>
          <w:shd w:val="clear" w:color="auto" w:fill="FFFFFF"/>
          <w:lang w:val="en-US"/>
        </w:rPr>
        <w:t xml:space="preserve"> </w:t>
      </w:r>
      <w:r w:rsidR="00D36B72" w:rsidRPr="00BA6F83">
        <w:rPr>
          <w:rFonts w:asciiTheme="minorHAnsi" w:eastAsia="Times New Roman" w:hAnsiTheme="minorHAnsi"/>
          <w:color w:val="000000" w:themeColor="text1"/>
          <w:spacing w:val="3"/>
          <w:shd w:val="clear" w:color="auto" w:fill="FFFFFF"/>
          <w:lang w:val="en-US"/>
        </w:rPr>
        <w:t xml:space="preserve">Taken together, these results suggest </w:t>
      </w:r>
      <w:r w:rsidR="00D05FD7" w:rsidRPr="00BA6F83">
        <w:rPr>
          <w:rFonts w:asciiTheme="minorHAnsi" w:eastAsia="Times New Roman" w:hAnsiTheme="minorHAnsi"/>
          <w:color w:val="000000" w:themeColor="text1"/>
          <w:spacing w:val="3"/>
          <w:shd w:val="clear" w:color="auto" w:fill="FFFFFF"/>
          <w:lang w:val="en-US"/>
        </w:rPr>
        <w:t>that</w:t>
      </w:r>
      <w:r w:rsidR="00CA59B2" w:rsidRPr="00BA6F83">
        <w:rPr>
          <w:rFonts w:asciiTheme="minorHAnsi" w:eastAsia="Times New Roman" w:hAnsiTheme="minorHAnsi"/>
          <w:color w:val="000000" w:themeColor="text1"/>
          <w:spacing w:val="3"/>
          <w:shd w:val="clear" w:color="auto" w:fill="FFFFFF"/>
          <w:lang w:val="en-US"/>
        </w:rPr>
        <w:t xml:space="preserve"> similar to our pre-clinical models,</w:t>
      </w:r>
      <w:r w:rsidR="009B5B6B" w:rsidRPr="00BA6F83">
        <w:rPr>
          <w:rFonts w:asciiTheme="minorHAnsi" w:eastAsia="Times New Roman" w:hAnsiTheme="minorHAnsi"/>
          <w:color w:val="000000" w:themeColor="text1"/>
          <w:spacing w:val="3"/>
          <w:shd w:val="clear" w:color="auto" w:fill="FFFFFF"/>
          <w:lang w:val="en-US"/>
        </w:rPr>
        <w:t xml:space="preserve"> food antigens</w:t>
      </w:r>
      <w:r w:rsidR="00CA59B2" w:rsidRPr="00BA6F83">
        <w:rPr>
          <w:rFonts w:asciiTheme="minorHAnsi" w:eastAsia="Times New Roman" w:hAnsiTheme="minorHAnsi"/>
          <w:color w:val="000000" w:themeColor="text1"/>
          <w:spacing w:val="3"/>
          <w:shd w:val="clear" w:color="auto" w:fill="FFFFFF"/>
          <w:lang w:val="en-US"/>
        </w:rPr>
        <w:t xml:space="preserve"> also</w:t>
      </w:r>
      <w:r w:rsidR="009B5B6B" w:rsidRPr="00BA6F83">
        <w:rPr>
          <w:rFonts w:asciiTheme="minorHAnsi" w:eastAsia="Times New Roman" w:hAnsiTheme="minorHAnsi"/>
          <w:color w:val="000000" w:themeColor="text1"/>
          <w:spacing w:val="3"/>
          <w:shd w:val="clear" w:color="auto" w:fill="FFFFFF"/>
          <w:lang w:val="en-US"/>
        </w:rPr>
        <w:t xml:space="preserve"> trigger MC activation</w:t>
      </w:r>
      <w:r w:rsidR="00CA59B2" w:rsidRPr="00BA6F83">
        <w:rPr>
          <w:rFonts w:asciiTheme="minorHAnsi" w:eastAsia="Times New Roman" w:hAnsiTheme="minorHAnsi"/>
          <w:color w:val="000000" w:themeColor="text1"/>
          <w:spacing w:val="3"/>
          <w:shd w:val="clear" w:color="auto" w:fill="FFFFFF"/>
          <w:lang w:val="en-US"/>
        </w:rPr>
        <w:t xml:space="preserve"> in IBS patients</w:t>
      </w:r>
      <w:r w:rsidR="009B5B6B" w:rsidRPr="00BA6F83">
        <w:rPr>
          <w:rFonts w:asciiTheme="minorHAnsi" w:eastAsia="Times New Roman" w:hAnsiTheme="minorHAnsi"/>
          <w:color w:val="000000" w:themeColor="text1"/>
          <w:spacing w:val="3"/>
          <w:shd w:val="clear" w:color="auto" w:fill="FFFFFF"/>
          <w:lang w:val="en-US"/>
        </w:rPr>
        <w:t xml:space="preserve">, most likely </w:t>
      </w:r>
      <w:r w:rsidR="00D05FD7" w:rsidRPr="00BA6F83">
        <w:rPr>
          <w:rFonts w:asciiTheme="minorHAnsi" w:eastAsia="Times New Roman" w:hAnsiTheme="minorHAnsi"/>
          <w:color w:val="000000" w:themeColor="text1"/>
          <w:spacing w:val="3"/>
          <w:shd w:val="clear" w:color="auto" w:fill="FFFFFF"/>
          <w:lang w:val="en-US"/>
        </w:rPr>
        <w:t>via a local</w:t>
      </w:r>
      <w:r w:rsidR="009B5B6B" w:rsidRPr="00BA6F83">
        <w:rPr>
          <w:rFonts w:asciiTheme="minorHAnsi" w:eastAsia="Times New Roman" w:hAnsiTheme="minorHAnsi"/>
          <w:color w:val="000000" w:themeColor="text1"/>
          <w:spacing w:val="3"/>
          <w:shd w:val="clear" w:color="auto" w:fill="FFFFFF"/>
          <w:lang w:val="en-US"/>
        </w:rPr>
        <w:t xml:space="preserve"> </w:t>
      </w:r>
      <w:proofErr w:type="spellStart"/>
      <w:r w:rsidR="009B5B6B" w:rsidRPr="00BA6F83">
        <w:rPr>
          <w:rFonts w:asciiTheme="minorHAnsi" w:eastAsia="Times New Roman" w:hAnsiTheme="minorHAnsi"/>
          <w:color w:val="000000" w:themeColor="text1"/>
          <w:spacing w:val="3"/>
          <w:shd w:val="clear" w:color="auto" w:fill="FFFFFF"/>
          <w:lang w:val="en-US"/>
        </w:rPr>
        <w:t>IgE</w:t>
      </w:r>
      <w:proofErr w:type="spellEnd"/>
      <w:r w:rsidR="009B5B6B" w:rsidRPr="00BA6F83">
        <w:rPr>
          <w:rFonts w:asciiTheme="minorHAnsi" w:eastAsia="Times New Roman" w:hAnsiTheme="minorHAnsi"/>
          <w:color w:val="000000" w:themeColor="text1"/>
          <w:spacing w:val="3"/>
          <w:shd w:val="clear" w:color="auto" w:fill="FFFFFF"/>
          <w:lang w:val="en-US"/>
        </w:rPr>
        <w:t>-mediated mechanism</w:t>
      </w:r>
      <w:r w:rsidR="00D36B72" w:rsidRPr="00BA6F83">
        <w:rPr>
          <w:rFonts w:asciiTheme="minorHAnsi" w:eastAsia="Times New Roman" w:hAnsiTheme="minorHAnsi"/>
          <w:color w:val="000000" w:themeColor="text1"/>
          <w:spacing w:val="3"/>
          <w:shd w:val="clear" w:color="auto" w:fill="FFFFFF"/>
          <w:lang w:val="en-US"/>
        </w:rPr>
        <w:t>.</w:t>
      </w:r>
    </w:p>
    <w:p w14:paraId="54AA2CE5" w14:textId="1CE8091C" w:rsidR="00166E4E" w:rsidRPr="00BA6F83" w:rsidRDefault="00371A06" w:rsidP="00AA5458">
      <w:pPr>
        <w:spacing w:after="120" w:line="480" w:lineRule="auto"/>
        <w:ind w:firstLine="720"/>
        <w:jc w:val="both"/>
        <w:rPr>
          <w:color w:val="000000" w:themeColor="text1"/>
          <w:lang w:val="en-US"/>
        </w:rPr>
      </w:pPr>
      <w:r w:rsidRPr="00BA6F83">
        <w:rPr>
          <w:color w:val="000000" w:themeColor="text1"/>
          <w:lang w:val="en-US"/>
        </w:rPr>
        <w:lastRenderedPageBreak/>
        <w:t>F</w:t>
      </w:r>
      <w:r w:rsidR="00453B1A" w:rsidRPr="00BA6F83">
        <w:rPr>
          <w:color w:val="000000" w:themeColor="text1"/>
          <w:lang w:val="en-US"/>
        </w:rPr>
        <w:t>ood ingestion is a major</w:t>
      </w:r>
      <w:r w:rsidRPr="00BA6F83">
        <w:rPr>
          <w:color w:val="000000" w:themeColor="text1"/>
          <w:lang w:val="en-US"/>
        </w:rPr>
        <w:t xml:space="preserve"> trigger of abdominal pain and </w:t>
      </w:r>
      <w:r w:rsidR="00B44CE5" w:rsidRPr="00BA6F83">
        <w:rPr>
          <w:color w:val="000000" w:themeColor="text1"/>
          <w:lang w:val="en-US"/>
        </w:rPr>
        <w:t xml:space="preserve">other </w:t>
      </w:r>
      <w:r w:rsidRPr="00BA6F83">
        <w:rPr>
          <w:color w:val="000000" w:themeColor="text1"/>
          <w:lang w:val="en-US"/>
        </w:rPr>
        <w:t xml:space="preserve">symptoms </w:t>
      </w:r>
      <w:r w:rsidR="00453B1A" w:rsidRPr="00BA6F83">
        <w:rPr>
          <w:color w:val="000000" w:themeColor="text1"/>
          <w:lang w:val="en-US"/>
        </w:rPr>
        <w:t>i</w:t>
      </w:r>
      <w:r w:rsidR="00166E4E" w:rsidRPr="00BA6F83">
        <w:rPr>
          <w:color w:val="000000" w:themeColor="text1"/>
          <w:lang w:val="en-US"/>
        </w:rPr>
        <w:t>n the majority of IBS patients</w:t>
      </w:r>
      <w:r w:rsidR="006D69BD" w:rsidRPr="00BA6F83">
        <w:rPr>
          <w:color w:val="000000" w:themeColor="text1"/>
          <w:lang w:val="en-US"/>
        </w:rPr>
        <w:fldChar w:fldCharType="begin" w:fldLock="1"/>
      </w:r>
      <w:r w:rsidR="00CE07BA">
        <w:rPr>
          <w:color w:val="000000" w:themeColor="text1"/>
          <w:lang w:val="en-US"/>
        </w:rPr>
        <w:instrText>ADDIN CSL_CITATION {"citationItems":[{"id":"ITEM-1","itemData":{"DOI":"10.1038/ajg.2013.105","ISBN":"1572-0241 (Electronic)\\n0002-9270 (Linking)","ISSN":"00029270","PMID":"23644955","abstract":"OBJECTIVES: Despite the fact that food and diet are central issues, that concern patients with irritable bowel syndrome (IBS), the current understanding about the association between the intake of certain foods/food groups and the gastrointestinal (GI) symptom pattern, psychological symptoms, and quality of life is poor. The aim of this study was to determine which food groups and specific food items IBS patients report causing GI symptoms, and to investigate the association with GI and psychological symptoms and quality of life. METHODS: We included 197 IBS patients (mean age 35 (18-72) years; 142 female subjects) who completed a food questionnaire in which they specified symptoms from 56 different food items or food groups relevant to food intolerance/allergy. The patients also completed questionnaires to assess depression and general anxiety (Hospital Anxiety and Depression), GI-specific anxiety (Visceral Sensitivity Index), IBS symptoms (IBS-Severity Scoring System), somatic symptoms (Patient Health Questionnaire-15), and quality of life (Irritable Bowel Syndrome Quality of Life Questionnaire). RESULTS: In all, 84% of the studied population reported symptoms related to at least one of the food items surveyed. Symptoms related to intake of food items with incompletely absorbed carbohydrates were noted in 138 (70%) patients; the most common were dairy products (49%), beans/lentils (36%), apple (28%), flour (24%), and plum (23%). Of these, 58% experienced GI symptoms from foods rich in biogenic amines, such as wine/beer (31%), salami (22%), and cheese (20%). Histamine-releasing foods, such as milk (43%), wine/beer (31%), and pork (21%), were also considered causes of symptoms in IBS patients. GI symptoms were also frequently reported after intake of fried and fatty foods (52%). With increasing IBS symptom severity, patients reported more food items responsible for their GI symptoms (P=0.004), and this was also found in patients with more severe somatic symptoms (P&lt;0.0001). Women tended to report more food items causing symptoms than men (P=0.06). A high number of food items causing GI symptoms was also associated with reduced quality of life and this was significant for the following domains: sleep (r=-0.25; P=0.001), energy (r=-0.21; P=0.005), food (r=-0.29; P&lt;0.001), social functioning (r=-0.23; P=0.001), and physical status (r=-0.16; P&lt;0.05). However, the number of food items reported to provoke GI symptoms was unrelated to body mass index, age, IBS…","author":[{"dropping-particle":"","family":"Böhn","given":"Lena","non-dropping-particle":"","parse-names":false,"suffix":""},{"dropping-particle":"","family":"Störsrud","given":"Stine","non-dropping-particle":"","parse-names":false,"suffix":""},{"dropping-particle":"","family":"Törnblom","given":"Hans","non-dropping-particle":"","parse-names":false,"suffix":""},{"dropping-particle":"","family":"Bengtsson","given":"Ulf","non-dropping-particle":"","parse-names":false,"suffix":""},{"dropping-particle":"","family":"Simrén","given":"Magnus","non-dropping-particle":"","parse-names":false,"suffix":""}],"container-title":"American Journal of Gastroenterology","id":"ITEM-1","issue":"5","issued":{"date-parts":[["2013"]]},"page":"634-641","title":"Self-reported food-related gastrointestinal symptoms in IBS are common and associated with more severe symptoms and reduced quality of life","type":"article-journal","volume":"108"},"uris":["http://www.mendeley.com/documents/?uuid=1483c0b2-4669-4f77-ba43-81eef34feb9a"]}],"mendeley":{"formattedCitation":"&lt;sup&gt;13&lt;/sup&gt;","plainTextFormattedCitation":"13","previouslyFormattedCitation":"&lt;sup&gt;13&lt;/sup&gt;"},"properties":{"noteIndex":0},"schema":"https://github.com/citation-style-language/schema/raw/master/csl-citation.json"}</w:instrText>
      </w:r>
      <w:r w:rsidR="006D69BD" w:rsidRPr="00BA6F83">
        <w:rPr>
          <w:color w:val="000000" w:themeColor="text1"/>
          <w:lang w:val="en-US"/>
        </w:rPr>
        <w:fldChar w:fldCharType="separate"/>
      </w:r>
      <w:r w:rsidR="00834A4E" w:rsidRPr="00834A4E">
        <w:rPr>
          <w:noProof/>
          <w:color w:val="000000" w:themeColor="text1"/>
          <w:vertAlign w:val="superscript"/>
          <w:lang w:val="en-US"/>
        </w:rPr>
        <w:t>13</w:t>
      </w:r>
      <w:r w:rsidR="006D69BD" w:rsidRPr="00BA6F83">
        <w:rPr>
          <w:color w:val="000000" w:themeColor="text1"/>
          <w:lang w:val="en-US"/>
        </w:rPr>
        <w:fldChar w:fldCharType="end"/>
      </w:r>
      <w:r w:rsidR="00166E4E" w:rsidRPr="00BA6F83">
        <w:rPr>
          <w:color w:val="000000" w:themeColor="text1"/>
          <w:lang w:val="en-US"/>
        </w:rPr>
        <w:t>, but also in patients with intolerance to wheat and/or gluten (so</w:t>
      </w:r>
      <w:r w:rsidR="003E4884" w:rsidRPr="00BA6F83">
        <w:rPr>
          <w:color w:val="000000" w:themeColor="text1"/>
          <w:lang w:val="en-US"/>
        </w:rPr>
        <w:t>-</w:t>
      </w:r>
      <w:r w:rsidR="00166E4E" w:rsidRPr="00BA6F83">
        <w:rPr>
          <w:color w:val="000000" w:themeColor="text1"/>
          <w:lang w:val="en-US"/>
        </w:rPr>
        <w:t>called non-coeliac gluten or wheat sensitivity)</w:t>
      </w:r>
      <w:r w:rsidR="006D69BD" w:rsidRPr="00BA6F83">
        <w:rPr>
          <w:color w:val="000000" w:themeColor="text1"/>
          <w:lang w:val="en-US"/>
        </w:rPr>
        <w:fldChar w:fldCharType="begin" w:fldLock="1"/>
      </w:r>
      <w:r w:rsidR="00756206">
        <w:rPr>
          <w:color w:val="000000" w:themeColor="text1"/>
          <w:lang w:val="en-US"/>
        </w:rPr>
        <w:instrText>ADDIN CSL_CITATION {"citationItems":[{"id":"ITEM-1","itemData":{"DOI":"10.1136/gutjnl-2015-309757","ISBN":"0017-5749","ISSN":"14683288","PMID":"26078292","abstract":"IBS is one of the most common types of functional bowel disorder. Increasing attention has been paid to the causative role of food in IBS. Food ingestion precipitates or exacerbates symptoms, such as abdominal pain and bloating in patients with IBS through different hypothesised mechanisms including immune and mast cell activation, mechanoreceptor stimulation and chemosensory activation. Wheat is regarded as one of the most relevant IBS triggers, although which component(s) of this cereal is/are involved remain(s) unknown. Gluten, other wheat proteins, for example, amylase-trypsin inhibitors, and fructans (the latter belonging to fermentable oligo-di-mono-saccharides and polyols (FODMAPs)), have been identified as possible factors for symptom generation/exacerbation. This uncertainty on the true culprit(s) opened a scenario of semantic definitions favoured by the discordant results of double-blind placebo-controlled trials, which have generated various terms ranging from non-coeliac gluten sensitivity to the broader one of non-coeliac wheat or wheat protein sensitivity or, even, FODMAP sensitivity. The role of FODMAPs in eliciting the clinical picture of IBS goes further since these short-chain carbohydrates are found in many other dietary components, including vegetables and fruits. In this review, we assessed current literature in order to unravel whether gluten/wheat/FODMAP sensitivity represent 'facts' and not 'fiction' in IBS symptoms. This knowledge is expected to promote standardisation in dietary strategies (gluten/wheat-free and low FODMAP) as effective measures for the management of IBS symptoms.","author":[{"dropping-particle":"","family":"Giorgio","given":"Roberto","non-dropping-particle":"De","parse-names":false,"suffix":""},{"dropping-particle":"","family":"Volta","given":"Umberto","non-dropping-particle":"","parse-names":false,"suffix":""},{"dropping-particle":"","family":"Gibson","given":"Peter R.","non-dropping-particle":"","parse-names":false,"suffix":""}],"container-title":"Gut","id":"ITEM-1","issue":"1","issued":{"date-parts":[["2016"]]},"page":"169-178","title":"Sensitivity to wheat, gluten and FODMAPs in IBS: Facts or fiction?","type":"article","volume":"65"},"uris":["http://www.mendeley.com/documents/?uuid=b8d9b79d-558a-4b73-a068-e967f345598a"]}],"mendeley":{"formattedCitation":"&lt;sup&gt;56&lt;/sup&gt;","plainTextFormattedCitation":"56","previouslyFormattedCitation":"&lt;sup&gt;55&lt;/sup&gt;"},"properties":{"noteIndex":0},"schema":"https://github.com/citation-style-language/schema/raw/master/csl-citation.json"}</w:instrText>
      </w:r>
      <w:r w:rsidR="006D69BD" w:rsidRPr="00BA6F83">
        <w:rPr>
          <w:color w:val="000000" w:themeColor="text1"/>
          <w:lang w:val="en-US"/>
        </w:rPr>
        <w:fldChar w:fldCharType="separate"/>
      </w:r>
      <w:r w:rsidR="00756206" w:rsidRPr="00756206">
        <w:rPr>
          <w:noProof/>
          <w:color w:val="000000" w:themeColor="text1"/>
          <w:vertAlign w:val="superscript"/>
          <w:lang w:val="en-US"/>
        </w:rPr>
        <w:t>56</w:t>
      </w:r>
      <w:r w:rsidR="006D69BD" w:rsidRPr="00BA6F83">
        <w:rPr>
          <w:color w:val="000000" w:themeColor="text1"/>
          <w:lang w:val="en-US"/>
        </w:rPr>
        <w:fldChar w:fldCharType="end"/>
      </w:r>
      <w:r w:rsidR="00166E4E" w:rsidRPr="00BA6F83">
        <w:rPr>
          <w:color w:val="000000" w:themeColor="text1"/>
          <w:lang w:val="en-US"/>
        </w:rPr>
        <w:t>, and inflammatory bowel disease in remission</w:t>
      </w:r>
      <w:r w:rsidR="006D69BD" w:rsidRPr="00BA6F83">
        <w:rPr>
          <w:color w:val="000000" w:themeColor="text1"/>
          <w:lang w:val="en-US"/>
        </w:rPr>
        <w:fldChar w:fldCharType="begin" w:fldLock="1"/>
      </w:r>
      <w:r w:rsidR="00756206">
        <w:rPr>
          <w:color w:val="000000" w:themeColor="text1"/>
          <w:lang w:val="en-US"/>
        </w:rPr>
        <w:instrText>ADDIN CSL_CITATION {"citationItems":[{"id":"ITEM-1","itemData":{"DOI":"10.1136/gut.34.6.783","ISBN":"0017-5749 (Print)\\r0017-5749","ISSN":"00175749","PMID":"8314511","abstract":"It has been claimed that prolonged remissions of Crohn's disease can be achieved after enteral or parenteral nutrition, by identifying and excluding foods that exacerbate a patient's symptoms. The occurrence of food intolerances were assessed after induction of remission with elemental diet in 42 eligible patients to whom single foods were introduced over five days. Suspect foods were reinvestigated with open and if possible, double blind rechallenge. Fourteen patients (33%) dropped out of the study because of relapse of disease unrelated to food (n = 8) or because of difficulties in complying with the regimen (n = 6). Twenty (48%) of the patients identified food sensitivities whereas eight (19%) did not. Seventeen of the patients who identified food sensitivities had an open rechallenge with recurrence of symptoms in 10 (24% of total). Food sensitivity was confirmed in three patients on double blind challenge. There was no significant difference in the duration of remission between patients who did or did not identify food sensitivities. During the study three cases of intolerance to the formula diet, and one of severe salicylate sensitivity were encountered. In conclusion food sensitivities are evident after treatment of Crohn's disease with elemental diet but are variable, often do not persist, and are of insufficient importance to warrant putting all patients through elimination diets.","author":[{"dropping-particle":"","family":"Pearson","given":"M.","non-dropping-particle":"","parse-names":false,"suffix":""},{"dropping-particle":"","family":"Teahon","given":"K.","non-dropping-particle":"","parse-names":false,"suffix":""},{"dropping-particle":"","family":"Levi","given":"A. J.","non-dropping-particle":"","parse-names":false,"suffix":""},{"dropping-particle":"","family":"Bjarnason","given":"I.","non-dropping-particle":"","parse-names":false,"suffix":""}],"container-title":"Gut","id":"ITEM-1","issue":"6","issued":{"date-parts":[["1993"]]},"page":"783-787","title":"Food intolerance and Crohn's disease","type":"article-journal","volume":"34"},"uris":["http://www.mendeley.com/documents/?uuid=a37ff289-9342-4bf4-8160-3a50c2c5368e"]},{"id":"ITEM-2","itemData":{"DOI":"10.1111/j.1463-1318.2010.02373.x","ISSN":"14631318","PMID":"20626437","abstract":"Abstract Aim: Exclusion diets have been shown to prolong remission in Crohn's disease (CD). We assessed IgG4-targeted exclusion diets in patients with Crohn's disease. Method: Forty patients with symptomatic Crohn's disease were recruited. Their sera were tested for IgG4 antibodies to fourteen specific food antigens and each subject's four most reactive foods were excluded for four weeks. Disease activity was assessed using a modified Crohn's disease activity index (mCDAI) questionnaire and inflammatory markers were measured before and on completion of the exclusion diet. Results: Eleven patients did not complete the study, leaving 29 for analysis. Of these 26 (90%) reported symptomatic improvement with a reduction in mCDAI from a mean of 171 to 97.5 (p=0.0001). The ESR fell from 23mm/Hr to 17mm/Hr (p=0.021) and the IgG4 titres for the excluded foods fell from a mean of 3015mcgA/l to 2306mcgA/l (p=0.011). Conclusions: IgG4-guided exclusion diets resulted in significant symptomatic improvement with an objective fall in an inflammatory marker. This approach may be useful in clinical practice.","author":[{"dropping-particle":"","family":"Rajendran","given":"Nirooshun","non-dropping-particle":"","parse-names":false,"suffix":""},{"dropping-particle":"","family":"Kumar","given":"Devinder","non-dropping-particle":"","parse-names":false,"suffix":""}],"container-title":"Colorectal disease the official journal of the Association of Coloproctology of Great Britain and Ireland","id":"ITEM-2","issue":"9","issued":{"date-parts":[["2011"]]},"page":"1009-13","title":"Food-specific IgG4-guided exclusion diets improve symptoms in Crohn's disease: a pilot study.","type":"article-journal","volume":"13"},"uris":["http://www.mendeley.com/documents/?uuid=1a56fb1e-e66f-40c5-b8e3-ef6564870cc2","http://www.mendeley.com/documents/?uuid=dc59e613-185f-401e-a210-ef363d16346f"]},{"id":"ITEM-3","itemData":{"DOI":"10.1053/j.gastro.2015.01.007","ISBN":"1528-0012 (Electronic)\\r0016-5085 (Linking)","ISSN":"15280012","PMID":"25597840","abstract":"Some of the most common symptoms of the inflammatory bowel diseases (IBD, which include ulcerative colitis and Crohn's disease) are abdominal pain, diarrhea, and weight loss. It is therefore not surprising that clinicians and patients have wondered whether dietary patterns influence the onset or course of IBD. The question of what to eat is among the most commonly asked by patients, and among the most difficult to answer for clinicians. There are substantial variations in dietary behaviors of patients and recommendations for them, although clinicians do not routinely endorse specific diets for patients with IBD. Dietary clinical trials have been limited by their inability to include a placebo control, contamination of study groups, and inclusion of patients receiving medical therapies. Additional challenges include accuracy of information on dietary intake, complex interactions between foods consumed, and differences in food metabolism among individuals. We review the roles of diet in the etiology and management of IBD based on plausible mechanisms and clinical evidence. Researchers have learned much about the effects of diet on the mucosal immune system, epithelial function, and the intestinal microbiome; these findings could have significant practical implications. Controlled studies of patients receiving enteral nutrition and observations made from patients on exclusion diets have shown that components of whole foods can have deleterious effects for patients with IBD. Additionally, studies in animal models suggested that certain nutrients can reduce intestinal inflammation. In the future, engineered diets that restrict deleterious components but supplement beneficial nutrients could be used to modify the luminal intestinal environment of patients with IBD; these might be used alone or in combination with immunosuppressive agents, or as salvage therapy for patients who do not respond or lose responsiveness to medical therapies. Stricter diets might be required to induce remission, and more sustainable exclusion diets could be used to maintain long-term remission.","author":[{"dropping-particle":"","family":"Lee","given":"Dale","non-dropping-particle":"","parse-names":false,"suffix":""},{"dropping-particle":"","family":"Albenberg","given":"Lindsey","non-dropping-particle":"","parse-names":false,"suffix":""},{"dropping-particle":"","family":"Compher","given":"Charlene","non-dropping-particle":"","parse-names":false,"suffix":""},{"dropping-particle":"","family":"Baldassano","given":"Robert","non-dropping-particle":"","parse-names":false,"suffix":""},{"dropping-particle":"","family":"Piccoli","given":"David","non-dropping-particle":"","parse-names":false,"suffix":""},{"dropping-particle":"","family":"Lewis","given":"James D.","non-dropping-particle":"","parse-names":false,"suffix":""},{"dropping-particle":"","family":"Wu","given":"Gary D.","non-dropping-particle":"","parse-names":false,"suffix":""}],"container-title":"Gastroenterology","id":"ITEM-3","issue":"6","issued":{"date-parts":[["2015"]]},"page":"1087-1106","title":"Diet in the pathogenesis and treatment of inflammatory bowel diseases","type":"article-journal","volume":"148"},"uris":["http://www.mendeley.com/documents/?uuid=1a4ce196-69ba-4322-8d08-78fda26f9c04"]}],"mendeley":{"formattedCitation":"&lt;sup&gt;57–59&lt;/sup&gt;","plainTextFormattedCitation":"57–59","previouslyFormattedCitation":"&lt;sup&gt;56–58&lt;/sup&gt;"},"properties":{"noteIndex":0},"schema":"https://github.com/citation-style-language/schema/raw/master/csl-citation.json"}</w:instrText>
      </w:r>
      <w:r w:rsidR="006D69BD" w:rsidRPr="00BA6F83">
        <w:rPr>
          <w:color w:val="000000" w:themeColor="text1"/>
          <w:lang w:val="en-US"/>
        </w:rPr>
        <w:fldChar w:fldCharType="separate"/>
      </w:r>
      <w:r w:rsidR="00756206" w:rsidRPr="00756206">
        <w:rPr>
          <w:noProof/>
          <w:color w:val="000000" w:themeColor="text1"/>
          <w:vertAlign w:val="superscript"/>
          <w:lang w:val="en-US"/>
        </w:rPr>
        <w:t>57–59</w:t>
      </w:r>
      <w:r w:rsidR="006D69BD" w:rsidRPr="00BA6F83">
        <w:rPr>
          <w:color w:val="000000" w:themeColor="text1"/>
          <w:lang w:val="en-US"/>
        </w:rPr>
        <w:fldChar w:fldCharType="end"/>
      </w:r>
      <w:r w:rsidR="00166E4E" w:rsidRPr="00BA6F83">
        <w:rPr>
          <w:color w:val="000000" w:themeColor="text1"/>
          <w:lang w:val="en-US"/>
        </w:rPr>
        <w:t xml:space="preserve">. </w:t>
      </w:r>
      <w:r w:rsidR="0010480C" w:rsidRPr="00BA6F83">
        <w:rPr>
          <w:color w:val="000000" w:themeColor="text1"/>
          <w:lang w:val="en-US"/>
        </w:rPr>
        <w:t xml:space="preserve">A </w:t>
      </w:r>
      <w:r w:rsidR="00A23AF5" w:rsidRPr="00BA6F83">
        <w:rPr>
          <w:color w:val="000000" w:themeColor="text1"/>
          <w:lang w:val="en-US"/>
        </w:rPr>
        <w:t>key breakthrough</w:t>
      </w:r>
      <w:r w:rsidR="00140FF2" w:rsidRPr="00BA6F83">
        <w:rPr>
          <w:color w:val="000000" w:themeColor="text1"/>
          <w:lang w:val="en-US"/>
        </w:rPr>
        <w:t xml:space="preserve"> </w:t>
      </w:r>
      <w:r w:rsidR="00A23AF5" w:rsidRPr="00BA6F83">
        <w:rPr>
          <w:color w:val="000000" w:themeColor="text1"/>
          <w:lang w:val="en-US"/>
        </w:rPr>
        <w:t xml:space="preserve">proposed here </w:t>
      </w:r>
      <w:r w:rsidR="00140FF2" w:rsidRPr="00BA6F83">
        <w:rPr>
          <w:color w:val="000000" w:themeColor="text1"/>
          <w:lang w:val="en-US"/>
        </w:rPr>
        <w:t xml:space="preserve">is </w:t>
      </w:r>
      <w:r w:rsidR="00A23AF5" w:rsidRPr="00BA6F83">
        <w:rPr>
          <w:color w:val="000000" w:themeColor="text1"/>
          <w:lang w:val="en-US"/>
        </w:rPr>
        <w:t xml:space="preserve">the understanding of how </w:t>
      </w:r>
      <w:r w:rsidR="00140FF2" w:rsidRPr="00BA6F83">
        <w:rPr>
          <w:color w:val="000000" w:themeColor="text1"/>
          <w:lang w:val="en-US"/>
        </w:rPr>
        <w:t xml:space="preserve">oral tolerance to food antigens, </w:t>
      </w:r>
      <w:r w:rsidR="00520BBD" w:rsidRPr="00BA6F83">
        <w:rPr>
          <w:color w:val="000000" w:themeColor="text1"/>
          <w:lang w:val="en-US"/>
        </w:rPr>
        <w:t xml:space="preserve">a pivotal regulatory process </w:t>
      </w:r>
      <w:r w:rsidR="00267BBD" w:rsidRPr="00BA6F83">
        <w:rPr>
          <w:color w:val="000000" w:themeColor="text1"/>
          <w:lang w:val="en-US"/>
        </w:rPr>
        <w:t xml:space="preserve">in </w:t>
      </w:r>
      <w:r w:rsidR="00520BBD" w:rsidRPr="00BA6F83">
        <w:rPr>
          <w:color w:val="000000" w:themeColor="text1"/>
          <w:lang w:val="en-US"/>
        </w:rPr>
        <w:t>homeostasis</w:t>
      </w:r>
      <w:r w:rsidR="00140FF2" w:rsidRPr="00BA6F83">
        <w:rPr>
          <w:color w:val="000000" w:themeColor="text1"/>
          <w:lang w:val="en-US"/>
        </w:rPr>
        <w:t>, can be lost in IBS</w:t>
      </w:r>
      <w:r w:rsidR="00A2371F" w:rsidRPr="00BA6F83">
        <w:rPr>
          <w:color w:val="000000" w:themeColor="text1"/>
          <w:lang w:val="en-US"/>
        </w:rPr>
        <w:t xml:space="preserve"> and lead to aberrant pain signaling</w:t>
      </w:r>
      <w:r w:rsidR="00166E4E" w:rsidRPr="00BA6F83">
        <w:rPr>
          <w:color w:val="000000" w:themeColor="text1"/>
          <w:lang w:val="en-US"/>
        </w:rPr>
        <w:t>.</w:t>
      </w:r>
      <w:r w:rsidR="00962E09">
        <w:rPr>
          <w:color w:val="000000" w:themeColor="text1"/>
          <w:lang w:val="en-US"/>
        </w:rPr>
        <w:t xml:space="preserve"> A fundamental difference to that observed with</w:t>
      </w:r>
      <w:r w:rsidR="00166E4E" w:rsidRPr="00BA6F83">
        <w:rPr>
          <w:color w:val="000000" w:themeColor="text1"/>
          <w:lang w:val="en-US"/>
        </w:rPr>
        <w:t xml:space="preserve"> food allergy</w:t>
      </w:r>
      <w:r w:rsidR="00962E09">
        <w:rPr>
          <w:color w:val="000000" w:themeColor="text1"/>
          <w:lang w:val="en-US"/>
        </w:rPr>
        <w:t xml:space="preserve"> is that</w:t>
      </w:r>
      <w:r w:rsidR="00166E4E" w:rsidRPr="00BA6F83">
        <w:rPr>
          <w:color w:val="000000" w:themeColor="text1"/>
          <w:lang w:val="en-US"/>
        </w:rPr>
        <w:t xml:space="preserve"> OVA-specific </w:t>
      </w:r>
      <w:proofErr w:type="spellStart"/>
      <w:r w:rsidR="00166E4E" w:rsidRPr="00BA6F83">
        <w:rPr>
          <w:color w:val="000000" w:themeColor="text1"/>
          <w:lang w:val="en-US"/>
        </w:rPr>
        <w:t>IgE</w:t>
      </w:r>
      <w:proofErr w:type="spellEnd"/>
      <w:r w:rsidR="00166E4E" w:rsidRPr="00BA6F83">
        <w:rPr>
          <w:color w:val="000000" w:themeColor="text1"/>
          <w:lang w:val="en-US"/>
        </w:rPr>
        <w:t xml:space="preserve"> antibodies were only detectable in colonic tissue, </w:t>
      </w:r>
      <w:r w:rsidR="00962E09">
        <w:rPr>
          <w:color w:val="000000" w:themeColor="text1"/>
          <w:lang w:val="en-US"/>
        </w:rPr>
        <w:t>demonstrating that this is</w:t>
      </w:r>
      <w:r w:rsidR="00166E4E" w:rsidRPr="00BA6F83">
        <w:rPr>
          <w:color w:val="000000" w:themeColor="text1"/>
          <w:lang w:val="en-US"/>
        </w:rPr>
        <w:t xml:space="preserve"> a local rather than systemic immune response against </w:t>
      </w:r>
      <w:r w:rsidR="00E25009" w:rsidRPr="00BA6F83">
        <w:rPr>
          <w:color w:val="000000" w:themeColor="text1"/>
          <w:lang w:val="en-US"/>
        </w:rPr>
        <w:t>dietary antigens</w:t>
      </w:r>
      <w:r w:rsidR="00166E4E" w:rsidRPr="00BA6F83">
        <w:rPr>
          <w:color w:val="000000" w:themeColor="text1"/>
          <w:lang w:val="en-US"/>
        </w:rPr>
        <w:t xml:space="preserve">. A role for local </w:t>
      </w:r>
      <w:proofErr w:type="spellStart"/>
      <w:r w:rsidR="00166E4E" w:rsidRPr="00BA6F83">
        <w:rPr>
          <w:color w:val="000000" w:themeColor="text1"/>
          <w:lang w:val="en-US"/>
        </w:rPr>
        <w:t>IgE</w:t>
      </w:r>
      <w:proofErr w:type="spellEnd"/>
      <w:r w:rsidR="00166E4E" w:rsidRPr="00BA6F83">
        <w:rPr>
          <w:color w:val="000000" w:themeColor="text1"/>
          <w:lang w:val="en-US"/>
        </w:rPr>
        <w:t xml:space="preserve"> antibodies has previously</w:t>
      </w:r>
      <w:r w:rsidR="00CF5415" w:rsidRPr="00BA6F83">
        <w:rPr>
          <w:color w:val="000000" w:themeColor="text1"/>
          <w:lang w:val="en-US"/>
        </w:rPr>
        <w:t xml:space="preserve"> been</w:t>
      </w:r>
      <w:r w:rsidR="00166E4E" w:rsidRPr="00BA6F83">
        <w:rPr>
          <w:color w:val="000000" w:themeColor="text1"/>
          <w:lang w:val="en-US"/>
        </w:rPr>
        <w:t xml:space="preserve"> demonstrated in the airways, in particular in patients with allergic rhinitis and chronic rhinosinusitis with nasal polyps</w:t>
      </w:r>
      <w:r w:rsidR="006D69BD" w:rsidRPr="00BA6F83">
        <w:rPr>
          <w:color w:val="000000" w:themeColor="text1"/>
          <w:lang w:val="en-US"/>
        </w:rPr>
        <w:fldChar w:fldCharType="begin" w:fldLock="1"/>
      </w:r>
      <w:r w:rsidR="00756206">
        <w:rPr>
          <w:color w:val="000000" w:themeColor="text1"/>
          <w:lang w:val="en-US"/>
        </w:rPr>
        <w:instrText>ADDIN CSL_CITATION {"citationItems":[{"id":"ITEM-1","itemData":{"DOI":"10.4168/aair.2015.7.4.321","ISSN":"20927363","PMID":"25749769","abstract":"Immunoglobulin E (IgE) can be highly elevated in the airway mucosa independently of IgE serum levels and atopic status. Mostly, systemic markers are assessed to investigate inflammation in airway disease for research or clinical practice. A more accurate but more cumbersome approach to determine inflammation at the target organ would be to evaluate markers locally. We review evidence for local production of IgE in allergic rhinitis (AR) and chronic rhinosinusitis with nasal polyps (CRSwNP). Diagnostic and therapeutic consequences in clinical practice are discussed. We describe that the airway mucosa has the intrinsic capability to produce IgE. Moreover, not only do IgE-positive B cells reside within the mucosa, but all tools are present locally for affinity maturation by somatic hypermutation (SHM), clonal expansion, and class switch recombination to IgE. Recognizing local IgE in the absence of systemic IgE has diagnostic and therapeutic consequences. Therefore, we emphasize the importance of local IgE in patients with a history of AR or CRSwNP","author":[{"dropping-particle":"","family":"Schryver","given":"Els","non-dropping-particle":"De","parse-names":false,"suffix":""},{"dropping-particle":"","family":"Devuyst","given":"Lien","non-dropping-particle":"","parse-names":false,"suffix":""},{"dropping-particle":"","family":"Derycke","given":"Lara","non-dropping-particle":"","parse-names":false,"suffix":""},{"dropping-particle":"","family":"Dullaers","given":"Melissa","non-dropping-particle":"","parse-names":false,"suffix":""},{"dropping-particle":"","family":"Zele","given":"Thibaut","non-dropping-particle":"Van","parse-names":false,"suffix":""},{"dropping-particle":"","family":"Bachert","given":"Claus","non-dropping-particle":"","parse-names":false,"suffix":""},{"dropping-particle":"","family":"Gevaert","given":"Philippe","non-dropping-particle":"","parse-names":false,"suffix":""}],"container-title":"Allergy, Asthma and Immunology Research","id":"ITEM-1","issue":"4","issued":{"date-parts":[["2015"]]},"page":"321-331","title":"Local immunoglobulin E in the nasal mucosa: Clinical implications","type":"article-journal","volume":"7"},"uris":["http://www.mendeley.com/documents/?uuid=6c89f49f-6805-40d2-a068-b4dabedfefa2"]}],"mendeley":{"formattedCitation":"&lt;sup&gt;60&lt;/sup&gt;","plainTextFormattedCitation":"60","previouslyFormattedCitation":"&lt;sup&gt;59&lt;/sup&gt;"},"properties":{"noteIndex":0},"schema":"https://github.com/citation-style-language/schema/raw/master/csl-citation.json"}</w:instrText>
      </w:r>
      <w:r w:rsidR="006D69BD" w:rsidRPr="00BA6F83">
        <w:rPr>
          <w:color w:val="000000" w:themeColor="text1"/>
          <w:lang w:val="en-US"/>
        </w:rPr>
        <w:fldChar w:fldCharType="separate"/>
      </w:r>
      <w:r w:rsidR="00756206" w:rsidRPr="00756206">
        <w:rPr>
          <w:noProof/>
          <w:color w:val="000000" w:themeColor="text1"/>
          <w:vertAlign w:val="superscript"/>
          <w:lang w:val="en-US"/>
        </w:rPr>
        <w:t>60</w:t>
      </w:r>
      <w:r w:rsidR="006D69BD" w:rsidRPr="00BA6F83">
        <w:rPr>
          <w:color w:val="000000" w:themeColor="text1"/>
          <w:lang w:val="en-US"/>
        </w:rPr>
        <w:fldChar w:fldCharType="end"/>
      </w:r>
      <w:r w:rsidR="00166E4E" w:rsidRPr="00BA6F83">
        <w:rPr>
          <w:color w:val="000000" w:themeColor="text1"/>
          <w:lang w:val="en-US"/>
        </w:rPr>
        <w:t xml:space="preserve">, associated with increased airway reactivity. Here, we provide evidence for a role of local </w:t>
      </w:r>
      <w:proofErr w:type="spellStart"/>
      <w:r w:rsidR="00166E4E" w:rsidRPr="00BA6F83">
        <w:rPr>
          <w:color w:val="000000" w:themeColor="text1"/>
          <w:lang w:val="en-US"/>
        </w:rPr>
        <w:t>IgE</w:t>
      </w:r>
      <w:proofErr w:type="spellEnd"/>
      <w:r w:rsidR="00166E4E" w:rsidRPr="00BA6F83">
        <w:rPr>
          <w:color w:val="000000" w:themeColor="text1"/>
          <w:lang w:val="en-US"/>
        </w:rPr>
        <w:t xml:space="preserve"> antibodies in food-induced abdominal pain. We propose that OVA-specific </w:t>
      </w:r>
      <w:proofErr w:type="spellStart"/>
      <w:r w:rsidR="00166E4E" w:rsidRPr="00BA6F83">
        <w:rPr>
          <w:color w:val="000000" w:themeColor="text1"/>
          <w:lang w:val="en-US"/>
        </w:rPr>
        <w:t>IgE</w:t>
      </w:r>
      <w:proofErr w:type="spellEnd"/>
      <w:r w:rsidR="00166E4E" w:rsidRPr="00BA6F83">
        <w:rPr>
          <w:color w:val="000000" w:themeColor="text1"/>
          <w:lang w:val="en-US"/>
        </w:rPr>
        <w:t xml:space="preserve"> binds to and sensitizes tissue-resident MC, </w:t>
      </w:r>
      <w:r w:rsidR="007B0650" w:rsidRPr="00BA6F83">
        <w:rPr>
          <w:color w:val="000000" w:themeColor="text1"/>
          <w:lang w:val="en-US"/>
        </w:rPr>
        <w:t xml:space="preserve">which </w:t>
      </w:r>
      <w:r w:rsidR="00A23AF5" w:rsidRPr="00BA6F83">
        <w:rPr>
          <w:color w:val="000000" w:themeColor="text1"/>
          <w:lang w:val="en-US"/>
        </w:rPr>
        <w:t>are</w:t>
      </w:r>
      <w:r w:rsidR="00166E4E" w:rsidRPr="00BA6F83">
        <w:rPr>
          <w:color w:val="000000" w:themeColor="text1"/>
          <w:lang w:val="en-US"/>
        </w:rPr>
        <w:t xml:space="preserve"> activated upon re-exposure to OVA during feeding</w:t>
      </w:r>
      <w:r w:rsidR="003817C4">
        <w:rPr>
          <w:color w:val="000000" w:themeColor="text1"/>
          <w:lang w:val="en-US"/>
        </w:rPr>
        <w:t xml:space="preserve"> (Extended Data Fig. 7)</w:t>
      </w:r>
      <w:r w:rsidR="00166E4E" w:rsidRPr="00BA6F83">
        <w:rPr>
          <w:color w:val="000000" w:themeColor="text1"/>
          <w:lang w:val="en-US"/>
        </w:rPr>
        <w:t xml:space="preserve">. </w:t>
      </w:r>
      <w:r w:rsidR="008E6B5C" w:rsidRPr="00BA6F83">
        <w:rPr>
          <w:color w:val="000000" w:themeColor="text1"/>
          <w:lang w:val="en-US"/>
        </w:rPr>
        <w:t xml:space="preserve">Indeed, we </w:t>
      </w:r>
      <w:r w:rsidR="00166E4E" w:rsidRPr="00BA6F83">
        <w:rPr>
          <w:color w:val="000000" w:themeColor="text1"/>
          <w:lang w:val="en-US"/>
        </w:rPr>
        <w:t xml:space="preserve">show that feeding OVA </w:t>
      </w:r>
      <w:r w:rsidR="008E6B5C" w:rsidRPr="00BA6F83">
        <w:rPr>
          <w:color w:val="000000" w:themeColor="text1"/>
          <w:lang w:val="en-US"/>
        </w:rPr>
        <w:t xml:space="preserve">to </w:t>
      </w:r>
      <w:r w:rsidR="00166E4E" w:rsidRPr="00BA6F83">
        <w:rPr>
          <w:color w:val="000000" w:themeColor="text1"/>
          <w:lang w:val="en-US"/>
        </w:rPr>
        <w:t>infected or SEB</w:t>
      </w:r>
      <w:r w:rsidR="008E6B5C" w:rsidRPr="00BA6F83">
        <w:rPr>
          <w:color w:val="000000" w:themeColor="text1"/>
          <w:lang w:val="en-US"/>
        </w:rPr>
        <w:t>-</w:t>
      </w:r>
      <w:r w:rsidR="00166E4E" w:rsidRPr="00BA6F83">
        <w:rPr>
          <w:color w:val="000000" w:themeColor="text1"/>
          <w:lang w:val="en-US"/>
        </w:rPr>
        <w:t>treated mice induce</w:t>
      </w:r>
      <w:r w:rsidR="002E5A9F" w:rsidRPr="00BA6F83">
        <w:rPr>
          <w:color w:val="000000" w:themeColor="text1"/>
          <w:lang w:val="en-US"/>
        </w:rPr>
        <w:t>s</w:t>
      </w:r>
      <w:r w:rsidR="00166E4E" w:rsidRPr="00BA6F83">
        <w:rPr>
          <w:color w:val="000000" w:themeColor="text1"/>
          <w:lang w:val="en-US"/>
        </w:rPr>
        <w:t xml:space="preserve"> MC</w:t>
      </w:r>
      <w:r w:rsidR="008E6B5C" w:rsidRPr="00BA6F83">
        <w:rPr>
          <w:color w:val="000000" w:themeColor="text1"/>
          <w:lang w:val="en-US"/>
        </w:rPr>
        <w:t>-</w:t>
      </w:r>
      <w:r w:rsidR="00166E4E" w:rsidRPr="00BA6F83">
        <w:rPr>
          <w:color w:val="000000" w:themeColor="text1"/>
          <w:lang w:val="en-US"/>
        </w:rPr>
        <w:t xml:space="preserve">dependent increase in pain responses to colorectal distention </w:t>
      </w:r>
      <w:r w:rsidR="00166E4E" w:rsidRPr="00BA6F83">
        <w:rPr>
          <w:i/>
          <w:color w:val="000000" w:themeColor="text1"/>
          <w:lang w:val="en-US"/>
        </w:rPr>
        <w:t>in vivo</w:t>
      </w:r>
      <w:r w:rsidR="00166E4E" w:rsidRPr="00BA6F83">
        <w:rPr>
          <w:color w:val="000000" w:themeColor="text1"/>
          <w:lang w:val="en-US"/>
        </w:rPr>
        <w:t xml:space="preserve"> and increase</w:t>
      </w:r>
      <w:r w:rsidR="00AE2F5D" w:rsidRPr="00BA6F83">
        <w:rPr>
          <w:color w:val="000000" w:themeColor="text1"/>
          <w:lang w:val="en-US"/>
        </w:rPr>
        <w:t>s</w:t>
      </w:r>
      <w:r w:rsidR="00166E4E" w:rsidRPr="00BA6F83">
        <w:rPr>
          <w:color w:val="000000" w:themeColor="text1"/>
          <w:lang w:val="en-US"/>
        </w:rPr>
        <w:t xml:space="preserve"> nerve firing upon mechanical stimulation of afferent nerve fibers. In line with previous studies</w:t>
      </w:r>
      <w:r w:rsidR="006073B7" w:rsidRPr="00BA6F83">
        <w:rPr>
          <w:color w:val="000000" w:themeColor="text1"/>
          <w:lang w:val="en-US"/>
        </w:rPr>
        <w:fldChar w:fldCharType="begin" w:fldLock="1"/>
      </w:r>
      <w:r w:rsidR="00271D58">
        <w:rPr>
          <w:color w:val="000000" w:themeColor="text1"/>
          <w:lang w:val="en-US"/>
        </w:rPr>
        <w:instrText>ADDIN CSL_CITATION {"citationItems":[{"id":"ITEM-1","itemData":{"DOI":"10.1053/j.gastro.2015.12.034","ISBN":"0016-5085","ISSN":"15280012","PMID":"26752109","abstract":"Background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E.","non-dropping-particle":"","parse-names":false,"suffix":""}],"container-title":"Gastroenterology","id":"ITEM-1","issue":"4","issued":{"date-parts":[["2016"]]},"page":"875-887.e9","title":"Histamine Receptor H1-Mediated Sensitization of TRPV1 Mediates Visceral Hypersensitivity and Symptoms in Patients with Irritable Bowel Syndrome","type":"article-journal","volume":"150"},"uris":["http://www.mendeley.com/documents/?uuid=877088fd-6212-4474-952f-b2f94ca5f924"]},{"id":"ITEM-2","itemData":{"DOI":"10.1038/s41598-017-12618-7","ISBN":"2045-2322","ISSN":"20452322","PMID":"29051514","abstract":"Post-infectious irritable bowel syndrome (PI-IBS) is a common gastrointestinal disorder characterized by persistent abdominal pain despite recovery from acute gastroenteritis. The underlying mechanisms are unclear, although long-term changes in neuronal function, and low grade inflammation of the bowel have been hypothesized. We investigated the presence and mechanism of neuronal sensitization in a unique cohort of individuals who developed PI-IBS following exposure to contaminated drinking water 7 years ago. We provide direct evidence of ongoing sensitization of neuronal signaling in the bowel of patients with PI-IBS. These changes occur in the absence of any detectable tissue inflammation, and instead appear to be driven by pro-nociceptive changes in the gut micro-environment. This is evidenced by the activation of murine colonic afferents, and sensitization responses to capsaicin in dorsal root ganglia (DRGs) following application of supernatants generated from tissue biopsy of patients with PI-IBS. We demonstrate that neuronal signaling within the bowel of PI-IBS patients is sensitized 2 years after the initial infection has resolved. This sensitization appears to be mediated by a persistent pro-nociceptive change in the gut micro-environment, that has the capacity to stimulate visceral afferents and facilitate neuronal TRPV1 signaling.","author":[{"dropping-particle":"","family":"Balemans","given":"D.","non-dropping-particle":"","parse-names":false,"suffix":""},{"dropping-particle":"","family":"Mondelaers","given":"S. U.","non-dropping-particle":"","parse-names":false,"suffix":""},{"dropping-particle":"","family":"Cibert-Goton","given":"V.","non-dropping-particle":"","parse-names":false,"suffix":""},{"dropping-particle":"","family":"Stakenborg","given":"N.","non-dropping-particle":"","parse-names":false,"suffix":""},{"dropping-particle":"","family":"Aguilera-Lizarraga","given":"J.","non-dropping-particle":"","parse-names":false,"suffix":""},{"dropping-particle":"","family":"Dooley","given":"J.","non-dropping-particle":"","parse-names":false,"suffix":""},{"dropping-particle":"","family":"Liston","given":"A.","non-dropping-particle":"","parse-names":false,"suffix":""},{"dropping-particle":"","family":"Bulmer","given":"D. C.","non-dropping-particle":"","parse-names":false,"suffix":""},{"dropping-particle":"","family":"Berghe","given":"P.","non-dropping-particle":"Vanden","parse-names":false,"suffix":""},{"dropping-particle":"","family":"Boeckxstaens","given":"G. E.","non-dropping-particle":"","parse-names":false,"suffix":""},{"dropping-particle":"","family":"Wouters","given":"M. M.","non-dropping-particle":"","parse-names":false,"suffix":""}],"container-title":"Scientific Reports","id":"ITEM-2","issue":"1","issued":{"date-parts":[["2017"]]},"page":"13606","title":"Evidence for long-term sensitization of the bowel in patients with post-infectious-IBS","type":"article-journal","volume":"7"},"uris":["http://www.mendeley.com/documents/?uuid=e03a9b25-3761-475f-926b-67ad02167b6e"]}],"mendeley":{"formattedCitation":"&lt;sup&gt;38,39&lt;/sup&gt;","plainTextFormattedCitation":"38,39","previouslyFormattedCitation":"&lt;sup&gt;38,39&lt;/sup&gt;"},"properties":{"noteIndex":0},"schema":"https://github.com/citation-style-language/schema/raw/master/csl-citation.json"}</w:instrText>
      </w:r>
      <w:r w:rsidR="006073B7" w:rsidRPr="00BA6F83">
        <w:rPr>
          <w:color w:val="000000" w:themeColor="text1"/>
          <w:lang w:val="en-US"/>
        </w:rPr>
        <w:fldChar w:fldCharType="separate"/>
      </w:r>
      <w:r w:rsidR="007355CA" w:rsidRPr="007355CA">
        <w:rPr>
          <w:noProof/>
          <w:color w:val="000000" w:themeColor="text1"/>
          <w:vertAlign w:val="superscript"/>
          <w:lang w:val="en-US"/>
        </w:rPr>
        <w:t>38,39</w:t>
      </w:r>
      <w:r w:rsidR="006073B7" w:rsidRPr="00BA6F83">
        <w:rPr>
          <w:color w:val="000000" w:themeColor="text1"/>
          <w:lang w:val="en-US"/>
        </w:rPr>
        <w:fldChar w:fldCharType="end"/>
      </w:r>
      <w:r w:rsidR="00166E4E" w:rsidRPr="00BA6F83">
        <w:rPr>
          <w:color w:val="000000" w:themeColor="text1"/>
          <w:lang w:val="en-US"/>
        </w:rPr>
        <w:t>, we show that</w:t>
      </w:r>
      <w:r w:rsidR="00E93713">
        <w:rPr>
          <w:color w:val="000000" w:themeColor="text1"/>
          <w:lang w:val="en-US"/>
        </w:rPr>
        <w:t>, even in the absence increased MC number,</w:t>
      </w:r>
      <w:r w:rsidR="00166E4E" w:rsidRPr="00BA6F83">
        <w:rPr>
          <w:color w:val="000000" w:themeColor="text1"/>
          <w:lang w:val="en-US"/>
        </w:rPr>
        <w:t xml:space="preserve"> the MC mediator histamine, </w:t>
      </w:r>
      <w:r w:rsidR="00962E09">
        <w:rPr>
          <w:color w:val="000000" w:themeColor="text1"/>
          <w:lang w:val="en-US"/>
        </w:rPr>
        <w:t xml:space="preserve">likely acting in concert with other mediators, </w:t>
      </w:r>
      <w:r w:rsidR="00166E4E" w:rsidRPr="00BA6F83">
        <w:rPr>
          <w:color w:val="000000" w:themeColor="text1"/>
          <w:lang w:val="en-US"/>
        </w:rPr>
        <w:t>increas</w:t>
      </w:r>
      <w:r w:rsidR="00B84043" w:rsidRPr="00BA6F83">
        <w:rPr>
          <w:color w:val="000000" w:themeColor="text1"/>
          <w:lang w:val="en-US"/>
        </w:rPr>
        <w:t>es</w:t>
      </w:r>
      <w:r w:rsidR="00166E4E" w:rsidRPr="00BA6F83">
        <w:rPr>
          <w:color w:val="000000" w:themeColor="text1"/>
          <w:lang w:val="en-US"/>
        </w:rPr>
        <w:t xml:space="preserve"> the excitability of DRG ne</w:t>
      </w:r>
      <w:r w:rsidR="00546C87" w:rsidRPr="00BA6F83">
        <w:rPr>
          <w:color w:val="000000" w:themeColor="text1"/>
          <w:lang w:val="en-US"/>
        </w:rPr>
        <w:t>urons</w:t>
      </w:r>
      <w:r w:rsidR="00166E4E" w:rsidRPr="00BA6F83">
        <w:rPr>
          <w:color w:val="000000" w:themeColor="text1"/>
          <w:lang w:val="en-US"/>
        </w:rPr>
        <w:t xml:space="preserve"> and sensitiz</w:t>
      </w:r>
      <w:r w:rsidR="00B84043" w:rsidRPr="00BA6F83">
        <w:rPr>
          <w:color w:val="000000" w:themeColor="text1"/>
          <w:lang w:val="en-US"/>
        </w:rPr>
        <w:t>es</w:t>
      </w:r>
      <w:r w:rsidR="00166E4E" w:rsidRPr="00BA6F83">
        <w:rPr>
          <w:color w:val="000000" w:themeColor="text1"/>
          <w:lang w:val="en-US"/>
        </w:rPr>
        <w:t xml:space="preserve"> TRPV1 via </w:t>
      </w:r>
      <w:r w:rsidR="007A3DB1" w:rsidRPr="00BA6F83">
        <w:rPr>
          <w:rFonts w:asciiTheme="minorHAnsi" w:hAnsiTheme="minorHAnsi"/>
          <w:color w:val="000000" w:themeColor="text1"/>
          <w:lang w:val="en-US"/>
        </w:rPr>
        <w:t>H</w:t>
      </w:r>
      <w:r w:rsidR="007A3DB1" w:rsidRPr="00BA6F83">
        <w:rPr>
          <w:rFonts w:asciiTheme="minorHAnsi" w:hAnsiTheme="minorHAnsi"/>
          <w:color w:val="000000" w:themeColor="text1"/>
          <w:vertAlign w:val="subscript"/>
          <w:lang w:val="en-US"/>
        </w:rPr>
        <w:t>1</w:t>
      </w:r>
      <w:r w:rsidR="007A3DB1" w:rsidRPr="00BA6F83">
        <w:rPr>
          <w:rFonts w:asciiTheme="minorHAnsi" w:hAnsiTheme="minorHAnsi"/>
          <w:color w:val="000000" w:themeColor="text1"/>
          <w:lang w:val="en-US"/>
        </w:rPr>
        <w:t>R</w:t>
      </w:r>
      <w:r w:rsidR="00B84043" w:rsidRPr="00BA6F83">
        <w:rPr>
          <w:rFonts w:asciiTheme="minorHAnsi" w:hAnsiTheme="minorHAnsi"/>
          <w:color w:val="000000" w:themeColor="text1"/>
          <w:lang w:val="en-US"/>
        </w:rPr>
        <w:t>, which may explain increased pain signaling</w:t>
      </w:r>
      <w:r w:rsidR="00166E4E" w:rsidRPr="00BA6F83">
        <w:rPr>
          <w:color w:val="000000" w:themeColor="text1"/>
          <w:lang w:val="en-US"/>
        </w:rPr>
        <w:t>.</w:t>
      </w:r>
      <w:r w:rsidR="0091565F" w:rsidRPr="00BA6F83">
        <w:rPr>
          <w:color w:val="000000" w:themeColor="text1"/>
          <w:lang w:val="en-US"/>
        </w:rPr>
        <w:t xml:space="preserve"> Several components of this model have been implicated in other disorders</w:t>
      </w:r>
      <w:r w:rsidR="00AE2F5D" w:rsidRPr="00BA6F83">
        <w:rPr>
          <w:color w:val="000000" w:themeColor="text1"/>
          <w:lang w:val="en-US"/>
        </w:rPr>
        <w:t>,</w:t>
      </w:r>
      <w:r w:rsidR="0091565F" w:rsidRPr="00BA6F83">
        <w:rPr>
          <w:color w:val="000000" w:themeColor="text1"/>
          <w:lang w:val="en-US"/>
        </w:rPr>
        <w:t xml:space="preserve"> such as c</w:t>
      </w:r>
      <w:r w:rsidR="00D159EC" w:rsidRPr="00BA6F83">
        <w:rPr>
          <w:color w:val="000000" w:themeColor="text1"/>
          <w:lang w:val="en-US"/>
        </w:rPr>
        <w:t>o</w:t>
      </w:r>
      <w:r w:rsidR="0091565F" w:rsidRPr="00BA6F83">
        <w:rPr>
          <w:color w:val="000000" w:themeColor="text1"/>
          <w:lang w:val="en-US"/>
        </w:rPr>
        <w:t>eliac disease</w:t>
      </w:r>
      <w:r w:rsidR="00AE2F5D" w:rsidRPr="00BA6F83">
        <w:rPr>
          <w:color w:val="000000" w:themeColor="text1"/>
          <w:lang w:val="en-US"/>
        </w:rPr>
        <w:t>,</w:t>
      </w:r>
      <w:r w:rsidR="0091565F" w:rsidRPr="00BA6F83">
        <w:rPr>
          <w:color w:val="000000" w:themeColor="text1"/>
          <w:lang w:val="en-US"/>
        </w:rPr>
        <w:t xml:space="preserve"> in genetically susceptible individuals. In these studies, intestinal inflammation evoked by a viral infection can also interfere with oral tolerance and promote the induction of antigen-presenting cells with pro-inflammatory properties favoring T</w:t>
      </w:r>
      <w:r w:rsidR="00D36CF9" w:rsidRPr="00D36CF9">
        <w:rPr>
          <w:color w:val="000000" w:themeColor="text1"/>
          <w:vertAlign w:val="subscript"/>
          <w:lang w:val="en-US"/>
        </w:rPr>
        <w:t>H</w:t>
      </w:r>
      <w:r w:rsidR="0091565F" w:rsidRPr="00BA6F83">
        <w:rPr>
          <w:color w:val="000000" w:themeColor="text1"/>
          <w:lang w:val="en-US"/>
        </w:rPr>
        <w:t>1 immunity against dietary antigens</w:t>
      </w:r>
      <w:r w:rsidR="00657735" w:rsidRPr="00BA6F83">
        <w:rPr>
          <w:color w:val="000000" w:themeColor="text1"/>
          <w:lang w:val="en-US"/>
        </w:rPr>
        <w:fldChar w:fldCharType="begin" w:fldLock="1"/>
      </w:r>
      <w:r w:rsidR="00956E8C" w:rsidRPr="00BA6F83">
        <w:rPr>
          <w:color w:val="000000" w:themeColor="text1"/>
          <w:lang w:val="en-US"/>
        </w:rPr>
        <w:instrText>ADDIN CSL_CITATION {"citationItems":[{"id":"ITEM-1","itemData":{"DOI":"10.1126/science.aah5298","ISBN":"1095-9203 (Electronic) 0036-8075 (Linking)","ISSN":"10959203","PMID":"28386004","abstract":"Viral infections have been proposed to elicit pathological processes leading to the initiation of T helper 1 (TH1) immunity against dietary gluten and celiac disease (CeD). To test this hypothesis and gain insights into mechanisms underlying virus-induced loss of tolerance to dietary antigens, we developed a viral infection model that makes use of two reovirus strains that infect the intestine but differ in their immunopathological outcomes. Reovirus is an avirulent pathogen that elicits protective immunity, but we discovered that it can nonetheless disrupt intestinal immune homeostasis at inductive and effector sites of oral tolerance by suppressing peripheral regulatory T cell (pTreg) conversion and promoting TH1 immunity to dietary antigen. Initiation of TH1 immunity to dietary antigen was dependent on interferon regulatory factor 1 and dissociated from suppression of pTreg conversion, which was mediated by type-1 interferon. Last, our study in humans supports a role for infection with reovirus, a seemingly innocuous virus, in triggering the development of CeD.","author":[{"dropping-particle":"","family":"Bouziat","given":"Romain","non-dropping-particle":"","parse-names":false,"suffix":""},{"dropping-particle":"","family":"Hinterleitner","given":"Reinhard","non-dropping-particle":"","parse-names":false,"suffix":""},{"dropping-particle":"","family":"Brown","given":"Judy J.","non-dropping-particle":"","parse-names":false,"suffix":""},{"dropping-particle":"","family":"Stencel-Baerenwald","given":"Jennifer E.","non-dropping-particle":"","parse-names":false,"suffix":""},{"dropping-particle":"","family":"Ikizler","given":"Mine","non-dropping-particle":"","parse-names":false,"suffix":""},{"dropping-particle":"","family":"Mayassi","given":"Toufic","non-dropping-particle":"","parse-names":false,"suffix":""},{"dropping-particle":"","family":"Meisel","given":"Marlies","non-dropping-particle":"","parse-names":false,"suffix":""},{"dropping-particle":"","family":"Kim","given":"Sangman M.","non-dropping-particle":"","parse-names":false,"suffix":""},{"dropping-particle":"","family":"Discepolo","given":"Valentina","non-dropping-particle":"","parse-names":false,"suffix":""},{"dropping-particle":"","family":"Pruijssers","given":"Andrea J.","non-dropping-particle":"","parse-names":false,"suffix":""},{"dropping-particle":"","family":"Ernest","given":"Jordan D.","non-dropping-particle":"","parse-names":false,"suffix":""},{"dropping-particle":"","family":"Iskarpatyoti","given":"Jason A.","non-dropping-particle":"","parse-names":false,"suffix":""},{"dropping-particle":"","family":"Costes","given":"Léa M.M.","non-dropping-particle":"","parse-names":false,"suffix":""},{"dropping-particle":"","family":"Lawrence","given":"Ian","non-dropping-particle":"","parse-names":false,"suffix":""},{"dropping-particle":"","family":"Palanski","given":"Brad A.","non-dropping-particle":"","parse-names":false,"suffix":""},{"dropping-particle":"","family":"Varma","given":"Mukund","non-dropping-particle":"","parse-names":false,"suffix":""},{"dropping-particle":"","family":"Zurenski","given":"Matthew A.","non-dropping-particle":"","parse-names":false,"suffix":""},{"dropping-particle":"","family":"Khomandiak","given":"Solomiia","non-dropping-particle":"","parse-names":false,"suffix":""},{"dropping-particle":"","family":"McAllister","given":"Nicole","non-dropping-particle":"","parse-names":false,"suffix":""},{"dropping-particle":"","family":"Aravamudhan","given":"Pavithra","non-dropping-particle":"","parse-names":false,"suffix":""},{"dropping-particle":"","family":"Boehme","given":"Karl W.","non-dropping-particle":"","parse-names":false,"suffix":""},{"dropping-particle":"","family":"Hu","given":"Fengling","non-dropping-particle":"","parse-names":false,"suffix":""},{"dropping-particle":"","family":"Samsom","given":"Janneke N.","non-dropping-particle":"","parse-names":false,"suffix":""},{"dropping-particle":"","family":"Reinecker","given":"Hans Christian","non-dropping-particle":"","parse-names":false,"suffix":""},{"dropping-particle":"","family":"Kupfer","given":"Sonia S.","non-dropping-particle":"","parse-names":false,"suffix":""},{"dropping-particle":"","family":"Guandalini","given":"Stefano","non-dropping-particle":"","parse-names":false,"suffix":""},{"dropping-particle":"","family":"Semrad","given":"Carol E.","non-dropping-particle":"","parse-names":false,"suffix":""},{"dropping-particle":"","family":"Abadie","given":"Valérie","non-dropping-particle":"","parse-names":false,"suffix":""},{"dropping-particle":"","family":"Khosla","given":"Chaitan","non-dropping-particle":"","parse-names":false,"suffix":""},{"dropping-particle":"","family":"Barreiro","given":"Luis B.","non-dropping-particle":"","parse-names":false,"suffix":""},{"dropping-particle":"","family":"Xavier","given":"Ramnik J.","non-dropping-particle":"","parse-names":false,"suffix":""},{"dropping-particle":"","family":"Ng","given":"Aylwin","non-dropping-particle":"","parse-names":false,"suffix":""},{"dropping-particle":"","family":"Dermody","given":"Terence S.","non-dropping-particle":"","parse-names":false,"suffix":""},{"dropping-particle":"","family":"Jabri","given":"Bana","non-dropping-particle":"","parse-names":false,"suffix":""}],"container-title":"Science","id":"ITEM-1","issue":"6333","issued":{"date-parts":[["2017"]]},"page":"44-50","title":"Reovirus infection triggers inflammatory responses to dietary antigens and development of celiac disease","type":"article-journal","volume":"356"},"uris":["http://www.mendeley.com/documents/?uuid=f82f600e-1978-4b05-931f-596cb6241cd5"]}],"mendeley":{"formattedCitation":"&lt;sup&gt;5&lt;/sup&gt;","plainTextFormattedCitation":"5","previouslyFormattedCitation":"&lt;sup&gt;5&lt;/sup&gt;"},"properties":{"noteIndex":0},"schema":"https://github.com/citation-style-language/schema/raw/master/csl-citation.json"}</w:instrText>
      </w:r>
      <w:r w:rsidR="00657735" w:rsidRPr="00BA6F83">
        <w:rPr>
          <w:color w:val="000000" w:themeColor="text1"/>
          <w:lang w:val="en-US"/>
        </w:rPr>
        <w:fldChar w:fldCharType="separate"/>
      </w:r>
      <w:r w:rsidR="00956E8C" w:rsidRPr="00BA6F83">
        <w:rPr>
          <w:noProof/>
          <w:color w:val="000000" w:themeColor="text1"/>
          <w:vertAlign w:val="superscript"/>
          <w:lang w:val="en-US"/>
        </w:rPr>
        <w:t>5</w:t>
      </w:r>
      <w:r w:rsidR="00657735" w:rsidRPr="00BA6F83">
        <w:rPr>
          <w:color w:val="000000" w:themeColor="text1"/>
          <w:lang w:val="en-US"/>
        </w:rPr>
        <w:fldChar w:fldCharType="end"/>
      </w:r>
      <w:r w:rsidR="0091565F" w:rsidRPr="00BA6F83">
        <w:rPr>
          <w:color w:val="000000" w:themeColor="text1"/>
          <w:lang w:val="en-US"/>
        </w:rPr>
        <w:t xml:space="preserve">. </w:t>
      </w:r>
    </w:p>
    <w:p w14:paraId="1F892E27" w14:textId="78975F7F" w:rsidR="00166E4E" w:rsidRPr="00BA6F83" w:rsidRDefault="00166E4E" w:rsidP="00F575C6">
      <w:pPr>
        <w:spacing w:after="120" w:line="480" w:lineRule="auto"/>
        <w:ind w:firstLine="720"/>
        <w:jc w:val="both"/>
        <w:rPr>
          <w:color w:val="000000" w:themeColor="text1"/>
          <w:lang w:val="en-US"/>
        </w:rPr>
      </w:pPr>
      <w:r w:rsidRPr="00BA6F83">
        <w:rPr>
          <w:color w:val="000000" w:themeColor="text1"/>
          <w:lang w:val="en-US"/>
        </w:rPr>
        <w:t xml:space="preserve">The clinical relevance of our findings </w:t>
      </w:r>
      <w:r w:rsidR="00B44CE5" w:rsidRPr="00BA6F83">
        <w:rPr>
          <w:color w:val="000000" w:themeColor="text1"/>
          <w:lang w:val="en-US"/>
        </w:rPr>
        <w:t>i</w:t>
      </w:r>
      <w:r w:rsidRPr="00BA6F83">
        <w:rPr>
          <w:color w:val="000000" w:themeColor="text1"/>
          <w:lang w:val="en-US"/>
        </w:rPr>
        <w:t xml:space="preserve">s highlighted by the observation that IBS patients developed an immediate mucosal response to intramucosal injection </w:t>
      </w:r>
      <w:r w:rsidR="004A2428" w:rsidRPr="00BA6F83">
        <w:rPr>
          <w:color w:val="000000" w:themeColor="text1"/>
          <w:lang w:val="en-US"/>
        </w:rPr>
        <w:t>of</w:t>
      </w:r>
      <w:r w:rsidRPr="00BA6F83">
        <w:rPr>
          <w:color w:val="000000" w:themeColor="text1"/>
          <w:lang w:val="en-US"/>
        </w:rPr>
        <w:t xml:space="preserve"> 4 different dietary items (wheat, gluten, soy and milk), a technique previously described in patients with suspected and proven </w:t>
      </w:r>
      <w:r w:rsidR="0091565F" w:rsidRPr="00BA6F83">
        <w:rPr>
          <w:color w:val="000000" w:themeColor="text1"/>
          <w:lang w:val="en-US"/>
        </w:rPr>
        <w:t xml:space="preserve">systemic </w:t>
      </w:r>
      <w:r w:rsidRPr="00BA6F83">
        <w:rPr>
          <w:color w:val="000000" w:themeColor="text1"/>
          <w:lang w:val="en-US"/>
        </w:rPr>
        <w:t>food allergy</w:t>
      </w:r>
      <w:r w:rsidR="001820A9" w:rsidRPr="00BA6F83">
        <w:rPr>
          <w:color w:val="000000" w:themeColor="text1"/>
          <w:lang w:val="en-US"/>
        </w:rPr>
        <w:fldChar w:fldCharType="begin" w:fldLock="1"/>
      </w:r>
      <w:r w:rsidR="00756206">
        <w:rPr>
          <w:color w:val="000000" w:themeColor="text1"/>
          <w:lang w:val="en-US"/>
        </w:rPr>
        <w:instrText>ADDIN CSL_CITATION {"citationItems":[{"id":"ITEM-1","itemData":{"DOI":"10.1159/000237598","ISSN":"14230097","PMID":"9130574","abstract":"BACKGROUND: To improve the diagnosis of intestinal allergy, we developed a colonoscopic allergen provocation (COLAP) test. METHODS: The cecal mucosa was challenged with three food antigen extracts, a buffer control and a positive control (histamine). The mucosal wheal and flare reaction was registered semiquantitatively 20 min after challenge, and selected tissue biopsies were examined for mast cell and eosinophil activation by immunohistochemistry and electron microscopy. The COLAP test was performed on 70 adult patients with abdominal symptoms suspected to be related to food allergy and in 5 healthy volunteers. In parallel, skin prick tests were performed and IgE was measured in serum. RESULTS: 97 out of 210 antigen challenges performed in the patient group induced a significant wheal and flare reaction of the mucosa (46%), whereas no reaction in response to antigen was observed in healthy volunteers. Antigen-induced wheal and flare reactions were dependent on patients' histories of adverse reactions to food, but not on serum levels of specific IgE or skin test results. Degranulation of mast cells was observed in almost all tissues in which food antigens caused a wheal and flare reaction. Eosinophil activation was also highly correlated with the extent of the wheal and flare reaction (r(s) = 0.86). CONCLUSIONS: The data suggest that the COLAP test may be a useful diagnostic means in patients with suspected intestinal food allergy and a new tool for the study of underlying mechanisms.","author":[{"dropping-particle":"","family":"Bischoff","given":"Stephan C.","non-dropping-particle":"","parse-names":false,"suffix":""},{"dropping-particle":"","family":"Mayer","given":"Julika","non-dropping-particle":"","parse-names":false,"suffix":""},{"dropping-particle":"","family":"Meier","given":"Peter N.","non-dropping-particle":"","parse-names":false,"suffix":""},{"dropping-particle":"","family":"Zeck-Kapp","given":"Gabi","non-dropping-particle":"","parse-names":false,"suffix":""},{"dropping-particle":"","family":"Manns","given":"Michael P.","non-dropping-particle":"","parse-names":false,"suffix":""}],"container-title":"International Archives of Allergy and Immunology","id":"ITEM-1","issued":{"date-parts":[["1997"]]},"page":"348-51","title":"Clinical significance of the colonoscopic allergen provocation test","type":"article-journal","volume":"113"},"uris":["http://www.mendeley.com/documents/?uuid=7e1779cb-b47f-4797-8275-c2f40009a7ff"]}],"mendeley":{"formattedCitation":"&lt;sup&gt;61&lt;/sup&gt;","plainTextFormattedCitation":"61","previouslyFormattedCitation":"&lt;sup&gt;60&lt;/sup&gt;"},"properties":{"noteIndex":0},"schema":"https://github.com/citation-style-language/schema/raw/master/csl-citation.json"}</w:instrText>
      </w:r>
      <w:r w:rsidR="001820A9" w:rsidRPr="00BA6F83">
        <w:rPr>
          <w:color w:val="000000" w:themeColor="text1"/>
          <w:lang w:val="en-US"/>
        </w:rPr>
        <w:fldChar w:fldCharType="separate"/>
      </w:r>
      <w:r w:rsidR="00756206" w:rsidRPr="00756206">
        <w:rPr>
          <w:noProof/>
          <w:color w:val="000000" w:themeColor="text1"/>
          <w:vertAlign w:val="superscript"/>
          <w:lang w:val="en-US"/>
        </w:rPr>
        <w:t>61</w:t>
      </w:r>
      <w:r w:rsidR="001820A9" w:rsidRPr="00BA6F83">
        <w:rPr>
          <w:color w:val="000000" w:themeColor="text1"/>
          <w:lang w:val="en-US"/>
        </w:rPr>
        <w:fldChar w:fldCharType="end"/>
      </w:r>
      <w:r w:rsidRPr="00BA6F83">
        <w:rPr>
          <w:color w:val="000000" w:themeColor="text1"/>
          <w:lang w:val="en-US"/>
        </w:rPr>
        <w:t xml:space="preserve">. This response was associated with evidence of increased MC degranulation </w:t>
      </w:r>
      <w:r w:rsidR="00AF265D" w:rsidRPr="00BA6F83">
        <w:rPr>
          <w:color w:val="000000" w:themeColor="text1"/>
          <w:lang w:val="en-US"/>
        </w:rPr>
        <w:t xml:space="preserve">and release of MC-tryptase </w:t>
      </w:r>
      <w:r w:rsidR="00AF265D" w:rsidRPr="00BA6F83">
        <w:rPr>
          <w:color w:val="000000" w:themeColor="text1"/>
          <w:lang w:val="en-US"/>
        </w:rPr>
        <w:lastRenderedPageBreak/>
        <w:t>from</w:t>
      </w:r>
      <w:r w:rsidRPr="00BA6F83">
        <w:rPr>
          <w:color w:val="000000" w:themeColor="text1"/>
          <w:lang w:val="en-US"/>
        </w:rPr>
        <w:t xml:space="preserve"> biopsies collected from the injected sites.</w:t>
      </w:r>
      <w:r w:rsidR="00661061" w:rsidRPr="00BA6F83">
        <w:rPr>
          <w:color w:val="000000" w:themeColor="text1"/>
          <w:lang w:val="en-US"/>
        </w:rPr>
        <w:t xml:space="preserve"> </w:t>
      </w:r>
      <w:r w:rsidR="0091565F" w:rsidRPr="00BA6F83">
        <w:rPr>
          <w:color w:val="000000" w:themeColor="text1"/>
          <w:lang w:val="en-US"/>
        </w:rPr>
        <w:t xml:space="preserve">These findings are supported by several previous clinical studies examining dietary antigens. One </w:t>
      </w:r>
      <w:r w:rsidRPr="00BA6F83">
        <w:rPr>
          <w:color w:val="000000" w:themeColor="text1"/>
          <w:lang w:val="en-US"/>
        </w:rPr>
        <w:t>demonstrat</w:t>
      </w:r>
      <w:r w:rsidR="0091565F" w:rsidRPr="00BA6F83">
        <w:rPr>
          <w:color w:val="000000" w:themeColor="text1"/>
          <w:lang w:val="en-US"/>
        </w:rPr>
        <w:t>ed</w:t>
      </w:r>
      <w:r w:rsidRPr="00BA6F83">
        <w:rPr>
          <w:color w:val="000000" w:themeColor="text1"/>
          <w:lang w:val="en-US"/>
        </w:rPr>
        <w:t xml:space="preserve"> an immediate mucosal reaction of the duodenal mucosa in IBS patients to perfusion with </w:t>
      </w:r>
      <w:r w:rsidR="00CC1B32" w:rsidRPr="00BA6F83">
        <w:rPr>
          <w:color w:val="000000" w:themeColor="text1"/>
          <w:lang w:val="en-US"/>
        </w:rPr>
        <w:t>yeast, wheat, soy and milk</w:t>
      </w:r>
      <w:r w:rsidR="000178ED" w:rsidRPr="00BA6F83">
        <w:rPr>
          <w:color w:val="000000" w:themeColor="text1"/>
          <w:lang w:val="en-US"/>
        </w:rPr>
        <w:fldChar w:fldCharType="begin" w:fldLock="1"/>
      </w:r>
      <w:r w:rsidR="008151E0">
        <w:rPr>
          <w:color w:val="000000" w:themeColor="text1"/>
          <w:lang w:val="en-US"/>
        </w:rPr>
        <w:instrText>ADDIN CSL_CITATION {"citationItems":[{"id":"ITEM-1","itemData":{"DOI":"10.1053/j.gastro.2019.03.046","ISSN":"00165085","author":[{"dropping-particle":"","family":"Fritscher-Ravens","given":"Annette","non-dropping-particle":"","parse-names":false,"suffix":""},{"dropping-particle":"","family":"Pflaum","given":"Theresa","non-dropping-particle":"","parse-names":false,"suffix":""},{"dropping-particle":"","family":"Mösinger","given":"Marie","non-dropping-particle":"","parse-names":false,"suffix":""},{"dropping-particle":"","family":"Ruchai","given":"Zino","non-dropping-particle":"","parse-names":false,"suffix":""},{"dropping-particle":"","family":"Röcken","given":"Christoph","non-dropping-particle":"","parse-names":false,"suffix":""},{"dropping-particle":"","family":"Milla","given":"Peter J.","non-dropping-particle":"","parse-names":false,"suffix":""},{"dropping-particle":"","family":"Das","given":"Melda","non-dropping-particle":"","parse-names":false,"suffix":""},{"dropping-particle":"","family":"Böttner","given":"Martina","non-dropping-particle":"","parse-names":false,"suffix":""},{"dropping-particle":"","family":"Wedel","given":"Thilo","non-dropping-particle":"","parse-names":false,"suffix":""},{"dropping-particle":"","family":"Schuppan","given":"Detlef","non-dropping-particle":"","parse-names":false,"suffix":""}],"container-title":"Gastroenterology","id":"ITEM-1","issued":{"date-parts":[["2019"]]},"title":"Many Patients With Irritable Bowel Syndrome Have Atypical Food Allergies Not Associated With Immunoglobulin E","type":"article-journal","volume":"DOI"},"uris":["http://www.mendeley.com/documents/?uuid=373b32a0-ed3e-4cbf-9fc2-17a5a73df190","http://www.mendeley.com/documents/?uuid=1c0efff3-4048-4582-972b-0dc0cf3d4ba1"]},{"id":"ITEM-2","itemData":{"DOI":"10.1053/j.gastro.2014.07.046","ISBN":"1528-0012 (Electronic)\\r0016-5085 (Linking)","ISSN":"1528-0012","PMID":"25083606","abstract":"BACKGROUND: &amp; Aims: We investigated suspected food intolerances in patients with irritable bowel syndrome (IBS) using confocal laser endomicroscopy (CLE) for real time visualization of structural/functional changes in the intestinal mucosa following food challenge. Patients with functional changes following food challenge (CLE+) were placed on personalized exclusion diets and followed for long-term symptom relief.\\n\\nMETHODS: Thirty-six IBS patients with suspected food intolerance and 10 with Barrett's esophagus (controls) without IBS-symptoms were examined by CLE at University Hospital, Kiel, Germany. Diluted food antigens were directly administered to the duodenal mucosa through the working channel of the endoscope. Epithelial breaks, inter-villous spaces, and numbers of intraepithelial lymphocytes (IEL) were measured before/after food challenge. CLE+ patients were placed on exclusion diets, given symptom score questionnaires, and followed for 1 year; controls resumed their previous diet.\\n\\nRESULTS: CLE revealed real-time response to food antigens in 22/36 patients; no responses were observed in 14/36 patients (CLE-) or any of the controls. Baseline IEL were significantly higher in CLE+ than CLE- subjects (P=.004); numbers increased significantly following food challenge(P=.0008). Within 5 minutes of exposure of CLE+ patients to food antigens, IEL increased, epithelial leaks/gaps formed, intervillous spaces widened. Epithelial leaks and intervillous spaces also increased significantly in CLE+ vs baseline (both P&lt;.001). Concordance of IEL measured by CLE and conventional histology was 70.6%; they did not correlate (P=.89; r2=0.027). Symptom scores improved &gt;50% in CLE+ patients after 4 weeks exclusion diet and increased to 74% at 12 months; symptoms continued in CLE- patients.\\n\\nCONCLUSIONS: Based on CLE analysis of IBS patients with suspected food intolerance, exposure to candidate food antigens caused immediate breaks, increased intervillous spaces and IEL in the intestinal mucosa. These changes associate with patients' response to exclusion diets Registered at clinicaltrials.gov (registration number: NCT01692613).","author":[{"dropping-particle":"","family":"Fritscher-Ravens","given":"Annette","non-dropping-particle":"","parse-names":false,"suffix":""},{"dropping-particle":"","family":"Schuppan","given":"Detlef","non-dropping-particle":"","parse-names":false,"suffix":""},{"dropping-particle":"","family":"Ellrichmann","given":"Mark","non-dropping-particle":"","parse-names":false,"suffix":""},{"dropping-particle":"","family":"Schoch","given":"Stefan","non-dropping-particle":"","parse-names":false,"suffix":""},{"dropping-particle":"","family":"Röcken","given":"Christoph","non-dropping-particle":"","parse-names":false,"suffix":""},{"dropping-particle":"","family":"Brasch","given":"Jochen","non-dropping-particle":"","parse-names":false,"suffix":""},{"dropping-particle":"","family":"Bethge","given":"Johannes","non-dropping-particle":"","parse-names":false,"suffix":""},{"dropping-particle":"","family":"Böttner","given":"Martina","non-dropping-particle":"","parse-names":false,"suffix":""},{"dropping-particle":"","family":"Klose","given":"Julius","non-dropping-particle":"","parse-names":false,"suffix":""},{"dropping-particle":"","family":"Milla","given":"Peter J.","non-dropping-particle":"","parse-names":false,"suffix":""}],"container-title":"Gastroenterology","id":"ITEM-2","issue":"5","issued":{"date-parts":[["2014"]]},"page":"1012-1020.e3","title":"Confocal endomicroscopy shows food-associated changes in the intestinal mucosa of patients with irritable bowel syndrome","type":"article-journal","volume":"147"},"uris":["http://www.mendeley.com/documents/?uuid=6b5adc6f-863f-4cd9-aa43-7db6d659e036"]}],"mendeley":{"formattedCitation":"&lt;sup&gt;50,51&lt;/sup&gt;","plainTextFormattedCitation":"50,51","previouslyFormattedCitation":"&lt;sup&gt;50,51&lt;/sup&gt;"},"properties":{"noteIndex":0},"schema":"https://github.com/citation-style-language/schema/raw/master/csl-citation.json"}</w:instrText>
      </w:r>
      <w:r w:rsidR="000178ED" w:rsidRPr="00BA6F83">
        <w:rPr>
          <w:color w:val="000000" w:themeColor="text1"/>
          <w:lang w:val="en-US"/>
        </w:rPr>
        <w:fldChar w:fldCharType="separate"/>
      </w:r>
      <w:r w:rsidR="008151E0" w:rsidRPr="008151E0">
        <w:rPr>
          <w:noProof/>
          <w:color w:val="000000" w:themeColor="text1"/>
          <w:vertAlign w:val="superscript"/>
          <w:lang w:val="en-US"/>
        </w:rPr>
        <w:t>50,51</w:t>
      </w:r>
      <w:r w:rsidR="000178ED" w:rsidRPr="00BA6F83">
        <w:rPr>
          <w:color w:val="000000" w:themeColor="text1"/>
          <w:lang w:val="en-US"/>
        </w:rPr>
        <w:fldChar w:fldCharType="end"/>
      </w:r>
      <w:r w:rsidRPr="00BA6F83">
        <w:rPr>
          <w:color w:val="000000" w:themeColor="text1"/>
          <w:lang w:val="en-US"/>
        </w:rPr>
        <w:t xml:space="preserve">. Of note, elimination of those food items that elicited a mucosal response </w:t>
      </w:r>
      <w:r w:rsidR="00A23AF5" w:rsidRPr="00BA6F83">
        <w:rPr>
          <w:color w:val="000000" w:themeColor="text1"/>
          <w:lang w:val="en-US"/>
        </w:rPr>
        <w:t xml:space="preserve">from the diet </w:t>
      </w:r>
      <w:r w:rsidRPr="00BA6F83">
        <w:rPr>
          <w:color w:val="000000" w:themeColor="text1"/>
          <w:lang w:val="en-US"/>
        </w:rPr>
        <w:t xml:space="preserve">resulted in symptom </w:t>
      </w:r>
      <w:r w:rsidR="00A23AF5" w:rsidRPr="00BA6F83">
        <w:rPr>
          <w:color w:val="000000" w:themeColor="text1"/>
          <w:lang w:val="en-US"/>
        </w:rPr>
        <w:t>attenuation</w:t>
      </w:r>
      <w:r w:rsidRPr="00BA6F83">
        <w:rPr>
          <w:color w:val="000000" w:themeColor="text1"/>
          <w:lang w:val="en-US"/>
        </w:rPr>
        <w:t xml:space="preserve">. </w:t>
      </w:r>
      <w:r w:rsidR="00E25009" w:rsidRPr="00BA6F83">
        <w:rPr>
          <w:color w:val="000000" w:themeColor="text1"/>
          <w:lang w:val="en-US"/>
        </w:rPr>
        <w:t xml:space="preserve">Based on our data, </w:t>
      </w:r>
      <w:r w:rsidRPr="00BA6F83">
        <w:rPr>
          <w:color w:val="000000" w:themeColor="text1"/>
          <w:lang w:val="en-US"/>
        </w:rPr>
        <w:t>we propose that IBS, at least a</w:t>
      </w:r>
      <w:r w:rsidR="00617474" w:rsidRPr="00BA6F83">
        <w:rPr>
          <w:color w:val="000000" w:themeColor="text1"/>
          <w:lang w:val="en-US"/>
        </w:rPr>
        <w:t>n immunogenetically</w:t>
      </w:r>
      <w:r w:rsidRPr="00BA6F83">
        <w:rPr>
          <w:color w:val="000000" w:themeColor="text1"/>
          <w:lang w:val="en-US"/>
        </w:rPr>
        <w:t xml:space="preserve"> </w:t>
      </w:r>
      <w:r w:rsidR="00617474" w:rsidRPr="00BA6F83">
        <w:rPr>
          <w:color w:val="000000" w:themeColor="text1"/>
          <w:lang w:val="en-US"/>
        </w:rPr>
        <w:t xml:space="preserve">susceptible </w:t>
      </w:r>
      <w:r w:rsidRPr="00BA6F83">
        <w:rPr>
          <w:color w:val="000000" w:themeColor="text1"/>
          <w:lang w:val="en-US"/>
        </w:rPr>
        <w:t>subgroup</w:t>
      </w:r>
      <w:r w:rsidR="00AF265D" w:rsidRPr="00BA6F83">
        <w:rPr>
          <w:color w:val="000000" w:themeColor="text1"/>
          <w:lang w:val="en-US"/>
        </w:rPr>
        <w:t xml:space="preserve"> of patients</w:t>
      </w:r>
      <w:r w:rsidRPr="00BA6F83">
        <w:rPr>
          <w:color w:val="000000" w:themeColor="text1"/>
          <w:lang w:val="en-US"/>
        </w:rPr>
        <w:t xml:space="preserve">, is part of a spectrum of food-induced disorders mediated by MC activation, with </w:t>
      </w:r>
      <w:r w:rsidR="00617474" w:rsidRPr="00BA6F83">
        <w:rPr>
          <w:color w:val="000000" w:themeColor="text1"/>
          <w:lang w:val="en-US"/>
        </w:rPr>
        <w:t xml:space="preserve">systemic </w:t>
      </w:r>
      <w:r w:rsidRPr="00BA6F83">
        <w:rPr>
          <w:color w:val="000000" w:themeColor="text1"/>
          <w:lang w:val="en-US"/>
        </w:rPr>
        <w:t>food allergy at the extreme end of the spectrum. The final phenotype most likely depends on the genetic make-up favoring a</w:t>
      </w:r>
      <w:r w:rsidR="00B86674" w:rsidRPr="00BA6F83">
        <w:rPr>
          <w:color w:val="000000" w:themeColor="text1"/>
          <w:lang w:val="en-US"/>
        </w:rPr>
        <w:t xml:space="preserve">n atopic </w:t>
      </w:r>
      <w:r w:rsidRPr="00BA6F83">
        <w:rPr>
          <w:color w:val="000000" w:themeColor="text1"/>
          <w:lang w:val="en-US"/>
        </w:rPr>
        <w:t>immune response</w:t>
      </w:r>
      <w:r w:rsidR="00384046" w:rsidRPr="00BA6F83">
        <w:rPr>
          <w:color w:val="000000" w:themeColor="text1"/>
          <w:lang w:val="en-US"/>
        </w:rPr>
        <w:t>.</w:t>
      </w:r>
      <w:r w:rsidR="007D02F4" w:rsidRPr="00BA6F83">
        <w:rPr>
          <w:color w:val="000000" w:themeColor="text1"/>
          <w:lang w:val="en-US"/>
        </w:rPr>
        <w:t xml:space="preserve"> </w:t>
      </w:r>
      <w:r w:rsidRPr="00BA6F83">
        <w:rPr>
          <w:color w:val="000000" w:themeColor="text1"/>
          <w:lang w:val="en-US"/>
        </w:rPr>
        <w:t xml:space="preserve">This hypothesis is further supported by the association of IBS with atopic diseases such as </w:t>
      </w:r>
      <w:r w:rsidR="007D02F4" w:rsidRPr="00BA6F83">
        <w:rPr>
          <w:color w:val="000000" w:themeColor="text1"/>
          <w:lang w:val="en-US"/>
        </w:rPr>
        <w:t>allergic rhinitis, allergic eczema or asthma</w:t>
      </w:r>
      <w:r w:rsidR="000178ED" w:rsidRPr="00BA6F83">
        <w:rPr>
          <w:color w:val="000000" w:themeColor="text1"/>
          <w:lang w:val="en-US"/>
        </w:rPr>
        <w:fldChar w:fldCharType="begin" w:fldLock="1"/>
      </w:r>
      <w:r w:rsidR="00756206">
        <w:rPr>
          <w:color w:val="000000" w:themeColor="text1"/>
          <w:lang w:val="en-US"/>
        </w:rPr>
        <w:instrText>ADDIN CSL_CITATION {"citationItems":[{"id":"ITEM-1","itemData":{"DOI":"10.1016/S1081-1206(10)60404-8","ISSN":"10811206","PMID":"18254482","abstract":"Background: Mast cells have a primary role in atopy. Mast cells may play a unique role in a subgroup of patients with irritable bowel syndrome (IBS). This observation suggests a link between atopic disorders and IBS. Objective: To determine whether there is an association between atopic disorders and IBS. Methods: We undertook a prospective study using structured questionnaires. We administered questionnaires to 125 consecutive patients seen in the following clinics from July 1 through October 31, 2001: allergy/immunology (AI) (n = 39), gastroenterology (n = 36), and general medicine (n = 50). The survey included questions detailing gastrointestinal and allergic symptoms. Diagnosis of IBS was based on Rome II criteria. Diagnosis of atopy was based on clinical parameters. Results: The AI clinic reported a significantly (P = .015) higher rate of IBS than the general medicine clinic. The IBS incidence reported in the AI clinic was similar to that reported in the gastroenterology clinic. The likelihood of IBS was significantly higher in patients with seasonal allergic rhinitis (2.67 times; 95% confidence interval [CI], 1.10-6.49; P = .03), patients with allergic eczema (3.85 times; 95% CI, 1.72-8.60; P = .001), and patients with depression (2.56 times; 95% CI, 1.05-6.14; P = .04). Patients reporting atopic symptoms (seasonal allergic rhinitis, allergic eczema, and asthma) were 3.20 times (95% CI, 1.20-8.50) (P = .02) more likely to fulfill the criteria for IBS. Conclusions: Adults with atopic symptoms report a high incidence of IBS, suggesting a link between atopy and IBS. We proposed a subgroup of patients with IBS (atopic IBS) who have typical IBS symptoms in association with atopic manifestations. Identifying atopic vs nonatopic IBS may help in identifying the underlying pathophysiologic mechanisms and therapeutic options.","author":[{"dropping-particle":"","family":"Tobin","given":"Mary C.","non-dropping-particle":"","parse-names":false,"suffix":""},{"dropping-particle":"","family":"Moparty","given":"Bhavani","non-dropping-particle":"","parse-names":false,"suffix":""},{"dropping-particle":"","family":"Farhadi","given":"Ashkan","non-dropping-particle":"","parse-names":false,"suffix":""},{"dropping-particle":"","family":"DeMeo","given":"Mark T.","non-dropping-particle":"","parse-names":false,"suffix":""},{"dropping-particle":"","family":"Bansal","given":"Priya J.","non-dropping-particle":"","parse-names":false,"suffix":""},{"dropping-particle":"","family":"Keshavarzian","given":"Ali","non-dropping-particle":"","parse-names":false,"suffix":""}],"container-title":"Annals of Allergy, Asthma and Immunology","id":"ITEM-1","issue":"1","issued":{"date-parts":[["2008"]]},"page":"49-53","title":"Atopic irritable bowel syndrome: A novel subgroup of irritable bowel syndrome with allergic manifestations","type":"article-journal","volume":"100"},"uris":["http://www.mendeley.com/documents/?uuid=40196f2b-0a5b-494c-a564-2d2f82c2f0ba"]},{"id":"ITEM-2","itemData":{"DOI":"10.1111/apt.12846","ISSN":"1365-2036 (Electronic)","PMID":"24961872","abstract":"BACKGROUND: Activation of the immune system has been demonstrated in atopy and functional gastrointestinal disorders (FGIDs). Previous data from our group have suggested a connection between immune dysregulation, FGIDs and mood disorders. AIM: To investigate if these data translate to clinical practice and examine connections from the perspective of FGIDs to determine whether atopy and FGIDs are connected via mood disorders. METHODS: Evidence of irritable bowel syndrome (IBS), functional dyspepsia (FD) and constipation was sought from the medical records of 30,000 primary care records over a minimum 5 year period. The same records yielded diagnoses of four atopic conditions (asthma, eczema, allergic rhinitis/hay fever and conjunctivitis). RESULTS: Atopic conditions were found in excess among all FGID groups considered when compared with controls. In the groups with IBS alone (OR = 1.43, 1.29-1.58), FD alone (OR = 1.41, 1.26-1.58) and those with multiple FGIDs (OR = 1.92, 1.75-2.12) there was elevated prevalence of asthma compared with controls without a FGID. Across disorders the excess was generally highest among patients diagnosed with multiple FGIDs (rhinitis/hay fever OR = 3.74, 3.32-4.20; conjunctivitis OR = 3.00, 2.49-3.62) and was only partly explained by a common association between both FGIDs and atopic conditions with mood disorders, although not for every atopic/FGID combination (rhinitis/hay fever OR = 2.60, 2.29-2.96, conjunctivitis OR = 2.34, 1.90-2.87). CONCLUSIONS: Irritable bowel syndrome, functional dyspepsia and constipation share an association with atopy that is only partly explained via a common connection with mood disorders. These data have important implications for understanding both the pathophysiology of functional gastrointestinal disorders and development of new treatments.","author":[{"dropping-particle":"","family":"Jones","given":"M P","non-dropping-particle":"","parse-names":false,"suffix":""},{"dropping-particle":"","family":"Walker","given":"M M","non-dropping-particle":"","parse-names":false,"suffix":""},{"dropping-particle":"","family":"Ford","given":"A C","non-dropping-particle":"","parse-names":false,"suffix":""},{"dropping-particle":"","family":"Talley","given":"N J","non-dropping-particle":"","parse-names":false,"suffix":""}],"container-title":"Alimentary pharmacology &amp; therapeutics","id":"ITEM-2","issue":"4","issued":{"date-parts":[["2014"]]},"page":"382-391","title":"The overlap of atopy and functional gastrointestinal disorders among 23,471 patients in primary care.","type":"article-journal","volume":"40"},"uris":["http://www.mendeley.com/documents/?uuid=194edd41-4d8e-409a-8003-4dcb4742b9c4"]},{"id":"ITEM-3","itemData":{"DOI":"10.1097/MPG.0000000000001219","ISSN":"15364801","PMID":"27035379","abstract":"OBJECTIVES: The aim of the study was to systemically investigate the risk of subsequent irritable bowel syndrome (IBS) in children with antecedent allergic diseases in a population-based case-control study in Taiwan. METHODS: We evaluated 11,242 children (age range: 7-18 years) with IBS and 44,968 age- and sex-matched control subjects who had been examined between 2000 and 2008. IBS odds ratios were calculated for children with antecedent allergic diseases, including allergic conjunctivitis, allergic rhinitis, asthma, atopic dermatitis, urticaria, and food allergy. RESULTS: Children with antecedent allergic diseases had a greater risk of IBS than did control subjects (P &lt; 0.001). Among the 6 evaluated diseases, the highest adjusted odds ratio of 1.78 was observed with allergic rhinitis (95% confidence interval [CI], 1.69-1.87). With 2 or more allergic diseases, the adjusted odds ratios increased to 2.06 (95% CI, 1.93-2.19) for all subjects, 2.07 (95% CI, 1.88-2.28) for girls, and 2.18 (95% CI, 2.02-2.35) for children 12 years or older. CONCLUSIONS: Preschoolers with a history of allergic disease had an increased risk of subsequent IBS development upon reaching school age. This risk increased in the presence of concurrent allergic disease and a higher clinical allergy burden.","author":[{"dropping-particle":"","family":"Tan","given":"Teck King","non-dropping-particle":"","parse-names":false,"suffix":""},{"dropping-particle":"","family":"Chen","given":"An Chyi","non-dropping-particle":"","parse-names":false,"suffix":""},{"dropping-particle":"","family":"Lin","given":"Cheng Li","non-dropping-particle":"","parse-names":false,"suffix":""},{"dropping-particle":"","family":"Shen","given":"Te Chun","non-dropping-particle":"","parse-names":false,"suffix":""},{"dropping-particle":"","family":"Li","given":"Tsai Chung","non-dropping-particle":"","parse-names":false,"suffix":""},{"dropping-particle":"","family":"Wei","given":"Chang Ching","non-dropping-particle":"","parse-names":false,"suffix":""}],"container-title":"Journal of Pediatric Gastroenterology and Nutrition","id":"ITEM-3","issue":"1","issued":{"date-parts":[["2017"]]},"page":"26-30","title":"Preschoolers with allergic diseases have an increased risk of irritable bowel syndrome when reaching school age","type":"article-journal","volume":"64"},"uris":["http://www.mendeley.com/documents/?uuid=7f2b1728-b0d1-48f7-bb6c-9f0c73937b10"]}],"mendeley":{"formattedCitation":"&lt;sup&gt;62–64&lt;/sup&gt;","plainTextFormattedCitation":"62–64","previouslyFormattedCitation":"&lt;sup&gt;61–63&lt;/sup&gt;"},"properties":{"noteIndex":0},"schema":"https://github.com/citation-style-language/schema/raw/master/csl-citation.json"}</w:instrText>
      </w:r>
      <w:r w:rsidR="000178ED" w:rsidRPr="00BA6F83">
        <w:rPr>
          <w:color w:val="000000" w:themeColor="text1"/>
          <w:lang w:val="en-US"/>
        </w:rPr>
        <w:fldChar w:fldCharType="separate"/>
      </w:r>
      <w:r w:rsidR="00756206" w:rsidRPr="00756206">
        <w:rPr>
          <w:noProof/>
          <w:color w:val="000000" w:themeColor="text1"/>
          <w:vertAlign w:val="superscript"/>
          <w:lang w:val="en-US"/>
        </w:rPr>
        <w:t>62–64</w:t>
      </w:r>
      <w:r w:rsidR="000178ED" w:rsidRPr="00BA6F83">
        <w:rPr>
          <w:color w:val="000000" w:themeColor="text1"/>
          <w:lang w:val="en-US"/>
        </w:rPr>
        <w:fldChar w:fldCharType="end"/>
      </w:r>
      <w:r w:rsidRPr="00BA6F83">
        <w:rPr>
          <w:color w:val="000000" w:themeColor="text1"/>
          <w:lang w:val="en-US"/>
        </w:rPr>
        <w:t xml:space="preserve">. </w:t>
      </w:r>
      <w:r w:rsidR="00CD2AC7" w:rsidRPr="00BA6F83">
        <w:rPr>
          <w:color w:val="000000" w:themeColor="text1"/>
          <w:lang w:val="en-US"/>
        </w:rPr>
        <w:t xml:space="preserve">To what extent </w:t>
      </w:r>
      <w:r w:rsidR="008C2AD1" w:rsidRPr="00BA6F83">
        <w:rPr>
          <w:color w:val="000000" w:themeColor="text1"/>
          <w:lang w:val="en-US"/>
        </w:rPr>
        <w:t xml:space="preserve">our concept also explains the IBS-like symptoms reported by </w:t>
      </w:r>
      <w:r w:rsidR="00B86674" w:rsidRPr="00BA6F83">
        <w:rPr>
          <w:color w:val="000000" w:themeColor="text1"/>
          <w:lang w:val="en-US"/>
        </w:rPr>
        <w:t xml:space="preserve">patients </w:t>
      </w:r>
      <w:r w:rsidR="008C2AD1" w:rsidRPr="00BA6F83">
        <w:rPr>
          <w:color w:val="000000" w:themeColor="text1"/>
          <w:lang w:val="en-US"/>
        </w:rPr>
        <w:t xml:space="preserve">with inflammatory bowel disease </w:t>
      </w:r>
      <w:r w:rsidR="00B86674" w:rsidRPr="00BA6F83">
        <w:rPr>
          <w:color w:val="000000" w:themeColor="text1"/>
          <w:lang w:val="en-US"/>
        </w:rPr>
        <w:t>in clinical remission</w:t>
      </w:r>
      <w:r w:rsidR="00AF1F85" w:rsidRPr="00BA6F83">
        <w:rPr>
          <w:color w:val="000000" w:themeColor="text1"/>
          <w:lang w:val="en-US"/>
        </w:rPr>
        <w:fldChar w:fldCharType="begin" w:fldLock="1"/>
      </w:r>
      <w:r w:rsidR="00756206">
        <w:rPr>
          <w:color w:val="000000" w:themeColor="text1"/>
          <w:lang w:val="en-US"/>
        </w:rPr>
        <w:instrText>ADDIN CSL_CITATION {"citationItems":[{"id":"ITEM-1","itemData":{"DOI":"10.1038/ajg.2012.260","ISSN":"00029270","abstract":"OBJECTIVES: Symptoms compatible with irritable bowel syndrome (IBS) may co-exist in patients with inflammatory bowel disease (IBD), presenting a clinical dilemma for physicians. We conducted a systematic review and meta-analysis to examine this issue. METHODS: MEDLINE, EMBASE, and EMBASE Classic were searched (through February 2012) to identify cross-sectional surveys or case-control studies reporting the prevalence of symptoms meeting diagnostic criteria for IBS in ≥50 unselected adult IBD patients. The number of individuals with symptoms meeting criteria for IBS was extracted for each study, and pooled prevalence and odds ratios (ORs), with 95% confidence intervals (CIs), were calculated. RESULTS: The search identified 3,045 articles. Thirteen studies, containing 1,703 patients, were eligible. The pooled prevalence for IBS in all IBD patients was 39% (95% CI 30-48%), with an OR compared with controls of 4.89 (95% CI 3.43-6.98). In IBD patients in remission, the OR was 4.39 (95% CI 2.24-8.61). For IBD patients with active disease, the pooled prevalence of IBS was 44%, compared with 35% in those felt to be in remission (OR 3.89; 95% CI 2.71-5.59). The prevalence in patients with Crohn's disease (CD) was higher than in those with ulcerative colitis (UC; 46 vs. 36%, OR 1.62; 95% CI 1.21-2.18). CONCLUSIONS: Symptoms compatible with IBS were significantly higher in patients with IBD compared with non-IBD controls, even among those felt to be in remission. IBS-type symptoms were also significantly more common in CD than in UC patients, and in those with active disease. Management strategies for IBD patients with symptoms suggestive of IBS are required.","author":[{"dropping-particle":"","family":"Halpin","given":"Stephen J.","non-dropping-particle":"","parse-names":false,"suffix":""},{"dropping-particle":"","family":"Ford","given":"Alexander C.","non-dropping-particle":"","parse-names":false,"suffix":""}],"container-title":"American Journal of Gastroenterology","id":"ITEM-1","issued":{"date-parts":[["2012"]]},"page":"1474-82","title":"Prevalence of symptoms meeting criteria for irritable bowel syndrome in inflammatory bowel disease: Systematic review and meta-analysis","type":"article"},"uris":["http://www.mendeley.com/documents/?uuid=ec807d69-472b-4faa-bcc6-9cf46b963423","http://www.mendeley.com/documents/?uuid=1ae75601-d42a-4255-9e79-9d5a12d4bbb9"]}],"mendeley":{"formattedCitation":"&lt;sup&gt;65&lt;/sup&gt;","plainTextFormattedCitation":"65","previouslyFormattedCitation":"&lt;sup&gt;64&lt;/sup&gt;"},"properties":{"noteIndex":0},"schema":"https://github.com/citation-style-language/schema/raw/master/csl-citation.json"}</w:instrText>
      </w:r>
      <w:r w:rsidR="00AF1F85" w:rsidRPr="00BA6F83">
        <w:rPr>
          <w:color w:val="000000" w:themeColor="text1"/>
          <w:lang w:val="en-US"/>
        </w:rPr>
        <w:fldChar w:fldCharType="separate"/>
      </w:r>
      <w:r w:rsidR="00756206" w:rsidRPr="00756206">
        <w:rPr>
          <w:noProof/>
          <w:color w:val="000000" w:themeColor="text1"/>
          <w:vertAlign w:val="superscript"/>
          <w:lang w:val="en-US"/>
        </w:rPr>
        <w:t>65</w:t>
      </w:r>
      <w:r w:rsidR="00AF1F85" w:rsidRPr="00BA6F83">
        <w:rPr>
          <w:color w:val="000000" w:themeColor="text1"/>
          <w:lang w:val="en-US"/>
        </w:rPr>
        <w:fldChar w:fldCharType="end"/>
      </w:r>
      <w:r w:rsidR="008C2AD1" w:rsidRPr="00BA6F83">
        <w:rPr>
          <w:color w:val="000000" w:themeColor="text1"/>
          <w:lang w:val="en-US"/>
        </w:rPr>
        <w:t xml:space="preserve"> </w:t>
      </w:r>
      <w:r w:rsidR="00CD2AC7" w:rsidRPr="00BA6F83">
        <w:rPr>
          <w:color w:val="000000" w:themeColor="text1"/>
          <w:lang w:val="en-US"/>
        </w:rPr>
        <w:t xml:space="preserve">remains </w:t>
      </w:r>
      <w:r w:rsidR="008C2AD1" w:rsidRPr="00BA6F83">
        <w:rPr>
          <w:color w:val="000000" w:themeColor="text1"/>
          <w:lang w:val="en-US"/>
        </w:rPr>
        <w:t>speculative but is certainly of great interest to further investigate.</w:t>
      </w:r>
      <w:r w:rsidR="00CD2AC7" w:rsidRPr="00BA6F83">
        <w:rPr>
          <w:color w:val="000000" w:themeColor="text1"/>
          <w:lang w:val="en-US"/>
        </w:rPr>
        <w:t xml:space="preserve"> </w:t>
      </w:r>
    </w:p>
    <w:p w14:paraId="7A83EFB9" w14:textId="142483E9" w:rsidR="00077004" w:rsidRDefault="00617474" w:rsidP="00077004">
      <w:pPr>
        <w:spacing w:after="120" w:line="480" w:lineRule="auto"/>
        <w:ind w:firstLine="720"/>
        <w:jc w:val="both"/>
        <w:rPr>
          <w:color w:val="000000" w:themeColor="text1"/>
          <w:lang w:val="en-US"/>
        </w:rPr>
      </w:pPr>
      <w:r w:rsidRPr="00BA6F83">
        <w:rPr>
          <w:color w:val="000000" w:themeColor="text1"/>
          <w:lang w:val="en-US"/>
        </w:rPr>
        <w:t>T</w:t>
      </w:r>
      <w:r w:rsidR="00166E4E" w:rsidRPr="00BA6F83">
        <w:rPr>
          <w:color w:val="000000" w:themeColor="text1"/>
          <w:lang w:val="en-US"/>
        </w:rPr>
        <w:t xml:space="preserve">he concept </w:t>
      </w:r>
      <w:r w:rsidR="00AE49E3" w:rsidRPr="00BA6F83">
        <w:rPr>
          <w:color w:val="000000" w:themeColor="text1"/>
          <w:lang w:val="en-US"/>
        </w:rPr>
        <w:t xml:space="preserve">of food-mediated VHS </w:t>
      </w:r>
      <w:r w:rsidR="00166E4E" w:rsidRPr="00BA6F83">
        <w:rPr>
          <w:color w:val="000000" w:themeColor="text1"/>
          <w:lang w:val="en-US"/>
        </w:rPr>
        <w:t xml:space="preserve">proposed </w:t>
      </w:r>
      <w:r w:rsidR="00FD2B90">
        <w:rPr>
          <w:color w:val="000000" w:themeColor="text1"/>
          <w:lang w:val="en-US"/>
        </w:rPr>
        <w:t xml:space="preserve">herein </w:t>
      </w:r>
      <w:r w:rsidR="00166E4E" w:rsidRPr="00BA6F83">
        <w:rPr>
          <w:color w:val="000000" w:themeColor="text1"/>
          <w:lang w:val="en-US"/>
        </w:rPr>
        <w:t xml:space="preserve">has major implications with respect to exploring novel treatments for IBS and related disorders. Although improvement </w:t>
      </w:r>
      <w:r w:rsidR="00A23AF5" w:rsidRPr="00BA6F83">
        <w:rPr>
          <w:color w:val="000000" w:themeColor="text1"/>
          <w:lang w:val="en-US"/>
        </w:rPr>
        <w:t xml:space="preserve">by </w:t>
      </w:r>
      <w:r w:rsidR="00166E4E" w:rsidRPr="00BA6F83">
        <w:rPr>
          <w:color w:val="000000" w:themeColor="text1"/>
          <w:lang w:val="en-US"/>
        </w:rPr>
        <w:t>elimination diets has been reported in IBS</w:t>
      </w:r>
      <w:r w:rsidR="00131F3C" w:rsidRPr="00BA6F83">
        <w:rPr>
          <w:color w:val="000000" w:themeColor="text1"/>
          <w:lang w:val="en-US"/>
        </w:rPr>
        <w:fldChar w:fldCharType="begin" w:fldLock="1"/>
      </w:r>
      <w:r w:rsidR="008151E0">
        <w:rPr>
          <w:color w:val="000000" w:themeColor="text1"/>
          <w:lang w:val="en-US"/>
        </w:rPr>
        <w:instrText>ADDIN CSL_CITATION {"citationItems":[{"id":"ITEM-1","itemData":{"DOI":"10.1053/j.gastro.2014.07.046","ISBN":"1528-0012 (Electronic)\\r0016-5085 (Linking)","ISSN":"1528-0012","PMID":"25083606","abstract":"BACKGROUND: &amp; Aims: We investigated suspected food intolerances in patients with irritable bowel syndrome (IBS) using confocal laser endomicroscopy (CLE) for real time visualization of structural/functional changes in the intestinal mucosa following food challenge. Patients with functional changes following food challenge (CLE+) were placed on personalized exclusion diets and followed for long-term symptom relief.\\n\\nMETHODS: Thirty-six IBS patients with suspected food intolerance and 10 with Barrett's esophagus (controls) without IBS-symptoms were examined by CLE at University Hospital, Kiel, Germany. Diluted food antigens were directly administered to the duodenal mucosa through the working channel of the endoscope. Epithelial breaks, inter-villous spaces, and numbers of intraepithelial lymphocytes (IEL) were measured before/after food challenge. CLE+ patients were placed on exclusion diets, given symptom score questionnaires, and followed for 1 year; controls resumed their previous diet.\\n\\nRESULTS: CLE revealed real-time response to food antigens in 22/36 patients; no responses were observed in 14/36 patients (CLE-) or any of the controls. Baseline IEL were significantly higher in CLE+ than CLE- subjects (P=.004); numbers increased significantly following food challenge(P=.0008). Within 5 minutes of exposure of CLE+ patients to food antigens, IEL increased, epithelial leaks/gaps formed, intervillous spaces widened. Epithelial leaks and intervillous spaces also increased significantly in CLE+ vs baseline (both P&lt;.001). Concordance of IEL measured by CLE and conventional histology was 70.6%; they did not correlate (P=.89; r2=0.027). Symptom scores improved &gt;50% in CLE+ patients after 4 weeks exclusion diet and increased to 74% at 12 months; symptoms continued in CLE- patients.\\n\\nCONCLUSIONS: Based on CLE analysis of IBS patients with suspected food intolerance, exposure to candidate food antigens caused immediate breaks, increased intervillous spaces and IEL in the intestinal mucosa. These changes associate with patients' response to exclusion diets Registered at clinicaltrials.gov (registration number: NCT01692613).","author":[{"dropping-particle":"","family":"Fritscher-Ravens","given":"Annette","non-dropping-particle":"","parse-names":false,"suffix":""},{"dropping-particle":"","family":"Schuppan","given":"Detlef","non-dropping-particle":"","parse-names":false,"suffix":""},{"dropping-particle":"","family":"Ellrichmann","given":"Mark","non-dropping-particle":"","parse-names":false,"suffix":""},{"dropping-particle":"","family":"Schoch","given":"Stefan","non-dropping-particle":"","parse-names":false,"suffix":""},{"dropping-particle":"","family":"Röcken","given":"Christoph","non-dropping-particle":"","parse-names":false,"suffix":""},{"dropping-particle":"","family":"Brasch","given":"Jochen","non-dropping-particle":"","parse-names":false,"suffix":""},{"dropping-particle":"","family":"Bethge","given":"Johannes","non-dropping-particle":"","parse-names":false,"suffix":""},{"dropping-particle":"","family":"Böttner","given":"Martina","non-dropping-particle":"","parse-names":false,"suffix":""},{"dropping-particle":"","family":"Klose","given":"Julius","non-dropping-particle":"","parse-names":false,"suffix":""},{"dropping-particle":"","family":"Milla","given":"Peter J.","non-dropping-particle":"","parse-names":false,"suffix":""}],"container-title":"Gastroenterology","id":"ITEM-1","issue":"5","issued":{"date-parts":[["2014"]]},"page":"1012-1020.e3","title":"Confocal endomicroscopy shows food-associated changes in the intestinal mucosa of patients with irritable bowel syndrome","type":"article-journal","volume":"147"},"uris":["http://www.mendeley.com/documents/?uuid=6b5adc6f-863f-4cd9-aa43-7db6d659e036"]}],"mendeley":{"formattedCitation":"&lt;sup&gt;50&lt;/sup&gt;","plainTextFormattedCitation":"50","previouslyFormattedCitation":"&lt;sup&gt;50&lt;/sup&gt;"},"properties":{"noteIndex":0},"schema":"https://github.com/citation-style-language/schema/raw/master/csl-citation.json"}</w:instrText>
      </w:r>
      <w:r w:rsidR="00131F3C" w:rsidRPr="00BA6F83">
        <w:rPr>
          <w:color w:val="000000" w:themeColor="text1"/>
          <w:lang w:val="en-US"/>
        </w:rPr>
        <w:fldChar w:fldCharType="separate"/>
      </w:r>
      <w:r w:rsidR="008151E0" w:rsidRPr="008151E0">
        <w:rPr>
          <w:noProof/>
          <w:color w:val="000000" w:themeColor="text1"/>
          <w:vertAlign w:val="superscript"/>
          <w:lang w:val="en-US"/>
        </w:rPr>
        <w:t>50</w:t>
      </w:r>
      <w:r w:rsidR="00131F3C" w:rsidRPr="00BA6F83">
        <w:rPr>
          <w:color w:val="000000" w:themeColor="text1"/>
          <w:lang w:val="en-US"/>
        </w:rPr>
        <w:fldChar w:fldCharType="end"/>
      </w:r>
      <w:r w:rsidR="00166E4E" w:rsidRPr="00BA6F83">
        <w:rPr>
          <w:color w:val="000000" w:themeColor="text1"/>
          <w:lang w:val="en-US"/>
        </w:rPr>
        <w:t xml:space="preserve">, our findings imply that the bystander response is targeted to several dietary antigens, which complicates the choice of the most appropriate elimination diet. Blocking the effect of MC mediators, as </w:t>
      </w:r>
      <w:r w:rsidR="00686731">
        <w:rPr>
          <w:color w:val="000000" w:themeColor="text1"/>
          <w:lang w:val="en-US"/>
        </w:rPr>
        <w:t xml:space="preserve">we </w:t>
      </w:r>
      <w:r w:rsidR="00166E4E" w:rsidRPr="00BA6F83">
        <w:rPr>
          <w:color w:val="000000" w:themeColor="text1"/>
          <w:lang w:val="en-US"/>
        </w:rPr>
        <w:t xml:space="preserve">previously </w:t>
      </w:r>
      <w:r w:rsidR="00686731">
        <w:rPr>
          <w:color w:val="000000" w:themeColor="text1"/>
          <w:lang w:val="en-US"/>
        </w:rPr>
        <w:t>showed in a proof-of-concept study using the</w:t>
      </w:r>
      <w:r w:rsidR="00166E4E" w:rsidRPr="00BA6F83">
        <w:rPr>
          <w:color w:val="000000" w:themeColor="text1"/>
          <w:lang w:val="en-US"/>
        </w:rPr>
        <w:t xml:space="preserve"> </w:t>
      </w:r>
      <w:r w:rsidR="007A3DB1" w:rsidRPr="00BA6F83">
        <w:rPr>
          <w:rFonts w:asciiTheme="minorHAnsi" w:hAnsiTheme="minorHAnsi"/>
          <w:color w:val="000000" w:themeColor="text1"/>
          <w:lang w:val="en-US"/>
        </w:rPr>
        <w:t>H</w:t>
      </w:r>
      <w:r w:rsidR="007A3DB1" w:rsidRPr="00BA6F83">
        <w:rPr>
          <w:rFonts w:asciiTheme="minorHAnsi" w:hAnsiTheme="minorHAnsi"/>
          <w:color w:val="000000" w:themeColor="text1"/>
          <w:vertAlign w:val="subscript"/>
          <w:lang w:val="en-US"/>
        </w:rPr>
        <w:t>1</w:t>
      </w:r>
      <w:r w:rsidR="007A3DB1" w:rsidRPr="00BA6F83">
        <w:rPr>
          <w:rFonts w:asciiTheme="minorHAnsi" w:hAnsiTheme="minorHAnsi"/>
          <w:color w:val="000000" w:themeColor="text1"/>
          <w:lang w:val="en-US"/>
        </w:rPr>
        <w:t>R</w:t>
      </w:r>
      <w:r w:rsidR="00686731">
        <w:rPr>
          <w:color w:val="000000" w:themeColor="text1"/>
          <w:lang w:val="en-US"/>
        </w:rPr>
        <w:t>-</w:t>
      </w:r>
      <w:r w:rsidR="00166E4E" w:rsidRPr="00BA6F83">
        <w:rPr>
          <w:color w:val="000000" w:themeColor="text1"/>
          <w:lang w:val="en-US"/>
        </w:rPr>
        <w:t>antagonist</w:t>
      </w:r>
      <w:r w:rsidR="00686731">
        <w:rPr>
          <w:color w:val="000000" w:themeColor="text1"/>
          <w:lang w:val="en-US"/>
        </w:rPr>
        <w:t xml:space="preserve"> ebastine</w:t>
      </w:r>
      <w:r w:rsidR="00686731">
        <w:rPr>
          <w:color w:val="000000" w:themeColor="text1"/>
          <w:lang w:val="en-US"/>
        </w:rPr>
        <w:fldChar w:fldCharType="begin" w:fldLock="1"/>
      </w:r>
      <w:r w:rsidR="00271D58">
        <w:rPr>
          <w:color w:val="000000" w:themeColor="text1"/>
          <w:lang w:val="en-US"/>
        </w:rPr>
        <w:instrText>ADDIN CSL_CITATION {"citationItems":[{"id":"ITEM-1","itemData":{"DOI":"10.1053/j.gastro.2015.12.034","ISBN":"0016-5085","ISSN":"15280012","PMID":"26752109","abstract":"Background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E.","non-dropping-particle":"","parse-names":false,"suffix":""}],"container-title":"Gastroenterology","id":"ITEM-1","issue":"4","issued":{"date-parts":[["2016"]]},"page":"875-887.e9","title":"Histamine Receptor H1-Mediated Sensitization of TRPV1 Mediates Visceral Hypersensitivity and Symptoms in Patients with Irritable Bowel Syndrome","type":"article-journal","volume":"150"},"uris":["http://www.mendeley.com/documents/?uuid=877088fd-6212-4474-952f-b2f94ca5f924"]}],"mendeley":{"formattedCitation":"&lt;sup&gt;39&lt;/sup&gt;","plainTextFormattedCitation":"39","previouslyFormattedCitation":"&lt;sup&gt;39&lt;/sup&gt;"},"properties":{"noteIndex":0},"schema":"https://github.com/citation-style-language/schema/raw/master/csl-citation.json"}</w:instrText>
      </w:r>
      <w:r w:rsidR="00686731">
        <w:rPr>
          <w:color w:val="000000" w:themeColor="text1"/>
          <w:lang w:val="en-US"/>
        </w:rPr>
        <w:fldChar w:fldCharType="separate"/>
      </w:r>
      <w:r w:rsidR="007355CA" w:rsidRPr="007355CA">
        <w:rPr>
          <w:noProof/>
          <w:color w:val="000000" w:themeColor="text1"/>
          <w:vertAlign w:val="superscript"/>
          <w:lang w:val="en-US"/>
        </w:rPr>
        <w:t>39</w:t>
      </w:r>
      <w:r w:rsidR="00686731">
        <w:rPr>
          <w:color w:val="000000" w:themeColor="text1"/>
          <w:lang w:val="en-US"/>
        </w:rPr>
        <w:fldChar w:fldCharType="end"/>
      </w:r>
      <w:r w:rsidR="00166E4E" w:rsidRPr="00BA6F83">
        <w:rPr>
          <w:color w:val="000000" w:themeColor="text1"/>
          <w:lang w:val="en-US"/>
        </w:rPr>
        <w:t xml:space="preserve">, but especially </w:t>
      </w:r>
      <w:r w:rsidR="00EB0908" w:rsidRPr="00BA6F83">
        <w:rPr>
          <w:color w:val="000000" w:themeColor="text1"/>
          <w:lang w:val="en-US"/>
        </w:rPr>
        <w:t xml:space="preserve">using </w:t>
      </w:r>
      <w:r w:rsidR="00166E4E" w:rsidRPr="00BA6F83">
        <w:rPr>
          <w:color w:val="000000" w:themeColor="text1"/>
          <w:lang w:val="en-US"/>
        </w:rPr>
        <w:t>compounds targeting</w:t>
      </w:r>
      <w:r w:rsidR="00FD2B90">
        <w:rPr>
          <w:color w:val="000000" w:themeColor="text1"/>
          <w:lang w:val="en-US"/>
        </w:rPr>
        <w:t xml:space="preserve"> upstream mechanisms leading to</w:t>
      </w:r>
      <w:r w:rsidR="00166E4E" w:rsidRPr="00BA6F83">
        <w:rPr>
          <w:color w:val="000000" w:themeColor="text1"/>
          <w:lang w:val="en-US"/>
        </w:rPr>
        <w:t xml:space="preserve"> MC</w:t>
      </w:r>
      <w:r w:rsidR="00FD2B90">
        <w:rPr>
          <w:color w:val="000000" w:themeColor="text1"/>
          <w:lang w:val="en-US"/>
        </w:rPr>
        <w:t xml:space="preserve"> sensitization and</w:t>
      </w:r>
      <w:r w:rsidR="00166E4E" w:rsidRPr="00BA6F83">
        <w:rPr>
          <w:color w:val="000000" w:themeColor="text1"/>
          <w:lang w:val="en-US"/>
        </w:rPr>
        <w:t xml:space="preserve"> activation may be more eff</w:t>
      </w:r>
      <w:r w:rsidR="008A4398" w:rsidRPr="00BA6F83">
        <w:rPr>
          <w:color w:val="000000" w:themeColor="text1"/>
          <w:lang w:val="en-US"/>
        </w:rPr>
        <w:t>ective</w:t>
      </w:r>
      <w:r w:rsidR="00166E4E" w:rsidRPr="00BA6F83">
        <w:rPr>
          <w:color w:val="000000" w:themeColor="text1"/>
          <w:lang w:val="en-US"/>
        </w:rPr>
        <w:t>. Of note,</w:t>
      </w:r>
      <w:r w:rsidR="00D759DE" w:rsidRPr="00BA6F83">
        <w:rPr>
          <w:color w:val="000000" w:themeColor="text1"/>
          <w:lang w:val="en-US"/>
        </w:rPr>
        <w:t xml:space="preserve"> we observed increased </w:t>
      </w:r>
      <w:proofErr w:type="spellStart"/>
      <w:r w:rsidR="00D759DE" w:rsidRPr="00BA6F83">
        <w:rPr>
          <w:color w:val="000000" w:themeColor="text1"/>
          <w:lang w:val="en-US"/>
        </w:rPr>
        <w:t>IgE</w:t>
      </w:r>
      <w:proofErr w:type="spellEnd"/>
      <w:r w:rsidR="00D759DE" w:rsidRPr="00BA6F83">
        <w:rPr>
          <w:color w:val="000000" w:themeColor="text1"/>
          <w:lang w:val="en-US"/>
        </w:rPr>
        <w:t xml:space="preserve"> </w:t>
      </w:r>
      <w:r w:rsidR="000A1AE0" w:rsidRPr="00BA6F83">
        <w:rPr>
          <w:color w:val="000000" w:themeColor="text1"/>
          <w:lang w:val="en-US"/>
        </w:rPr>
        <w:t xml:space="preserve">protein </w:t>
      </w:r>
      <w:r w:rsidR="00D759DE" w:rsidRPr="00BA6F83">
        <w:rPr>
          <w:color w:val="000000" w:themeColor="text1"/>
          <w:lang w:val="en-US"/>
        </w:rPr>
        <w:t xml:space="preserve">levels in mucosal </w:t>
      </w:r>
      <w:r w:rsidR="008B0A8C" w:rsidRPr="00BA6F83">
        <w:rPr>
          <w:color w:val="000000" w:themeColor="text1"/>
          <w:lang w:val="en-US"/>
        </w:rPr>
        <w:t>biopsies</w:t>
      </w:r>
      <w:r w:rsidR="00D759DE" w:rsidRPr="00BA6F83">
        <w:rPr>
          <w:color w:val="000000" w:themeColor="text1"/>
          <w:lang w:val="en-US"/>
        </w:rPr>
        <w:t xml:space="preserve"> in</w:t>
      </w:r>
      <w:r w:rsidR="00E21562">
        <w:rPr>
          <w:color w:val="000000" w:themeColor="text1"/>
          <w:lang w:val="en-US"/>
        </w:rPr>
        <w:t xml:space="preserve">, at least, </w:t>
      </w:r>
      <w:r w:rsidR="00D759DE" w:rsidRPr="00BA6F83">
        <w:rPr>
          <w:color w:val="000000" w:themeColor="text1"/>
          <w:lang w:val="en-US"/>
        </w:rPr>
        <w:t xml:space="preserve">a subset of IBS patients, suggesting that </w:t>
      </w:r>
      <w:proofErr w:type="spellStart"/>
      <w:r w:rsidR="00D759DE" w:rsidRPr="00BA6F83">
        <w:rPr>
          <w:color w:val="000000" w:themeColor="text1"/>
          <w:lang w:val="en-US"/>
        </w:rPr>
        <w:t>IgE</w:t>
      </w:r>
      <w:proofErr w:type="spellEnd"/>
      <w:r w:rsidR="00D759DE" w:rsidRPr="00BA6F83">
        <w:rPr>
          <w:color w:val="000000" w:themeColor="text1"/>
          <w:lang w:val="en-US"/>
        </w:rPr>
        <w:t xml:space="preserve">-mediated activation of </w:t>
      </w:r>
      <w:r w:rsidR="00AD5BCB" w:rsidRPr="00BA6F83">
        <w:rPr>
          <w:color w:val="000000" w:themeColor="text1"/>
          <w:lang w:val="en-US"/>
        </w:rPr>
        <w:t>MC</w:t>
      </w:r>
      <w:r w:rsidR="00D759DE" w:rsidRPr="00BA6F83">
        <w:rPr>
          <w:color w:val="000000" w:themeColor="text1"/>
          <w:lang w:val="en-US"/>
        </w:rPr>
        <w:t xml:space="preserve"> could be of special interest</w:t>
      </w:r>
      <w:r w:rsidR="008B0A8C" w:rsidRPr="00BA6F83">
        <w:rPr>
          <w:color w:val="000000" w:themeColor="text1"/>
          <w:lang w:val="en-US"/>
        </w:rPr>
        <w:t xml:space="preserve"> </w:t>
      </w:r>
      <w:r w:rsidR="00FD2B90">
        <w:rPr>
          <w:color w:val="000000" w:themeColor="text1"/>
          <w:lang w:val="en-US"/>
        </w:rPr>
        <w:t xml:space="preserve">as a prognostic biomarker as well as a therapeutic target </w:t>
      </w:r>
      <w:r w:rsidR="008B0A8C" w:rsidRPr="00BA6F83">
        <w:rPr>
          <w:color w:val="000000" w:themeColor="text1"/>
          <w:lang w:val="en-US"/>
        </w:rPr>
        <w:t>in these patients</w:t>
      </w:r>
      <w:r w:rsidR="00D759DE" w:rsidRPr="00BA6F83">
        <w:rPr>
          <w:color w:val="000000" w:themeColor="text1"/>
          <w:lang w:val="en-US"/>
        </w:rPr>
        <w:t>. In line with this finding,</w:t>
      </w:r>
      <w:r w:rsidR="00107BA2" w:rsidRPr="00BA6F83">
        <w:rPr>
          <w:color w:val="000000" w:themeColor="text1"/>
          <w:lang w:val="en-US"/>
        </w:rPr>
        <w:t xml:space="preserve"> </w:t>
      </w:r>
      <w:r w:rsidR="00166E4E" w:rsidRPr="00BA6F83">
        <w:rPr>
          <w:color w:val="000000" w:themeColor="text1"/>
          <w:lang w:val="en-US"/>
        </w:rPr>
        <w:t>improvement of IBS</w:t>
      </w:r>
      <w:r w:rsidR="005E65DF" w:rsidRPr="00BA6F83">
        <w:rPr>
          <w:color w:val="000000" w:themeColor="text1"/>
          <w:lang w:val="en-US"/>
        </w:rPr>
        <w:t xml:space="preserve"> symptoms</w:t>
      </w:r>
      <w:r w:rsidR="00166E4E" w:rsidRPr="00BA6F83">
        <w:rPr>
          <w:color w:val="000000" w:themeColor="text1"/>
          <w:lang w:val="en-US"/>
        </w:rPr>
        <w:t xml:space="preserve"> has been described in patients with severe asthma treated with omalizumab, a monoclonal antibody to IgE</w:t>
      </w:r>
      <w:r w:rsidR="000178ED" w:rsidRPr="00BA6F83">
        <w:rPr>
          <w:color w:val="000000" w:themeColor="text1"/>
          <w:lang w:val="en-US"/>
        </w:rPr>
        <w:fldChar w:fldCharType="begin" w:fldLock="1"/>
      </w:r>
      <w:r w:rsidR="00756206">
        <w:rPr>
          <w:color w:val="000000" w:themeColor="text1"/>
          <w:lang w:val="en-US"/>
        </w:rPr>
        <w:instrText>ADDIN CSL_CITATION {"citationItems":[{"id":"ITEM-1","itemData":{"DOI":"10.1177/1756283X15588875","ISSN":"17562848","PMID":"26327917","abstract":"Irritable bowel syndrome (IBS) is notoriously difficult to treat and this situation is unlikely to change until the pathophysiology is better understood. There is no doubt that IBS is a multifactorial condition but it is likely that the relative contribution of the various factors involved varies from patient to patient. Consequently, in some individuals one mechanism may have such a strong effect that its elimination may lead to a substantial improvement in symptoms. This paper describes a patient with severe asthma and IBS where the administration of an anti-Immunoglobulin E (IgE) monoclonal antibody not only improved her asthma but also resulted in an almost complete resolution of her IBS symptoms. This observation suggests that some form of allergic process, which may be mediated by IgE, might be driving IBS in some patients and there is evidence from the literature that atopy is more common in this condition. Therefore, in patients with IBS and atopy where the response to standard treatment is poor, it may be worth considering targeting the allergic diathesis. Possible approaches include skin testing with food antigens followed by an appropriate exclusion diet or pharmacological mast cell stabilization.","author":[{"dropping-particle":"","family":"Pearson","given":"James S.","non-dropping-particle":"","parse-names":false,"suffix":""},{"dropping-particle":"","family":"Niven","given":"Robert M.","non-dropping-particle":"","parse-names":false,"suffix":""},{"dropping-particle":"","family":"Meng","given":"Jie","non-dropping-particle":"","parse-names":false,"suffix":""},{"dropping-particle":"","family":"Atarodi","given":"Sima","non-dropping-particle":"","parse-names":false,"suffix":""},{"dropping-particle":"","family":"Whorwell","given":"Peter J.","non-dropping-particle":"","parse-names":false,"suffix":""}],"container-title":"Therapeutic Advances in Gastroenterology","id":"ITEM-1","issue":"5","issued":{"date-parts":[["2015"]]},"page":"270-277","title":"Immunoglobulin E in irritable bowel syndrome: Another target for treatment? A case report and literature review","type":"article","volume":"8"},"uris":["http://www.mendeley.com/documents/?uuid=95da400f-4ff2-4dc9-90d1-70494f2ae97f"]},{"id":"ITEM-2","itemData":{"ISSN":"1512-0112","PMID":"26087729","abstract":"Irritable bowel syndrome (IBS) is the most commonly diagnosed gastrointestinal condition manifested by chronic abdominal pain and altered bowel habits in the absence of any organic cause. While 10% - 20% of the population has IBS, only ≈ 25% of patients with IBS seek professional health care. Due to IBS multifactorial etiology, there is no single therapeutic option available with a satisfactory efficacy; therefore, patients frequently express a high level of frustration with their current therapies. We present a case of the 42 year-old woman with IBS, who was administered Omalizumab (a recombinant DNA-derived humanized IgG1 monoclonal antibody which specifically binds to free human immunoglobulin E (IgE) in the blood) doe to concomitant antihistamine resistant chronic spontaneous urticaria and experienced significant improvement in overall IBS symptoms. If our observation will be confirmed in prospective randomized studies, Omalizumab may turn out to be a useful pharmacological tool for this common disorder.","author":[{"dropping-particle":"","family":"Magen","given":"E","non-dropping-particle":"","parse-names":false,"suffix":""},{"dropping-particle":"","family":"Chikovani","given":"T","non-dropping-particle":"","parse-names":false,"suffix":""}],"container-title":"Georgian medical news","id":"ITEM-2","issued":{"date-parts":[["2015"]]},"page":"42-5","title":"CASE REPORT OF IRRITABLE BOWEL SYNDROME RESPONDING TO OMALIZUMAB.","type":"article-journal","volume":"243"},"uris":["http://www.mendeley.com/documents/?uuid=8f520a22-4c76-4064-94be-7c47a47abbf8"]}],"mendeley":{"formattedCitation":"&lt;sup&gt;66,67&lt;/sup&gt;","plainTextFormattedCitation":"66,67","previouslyFormattedCitation":"&lt;sup&gt;65,66&lt;/sup&gt;"},"properties":{"noteIndex":0},"schema":"https://github.com/citation-style-language/schema/raw/master/csl-citation.json"}</w:instrText>
      </w:r>
      <w:r w:rsidR="000178ED" w:rsidRPr="00BA6F83">
        <w:rPr>
          <w:color w:val="000000" w:themeColor="text1"/>
          <w:lang w:val="en-US"/>
        </w:rPr>
        <w:fldChar w:fldCharType="separate"/>
      </w:r>
      <w:r w:rsidR="00756206" w:rsidRPr="00756206">
        <w:rPr>
          <w:noProof/>
          <w:color w:val="000000" w:themeColor="text1"/>
          <w:vertAlign w:val="superscript"/>
          <w:lang w:val="en-US"/>
        </w:rPr>
        <w:t>66,67</w:t>
      </w:r>
      <w:r w:rsidR="000178ED" w:rsidRPr="00BA6F83">
        <w:rPr>
          <w:color w:val="000000" w:themeColor="text1"/>
          <w:lang w:val="en-US"/>
        </w:rPr>
        <w:fldChar w:fldCharType="end"/>
      </w:r>
      <w:r w:rsidR="000A1AE0" w:rsidRPr="00BA6F83">
        <w:rPr>
          <w:color w:val="000000" w:themeColor="text1"/>
          <w:lang w:val="en-US"/>
        </w:rPr>
        <w:t>.</w:t>
      </w:r>
      <w:r w:rsidR="00166E4E" w:rsidRPr="00BA6F83">
        <w:rPr>
          <w:color w:val="000000" w:themeColor="text1"/>
          <w:lang w:val="en-US"/>
        </w:rPr>
        <w:t xml:space="preserve"> </w:t>
      </w:r>
      <w:r w:rsidR="00FD2B90">
        <w:rPr>
          <w:color w:val="000000" w:themeColor="text1"/>
          <w:lang w:val="en-US"/>
        </w:rPr>
        <w:t>Therefore,</w:t>
      </w:r>
      <w:r w:rsidR="00166E4E" w:rsidRPr="00BA6F83">
        <w:rPr>
          <w:color w:val="000000" w:themeColor="text1"/>
          <w:lang w:val="en-US"/>
        </w:rPr>
        <w:t xml:space="preserve"> the</w:t>
      </w:r>
      <w:r w:rsidR="00FD2B90">
        <w:rPr>
          <w:color w:val="000000" w:themeColor="text1"/>
          <w:lang w:val="en-US"/>
        </w:rPr>
        <w:t xml:space="preserve"> novel</w:t>
      </w:r>
      <w:r w:rsidR="00166E4E" w:rsidRPr="00BA6F83">
        <w:rPr>
          <w:color w:val="000000" w:themeColor="text1"/>
          <w:lang w:val="en-US"/>
        </w:rPr>
        <w:t xml:space="preserve"> concept</w:t>
      </w:r>
      <w:r w:rsidR="000A1AE0" w:rsidRPr="00BA6F83">
        <w:rPr>
          <w:color w:val="000000" w:themeColor="text1"/>
          <w:lang w:val="en-US"/>
        </w:rPr>
        <w:t>s</w:t>
      </w:r>
      <w:r w:rsidR="00166E4E" w:rsidRPr="00BA6F83">
        <w:rPr>
          <w:color w:val="000000" w:themeColor="text1"/>
          <w:lang w:val="en-US"/>
        </w:rPr>
        <w:t xml:space="preserve"> </w:t>
      </w:r>
      <w:r w:rsidR="00FD2B90">
        <w:rPr>
          <w:color w:val="000000" w:themeColor="text1"/>
          <w:lang w:val="en-US"/>
        </w:rPr>
        <w:t>unveiled</w:t>
      </w:r>
      <w:r w:rsidR="00FD2B90" w:rsidRPr="00BA6F83">
        <w:rPr>
          <w:color w:val="000000" w:themeColor="text1"/>
          <w:lang w:val="en-US"/>
        </w:rPr>
        <w:t xml:space="preserve"> </w:t>
      </w:r>
      <w:r w:rsidR="00166E4E" w:rsidRPr="00BA6F83">
        <w:rPr>
          <w:color w:val="000000" w:themeColor="text1"/>
          <w:lang w:val="en-US"/>
        </w:rPr>
        <w:t>here</w:t>
      </w:r>
      <w:r w:rsidR="00FD2B90">
        <w:rPr>
          <w:color w:val="000000" w:themeColor="text1"/>
          <w:lang w:val="en-US"/>
        </w:rPr>
        <w:t xml:space="preserve"> shed new light on the pathophysiology of IBS and possibly other related disorders</w:t>
      </w:r>
      <w:r w:rsidR="00B72F55">
        <w:rPr>
          <w:color w:val="000000" w:themeColor="text1"/>
          <w:lang w:val="en-US"/>
        </w:rPr>
        <w:t>. Moreover,</w:t>
      </w:r>
      <w:r w:rsidR="00FD2B90">
        <w:rPr>
          <w:color w:val="000000" w:themeColor="text1"/>
          <w:lang w:val="en-US"/>
        </w:rPr>
        <w:t xml:space="preserve"> </w:t>
      </w:r>
      <w:r w:rsidR="00B72F55">
        <w:rPr>
          <w:color w:val="000000" w:themeColor="text1"/>
          <w:lang w:val="en-US"/>
        </w:rPr>
        <w:t>the</w:t>
      </w:r>
      <w:r w:rsidR="00E24600">
        <w:rPr>
          <w:color w:val="000000" w:themeColor="text1"/>
          <w:lang w:val="en-US"/>
        </w:rPr>
        <w:t>se</w:t>
      </w:r>
      <w:r w:rsidR="00BD7ABF">
        <w:rPr>
          <w:color w:val="000000" w:themeColor="text1"/>
          <w:lang w:val="en-US"/>
        </w:rPr>
        <w:t xml:space="preserve"> findings set the stage for </w:t>
      </w:r>
      <w:r w:rsidR="00166E4E" w:rsidRPr="00BA6F83">
        <w:rPr>
          <w:color w:val="000000" w:themeColor="text1"/>
          <w:lang w:val="en-US"/>
        </w:rPr>
        <w:t>further studies exploring</w:t>
      </w:r>
      <w:r w:rsidR="00FD2B90">
        <w:rPr>
          <w:color w:val="000000" w:themeColor="text1"/>
          <w:lang w:val="en-US"/>
        </w:rPr>
        <w:t xml:space="preserve"> the potential of therapies targeting upstream mechanisms of MC sensitization </w:t>
      </w:r>
      <w:r w:rsidR="00FD2B90">
        <w:rPr>
          <w:color w:val="000000" w:themeColor="text1"/>
          <w:lang w:val="en-US"/>
        </w:rPr>
        <w:lastRenderedPageBreak/>
        <w:t>and/or activation, such as</w:t>
      </w:r>
      <w:r w:rsidR="00166E4E" w:rsidRPr="00BA6F83">
        <w:rPr>
          <w:color w:val="000000" w:themeColor="text1"/>
          <w:lang w:val="en-US"/>
        </w:rPr>
        <w:t xml:space="preserve"> </w:t>
      </w:r>
      <w:proofErr w:type="spellStart"/>
      <w:r w:rsidR="000A1AE0" w:rsidRPr="00BA6F83">
        <w:rPr>
          <w:color w:val="000000" w:themeColor="text1"/>
          <w:lang w:val="en-US"/>
        </w:rPr>
        <w:t>IgE</w:t>
      </w:r>
      <w:proofErr w:type="spellEnd"/>
      <w:r w:rsidR="001B4CDA">
        <w:rPr>
          <w:color w:val="000000" w:themeColor="text1"/>
          <w:lang w:val="en-US"/>
        </w:rPr>
        <w:t xml:space="preserve"> neutralization </w:t>
      </w:r>
      <w:r w:rsidR="004B7CC1">
        <w:rPr>
          <w:color w:val="000000" w:themeColor="text1"/>
          <w:lang w:val="en-US"/>
        </w:rPr>
        <w:t>or</w:t>
      </w:r>
      <w:r w:rsidR="00A87185" w:rsidRPr="00BA6F83">
        <w:rPr>
          <w:color w:val="000000" w:themeColor="text1"/>
          <w:lang w:val="en-US"/>
        </w:rPr>
        <w:t xml:space="preserve"> spleen tyrosine kinase</w:t>
      </w:r>
      <w:bookmarkStart w:id="11" w:name="OLE_LINK39"/>
      <w:r w:rsidR="00166E4E" w:rsidRPr="00BA6F83">
        <w:rPr>
          <w:color w:val="000000" w:themeColor="text1"/>
          <w:lang w:val="en-US"/>
        </w:rPr>
        <w:t xml:space="preserve"> inhibitors</w:t>
      </w:r>
      <w:r w:rsidR="0035512F" w:rsidRPr="00BA6F83">
        <w:rPr>
          <w:color w:val="000000" w:themeColor="text1"/>
          <w:lang w:val="en-US"/>
        </w:rPr>
        <w:t>,</w:t>
      </w:r>
      <w:r w:rsidR="001B4CDA">
        <w:rPr>
          <w:color w:val="000000" w:themeColor="text1"/>
          <w:lang w:val="en-US"/>
        </w:rPr>
        <w:t xml:space="preserve"> a pivotal signaling transducer coupling </w:t>
      </w:r>
      <w:bookmarkEnd w:id="11"/>
      <w:r w:rsidR="001B4CDA">
        <w:rPr>
          <w:color w:val="000000" w:themeColor="text1"/>
          <w:lang w:val="en-US"/>
        </w:rPr>
        <w:t>antigen-</w:t>
      </w:r>
      <w:proofErr w:type="spellStart"/>
      <w:r w:rsidR="001B4CDA">
        <w:rPr>
          <w:color w:val="000000" w:themeColor="text1"/>
          <w:lang w:val="en-US"/>
        </w:rPr>
        <w:t>IgE</w:t>
      </w:r>
      <w:proofErr w:type="spellEnd"/>
      <w:r w:rsidR="001B4CDA">
        <w:rPr>
          <w:color w:val="000000" w:themeColor="text1"/>
          <w:lang w:val="en-US"/>
        </w:rPr>
        <w:t>/</w:t>
      </w:r>
      <w:proofErr w:type="spellStart"/>
      <w:r w:rsidR="001B4CDA">
        <w:rPr>
          <w:color w:val="000000" w:themeColor="text1"/>
          <w:lang w:val="en-US"/>
        </w:rPr>
        <w:t>Fc</w:t>
      </w:r>
      <w:r w:rsidR="001B4CDA">
        <w:rPr>
          <w:rFonts w:ascii="Symbol" w:hAnsi="Symbol"/>
          <w:color w:val="000000" w:themeColor="text1"/>
          <w:lang w:val="en-US"/>
        </w:rPr>
        <w:t></w:t>
      </w:r>
      <w:r w:rsidR="001B4CDA">
        <w:rPr>
          <w:color w:val="000000" w:themeColor="text1"/>
          <w:lang w:val="en-US"/>
        </w:rPr>
        <w:t>RI</w:t>
      </w:r>
      <w:proofErr w:type="spellEnd"/>
      <w:r w:rsidR="001B4CDA">
        <w:rPr>
          <w:color w:val="000000" w:themeColor="text1"/>
          <w:lang w:val="en-US"/>
        </w:rPr>
        <w:t xml:space="preserve"> complexes to MC degranulation</w:t>
      </w:r>
      <w:r w:rsidR="00166E4E" w:rsidRPr="00BA6F83">
        <w:rPr>
          <w:color w:val="000000" w:themeColor="text1"/>
          <w:lang w:val="en-US"/>
        </w:rPr>
        <w:t>.</w:t>
      </w:r>
    </w:p>
    <w:p w14:paraId="6C9981B1" w14:textId="77777777" w:rsidR="00077004" w:rsidRDefault="00077004">
      <w:pPr>
        <w:spacing w:after="160" w:line="259" w:lineRule="auto"/>
        <w:rPr>
          <w:b/>
          <w:bCs/>
          <w:color w:val="000000" w:themeColor="text1"/>
          <w:lang w:val="en-US"/>
        </w:rPr>
      </w:pPr>
      <w:r>
        <w:rPr>
          <w:b/>
          <w:bCs/>
          <w:color w:val="000000" w:themeColor="text1"/>
          <w:lang w:val="en-US"/>
        </w:rPr>
        <w:br w:type="page"/>
      </w:r>
    </w:p>
    <w:p w14:paraId="3BB9649C" w14:textId="583B0E1E" w:rsidR="00077004" w:rsidRDefault="00077004" w:rsidP="00077004">
      <w:pPr>
        <w:spacing w:after="120" w:line="480" w:lineRule="auto"/>
        <w:jc w:val="both"/>
        <w:rPr>
          <w:b/>
          <w:bCs/>
          <w:color w:val="000000" w:themeColor="text1"/>
          <w:lang w:val="en-US"/>
        </w:rPr>
      </w:pPr>
      <w:r w:rsidRPr="00077004">
        <w:rPr>
          <w:b/>
          <w:bCs/>
          <w:color w:val="000000" w:themeColor="text1"/>
          <w:lang w:val="en-US"/>
        </w:rPr>
        <w:lastRenderedPageBreak/>
        <w:t>FIGURES AND FIGURE LEGENDS:</w:t>
      </w:r>
    </w:p>
    <w:p w14:paraId="02A037EE" w14:textId="44F742EB" w:rsidR="00077004" w:rsidRDefault="00016B17" w:rsidP="00077004">
      <w:pPr>
        <w:keepNext/>
        <w:spacing w:after="120" w:line="480" w:lineRule="auto"/>
        <w:ind w:firstLine="11"/>
      </w:pPr>
      <w:r>
        <w:rPr>
          <w:noProof/>
        </w:rPr>
        <w:drawing>
          <wp:inline distT="0" distB="0" distL="0" distR="0" wp14:anchorId="5CCF146D" wp14:editId="42272C98">
            <wp:extent cx="5972810" cy="64954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5972810" cy="6495415"/>
                    </a:xfrm>
                    <a:prstGeom prst="rect">
                      <a:avLst/>
                    </a:prstGeom>
                  </pic:spPr>
                </pic:pic>
              </a:graphicData>
            </a:graphic>
          </wp:inline>
        </w:drawing>
      </w:r>
    </w:p>
    <w:p w14:paraId="578E6659" w14:textId="612C3940" w:rsidR="00077004" w:rsidRDefault="00077004" w:rsidP="00077004">
      <w:pPr>
        <w:pStyle w:val="Caption"/>
        <w:jc w:val="both"/>
        <w:rPr>
          <w:i w:val="0"/>
          <w:iCs w:val="0"/>
          <w:color w:val="000000" w:themeColor="text1"/>
          <w:lang w:val="en-US"/>
        </w:rPr>
      </w:pPr>
      <w:r w:rsidRPr="00BD5A47">
        <w:rPr>
          <w:b/>
          <w:bCs/>
          <w:i w:val="0"/>
          <w:iCs w:val="0"/>
          <w:color w:val="000000" w:themeColor="text1"/>
          <w:lang w:val="en-US"/>
        </w:rPr>
        <w:t xml:space="preserve">Fig. </w:t>
      </w:r>
      <w:r w:rsidRPr="0016738C">
        <w:rPr>
          <w:b/>
          <w:bCs/>
          <w:i w:val="0"/>
          <w:iCs w:val="0"/>
          <w:color w:val="000000" w:themeColor="text1"/>
        </w:rPr>
        <w:fldChar w:fldCharType="begin"/>
      </w:r>
      <w:r w:rsidRPr="00BD5A47">
        <w:rPr>
          <w:b/>
          <w:bCs/>
          <w:i w:val="0"/>
          <w:iCs w:val="0"/>
          <w:color w:val="000000" w:themeColor="text1"/>
          <w:lang w:val="en-US"/>
        </w:rPr>
        <w:instrText xml:space="preserve"> SEQ Figure \* ARABIC </w:instrText>
      </w:r>
      <w:r w:rsidRPr="0016738C">
        <w:rPr>
          <w:b/>
          <w:bCs/>
          <w:i w:val="0"/>
          <w:iCs w:val="0"/>
          <w:color w:val="000000" w:themeColor="text1"/>
        </w:rPr>
        <w:fldChar w:fldCharType="separate"/>
      </w:r>
      <w:r w:rsidRPr="00BD5A47">
        <w:rPr>
          <w:b/>
          <w:bCs/>
          <w:i w:val="0"/>
          <w:iCs w:val="0"/>
          <w:noProof/>
          <w:color w:val="000000" w:themeColor="text1"/>
          <w:lang w:val="en-US"/>
        </w:rPr>
        <w:t>1</w:t>
      </w:r>
      <w:r w:rsidRPr="0016738C">
        <w:rPr>
          <w:b/>
          <w:bCs/>
          <w:i w:val="0"/>
          <w:iCs w:val="0"/>
          <w:color w:val="000000" w:themeColor="text1"/>
        </w:rPr>
        <w:fldChar w:fldCharType="end"/>
      </w:r>
      <w:r w:rsidRPr="00BD5A47">
        <w:rPr>
          <w:b/>
          <w:bCs/>
          <w:i w:val="0"/>
          <w:iCs w:val="0"/>
          <w:color w:val="000000" w:themeColor="text1"/>
          <w:lang w:val="en-US"/>
        </w:rPr>
        <w:t>.</w:t>
      </w:r>
      <w:r w:rsidRPr="00BD5A47">
        <w:rPr>
          <w:lang w:val="en-US"/>
        </w:rPr>
        <w:t xml:space="preserve"> </w:t>
      </w:r>
      <w:r w:rsidRPr="00BD5A47">
        <w:rPr>
          <w:b/>
          <w:bCs/>
          <w:i w:val="0"/>
          <w:iCs w:val="0"/>
          <w:color w:val="000000" w:themeColor="text1"/>
          <w:lang w:val="en-US"/>
        </w:rPr>
        <w:t xml:space="preserve">Induction of OVA-specific immune response and visceral hypersensitivity in post-infectious mice. a, </w:t>
      </w:r>
      <w:r w:rsidRPr="00BD5A47">
        <w:rPr>
          <w:i w:val="0"/>
          <w:iCs w:val="0"/>
          <w:color w:val="000000" w:themeColor="text1"/>
          <w:lang w:val="en-US"/>
        </w:rPr>
        <w:t xml:space="preserve">scheme illustrating the post-infectious protocol. </w:t>
      </w:r>
      <w:r w:rsidRPr="00BD5A47">
        <w:rPr>
          <w:b/>
          <w:bCs/>
          <w:i w:val="0"/>
          <w:iCs w:val="0"/>
          <w:color w:val="000000" w:themeColor="text1"/>
          <w:lang w:val="en-US"/>
        </w:rPr>
        <w:t>b</w:t>
      </w:r>
      <w:r w:rsidRPr="00BD5A47">
        <w:rPr>
          <w:i w:val="0"/>
          <w:iCs w:val="0"/>
          <w:color w:val="000000" w:themeColor="text1"/>
          <w:lang w:val="en-US"/>
        </w:rPr>
        <w:t xml:space="preserve">, Diarrhea score after 2, 4, 6 and 8 OVA oral gavages in OVA/sham + OVA and OVA/infected + OVA BALB/c (left) (n=6 and n=8, respectively). </w:t>
      </w:r>
      <w:r w:rsidRPr="00BD5A47">
        <w:rPr>
          <w:b/>
          <w:bCs/>
          <w:i w:val="0"/>
          <w:iCs w:val="0"/>
          <w:color w:val="000000" w:themeColor="text1"/>
          <w:lang w:val="en-US"/>
        </w:rPr>
        <w:t>c</w:t>
      </w:r>
      <w:r w:rsidRPr="00BD5A47">
        <w:rPr>
          <w:i w:val="0"/>
          <w:iCs w:val="0"/>
          <w:color w:val="000000" w:themeColor="text1"/>
          <w:lang w:val="en-US"/>
        </w:rPr>
        <w:t xml:space="preserve">, Quantification of OVA-specific </w:t>
      </w:r>
      <w:proofErr w:type="spellStart"/>
      <w:r w:rsidRPr="00BD5A47">
        <w:rPr>
          <w:i w:val="0"/>
          <w:iCs w:val="0"/>
          <w:color w:val="000000" w:themeColor="text1"/>
          <w:lang w:val="en-US"/>
        </w:rPr>
        <w:t>IgE</w:t>
      </w:r>
      <w:proofErr w:type="spellEnd"/>
      <w:r w:rsidRPr="00BD5A47">
        <w:rPr>
          <w:i w:val="0"/>
          <w:iCs w:val="0"/>
          <w:color w:val="000000" w:themeColor="text1"/>
          <w:lang w:val="en-US"/>
        </w:rPr>
        <w:t xml:space="preserve"> in serum (left) and colon homogenates (right) of OVA/sham + OVA (n=9), saline/infected + OVA (n=10), OVA/infected + saline (n=10) and OVA/infected + OVA (n=9) mice at 7 weeks post-infection, OVA-allergy (n=6-8) mice. </w:t>
      </w:r>
      <w:r w:rsidRPr="00BD5A47">
        <w:rPr>
          <w:b/>
          <w:bCs/>
          <w:i w:val="0"/>
          <w:iCs w:val="0"/>
          <w:color w:val="000000" w:themeColor="text1"/>
          <w:lang w:val="en-US"/>
        </w:rPr>
        <w:t>d-</w:t>
      </w:r>
      <w:r w:rsidR="00441EF2">
        <w:rPr>
          <w:b/>
          <w:bCs/>
          <w:i w:val="0"/>
          <w:iCs w:val="0"/>
          <w:color w:val="000000" w:themeColor="text1"/>
          <w:lang w:val="en-US"/>
        </w:rPr>
        <w:t>n</w:t>
      </w:r>
      <w:r w:rsidRPr="00841C28">
        <w:rPr>
          <w:i w:val="0"/>
          <w:iCs w:val="0"/>
          <w:color w:val="000000" w:themeColor="text1"/>
          <w:lang w:val="en-US"/>
        </w:rPr>
        <w:t>, VMR to colorectal distention in (</w:t>
      </w:r>
      <w:r w:rsidRPr="00841C28">
        <w:rPr>
          <w:b/>
          <w:bCs/>
          <w:i w:val="0"/>
          <w:iCs w:val="0"/>
          <w:color w:val="000000" w:themeColor="text1"/>
          <w:lang w:val="en-US"/>
        </w:rPr>
        <w:t>d, e</w:t>
      </w:r>
      <w:r w:rsidRPr="00841C28">
        <w:rPr>
          <w:i w:val="0"/>
          <w:iCs w:val="0"/>
          <w:color w:val="000000" w:themeColor="text1"/>
          <w:lang w:val="en-US"/>
        </w:rPr>
        <w:t>) OVA/sham + OVA (n=12), OVA/infected + saline (n=11), saline/infected + OVA (n=11) and OVA/infected + OVA (n=13)</w:t>
      </w:r>
      <w:r w:rsidR="00FB606E">
        <w:rPr>
          <w:i w:val="0"/>
          <w:iCs w:val="0"/>
          <w:color w:val="000000" w:themeColor="text1"/>
          <w:lang w:val="en-US"/>
        </w:rPr>
        <w:t xml:space="preserve"> mice</w:t>
      </w:r>
      <w:r w:rsidRPr="00BD5A47">
        <w:rPr>
          <w:i w:val="0"/>
          <w:iCs w:val="0"/>
          <w:color w:val="000000" w:themeColor="text1"/>
          <w:lang w:val="en-US"/>
        </w:rPr>
        <w:t>; (</w:t>
      </w:r>
      <w:r w:rsidRPr="00BD5A47">
        <w:rPr>
          <w:b/>
          <w:bCs/>
          <w:i w:val="0"/>
          <w:iCs w:val="0"/>
          <w:color w:val="000000" w:themeColor="text1"/>
          <w:lang w:val="en-US"/>
        </w:rPr>
        <w:t>f, g</w:t>
      </w:r>
      <w:r w:rsidRPr="00BD5A47">
        <w:rPr>
          <w:i w:val="0"/>
          <w:iCs w:val="0"/>
          <w:color w:val="000000" w:themeColor="text1"/>
          <w:lang w:val="en-US"/>
        </w:rPr>
        <w:t xml:space="preserve">) mice OVA tolerized (high dose) + saline/infected + OVA (n=6), OVA tolerized (high dose) + OVA/infected + OVA (n=9), OVA tolerized (low dose) + saline/infected + </w:t>
      </w:r>
      <w:r w:rsidRPr="00BD5A47">
        <w:rPr>
          <w:i w:val="0"/>
          <w:iCs w:val="0"/>
          <w:color w:val="000000" w:themeColor="text1"/>
          <w:lang w:val="en-US"/>
        </w:rPr>
        <w:lastRenderedPageBreak/>
        <w:t>OVA (n=6) and OVA tolerized (low dose) + OVA/infected + OVA (n=8); (</w:t>
      </w:r>
      <w:r w:rsidRPr="00BD5A47">
        <w:rPr>
          <w:b/>
          <w:bCs/>
          <w:i w:val="0"/>
          <w:iCs w:val="0"/>
          <w:color w:val="000000" w:themeColor="text1"/>
          <w:lang w:val="en-US"/>
        </w:rPr>
        <w:t>h, i</w:t>
      </w:r>
      <w:r w:rsidRPr="00BD5A47">
        <w:rPr>
          <w:i w:val="0"/>
          <w:iCs w:val="0"/>
          <w:color w:val="000000" w:themeColor="text1"/>
          <w:lang w:val="en-US"/>
        </w:rPr>
        <w:t>) OVA/infected + OVA mice treated with anti-</w:t>
      </w:r>
      <w:proofErr w:type="spellStart"/>
      <w:r w:rsidRPr="00BD5A47">
        <w:rPr>
          <w:i w:val="0"/>
          <w:iCs w:val="0"/>
          <w:color w:val="000000" w:themeColor="text1"/>
          <w:lang w:val="en-US"/>
        </w:rPr>
        <w:t>IgE</w:t>
      </w:r>
      <w:proofErr w:type="spellEnd"/>
      <w:r w:rsidRPr="00BD5A47">
        <w:rPr>
          <w:i w:val="0"/>
          <w:iCs w:val="0"/>
          <w:color w:val="000000" w:themeColor="text1"/>
          <w:lang w:val="en-US"/>
        </w:rPr>
        <w:t xml:space="preserve"> antibody (n=8) or control antibody (n=8); (</w:t>
      </w:r>
      <w:r w:rsidRPr="00BD5A47">
        <w:rPr>
          <w:b/>
          <w:bCs/>
          <w:i w:val="0"/>
          <w:iCs w:val="0"/>
          <w:color w:val="000000" w:themeColor="text1"/>
          <w:lang w:val="en-US"/>
        </w:rPr>
        <w:t>j, k</w:t>
      </w:r>
      <w:r w:rsidRPr="00BD5A47">
        <w:rPr>
          <w:i w:val="0"/>
          <w:iCs w:val="0"/>
          <w:color w:val="000000" w:themeColor="text1"/>
          <w:lang w:val="en-US"/>
        </w:rPr>
        <w:t>)</w:t>
      </w:r>
      <w:r w:rsidR="00FB606E" w:rsidRPr="00FB606E">
        <w:rPr>
          <w:i w:val="0"/>
          <w:iCs w:val="0"/>
          <w:color w:val="000000" w:themeColor="text1"/>
          <w:lang w:val="en-US"/>
        </w:rPr>
        <w:t>;</w:t>
      </w:r>
      <w:r w:rsidRPr="00BD5A47">
        <w:rPr>
          <w:i w:val="0"/>
          <w:iCs w:val="0"/>
          <w:color w:val="000000" w:themeColor="text1"/>
          <w:lang w:val="en-US"/>
        </w:rPr>
        <w:t xml:space="preserve"> </w:t>
      </w:r>
      <w:r w:rsidR="00FB606E" w:rsidRPr="00BD5A47">
        <w:rPr>
          <w:i w:val="0"/>
          <w:iCs w:val="0"/>
          <w:color w:val="000000" w:themeColor="text1"/>
          <w:lang w:val="en-US"/>
        </w:rPr>
        <w:t xml:space="preserve">OVA/infected + OVA mice with </w:t>
      </w:r>
      <w:r w:rsidR="00FB606E" w:rsidRPr="00BD5A47">
        <w:rPr>
          <w:color w:val="000000" w:themeColor="text1"/>
          <w:lang w:val="en-US"/>
        </w:rPr>
        <w:t>Igh7</w:t>
      </w:r>
      <w:r w:rsidR="00FB606E">
        <w:rPr>
          <w:i w:val="0"/>
          <w:iCs w:val="0"/>
          <w:color w:val="000000" w:themeColor="text1"/>
          <w:vertAlign w:val="superscript"/>
          <w:lang w:val="en-US"/>
        </w:rPr>
        <w:t>-</w:t>
      </w:r>
      <w:r w:rsidR="00FB606E" w:rsidRPr="00FB606E">
        <w:rPr>
          <w:i w:val="0"/>
          <w:iCs w:val="0"/>
          <w:color w:val="000000" w:themeColor="text1"/>
          <w:vertAlign w:val="superscript"/>
          <w:lang w:val="en-US"/>
        </w:rPr>
        <w:t>/</w:t>
      </w:r>
      <w:r w:rsidR="00FB606E">
        <w:rPr>
          <w:i w:val="0"/>
          <w:iCs w:val="0"/>
          <w:color w:val="000000" w:themeColor="text1"/>
          <w:vertAlign w:val="superscript"/>
          <w:lang w:val="en-US"/>
        </w:rPr>
        <w:t>-</w:t>
      </w:r>
      <w:r w:rsidR="00FB606E" w:rsidRPr="00BD5A47">
        <w:rPr>
          <w:i w:val="0"/>
          <w:iCs w:val="0"/>
          <w:color w:val="000000" w:themeColor="text1"/>
          <w:lang w:val="en-US"/>
        </w:rPr>
        <w:t xml:space="preserve"> background (n=1</w:t>
      </w:r>
      <w:r w:rsidR="00FB606E">
        <w:rPr>
          <w:i w:val="0"/>
          <w:iCs w:val="0"/>
          <w:color w:val="000000" w:themeColor="text1"/>
          <w:lang w:val="en-US"/>
        </w:rPr>
        <w:t>0</w:t>
      </w:r>
      <w:r w:rsidR="00FB606E" w:rsidRPr="00BD5A47">
        <w:rPr>
          <w:i w:val="0"/>
          <w:iCs w:val="0"/>
          <w:color w:val="000000" w:themeColor="text1"/>
          <w:lang w:val="en-US"/>
        </w:rPr>
        <w:t xml:space="preserve">) or WT </w:t>
      </w:r>
      <w:r w:rsidR="00FB606E">
        <w:rPr>
          <w:i w:val="0"/>
          <w:iCs w:val="0"/>
          <w:color w:val="000000" w:themeColor="text1"/>
          <w:lang w:val="en-US"/>
        </w:rPr>
        <w:t>mice</w:t>
      </w:r>
      <w:r w:rsidR="00FB606E" w:rsidRPr="00BD5A47">
        <w:rPr>
          <w:i w:val="0"/>
          <w:iCs w:val="0"/>
          <w:color w:val="000000" w:themeColor="text1"/>
          <w:lang w:val="en-US"/>
        </w:rPr>
        <w:t xml:space="preserve"> (n=1</w:t>
      </w:r>
      <w:r w:rsidR="00FB606E">
        <w:rPr>
          <w:i w:val="0"/>
          <w:iCs w:val="0"/>
          <w:color w:val="000000" w:themeColor="text1"/>
          <w:lang w:val="en-US"/>
        </w:rPr>
        <w:t>0</w:t>
      </w:r>
      <w:r w:rsidR="00FB606E" w:rsidRPr="00BD5A47">
        <w:rPr>
          <w:i w:val="0"/>
          <w:iCs w:val="0"/>
          <w:color w:val="000000" w:themeColor="text1"/>
          <w:lang w:val="en-US"/>
        </w:rPr>
        <w:t>)</w:t>
      </w:r>
      <w:r w:rsidR="00FB606E">
        <w:rPr>
          <w:i w:val="0"/>
          <w:iCs w:val="0"/>
          <w:color w:val="000000" w:themeColor="text1"/>
          <w:lang w:val="en-US"/>
        </w:rPr>
        <w:t>;</w:t>
      </w:r>
      <w:r w:rsidR="00FB606E" w:rsidRPr="00BD5A47">
        <w:rPr>
          <w:i w:val="0"/>
          <w:iCs w:val="0"/>
          <w:color w:val="000000" w:themeColor="text1"/>
          <w:lang w:val="en-US"/>
        </w:rPr>
        <w:t xml:space="preserve"> </w:t>
      </w:r>
      <w:r w:rsidR="00FB606E" w:rsidRPr="00CE4DD1">
        <w:rPr>
          <w:i w:val="0"/>
          <w:iCs w:val="0"/>
          <w:color w:val="000000" w:themeColor="text1"/>
          <w:lang w:val="en-US"/>
        </w:rPr>
        <w:t>(</w:t>
      </w:r>
      <w:r w:rsidR="00FB606E">
        <w:rPr>
          <w:b/>
          <w:bCs/>
          <w:i w:val="0"/>
          <w:iCs w:val="0"/>
          <w:color w:val="000000" w:themeColor="text1"/>
          <w:lang w:val="en-US"/>
        </w:rPr>
        <w:t>n</w:t>
      </w:r>
      <w:r w:rsidR="00FB606E" w:rsidRPr="00CE4DD1">
        <w:rPr>
          <w:b/>
          <w:bCs/>
          <w:i w:val="0"/>
          <w:iCs w:val="0"/>
          <w:color w:val="000000" w:themeColor="text1"/>
          <w:lang w:val="en-US"/>
        </w:rPr>
        <w:t xml:space="preserve">, </w:t>
      </w:r>
      <w:r w:rsidR="00FB606E">
        <w:rPr>
          <w:b/>
          <w:bCs/>
          <w:i w:val="0"/>
          <w:iCs w:val="0"/>
          <w:color w:val="000000" w:themeColor="text1"/>
          <w:lang w:val="en-US"/>
        </w:rPr>
        <w:t>m</w:t>
      </w:r>
      <w:r w:rsidR="00FB606E" w:rsidRPr="00CE4DD1">
        <w:rPr>
          <w:i w:val="0"/>
          <w:iCs w:val="0"/>
          <w:color w:val="000000" w:themeColor="text1"/>
          <w:lang w:val="en-US"/>
        </w:rPr>
        <w:t>)</w:t>
      </w:r>
      <w:r w:rsidR="00FB606E">
        <w:rPr>
          <w:i w:val="0"/>
          <w:iCs w:val="0"/>
          <w:color w:val="000000" w:themeColor="text1"/>
          <w:lang w:val="en-US"/>
        </w:rPr>
        <w:t xml:space="preserve"> </w:t>
      </w:r>
      <w:r w:rsidRPr="00BD5A47">
        <w:rPr>
          <w:i w:val="0"/>
          <w:iCs w:val="0"/>
          <w:color w:val="000000" w:themeColor="text1"/>
          <w:lang w:val="en-US"/>
        </w:rPr>
        <w:t xml:space="preserve">and naïve mice treated with monoclonal anti-OVA-specific </w:t>
      </w:r>
      <w:proofErr w:type="spellStart"/>
      <w:r w:rsidRPr="00BD5A47">
        <w:rPr>
          <w:i w:val="0"/>
          <w:iCs w:val="0"/>
          <w:color w:val="000000" w:themeColor="text1"/>
          <w:lang w:val="en-US"/>
        </w:rPr>
        <w:t>IgE</w:t>
      </w:r>
      <w:proofErr w:type="spellEnd"/>
      <w:r w:rsidRPr="00BD5A47">
        <w:rPr>
          <w:i w:val="0"/>
          <w:iCs w:val="0"/>
          <w:color w:val="000000" w:themeColor="text1"/>
          <w:lang w:val="en-US"/>
        </w:rPr>
        <w:t xml:space="preserve"> antibody (n=7) or monoclonal Anti-Dinitrophenyl (DNP) antibody (control, n=6) and orally </w:t>
      </w:r>
      <w:proofErr w:type="spellStart"/>
      <w:r w:rsidRPr="00BD5A47">
        <w:rPr>
          <w:i w:val="0"/>
          <w:iCs w:val="0"/>
          <w:color w:val="000000" w:themeColor="text1"/>
          <w:lang w:val="en-US"/>
        </w:rPr>
        <w:t>gavaged</w:t>
      </w:r>
      <w:proofErr w:type="spellEnd"/>
      <w:r w:rsidRPr="00BD5A47">
        <w:rPr>
          <w:i w:val="0"/>
          <w:iCs w:val="0"/>
          <w:color w:val="000000" w:themeColor="text1"/>
          <w:lang w:val="en-US"/>
        </w:rPr>
        <w:t xml:space="preserve"> with OVA. e, g, </w:t>
      </w:r>
      <w:proofErr w:type="spellStart"/>
      <w:r w:rsidRPr="00BD5A47">
        <w:rPr>
          <w:i w:val="0"/>
          <w:iCs w:val="0"/>
          <w:color w:val="000000" w:themeColor="text1"/>
          <w:lang w:val="en-US"/>
        </w:rPr>
        <w:t>i</w:t>
      </w:r>
      <w:proofErr w:type="spellEnd"/>
      <w:r w:rsidR="00441EF2">
        <w:rPr>
          <w:i w:val="0"/>
          <w:iCs w:val="0"/>
          <w:color w:val="000000" w:themeColor="text1"/>
          <w:lang w:val="en-US"/>
        </w:rPr>
        <w:t>, k</w:t>
      </w:r>
      <w:r w:rsidRPr="00841C28">
        <w:rPr>
          <w:i w:val="0"/>
          <w:iCs w:val="0"/>
          <w:color w:val="000000" w:themeColor="text1"/>
          <w:lang w:val="en-US"/>
        </w:rPr>
        <w:t xml:space="preserve"> </w:t>
      </w:r>
      <w:proofErr w:type="gramStart"/>
      <w:r w:rsidRPr="00841C28">
        <w:rPr>
          <w:i w:val="0"/>
          <w:iCs w:val="0"/>
          <w:color w:val="000000" w:themeColor="text1"/>
          <w:lang w:val="en-US"/>
        </w:rPr>
        <w:t>depict</w:t>
      </w:r>
      <w:proofErr w:type="gramEnd"/>
      <w:r w:rsidRPr="00841C28">
        <w:rPr>
          <w:i w:val="0"/>
          <w:iCs w:val="0"/>
          <w:color w:val="000000" w:themeColor="text1"/>
          <w:lang w:val="en-US"/>
        </w:rPr>
        <w:t xml:space="preserve"> VMR responses at 7 weeks post-infection and </w:t>
      </w:r>
      <w:r w:rsidR="00FB606E">
        <w:rPr>
          <w:i w:val="0"/>
          <w:iCs w:val="0"/>
          <w:color w:val="000000" w:themeColor="text1"/>
          <w:lang w:val="en-US"/>
        </w:rPr>
        <w:t>m</w:t>
      </w:r>
      <w:r w:rsidR="00FB606E" w:rsidRPr="00BD5A47">
        <w:rPr>
          <w:i w:val="0"/>
          <w:iCs w:val="0"/>
          <w:color w:val="000000" w:themeColor="text1"/>
          <w:lang w:val="en-US"/>
        </w:rPr>
        <w:t xml:space="preserve"> </w:t>
      </w:r>
      <w:r w:rsidRPr="00BD5A47">
        <w:rPr>
          <w:i w:val="0"/>
          <w:iCs w:val="0"/>
          <w:color w:val="000000" w:themeColor="text1"/>
          <w:lang w:val="en-US"/>
        </w:rPr>
        <w:t xml:space="preserve">after 4 OVA gavages. </w:t>
      </w:r>
      <w:r w:rsidR="00FB606E">
        <w:rPr>
          <w:b/>
          <w:i w:val="0"/>
          <w:iCs w:val="0"/>
          <w:color w:val="000000" w:themeColor="text1"/>
          <w:lang w:val="en-US"/>
        </w:rPr>
        <w:t>n</w:t>
      </w:r>
      <w:r w:rsidRPr="00BD5A47">
        <w:rPr>
          <w:i w:val="0"/>
          <w:iCs w:val="0"/>
          <w:color w:val="000000" w:themeColor="text1"/>
          <w:lang w:val="en-US"/>
        </w:rPr>
        <w:t xml:space="preserve">, quantification of mIL-4 spot-forming cells </w:t>
      </w:r>
      <w:proofErr w:type="spellStart"/>
      <w:r w:rsidRPr="00BD5A47">
        <w:rPr>
          <w:i w:val="0"/>
          <w:iCs w:val="0"/>
          <w:color w:val="000000" w:themeColor="text1"/>
          <w:lang w:val="en-US"/>
        </w:rPr>
        <w:t>cMLN</w:t>
      </w:r>
      <w:proofErr w:type="spellEnd"/>
      <w:r w:rsidRPr="00BD5A47">
        <w:rPr>
          <w:i w:val="0"/>
          <w:iCs w:val="0"/>
          <w:color w:val="000000" w:themeColor="text1"/>
          <w:lang w:val="en-US"/>
        </w:rPr>
        <w:t xml:space="preserve"> from saline/infected + OVA (n=8), OVA/infected + OVA (n=8) and OVA/infected + OVA (n=8) mice. Two-way repeated (RM) analysis of variance (ANOVA) with </w:t>
      </w:r>
      <w:proofErr w:type="spellStart"/>
      <w:r w:rsidRPr="00BD5A47">
        <w:rPr>
          <w:i w:val="0"/>
          <w:iCs w:val="0"/>
          <w:color w:val="000000" w:themeColor="text1"/>
          <w:lang w:val="en-US"/>
        </w:rPr>
        <w:t>Sidak's</w:t>
      </w:r>
      <w:proofErr w:type="spellEnd"/>
      <w:r w:rsidRPr="00BD5A47">
        <w:rPr>
          <w:i w:val="0"/>
          <w:iCs w:val="0"/>
          <w:color w:val="000000" w:themeColor="text1"/>
          <w:lang w:val="en-US"/>
        </w:rPr>
        <w:t xml:space="preserve"> multiple comparisons test was performed for </w:t>
      </w:r>
      <w:r w:rsidRPr="00BD5A47">
        <w:rPr>
          <w:b/>
          <w:bCs/>
          <w:i w:val="0"/>
          <w:iCs w:val="0"/>
          <w:color w:val="000000" w:themeColor="text1"/>
          <w:lang w:val="en-US"/>
        </w:rPr>
        <w:t>b</w:t>
      </w:r>
      <w:r w:rsidRPr="00BD5A47">
        <w:rPr>
          <w:i w:val="0"/>
          <w:iCs w:val="0"/>
          <w:color w:val="000000" w:themeColor="text1"/>
          <w:lang w:val="en-US"/>
        </w:rPr>
        <w:t xml:space="preserve"> and </w:t>
      </w:r>
      <w:r w:rsidRPr="00BD5A47">
        <w:rPr>
          <w:b/>
          <w:bCs/>
          <w:i w:val="0"/>
          <w:iCs w:val="0"/>
          <w:color w:val="000000" w:themeColor="text1"/>
          <w:lang w:val="en-US"/>
        </w:rPr>
        <w:t>d-</w:t>
      </w:r>
      <w:r w:rsidR="00FB606E">
        <w:rPr>
          <w:b/>
          <w:bCs/>
          <w:i w:val="0"/>
          <w:iCs w:val="0"/>
          <w:color w:val="000000" w:themeColor="text1"/>
          <w:lang w:val="en-US"/>
        </w:rPr>
        <w:t>m</w:t>
      </w:r>
      <w:r w:rsidRPr="00841C28">
        <w:rPr>
          <w:i w:val="0"/>
          <w:iCs w:val="0"/>
          <w:color w:val="000000" w:themeColor="text1"/>
          <w:lang w:val="en-US"/>
        </w:rPr>
        <w:t xml:space="preserve">. Kruskal-Wallis test and Dunn's multiple comparisons test were performed for </w:t>
      </w:r>
      <w:r w:rsidRPr="00841C28">
        <w:rPr>
          <w:b/>
          <w:bCs/>
          <w:i w:val="0"/>
          <w:iCs w:val="0"/>
          <w:color w:val="000000" w:themeColor="text1"/>
          <w:lang w:val="en-US"/>
        </w:rPr>
        <w:t>c</w:t>
      </w:r>
      <w:r w:rsidRPr="00841C28">
        <w:rPr>
          <w:i w:val="0"/>
          <w:iCs w:val="0"/>
          <w:color w:val="000000" w:themeColor="text1"/>
          <w:lang w:val="en-US"/>
        </w:rPr>
        <w:t xml:space="preserve"> and </w:t>
      </w:r>
      <w:r w:rsidR="00FB606E">
        <w:rPr>
          <w:b/>
          <w:i w:val="0"/>
          <w:iCs w:val="0"/>
          <w:color w:val="000000" w:themeColor="text1"/>
          <w:lang w:val="en-US"/>
        </w:rPr>
        <w:t>n</w:t>
      </w:r>
      <w:r w:rsidRPr="00BD5A47">
        <w:rPr>
          <w:i w:val="0"/>
          <w:iCs w:val="0"/>
          <w:color w:val="000000" w:themeColor="text1"/>
          <w:lang w:val="en-US"/>
        </w:rPr>
        <w:t xml:space="preserve">. Data are shown as median ± IQR in </w:t>
      </w:r>
      <w:r w:rsidRPr="00BD5A47">
        <w:rPr>
          <w:b/>
          <w:bCs/>
          <w:i w:val="0"/>
          <w:iCs w:val="0"/>
          <w:color w:val="000000" w:themeColor="text1"/>
          <w:lang w:val="en-US"/>
        </w:rPr>
        <w:t>b-l</w:t>
      </w:r>
      <w:r w:rsidRPr="00BD5A47">
        <w:rPr>
          <w:i w:val="0"/>
          <w:iCs w:val="0"/>
          <w:color w:val="000000" w:themeColor="text1"/>
          <w:lang w:val="en-US"/>
        </w:rPr>
        <w:t>. VMR, visceromotor response; BL, baseline; w, week;</w:t>
      </w:r>
      <w:r w:rsidR="00921082" w:rsidRPr="00BD5A47">
        <w:rPr>
          <w:i w:val="0"/>
          <w:iCs w:val="0"/>
          <w:color w:val="000000" w:themeColor="text1"/>
          <w:lang w:val="en-US"/>
        </w:rPr>
        <w:t xml:space="preserve"> h, hours; PI, post-infectious;</w:t>
      </w:r>
      <w:r w:rsidRPr="00BD5A47">
        <w:rPr>
          <w:i w:val="0"/>
          <w:iCs w:val="0"/>
          <w:color w:val="000000" w:themeColor="text1"/>
          <w:lang w:val="en-US"/>
        </w:rPr>
        <w:t xml:space="preserve"> OVA, ovalbumin.</w:t>
      </w:r>
    </w:p>
    <w:p w14:paraId="0AEFE147" w14:textId="77777777" w:rsidR="00FB606E" w:rsidRPr="00402992" w:rsidRDefault="00FB606E" w:rsidP="00402992">
      <w:pPr>
        <w:rPr>
          <w:i/>
          <w:iCs/>
          <w:lang w:val="en-US"/>
        </w:rPr>
      </w:pPr>
    </w:p>
    <w:p w14:paraId="5B77200A" w14:textId="74E52DEB" w:rsidR="00077004" w:rsidRDefault="00016B17" w:rsidP="00077004">
      <w:pPr>
        <w:keepNext/>
        <w:autoSpaceDE w:val="0"/>
        <w:autoSpaceDN w:val="0"/>
        <w:adjustRightInd w:val="0"/>
        <w:spacing w:after="120" w:line="480" w:lineRule="auto"/>
        <w:jc w:val="both"/>
      </w:pPr>
      <w:r>
        <w:rPr>
          <w:noProof/>
        </w:rPr>
        <w:drawing>
          <wp:inline distT="0" distB="0" distL="0" distR="0" wp14:anchorId="171F7AD9" wp14:editId="593CD2E7">
            <wp:extent cx="5972810" cy="3041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a:fillRect/>
                    </a:stretch>
                  </pic:blipFill>
                  <pic:spPr>
                    <a:xfrm>
                      <a:off x="0" y="0"/>
                      <a:ext cx="5972810" cy="3041650"/>
                    </a:xfrm>
                    <a:prstGeom prst="rect">
                      <a:avLst/>
                    </a:prstGeom>
                  </pic:spPr>
                </pic:pic>
              </a:graphicData>
            </a:graphic>
          </wp:inline>
        </w:drawing>
      </w:r>
    </w:p>
    <w:p w14:paraId="04150B4F" w14:textId="1C1DE755" w:rsidR="00077004" w:rsidRDefault="00077004" w:rsidP="00077004">
      <w:pPr>
        <w:spacing w:after="120" w:line="240" w:lineRule="auto"/>
        <w:jc w:val="both"/>
        <w:rPr>
          <w:color w:val="000000" w:themeColor="text1"/>
          <w:sz w:val="18"/>
          <w:szCs w:val="18"/>
          <w:lang w:val="en-US"/>
        </w:rPr>
      </w:pPr>
      <w:r w:rsidRPr="00BD5A47">
        <w:rPr>
          <w:b/>
          <w:bCs/>
          <w:sz w:val="18"/>
          <w:szCs w:val="18"/>
          <w:lang w:val="en-US"/>
        </w:rPr>
        <w:t xml:space="preserve">Fig. </w:t>
      </w:r>
      <w:r w:rsidRPr="003563B9">
        <w:rPr>
          <w:b/>
          <w:bCs/>
          <w:sz w:val="18"/>
          <w:szCs w:val="18"/>
        </w:rPr>
        <w:fldChar w:fldCharType="begin"/>
      </w:r>
      <w:r w:rsidRPr="00841C28">
        <w:rPr>
          <w:b/>
          <w:bCs/>
          <w:sz w:val="18"/>
          <w:szCs w:val="18"/>
          <w:lang w:val="en-US"/>
        </w:rPr>
        <w:instrText xml:space="preserve"> SEQ Figure \* ARABIC </w:instrText>
      </w:r>
      <w:r w:rsidRPr="003563B9">
        <w:rPr>
          <w:b/>
          <w:bCs/>
          <w:sz w:val="18"/>
          <w:szCs w:val="18"/>
        </w:rPr>
        <w:fldChar w:fldCharType="separate"/>
      </w:r>
      <w:r w:rsidRPr="00841C28">
        <w:rPr>
          <w:b/>
          <w:bCs/>
          <w:noProof/>
          <w:sz w:val="18"/>
          <w:szCs w:val="18"/>
          <w:lang w:val="en-US"/>
        </w:rPr>
        <w:t>2</w:t>
      </w:r>
      <w:r w:rsidRPr="003563B9">
        <w:rPr>
          <w:b/>
          <w:bCs/>
          <w:sz w:val="18"/>
          <w:szCs w:val="18"/>
        </w:rPr>
        <w:fldChar w:fldCharType="end"/>
      </w:r>
      <w:r w:rsidRPr="00841C28">
        <w:rPr>
          <w:b/>
          <w:bCs/>
          <w:sz w:val="18"/>
          <w:szCs w:val="18"/>
          <w:lang w:val="en-US"/>
        </w:rPr>
        <w:t>.</w:t>
      </w:r>
      <w:r w:rsidRPr="00841C28">
        <w:rPr>
          <w:sz w:val="18"/>
          <w:szCs w:val="18"/>
          <w:lang w:val="en-US"/>
        </w:rPr>
        <w:t xml:space="preserve"> </w:t>
      </w:r>
      <w:r w:rsidRPr="003563B9">
        <w:rPr>
          <w:b/>
          <w:color w:val="000000" w:themeColor="text1"/>
          <w:sz w:val="18"/>
          <w:szCs w:val="18"/>
          <w:lang w:val="en-US"/>
        </w:rPr>
        <w:t>Mast cell activation plays a key role in the development of OVA-induced VHS in post-infectious mice. a,</w:t>
      </w:r>
      <w:r w:rsidRPr="003563B9">
        <w:rPr>
          <w:color w:val="000000" w:themeColor="text1"/>
          <w:sz w:val="18"/>
          <w:szCs w:val="18"/>
          <w:lang w:val="en-US"/>
        </w:rPr>
        <w:t xml:space="preserve"> Heat-map of the gene expression of inflammatory genes and mast</w:t>
      </w:r>
      <w:r w:rsidR="00E53321">
        <w:rPr>
          <w:color w:val="000000" w:themeColor="text1"/>
          <w:sz w:val="18"/>
          <w:szCs w:val="18"/>
          <w:lang w:val="en-US"/>
        </w:rPr>
        <w:t xml:space="preserve"> </w:t>
      </w:r>
      <w:r w:rsidRPr="003563B9">
        <w:rPr>
          <w:color w:val="000000" w:themeColor="text1"/>
          <w:sz w:val="18"/>
          <w:szCs w:val="18"/>
          <w:lang w:val="en-US"/>
        </w:rPr>
        <w:t>cell-related genes in OVA/sham + OVA (</w:t>
      </w:r>
      <w:r w:rsidRPr="003563B9">
        <w:rPr>
          <w:i/>
          <w:iCs/>
          <w:color w:val="000000" w:themeColor="text1"/>
          <w:sz w:val="18"/>
          <w:szCs w:val="18"/>
          <w:lang w:val="en-US"/>
        </w:rPr>
        <w:t>a</w:t>
      </w:r>
      <w:r w:rsidRPr="003563B9">
        <w:rPr>
          <w:color w:val="000000" w:themeColor="text1"/>
          <w:sz w:val="18"/>
          <w:szCs w:val="18"/>
          <w:lang w:val="en-US"/>
        </w:rPr>
        <w:t>, n=</w:t>
      </w:r>
      <w:r w:rsidR="00FA3AD9">
        <w:rPr>
          <w:color w:val="000000" w:themeColor="text1"/>
          <w:sz w:val="18"/>
          <w:szCs w:val="18"/>
          <w:lang w:val="en-US"/>
        </w:rPr>
        <w:t>7-</w:t>
      </w:r>
      <w:r w:rsidRPr="003563B9">
        <w:rPr>
          <w:color w:val="000000" w:themeColor="text1"/>
          <w:sz w:val="18"/>
          <w:szCs w:val="18"/>
          <w:lang w:val="en-US"/>
        </w:rPr>
        <w:t>21), saline/infected + OVA (</w:t>
      </w:r>
      <w:r w:rsidRPr="003563B9">
        <w:rPr>
          <w:i/>
          <w:iCs/>
          <w:color w:val="000000" w:themeColor="text1"/>
          <w:sz w:val="18"/>
          <w:szCs w:val="18"/>
          <w:lang w:val="en-US"/>
        </w:rPr>
        <w:t>b</w:t>
      </w:r>
      <w:r w:rsidRPr="003563B9">
        <w:rPr>
          <w:color w:val="000000" w:themeColor="text1"/>
          <w:sz w:val="18"/>
          <w:szCs w:val="18"/>
          <w:lang w:val="en-US"/>
        </w:rPr>
        <w:t>, n=</w:t>
      </w:r>
      <w:r w:rsidR="00FA3AD9">
        <w:rPr>
          <w:color w:val="000000" w:themeColor="text1"/>
          <w:sz w:val="18"/>
          <w:szCs w:val="18"/>
          <w:lang w:val="en-US"/>
        </w:rPr>
        <w:t>7-</w:t>
      </w:r>
      <w:r w:rsidRPr="003563B9">
        <w:rPr>
          <w:color w:val="000000" w:themeColor="text1"/>
          <w:sz w:val="18"/>
          <w:szCs w:val="18"/>
          <w:lang w:val="en-US"/>
        </w:rPr>
        <w:t>11), OVA/infected + saline (</w:t>
      </w:r>
      <w:r w:rsidRPr="003563B9">
        <w:rPr>
          <w:i/>
          <w:iCs/>
          <w:color w:val="000000" w:themeColor="text1"/>
          <w:sz w:val="18"/>
          <w:szCs w:val="18"/>
          <w:lang w:val="en-US"/>
        </w:rPr>
        <w:t>c</w:t>
      </w:r>
      <w:r w:rsidRPr="003563B9">
        <w:rPr>
          <w:color w:val="000000" w:themeColor="text1"/>
          <w:sz w:val="18"/>
          <w:szCs w:val="18"/>
          <w:lang w:val="en-US"/>
        </w:rPr>
        <w:t>, n=</w:t>
      </w:r>
      <w:r w:rsidR="00FA3AD9">
        <w:rPr>
          <w:color w:val="000000" w:themeColor="text1"/>
          <w:sz w:val="18"/>
          <w:szCs w:val="18"/>
          <w:lang w:val="en-US"/>
        </w:rPr>
        <w:t>5-</w:t>
      </w:r>
      <w:r w:rsidRPr="003563B9">
        <w:rPr>
          <w:color w:val="000000" w:themeColor="text1"/>
          <w:sz w:val="18"/>
          <w:szCs w:val="18"/>
          <w:lang w:val="en-US"/>
        </w:rPr>
        <w:t>11) and OVA/infected + OVA (</w:t>
      </w:r>
      <w:r w:rsidRPr="003563B9">
        <w:rPr>
          <w:i/>
          <w:iCs/>
          <w:color w:val="000000" w:themeColor="text1"/>
          <w:sz w:val="18"/>
          <w:szCs w:val="18"/>
          <w:lang w:val="en-US"/>
        </w:rPr>
        <w:t>d</w:t>
      </w:r>
      <w:r w:rsidRPr="003563B9">
        <w:rPr>
          <w:color w:val="000000" w:themeColor="text1"/>
          <w:sz w:val="18"/>
          <w:szCs w:val="18"/>
          <w:lang w:val="en-US"/>
        </w:rPr>
        <w:t>, n=</w:t>
      </w:r>
      <w:r w:rsidR="00FA3AD9">
        <w:rPr>
          <w:color w:val="000000" w:themeColor="text1"/>
          <w:sz w:val="18"/>
          <w:szCs w:val="18"/>
          <w:lang w:val="en-US"/>
        </w:rPr>
        <w:t>8-</w:t>
      </w:r>
      <w:r w:rsidRPr="003563B9">
        <w:rPr>
          <w:color w:val="000000" w:themeColor="text1"/>
          <w:sz w:val="18"/>
          <w:szCs w:val="18"/>
          <w:lang w:val="en-US"/>
        </w:rPr>
        <w:t xml:space="preserve">21) at 7 weeks post-infection. </w:t>
      </w:r>
      <w:r w:rsidRPr="003563B9">
        <w:rPr>
          <w:b/>
          <w:bCs/>
          <w:color w:val="000000" w:themeColor="text1"/>
          <w:sz w:val="18"/>
          <w:szCs w:val="18"/>
          <w:lang w:val="en-US"/>
        </w:rPr>
        <w:t>b</w:t>
      </w:r>
      <w:r w:rsidRPr="003563B9">
        <w:rPr>
          <w:color w:val="000000" w:themeColor="text1"/>
          <w:sz w:val="18"/>
          <w:szCs w:val="18"/>
          <w:lang w:val="en-US"/>
        </w:rPr>
        <w:t>, percentage of avidin-fluorescence intensity (expressed as TCCF) relative to baseline (time 0) at time = 28 min in mast cells from OVA/sham + OVA (n=</w:t>
      </w:r>
      <w:r w:rsidR="009976E0">
        <w:rPr>
          <w:color w:val="000000" w:themeColor="text1"/>
          <w:sz w:val="18"/>
          <w:szCs w:val="18"/>
          <w:lang w:val="en-US"/>
        </w:rPr>
        <w:t>222</w:t>
      </w:r>
      <w:r w:rsidRPr="003563B9">
        <w:rPr>
          <w:color w:val="000000" w:themeColor="text1"/>
          <w:sz w:val="18"/>
          <w:szCs w:val="18"/>
          <w:lang w:val="en-US"/>
        </w:rPr>
        <w:t xml:space="preserve">; from </w:t>
      </w:r>
      <w:r w:rsidR="00B34F95">
        <w:rPr>
          <w:color w:val="000000" w:themeColor="text1"/>
          <w:sz w:val="18"/>
          <w:szCs w:val="18"/>
          <w:lang w:val="en-US"/>
        </w:rPr>
        <w:t>7</w:t>
      </w:r>
      <w:r w:rsidRPr="003563B9">
        <w:rPr>
          <w:color w:val="000000" w:themeColor="text1"/>
          <w:sz w:val="18"/>
          <w:szCs w:val="18"/>
          <w:lang w:val="en-US"/>
        </w:rPr>
        <w:t xml:space="preserve"> mice), saline/infected + OVA (n=</w:t>
      </w:r>
      <w:r w:rsidR="009976E0">
        <w:rPr>
          <w:color w:val="000000" w:themeColor="text1"/>
          <w:sz w:val="18"/>
          <w:szCs w:val="18"/>
          <w:lang w:val="en-US"/>
        </w:rPr>
        <w:t>14</w:t>
      </w:r>
      <w:r w:rsidRPr="003563B9">
        <w:rPr>
          <w:color w:val="000000" w:themeColor="text1"/>
          <w:sz w:val="18"/>
          <w:szCs w:val="18"/>
          <w:lang w:val="en-US"/>
        </w:rPr>
        <w:t xml:space="preserve">5; from </w:t>
      </w:r>
      <w:r w:rsidR="00B34F95">
        <w:rPr>
          <w:color w:val="000000" w:themeColor="text1"/>
          <w:sz w:val="18"/>
          <w:szCs w:val="18"/>
          <w:lang w:val="en-US"/>
        </w:rPr>
        <w:t>6</w:t>
      </w:r>
      <w:r w:rsidRPr="003563B9">
        <w:rPr>
          <w:color w:val="000000" w:themeColor="text1"/>
          <w:sz w:val="18"/>
          <w:szCs w:val="18"/>
          <w:lang w:val="en-US"/>
        </w:rPr>
        <w:t xml:space="preserve"> mice), OVA/infected + saline (n=</w:t>
      </w:r>
      <w:r w:rsidR="009976E0">
        <w:rPr>
          <w:color w:val="000000" w:themeColor="text1"/>
          <w:sz w:val="18"/>
          <w:szCs w:val="18"/>
          <w:lang w:val="en-US"/>
        </w:rPr>
        <w:t>2</w:t>
      </w:r>
      <w:r w:rsidRPr="003563B9">
        <w:rPr>
          <w:color w:val="000000" w:themeColor="text1"/>
          <w:sz w:val="18"/>
          <w:szCs w:val="18"/>
          <w:lang w:val="en-US"/>
        </w:rPr>
        <w:t>0</w:t>
      </w:r>
      <w:r w:rsidR="009976E0">
        <w:rPr>
          <w:color w:val="000000" w:themeColor="text1"/>
          <w:sz w:val="18"/>
          <w:szCs w:val="18"/>
          <w:lang w:val="en-US"/>
        </w:rPr>
        <w:t>2</w:t>
      </w:r>
      <w:r w:rsidRPr="003563B9">
        <w:rPr>
          <w:color w:val="000000" w:themeColor="text1"/>
          <w:sz w:val="18"/>
          <w:szCs w:val="18"/>
          <w:lang w:val="en-US"/>
        </w:rPr>
        <w:t xml:space="preserve">; from </w:t>
      </w:r>
      <w:r w:rsidR="00B34F95">
        <w:rPr>
          <w:color w:val="000000" w:themeColor="text1"/>
          <w:sz w:val="18"/>
          <w:szCs w:val="18"/>
          <w:lang w:val="en-US"/>
        </w:rPr>
        <w:t>8</w:t>
      </w:r>
      <w:r w:rsidRPr="003563B9">
        <w:rPr>
          <w:color w:val="000000" w:themeColor="text1"/>
          <w:sz w:val="18"/>
          <w:szCs w:val="18"/>
          <w:lang w:val="en-US"/>
        </w:rPr>
        <w:t xml:space="preserve"> mice) and OVA/infected + OVA (n=</w:t>
      </w:r>
      <w:r w:rsidR="009976E0">
        <w:rPr>
          <w:color w:val="000000" w:themeColor="text1"/>
          <w:sz w:val="18"/>
          <w:szCs w:val="18"/>
          <w:lang w:val="en-US"/>
        </w:rPr>
        <w:t>239</w:t>
      </w:r>
      <w:r w:rsidRPr="003563B9">
        <w:rPr>
          <w:color w:val="000000" w:themeColor="text1"/>
          <w:sz w:val="18"/>
          <w:szCs w:val="18"/>
          <w:lang w:val="en-US"/>
        </w:rPr>
        <w:t xml:space="preserve">; from </w:t>
      </w:r>
      <w:r w:rsidR="00B34F95">
        <w:rPr>
          <w:color w:val="000000" w:themeColor="text1"/>
          <w:sz w:val="18"/>
          <w:szCs w:val="18"/>
          <w:lang w:val="en-US"/>
        </w:rPr>
        <w:t>9</w:t>
      </w:r>
      <w:r w:rsidRPr="003563B9">
        <w:rPr>
          <w:color w:val="000000" w:themeColor="text1"/>
          <w:sz w:val="18"/>
          <w:szCs w:val="18"/>
          <w:lang w:val="en-US"/>
        </w:rPr>
        <w:t xml:space="preserve"> mice) and (</w:t>
      </w:r>
      <w:r w:rsidRPr="003563B9">
        <w:rPr>
          <w:b/>
          <w:bCs/>
          <w:color w:val="000000" w:themeColor="text1"/>
          <w:sz w:val="18"/>
          <w:szCs w:val="18"/>
          <w:lang w:val="en-US"/>
        </w:rPr>
        <w:t>c</w:t>
      </w:r>
      <w:r w:rsidRPr="003563B9">
        <w:rPr>
          <w:color w:val="000000" w:themeColor="text1"/>
          <w:sz w:val="18"/>
          <w:szCs w:val="18"/>
          <w:lang w:val="en-US"/>
        </w:rPr>
        <w:t>) % of total degranulated mast cells.</w:t>
      </w:r>
      <w:r w:rsidR="00FB606E">
        <w:rPr>
          <w:color w:val="000000" w:themeColor="text1"/>
          <w:sz w:val="18"/>
          <w:szCs w:val="18"/>
          <w:lang w:val="en-US"/>
        </w:rPr>
        <w:t xml:space="preserve"> </w:t>
      </w:r>
      <w:r w:rsidRPr="003563B9">
        <w:rPr>
          <w:b/>
          <w:bCs/>
          <w:color w:val="000000" w:themeColor="text1"/>
          <w:sz w:val="18"/>
          <w:szCs w:val="18"/>
          <w:lang w:val="en-US"/>
        </w:rPr>
        <w:t xml:space="preserve">d-i, </w:t>
      </w:r>
      <w:r w:rsidRPr="003563B9">
        <w:rPr>
          <w:color w:val="000000" w:themeColor="text1"/>
          <w:sz w:val="18"/>
          <w:szCs w:val="18"/>
          <w:lang w:val="en-US"/>
        </w:rPr>
        <w:t>VMR to colorectal distention in (</w:t>
      </w:r>
      <w:r w:rsidRPr="003563B9">
        <w:rPr>
          <w:b/>
          <w:bCs/>
          <w:color w:val="000000" w:themeColor="text1"/>
          <w:sz w:val="18"/>
          <w:szCs w:val="18"/>
          <w:lang w:val="en-US"/>
        </w:rPr>
        <w:t>d, e</w:t>
      </w:r>
      <w:r w:rsidRPr="003563B9">
        <w:rPr>
          <w:color w:val="000000" w:themeColor="text1"/>
          <w:sz w:val="18"/>
          <w:szCs w:val="18"/>
          <w:lang w:val="en-US"/>
        </w:rPr>
        <w:t xml:space="preserve">) VHS (OVA/infected + OVA) mice treated with </w:t>
      </w:r>
      <w:proofErr w:type="spellStart"/>
      <w:r w:rsidRPr="003563B9">
        <w:rPr>
          <w:color w:val="000000" w:themeColor="text1"/>
          <w:sz w:val="18"/>
          <w:szCs w:val="18"/>
          <w:lang w:val="en-US"/>
        </w:rPr>
        <w:t>doxantrazole</w:t>
      </w:r>
      <w:proofErr w:type="spellEnd"/>
      <w:r w:rsidRPr="003563B9">
        <w:rPr>
          <w:color w:val="000000" w:themeColor="text1"/>
          <w:sz w:val="18"/>
          <w:szCs w:val="18"/>
          <w:lang w:val="en-US"/>
        </w:rPr>
        <w:t xml:space="preserve"> (n=14) or vehicle (n=11), (</w:t>
      </w:r>
      <w:r w:rsidRPr="003563B9">
        <w:rPr>
          <w:b/>
          <w:bCs/>
          <w:color w:val="000000" w:themeColor="text1"/>
          <w:sz w:val="18"/>
          <w:szCs w:val="18"/>
          <w:lang w:val="en-US"/>
        </w:rPr>
        <w:t>f, g</w:t>
      </w:r>
      <w:r w:rsidRPr="003563B9">
        <w:rPr>
          <w:color w:val="000000" w:themeColor="text1"/>
          <w:sz w:val="18"/>
          <w:szCs w:val="18"/>
          <w:lang w:val="en-US"/>
        </w:rPr>
        <w:t xml:space="preserve">) OVA/infected + OVA mice with </w:t>
      </w:r>
      <w:r w:rsidRPr="003563B9">
        <w:rPr>
          <w:i/>
          <w:color w:val="000000" w:themeColor="text1"/>
          <w:sz w:val="18"/>
          <w:szCs w:val="18"/>
          <w:lang w:val="en-US"/>
        </w:rPr>
        <w:t>Cpa3</w:t>
      </w:r>
      <w:r w:rsidRPr="003563B9">
        <w:rPr>
          <w:i/>
          <w:color w:val="000000" w:themeColor="text1"/>
          <w:sz w:val="18"/>
          <w:szCs w:val="18"/>
          <w:vertAlign w:val="superscript"/>
          <w:lang w:val="en-US"/>
        </w:rPr>
        <w:t>Cre/+</w:t>
      </w:r>
      <w:r w:rsidRPr="003563B9">
        <w:rPr>
          <w:color w:val="000000" w:themeColor="text1"/>
          <w:sz w:val="18"/>
          <w:szCs w:val="18"/>
          <w:lang w:val="en-US"/>
        </w:rPr>
        <w:t xml:space="preserve"> background (n=13) or WT littermates (n=12) and (</w:t>
      </w:r>
      <w:r w:rsidRPr="003563B9">
        <w:rPr>
          <w:b/>
          <w:bCs/>
          <w:color w:val="000000" w:themeColor="text1"/>
          <w:sz w:val="18"/>
          <w:szCs w:val="18"/>
          <w:lang w:val="en-US"/>
        </w:rPr>
        <w:t>h, i</w:t>
      </w:r>
      <w:r w:rsidRPr="003563B9">
        <w:rPr>
          <w:color w:val="000000" w:themeColor="text1"/>
          <w:sz w:val="18"/>
          <w:szCs w:val="18"/>
          <w:lang w:val="en-US"/>
        </w:rPr>
        <w:t xml:space="preserve">) VHS (OVA/infected + OVA) mice treated with anti-CD20 antibody and bortezomib (n=3) or control antibody and vehicle (n=4). </w:t>
      </w:r>
      <w:r w:rsidRPr="003563B9">
        <w:rPr>
          <w:b/>
          <w:bCs/>
          <w:color w:val="000000" w:themeColor="text1"/>
          <w:sz w:val="18"/>
          <w:szCs w:val="18"/>
          <w:lang w:val="en-US"/>
        </w:rPr>
        <w:t xml:space="preserve">e, g </w:t>
      </w:r>
      <w:r w:rsidRPr="003563B9">
        <w:rPr>
          <w:color w:val="000000" w:themeColor="text1"/>
          <w:sz w:val="18"/>
          <w:szCs w:val="18"/>
          <w:lang w:val="en-US"/>
        </w:rPr>
        <w:t xml:space="preserve">and </w:t>
      </w:r>
      <w:r w:rsidRPr="003563B9">
        <w:rPr>
          <w:b/>
          <w:bCs/>
          <w:color w:val="000000" w:themeColor="text1"/>
          <w:sz w:val="18"/>
          <w:szCs w:val="18"/>
          <w:lang w:val="en-US"/>
        </w:rPr>
        <w:t xml:space="preserve">i </w:t>
      </w:r>
      <w:r w:rsidRPr="003563B9">
        <w:rPr>
          <w:color w:val="000000" w:themeColor="text1"/>
          <w:sz w:val="18"/>
          <w:szCs w:val="18"/>
          <w:lang w:val="en-US"/>
        </w:rPr>
        <w:t xml:space="preserve">depict VMR responses at 7-8 (before and after treatment), 9- and 7-week post-infection, respectively. One-way ANOVA with </w:t>
      </w:r>
      <w:proofErr w:type="spellStart"/>
      <w:r w:rsidRPr="003563B9">
        <w:rPr>
          <w:color w:val="000000" w:themeColor="text1"/>
          <w:sz w:val="18"/>
          <w:szCs w:val="18"/>
          <w:lang w:val="en-US"/>
        </w:rPr>
        <w:t>Sidak's</w:t>
      </w:r>
      <w:proofErr w:type="spellEnd"/>
      <w:r w:rsidRPr="003563B9">
        <w:rPr>
          <w:color w:val="000000" w:themeColor="text1"/>
          <w:sz w:val="18"/>
          <w:szCs w:val="18"/>
          <w:lang w:val="en-US"/>
        </w:rPr>
        <w:t xml:space="preserve"> multiple comparisons post-test were performed in </w:t>
      </w:r>
      <w:r w:rsidRPr="003563B9">
        <w:rPr>
          <w:b/>
          <w:bCs/>
          <w:color w:val="000000" w:themeColor="text1"/>
          <w:sz w:val="18"/>
          <w:szCs w:val="18"/>
          <w:lang w:val="en-US"/>
        </w:rPr>
        <w:t xml:space="preserve">a. </w:t>
      </w:r>
      <w:r w:rsidRPr="003563B9">
        <w:rPr>
          <w:color w:val="000000" w:themeColor="text1"/>
          <w:sz w:val="18"/>
          <w:szCs w:val="18"/>
          <w:lang w:val="en-US"/>
        </w:rPr>
        <w:t xml:space="preserve">Statistical differences </w:t>
      </w:r>
      <w:r w:rsidR="00FB606E">
        <w:rPr>
          <w:color w:val="000000" w:themeColor="text1"/>
          <w:sz w:val="18"/>
          <w:szCs w:val="18"/>
          <w:lang w:val="en-US"/>
        </w:rPr>
        <w:t xml:space="preserve">in </w:t>
      </w:r>
      <w:r w:rsidR="00FB606E" w:rsidRPr="00841C28">
        <w:rPr>
          <w:i/>
          <w:iCs/>
          <w:color w:val="000000" w:themeColor="text1"/>
          <w:sz w:val="18"/>
          <w:szCs w:val="18"/>
          <w:lang w:val="en-US"/>
        </w:rPr>
        <w:t>Tpsab1</w:t>
      </w:r>
      <w:r w:rsidR="00FB606E">
        <w:rPr>
          <w:color w:val="000000" w:themeColor="text1"/>
          <w:sz w:val="18"/>
          <w:szCs w:val="18"/>
          <w:lang w:val="en-US"/>
        </w:rPr>
        <w:t xml:space="preserve"> gene expression </w:t>
      </w:r>
      <w:r w:rsidRPr="003563B9">
        <w:rPr>
          <w:color w:val="000000" w:themeColor="text1"/>
          <w:sz w:val="18"/>
          <w:szCs w:val="18"/>
          <w:lang w:val="en-US"/>
        </w:rPr>
        <w:t xml:space="preserve">were found after adjusted </w:t>
      </w:r>
      <w:r w:rsidRPr="003563B9">
        <w:rPr>
          <w:i/>
          <w:color w:val="000000" w:themeColor="text1"/>
          <w:sz w:val="18"/>
          <w:szCs w:val="18"/>
          <w:lang w:val="en-US"/>
        </w:rPr>
        <w:t>p</w:t>
      </w:r>
      <w:r w:rsidRPr="003563B9">
        <w:rPr>
          <w:color w:val="000000" w:themeColor="text1"/>
          <w:sz w:val="18"/>
          <w:szCs w:val="18"/>
          <w:lang w:val="en-US"/>
        </w:rPr>
        <w:t xml:space="preserve">-values in OVA/infected + saline (p=0.011) and OVA/infected + OVA (p=0.0002) vs. OVA/sham + OVA. Kruskal-Wallis test and </w:t>
      </w:r>
      <w:proofErr w:type="spellStart"/>
      <w:r w:rsidRPr="003563B9">
        <w:rPr>
          <w:color w:val="000000" w:themeColor="text1"/>
          <w:sz w:val="18"/>
          <w:szCs w:val="18"/>
          <w:lang w:val="en-US"/>
        </w:rPr>
        <w:t>Sidak's</w:t>
      </w:r>
      <w:proofErr w:type="spellEnd"/>
      <w:r w:rsidRPr="003563B9">
        <w:rPr>
          <w:color w:val="000000" w:themeColor="text1"/>
          <w:sz w:val="18"/>
          <w:szCs w:val="18"/>
          <w:lang w:val="en-US"/>
        </w:rPr>
        <w:t xml:space="preserve"> multiple comparisons test were performed in </w:t>
      </w:r>
      <w:r w:rsidRPr="003563B9">
        <w:rPr>
          <w:b/>
          <w:bCs/>
          <w:color w:val="000000" w:themeColor="text1"/>
          <w:sz w:val="18"/>
          <w:szCs w:val="18"/>
          <w:lang w:val="en-US"/>
        </w:rPr>
        <w:t>b</w:t>
      </w:r>
      <w:r w:rsidR="00FA3AD9">
        <w:rPr>
          <w:b/>
          <w:bCs/>
          <w:color w:val="000000" w:themeColor="text1"/>
          <w:sz w:val="18"/>
          <w:szCs w:val="18"/>
          <w:lang w:val="en-US"/>
        </w:rPr>
        <w:t xml:space="preserve"> </w:t>
      </w:r>
      <w:r w:rsidR="00FA3AD9">
        <w:rPr>
          <w:color w:val="000000" w:themeColor="text1"/>
          <w:sz w:val="18"/>
          <w:szCs w:val="18"/>
          <w:lang w:val="en-US"/>
        </w:rPr>
        <w:t xml:space="preserve">and </w:t>
      </w:r>
      <w:r w:rsidRPr="003563B9">
        <w:rPr>
          <w:b/>
          <w:bCs/>
          <w:color w:val="000000" w:themeColor="text1"/>
          <w:sz w:val="18"/>
          <w:szCs w:val="18"/>
          <w:lang w:val="en-US"/>
        </w:rPr>
        <w:t>c</w:t>
      </w:r>
      <w:r w:rsidRPr="003563B9">
        <w:rPr>
          <w:color w:val="000000" w:themeColor="text1"/>
          <w:sz w:val="18"/>
          <w:szCs w:val="18"/>
          <w:lang w:val="en-US"/>
        </w:rPr>
        <w:t xml:space="preserve">. Two-way repeated (RM) analysis of variance (ANOVA) with </w:t>
      </w:r>
      <w:proofErr w:type="spellStart"/>
      <w:r w:rsidRPr="003563B9">
        <w:rPr>
          <w:color w:val="000000" w:themeColor="text1"/>
          <w:sz w:val="18"/>
          <w:szCs w:val="18"/>
          <w:lang w:val="en-US"/>
        </w:rPr>
        <w:t>Sidak's</w:t>
      </w:r>
      <w:proofErr w:type="spellEnd"/>
      <w:r w:rsidRPr="003563B9">
        <w:rPr>
          <w:color w:val="000000" w:themeColor="text1"/>
          <w:sz w:val="18"/>
          <w:szCs w:val="18"/>
          <w:lang w:val="en-US"/>
        </w:rPr>
        <w:t xml:space="preserve"> multiple comparisons test was performed for </w:t>
      </w:r>
      <w:r w:rsidRPr="003563B9">
        <w:rPr>
          <w:b/>
          <w:bCs/>
          <w:color w:val="000000" w:themeColor="text1"/>
          <w:sz w:val="18"/>
          <w:szCs w:val="18"/>
          <w:lang w:val="en-US"/>
        </w:rPr>
        <w:t>d-i</w:t>
      </w:r>
      <w:r w:rsidRPr="003563B9">
        <w:rPr>
          <w:color w:val="000000" w:themeColor="text1"/>
          <w:sz w:val="18"/>
          <w:szCs w:val="18"/>
          <w:lang w:val="en-US"/>
        </w:rPr>
        <w:t xml:space="preserve">. Data are shown </w:t>
      </w:r>
      <w:r w:rsidR="00B34F95">
        <w:rPr>
          <w:color w:val="000000" w:themeColor="text1"/>
          <w:sz w:val="18"/>
          <w:szCs w:val="18"/>
          <w:lang w:val="en-US"/>
        </w:rPr>
        <w:t>as Box-and-whiskers (10</w:t>
      </w:r>
      <w:r w:rsidR="00F70293" w:rsidRPr="00841C28">
        <w:rPr>
          <w:color w:val="000000" w:themeColor="text1"/>
          <w:sz w:val="18"/>
          <w:szCs w:val="18"/>
          <w:vertAlign w:val="superscript"/>
          <w:lang w:val="en-US"/>
        </w:rPr>
        <w:t>th</w:t>
      </w:r>
      <w:r w:rsidR="00B34F95">
        <w:rPr>
          <w:color w:val="000000" w:themeColor="text1"/>
          <w:sz w:val="18"/>
          <w:szCs w:val="18"/>
          <w:lang w:val="en-US"/>
        </w:rPr>
        <w:t>-90</w:t>
      </w:r>
      <w:r w:rsidR="00F70293" w:rsidRPr="00841C28">
        <w:rPr>
          <w:color w:val="000000" w:themeColor="text1"/>
          <w:sz w:val="18"/>
          <w:szCs w:val="18"/>
          <w:vertAlign w:val="superscript"/>
          <w:lang w:val="en-US"/>
        </w:rPr>
        <w:t>th</w:t>
      </w:r>
      <w:r w:rsidR="00F70293">
        <w:rPr>
          <w:color w:val="000000" w:themeColor="text1"/>
          <w:sz w:val="18"/>
          <w:szCs w:val="18"/>
          <w:lang w:val="en-US"/>
        </w:rPr>
        <w:t xml:space="preserve"> </w:t>
      </w:r>
      <w:r w:rsidR="00B34F95">
        <w:rPr>
          <w:color w:val="000000" w:themeColor="text1"/>
          <w:sz w:val="18"/>
          <w:szCs w:val="18"/>
          <w:lang w:val="en-US"/>
        </w:rPr>
        <w:t>percentile</w:t>
      </w:r>
      <w:r w:rsidR="00F70293">
        <w:rPr>
          <w:color w:val="000000" w:themeColor="text1"/>
          <w:sz w:val="18"/>
          <w:szCs w:val="18"/>
          <w:lang w:val="en-US"/>
        </w:rPr>
        <w:t>)</w:t>
      </w:r>
      <w:r w:rsidR="00B34F95">
        <w:rPr>
          <w:color w:val="000000" w:themeColor="text1"/>
          <w:sz w:val="18"/>
          <w:szCs w:val="18"/>
          <w:lang w:val="en-US"/>
        </w:rPr>
        <w:t xml:space="preserve"> in </w:t>
      </w:r>
      <w:r w:rsidR="00B34F95">
        <w:rPr>
          <w:b/>
          <w:bCs/>
          <w:color w:val="000000" w:themeColor="text1"/>
          <w:sz w:val="18"/>
          <w:szCs w:val="18"/>
          <w:lang w:val="en-US"/>
        </w:rPr>
        <w:t>b</w:t>
      </w:r>
      <w:r w:rsidR="00B34F95">
        <w:rPr>
          <w:color w:val="000000" w:themeColor="text1"/>
          <w:sz w:val="18"/>
          <w:szCs w:val="18"/>
          <w:lang w:val="en-US"/>
        </w:rPr>
        <w:t xml:space="preserve">, and </w:t>
      </w:r>
      <w:r w:rsidRPr="003563B9">
        <w:rPr>
          <w:color w:val="000000" w:themeColor="text1"/>
          <w:sz w:val="18"/>
          <w:szCs w:val="18"/>
          <w:lang w:val="en-US"/>
        </w:rPr>
        <w:t xml:space="preserve">as median ± IQR in </w:t>
      </w:r>
      <w:r w:rsidR="00FA3AD9">
        <w:rPr>
          <w:b/>
          <w:bCs/>
          <w:color w:val="000000" w:themeColor="text1"/>
          <w:sz w:val="18"/>
          <w:szCs w:val="18"/>
          <w:lang w:val="en-US"/>
        </w:rPr>
        <w:t>c</w:t>
      </w:r>
      <w:r w:rsidRPr="003563B9">
        <w:rPr>
          <w:b/>
          <w:bCs/>
          <w:color w:val="000000" w:themeColor="text1"/>
          <w:sz w:val="18"/>
          <w:szCs w:val="18"/>
          <w:lang w:val="en-US"/>
        </w:rPr>
        <w:t>-</w:t>
      </w:r>
      <w:proofErr w:type="spellStart"/>
      <w:r w:rsidRPr="003563B9">
        <w:rPr>
          <w:b/>
          <w:bCs/>
          <w:color w:val="000000" w:themeColor="text1"/>
          <w:sz w:val="18"/>
          <w:szCs w:val="18"/>
          <w:lang w:val="en-US"/>
        </w:rPr>
        <w:t>i</w:t>
      </w:r>
      <w:proofErr w:type="spellEnd"/>
      <w:r w:rsidRPr="003563B9">
        <w:rPr>
          <w:color w:val="000000" w:themeColor="text1"/>
          <w:sz w:val="18"/>
          <w:szCs w:val="18"/>
          <w:lang w:val="en-US"/>
        </w:rPr>
        <w:t>.</w:t>
      </w:r>
    </w:p>
    <w:p w14:paraId="49FBC9BC" w14:textId="77777777" w:rsidR="00077004" w:rsidRDefault="00077004" w:rsidP="00077004">
      <w:pPr>
        <w:spacing w:after="120" w:line="480" w:lineRule="auto"/>
        <w:jc w:val="both"/>
        <w:rPr>
          <w:b/>
          <w:bCs/>
          <w:color w:val="000000" w:themeColor="text1"/>
          <w:lang w:val="en-US"/>
        </w:rPr>
      </w:pPr>
    </w:p>
    <w:p w14:paraId="2FACA284" w14:textId="77E85029" w:rsidR="00077004" w:rsidRPr="00C327E5" w:rsidRDefault="00016B17" w:rsidP="00077004">
      <w:pPr>
        <w:keepNext/>
        <w:spacing w:after="120" w:line="480" w:lineRule="auto"/>
        <w:jc w:val="both"/>
        <w:rPr>
          <w:lang w:val="en-US"/>
        </w:rPr>
      </w:pPr>
      <w:r>
        <w:rPr>
          <w:noProof/>
          <w:lang w:val="en-US"/>
        </w:rPr>
        <w:lastRenderedPageBreak/>
        <w:drawing>
          <wp:inline distT="0" distB="0" distL="0" distR="0" wp14:anchorId="265835EC" wp14:editId="42D69893">
            <wp:extent cx="5972810" cy="5276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a:fillRect/>
                    </a:stretch>
                  </pic:blipFill>
                  <pic:spPr>
                    <a:xfrm>
                      <a:off x="0" y="0"/>
                      <a:ext cx="5972810" cy="5276850"/>
                    </a:xfrm>
                    <a:prstGeom prst="rect">
                      <a:avLst/>
                    </a:prstGeom>
                  </pic:spPr>
                </pic:pic>
              </a:graphicData>
            </a:graphic>
          </wp:inline>
        </w:drawing>
      </w:r>
    </w:p>
    <w:p w14:paraId="0CE36039" w14:textId="294B921D" w:rsidR="00077004" w:rsidRPr="003563B9" w:rsidRDefault="00077004" w:rsidP="00077004">
      <w:pPr>
        <w:pStyle w:val="Caption"/>
        <w:spacing w:after="120"/>
        <w:jc w:val="both"/>
        <w:rPr>
          <w:i w:val="0"/>
          <w:color w:val="000000" w:themeColor="text1"/>
          <w:lang w:val="en-US"/>
        </w:rPr>
      </w:pPr>
      <w:r w:rsidRPr="00402992">
        <w:rPr>
          <w:b/>
          <w:bCs/>
          <w:i w:val="0"/>
          <w:iCs w:val="0"/>
          <w:color w:val="000000" w:themeColor="text1"/>
          <w:lang w:val="en-US"/>
        </w:rPr>
        <w:t xml:space="preserve">Fig. </w:t>
      </w:r>
      <w:r w:rsidR="00402992">
        <w:rPr>
          <w:b/>
          <w:bCs/>
          <w:i w:val="0"/>
          <w:iCs w:val="0"/>
          <w:color w:val="000000" w:themeColor="text1"/>
          <w:lang w:val="en-US"/>
        </w:rPr>
        <w:t>3</w:t>
      </w:r>
      <w:r w:rsidRPr="00841C28">
        <w:rPr>
          <w:b/>
          <w:bCs/>
          <w:i w:val="0"/>
          <w:iCs w:val="0"/>
          <w:color w:val="000000" w:themeColor="text1"/>
          <w:lang w:val="en-US"/>
        </w:rPr>
        <w:t>.</w:t>
      </w:r>
      <w:bookmarkStart w:id="12" w:name="_Hlk11305097"/>
      <w:r w:rsidRPr="003563B9">
        <w:rPr>
          <w:b/>
          <w:i w:val="0"/>
          <w:color w:val="000000" w:themeColor="text1"/>
          <w:lang w:val="en-US"/>
        </w:rPr>
        <w:t xml:space="preserve"> </w:t>
      </w:r>
      <w:r w:rsidRPr="003563B9">
        <w:rPr>
          <w:b/>
          <w:bCs/>
          <w:i w:val="0"/>
          <w:color w:val="000000" w:themeColor="text1"/>
          <w:lang w:val="en-US"/>
        </w:rPr>
        <w:t>H</w:t>
      </w:r>
      <w:r w:rsidRPr="003563B9">
        <w:rPr>
          <w:b/>
          <w:bCs/>
          <w:i w:val="0"/>
          <w:color w:val="000000" w:themeColor="text1"/>
          <w:vertAlign w:val="subscript"/>
          <w:lang w:val="en-US"/>
        </w:rPr>
        <w:t>1</w:t>
      </w:r>
      <w:r w:rsidRPr="003563B9">
        <w:rPr>
          <w:b/>
          <w:bCs/>
          <w:i w:val="0"/>
          <w:color w:val="000000" w:themeColor="text1"/>
          <w:lang w:val="en-US"/>
        </w:rPr>
        <w:t>R-mediated TRPV1 sensitization in nociceptive neurons potentially contributes to OVA-induced visceral hypersensitivity in OVA/infected mice.</w:t>
      </w:r>
      <w:r w:rsidRPr="003563B9">
        <w:rPr>
          <w:i w:val="0"/>
          <w:color w:val="000000" w:themeColor="text1"/>
          <w:lang w:val="en-US"/>
        </w:rPr>
        <w:t xml:space="preserve"> </w:t>
      </w:r>
      <w:r w:rsidRPr="003563B9">
        <w:rPr>
          <w:b/>
          <w:bCs/>
          <w:i w:val="0"/>
          <w:color w:val="000000" w:themeColor="text1"/>
          <w:lang w:val="en-US"/>
        </w:rPr>
        <w:t xml:space="preserve">a, </w:t>
      </w:r>
      <w:r w:rsidRPr="003563B9">
        <w:rPr>
          <w:i w:val="0"/>
          <w:color w:val="000000" w:themeColor="text1"/>
          <w:lang w:val="en-US"/>
        </w:rPr>
        <w:t xml:space="preserve">afferent nerve </w:t>
      </w:r>
      <w:r w:rsidR="00A430A2">
        <w:rPr>
          <w:i w:val="0"/>
          <w:color w:val="000000" w:themeColor="text1"/>
          <w:lang w:val="en-US"/>
        </w:rPr>
        <w:t xml:space="preserve">recording in naïve (n = 5), </w:t>
      </w:r>
      <w:r w:rsidRPr="003563B9">
        <w:rPr>
          <w:i w:val="0"/>
          <w:color w:val="000000" w:themeColor="text1"/>
          <w:lang w:val="en-US"/>
        </w:rPr>
        <w:t xml:space="preserve">OVA/infected + </w:t>
      </w:r>
      <w:r w:rsidR="00A430A2">
        <w:rPr>
          <w:i w:val="0"/>
          <w:color w:val="000000" w:themeColor="text1"/>
          <w:lang w:val="en-US"/>
        </w:rPr>
        <w:t>saline</w:t>
      </w:r>
      <w:r w:rsidRPr="003563B9">
        <w:rPr>
          <w:i w:val="0"/>
          <w:color w:val="000000" w:themeColor="text1"/>
          <w:lang w:val="en-US"/>
        </w:rPr>
        <w:t xml:space="preserve"> </w:t>
      </w:r>
      <w:r>
        <w:rPr>
          <w:i w:val="0"/>
          <w:color w:val="000000" w:themeColor="text1"/>
          <w:lang w:val="en-US"/>
        </w:rPr>
        <w:t>(</w:t>
      </w:r>
      <w:r w:rsidRPr="003563B9">
        <w:rPr>
          <w:i w:val="0"/>
          <w:color w:val="000000" w:themeColor="text1"/>
          <w:lang w:val="en-US"/>
        </w:rPr>
        <w:t xml:space="preserve">n=6) and OVA/infected + OVA </w:t>
      </w:r>
      <w:r>
        <w:rPr>
          <w:i w:val="0"/>
          <w:color w:val="000000" w:themeColor="text1"/>
          <w:lang w:val="en-US"/>
        </w:rPr>
        <w:t>(</w:t>
      </w:r>
      <w:r w:rsidRPr="003563B9">
        <w:rPr>
          <w:i w:val="0"/>
          <w:color w:val="000000" w:themeColor="text1"/>
          <w:lang w:val="en-US"/>
        </w:rPr>
        <w:t xml:space="preserve">n=8) mice at 7 weeks post-infection. </w:t>
      </w:r>
      <w:r w:rsidRPr="003563B9">
        <w:rPr>
          <w:b/>
          <w:bCs/>
          <w:i w:val="0"/>
          <w:color w:val="000000" w:themeColor="text1"/>
          <w:lang w:val="en-US"/>
        </w:rPr>
        <w:t xml:space="preserve">b, </w:t>
      </w:r>
      <w:r w:rsidRPr="003563B9">
        <w:rPr>
          <w:i w:val="0"/>
          <w:color w:val="000000" w:themeColor="text1"/>
          <w:lang w:val="en-US"/>
        </w:rPr>
        <w:t>representative tracing of neuronal excitability measured by recording the rheobase (up) and the action potential number discharged at 2x the rheobase (down) in DRG neurons incubated with supernatants from OVA/sham + OVA (n=20</w:t>
      </w:r>
      <w:r w:rsidR="00E265A4">
        <w:rPr>
          <w:i w:val="0"/>
          <w:color w:val="000000" w:themeColor="text1"/>
          <w:lang w:val="en-US"/>
        </w:rPr>
        <w:t xml:space="preserve"> neurons, n=5 SN</w:t>
      </w:r>
      <w:r w:rsidRPr="003563B9">
        <w:rPr>
          <w:i w:val="0"/>
          <w:color w:val="000000" w:themeColor="text1"/>
          <w:lang w:val="en-US"/>
        </w:rPr>
        <w:t>), saline/infected + OVA (n=18</w:t>
      </w:r>
      <w:r w:rsidR="00E265A4" w:rsidRPr="00E265A4">
        <w:rPr>
          <w:i w:val="0"/>
          <w:color w:val="000000" w:themeColor="text1"/>
          <w:lang w:val="en-US"/>
        </w:rPr>
        <w:t xml:space="preserve"> </w:t>
      </w:r>
      <w:r w:rsidR="00E265A4">
        <w:rPr>
          <w:i w:val="0"/>
          <w:color w:val="000000" w:themeColor="text1"/>
          <w:lang w:val="en-US"/>
        </w:rPr>
        <w:t>neurons, n=6 SN</w:t>
      </w:r>
      <w:r w:rsidRPr="003563B9">
        <w:rPr>
          <w:i w:val="0"/>
          <w:color w:val="000000" w:themeColor="text1"/>
          <w:lang w:val="en-US"/>
        </w:rPr>
        <w:t>) and OVA/infected + OVA (n=19</w:t>
      </w:r>
      <w:r w:rsidR="00E265A4" w:rsidRPr="00E265A4">
        <w:rPr>
          <w:i w:val="0"/>
          <w:color w:val="000000" w:themeColor="text1"/>
          <w:lang w:val="en-US"/>
        </w:rPr>
        <w:t xml:space="preserve"> </w:t>
      </w:r>
      <w:r w:rsidR="00E265A4">
        <w:rPr>
          <w:i w:val="0"/>
          <w:color w:val="000000" w:themeColor="text1"/>
          <w:lang w:val="en-US"/>
        </w:rPr>
        <w:t>neurons, n=5 SN</w:t>
      </w:r>
      <w:r w:rsidRPr="003563B9">
        <w:rPr>
          <w:i w:val="0"/>
          <w:color w:val="000000" w:themeColor="text1"/>
          <w:lang w:val="en-US"/>
        </w:rPr>
        <w:t xml:space="preserve">) mice. </w:t>
      </w:r>
      <w:r w:rsidRPr="003563B9">
        <w:rPr>
          <w:b/>
          <w:bCs/>
          <w:i w:val="0"/>
          <w:color w:val="000000" w:themeColor="text1"/>
          <w:lang w:val="en-US"/>
        </w:rPr>
        <w:t>c</w:t>
      </w:r>
      <w:r w:rsidRPr="003563B9">
        <w:rPr>
          <w:i w:val="0"/>
          <w:color w:val="000000" w:themeColor="text1"/>
          <w:lang w:val="en-US"/>
        </w:rPr>
        <w:t>, representative tracing</w:t>
      </w:r>
      <w:r w:rsidR="00715C62">
        <w:rPr>
          <w:i w:val="0"/>
          <w:color w:val="000000" w:themeColor="text1"/>
          <w:lang w:val="en-US"/>
        </w:rPr>
        <w:t>,</w:t>
      </w:r>
      <w:r w:rsidRPr="003563B9">
        <w:rPr>
          <w:i w:val="0"/>
          <w:color w:val="000000" w:themeColor="text1"/>
          <w:lang w:val="en-US"/>
        </w:rPr>
        <w:t xml:space="preserve"> schematic protocol</w:t>
      </w:r>
      <w:r w:rsidR="00715C62">
        <w:rPr>
          <w:i w:val="0"/>
          <w:color w:val="000000" w:themeColor="text1"/>
          <w:lang w:val="en-US"/>
        </w:rPr>
        <w:t xml:space="preserve"> and Fura-2 </w:t>
      </w:r>
      <w:proofErr w:type="spellStart"/>
      <w:r w:rsidR="00715C62" w:rsidRPr="00715C62">
        <w:rPr>
          <w:i w:val="0"/>
          <w:color w:val="000000" w:themeColor="text1"/>
          <w:lang w:val="en-US"/>
        </w:rPr>
        <w:t>ratiometric</w:t>
      </w:r>
      <w:proofErr w:type="spellEnd"/>
      <w:r w:rsidR="00715C62" w:rsidRPr="00715C62">
        <w:rPr>
          <w:i w:val="0"/>
          <w:color w:val="000000" w:themeColor="text1"/>
          <w:lang w:val="en-US"/>
        </w:rPr>
        <w:t xml:space="preserve"> fields</w:t>
      </w:r>
      <w:r w:rsidRPr="003563B9">
        <w:rPr>
          <w:i w:val="0"/>
          <w:color w:val="000000" w:themeColor="text1"/>
          <w:lang w:val="en-US"/>
        </w:rPr>
        <w:t xml:space="preserve"> of DRG neurons after overnight incubation with RPMI (control medium) and supernatants from </w:t>
      </w:r>
      <w:proofErr w:type="spellStart"/>
      <w:r w:rsidRPr="003563B9">
        <w:rPr>
          <w:i w:val="0"/>
          <w:color w:val="000000" w:themeColor="text1"/>
          <w:lang w:val="en-US"/>
        </w:rPr>
        <w:t>normosensitive</w:t>
      </w:r>
      <w:proofErr w:type="spellEnd"/>
      <w:r w:rsidRPr="003563B9">
        <w:rPr>
          <w:i w:val="0"/>
          <w:color w:val="000000" w:themeColor="text1"/>
          <w:lang w:val="en-US"/>
        </w:rPr>
        <w:t xml:space="preserve"> (OVA/infected + saline) and VHS (OVA/infected + OVA) mice. </w:t>
      </w:r>
      <w:r w:rsidRPr="003563B9">
        <w:rPr>
          <w:b/>
          <w:bCs/>
          <w:i w:val="0"/>
          <w:color w:val="000000" w:themeColor="text1"/>
          <w:lang w:val="en-US"/>
        </w:rPr>
        <w:t>d,</w:t>
      </w:r>
      <w:r w:rsidRPr="003563B9">
        <w:rPr>
          <w:i w:val="0"/>
          <w:color w:val="000000" w:themeColor="text1"/>
          <w:lang w:val="en-US"/>
        </w:rPr>
        <w:t xml:space="preserve"> TRPV1 sensitization was measured by recording the intracellular Ca</w:t>
      </w:r>
      <w:r w:rsidRPr="003563B9">
        <w:rPr>
          <w:i w:val="0"/>
          <w:color w:val="000000" w:themeColor="text1"/>
          <w:vertAlign w:val="superscript"/>
          <w:lang w:val="en-US"/>
        </w:rPr>
        <w:t>2+</w:t>
      </w:r>
      <w:r w:rsidRPr="003563B9">
        <w:rPr>
          <w:i w:val="0"/>
          <w:color w:val="000000" w:themeColor="text1"/>
          <w:lang w:val="en-US"/>
        </w:rPr>
        <w:t xml:space="preserve"> response (left) induced upon application of 10 </w:t>
      </w:r>
      <w:proofErr w:type="spellStart"/>
      <w:r w:rsidRPr="003563B9">
        <w:rPr>
          <w:i w:val="0"/>
          <w:color w:val="000000" w:themeColor="text1"/>
          <w:lang w:val="en-US"/>
        </w:rPr>
        <w:t>nM</w:t>
      </w:r>
      <w:proofErr w:type="spellEnd"/>
      <w:r w:rsidRPr="003563B9">
        <w:rPr>
          <w:i w:val="0"/>
          <w:color w:val="000000" w:themeColor="text1"/>
          <w:lang w:val="en-US"/>
        </w:rPr>
        <w:t xml:space="preserve"> of capsaicin in DRG neurons incubated with RPMI (control medium</w:t>
      </w:r>
      <w:r w:rsidR="000C647A">
        <w:rPr>
          <w:i w:val="0"/>
          <w:color w:val="000000" w:themeColor="text1"/>
          <w:lang w:val="en-US"/>
        </w:rPr>
        <w:t>; n=85 neurons, n=5 control medium</w:t>
      </w:r>
      <w:r w:rsidRPr="003563B9">
        <w:rPr>
          <w:i w:val="0"/>
          <w:color w:val="000000" w:themeColor="text1"/>
          <w:lang w:val="en-US"/>
        </w:rPr>
        <w:t>)</w:t>
      </w:r>
      <w:r w:rsidR="000C647A">
        <w:rPr>
          <w:i w:val="0"/>
          <w:color w:val="000000" w:themeColor="text1"/>
          <w:lang w:val="en-US"/>
        </w:rPr>
        <w:t>, histamine (positive control; n=59 neurons, n=6 histamine plates)</w:t>
      </w:r>
      <w:r w:rsidR="00D02581">
        <w:rPr>
          <w:i w:val="0"/>
          <w:color w:val="000000" w:themeColor="text1"/>
          <w:lang w:val="en-US"/>
        </w:rPr>
        <w:t>,</w:t>
      </w:r>
      <w:r w:rsidRPr="003563B9">
        <w:rPr>
          <w:i w:val="0"/>
          <w:color w:val="000000" w:themeColor="text1"/>
          <w:lang w:val="en-US"/>
        </w:rPr>
        <w:t xml:space="preserve"> supernatants from </w:t>
      </w:r>
      <w:proofErr w:type="spellStart"/>
      <w:r w:rsidRPr="003563B9">
        <w:rPr>
          <w:i w:val="0"/>
          <w:color w:val="000000" w:themeColor="text1"/>
          <w:lang w:val="en-US"/>
        </w:rPr>
        <w:t>normosensitive</w:t>
      </w:r>
      <w:proofErr w:type="spellEnd"/>
      <w:r w:rsidRPr="003563B9">
        <w:rPr>
          <w:i w:val="0"/>
          <w:color w:val="000000" w:themeColor="text1"/>
          <w:lang w:val="en-US"/>
        </w:rPr>
        <w:t xml:space="preserve"> (OVA/infected + saline, n=123</w:t>
      </w:r>
      <w:r w:rsidR="00E265A4" w:rsidRPr="00E265A4">
        <w:rPr>
          <w:i w:val="0"/>
          <w:color w:val="000000" w:themeColor="text1"/>
          <w:lang w:val="en-US"/>
        </w:rPr>
        <w:t xml:space="preserve"> </w:t>
      </w:r>
      <w:r w:rsidR="00E265A4">
        <w:rPr>
          <w:i w:val="0"/>
          <w:color w:val="000000" w:themeColor="text1"/>
          <w:lang w:val="en-US"/>
        </w:rPr>
        <w:t>neurons, n=</w:t>
      </w:r>
      <w:r w:rsidR="000C647A">
        <w:rPr>
          <w:i w:val="0"/>
          <w:color w:val="000000" w:themeColor="text1"/>
          <w:lang w:val="en-US"/>
        </w:rPr>
        <w:t>12</w:t>
      </w:r>
      <w:r w:rsidR="00E265A4">
        <w:rPr>
          <w:i w:val="0"/>
          <w:color w:val="000000" w:themeColor="text1"/>
          <w:lang w:val="en-US"/>
        </w:rPr>
        <w:t xml:space="preserve"> SN</w:t>
      </w:r>
      <w:r w:rsidRPr="003563B9">
        <w:rPr>
          <w:i w:val="0"/>
          <w:color w:val="000000" w:themeColor="text1"/>
          <w:lang w:val="en-US"/>
        </w:rPr>
        <w:t>) and VHS (OVA/infected + OVA, n=82</w:t>
      </w:r>
      <w:r w:rsidR="000C647A" w:rsidRPr="000C647A">
        <w:rPr>
          <w:i w:val="0"/>
          <w:color w:val="000000" w:themeColor="text1"/>
          <w:lang w:val="en-US"/>
        </w:rPr>
        <w:t xml:space="preserve"> </w:t>
      </w:r>
      <w:r w:rsidR="000C647A">
        <w:rPr>
          <w:i w:val="0"/>
          <w:color w:val="000000" w:themeColor="text1"/>
          <w:lang w:val="en-US"/>
        </w:rPr>
        <w:t>neurons, n=11 SN</w:t>
      </w:r>
      <w:r w:rsidRPr="003563B9">
        <w:rPr>
          <w:i w:val="0"/>
          <w:color w:val="000000" w:themeColor="text1"/>
          <w:lang w:val="en-US"/>
        </w:rPr>
        <w:t>) mice.</w:t>
      </w:r>
      <w:r>
        <w:rPr>
          <w:i w:val="0"/>
          <w:color w:val="000000" w:themeColor="text1"/>
          <w:lang w:val="en-US"/>
        </w:rPr>
        <w:t xml:space="preserve"> </w:t>
      </w:r>
      <w:r w:rsidRPr="003563B9">
        <w:rPr>
          <w:b/>
          <w:bCs/>
          <w:i w:val="0"/>
          <w:color w:val="000000" w:themeColor="text1"/>
          <w:lang w:val="en-US"/>
        </w:rPr>
        <w:t>e,</w:t>
      </w:r>
      <w:r w:rsidRPr="003563B9">
        <w:rPr>
          <w:i w:val="0"/>
          <w:color w:val="000000" w:themeColor="text1"/>
          <w:lang w:val="en-US"/>
        </w:rPr>
        <w:t xml:space="preserve"> rheobase (left) and the action potential number discharged at 2x the rheobase (right) in DRG neurons recorded after incubation with supernatants from VHS (OVA/infected + OVA) mice in the presence of vehicle (n=19</w:t>
      </w:r>
      <w:r w:rsidR="009D434B" w:rsidRPr="000C647A">
        <w:rPr>
          <w:i w:val="0"/>
          <w:color w:val="000000" w:themeColor="text1"/>
          <w:lang w:val="en-US"/>
        </w:rPr>
        <w:t xml:space="preserve"> </w:t>
      </w:r>
      <w:r w:rsidR="009D434B">
        <w:rPr>
          <w:i w:val="0"/>
          <w:color w:val="000000" w:themeColor="text1"/>
          <w:lang w:val="en-US"/>
        </w:rPr>
        <w:t>neurons, n=4 SN</w:t>
      </w:r>
      <w:r w:rsidRPr="003563B9">
        <w:rPr>
          <w:i w:val="0"/>
          <w:color w:val="000000" w:themeColor="text1"/>
          <w:lang w:val="en-US"/>
        </w:rPr>
        <w:t>) or pyrilamine (n=20</w:t>
      </w:r>
      <w:r w:rsidR="009D434B" w:rsidRPr="000C647A">
        <w:rPr>
          <w:i w:val="0"/>
          <w:color w:val="000000" w:themeColor="text1"/>
          <w:lang w:val="en-US"/>
        </w:rPr>
        <w:t xml:space="preserve"> </w:t>
      </w:r>
      <w:r w:rsidR="009D434B">
        <w:rPr>
          <w:i w:val="0"/>
          <w:color w:val="000000" w:themeColor="text1"/>
          <w:lang w:val="en-US"/>
        </w:rPr>
        <w:t>neurons, n=5 SN</w:t>
      </w:r>
      <w:r w:rsidRPr="003563B9">
        <w:rPr>
          <w:i w:val="0"/>
          <w:color w:val="000000" w:themeColor="text1"/>
          <w:lang w:val="en-US"/>
        </w:rPr>
        <w:t xml:space="preserve">). </w:t>
      </w:r>
      <w:r w:rsidRPr="003563B9">
        <w:rPr>
          <w:b/>
          <w:bCs/>
          <w:i w:val="0"/>
          <w:color w:val="000000" w:themeColor="text1"/>
          <w:lang w:val="en-US"/>
        </w:rPr>
        <w:t>f,</w:t>
      </w:r>
      <w:r w:rsidRPr="003563B9">
        <w:rPr>
          <w:i w:val="0"/>
          <w:color w:val="000000" w:themeColor="text1"/>
          <w:lang w:val="en-US"/>
        </w:rPr>
        <w:t xml:space="preserve"> intracellular Ca</w:t>
      </w:r>
      <w:r w:rsidRPr="003563B9">
        <w:rPr>
          <w:i w:val="0"/>
          <w:color w:val="000000" w:themeColor="text1"/>
          <w:vertAlign w:val="superscript"/>
          <w:lang w:val="en-US"/>
        </w:rPr>
        <w:t>2+</w:t>
      </w:r>
      <w:r w:rsidRPr="003563B9">
        <w:rPr>
          <w:i w:val="0"/>
          <w:color w:val="000000" w:themeColor="text1"/>
          <w:lang w:val="en-US"/>
        </w:rPr>
        <w:t xml:space="preserve"> response (left) induced upon application of 10 </w:t>
      </w:r>
      <w:proofErr w:type="spellStart"/>
      <w:r w:rsidRPr="003563B9">
        <w:rPr>
          <w:i w:val="0"/>
          <w:color w:val="000000" w:themeColor="text1"/>
          <w:lang w:val="en-US"/>
        </w:rPr>
        <w:t>nM</w:t>
      </w:r>
      <w:proofErr w:type="spellEnd"/>
      <w:r w:rsidRPr="003563B9">
        <w:rPr>
          <w:i w:val="0"/>
          <w:color w:val="000000" w:themeColor="text1"/>
          <w:lang w:val="en-US"/>
        </w:rPr>
        <w:t xml:space="preserve"> of capsaicin in DRG neurons incubated with supernatants from VHS (OVA/infected + OVA) mice in the presence of vehicle (n=65</w:t>
      </w:r>
      <w:r w:rsidR="009D434B" w:rsidRPr="000C647A">
        <w:rPr>
          <w:i w:val="0"/>
          <w:color w:val="000000" w:themeColor="text1"/>
          <w:lang w:val="en-US"/>
        </w:rPr>
        <w:t xml:space="preserve"> </w:t>
      </w:r>
      <w:r w:rsidR="009D434B">
        <w:rPr>
          <w:i w:val="0"/>
          <w:color w:val="000000" w:themeColor="text1"/>
          <w:lang w:val="en-US"/>
        </w:rPr>
        <w:t>neurons, n=12 SN</w:t>
      </w:r>
      <w:r w:rsidRPr="003563B9">
        <w:rPr>
          <w:i w:val="0"/>
          <w:color w:val="000000" w:themeColor="text1"/>
          <w:lang w:val="en-US"/>
        </w:rPr>
        <w:t>) and pyrilamine</w:t>
      </w:r>
      <w:r w:rsidR="009D434B">
        <w:rPr>
          <w:i w:val="0"/>
          <w:color w:val="000000" w:themeColor="text1"/>
          <w:lang w:val="en-US"/>
        </w:rPr>
        <w:t xml:space="preserve"> (n=87 neurons, n=11 SN)</w:t>
      </w:r>
      <w:r w:rsidRPr="003563B9">
        <w:rPr>
          <w:i w:val="0"/>
          <w:color w:val="000000" w:themeColor="text1"/>
          <w:lang w:val="en-US"/>
        </w:rPr>
        <w:t>, or comparing WT (n=51</w:t>
      </w:r>
      <w:r w:rsidR="009D434B" w:rsidRPr="000C647A">
        <w:rPr>
          <w:i w:val="0"/>
          <w:color w:val="000000" w:themeColor="text1"/>
          <w:lang w:val="en-US"/>
        </w:rPr>
        <w:t xml:space="preserve"> </w:t>
      </w:r>
      <w:r w:rsidR="009D434B">
        <w:rPr>
          <w:i w:val="0"/>
          <w:color w:val="000000" w:themeColor="text1"/>
          <w:lang w:val="en-US"/>
        </w:rPr>
        <w:t>neurons, n=3 SN</w:t>
      </w:r>
      <w:r w:rsidRPr="003563B9">
        <w:rPr>
          <w:i w:val="0"/>
          <w:color w:val="000000" w:themeColor="text1"/>
          <w:lang w:val="en-US"/>
        </w:rPr>
        <w:t xml:space="preserve">) and </w:t>
      </w:r>
      <w:r w:rsidRPr="003563B9">
        <w:rPr>
          <w:color w:val="000000" w:themeColor="text1"/>
          <w:lang w:val="en-US"/>
        </w:rPr>
        <w:t>Hrh1</w:t>
      </w:r>
      <w:r w:rsidRPr="003563B9">
        <w:rPr>
          <w:color w:val="000000" w:themeColor="text1"/>
          <w:vertAlign w:val="superscript"/>
          <w:lang w:val="en-US"/>
        </w:rPr>
        <w:t>-/-</w:t>
      </w:r>
      <w:r w:rsidRPr="003563B9">
        <w:rPr>
          <w:i w:val="0"/>
          <w:color w:val="000000" w:themeColor="text1"/>
          <w:lang w:val="en-US"/>
        </w:rPr>
        <w:t xml:space="preserve"> KO (n=100</w:t>
      </w:r>
      <w:r w:rsidR="009D434B" w:rsidRPr="000C647A">
        <w:rPr>
          <w:i w:val="0"/>
          <w:color w:val="000000" w:themeColor="text1"/>
          <w:lang w:val="en-US"/>
        </w:rPr>
        <w:t xml:space="preserve"> </w:t>
      </w:r>
      <w:r w:rsidR="009D434B">
        <w:rPr>
          <w:i w:val="0"/>
          <w:color w:val="000000" w:themeColor="text1"/>
          <w:lang w:val="en-US"/>
        </w:rPr>
        <w:t>neurons, n=8 SN</w:t>
      </w:r>
      <w:r w:rsidRPr="003563B9">
        <w:rPr>
          <w:i w:val="0"/>
          <w:color w:val="000000" w:themeColor="text1"/>
          <w:lang w:val="en-US"/>
        </w:rPr>
        <w:t xml:space="preserve">) DRG neurons. </w:t>
      </w:r>
      <w:r w:rsidRPr="003563B9">
        <w:rPr>
          <w:b/>
          <w:bCs/>
          <w:i w:val="0"/>
          <w:color w:val="000000" w:themeColor="text1"/>
          <w:lang w:val="en-US"/>
        </w:rPr>
        <w:t xml:space="preserve">g-j, </w:t>
      </w:r>
      <w:r w:rsidRPr="003563B9">
        <w:rPr>
          <w:i w:val="0"/>
          <w:color w:val="000000" w:themeColor="text1"/>
          <w:lang w:val="en-US"/>
        </w:rPr>
        <w:t>VMR to colorectal distention in (</w:t>
      </w:r>
      <w:r w:rsidRPr="003563B9">
        <w:rPr>
          <w:b/>
          <w:bCs/>
          <w:i w:val="0"/>
          <w:color w:val="000000" w:themeColor="text1"/>
          <w:lang w:val="en-US"/>
        </w:rPr>
        <w:t>g, h</w:t>
      </w:r>
      <w:r w:rsidRPr="003563B9">
        <w:rPr>
          <w:i w:val="0"/>
          <w:color w:val="000000" w:themeColor="text1"/>
          <w:lang w:val="en-US"/>
        </w:rPr>
        <w:t>) VHS (OVA/infected + OVA) mice treated with vehicle (n=9) and pyrilamine (n=8) and (</w:t>
      </w:r>
      <w:r w:rsidRPr="003563B9">
        <w:rPr>
          <w:b/>
          <w:bCs/>
          <w:i w:val="0"/>
          <w:color w:val="000000" w:themeColor="text1"/>
          <w:lang w:val="en-US"/>
        </w:rPr>
        <w:t>i, j</w:t>
      </w:r>
      <w:r w:rsidRPr="003563B9">
        <w:rPr>
          <w:i w:val="0"/>
          <w:color w:val="000000" w:themeColor="text1"/>
          <w:lang w:val="en-US"/>
        </w:rPr>
        <w:t xml:space="preserve">) in VHS (OVA/infected + OVA) mice with WT genotype (n=13) and </w:t>
      </w:r>
      <w:r w:rsidRPr="003563B9">
        <w:rPr>
          <w:color w:val="000000" w:themeColor="text1"/>
          <w:lang w:val="en-US"/>
        </w:rPr>
        <w:t>Hrh1</w:t>
      </w:r>
      <w:r w:rsidRPr="003563B9">
        <w:rPr>
          <w:color w:val="000000" w:themeColor="text1"/>
          <w:vertAlign w:val="superscript"/>
          <w:lang w:val="en-US"/>
        </w:rPr>
        <w:t>-/-</w:t>
      </w:r>
      <w:r w:rsidRPr="003563B9">
        <w:rPr>
          <w:i w:val="0"/>
          <w:color w:val="000000" w:themeColor="text1"/>
          <w:lang w:val="en-US"/>
        </w:rPr>
        <w:t xml:space="preserve"> KO background (n=9). </w:t>
      </w:r>
      <w:r w:rsidRPr="003563B9">
        <w:rPr>
          <w:b/>
          <w:bCs/>
          <w:i w:val="0"/>
          <w:color w:val="000000" w:themeColor="text1"/>
          <w:lang w:val="en-US"/>
        </w:rPr>
        <w:t xml:space="preserve">h </w:t>
      </w:r>
      <w:r w:rsidRPr="003563B9">
        <w:rPr>
          <w:i w:val="0"/>
          <w:color w:val="000000" w:themeColor="text1"/>
          <w:lang w:val="en-US"/>
        </w:rPr>
        <w:t>and</w:t>
      </w:r>
      <w:r w:rsidRPr="003563B9">
        <w:rPr>
          <w:b/>
          <w:bCs/>
          <w:i w:val="0"/>
          <w:color w:val="000000" w:themeColor="text1"/>
          <w:lang w:val="en-US"/>
        </w:rPr>
        <w:t xml:space="preserve"> j </w:t>
      </w:r>
      <w:r w:rsidRPr="003563B9">
        <w:rPr>
          <w:i w:val="0"/>
          <w:color w:val="000000" w:themeColor="text1"/>
          <w:lang w:val="en-US"/>
        </w:rPr>
        <w:t>depict VMR responses at 7 weeks post-infection. Ordinary one-way ANOVA and Tukey's multiple comparisons test was performed for</w:t>
      </w:r>
      <w:r w:rsidR="00D342AA">
        <w:rPr>
          <w:i w:val="0"/>
          <w:color w:val="000000" w:themeColor="text1"/>
          <w:lang w:val="en-US"/>
        </w:rPr>
        <w:t xml:space="preserve"> </w:t>
      </w:r>
      <w:r w:rsidR="00D342AA">
        <w:rPr>
          <w:b/>
          <w:bCs/>
          <w:i w:val="0"/>
          <w:color w:val="000000" w:themeColor="text1"/>
          <w:lang w:val="en-US"/>
        </w:rPr>
        <w:t xml:space="preserve">a </w:t>
      </w:r>
      <w:r w:rsidR="00D342AA">
        <w:rPr>
          <w:i w:val="0"/>
          <w:color w:val="000000" w:themeColor="text1"/>
          <w:lang w:val="en-US"/>
        </w:rPr>
        <w:t>and</w:t>
      </w:r>
      <w:r w:rsidRPr="003563B9">
        <w:rPr>
          <w:i w:val="0"/>
          <w:color w:val="000000" w:themeColor="text1"/>
          <w:lang w:val="en-US"/>
        </w:rPr>
        <w:t xml:space="preserve"> </w:t>
      </w:r>
      <w:r w:rsidRPr="003563B9">
        <w:rPr>
          <w:b/>
          <w:bCs/>
          <w:i w:val="0"/>
          <w:color w:val="000000" w:themeColor="text1"/>
          <w:lang w:val="en-US"/>
        </w:rPr>
        <w:t>b</w:t>
      </w:r>
      <w:r w:rsidRPr="003563B9">
        <w:rPr>
          <w:i w:val="0"/>
          <w:color w:val="000000" w:themeColor="text1"/>
          <w:lang w:val="en-US"/>
        </w:rPr>
        <w:t xml:space="preserve">. </w:t>
      </w:r>
      <w:r w:rsidR="00D342AA" w:rsidRPr="003563B9">
        <w:rPr>
          <w:i w:val="0"/>
          <w:color w:val="000000" w:themeColor="text1"/>
          <w:lang w:val="en-US"/>
        </w:rPr>
        <w:t>Two-tailed Mann-Whitney test or unpaired t-test was performed for</w:t>
      </w:r>
      <w:r w:rsidR="00D342AA" w:rsidRPr="003563B9">
        <w:rPr>
          <w:b/>
          <w:bCs/>
          <w:i w:val="0"/>
          <w:color w:val="000000" w:themeColor="text1"/>
          <w:lang w:val="en-US"/>
        </w:rPr>
        <w:t xml:space="preserve"> e </w:t>
      </w:r>
      <w:r w:rsidR="00D342AA" w:rsidRPr="003563B9">
        <w:rPr>
          <w:i w:val="0"/>
          <w:color w:val="000000" w:themeColor="text1"/>
          <w:lang w:val="en-US"/>
        </w:rPr>
        <w:t xml:space="preserve">and </w:t>
      </w:r>
      <w:r w:rsidR="00D342AA" w:rsidRPr="003563B9">
        <w:rPr>
          <w:b/>
          <w:bCs/>
          <w:i w:val="0"/>
          <w:color w:val="000000" w:themeColor="text1"/>
          <w:lang w:val="en-US"/>
        </w:rPr>
        <w:lastRenderedPageBreak/>
        <w:t xml:space="preserve">f </w:t>
      </w:r>
      <w:r w:rsidR="00D342AA" w:rsidRPr="003563B9">
        <w:rPr>
          <w:i w:val="0"/>
          <w:color w:val="000000" w:themeColor="text1"/>
          <w:lang w:val="en-US"/>
        </w:rPr>
        <w:t>(left)</w:t>
      </w:r>
      <w:r w:rsidR="00D342AA">
        <w:rPr>
          <w:i w:val="0"/>
          <w:color w:val="000000" w:themeColor="text1"/>
          <w:lang w:val="en-US"/>
        </w:rPr>
        <w:t xml:space="preserve">. </w:t>
      </w:r>
      <w:r w:rsidRPr="003563B9">
        <w:rPr>
          <w:i w:val="0"/>
          <w:color w:val="000000" w:themeColor="text1"/>
          <w:lang w:val="en-US"/>
        </w:rPr>
        <w:t xml:space="preserve">Kruskal-Wallis test with Dunn’s multiple comparison test was performed for </w:t>
      </w:r>
      <w:r w:rsidRPr="003563B9">
        <w:rPr>
          <w:b/>
          <w:bCs/>
          <w:i w:val="0"/>
          <w:color w:val="000000" w:themeColor="text1"/>
          <w:lang w:val="en-US"/>
        </w:rPr>
        <w:t>d</w:t>
      </w:r>
      <w:r w:rsidRPr="003563B9">
        <w:rPr>
          <w:i w:val="0"/>
          <w:color w:val="000000" w:themeColor="text1"/>
          <w:lang w:val="en-US"/>
        </w:rPr>
        <w:t xml:space="preserve"> (left). For % of neurons responding to 10 </w:t>
      </w:r>
      <w:proofErr w:type="spellStart"/>
      <w:r w:rsidRPr="003563B9">
        <w:rPr>
          <w:i w:val="0"/>
          <w:color w:val="000000" w:themeColor="text1"/>
          <w:lang w:val="en-US"/>
        </w:rPr>
        <w:t>nM</w:t>
      </w:r>
      <w:proofErr w:type="spellEnd"/>
      <w:r w:rsidRPr="003563B9">
        <w:rPr>
          <w:i w:val="0"/>
          <w:color w:val="000000" w:themeColor="text1"/>
          <w:lang w:val="en-US"/>
        </w:rPr>
        <w:t xml:space="preserve"> of capsaicin, two-sided Fisher's exact test was performed in </w:t>
      </w:r>
      <w:r w:rsidRPr="003563B9">
        <w:rPr>
          <w:b/>
          <w:bCs/>
          <w:i w:val="0"/>
          <w:color w:val="000000" w:themeColor="text1"/>
          <w:lang w:val="en-US"/>
        </w:rPr>
        <w:t>d</w:t>
      </w:r>
      <w:r w:rsidRPr="003563B9">
        <w:rPr>
          <w:i w:val="0"/>
          <w:color w:val="000000" w:themeColor="text1"/>
          <w:lang w:val="en-US"/>
        </w:rPr>
        <w:t xml:space="preserve"> (right) and </w:t>
      </w:r>
      <w:r w:rsidRPr="003563B9">
        <w:rPr>
          <w:b/>
          <w:bCs/>
          <w:i w:val="0"/>
          <w:color w:val="000000" w:themeColor="text1"/>
          <w:lang w:val="en-US"/>
        </w:rPr>
        <w:t>f</w:t>
      </w:r>
      <w:r w:rsidRPr="003563B9">
        <w:rPr>
          <w:i w:val="0"/>
          <w:color w:val="000000" w:themeColor="text1"/>
          <w:lang w:val="en-US"/>
        </w:rPr>
        <w:t xml:space="preserve"> (right). Two-way RM ANOVA with </w:t>
      </w:r>
      <w:proofErr w:type="spellStart"/>
      <w:r w:rsidRPr="003563B9">
        <w:rPr>
          <w:i w:val="0"/>
          <w:color w:val="000000" w:themeColor="text1"/>
          <w:lang w:val="en-US"/>
        </w:rPr>
        <w:t>Sidak's</w:t>
      </w:r>
      <w:proofErr w:type="spellEnd"/>
      <w:r w:rsidRPr="003563B9">
        <w:rPr>
          <w:i w:val="0"/>
          <w:color w:val="000000" w:themeColor="text1"/>
          <w:lang w:val="en-US"/>
        </w:rPr>
        <w:t xml:space="preserve"> multiple comparisons test was performed for </w:t>
      </w:r>
      <w:r w:rsidRPr="003563B9">
        <w:rPr>
          <w:b/>
          <w:bCs/>
          <w:i w:val="0"/>
          <w:color w:val="000000" w:themeColor="text1"/>
          <w:lang w:val="en-US"/>
        </w:rPr>
        <w:t>g-j</w:t>
      </w:r>
      <w:r w:rsidRPr="003563B9">
        <w:rPr>
          <w:i w:val="0"/>
          <w:color w:val="000000" w:themeColor="text1"/>
          <w:lang w:val="en-US"/>
        </w:rPr>
        <w:t>.</w:t>
      </w:r>
      <w:r w:rsidRPr="003563B9">
        <w:rPr>
          <w:color w:val="000000" w:themeColor="text1"/>
          <w:lang w:val="en-US"/>
        </w:rPr>
        <w:t xml:space="preserve"> </w:t>
      </w:r>
      <w:r w:rsidRPr="003563B9">
        <w:rPr>
          <w:i w:val="0"/>
          <w:color w:val="000000" w:themeColor="text1"/>
          <w:lang w:val="en-US"/>
        </w:rPr>
        <w:t xml:space="preserve">Data are shown as median ± IQR in </w:t>
      </w:r>
      <w:r w:rsidRPr="003563B9">
        <w:rPr>
          <w:b/>
          <w:bCs/>
          <w:i w:val="0"/>
          <w:color w:val="000000" w:themeColor="text1"/>
          <w:lang w:val="en-US"/>
        </w:rPr>
        <w:t xml:space="preserve">a </w:t>
      </w:r>
      <w:r w:rsidRPr="003563B9">
        <w:rPr>
          <w:i w:val="0"/>
          <w:color w:val="000000" w:themeColor="text1"/>
          <w:lang w:val="en-US"/>
        </w:rPr>
        <w:t xml:space="preserve">and </w:t>
      </w:r>
      <w:r w:rsidRPr="003563B9">
        <w:rPr>
          <w:b/>
          <w:bCs/>
          <w:i w:val="0"/>
          <w:color w:val="000000" w:themeColor="text1"/>
          <w:lang w:val="en-US"/>
        </w:rPr>
        <w:t>g-j</w:t>
      </w:r>
      <w:r w:rsidR="005F3FB2">
        <w:rPr>
          <w:i w:val="0"/>
          <w:color w:val="000000" w:themeColor="text1"/>
          <w:lang w:val="en-US"/>
        </w:rPr>
        <w:t>,</w:t>
      </w:r>
      <w:r w:rsidRPr="003563B9">
        <w:rPr>
          <w:i w:val="0"/>
          <w:color w:val="000000" w:themeColor="text1"/>
          <w:lang w:val="en-US"/>
        </w:rPr>
        <w:t xml:space="preserve"> as </w:t>
      </w:r>
      <w:r w:rsidR="00F507A6" w:rsidRPr="00F507A6">
        <w:rPr>
          <w:i w:val="0"/>
          <w:color w:val="000000" w:themeColor="text1"/>
          <w:lang w:val="en-US"/>
        </w:rPr>
        <w:t>Box-and-whiskers (10</w:t>
      </w:r>
      <w:r w:rsidR="00F507A6" w:rsidRPr="00963325">
        <w:rPr>
          <w:i w:val="0"/>
          <w:color w:val="000000" w:themeColor="text1"/>
          <w:vertAlign w:val="superscript"/>
          <w:lang w:val="en-US"/>
        </w:rPr>
        <w:t>th</w:t>
      </w:r>
      <w:r w:rsidR="00F507A6" w:rsidRPr="00F507A6">
        <w:rPr>
          <w:i w:val="0"/>
          <w:color w:val="000000" w:themeColor="text1"/>
          <w:lang w:val="en-US"/>
        </w:rPr>
        <w:t>-90</w:t>
      </w:r>
      <w:r w:rsidR="00F507A6" w:rsidRPr="00963325">
        <w:rPr>
          <w:i w:val="0"/>
          <w:color w:val="000000" w:themeColor="text1"/>
          <w:vertAlign w:val="superscript"/>
          <w:lang w:val="en-US"/>
        </w:rPr>
        <w:t>th</w:t>
      </w:r>
      <w:r w:rsidR="00F507A6">
        <w:rPr>
          <w:i w:val="0"/>
          <w:color w:val="000000" w:themeColor="text1"/>
          <w:lang w:val="en-US"/>
        </w:rPr>
        <w:t xml:space="preserve"> </w:t>
      </w:r>
      <w:r w:rsidR="00F507A6" w:rsidRPr="00F507A6">
        <w:rPr>
          <w:i w:val="0"/>
          <w:color w:val="000000" w:themeColor="text1"/>
          <w:lang w:val="en-US"/>
        </w:rPr>
        <w:t xml:space="preserve">percentile) </w:t>
      </w:r>
      <w:r w:rsidRPr="003563B9">
        <w:rPr>
          <w:i w:val="0"/>
          <w:color w:val="000000" w:themeColor="text1"/>
          <w:lang w:val="en-US"/>
        </w:rPr>
        <w:t xml:space="preserve"> for </w:t>
      </w:r>
      <w:r w:rsidR="005F3FB2" w:rsidRPr="00963325">
        <w:rPr>
          <w:b/>
          <w:bCs/>
          <w:i w:val="0"/>
          <w:color w:val="000000" w:themeColor="text1"/>
          <w:lang w:val="en-US"/>
        </w:rPr>
        <w:t>b</w:t>
      </w:r>
      <w:r w:rsidR="005F3FB2">
        <w:rPr>
          <w:i w:val="0"/>
          <w:color w:val="000000" w:themeColor="text1"/>
          <w:lang w:val="en-US"/>
        </w:rPr>
        <w:t xml:space="preserve"> (up), </w:t>
      </w:r>
      <w:r w:rsidR="005F3FB2" w:rsidRPr="00963325">
        <w:rPr>
          <w:b/>
          <w:bCs/>
          <w:i w:val="0"/>
          <w:color w:val="000000" w:themeColor="text1"/>
          <w:lang w:val="en-US"/>
        </w:rPr>
        <w:t>e</w:t>
      </w:r>
      <w:r w:rsidR="005F3FB2">
        <w:rPr>
          <w:i w:val="0"/>
          <w:color w:val="000000" w:themeColor="text1"/>
          <w:lang w:val="en-US"/>
        </w:rPr>
        <w:t xml:space="preserve"> (left), </w:t>
      </w:r>
      <w:r w:rsidRPr="003563B9">
        <w:rPr>
          <w:b/>
          <w:bCs/>
          <w:i w:val="0"/>
          <w:color w:val="000000" w:themeColor="text1"/>
          <w:lang w:val="en-US"/>
        </w:rPr>
        <w:t>d</w:t>
      </w:r>
      <w:r w:rsidRPr="003563B9">
        <w:rPr>
          <w:i w:val="0"/>
          <w:color w:val="000000" w:themeColor="text1"/>
          <w:lang w:val="en-US"/>
        </w:rPr>
        <w:t xml:space="preserve"> </w:t>
      </w:r>
      <w:r w:rsidR="005F3FB2">
        <w:rPr>
          <w:i w:val="0"/>
          <w:color w:val="000000" w:themeColor="text1"/>
          <w:lang w:val="en-US"/>
        </w:rPr>
        <w:t xml:space="preserve">(left) </w:t>
      </w:r>
      <w:r w:rsidRPr="003563B9">
        <w:rPr>
          <w:i w:val="0"/>
          <w:color w:val="000000" w:themeColor="text1"/>
          <w:lang w:val="en-US"/>
        </w:rPr>
        <w:t xml:space="preserve">and </w:t>
      </w:r>
      <w:r w:rsidRPr="003563B9">
        <w:rPr>
          <w:b/>
          <w:bCs/>
          <w:i w:val="0"/>
          <w:color w:val="000000" w:themeColor="text1"/>
          <w:lang w:val="en-US"/>
        </w:rPr>
        <w:t>f</w:t>
      </w:r>
      <w:r w:rsidRPr="003563B9">
        <w:rPr>
          <w:i w:val="0"/>
          <w:color w:val="000000" w:themeColor="text1"/>
          <w:lang w:val="en-US"/>
        </w:rPr>
        <w:t xml:space="preserve"> (left)</w:t>
      </w:r>
      <w:r w:rsidR="005F3FB2">
        <w:rPr>
          <w:i w:val="0"/>
          <w:color w:val="000000" w:themeColor="text1"/>
          <w:lang w:val="en-US"/>
        </w:rPr>
        <w:t xml:space="preserve"> and as violin plots in </w:t>
      </w:r>
      <w:r w:rsidR="005F3FB2" w:rsidRPr="00DF5AC6">
        <w:rPr>
          <w:b/>
          <w:bCs/>
          <w:i w:val="0"/>
          <w:color w:val="000000" w:themeColor="text1"/>
          <w:lang w:val="en-US"/>
        </w:rPr>
        <w:t>b</w:t>
      </w:r>
      <w:r w:rsidR="005F3FB2">
        <w:rPr>
          <w:i w:val="0"/>
          <w:color w:val="000000" w:themeColor="text1"/>
          <w:lang w:val="en-US"/>
        </w:rPr>
        <w:t xml:space="preserve"> (down), </w:t>
      </w:r>
      <w:r w:rsidR="005F3FB2" w:rsidRPr="00DF5AC6">
        <w:rPr>
          <w:b/>
          <w:bCs/>
          <w:i w:val="0"/>
          <w:color w:val="000000" w:themeColor="text1"/>
          <w:lang w:val="en-US"/>
        </w:rPr>
        <w:t>e</w:t>
      </w:r>
      <w:r w:rsidR="005F3FB2">
        <w:rPr>
          <w:i w:val="0"/>
          <w:color w:val="000000" w:themeColor="text1"/>
          <w:lang w:val="en-US"/>
        </w:rPr>
        <w:t xml:space="preserve"> (right)</w:t>
      </w:r>
      <w:r w:rsidRPr="003563B9">
        <w:rPr>
          <w:i w:val="0"/>
          <w:color w:val="000000" w:themeColor="text1"/>
          <w:lang w:val="en-US"/>
        </w:rPr>
        <w:t>.</w:t>
      </w:r>
    </w:p>
    <w:bookmarkEnd w:id="12"/>
    <w:p w14:paraId="6D9CB3DA" w14:textId="77777777" w:rsidR="00077004" w:rsidRDefault="00077004" w:rsidP="00077004">
      <w:pPr>
        <w:spacing w:after="120" w:line="480" w:lineRule="auto"/>
        <w:jc w:val="both"/>
        <w:rPr>
          <w:b/>
          <w:bCs/>
          <w:color w:val="000000" w:themeColor="text1"/>
          <w:lang w:val="en-US"/>
        </w:rPr>
      </w:pPr>
    </w:p>
    <w:p w14:paraId="52559A0D" w14:textId="44A08D0E" w:rsidR="00077004" w:rsidRDefault="00016B17" w:rsidP="00077004">
      <w:pPr>
        <w:keepNext/>
        <w:spacing w:after="120" w:line="480" w:lineRule="auto"/>
        <w:jc w:val="both"/>
      </w:pPr>
      <w:r>
        <w:rPr>
          <w:noProof/>
        </w:rPr>
        <w:lastRenderedPageBreak/>
        <w:drawing>
          <wp:inline distT="0" distB="0" distL="0" distR="0" wp14:anchorId="5E502315" wp14:editId="1B39474E">
            <wp:extent cx="5972810" cy="6986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5972810" cy="6986270"/>
                    </a:xfrm>
                    <a:prstGeom prst="rect">
                      <a:avLst/>
                    </a:prstGeom>
                  </pic:spPr>
                </pic:pic>
              </a:graphicData>
            </a:graphic>
          </wp:inline>
        </w:drawing>
      </w:r>
    </w:p>
    <w:p w14:paraId="3903B559" w14:textId="50F122DA" w:rsidR="00077004" w:rsidRPr="009E42D4" w:rsidRDefault="00077004" w:rsidP="00077004">
      <w:pPr>
        <w:pStyle w:val="Caption"/>
        <w:spacing w:after="120"/>
        <w:jc w:val="both"/>
        <w:rPr>
          <w:i w:val="0"/>
          <w:iCs w:val="0"/>
          <w:color w:val="000000" w:themeColor="text1"/>
          <w:lang w:val="en-US"/>
        </w:rPr>
      </w:pPr>
      <w:r w:rsidRPr="009D4342">
        <w:rPr>
          <w:b/>
          <w:bCs/>
          <w:i w:val="0"/>
          <w:iCs w:val="0"/>
          <w:color w:val="000000" w:themeColor="text1"/>
          <w:lang w:val="en-US"/>
        </w:rPr>
        <w:t xml:space="preserve">Fig. </w:t>
      </w:r>
      <w:r w:rsidRPr="002D4F8A">
        <w:rPr>
          <w:b/>
          <w:bCs/>
          <w:i w:val="0"/>
          <w:iCs w:val="0"/>
          <w:color w:val="000000" w:themeColor="text1"/>
        </w:rPr>
        <w:fldChar w:fldCharType="begin"/>
      </w:r>
      <w:r w:rsidRPr="009D4342">
        <w:rPr>
          <w:b/>
          <w:bCs/>
          <w:i w:val="0"/>
          <w:iCs w:val="0"/>
          <w:color w:val="000000" w:themeColor="text1"/>
          <w:lang w:val="en-US"/>
        </w:rPr>
        <w:instrText xml:space="preserve"> SEQ Figure \* ARABIC </w:instrText>
      </w:r>
      <w:r w:rsidRPr="002D4F8A">
        <w:rPr>
          <w:b/>
          <w:bCs/>
          <w:i w:val="0"/>
          <w:iCs w:val="0"/>
          <w:color w:val="000000" w:themeColor="text1"/>
        </w:rPr>
        <w:fldChar w:fldCharType="separate"/>
      </w:r>
      <w:r w:rsidRPr="00776CF5">
        <w:rPr>
          <w:b/>
          <w:bCs/>
          <w:i w:val="0"/>
          <w:iCs w:val="0"/>
          <w:noProof/>
          <w:color w:val="000000" w:themeColor="text1"/>
          <w:lang w:val="en-US"/>
        </w:rPr>
        <w:t>4</w:t>
      </w:r>
      <w:r w:rsidRPr="002D4F8A">
        <w:rPr>
          <w:b/>
          <w:bCs/>
          <w:i w:val="0"/>
          <w:iCs w:val="0"/>
          <w:color w:val="000000" w:themeColor="text1"/>
        </w:rPr>
        <w:fldChar w:fldCharType="end"/>
      </w:r>
      <w:r w:rsidRPr="00776CF5">
        <w:rPr>
          <w:b/>
          <w:bCs/>
          <w:i w:val="0"/>
          <w:iCs w:val="0"/>
          <w:color w:val="000000" w:themeColor="text1"/>
          <w:lang w:val="en-US"/>
        </w:rPr>
        <w:t>.</w:t>
      </w:r>
      <w:r w:rsidRPr="002D4F8A">
        <w:rPr>
          <w:i w:val="0"/>
          <w:color w:val="000000" w:themeColor="text1"/>
          <w:lang w:val="en-US"/>
        </w:rPr>
        <w:t xml:space="preserve"> </w:t>
      </w:r>
      <w:r w:rsidRPr="002D4F8A">
        <w:rPr>
          <w:b/>
          <w:bCs/>
          <w:i w:val="0"/>
          <w:color w:val="000000" w:themeColor="text1"/>
          <w:lang w:val="en-US"/>
        </w:rPr>
        <w:t>Intramucosal injection of food antigens induces an immediate mucosal response in IBS patients.</w:t>
      </w:r>
      <w:r w:rsidRPr="002D4F8A">
        <w:rPr>
          <w:i w:val="0"/>
          <w:color w:val="000000" w:themeColor="text1"/>
          <w:lang w:val="en-US"/>
        </w:rPr>
        <w:t xml:space="preserve"> </w:t>
      </w:r>
      <w:r w:rsidRPr="002D4F8A">
        <w:rPr>
          <w:b/>
          <w:bCs/>
          <w:i w:val="0"/>
          <w:color w:val="000000" w:themeColor="text1"/>
          <w:lang w:val="en-US"/>
        </w:rPr>
        <w:t>a,</w:t>
      </w:r>
      <w:r w:rsidRPr="002D4F8A">
        <w:rPr>
          <w:i w:val="0"/>
          <w:color w:val="000000" w:themeColor="text1"/>
          <w:lang w:val="en-US"/>
        </w:rPr>
        <w:t xml:space="preserve"> representative images and (</w:t>
      </w:r>
      <w:r w:rsidRPr="002D4F8A">
        <w:rPr>
          <w:b/>
          <w:bCs/>
          <w:i w:val="0"/>
          <w:color w:val="000000" w:themeColor="text1"/>
          <w:lang w:val="en-US"/>
        </w:rPr>
        <w:t>b</w:t>
      </w:r>
      <w:r w:rsidRPr="002D4F8A">
        <w:rPr>
          <w:i w:val="0"/>
          <w:color w:val="000000" w:themeColor="text1"/>
          <w:lang w:val="en-US"/>
        </w:rPr>
        <w:t xml:space="preserve">) diameter reaction (mm) after intramucosal injection of saline, histamine, soy, wheat, gluten and milk in HV (n=8) and IBS patient (n=12). The white arrows in </w:t>
      </w:r>
      <w:r w:rsidRPr="002D4F8A">
        <w:rPr>
          <w:b/>
          <w:bCs/>
          <w:i w:val="0"/>
          <w:color w:val="000000" w:themeColor="text1"/>
          <w:lang w:val="en-US"/>
        </w:rPr>
        <w:t>a</w:t>
      </w:r>
      <w:r w:rsidRPr="002D4F8A">
        <w:rPr>
          <w:i w:val="0"/>
          <w:color w:val="000000" w:themeColor="text1"/>
          <w:lang w:val="en-US"/>
        </w:rPr>
        <w:t xml:space="preserve"> represent the sites of injection and the arrow-heads indicate the area of reaction. The dotted horizontal line in </w:t>
      </w:r>
      <w:r w:rsidRPr="002D4F8A">
        <w:rPr>
          <w:b/>
          <w:bCs/>
          <w:i w:val="0"/>
          <w:color w:val="000000" w:themeColor="text1"/>
          <w:lang w:val="en-US"/>
        </w:rPr>
        <w:t>b</w:t>
      </w:r>
      <w:r w:rsidRPr="002D4F8A">
        <w:rPr>
          <w:i w:val="0"/>
          <w:color w:val="000000" w:themeColor="text1"/>
          <w:lang w:val="en-US"/>
        </w:rPr>
        <w:t xml:space="preserve"> represents the 95</w:t>
      </w:r>
      <w:r w:rsidRPr="002D4F8A">
        <w:rPr>
          <w:i w:val="0"/>
          <w:color w:val="000000" w:themeColor="text1"/>
          <w:vertAlign w:val="superscript"/>
          <w:lang w:val="en-US"/>
        </w:rPr>
        <w:t>th</w:t>
      </w:r>
      <w:r w:rsidRPr="002D4F8A">
        <w:rPr>
          <w:i w:val="0"/>
          <w:color w:val="000000" w:themeColor="text1"/>
          <w:lang w:val="en-US"/>
        </w:rPr>
        <w:t xml:space="preserve"> percentile of the diameter reactions of the negative control (saline), it is used as threshold for a positive reaction. </w:t>
      </w:r>
      <w:r w:rsidRPr="002D4F8A">
        <w:rPr>
          <w:b/>
          <w:bCs/>
          <w:i w:val="0"/>
          <w:color w:val="000000" w:themeColor="text1"/>
          <w:lang w:val="en-US"/>
        </w:rPr>
        <w:t>c</w:t>
      </w:r>
      <w:r w:rsidR="00226B40">
        <w:rPr>
          <w:b/>
          <w:bCs/>
          <w:i w:val="0"/>
          <w:color w:val="000000" w:themeColor="text1"/>
          <w:lang w:val="en-US"/>
        </w:rPr>
        <w:t>-d</w:t>
      </w:r>
      <w:r w:rsidRPr="002D4F8A">
        <w:rPr>
          <w:b/>
          <w:bCs/>
          <w:i w:val="0"/>
          <w:color w:val="000000" w:themeColor="text1"/>
          <w:lang w:val="en-US"/>
        </w:rPr>
        <w:t>,</w:t>
      </w:r>
      <w:r w:rsidRPr="002D4F8A">
        <w:rPr>
          <w:i w:val="0"/>
          <w:color w:val="000000" w:themeColor="text1"/>
          <w:lang w:val="en-US"/>
        </w:rPr>
        <w:t xml:space="preserve"> measurement of trypsin-like activity in supernatants of rectal biopsies </w:t>
      </w:r>
      <w:r w:rsidR="008F56EC">
        <w:rPr>
          <w:i w:val="0"/>
          <w:color w:val="000000" w:themeColor="text1"/>
          <w:lang w:val="en-US"/>
        </w:rPr>
        <w:t xml:space="preserve">from </w:t>
      </w:r>
      <w:r w:rsidR="00226B40">
        <w:rPr>
          <w:i w:val="0"/>
          <w:color w:val="000000" w:themeColor="text1"/>
          <w:lang w:val="en-US"/>
        </w:rPr>
        <w:t>(</w:t>
      </w:r>
      <w:r w:rsidR="00226B40" w:rsidRPr="00776CF5">
        <w:rPr>
          <w:b/>
          <w:bCs/>
          <w:i w:val="0"/>
          <w:color w:val="000000" w:themeColor="text1"/>
          <w:lang w:val="en-US"/>
        </w:rPr>
        <w:t>c</w:t>
      </w:r>
      <w:r w:rsidR="00226B40">
        <w:rPr>
          <w:i w:val="0"/>
          <w:color w:val="000000" w:themeColor="text1"/>
          <w:lang w:val="en-US"/>
        </w:rPr>
        <w:t xml:space="preserve">) HV </w:t>
      </w:r>
      <w:r w:rsidR="00765173">
        <w:rPr>
          <w:i w:val="0"/>
          <w:color w:val="000000" w:themeColor="text1"/>
          <w:lang w:val="en-US"/>
        </w:rPr>
        <w:t xml:space="preserve">(n = 13) </w:t>
      </w:r>
      <w:r w:rsidR="00226B40">
        <w:rPr>
          <w:i w:val="0"/>
          <w:color w:val="000000" w:themeColor="text1"/>
          <w:lang w:val="en-US"/>
        </w:rPr>
        <w:t>and IBS</w:t>
      </w:r>
      <w:r w:rsidR="00765173">
        <w:rPr>
          <w:i w:val="0"/>
          <w:color w:val="000000" w:themeColor="text1"/>
          <w:lang w:val="en-US"/>
        </w:rPr>
        <w:t xml:space="preserve"> </w:t>
      </w:r>
      <w:r w:rsidR="00226B40">
        <w:rPr>
          <w:i w:val="0"/>
          <w:color w:val="000000" w:themeColor="text1"/>
          <w:lang w:val="en-US"/>
        </w:rPr>
        <w:t>patients</w:t>
      </w:r>
      <w:r w:rsidR="00765173">
        <w:rPr>
          <w:i w:val="0"/>
          <w:color w:val="000000" w:themeColor="text1"/>
          <w:lang w:val="en-US"/>
        </w:rPr>
        <w:t xml:space="preserve"> (n = 48) at</w:t>
      </w:r>
      <w:r w:rsidR="00226B40">
        <w:rPr>
          <w:i w:val="0"/>
          <w:color w:val="000000" w:themeColor="text1"/>
          <w:lang w:val="en-US"/>
        </w:rPr>
        <w:t xml:space="preserve"> </w:t>
      </w:r>
      <w:r w:rsidR="00765173">
        <w:rPr>
          <w:i w:val="0"/>
          <w:color w:val="000000" w:themeColor="text1"/>
          <w:lang w:val="en-US"/>
        </w:rPr>
        <w:t xml:space="preserve">basal conditions </w:t>
      </w:r>
      <w:r w:rsidR="00226B40">
        <w:rPr>
          <w:i w:val="0"/>
          <w:color w:val="000000" w:themeColor="text1"/>
          <w:lang w:val="en-US"/>
        </w:rPr>
        <w:t>and (</w:t>
      </w:r>
      <w:r w:rsidR="00226B40" w:rsidRPr="00776CF5">
        <w:rPr>
          <w:b/>
          <w:bCs/>
          <w:i w:val="0"/>
          <w:color w:val="000000" w:themeColor="text1"/>
          <w:lang w:val="en-US"/>
        </w:rPr>
        <w:t>d</w:t>
      </w:r>
      <w:r w:rsidR="00226B40">
        <w:rPr>
          <w:i w:val="0"/>
          <w:color w:val="000000" w:themeColor="text1"/>
          <w:lang w:val="en-US"/>
        </w:rPr>
        <w:t xml:space="preserve">) </w:t>
      </w:r>
      <w:r w:rsidRPr="002D4F8A">
        <w:rPr>
          <w:i w:val="0"/>
          <w:color w:val="000000" w:themeColor="text1"/>
          <w:lang w:val="en-US"/>
        </w:rPr>
        <w:t>12 min after injection of dietary antigens</w:t>
      </w:r>
      <w:r w:rsidR="00765173">
        <w:rPr>
          <w:i w:val="0"/>
          <w:color w:val="000000" w:themeColor="text1"/>
          <w:lang w:val="en-US"/>
        </w:rPr>
        <w:t xml:space="preserve"> in IBS patients</w:t>
      </w:r>
      <w:r w:rsidRPr="002D4F8A">
        <w:rPr>
          <w:i w:val="0"/>
          <w:color w:val="000000" w:themeColor="text1"/>
          <w:lang w:val="en-US"/>
        </w:rPr>
        <w:t xml:space="preserve"> (n = 8). </w:t>
      </w:r>
      <w:r w:rsidR="00226B40">
        <w:rPr>
          <w:b/>
          <w:bCs/>
          <w:i w:val="0"/>
          <w:color w:val="000000" w:themeColor="text1"/>
          <w:lang w:val="en-US"/>
        </w:rPr>
        <w:t>e</w:t>
      </w:r>
      <w:r w:rsidR="004C73AD">
        <w:rPr>
          <w:b/>
          <w:bCs/>
          <w:i w:val="0"/>
          <w:color w:val="000000" w:themeColor="text1"/>
          <w:lang w:val="en-US"/>
        </w:rPr>
        <w:t>-g</w:t>
      </w:r>
      <w:r w:rsidRPr="002D4F8A">
        <w:rPr>
          <w:i w:val="0"/>
          <w:color w:val="000000" w:themeColor="text1"/>
          <w:lang w:val="en-US"/>
        </w:rPr>
        <w:t xml:space="preserve">, </w:t>
      </w:r>
      <w:r w:rsidR="004C73AD">
        <w:rPr>
          <w:i w:val="0"/>
          <w:color w:val="000000" w:themeColor="text1"/>
          <w:lang w:val="en-US"/>
        </w:rPr>
        <w:t>(</w:t>
      </w:r>
      <w:r w:rsidR="004C73AD" w:rsidRPr="00776CF5">
        <w:rPr>
          <w:b/>
          <w:bCs/>
          <w:i w:val="0"/>
          <w:color w:val="000000" w:themeColor="text1"/>
          <w:lang w:val="en-US"/>
        </w:rPr>
        <w:t>e</w:t>
      </w:r>
      <w:r w:rsidR="004C73AD">
        <w:rPr>
          <w:i w:val="0"/>
          <w:color w:val="000000" w:themeColor="text1"/>
          <w:lang w:val="en-US"/>
        </w:rPr>
        <w:t xml:space="preserve">) </w:t>
      </w:r>
      <w:r w:rsidR="00765173">
        <w:rPr>
          <w:i w:val="0"/>
          <w:color w:val="000000" w:themeColor="text1"/>
          <w:lang w:val="en-US"/>
        </w:rPr>
        <w:t>representative confocal immunostaining image</w:t>
      </w:r>
      <w:r w:rsidRPr="002D4F8A">
        <w:rPr>
          <w:i w:val="0"/>
          <w:color w:val="000000" w:themeColor="text1"/>
          <w:lang w:val="en-US"/>
        </w:rPr>
        <w:t xml:space="preserve"> </w:t>
      </w:r>
      <w:r w:rsidR="00765173">
        <w:rPr>
          <w:i w:val="0"/>
          <w:color w:val="000000" w:themeColor="text1"/>
          <w:lang w:val="en-US"/>
        </w:rPr>
        <w:t xml:space="preserve">showing </w:t>
      </w:r>
      <w:proofErr w:type="spellStart"/>
      <w:r w:rsidR="00765173">
        <w:rPr>
          <w:i w:val="0"/>
          <w:color w:val="000000" w:themeColor="text1"/>
          <w:lang w:val="en-US"/>
        </w:rPr>
        <w:t>IgE</w:t>
      </w:r>
      <w:proofErr w:type="spellEnd"/>
      <w:r w:rsidR="00765173" w:rsidRPr="00776CF5">
        <w:rPr>
          <w:i w:val="0"/>
          <w:color w:val="000000" w:themeColor="text1"/>
          <w:vertAlign w:val="superscript"/>
          <w:lang w:val="en-US"/>
        </w:rPr>
        <w:t>+</w:t>
      </w:r>
      <w:r w:rsidR="00765173">
        <w:rPr>
          <w:i w:val="0"/>
          <w:color w:val="000000" w:themeColor="text1"/>
          <w:lang w:val="en-US"/>
        </w:rPr>
        <w:t xml:space="preserve"> MC and nerves fibers (β tubulin III</w:t>
      </w:r>
      <w:r w:rsidR="00765173" w:rsidRPr="00776CF5">
        <w:rPr>
          <w:i w:val="0"/>
          <w:color w:val="000000" w:themeColor="text1"/>
          <w:vertAlign w:val="superscript"/>
          <w:lang w:val="en-US"/>
        </w:rPr>
        <w:t>+</w:t>
      </w:r>
      <w:r w:rsidR="00765173">
        <w:rPr>
          <w:i w:val="0"/>
          <w:color w:val="000000" w:themeColor="text1"/>
          <w:lang w:val="en-US"/>
        </w:rPr>
        <w:t xml:space="preserve">) </w:t>
      </w:r>
      <w:r w:rsidR="004C73AD">
        <w:rPr>
          <w:i w:val="0"/>
          <w:color w:val="000000" w:themeColor="text1"/>
          <w:lang w:val="en-US"/>
        </w:rPr>
        <w:t>used for</w:t>
      </w:r>
      <w:r w:rsidRPr="002D4F8A">
        <w:rPr>
          <w:i w:val="0"/>
          <w:color w:val="000000" w:themeColor="text1"/>
          <w:lang w:val="en-US"/>
        </w:rPr>
        <w:t xml:space="preserve"> </w:t>
      </w:r>
      <w:r w:rsidR="004C73AD">
        <w:rPr>
          <w:i w:val="0"/>
          <w:color w:val="000000" w:themeColor="text1"/>
          <w:lang w:val="en-US"/>
        </w:rPr>
        <w:t>(</w:t>
      </w:r>
      <w:r w:rsidR="00765173">
        <w:rPr>
          <w:b/>
          <w:bCs/>
          <w:i w:val="0"/>
          <w:color w:val="000000" w:themeColor="text1"/>
          <w:lang w:val="en-US"/>
        </w:rPr>
        <w:t>f</w:t>
      </w:r>
      <w:r w:rsidR="004C73AD">
        <w:rPr>
          <w:i w:val="0"/>
          <w:color w:val="000000" w:themeColor="text1"/>
          <w:lang w:val="en-US"/>
        </w:rPr>
        <w:t>)</w:t>
      </w:r>
      <w:r w:rsidRPr="002D4F8A">
        <w:rPr>
          <w:i w:val="0"/>
          <w:color w:val="000000" w:themeColor="text1"/>
          <w:lang w:val="en-US"/>
        </w:rPr>
        <w:t xml:space="preserve"> </w:t>
      </w:r>
      <w:r w:rsidR="00DD2FD9">
        <w:rPr>
          <w:i w:val="0"/>
          <w:color w:val="000000" w:themeColor="text1"/>
          <w:lang w:val="en-US"/>
        </w:rPr>
        <w:t>quantification of CD117</w:t>
      </w:r>
      <w:r w:rsidR="00DD2FD9" w:rsidRPr="00877352">
        <w:rPr>
          <w:i w:val="0"/>
          <w:color w:val="000000" w:themeColor="text1"/>
          <w:vertAlign w:val="superscript"/>
          <w:lang w:val="en-US"/>
        </w:rPr>
        <w:t>+</w:t>
      </w:r>
      <w:r w:rsidR="00DD2FD9">
        <w:rPr>
          <w:i w:val="0"/>
          <w:color w:val="000000" w:themeColor="text1"/>
          <w:vertAlign w:val="superscript"/>
          <w:lang w:val="en-US"/>
        </w:rPr>
        <w:t xml:space="preserve"> </w:t>
      </w:r>
      <w:proofErr w:type="spellStart"/>
      <w:r w:rsidR="00DD2FD9">
        <w:rPr>
          <w:i w:val="0"/>
          <w:color w:val="000000" w:themeColor="text1"/>
          <w:lang w:val="en-US"/>
        </w:rPr>
        <w:t>IgE</w:t>
      </w:r>
      <w:proofErr w:type="spellEnd"/>
      <w:r w:rsidR="00DD2FD9" w:rsidRPr="00877352">
        <w:rPr>
          <w:i w:val="0"/>
          <w:color w:val="000000" w:themeColor="text1"/>
          <w:vertAlign w:val="superscript"/>
          <w:lang w:val="en-US"/>
        </w:rPr>
        <w:t>+</w:t>
      </w:r>
      <w:r w:rsidR="00DD2FD9">
        <w:rPr>
          <w:i w:val="0"/>
          <w:color w:val="000000" w:themeColor="text1"/>
          <w:lang w:val="en-US"/>
        </w:rPr>
        <w:t xml:space="preserve"> cells at </w:t>
      </w:r>
      <w:r w:rsidR="00DD2FD9">
        <w:rPr>
          <w:i w:val="0"/>
          <w:color w:val="000000" w:themeColor="text1"/>
          <w:lang w:val="en-US"/>
        </w:rPr>
        <w:lastRenderedPageBreak/>
        <w:t xml:space="preserve">≤5 </w:t>
      </w:r>
      <w:proofErr w:type="spellStart"/>
      <w:r w:rsidR="00DD2FD9">
        <w:rPr>
          <w:i w:val="0"/>
          <w:color w:val="000000" w:themeColor="text1"/>
          <w:lang w:val="en-US"/>
        </w:rPr>
        <w:t>μm</w:t>
      </w:r>
      <w:proofErr w:type="spellEnd"/>
      <w:r w:rsidR="00DD2FD9">
        <w:rPr>
          <w:i w:val="0"/>
          <w:color w:val="000000" w:themeColor="text1"/>
          <w:lang w:val="en-US"/>
        </w:rPr>
        <w:t xml:space="preserve"> from nerve fibers (β tubulin III</w:t>
      </w:r>
      <w:r w:rsidR="00DD2FD9" w:rsidRPr="00877352">
        <w:rPr>
          <w:i w:val="0"/>
          <w:color w:val="000000" w:themeColor="text1"/>
          <w:vertAlign w:val="superscript"/>
          <w:lang w:val="en-US"/>
        </w:rPr>
        <w:t>+</w:t>
      </w:r>
      <w:r w:rsidR="00DD2FD9">
        <w:rPr>
          <w:i w:val="0"/>
          <w:color w:val="000000" w:themeColor="text1"/>
          <w:lang w:val="en-US"/>
        </w:rPr>
        <w:t>) in HV (n = 15) and IBS patients (n = 17)</w:t>
      </w:r>
      <w:r w:rsidR="004C73AD">
        <w:rPr>
          <w:i w:val="0"/>
          <w:color w:val="000000" w:themeColor="text1"/>
          <w:lang w:val="en-US"/>
        </w:rPr>
        <w:t xml:space="preserve"> and (</w:t>
      </w:r>
      <w:r w:rsidR="00DD2FD9">
        <w:rPr>
          <w:b/>
          <w:bCs/>
          <w:i w:val="0"/>
          <w:color w:val="000000" w:themeColor="text1"/>
          <w:lang w:val="en-US"/>
        </w:rPr>
        <w:t>g</w:t>
      </w:r>
      <w:r w:rsidR="004C73AD">
        <w:rPr>
          <w:i w:val="0"/>
          <w:color w:val="000000" w:themeColor="text1"/>
          <w:lang w:val="en-US"/>
        </w:rPr>
        <w:t>)</w:t>
      </w:r>
      <w:r w:rsidR="00DD2FD9" w:rsidRPr="002D4F8A">
        <w:rPr>
          <w:i w:val="0"/>
          <w:color w:val="000000" w:themeColor="text1"/>
          <w:lang w:val="en-US"/>
        </w:rPr>
        <w:t xml:space="preserve"> </w:t>
      </w:r>
      <w:r w:rsidR="00DD2FD9">
        <w:rPr>
          <w:i w:val="0"/>
          <w:color w:val="000000" w:themeColor="text1"/>
          <w:lang w:val="en-US"/>
        </w:rPr>
        <w:t xml:space="preserve">distance between </w:t>
      </w:r>
      <w:r w:rsidR="004C73AD">
        <w:rPr>
          <w:i w:val="0"/>
          <w:color w:val="000000" w:themeColor="text1"/>
          <w:lang w:val="en-US"/>
        </w:rPr>
        <w:t>these cell types</w:t>
      </w:r>
      <w:r w:rsidR="00DD2FD9">
        <w:rPr>
          <w:i w:val="0"/>
          <w:color w:val="000000" w:themeColor="text1"/>
          <w:lang w:val="en-US"/>
        </w:rPr>
        <w:t xml:space="preserve"> in HV (n = 15 subjects [left], n = 206 cells [right]) and IBS patients (n = 17 subjects [left], n = 296 cells [right]). </w:t>
      </w:r>
      <w:r w:rsidR="00DD2FD9" w:rsidRPr="00776CF5">
        <w:rPr>
          <w:b/>
          <w:bCs/>
          <w:i w:val="0"/>
          <w:color w:val="000000" w:themeColor="text1"/>
          <w:lang w:val="en-US"/>
        </w:rPr>
        <w:t>h</w:t>
      </w:r>
      <w:r w:rsidR="00DD2FD9">
        <w:rPr>
          <w:i w:val="0"/>
          <w:color w:val="000000" w:themeColor="text1"/>
          <w:lang w:val="en-US"/>
        </w:rPr>
        <w:t xml:space="preserve">, </w:t>
      </w:r>
      <w:r w:rsidR="00DD2FD9" w:rsidRPr="002D4F8A">
        <w:rPr>
          <w:i w:val="0"/>
          <w:color w:val="000000" w:themeColor="text1"/>
          <w:lang w:val="en-US"/>
        </w:rPr>
        <w:t xml:space="preserve">correlation between the </w:t>
      </w:r>
      <w:proofErr w:type="spellStart"/>
      <w:r w:rsidR="00DD2FD9">
        <w:rPr>
          <w:i w:val="0"/>
          <w:color w:val="000000" w:themeColor="text1"/>
          <w:lang w:val="en-US"/>
        </w:rPr>
        <w:t>IgE</w:t>
      </w:r>
      <w:proofErr w:type="spellEnd"/>
      <w:r w:rsidR="00DD2FD9" w:rsidRPr="00877352">
        <w:rPr>
          <w:i w:val="0"/>
          <w:color w:val="000000" w:themeColor="text1"/>
          <w:vertAlign w:val="superscript"/>
          <w:lang w:val="en-US"/>
        </w:rPr>
        <w:t>+</w:t>
      </w:r>
      <w:r w:rsidR="00DD2FD9">
        <w:rPr>
          <w:i w:val="0"/>
          <w:color w:val="000000" w:themeColor="text1"/>
          <w:lang w:val="en-US"/>
        </w:rPr>
        <w:t xml:space="preserve"> MC-nerve fibers distance</w:t>
      </w:r>
      <w:r w:rsidR="00DD2FD9" w:rsidRPr="002D4F8A">
        <w:rPr>
          <w:i w:val="0"/>
          <w:color w:val="000000" w:themeColor="text1"/>
          <w:lang w:val="en-US"/>
        </w:rPr>
        <w:t xml:space="preserve"> and abdominal pain severity assessed by</w:t>
      </w:r>
      <w:r w:rsidR="00DD2FD9" w:rsidRPr="002D4F8A">
        <w:rPr>
          <w:color w:val="000000" w:themeColor="text1"/>
          <w:lang w:val="en-US"/>
        </w:rPr>
        <w:t xml:space="preserve"> </w:t>
      </w:r>
      <w:r w:rsidR="00DD2FD9" w:rsidRPr="002D4F8A">
        <w:rPr>
          <w:i w:val="0"/>
          <w:color w:val="000000" w:themeColor="text1"/>
          <w:lang w:val="en-US"/>
        </w:rPr>
        <w:t>visual analogue scale (VAS)</w:t>
      </w:r>
      <w:r w:rsidR="00A44286">
        <w:rPr>
          <w:i w:val="0"/>
          <w:color w:val="000000" w:themeColor="text1"/>
          <w:lang w:val="en-US"/>
        </w:rPr>
        <w:t xml:space="preserve"> in IBS patients (n = 17)</w:t>
      </w:r>
      <w:r w:rsidR="00DD2FD9">
        <w:rPr>
          <w:i w:val="0"/>
          <w:color w:val="000000" w:themeColor="text1"/>
          <w:lang w:val="en-US"/>
        </w:rPr>
        <w:t xml:space="preserve">. </w:t>
      </w:r>
      <w:r w:rsidR="004C73AD">
        <w:rPr>
          <w:b/>
          <w:bCs/>
          <w:i w:val="0"/>
          <w:color w:val="000000" w:themeColor="text1"/>
          <w:lang w:val="en-US"/>
        </w:rPr>
        <w:t>i-j</w:t>
      </w:r>
      <w:r w:rsidR="00DD2FD9" w:rsidRPr="002D4F8A">
        <w:rPr>
          <w:i w:val="0"/>
          <w:color w:val="000000" w:themeColor="text1"/>
          <w:lang w:val="en-US"/>
        </w:rPr>
        <w:t xml:space="preserve">, </w:t>
      </w:r>
      <w:r w:rsidR="004C73AD">
        <w:rPr>
          <w:i w:val="0"/>
          <w:color w:val="000000" w:themeColor="text1"/>
          <w:lang w:val="en-US"/>
        </w:rPr>
        <w:t>(</w:t>
      </w:r>
      <w:r w:rsidR="004C73AD" w:rsidRPr="00776CF5">
        <w:rPr>
          <w:b/>
          <w:bCs/>
          <w:i w:val="0"/>
          <w:color w:val="000000" w:themeColor="text1"/>
          <w:lang w:val="en-US"/>
        </w:rPr>
        <w:t>i</w:t>
      </w:r>
      <w:r w:rsidR="004C73AD">
        <w:rPr>
          <w:i w:val="0"/>
          <w:color w:val="000000" w:themeColor="text1"/>
          <w:lang w:val="en-US"/>
        </w:rPr>
        <w:t xml:space="preserve">) </w:t>
      </w:r>
      <w:r w:rsidR="00DD2FD9">
        <w:rPr>
          <w:i w:val="0"/>
          <w:color w:val="000000" w:themeColor="text1"/>
          <w:lang w:val="en-US"/>
        </w:rPr>
        <w:t xml:space="preserve">representative confocal immunostaining </w:t>
      </w:r>
      <w:r w:rsidRPr="002D4F8A">
        <w:rPr>
          <w:i w:val="0"/>
          <w:color w:val="000000" w:themeColor="text1"/>
          <w:lang w:val="en-US"/>
        </w:rPr>
        <w:t xml:space="preserve">measurement of total corrected cell fluorescence (TCCF) as </w:t>
      </w:r>
      <w:r w:rsidR="004C73AD">
        <w:rPr>
          <w:i w:val="0"/>
          <w:color w:val="000000" w:themeColor="text1"/>
          <w:lang w:val="en-US"/>
        </w:rPr>
        <w:t>(</w:t>
      </w:r>
      <w:r w:rsidR="004C73AD" w:rsidRPr="00776CF5">
        <w:rPr>
          <w:b/>
          <w:bCs/>
          <w:i w:val="0"/>
          <w:color w:val="000000" w:themeColor="text1"/>
          <w:lang w:val="en-US"/>
        </w:rPr>
        <w:t>j</w:t>
      </w:r>
      <w:r w:rsidR="004C73AD">
        <w:rPr>
          <w:i w:val="0"/>
          <w:color w:val="000000" w:themeColor="text1"/>
          <w:lang w:val="en-US"/>
        </w:rPr>
        <w:t xml:space="preserve">) </w:t>
      </w:r>
      <w:r w:rsidRPr="002D4F8A">
        <w:rPr>
          <w:i w:val="0"/>
          <w:color w:val="000000" w:themeColor="text1"/>
          <w:lang w:val="en-US"/>
        </w:rPr>
        <w:t xml:space="preserve">quantification of </w:t>
      </w:r>
      <w:proofErr w:type="spellStart"/>
      <w:r w:rsidRPr="002D4F8A">
        <w:rPr>
          <w:i w:val="0"/>
          <w:color w:val="000000" w:themeColor="text1"/>
          <w:lang w:val="en-US"/>
        </w:rPr>
        <w:t>IgE</w:t>
      </w:r>
      <w:proofErr w:type="spellEnd"/>
      <w:r w:rsidRPr="002D4F8A">
        <w:rPr>
          <w:i w:val="0"/>
          <w:color w:val="000000" w:themeColor="text1"/>
          <w:lang w:val="en-US"/>
        </w:rPr>
        <w:t xml:space="preserve"> intensity in mast cells in mucosal rectal biopsies from HV </w:t>
      </w:r>
      <w:r w:rsidR="004C73AD">
        <w:rPr>
          <w:i w:val="0"/>
          <w:color w:val="000000" w:themeColor="text1"/>
          <w:lang w:val="en-US"/>
        </w:rPr>
        <w:t>(n = 15 subjects [left], n = 261 cells [right])</w:t>
      </w:r>
      <w:r w:rsidR="004C73AD" w:rsidRPr="002D4F8A" w:rsidDel="00DD2FD9">
        <w:rPr>
          <w:i w:val="0"/>
          <w:color w:val="000000" w:themeColor="text1"/>
          <w:lang w:val="en-US"/>
        </w:rPr>
        <w:t xml:space="preserve"> </w:t>
      </w:r>
      <w:r w:rsidRPr="002D4F8A">
        <w:rPr>
          <w:i w:val="0"/>
          <w:color w:val="000000" w:themeColor="text1"/>
          <w:lang w:val="en-US"/>
        </w:rPr>
        <w:t>and IBS patients</w:t>
      </w:r>
      <w:r w:rsidR="004C73AD">
        <w:rPr>
          <w:i w:val="0"/>
          <w:color w:val="000000" w:themeColor="text1"/>
          <w:lang w:val="en-US"/>
        </w:rPr>
        <w:t xml:space="preserve"> (n = 22 subjects [left], n = 352 cells [right])</w:t>
      </w:r>
      <w:r w:rsidRPr="002D4F8A">
        <w:rPr>
          <w:i w:val="0"/>
          <w:color w:val="000000" w:themeColor="text1"/>
          <w:lang w:val="en-US"/>
        </w:rPr>
        <w:t xml:space="preserve">. </w:t>
      </w:r>
      <w:r w:rsidR="004C73AD">
        <w:rPr>
          <w:b/>
          <w:bCs/>
          <w:i w:val="0"/>
          <w:color w:val="000000" w:themeColor="text1"/>
          <w:lang w:val="en-US"/>
        </w:rPr>
        <w:t>k</w:t>
      </w:r>
      <w:r w:rsidRPr="002D4F8A">
        <w:rPr>
          <w:i w:val="0"/>
          <w:color w:val="000000" w:themeColor="text1"/>
          <w:lang w:val="en-US"/>
        </w:rPr>
        <w:t xml:space="preserve">, correlation between the </w:t>
      </w:r>
      <w:proofErr w:type="spellStart"/>
      <w:r w:rsidRPr="002D4F8A">
        <w:rPr>
          <w:i w:val="0"/>
          <w:color w:val="000000" w:themeColor="text1"/>
          <w:lang w:val="en-US"/>
        </w:rPr>
        <w:t>IgE</w:t>
      </w:r>
      <w:proofErr w:type="spellEnd"/>
      <w:r w:rsidRPr="002D4F8A">
        <w:rPr>
          <w:i w:val="0"/>
          <w:color w:val="000000" w:themeColor="text1"/>
          <w:lang w:val="en-US"/>
        </w:rPr>
        <w:t xml:space="preserve"> TCCF and abdominal pain severity assessed by</w:t>
      </w:r>
      <w:r w:rsidRPr="002D4F8A">
        <w:rPr>
          <w:color w:val="000000" w:themeColor="text1"/>
          <w:lang w:val="en-US"/>
        </w:rPr>
        <w:t xml:space="preserve"> </w:t>
      </w:r>
      <w:r w:rsidRPr="002D4F8A">
        <w:rPr>
          <w:i w:val="0"/>
          <w:color w:val="000000" w:themeColor="text1"/>
          <w:lang w:val="en-US"/>
        </w:rPr>
        <w:t>visual analogue scale (VAS) in IBS patients</w:t>
      </w:r>
      <w:r w:rsidR="00A44286">
        <w:rPr>
          <w:i w:val="0"/>
          <w:color w:val="000000" w:themeColor="text1"/>
          <w:lang w:val="en-US"/>
        </w:rPr>
        <w:t xml:space="preserve"> (n = 22)</w:t>
      </w:r>
      <w:r w:rsidRPr="002D4F8A">
        <w:rPr>
          <w:i w:val="0"/>
          <w:color w:val="000000" w:themeColor="text1"/>
          <w:lang w:val="en-US"/>
        </w:rPr>
        <w:t xml:space="preserve">. Data were analyzed by two-tailed Mann-Whitney test for </w:t>
      </w:r>
      <w:r w:rsidRPr="002D4F8A">
        <w:rPr>
          <w:b/>
          <w:bCs/>
          <w:i w:val="0"/>
          <w:color w:val="000000" w:themeColor="text1"/>
          <w:lang w:val="en-US"/>
        </w:rPr>
        <w:t>b</w:t>
      </w:r>
      <w:r w:rsidRPr="002D4F8A">
        <w:rPr>
          <w:i w:val="0"/>
          <w:color w:val="000000" w:themeColor="text1"/>
          <w:lang w:val="en-US"/>
        </w:rPr>
        <w:t>, comparing NaCl, histamine and each food antigen between HV and IBS patients</w:t>
      </w:r>
      <w:r w:rsidR="00226B40">
        <w:rPr>
          <w:i w:val="0"/>
          <w:color w:val="000000" w:themeColor="text1"/>
          <w:lang w:val="en-US"/>
        </w:rPr>
        <w:t xml:space="preserve">, and for </w:t>
      </w:r>
      <w:r w:rsidR="00226B40" w:rsidRPr="00CE4DD1">
        <w:rPr>
          <w:b/>
          <w:bCs/>
          <w:i w:val="0"/>
          <w:color w:val="000000" w:themeColor="text1"/>
          <w:lang w:val="en-US"/>
        </w:rPr>
        <w:t>c</w:t>
      </w:r>
      <w:r w:rsidR="009E42D4">
        <w:rPr>
          <w:b/>
          <w:bCs/>
          <w:i w:val="0"/>
          <w:color w:val="000000" w:themeColor="text1"/>
          <w:lang w:val="en-US"/>
        </w:rPr>
        <w:t xml:space="preserve">, f, g </w:t>
      </w:r>
      <w:r w:rsidR="009E42D4" w:rsidRPr="00776CF5">
        <w:rPr>
          <w:i w:val="0"/>
          <w:color w:val="000000" w:themeColor="text1"/>
          <w:lang w:val="en-US"/>
        </w:rPr>
        <w:t>and</w:t>
      </w:r>
      <w:r w:rsidR="009E42D4">
        <w:rPr>
          <w:b/>
          <w:bCs/>
          <w:i w:val="0"/>
          <w:color w:val="000000" w:themeColor="text1"/>
          <w:lang w:val="en-US"/>
        </w:rPr>
        <w:t xml:space="preserve"> j</w:t>
      </w:r>
      <w:r w:rsidRPr="002D4F8A">
        <w:rPr>
          <w:i w:val="0"/>
          <w:color w:val="000000" w:themeColor="text1"/>
          <w:lang w:val="en-US"/>
        </w:rPr>
        <w:t xml:space="preserve">. Data were analyzed by 2-way analysis of variance (ANOVA) with </w:t>
      </w:r>
      <w:proofErr w:type="spellStart"/>
      <w:r w:rsidRPr="002D4F8A">
        <w:rPr>
          <w:i w:val="0"/>
          <w:color w:val="000000" w:themeColor="text1"/>
          <w:lang w:val="en-US"/>
        </w:rPr>
        <w:t>Sidak's</w:t>
      </w:r>
      <w:proofErr w:type="spellEnd"/>
      <w:r w:rsidRPr="002D4F8A">
        <w:rPr>
          <w:i w:val="0"/>
          <w:color w:val="000000" w:themeColor="text1"/>
          <w:lang w:val="en-US"/>
        </w:rPr>
        <w:t xml:space="preserve"> multiple comparisons test in </w:t>
      </w:r>
      <w:r w:rsidR="00226B40">
        <w:rPr>
          <w:b/>
          <w:bCs/>
          <w:i w:val="0"/>
          <w:color w:val="000000" w:themeColor="text1"/>
          <w:lang w:val="en-US"/>
        </w:rPr>
        <w:t>d</w:t>
      </w:r>
      <w:r w:rsidRPr="002D4F8A">
        <w:rPr>
          <w:i w:val="0"/>
          <w:color w:val="000000" w:themeColor="text1"/>
          <w:lang w:val="en-US"/>
        </w:rPr>
        <w:t xml:space="preserve">. Comparisons of NaCl </w:t>
      </w:r>
      <w:r w:rsidRPr="002D4F8A">
        <w:rPr>
          <w:color w:val="000000" w:themeColor="text1"/>
          <w:lang w:val="en-US"/>
        </w:rPr>
        <w:t>vs.</w:t>
      </w:r>
      <w:r w:rsidRPr="002D4F8A">
        <w:rPr>
          <w:i w:val="0"/>
          <w:color w:val="000000" w:themeColor="text1"/>
          <w:lang w:val="en-US"/>
        </w:rPr>
        <w:t xml:space="preserve"> other test-substances in </w:t>
      </w:r>
      <w:r w:rsidR="00226B40">
        <w:rPr>
          <w:b/>
          <w:bCs/>
          <w:i w:val="0"/>
          <w:color w:val="000000" w:themeColor="text1"/>
          <w:lang w:val="en-US"/>
        </w:rPr>
        <w:t>d</w:t>
      </w:r>
      <w:r w:rsidR="00226B40" w:rsidRPr="002D4F8A">
        <w:rPr>
          <w:i w:val="0"/>
          <w:color w:val="000000" w:themeColor="text1"/>
          <w:lang w:val="en-US"/>
        </w:rPr>
        <w:t xml:space="preserve"> </w:t>
      </w:r>
      <w:r w:rsidRPr="002D4F8A">
        <w:rPr>
          <w:i w:val="0"/>
          <w:color w:val="000000" w:themeColor="text1"/>
          <w:lang w:val="en-US"/>
        </w:rPr>
        <w:t xml:space="preserve">are </w:t>
      </w:r>
      <w:bookmarkStart w:id="13" w:name="OLE_LINK41"/>
      <w:r w:rsidRPr="002D4F8A">
        <w:rPr>
          <w:i w:val="0"/>
          <w:color w:val="000000" w:themeColor="text1"/>
          <w:lang w:val="en-US"/>
        </w:rPr>
        <w:t>depict</w:t>
      </w:r>
      <w:bookmarkEnd w:id="13"/>
      <w:r w:rsidRPr="002D4F8A">
        <w:rPr>
          <w:i w:val="0"/>
          <w:color w:val="000000" w:themeColor="text1"/>
          <w:lang w:val="en-US"/>
        </w:rPr>
        <w:t xml:space="preserve">ed by continuous lines, while comparisons of vehicle </w:t>
      </w:r>
      <w:r w:rsidRPr="002D4F8A">
        <w:rPr>
          <w:color w:val="000000" w:themeColor="text1"/>
          <w:lang w:val="en-US"/>
        </w:rPr>
        <w:t>vs.</w:t>
      </w:r>
      <w:r w:rsidRPr="002D4F8A">
        <w:rPr>
          <w:i w:val="0"/>
          <w:color w:val="000000" w:themeColor="text1"/>
          <w:lang w:val="en-US"/>
        </w:rPr>
        <w:t xml:space="preserve"> APC366 or AEBSF by hashed lines. Association in </w:t>
      </w:r>
      <w:r w:rsidR="00226B40">
        <w:rPr>
          <w:b/>
          <w:bCs/>
          <w:i w:val="0"/>
          <w:color w:val="000000" w:themeColor="text1"/>
          <w:lang w:val="en-US"/>
        </w:rPr>
        <w:t xml:space="preserve">h </w:t>
      </w:r>
      <w:r w:rsidR="00226B40">
        <w:rPr>
          <w:i w:val="0"/>
          <w:color w:val="000000" w:themeColor="text1"/>
          <w:lang w:val="en-US"/>
        </w:rPr>
        <w:t xml:space="preserve">and </w:t>
      </w:r>
      <w:r w:rsidR="009E42D4">
        <w:rPr>
          <w:b/>
          <w:bCs/>
          <w:i w:val="0"/>
          <w:color w:val="000000" w:themeColor="text1"/>
          <w:lang w:val="en-US"/>
        </w:rPr>
        <w:t>k</w:t>
      </w:r>
      <w:r w:rsidR="00226B40" w:rsidRPr="002D4F8A">
        <w:rPr>
          <w:i w:val="0"/>
          <w:color w:val="000000" w:themeColor="text1"/>
          <w:lang w:val="en-US"/>
        </w:rPr>
        <w:t xml:space="preserve"> </w:t>
      </w:r>
      <w:r w:rsidRPr="002D4F8A">
        <w:rPr>
          <w:i w:val="0"/>
          <w:color w:val="000000" w:themeColor="text1"/>
          <w:lang w:val="en-US"/>
        </w:rPr>
        <w:t xml:space="preserve">was analyzed by Pearson’s correlation. Data are represented as individual dots </w:t>
      </w:r>
      <w:r w:rsidR="009E42D4">
        <w:rPr>
          <w:i w:val="0"/>
          <w:color w:val="000000" w:themeColor="text1"/>
          <w:lang w:val="en-US"/>
        </w:rPr>
        <w:t xml:space="preserve">and median in </w:t>
      </w:r>
      <w:r w:rsidR="009E42D4" w:rsidRPr="00776CF5">
        <w:rPr>
          <w:b/>
          <w:bCs/>
          <w:i w:val="0"/>
          <w:color w:val="000000" w:themeColor="text1"/>
          <w:lang w:val="en-US"/>
        </w:rPr>
        <w:t>b</w:t>
      </w:r>
      <w:r w:rsidR="009E42D4">
        <w:rPr>
          <w:i w:val="0"/>
          <w:color w:val="000000" w:themeColor="text1"/>
          <w:lang w:val="en-US"/>
        </w:rPr>
        <w:t xml:space="preserve"> </w:t>
      </w:r>
      <w:r w:rsidRPr="002D4F8A">
        <w:rPr>
          <w:i w:val="0"/>
          <w:color w:val="000000" w:themeColor="text1"/>
          <w:lang w:val="en-US"/>
        </w:rPr>
        <w:t>and m</w:t>
      </w:r>
      <w:r w:rsidR="00DC0507">
        <w:rPr>
          <w:i w:val="0"/>
          <w:color w:val="000000" w:themeColor="text1"/>
          <w:lang w:val="en-US"/>
        </w:rPr>
        <w:t>edian</w:t>
      </w:r>
      <w:r w:rsidRPr="002D4F8A">
        <w:rPr>
          <w:i w:val="0"/>
          <w:color w:val="000000" w:themeColor="text1"/>
          <w:lang w:val="en-US"/>
        </w:rPr>
        <w:t xml:space="preserve"> ± </w:t>
      </w:r>
      <w:r w:rsidR="00DC0507">
        <w:rPr>
          <w:i w:val="0"/>
          <w:color w:val="000000" w:themeColor="text1"/>
          <w:lang w:val="en-US"/>
        </w:rPr>
        <w:t>IQR</w:t>
      </w:r>
      <w:r w:rsidRPr="002D4F8A">
        <w:rPr>
          <w:i w:val="0"/>
          <w:color w:val="000000" w:themeColor="text1"/>
          <w:lang w:val="en-US"/>
        </w:rPr>
        <w:t xml:space="preserve"> in </w:t>
      </w:r>
      <w:r w:rsidR="009E42D4">
        <w:rPr>
          <w:b/>
          <w:bCs/>
          <w:i w:val="0"/>
          <w:color w:val="000000" w:themeColor="text1"/>
          <w:lang w:val="en-US"/>
        </w:rPr>
        <w:t xml:space="preserve">c, f, g </w:t>
      </w:r>
      <w:r w:rsidR="009E42D4">
        <w:rPr>
          <w:i w:val="0"/>
          <w:color w:val="000000" w:themeColor="text1"/>
          <w:lang w:val="en-US"/>
        </w:rPr>
        <w:t xml:space="preserve">and </w:t>
      </w:r>
      <w:r w:rsidR="009E42D4" w:rsidRPr="00776CF5">
        <w:rPr>
          <w:b/>
          <w:bCs/>
          <w:i w:val="0"/>
          <w:color w:val="000000" w:themeColor="text1"/>
          <w:lang w:val="en-US"/>
        </w:rPr>
        <w:t>j</w:t>
      </w:r>
      <w:r w:rsidRPr="002D4F8A">
        <w:rPr>
          <w:i w:val="0"/>
          <w:color w:val="000000" w:themeColor="text1"/>
          <w:lang w:val="en-US"/>
        </w:rPr>
        <w:t>.</w:t>
      </w:r>
      <w:r w:rsidR="009E42D4">
        <w:rPr>
          <w:i w:val="0"/>
          <w:color w:val="000000" w:themeColor="text1"/>
          <w:lang w:val="en-US"/>
        </w:rPr>
        <w:t xml:space="preserve"> </w:t>
      </w:r>
      <w:r w:rsidR="009E42D4" w:rsidRPr="00776CF5">
        <w:rPr>
          <w:b/>
          <w:bCs/>
          <w:i w:val="0"/>
          <w:color w:val="000000" w:themeColor="text1"/>
          <w:lang w:val="en-US"/>
        </w:rPr>
        <w:t>g</w:t>
      </w:r>
      <w:r w:rsidR="009E42D4">
        <w:rPr>
          <w:i w:val="0"/>
          <w:color w:val="000000" w:themeColor="text1"/>
          <w:lang w:val="en-US"/>
        </w:rPr>
        <w:t xml:space="preserve"> and </w:t>
      </w:r>
      <w:r w:rsidR="009E42D4" w:rsidRPr="00776CF5">
        <w:rPr>
          <w:b/>
          <w:i w:val="0"/>
          <w:color w:val="000000" w:themeColor="text1"/>
          <w:lang w:val="en-US"/>
        </w:rPr>
        <w:t>j</w:t>
      </w:r>
      <w:r w:rsidR="009E42D4">
        <w:rPr>
          <w:i w:val="0"/>
          <w:color w:val="000000" w:themeColor="text1"/>
          <w:lang w:val="en-US"/>
        </w:rPr>
        <w:t xml:space="preserve"> right panes show </w:t>
      </w:r>
      <w:r w:rsidR="009E42D4" w:rsidRPr="00776CF5">
        <w:rPr>
          <w:i w:val="0"/>
          <w:iCs w:val="0"/>
          <w:color w:val="000000" w:themeColor="text1"/>
          <w:lang w:val="en-US"/>
        </w:rPr>
        <w:t>Box-and-whiskers (10</w:t>
      </w:r>
      <w:r w:rsidR="009E42D4" w:rsidRPr="00776CF5">
        <w:rPr>
          <w:i w:val="0"/>
          <w:iCs w:val="0"/>
          <w:color w:val="000000" w:themeColor="text1"/>
          <w:vertAlign w:val="superscript"/>
          <w:lang w:val="en-US"/>
        </w:rPr>
        <w:t>th</w:t>
      </w:r>
      <w:r w:rsidR="009E42D4" w:rsidRPr="00776CF5">
        <w:rPr>
          <w:i w:val="0"/>
          <w:iCs w:val="0"/>
          <w:color w:val="000000" w:themeColor="text1"/>
          <w:lang w:val="en-US"/>
        </w:rPr>
        <w:t>-90</w:t>
      </w:r>
      <w:r w:rsidR="009E42D4" w:rsidRPr="00776CF5">
        <w:rPr>
          <w:i w:val="0"/>
          <w:iCs w:val="0"/>
          <w:color w:val="000000" w:themeColor="text1"/>
          <w:vertAlign w:val="superscript"/>
          <w:lang w:val="en-US"/>
        </w:rPr>
        <w:t>th</w:t>
      </w:r>
      <w:r w:rsidR="009E42D4" w:rsidRPr="00776CF5">
        <w:rPr>
          <w:i w:val="0"/>
          <w:iCs w:val="0"/>
          <w:color w:val="000000" w:themeColor="text1"/>
          <w:lang w:val="en-US"/>
        </w:rPr>
        <w:t xml:space="preserve"> percentile)</w:t>
      </w:r>
      <w:r w:rsidR="009E42D4">
        <w:rPr>
          <w:i w:val="0"/>
          <w:iCs w:val="0"/>
          <w:color w:val="000000" w:themeColor="text1"/>
          <w:lang w:val="en-US"/>
        </w:rPr>
        <w:t>.</w:t>
      </w:r>
      <w:r w:rsidR="00891318">
        <w:rPr>
          <w:i w:val="0"/>
          <w:iCs w:val="0"/>
          <w:color w:val="000000" w:themeColor="text1"/>
          <w:lang w:val="en-US"/>
        </w:rPr>
        <w:t xml:space="preserve"> HPF = high power field.</w:t>
      </w:r>
    </w:p>
    <w:p w14:paraId="6CBC5A4B" w14:textId="2F28650D" w:rsidR="000A06C9" w:rsidRPr="00077004" w:rsidRDefault="000A06C9" w:rsidP="00077004">
      <w:pPr>
        <w:spacing w:after="120" w:line="480" w:lineRule="auto"/>
        <w:jc w:val="both"/>
        <w:rPr>
          <w:b/>
          <w:bCs/>
          <w:color w:val="000000" w:themeColor="text1"/>
          <w:lang w:val="en-US"/>
        </w:rPr>
      </w:pPr>
      <w:r w:rsidRPr="00077004">
        <w:rPr>
          <w:b/>
          <w:bCs/>
          <w:color w:val="000000" w:themeColor="text1"/>
          <w:u w:val="single"/>
          <w:lang w:val="en-US"/>
        </w:rPr>
        <w:br w:type="page"/>
      </w:r>
    </w:p>
    <w:p w14:paraId="3039847B" w14:textId="77777777" w:rsidR="00CE2959" w:rsidRPr="00BA6F83" w:rsidRDefault="00CE2959" w:rsidP="00CE2959">
      <w:pPr>
        <w:widowControl w:val="0"/>
        <w:autoSpaceDE w:val="0"/>
        <w:autoSpaceDN w:val="0"/>
        <w:adjustRightInd w:val="0"/>
        <w:spacing w:after="120" w:line="240" w:lineRule="auto"/>
        <w:ind w:left="640" w:hanging="640"/>
        <w:rPr>
          <w:b/>
          <w:color w:val="000000" w:themeColor="text1"/>
          <w:u w:val="single"/>
          <w:lang w:val="en-US"/>
        </w:rPr>
      </w:pPr>
      <w:bookmarkStart w:id="14" w:name="OLE_LINK6"/>
      <w:r w:rsidRPr="00BA6F83">
        <w:rPr>
          <w:b/>
          <w:color w:val="000000" w:themeColor="text1"/>
          <w:u w:val="single"/>
          <w:lang w:val="en-US"/>
        </w:rPr>
        <w:lastRenderedPageBreak/>
        <w:t>METHODS</w:t>
      </w:r>
    </w:p>
    <w:p w14:paraId="299C41C5" w14:textId="77777777" w:rsidR="00CE2959" w:rsidRPr="00BA6F83" w:rsidRDefault="00CE2959" w:rsidP="00CE2959">
      <w:pPr>
        <w:spacing w:after="120" w:line="360" w:lineRule="auto"/>
        <w:jc w:val="both"/>
        <w:outlineLvl w:val="0"/>
        <w:rPr>
          <w:rFonts w:asciiTheme="minorHAnsi" w:hAnsiTheme="minorHAnsi" w:cs="Arial"/>
          <w:color w:val="000000" w:themeColor="text1"/>
          <w:u w:val="single"/>
          <w:lang w:val="en-US"/>
        </w:rPr>
      </w:pPr>
      <w:r w:rsidRPr="00BA6F83">
        <w:rPr>
          <w:rFonts w:asciiTheme="minorHAnsi" w:hAnsiTheme="minorHAnsi" w:cs="Arial"/>
          <w:color w:val="000000" w:themeColor="text1"/>
          <w:u w:val="single"/>
          <w:lang w:val="en-US"/>
        </w:rPr>
        <w:t>Contact for Reagent and Resource Sharing</w:t>
      </w:r>
    </w:p>
    <w:p w14:paraId="6A93E94C" w14:textId="77777777" w:rsidR="00CE2959" w:rsidRPr="00BA6F83" w:rsidRDefault="00CE2959" w:rsidP="00CE2959">
      <w:pPr>
        <w:spacing w:after="120" w:line="360" w:lineRule="auto"/>
        <w:jc w:val="both"/>
        <w:rPr>
          <w:rFonts w:asciiTheme="minorHAnsi" w:hAnsiTheme="minorHAnsi" w:cs="Arial"/>
          <w:color w:val="000000" w:themeColor="text1"/>
          <w:lang w:val="en-US"/>
        </w:rPr>
      </w:pPr>
      <w:r w:rsidRPr="00BA6F83">
        <w:rPr>
          <w:rFonts w:asciiTheme="minorHAnsi" w:hAnsiTheme="minorHAnsi" w:cs="Arial"/>
          <w:color w:val="000000" w:themeColor="text1"/>
          <w:lang w:val="en-US"/>
        </w:rPr>
        <w:t xml:space="preserve">Further information and requests for resources and reagents should be directed to and will be fulfilled by the Corresponding Author, Guy </w:t>
      </w:r>
      <w:r w:rsidRPr="00BA6F83">
        <w:rPr>
          <w:rFonts w:asciiTheme="minorHAnsi" w:hAnsiTheme="minorHAnsi"/>
          <w:color w:val="000000" w:themeColor="text1"/>
          <w:lang w:val="en-US"/>
        </w:rPr>
        <w:t>Boeckxstaens</w:t>
      </w:r>
      <w:r w:rsidRPr="00BA6F83">
        <w:rPr>
          <w:rFonts w:asciiTheme="minorHAnsi" w:hAnsiTheme="minorHAnsi" w:cs="Arial"/>
          <w:color w:val="000000" w:themeColor="text1"/>
          <w:lang w:val="en-US"/>
        </w:rPr>
        <w:t xml:space="preserve"> (guy.boeckxstaens@kuleuven.be).</w:t>
      </w:r>
    </w:p>
    <w:p w14:paraId="4769F46E" w14:textId="77777777" w:rsidR="00CE2959" w:rsidRPr="00BA6F83" w:rsidRDefault="00CE2959" w:rsidP="00CE2959">
      <w:pPr>
        <w:spacing w:after="120" w:line="480" w:lineRule="auto"/>
        <w:jc w:val="both"/>
        <w:rPr>
          <w:i/>
          <w:color w:val="000000" w:themeColor="text1"/>
          <w:lang w:val="en-US"/>
        </w:rPr>
      </w:pPr>
    </w:p>
    <w:p w14:paraId="46D30869" w14:textId="77777777" w:rsidR="00CE2959" w:rsidRPr="00BA6F83" w:rsidRDefault="00CE2959" w:rsidP="00CE2959">
      <w:pPr>
        <w:spacing w:after="120" w:line="360" w:lineRule="auto"/>
        <w:jc w:val="both"/>
        <w:outlineLvl w:val="0"/>
        <w:rPr>
          <w:rFonts w:asciiTheme="minorHAnsi" w:hAnsiTheme="minorHAnsi" w:cs="Arial"/>
          <w:color w:val="000000" w:themeColor="text1"/>
          <w:u w:val="single"/>
          <w:lang w:val="en-US"/>
        </w:rPr>
      </w:pPr>
      <w:r w:rsidRPr="00BA6F83">
        <w:rPr>
          <w:rFonts w:asciiTheme="minorHAnsi" w:hAnsiTheme="minorHAnsi" w:cs="Arial"/>
          <w:color w:val="000000" w:themeColor="text1"/>
          <w:u w:val="single"/>
          <w:lang w:val="en-US"/>
        </w:rPr>
        <w:t>Experimental Model and Subject Details</w:t>
      </w:r>
    </w:p>
    <w:p w14:paraId="28F685ED"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Study patients:</w:t>
      </w:r>
    </w:p>
    <w:p w14:paraId="147CB083" w14:textId="77777777" w:rsidR="00CE2959" w:rsidRPr="00BA6F83" w:rsidRDefault="00CE2959" w:rsidP="00CE2959">
      <w:pPr>
        <w:spacing w:after="120" w:line="480" w:lineRule="auto"/>
        <w:jc w:val="both"/>
        <w:rPr>
          <w:color w:val="000000" w:themeColor="text1"/>
          <w:lang w:val="en-US"/>
        </w:rPr>
      </w:pPr>
      <w:r w:rsidRPr="00BA6F83">
        <w:rPr>
          <w:color w:val="000000" w:themeColor="text1"/>
          <w:lang w:val="en-US"/>
        </w:rPr>
        <w:t>All experiments involving humans and human material were approved by the Medical Ethics Committee of the University Hospitals of Leuven and all patients provided informed consent (reference approval numbers: S51973, S55484 and S55485).</w:t>
      </w:r>
    </w:p>
    <w:p w14:paraId="0E8C5C26" w14:textId="4DD2D3CB" w:rsidR="00CE2959" w:rsidRDefault="00CE2959" w:rsidP="00CE2959">
      <w:pPr>
        <w:spacing w:after="120" w:line="480" w:lineRule="auto"/>
        <w:jc w:val="both"/>
        <w:rPr>
          <w:color w:val="000000" w:themeColor="text1"/>
          <w:lang w:val="en-US"/>
        </w:rPr>
      </w:pPr>
      <w:r w:rsidRPr="00BA6F83">
        <w:rPr>
          <w:color w:val="000000" w:themeColor="text1"/>
          <w:lang w:val="en-US"/>
        </w:rPr>
        <w:t xml:space="preserve">Food antigen injection: Eight healthy volunteers (HV, 8 female, 50 years, IQR [32-54]) free of abdominal symptoms, with no history of gastrointestinal disease, no previous gastrointestinal surgery or taking gastrointestinal medication, were recruited by public advertisement. </w:t>
      </w:r>
      <w:r w:rsidR="00C812E2">
        <w:rPr>
          <w:color w:val="000000" w:themeColor="text1"/>
          <w:lang w:val="en-US"/>
        </w:rPr>
        <w:t>Twelve</w:t>
      </w:r>
      <w:r w:rsidRPr="00BA6F83">
        <w:rPr>
          <w:color w:val="000000" w:themeColor="text1"/>
          <w:lang w:val="en-US"/>
        </w:rPr>
        <w:t xml:space="preserve"> IBS patients meeting the ROME III criteria (8 female</w:t>
      </w:r>
      <w:r w:rsidR="007B05E6">
        <w:rPr>
          <w:color w:val="000000" w:themeColor="text1"/>
          <w:lang w:val="en-US"/>
        </w:rPr>
        <w:t>s</w:t>
      </w:r>
      <w:r w:rsidRPr="00BA6F83">
        <w:rPr>
          <w:color w:val="000000" w:themeColor="text1"/>
          <w:lang w:val="en-US"/>
        </w:rPr>
        <w:t xml:space="preserve">, </w:t>
      </w:r>
      <w:r w:rsidR="00424632" w:rsidRPr="00BA6F83">
        <w:rPr>
          <w:color w:val="000000" w:themeColor="text1"/>
          <w:lang w:val="en-US"/>
        </w:rPr>
        <w:t>2</w:t>
      </w:r>
      <w:r w:rsidR="00424632">
        <w:rPr>
          <w:color w:val="000000" w:themeColor="text1"/>
          <w:lang w:val="en-US"/>
        </w:rPr>
        <w:t>9</w:t>
      </w:r>
      <w:r w:rsidR="00424632" w:rsidRPr="00BA6F83">
        <w:rPr>
          <w:color w:val="000000" w:themeColor="text1"/>
          <w:lang w:val="en-US"/>
        </w:rPr>
        <w:t xml:space="preserve"> </w:t>
      </w:r>
      <w:r w:rsidRPr="00BA6F83">
        <w:rPr>
          <w:color w:val="000000" w:themeColor="text1"/>
          <w:lang w:val="en-US"/>
        </w:rPr>
        <w:t xml:space="preserve">years, IQR [21-39]) were recruited from the outpatient clinic of the University Hospitals Leuven. Allergy to soy, wheat, gluten and milk was excluded in all participants (anamnesis, skin-prick test and total </w:t>
      </w:r>
      <w:proofErr w:type="spellStart"/>
      <w:r w:rsidRPr="00BA6F83">
        <w:rPr>
          <w:color w:val="000000" w:themeColor="text1"/>
          <w:lang w:val="en-US"/>
        </w:rPr>
        <w:t>IgE</w:t>
      </w:r>
      <w:proofErr w:type="spellEnd"/>
      <w:r w:rsidRPr="00BA6F83">
        <w:rPr>
          <w:color w:val="000000" w:themeColor="text1"/>
          <w:lang w:val="en-US"/>
        </w:rPr>
        <w:t xml:space="preserve">, tryptase and antigen-specific </w:t>
      </w:r>
      <w:proofErr w:type="spellStart"/>
      <w:r w:rsidRPr="00BA6F83">
        <w:rPr>
          <w:color w:val="000000" w:themeColor="text1"/>
          <w:lang w:val="en-US"/>
        </w:rPr>
        <w:t>IgE</w:t>
      </w:r>
      <w:proofErr w:type="spellEnd"/>
      <w:r w:rsidRPr="00BA6F83">
        <w:rPr>
          <w:color w:val="000000" w:themeColor="text1"/>
          <w:lang w:val="en-US"/>
        </w:rPr>
        <w:t xml:space="preserve"> in serum performed by a trained </w:t>
      </w:r>
      <w:proofErr w:type="spellStart"/>
      <w:r w:rsidRPr="00BA6F83">
        <w:rPr>
          <w:color w:val="000000" w:themeColor="text1"/>
          <w:lang w:val="en-US"/>
        </w:rPr>
        <w:t>allergologist</w:t>
      </w:r>
      <w:proofErr w:type="spellEnd"/>
      <w:r w:rsidRPr="00BA6F83">
        <w:rPr>
          <w:color w:val="000000" w:themeColor="text1"/>
          <w:lang w:val="en-US"/>
        </w:rPr>
        <w:t>).</w:t>
      </w:r>
    </w:p>
    <w:p w14:paraId="643403B2" w14:textId="64098421" w:rsidR="007B05E6" w:rsidRPr="00BA6F83" w:rsidRDefault="007B05E6" w:rsidP="007B05E6">
      <w:pPr>
        <w:spacing w:after="120" w:line="480" w:lineRule="auto"/>
        <w:jc w:val="both"/>
        <w:rPr>
          <w:color w:val="000000" w:themeColor="text1"/>
          <w:lang w:val="en-US"/>
        </w:rPr>
      </w:pPr>
      <w:r>
        <w:rPr>
          <w:color w:val="000000" w:themeColor="text1"/>
          <w:lang w:val="en-US"/>
        </w:rPr>
        <w:t>Trypsin-like-activity: 1</w:t>
      </w:r>
      <w:r w:rsidR="00F6416E">
        <w:rPr>
          <w:color w:val="000000" w:themeColor="text1"/>
          <w:lang w:val="en-US"/>
        </w:rPr>
        <w:t>3</w:t>
      </w:r>
      <w:r w:rsidRPr="00BA6F83">
        <w:rPr>
          <w:color w:val="000000" w:themeColor="text1"/>
          <w:lang w:val="en-US"/>
        </w:rPr>
        <w:t xml:space="preserve"> HV (</w:t>
      </w:r>
      <w:r w:rsidR="00691162">
        <w:rPr>
          <w:color w:val="000000" w:themeColor="text1"/>
          <w:lang w:val="en-US"/>
        </w:rPr>
        <w:t>10</w:t>
      </w:r>
      <w:r w:rsidRPr="00BA6F83">
        <w:rPr>
          <w:color w:val="000000" w:themeColor="text1"/>
          <w:lang w:val="en-US"/>
        </w:rPr>
        <w:t xml:space="preserve"> females, </w:t>
      </w:r>
      <w:r w:rsidR="00691162">
        <w:rPr>
          <w:color w:val="000000" w:themeColor="text1"/>
          <w:lang w:val="en-US"/>
        </w:rPr>
        <w:t>29</w:t>
      </w:r>
      <w:r w:rsidRPr="00BA6F83">
        <w:rPr>
          <w:color w:val="000000" w:themeColor="text1"/>
          <w:lang w:val="en-US"/>
        </w:rPr>
        <w:t xml:space="preserve"> years IQR [</w:t>
      </w:r>
      <w:r w:rsidR="00691162">
        <w:rPr>
          <w:color w:val="000000" w:themeColor="text1"/>
          <w:lang w:val="en-US"/>
        </w:rPr>
        <w:t>23-47</w:t>
      </w:r>
      <w:r w:rsidRPr="00BA6F83">
        <w:rPr>
          <w:color w:val="000000" w:themeColor="text1"/>
          <w:lang w:val="en-US"/>
        </w:rPr>
        <w:t xml:space="preserve">]) were recruited by public advertisement and were free of abdominal symptoms, had no gastrointestinal disease or surgery and were not on gastrointestinal medication. </w:t>
      </w:r>
      <w:r>
        <w:rPr>
          <w:color w:val="000000" w:themeColor="text1"/>
          <w:lang w:val="en-US"/>
        </w:rPr>
        <w:t>4</w:t>
      </w:r>
      <w:r w:rsidR="00F6416E">
        <w:rPr>
          <w:color w:val="000000" w:themeColor="text1"/>
          <w:lang w:val="en-US"/>
        </w:rPr>
        <w:t>8</w:t>
      </w:r>
      <w:r w:rsidRPr="00BA6F83">
        <w:rPr>
          <w:color w:val="000000" w:themeColor="text1"/>
          <w:lang w:val="en-US"/>
        </w:rPr>
        <w:t xml:space="preserve"> IBS patients meeting the ROME III criteria (</w:t>
      </w:r>
      <w:r w:rsidR="00691162">
        <w:rPr>
          <w:color w:val="000000" w:themeColor="text1"/>
          <w:lang w:val="en-US"/>
        </w:rPr>
        <w:t>33</w:t>
      </w:r>
      <w:r w:rsidRPr="00BA6F83">
        <w:rPr>
          <w:color w:val="000000" w:themeColor="text1"/>
          <w:lang w:val="en-US"/>
        </w:rPr>
        <w:t xml:space="preserve"> females,</w:t>
      </w:r>
      <w:r w:rsidR="00691162">
        <w:rPr>
          <w:color w:val="000000" w:themeColor="text1"/>
          <w:lang w:val="en-US"/>
        </w:rPr>
        <w:t xml:space="preserve"> 31</w:t>
      </w:r>
      <w:r w:rsidRPr="00BA6F83">
        <w:rPr>
          <w:color w:val="000000" w:themeColor="text1"/>
          <w:lang w:val="en-US"/>
        </w:rPr>
        <w:t xml:space="preserve"> years IQR [</w:t>
      </w:r>
      <w:r w:rsidR="00691162">
        <w:rPr>
          <w:color w:val="000000" w:themeColor="text1"/>
          <w:lang w:val="en-US"/>
        </w:rPr>
        <w:t>19-40</w:t>
      </w:r>
      <w:r w:rsidRPr="00BA6F83">
        <w:rPr>
          <w:color w:val="000000" w:themeColor="text1"/>
          <w:lang w:val="en-US"/>
        </w:rPr>
        <w:t>]) were recruited from the outpatient clinic of the University Hospitals Leuven.</w:t>
      </w:r>
    </w:p>
    <w:p w14:paraId="44529747" w14:textId="3A7EAD63" w:rsidR="007B05E6" w:rsidRPr="00BA6F83" w:rsidRDefault="007B05E6" w:rsidP="00CE2959">
      <w:pPr>
        <w:spacing w:after="120" w:line="480" w:lineRule="auto"/>
        <w:jc w:val="both"/>
        <w:rPr>
          <w:color w:val="000000" w:themeColor="text1"/>
          <w:lang w:val="en-US"/>
        </w:rPr>
      </w:pPr>
    </w:p>
    <w:p w14:paraId="39B7C704" w14:textId="77777777" w:rsidR="00CE2959" w:rsidRPr="00BA6F83" w:rsidRDefault="00CE2959" w:rsidP="00CE2959">
      <w:pPr>
        <w:spacing w:after="120" w:line="480" w:lineRule="auto"/>
        <w:jc w:val="both"/>
        <w:rPr>
          <w:color w:val="000000" w:themeColor="text1"/>
          <w:lang w:val="en-US"/>
        </w:rPr>
      </w:pPr>
      <w:r w:rsidRPr="00BA6F83">
        <w:rPr>
          <w:color w:val="000000" w:themeColor="text1"/>
          <w:lang w:val="en-US"/>
        </w:rPr>
        <w:lastRenderedPageBreak/>
        <w:t>Bacterial identification in fecal samples: 64 HV (35 females, 49 years IQR [32-58]) were recruited by public advertisement and were free of abdominal symptoms, had no gastrointestinal disease or surgery and were not on gastrointestinal medication. 84 IBS patients meeting the ROME III criteria (66 females, 38 years IQR [25-50]) were recruited from the outpatient clinic of the University Hospitals Leuven.</w:t>
      </w:r>
    </w:p>
    <w:p w14:paraId="5A5ABA8B" w14:textId="082968D5" w:rsidR="00CE2959" w:rsidRPr="00BA6F83" w:rsidRDefault="00CE2959" w:rsidP="00CE2959">
      <w:pPr>
        <w:spacing w:after="120" w:line="480" w:lineRule="auto"/>
        <w:jc w:val="both"/>
        <w:rPr>
          <w:color w:val="000000" w:themeColor="text1"/>
          <w:lang w:val="en-US"/>
        </w:rPr>
      </w:pPr>
      <w:r w:rsidRPr="00BA6F83">
        <w:rPr>
          <w:color w:val="000000" w:themeColor="text1"/>
          <w:lang w:val="en-US"/>
        </w:rPr>
        <w:t>Biopsy collection for immunofluorescence staining:</w:t>
      </w:r>
      <w:r w:rsidRPr="00BA6F83">
        <w:rPr>
          <w:i/>
          <w:color w:val="000000" w:themeColor="text1"/>
          <w:lang w:val="en-US"/>
        </w:rPr>
        <w:t xml:space="preserve"> </w:t>
      </w:r>
      <w:r w:rsidR="00F6416E">
        <w:rPr>
          <w:color w:val="000000" w:themeColor="text1"/>
          <w:lang w:val="en-US"/>
        </w:rPr>
        <w:t>15</w:t>
      </w:r>
      <w:r w:rsidR="00CA4503">
        <w:rPr>
          <w:color w:val="000000" w:themeColor="text1"/>
          <w:lang w:val="en-US"/>
        </w:rPr>
        <w:t xml:space="preserve"> </w:t>
      </w:r>
      <w:r w:rsidRPr="00BA6F83">
        <w:rPr>
          <w:color w:val="000000" w:themeColor="text1"/>
          <w:lang w:val="en-US"/>
        </w:rPr>
        <w:t>HV (</w:t>
      </w:r>
      <w:r w:rsidR="00CA4503">
        <w:rPr>
          <w:color w:val="000000" w:themeColor="text1"/>
          <w:lang w:val="en-US"/>
        </w:rPr>
        <w:t>13</w:t>
      </w:r>
      <w:r w:rsidRPr="00BA6F83">
        <w:rPr>
          <w:color w:val="000000" w:themeColor="text1"/>
          <w:lang w:val="en-US"/>
        </w:rPr>
        <w:t xml:space="preserve"> females, </w:t>
      </w:r>
      <w:r w:rsidR="00CA4503">
        <w:rPr>
          <w:color w:val="000000" w:themeColor="text1"/>
          <w:lang w:val="en-US"/>
        </w:rPr>
        <w:t>41</w:t>
      </w:r>
      <w:r w:rsidRPr="00BA6F83">
        <w:rPr>
          <w:color w:val="000000" w:themeColor="text1"/>
          <w:lang w:val="en-US"/>
        </w:rPr>
        <w:t xml:space="preserve"> years IQR [</w:t>
      </w:r>
      <w:r w:rsidR="00CA4503">
        <w:rPr>
          <w:color w:val="000000" w:themeColor="text1"/>
          <w:lang w:val="en-US"/>
        </w:rPr>
        <w:t>32</w:t>
      </w:r>
      <w:r w:rsidRPr="00BA6F83">
        <w:rPr>
          <w:color w:val="000000" w:themeColor="text1"/>
          <w:lang w:val="en-US"/>
        </w:rPr>
        <w:t>-</w:t>
      </w:r>
      <w:r w:rsidR="00CA4503">
        <w:rPr>
          <w:color w:val="000000" w:themeColor="text1"/>
          <w:lang w:val="en-US"/>
        </w:rPr>
        <w:t>52</w:t>
      </w:r>
      <w:r w:rsidRPr="00BA6F83">
        <w:rPr>
          <w:color w:val="000000" w:themeColor="text1"/>
          <w:lang w:val="en-US"/>
        </w:rPr>
        <w:t>]) were recruited by public advertisement and were free of abdominal symptoms, had no gastrointestinal disease or surgery and were not on gastrointestinal medication. 22 IBS patients meeting the ROME III criteria (20 females, 31 years IQR [27-43]) were recruited from the outpatient clinic of the University Hospitals Leuven. All participants were invited to report their gastro-intestinal symptoms by means of an adapted version of the visual analogue scale (VAS) for IBS</w:t>
      </w:r>
      <w:r w:rsidRPr="00BA6F83">
        <w:rPr>
          <w:color w:val="000000" w:themeColor="text1"/>
          <w:lang w:val="en-US"/>
        </w:rPr>
        <w:fldChar w:fldCharType="begin" w:fldLock="1"/>
      </w:r>
      <w:r w:rsidR="00756206">
        <w:rPr>
          <w:color w:val="000000" w:themeColor="text1"/>
          <w:lang w:val="en-US"/>
        </w:rPr>
        <w:instrText>ADDIN CSL_CITATION {"citationItems":[{"id":"ITEM-1","itemData":{"DOI":"10.1097/SGA.0b013e3182945881","ISSN":"1042895X","PMID":"23732784","abstract":"The Visual Analogue Scale for Irritable Bowel Syndrome (VAS-IBS), a self-rating questionnaire, was designed to measure symptoms and the effect of treatment in patients suffering from irritable bowel syndrome. The aim of this descriptive correlational study was to conduct further psychometric validation after the VAS-IBS had been used in clinical practice, translate it into English, and compare the results with controls. Forty-nine patients with irritable bowel syndrome (median age = 38 years old [range, 18-69 years]) were compared with 90 healthy persons (median age = 44 years old [range, 21-77 years]) who served as controls. The patients with irritable bowel syndrome completed 3 questionnaires: the VAS-IBS, the Gastrointestinal Symptom Rating Scale, and the Perception of Change of Symptoms. Controls completed only the VAS-IBS. Results showed that the VAS-IBS is a valid questionnaire that measures the degree of change of symptoms and discriminates between patients who have irritable bowel syndrome from those who do not. It is important to compare the VAS-IBS among different cultural populations so we suggest that the English version of the VAS-IBS should now be used in English-speaking countries and be further tested for validity and reliability with English-speaking patients.","author":[{"dropping-particle":"","family":"Bengtsson","given":"Mariette","non-dropping-particle":"","parse-names":false,"suffix":""},{"dropping-particle":"","family":"Persson","given":"Jesper","non-dropping-particle":"","parse-names":false,"suffix":""},{"dropping-particle":"","family":"Sjölund","given":"Kristina","non-dropping-particle":"","parse-names":false,"suffix":""},{"dropping-particle":"","family":"Ohlsson","given":"Bodil","non-dropping-particle":"","parse-names":false,"suffix":""}],"container-title":"Gastroenterology Nursing","id":"ITEM-1","issue":"3","issued":{"date-parts":[["2013"]]},"page":"188-98","title":"Further validation of the visual analogue scale for irritable bowel syndrome after use in clinical practice","type":"article-journal","volume":"36"},"uris":["http://www.mendeley.com/documents/?uuid=e436a199-cf72-44d5-93f6-b5cde5534946"]}],"mendeley":{"formattedCitation":"&lt;sup&gt;68&lt;/sup&gt;","plainTextFormattedCitation":"68","previouslyFormattedCitation":"&lt;sup&gt;67&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68</w:t>
      </w:r>
      <w:r w:rsidRPr="00BA6F83">
        <w:rPr>
          <w:color w:val="000000" w:themeColor="text1"/>
          <w:lang w:val="en-US"/>
        </w:rPr>
        <w:fldChar w:fldCharType="end"/>
      </w:r>
      <w:r w:rsidRPr="00BA6F83">
        <w:rPr>
          <w:color w:val="000000" w:themeColor="text1"/>
          <w:lang w:val="en-US"/>
        </w:rPr>
        <w:t>, assessing the intensity of their last episode of abdominal pain, abdominal discomfort and bloating (scored from 0 to 10).</w:t>
      </w:r>
    </w:p>
    <w:p w14:paraId="65B35B62" w14:textId="77777777" w:rsidR="00CE2959" w:rsidRPr="00BA6F83" w:rsidRDefault="00CE2959" w:rsidP="00CE2959">
      <w:pPr>
        <w:spacing w:after="120" w:line="480" w:lineRule="auto"/>
        <w:jc w:val="both"/>
        <w:rPr>
          <w:i/>
          <w:color w:val="000000" w:themeColor="text1"/>
          <w:lang w:val="en-US"/>
        </w:rPr>
      </w:pPr>
    </w:p>
    <w:p w14:paraId="2CC5A63B"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Mice:</w:t>
      </w:r>
    </w:p>
    <w:p w14:paraId="3586E0ED" w14:textId="437C9C21" w:rsidR="00CE2959" w:rsidRPr="00BA6F83" w:rsidRDefault="00CE2959" w:rsidP="00CE2959">
      <w:pPr>
        <w:spacing w:after="120" w:line="480" w:lineRule="auto"/>
        <w:jc w:val="both"/>
        <w:rPr>
          <w:color w:val="000000" w:themeColor="text1"/>
          <w:lang w:val="en-US"/>
        </w:rPr>
      </w:pPr>
      <w:r w:rsidRPr="00BA6F83">
        <w:rPr>
          <w:color w:val="000000" w:themeColor="text1"/>
          <w:lang w:val="en-US"/>
        </w:rPr>
        <w:t xml:space="preserve">All animal experiments were performed in accordance with the European Community Council or Canadian Council of Animal Care guidelines and approved by the Animal Care and Animal Experiments Committee of the Medical Faculty of the KU Leuven or Queen's University Animal Care Committee. Six- to </w:t>
      </w:r>
      <w:r w:rsidR="00F262C4">
        <w:rPr>
          <w:color w:val="000000" w:themeColor="text1"/>
          <w:lang w:val="en-US"/>
        </w:rPr>
        <w:t>seven</w:t>
      </w:r>
      <w:r w:rsidRPr="00BA6F83">
        <w:rPr>
          <w:color w:val="000000" w:themeColor="text1"/>
          <w:lang w:val="en-US"/>
        </w:rPr>
        <w:t xml:space="preserve">-week-old wild type (WT) male BALB/c mice were purchased from Janvier. Six- to </w:t>
      </w:r>
      <w:r w:rsidR="00F262C4">
        <w:rPr>
          <w:color w:val="000000" w:themeColor="text1"/>
          <w:lang w:val="en-US"/>
        </w:rPr>
        <w:t>seven</w:t>
      </w:r>
      <w:r w:rsidRPr="00BA6F83">
        <w:rPr>
          <w:color w:val="000000" w:themeColor="text1"/>
          <w:lang w:val="en-US"/>
        </w:rPr>
        <w:t xml:space="preserve">-week-old </w:t>
      </w:r>
      <w:r w:rsidR="000647B2">
        <w:rPr>
          <w:color w:val="000000" w:themeColor="text1"/>
          <w:lang w:val="en-US"/>
        </w:rPr>
        <w:t xml:space="preserve">male </w:t>
      </w:r>
      <w:r w:rsidRPr="00BA6F83">
        <w:rPr>
          <w:i/>
          <w:color w:val="000000" w:themeColor="text1"/>
          <w:lang w:val="en-US"/>
        </w:rPr>
        <w:t>Cpa3</w:t>
      </w:r>
      <w:r w:rsidRPr="00BA6F83">
        <w:rPr>
          <w:i/>
          <w:color w:val="000000" w:themeColor="text1"/>
          <w:vertAlign w:val="superscript"/>
          <w:lang w:val="en-US"/>
        </w:rPr>
        <w:t>Cre/+</w:t>
      </w:r>
      <w:r w:rsidRPr="00BA6F83">
        <w:rPr>
          <w:color w:val="000000" w:themeColor="text1"/>
          <w:lang w:val="en-US"/>
        </w:rPr>
        <w:t xml:space="preserve"> and WT</w:t>
      </w:r>
      <w:r w:rsidR="0051664A">
        <w:rPr>
          <w:color w:val="000000" w:themeColor="text1"/>
          <w:lang w:val="en-US"/>
        </w:rPr>
        <w:t xml:space="preserve"> male</w:t>
      </w:r>
      <w:r w:rsidRPr="00BA6F83">
        <w:rPr>
          <w:color w:val="000000" w:themeColor="text1"/>
          <w:lang w:val="en-US"/>
        </w:rPr>
        <w:t xml:space="preserve"> littermates on BALB/c background, generously provided by Prof. H.R. </w:t>
      </w:r>
      <w:proofErr w:type="spellStart"/>
      <w:r w:rsidRPr="00BA6F83">
        <w:rPr>
          <w:color w:val="000000" w:themeColor="text1"/>
          <w:lang w:val="en-US"/>
        </w:rPr>
        <w:t>Rodewald</w:t>
      </w:r>
      <w:proofErr w:type="spellEnd"/>
      <w:r w:rsidRPr="00BA6F83">
        <w:rPr>
          <w:color w:val="000000" w:themeColor="text1"/>
          <w:lang w:val="en-US"/>
        </w:rPr>
        <w:t>, DKFZ, Heidelberg, Germany</w:t>
      </w:r>
      <w:r w:rsidRPr="00BA6F83">
        <w:rPr>
          <w:color w:val="000000" w:themeColor="text1"/>
          <w:lang w:val="en-US"/>
        </w:rPr>
        <w:fldChar w:fldCharType="begin" w:fldLock="1"/>
      </w:r>
      <w:r w:rsidR="00271D58">
        <w:rPr>
          <w:color w:val="000000" w:themeColor="text1"/>
          <w:lang w:val="en-US"/>
        </w:rPr>
        <w:instrText>ADDIN CSL_CITATION {"citationItems":[{"id":"ITEM-1","itemData":{"DOI":"10.1016/j.immuni.2011.09.015","ISBN":"1097-4180 (Electronic)\\n1074-7613 (Linking)","ISSN":"10747613","PMID":"22101159","abstract":"Immunological functions of mast cells remain poorly understood. Studies in Kit mutant mice suggest key roles for mast cells in certain antibody- and T cell-mediated autoimmune diseases. However, Kit mutations affect multiple cell types of both immune and nonimmune origin. Here, we show that targeted insertion of Cre-recombinase into the mast cell carboxypeptidase A3 locus deleted mast cells in connective and mucosal tissues by a genotoxic Trp53-dependent mechanism. Cre-mediated mast cell eradication (Cre-Master) mice had, with the exception of a lack of mast cells and reduced basophils, a normal immune system. Cre-Master mice were refractory to IgE-mediated anaphylaxis, and this defect was rescued by mast cell reconstitution. This mast cell-deficient strain was fully susceptible to antibody-induced autoimmune arthritis and to experimental autoimmune encephalomyelitis. Differences comparing Kit mutant mast cell deficiency models to selectively mast cell-deficient mice call for a systematic re-evaluation of immunological functions of mast cells beyond allergy. ?? 2011 Elsevier Inc.","author":[{"dropping-particle":"","family":"Feyerabend","given":"Thorsten B.","non-dropping-particle":"","parse-names":false,"suffix":""},{"dropping-particle":"","family":"Weiser","given":"Anne","non-dropping-particle":"","parse-names":false,"suffix":""},{"dropping-particle":"","family":"Tietz","given":"Annette","non-dropping-particle":"","parse-names":false,"suffix":""},{"dropping-particle":"","family":"Stassen","given":"Michael","non-dropping-particle":"","parse-names":false,"suffix":""},{"dropping-particle":"","family":"Harris","given":"Nicola","non-dropping-particle":"","parse-names":false,"suffix":""},{"dropping-particle":"","family":"Kopf","given":"Manfred","non-dropping-particle":"","parse-names":false,"suffix":""},{"dropping-particle":"","family":"Radermacher","given":"Peter","non-dropping-particle":"","parse-names":false,"suffix":""},{"dropping-particle":"","family":"Möller","given":"Peter","non-dropping-particle":"","parse-names":false,"suffix":""},{"dropping-particle":"","family":"Benoist","given":"Christophe","non-dropping-particle":"","parse-names":false,"suffix":""},{"dropping-particle":"","family":"Mathis","given":"Diane","non-dropping-particle":"","parse-names":false,"suffix":""},{"dropping-particle":"","family":"Fehling","given":"Hans Jörg","non-dropping-particle":"","parse-names":false,"suffix":""},{"dropping-particle":"","family":"Rodewald","given":"Hans Reimer","non-dropping-particle":"","parse-names":false,"suffix":""}],"container-title":"Immunity","id":"ITEM-1","issue":"5","issued":{"date-parts":[["2011"]]},"page":"832-844","title":"Cre-mediated cell ablation contests mast cell contribution in models of antibody- and T cell-mediated autoimmunity","type":"article-journal","volume":"35"},"uris":["http://www.mendeley.com/documents/?uuid=3a2c8baf-2f86-4585-ba70-fc955c7368bc"]}],"mendeley":{"formattedCitation":"&lt;sup&gt;35&lt;/sup&gt;","plainTextFormattedCitation":"35","previouslyFormattedCitation":"&lt;sup&gt;35&lt;/sup&gt;"},"properties":{"noteIndex":0},"schema":"https://github.com/citation-style-language/schema/raw/master/csl-citation.json"}</w:instrText>
      </w:r>
      <w:r w:rsidRPr="00BA6F83">
        <w:rPr>
          <w:color w:val="000000" w:themeColor="text1"/>
          <w:lang w:val="en-US"/>
        </w:rPr>
        <w:fldChar w:fldCharType="separate"/>
      </w:r>
      <w:r w:rsidR="007355CA" w:rsidRPr="007355CA">
        <w:rPr>
          <w:noProof/>
          <w:color w:val="000000" w:themeColor="text1"/>
          <w:vertAlign w:val="superscript"/>
          <w:lang w:val="en-US"/>
        </w:rPr>
        <w:t>35</w:t>
      </w:r>
      <w:r w:rsidRPr="00BA6F83">
        <w:rPr>
          <w:color w:val="000000" w:themeColor="text1"/>
          <w:lang w:val="en-US"/>
        </w:rPr>
        <w:fldChar w:fldCharType="end"/>
      </w:r>
      <w:r w:rsidRPr="00BA6F83">
        <w:rPr>
          <w:color w:val="000000" w:themeColor="text1"/>
          <w:lang w:val="en-US"/>
        </w:rPr>
        <w:t xml:space="preserve">, were used to study the role of mast cells. </w:t>
      </w:r>
      <w:r w:rsidR="00787E8A" w:rsidRPr="00BA6F83">
        <w:rPr>
          <w:color w:val="000000" w:themeColor="text1"/>
          <w:lang w:val="en-US"/>
        </w:rPr>
        <w:t xml:space="preserve">Six- to </w:t>
      </w:r>
      <w:r w:rsidR="00BB69F0">
        <w:rPr>
          <w:color w:val="000000" w:themeColor="text1"/>
          <w:lang w:val="en-US"/>
        </w:rPr>
        <w:t>t</w:t>
      </w:r>
      <w:r w:rsidR="00787E8A">
        <w:rPr>
          <w:color w:val="000000" w:themeColor="text1"/>
          <w:lang w:val="en-US"/>
        </w:rPr>
        <w:t>en</w:t>
      </w:r>
      <w:r w:rsidR="00787E8A" w:rsidRPr="00BA6F83">
        <w:rPr>
          <w:color w:val="000000" w:themeColor="text1"/>
          <w:lang w:val="en-US"/>
        </w:rPr>
        <w:t xml:space="preserve">-week-old </w:t>
      </w:r>
      <w:r w:rsidR="00984354">
        <w:rPr>
          <w:color w:val="000000" w:themeColor="text1"/>
          <w:lang w:val="en-US"/>
        </w:rPr>
        <w:t>fe</w:t>
      </w:r>
      <w:r w:rsidR="00787E8A">
        <w:rPr>
          <w:color w:val="000000" w:themeColor="text1"/>
          <w:lang w:val="en-US"/>
        </w:rPr>
        <w:t>male</w:t>
      </w:r>
      <w:r w:rsidR="00BB69F0" w:rsidRPr="00AC34A9">
        <w:rPr>
          <w:lang w:val="en-US"/>
        </w:rPr>
        <w:t xml:space="preserve"> </w:t>
      </w:r>
      <w:r w:rsidR="005D5765" w:rsidRPr="00AC34A9">
        <w:rPr>
          <w:i/>
          <w:iCs/>
          <w:lang w:val="en-US"/>
        </w:rPr>
        <w:t>Igh7</w:t>
      </w:r>
      <w:r w:rsidR="005D5765">
        <w:rPr>
          <w:i/>
          <w:color w:val="000000" w:themeColor="text1"/>
          <w:vertAlign w:val="superscript"/>
          <w:lang w:val="en-US"/>
        </w:rPr>
        <w:t>-</w:t>
      </w:r>
      <w:r w:rsidR="00787E8A" w:rsidRPr="00BA6F83">
        <w:rPr>
          <w:i/>
          <w:color w:val="000000" w:themeColor="text1"/>
          <w:vertAlign w:val="superscript"/>
          <w:lang w:val="en-US"/>
        </w:rPr>
        <w:t>/</w:t>
      </w:r>
      <w:r w:rsidR="005D5765">
        <w:rPr>
          <w:i/>
          <w:color w:val="000000" w:themeColor="text1"/>
          <w:vertAlign w:val="superscript"/>
          <w:lang w:val="en-US"/>
        </w:rPr>
        <w:t>-</w:t>
      </w:r>
      <w:r w:rsidR="00787E8A" w:rsidRPr="00BA6F83">
        <w:rPr>
          <w:color w:val="000000" w:themeColor="text1"/>
          <w:lang w:val="en-US"/>
        </w:rPr>
        <w:t xml:space="preserve"> </w:t>
      </w:r>
      <w:r w:rsidR="005D5765">
        <w:rPr>
          <w:color w:val="000000" w:themeColor="text1"/>
          <w:lang w:val="en-US"/>
        </w:rPr>
        <w:t>(</w:t>
      </w:r>
      <w:r w:rsidR="00BB69F0">
        <w:rPr>
          <w:color w:val="000000" w:themeColor="text1"/>
          <w:lang w:val="en-US"/>
        </w:rPr>
        <w:t xml:space="preserve">mice lacking </w:t>
      </w:r>
      <w:proofErr w:type="spellStart"/>
      <w:r w:rsidR="005D5765">
        <w:rPr>
          <w:color w:val="000000" w:themeColor="text1"/>
          <w:lang w:val="en-US"/>
        </w:rPr>
        <w:t>IgE</w:t>
      </w:r>
      <w:proofErr w:type="spellEnd"/>
      <w:r w:rsidR="005D5765">
        <w:rPr>
          <w:color w:val="000000" w:themeColor="text1"/>
          <w:lang w:val="en-US"/>
        </w:rPr>
        <w:t>)</w:t>
      </w:r>
      <w:r w:rsidR="00BB0D52">
        <w:rPr>
          <w:color w:val="000000" w:themeColor="text1"/>
          <w:lang w:val="en-US"/>
        </w:rPr>
        <w:fldChar w:fldCharType="begin" w:fldLock="1"/>
      </w:r>
      <w:r w:rsidR="00756206">
        <w:rPr>
          <w:color w:val="000000" w:themeColor="text1"/>
          <w:lang w:val="en-US"/>
        </w:rPr>
        <w:instrText>ADDIN CSL_CITATION {"citationItems":[{"id":"ITEM-1","itemData":{"DOI":"10.1038/370367a0","ISSN":"00280836","abstract":"The IgE-triggered release of mast cell mediators in response to antigen is thought to be the primary event in immediate hypersensitivity reactions such as systemic anaphylaxis1. Although mast cells and basophils can be activated in vitro by non-IgE stimuli2-5, it is not known whether these triggers lead to physiological changes in vivo. To investigate this possibility, we generated mice with a homozygous null mutation of the Cε gene. Such mice make no IgE, but produce other immunoglobulin isotypes normally. We report that despite the IgE deficiency, sensitized mutant mice become anaphylactic on antigen challenge and display tachycardia and pulmonary function changes similar to those seen in wild-type animals. These responses are accompanied by vascular leak, sharply elevated plasma histamine and rapid death. IgE-independent anaphylaxis does not depend on complement activation, but, as indicated in studies using genetically immunodeficient RAG-2 - SCID mice, does require a functional immune system. Such results clearly demonstrate that non-IgE pathways for hypersensitivity reactions exist in mice. © 1994 Nature Publishing Group.","author":[{"dropping-particle":"","family":"Oettgen","given":"Hans C.","non-dropping-particle":"","parse-names":false,"suffix":""},{"dropping-particle":"","family":"Martin","given":"Thomas R.","non-dropping-particle":"","parse-names":false,"suffix":""},{"dropping-particle":"","family":"Wynshaw-Boris","given":"Anthony","non-dropping-particle":"","parse-names":false,"suffix":""},{"dropping-particle":"","family":"Deng","given":"Chuxia","non-dropping-particle":"","parse-names":false,"suffix":""},{"dropping-particle":"","family":"Drazen","given":"Jeffrey M.","non-dropping-particle":"","parse-names":false,"suffix":""},{"dropping-particle":"","family":"Leder","given":"Philip","non-dropping-particle":"","parse-names":false,"suffix":""}],"container-title":"Nature","id":"ITEM-1","issue":"6588","issued":{"date-parts":[["1994"]]},"page":"367-70","title":"Active anaphylaxis in IgE-deficient mice","type":"article-journal","volume":"370"},"uris":["http://www.mendeley.com/documents/?uuid=6f5c9b29-b789-4234-b6b6-128eb53fb4a8"]}],"mendeley":{"formattedCitation":"&lt;sup&gt;69&lt;/sup&gt;","plainTextFormattedCitation":"69","previouslyFormattedCitation":"&lt;sup&gt;68&lt;/sup&gt;"},"properties":{"noteIndex":0},"schema":"https://github.com/citation-style-language/schema/raw/master/csl-citation.json"}</w:instrText>
      </w:r>
      <w:r w:rsidR="00BB0D52">
        <w:rPr>
          <w:color w:val="000000" w:themeColor="text1"/>
          <w:lang w:val="en-US"/>
        </w:rPr>
        <w:fldChar w:fldCharType="separate"/>
      </w:r>
      <w:r w:rsidR="00756206" w:rsidRPr="00756206">
        <w:rPr>
          <w:noProof/>
          <w:color w:val="000000" w:themeColor="text1"/>
          <w:vertAlign w:val="superscript"/>
          <w:lang w:val="en-US"/>
        </w:rPr>
        <w:t>69</w:t>
      </w:r>
      <w:r w:rsidR="00BB0D52">
        <w:rPr>
          <w:color w:val="000000" w:themeColor="text1"/>
          <w:lang w:val="en-US"/>
        </w:rPr>
        <w:fldChar w:fldCharType="end"/>
      </w:r>
      <w:r w:rsidR="005D5765">
        <w:rPr>
          <w:color w:val="000000" w:themeColor="text1"/>
          <w:lang w:val="en-US"/>
        </w:rPr>
        <w:t xml:space="preserve"> </w:t>
      </w:r>
      <w:r w:rsidR="00787E8A" w:rsidRPr="00BA6F83">
        <w:rPr>
          <w:color w:val="000000" w:themeColor="text1"/>
          <w:lang w:val="en-US"/>
        </w:rPr>
        <w:t xml:space="preserve">on BALB/c background, generously provided by Prof. </w:t>
      </w:r>
      <w:r w:rsidR="00787E8A">
        <w:rPr>
          <w:color w:val="000000" w:themeColor="text1"/>
          <w:lang w:val="en-US"/>
        </w:rPr>
        <w:t>J. Strid</w:t>
      </w:r>
      <w:r w:rsidR="00787E8A" w:rsidRPr="00BA6F83">
        <w:rPr>
          <w:color w:val="000000" w:themeColor="text1"/>
          <w:lang w:val="en-US"/>
        </w:rPr>
        <w:t xml:space="preserve">, DKFZ, </w:t>
      </w:r>
      <w:r w:rsidR="00787E8A" w:rsidRPr="00AC34A9">
        <w:rPr>
          <w:rFonts w:asciiTheme="minorHAnsi" w:hAnsiTheme="minorHAnsi"/>
          <w:color w:val="000000" w:themeColor="text1"/>
          <w:lang w:val="en-US"/>
        </w:rPr>
        <w:t>Imperial College London</w:t>
      </w:r>
      <w:r w:rsidR="00787E8A" w:rsidRPr="00BA6F83">
        <w:rPr>
          <w:color w:val="000000" w:themeColor="text1"/>
          <w:lang w:val="en-US"/>
        </w:rPr>
        <w:t xml:space="preserve">, were used to study the role of </w:t>
      </w:r>
      <w:proofErr w:type="spellStart"/>
      <w:r w:rsidR="00787E8A">
        <w:rPr>
          <w:color w:val="000000" w:themeColor="text1"/>
          <w:lang w:val="en-US"/>
        </w:rPr>
        <w:t>IgE</w:t>
      </w:r>
      <w:proofErr w:type="spellEnd"/>
      <w:r w:rsidR="00984354">
        <w:rPr>
          <w:color w:val="000000" w:themeColor="text1"/>
          <w:lang w:val="en-US"/>
        </w:rPr>
        <w:t xml:space="preserve">, which were compared to WT </w:t>
      </w:r>
      <w:r w:rsidR="00BB0D52">
        <w:rPr>
          <w:color w:val="000000" w:themeColor="text1"/>
          <w:lang w:val="en-US"/>
        </w:rPr>
        <w:t xml:space="preserve">female </w:t>
      </w:r>
      <w:r w:rsidR="00984354" w:rsidRPr="00BA6F83">
        <w:rPr>
          <w:color w:val="000000" w:themeColor="text1"/>
          <w:lang w:val="en-US"/>
        </w:rPr>
        <w:t>BALB/c</w:t>
      </w:r>
      <w:r w:rsidR="00984354">
        <w:rPr>
          <w:color w:val="000000" w:themeColor="text1"/>
          <w:lang w:val="en-US"/>
        </w:rPr>
        <w:t xml:space="preserve"> mice.</w:t>
      </w:r>
      <w:r w:rsidR="00787E8A">
        <w:rPr>
          <w:color w:val="000000" w:themeColor="text1"/>
          <w:lang w:val="en-US"/>
        </w:rPr>
        <w:t xml:space="preserve"> </w:t>
      </w:r>
      <w:r w:rsidRPr="00BA6F83">
        <w:rPr>
          <w:color w:val="000000" w:themeColor="text1"/>
          <w:lang w:val="en-US"/>
        </w:rPr>
        <w:t>Six- to ten-week-old</w:t>
      </w:r>
      <w:r w:rsidR="000647B2">
        <w:rPr>
          <w:color w:val="000000" w:themeColor="text1"/>
          <w:lang w:val="en-US"/>
        </w:rPr>
        <w:t xml:space="preserve"> male</w:t>
      </w:r>
      <w:r w:rsidRPr="00BA6F83">
        <w:rPr>
          <w:color w:val="000000" w:themeColor="text1"/>
          <w:lang w:val="en-US"/>
        </w:rPr>
        <w:t xml:space="preserve"> </w:t>
      </w:r>
      <w:r w:rsidRPr="00BA6F83">
        <w:rPr>
          <w:i/>
          <w:color w:val="000000" w:themeColor="text1"/>
          <w:lang w:val="en-US"/>
        </w:rPr>
        <w:t>Hrh1</w:t>
      </w:r>
      <w:r w:rsidRPr="00BA6F83">
        <w:rPr>
          <w:i/>
          <w:color w:val="000000" w:themeColor="text1"/>
          <w:vertAlign w:val="superscript"/>
          <w:lang w:val="en-US"/>
        </w:rPr>
        <w:t>-/-</w:t>
      </w:r>
      <w:r w:rsidRPr="00BA6F83">
        <w:rPr>
          <w:color w:val="000000" w:themeColor="text1"/>
          <w:lang w:val="en-US"/>
        </w:rPr>
        <w:t xml:space="preserve"> KO mice on BALB/c background (Oriental </w:t>
      </w:r>
      <w:proofErr w:type="spellStart"/>
      <w:r w:rsidRPr="00BA6F83">
        <w:rPr>
          <w:color w:val="000000" w:themeColor="text1"/>
          <w:lang w:val="en-US"/>
        </w:rPr>
        <w:t>Bioservice</w:t>
      </w:r>
      <w:proofErr w:type="spellEnd"/>
      <w:r w:rsidRPr="00BA6F83">
        <w:rPr>
          <w:color w:val="000000" w:themeColor="text1"/>
          <w:lang w:val="en-US"/>
        </w:rPr>
        <w:t xml:space="preserve">, INC, Kyoto, Japan) were used to study </w:t>
      </w:r>
      <w:r w:rsidRPr="00BA6F83">
        <w:rPr>
          <w:color w:val="000000" w:themeColor="text1"/>
          <w:lang w:val="en-US"/>
        </w:rPr>
        <w:lastRenderedPageBreak/>
        <w:t xml:space="preserve">the role of the histamine 1 receptor. Mice were maintained under a 14h/10h dark/light cycle, at a temperature of 20-22 °C, provided with food and water </w:t>
      </w:r>
      <w:r w:rsidRPr="00BA6F83">
        <w:rPr>
          <w:i/>
          <w:color w:val="000000" w:themeColor="text1"/>
          <w:lang w:val="en-US"/>
        </w:rPr>
        <w:t>ad libitum</w:t>
      </w:r>
      <w:r w:rsidRPr="00BA6F83">
        <w:rPr>
          <w:color w:val="000000" w:themeColor="text1"/>
          <w:lang w:val="en-US"/>
        </w:rPr>
        <w:t>.</w:t>
      </w:r>
    </w:p>
    <w:p w14:paraId="126FC67B" w14:textId="77777777" w:rsidR="00CE2959" w:rsidRPr="00BA6F83" w:rsidRDefault="00CE2959" w:rsidP="00CE2959">
      <w:pPr>
        <w:spacing w:after="120" w:line="360" w:lineRule="auto"/>
        <w:jc w:val="both"/>
        <w:outlineLvl w:val="0"/>
        <w:rPr>
          <w:rFonts w:asciiTheme="minorHAnsi" w:hAnsiTheme="minorHAnsi" w:cs="Arial"/>
          <w:color w:val="000000" w:themeColor="text1"/>
          <w:u w:val="single"/>
          <w:lang w:val="en-US"/>
        </w:rPr>
      </w:pPr>
    </w:p>
    <w:p w14:paraId="651E231D" w14:textId="77777777" w:rsidR="00CE2959" w:rsidRPr="00BA6F83" w:rsidRDefault="00CE2959" w:rsidP="00CE2959">
      <w:pPr>
        <w:spacing w:after="120" w:line="360" w:lineRule="auto"/>
        <w:jc w:val="both"/>
        <w:outlineLvl w:val="0"/>
        <w:rPr>
          <w:rFonts w:asciiTheme="minorHAnsi" w:hAnsiTheme="minorHAnsi" w:cs="Arial"/>
          <w:color w:val="000000" w:themeColor="text1"/>
          <w:u w:val="single"/>
          <w:lang w:val="en-US"/>
        </w:rPr>
      </w:pPr>
      <w:r w:rsidRPr="00BA6F83">
        <w:rPr>
          <w:rFonts w:asciiTheme="minorHAnsi" w:hAnsiTheme="minorHAnsi" w:cs="Arial"/>
          <w:color w:val="000000" w:themeColor="text1"/>
          <w:u w:val="single"/>
          <w:lang w:val="en-US"/>
        </w:rPr>
        <w:t>Method Details</w:t>
      </w:r>
    </w:p>
    <w:p w14:paraId="503605D9"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Food antigen intramucosal injection:</w:t>
      </w:r>
    </w:p>
    <w:p w14:paraId="438B2867" w14:textId="7315C536" w:rsidR="00CE2959" w:rsidRPr="00BA6F83" w:rsidRDefault="00CE2959" w:rsidP="00CE2959">
      <w:pPr>
        <w:spacing w:after="120" w:line="480" w:lineRule="auto"/>
        <w:jc w:val="both"/>
        <w:rPr>
          <w:rFonts w:cstheme="minorHAnsi"/>
          <w:color w:val="000000" w:themeColor="text1"/>
          <w:lang w:val="en-US"/>
        </w:rPr>
      </w:pPr>
      <w:r w:rsidRPr="00BA6F83">
        <w:rPr>
          <w:color w:val="000000" w:themeColor="text1"/>
          <w:lang w:val="en-US"/>
        </w:rPr>
        <w:t xml:space="preserve">IBS patients and HV were invited to undergo a sigmoidoscopy. During the procedure, food antigens were dissolved in 0.9% NaCl and </w:t>
      </w:r>
      <w:r w:rsidR="00C6377A">
        <w:rPr>
          <w:color w:val="000000" w:themeColor="text1"/>
          <w:lang w:val="en-US"/>
        </w:rPr>
        <w:t xml:space="preserve">200 </w:t>
      </w:r>
      <w:r w:rsidR="00C6377A" w:rsidRPr="00BA6F83">
        <w:rPr>
          <w:color w:val="000000" w:themeColor="text1"/>
          <w:lang w:val="en-US"/>
        </w:rPr>
        <w:t>µ</w:t>
      </w:r>
      <w:r w:rsidR="00C6377A">
        <w:rPr>
          <w:color w:val="000000" w:themeColor="text1"/>
          <w:lang w:val="en-US"/>
        </w:rPr>
        <w:t xml:space="preserve">L were </w:t>
      </w:r>
      <w:r w:rsidRPr="00BA6F83">
        <w:rPr>
          <w:color w:val="000000" w:themeColor="text1"/>
          <w:lang w:val="en-US"/>
        </w:rPr>
        <w:t xml:space="preserve">injected in the rectal mucosa (soy, 3 mg/mL; wheat, 3 mg/mL; gluten, 3 mg/mL; and milk, 30 mg/mL). 0.9% NaCl and histamine (30 µg/mL) were used as negative and positive controls, respectively. </w:t>
      </w:r>
      <w:r w:rsidR="00C6377A">
        <w:rPr>
          <w:color w:val="000000" w:themeColor="text1"/>
          <w:lang w:val="en-US"/>
        </w:rPr>
        <w:t>S</w:t>
      </w:r>
      <w:r w:rsidR="00C6377A" w:rsidRPr="00BA6F83">
        <w:rPr>
          <w:color w:val="000000" w:themeColor="text1"/>
          <w:lang w:val="en-US"/>
        </w:rPr>
        <w:t>igmoidoscopy</w:t>
      </w:r>
      <w:r w:rsidR="00C6377A">
        <w:rPr>
          <w:color w:val="000000" w:themeColor="text1"/>
          <w:lang w:val="en-US"/>
        </w:rPr>
        <w:t xml:space="preserve"> was video-recorded and images of the injection sites were taken prior volume injection, immediately after injection, and 12-min after injection. </w:t>
      </w:r>
      <w:r w:rsidRPr="00BA6F83">
        <w:rPr>
          <w:color w:val="000000" w:themeColor="text1"/>
          <w:lang w:val="en-US"/>
        </w:rPr>
        <w:t xml:space="preserve">Mucosal edema-diameter was measured </w:t>
      </w:r>
      <w:r w:rsidR="00281479">
        <w:rPr>
          <w:color w:val="000000" w:themeColor="text1"/>
          <w:lang w:val="en-US"/>
        </w:rPr>
        <w:t xml:space="preserve">upon blinded evaluation of images taken </w:t>
      </w:r>
      <w:r w:rsidRPr="00BA6F83">
        <w:rPr>
          <w:color w:val="000000" w:themeColor="text1"/>
          <w:lang w:val="en-US"/>
        </w:rPr>
        <w:t>12 min after injection</w:t>
      </w:r>
      <w:r w:rsidR="00281479">
        <w:rPr>
          <w:color w:val="000000" w:themeColor="text1"/>
          <w:lang w:val="en-US"/>
        </w:rPr>
        <w:t xml:space="preserve">, performed </w:t>
      </w:r>
      <w:r w:rsidR="00C6377A">
        <w:rPr>
          <w:color w:val="000000" w:themeColor="text1"/>
          <w:lang w:val="en-US"/>
        </w:rPr>
        <w:t>independent</w:t>
      </w:r>
      <w:r w:rsidR="00281479">
        <w:rPr>
          <w:color w:val="000000" w:themeColor="text1"/>
          <w:lang w:val="en-US"/>
        </w:rPr>
        <w:t>ly</w:t>
      </w:r>
      <w:r w:rsidR="00C6377A">
        <w:rPr>
          <w:color w:val="000000" w:themeColor="text1"/>
          <w:lang w:val="en-US"/>
        </w:rPr>
        <w:t xml:space="preserve"> </w:t>
      </w:r>
      <w:r w:rsidR="00281479">
        <w:rPr>
          <w:color w:val="000000" w:themeColor="text1"/>
          <w:lang w:val="en-US"/>
        </w:rPr>
        <w:t xml:space="preserve">by 2 </w:t>
      </w:r>
      <w:r w:rsidR="00C6377A">
        <w:rPr>
          <w:color w:val="000000" w:themeColor="text1"/>
          <w:lang w:val="en-US"/>
        </w:rPr>
        <w:t>researchers (JAL and DB).</w:t>
      </w:r>
      <w:r w:rsidRPr="00BA6F83">
        <w:rPr>
          <w:color w:val="000000" w:themeColor="text1"/>
          <w:lang w:val="en-US"/>
        </w:rPr>
        <w:t xml:space="preserve"> </w:t>
      </w:r>
      <w:r w:rsidR="00281479">
        <w:rPr>
          <w:color w:val="000000" w:themeColor="text1"/>
          <w:lang w:val="en-US"/>
        </w:rPr>
        <w:t xml:space="preserve">Moreover, </w:t>
      </w:r>
      <w:r w:rsidRPr="00BA6F83">
        <w:rPr>
          <w:color w:val="000000" w:themeColor="text1"/>
          <w:lang w:val="en-US"/>
        </w:rPr>
        <w:t>biopsies of the injection site were collected. Next, to obtain biopsy supernatant for protease activity assays</w:t>
      </w:r>
      <w:r w:rsidRPr="00BA6F83">
        <w:rPr>
          <w:rFonts w:cstheme="minorHAnsi"/>
          <w:color w:val="000000" w:themeColor="text1"/>
          <w:lang w:val="en-US"/>
        </w:rPr>
        <w:t xml:space="preserve">, biopsies from </w:t>
      </w:r>
      <w:r w:rsidR="00982267">
        <w:rPr>
          <w:rFonts w:cstheme="minorHAnsi"/>
          <w:color w:val="000000" w:themeColor="text1"/>
          <w:lang w:val="en-US"/>
        </w:rPr>
        <w:t>8</w:t>
      </w:r>
      <w:r w:rsidR="00982267" w:rsidRPr="00BA6F83">
        <w:rPr>
          <w:rFonts w:cstheme="minorHAnsi"/>
          <w:color w:val="000000" w:themeColor="text1"/>
          <w:lang w:val="en-US"/>
        </w:rPr>
        <w:t xml:space="preserve"> </w:t>
      </w:r>
      <w:r w:rsidRPr="00BA6F83">
        <w:rPr>
          <w:rFonts w:cstheme="minorHAnsi"/>
          <w:color w:val="000000" w:themeColor="text1"/>
          <w:lang w:val="en-US"/>
        </w:rPr>
        <w:t xml:space="preserve">IBS patients injected with different food antigens or controls were incubated in Ad-DMEM/F12 supplemented with </w:t>
      </w:r>
      <w:proofErr w:type="spellStart"/>
      <w:r w:rsidRPr="00BA6F83">
        <w:rPr>
          <w:rFonts w:cstheme="minorHAnsi"/>
          <w:color w:val="000000" w:themeColor="text1"/>
          <w:lang w:val="en-US"/>
        </w:rPr>
        <w:t>GlutaMAX</w:t>
      </w:r>
      <w:proofErr w:type="spellEnd"/>
      <w:r w:rsidRPr="00BA6F83">
        <w:rPr>
          <w:rFonts w:cstheme="minorHAnsi"/>
          <w:color w:val="000000" w:themeColor="text1"/>
          <w:lang w:val="en-US"/>
        </w:rPr>
        <w:t xml:space="preserve"> (2 mM), Penicillin, Streptomycin, Gentamycin and Amphotericin B (100 U, 100 </w:t>
      </w:r>
      <w:r w:rsidRPr="00BA6F83">
        <w:rPr>
          <w:rFonts w:cstheme="minorHAnsi"/>
          <w:color w:val="000000" w:themeColor="text1"/>
          <w:lang w:val="en-US"/>
        </w:rPr>
        <w:sym w:font="Symbol" w:char="F06D"/>
      </w:r>
      <w:r w:rsidRPr="00BA6F83">
        <w:rPr>
          <w:rFonts w:cstheme="minorHAnsi"/>
          <w:color w:val="000000" w:themeColor="text1"/>
          <w:lang w:val="en-US"/>
        </w:rPr>
        <w:t xml:space="preserve">g, 10 </w:t>
      </w:r>
      <w:r w:rsidRPr="00BA6F83">
        <w:rPr>
          <w:rFonts w:cstheme="minorHAnsi"/>
          <w:color w:val="000000" w:themeColor="text1"/>
          <w:lang w:val="en-US"/>
        </w:rPr>
        <w:sym w:font="Symbol" w:char="F06D"/>
      </w:r>
      <w:r w:rsidRPr="00BA6F83">
        <w:rPr>
          <w:rFonts w:cstheme="minorHAnsi"/>
          <w:color w:val="000000" w:themeColor="text1"/>
          <w:lang w:val="en-US"/>
        </w:rPr>
        <w:t xml:space="preserve">g and 0.25 </w:t>
      </w:r>
      <w:r w:rsidRPr="00BA6F83">
        <w:rPr>
          <w:rFonts w:cstheme="minorHAnsi"/>
          <w:color w:val="000000" w:themeColor="text1"/>
          <w:lang w:val="en-US"/>
        </w:rPr>
        <w:sym w:font="Symbol" w:char="F06D"/>
      </w:r>
      <w:r w:rsidRPr="00BA6F83">
        <w:rPr>
          <w:rFonts w:cstheme="minorHAnsi"/>
          <w:color w:val="000000" w:themeColor="text1"/>
          <w:lang w:val="en-US"/>
        </w:rPr>
        <w:t>g per mL; Invitrogen) for 1 h at 37°C and 5% CO</w:t>
      </w:r>
      <w:r w:rsidRPr="00BA6F83">
        <w:rPr>
          <w:rFonts w:cstheme="minorHAnsi"/>
          <w:color w:val="000000" w:themeColor="text1"/>
          <w:vertAlign w:val="subscript"/>
          <w:lang w:val="en-US"/>
        </w:rPr>
        <w:t>2</w:t>
      </w:r>
      <w:r w:rsidRPr="00BA6F83">
        <w:rPr>
          <w:rFonts w:cstheme="minorHAnsi"/>
          <w:color w:val="000000" w:themeColor="text1"/>
          <w:lang w:val="en-US"/>
        </w:rPr>
        <w:t xml:space="preserve">. </w:t>
      </w:r>
    </w:p>
    <w:p w14:paraId="4C99D7B3" w14:textId="77777777" w:rsidR="00CE2959" w:rsidRPr="00BA6F83" w:rsidRDefault="00CE2959" w:rsidP="00CE2959">
      <w:pPr>
        <w:spacing w:after="120" w:line="480" w:lineRule="auto"/>
        <w:jc w:val="both"/>
        <w:rPr>
          <w:color w:val="000000" w:themeColor="text1"/>
          <w:u w:val="single"/>
          <w:lang w:val="en-US"/>
        </w:rPr>
      </w:pPr>
    </w:p>
    <w:p w14:paraId="44F4D787"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 xml:space="preserve">Citrobacter </w:t>
      </w:r>
      <w:proofErr w:type="spellStart"/>
      <w:r w:rsidRPr="00BA6F83">
        <w:rPr>
          <w:i/>
          <w:color w:val="000000" w:themeColor="text1"/>
          <w:lang w:val="en-US"/>
        </w:rPr>
        <w:t>rodentium</w:t>
      </w:r>
      <w:proofErr w:type="spellEnd"/>
      <w:r w:rsidRPr="00BA6F83">
        <w:rPr>
          <w:i/>
          <w:color w:val="000000" w:themeColor="text1"/>
          <w:lang w:val="en-US"/>
        </w:rPr>
        <w:t xml:space="preserve"> (C. rodentium) infection:</w:t>
      </w:r>
    </w:p>
    <w:p w14:paraId="7FFD264A" w14:textId="77777777" w:rsidR="00CE2959" w:rsidRPr="00BA6F83" w:rsidRDefault="00CE2959" w:rsidP="00CE2959">
      <w:pPr>
        <w:spacing w:after="120" w:line="480" w:lineRule="auto"/>
        <w:jc w:val="both"/>
        <w:rPr>
          <w:rFonts w:cstheme="minorHAnsi"/>
          <w:color w:val="000000" w:themeColor="text1"/>
          <w:lang w:val="en-US"/>
        </w:rPr>
      </w:pPr>
      <w:r w:rsidRPr="00BA6F83">
        <w:rPr>
          <w:i/>
          <w:color w:val="000000" w:themeColor="text1"/>
          <w:lang w:val="en-US"/>
        </w:rPr>
        <w:t xml:space="preserve">C. rodentium </w:t>
      </w:r>
      <w:r w:rsidRPr="00BA6F83">
        <w:rPr>
          <w:color w:val="000000" w:themeColor="text1"/>
          <w:lang w:val="en-US"/>
        </w:rPr>
        <w:t>(DBS100, ATCC® 51459</w:t>
      </w:r>
      <w:r w:rsidRPr="00BA6F83">
        <w:rPr>
          <w:color w:val="000000" w:themeColor="text1"/>
          <w:vertAlign w:val="superscript"/>
          <w:lang w:val="en-US"/>
        </w:rPr>
        <w:t>TM</w:t>
      </w:r>
      <w:r w:rsidRPr="00BA6F83">
        <w:rPr>
          <w:color w:val="000000" w:themeColor="text1"/>
          <w:lang w:val="en-US"/>
        </w:rPr>
        <w:t>) was cultured overnight in Luria-Bertani (LB) broth medium (MP Biomedicals) at 37</w:t>
      </w:r>
      <w:r w:rsidRPr="00BA6F83">
        <w:rPr>
          <w:rFonts w:cstheme="minorHAnsi"/>
          <w:color w:val="000000" w:themeColor="text1"/>
          <w:lang w:val="en-US"/>
        </w:rPr>
        <w:t>°C and 180-200 rpm. After 16 h, the bacteria were centrifuged (4°C, 2000 rpm, 10 min), the supernatant was discarded, and the pellet was resuspended in fresh LB medium. Eight- to nine-week-old mice were infected by oral gavage with 1 x 10</w:t>
      </w:r>
      <w:r w:rsidRPr="00BA6F83">
        <w:rPr>
          <w:rFonts w:cstheme="minorHAnsi"/>
          <w:color w:val="000000" w:themeColor="text1"/>
          <w:vertAlign w:val="superscript"/>
          <w:lang w:val="en-US"/>
        </w:rPr>
        <w:t xml:space="preserve">9 </w:t>
      </w:r>
      <w:r w:rsidRPr="00BA6F83">
        <w:rPr>
          <w:rFonts w:cstheme="minorHAnsi"/>
          <w:color w:val="000000" w:themeColor="text1"/>
          <w:lang w:val="en-US"/>
        </w:rPr>
        <w:t xml:space="preserve">colony forming units (CFU) of </w:t>
      </w:r>
      <w:r w:rsidRPr="00BA6F83">
        <w:rPr>
          <w:rFonts w:cstheme="minorHAnsi"/>
          <w:i/>
          <w:color w:val="000000" w:themeColor="text1"/>
          <w:lang w:val="en-US"/>
        </w:rPr>
        <w:t xml:space="preserve">C. rodentium </w:t>
      </w:r>
      <w:r w:rsidRPr="00BA6F83">
        <w:rPr>
          <w:rFonts w:cstheme="minorHAnsi"/>
          <w:color w:val="000000" w:themeColor="text1"/>
          <w:lang w:val="en-US"/>
        </w:rPr>
        <w:t xml:space="preserve">or sterile 0.9% NaCl (B. Braun Medical NV/SA). </w:t>
      </w:r>
    </w:p>
    <w:p w14:paraId="2DB2D354" w14:textId="77777777" w:rsidR="00CE2959" w:rsidRPr="00BA6F83" w:rsidRDefault="00CE2959" w:rsidP="00CE2959">
      <w:pPr>
        <w:spacing w:after="120" w:line="480" w:lineRule="auto"/>
        <w:jc w:val="both"/>
        <w:rPr>
          <w:rFonts w:cstheme="minorHAnsi"/>
          <w:color w:val="000000" w:themeColor="text1"/>
          <w:lang w:val="en-US"/>
        </w:rPr>
      </w:pPr>
    </w:p>
    <w:p w14:paraId="40620D77"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Telemetric Visceromotor response recordings:</w:t>
      </w:r>
    </w:p>
    <w:p w14:paraId="0CAB60CE" w14:textId="253BB0D7" w:rsidR="00CE2959" w:rsidRPr="00BA6F83" w:rsidRDefault="00066AAC" w:rsidP="00CE2959">
      <w:pPr>
        <w:spacing w:after="120" w:line="480" w:lineRule="auto"/>
        <w:jc w:val="both"/>
        <w:rPr>
          <w:rFonts w:cstheme="minorHAnsi"/>
          <w:color w:val="000000" w:themeColor="text1"/>
          <w:lang w:val="en-US"/>
        </w:rPr>
      </w:pPr>
      <w:r>
        <w:rPr>
          <w:rFonts w:cstheme="minorHAnsi"/>
          <w:color w:val="000000" w:themeColor="text1"/>
          <w:lang w:val="en-US"/>
        </w:rPr>
        <w:t>Six to seven-week-old m</w:t>
      </w:r>
      <w:r w:rsidR="00CE2959" w:rsidRPr="00BA6F83">
        <w:rPr>
          <w:rFonts w:cstheme="minorHAnsi"/>
          <w:color w:val="000000" w:themeColor="text1"/>
          <w:lang w:val="en-US"/>
        </w:rPr>
        <w:t xml:space="preserve">ice of at least 20 grams were implanted with </w:t>
      </w:r>
      <w:proofErr w:type="spellStart"/>
      <w:r w:rsidR="00CE2959" w:rsidRPr="00BA6F83">
        <w:rPr>
          <w:rFonts w:cstheme="minorHAnsi"/>
          <w:color w:val="000000" w:themeColor="text1"/>
          <w:lang w:val="en-US"/>
        </w:rPr>
        <w:t>Physiotel</w:t>
      </w:r>
      <w:proofErr w:type="spellEnd"/>
      <w:r w:rsidR="00CE2959" w:rsidRPr="00BA6F83">
        <w:rPr>
          <w:rFonts w:cstheme="minorHAnsi"/>
          <w:color w:val="000000" w:themeColor="text1"/>
          <w:lang w:val="en-US"/>
        </w:rPr>
        <w:t xml:space="preserve"> ETA-F10 telemetric transmitters (Data Sciences International). In anaesthetized mice (20 mg/kg ketamine, </w:t>
      </w:r>
      <w:proofErr w:type="spellStart"/>
      <w:r w:rsidR="00CE2959" w:rsidRPr="00BA6F83">
        <w:rPr>
          <w:rFonts w:cstheme="minorHAnsi"/>
          <w:color w:val="000000" w:themeColor="text1"/>
          <w:lang w:val="en-US"/>
        </w:rPr>
        <w:t>Nimatek</w:t>
      </w:r>
      <w:proofErr w:type="spellEnd"/>
      <w:r w:rsidR="00CE2959" w:rsidRPr="00BA6F83">
        <w:rPr>
          <w:rFonts w:cstheme="minorHAnsi"/>
          <w:color w:val="000000" w:themeColor="text1"/>
          <w:lang w:val="en-US"/>
        </w:rPr>
        <w:t xml:space="preserve">, </w:t>
      </w:r>
      <w:proofErr w:type="spellStart"/>
      <w:r w:rsidR="00CE2959" w:rsidRPr="00BA6F83">
        <w:rPr>
          <w:rFonts w:cstheme="minorHAnsi"/>
          <w:color w:val="000000" w:themeColor="text1"/>
          <w:lang w:val="en-US"/>
        </w:rPr>
        <w:t>Eyurovet</w:t>
      </w:r>
      <w:proofErr w:type="spellEnd"/>
      <w:r w:rsidR="00CE2959" w:rsidRPr="00BA6F83">
        <w:rPr>
          <w:rFonts w:cstheme="minorHAnsi"/>
          <w:color w:val="000000" w:themeColor="text1"/>
          <w:lang w:val="en-US"/>
        </w:rPr>
        <w:t xml:space="preserve"> Animal Health B.V.; and 1 mg/kg xylazine, </w:t>
      </w:r>
      <w:proofErr w:type="spellStart"/>
      <w:r w:rsidR="00CE2959" w:rsidRPr="00BA6F83">
        <w:rPr>
          <w:rFonts w:cstheme="minorHAnsi"/>
          <w:color w:val="000000" w:themeColor="text1"/>
          <w:lang w:val="en-US"/>
        </w:rPr>
        <w:t>Rompun</w:t>
      </w:r>
      <w:proofErr w:type="spellEnd"/>
      <w:r w:rsidR="00CE2959" w:rsidRPr="00BA6F83">
        <w:rPr>
          <w:rFonts w:cstheme="minorHAnsi"/>
          <w:color w:val="000000" w:themeColor="text1"/>
          <w:lang w:val="en-US"/>
        </w:rPr>
        <w:t xml:space="preserve"> 2%, Bayer), transmitters were inserted in the abdominal cavity and electrodes were tunneled through the abdominal wall and sutured into the left external abdominal oblique muscle</w:t>
      </w:r>
      <w:r w:rsidR="00CE2959" w:rsidRPr="00BA6F83">
        <w:rPr>
          <w:rFonts w:cstheme="minorHAnsi"/>
          <w:color w:val="000000" w:themeColor="text1"/>
          <w:lang w:val="en-US"/>
        </w:rPr>
        <w:fldChar w:fldCharType="begin" w:fldLock="1"/>
      </w:r>
      <w:r w:rsidR="00770BE2">
        <w:rPr>
          <w:rFonts w:cstheme="minorHAnsi"/>
          <w:color w:val="000000" w:themeColor="text1"/>
          <w:lang w:val="en-US"/>
        </w:rPr>
        <w:instrText>ADDIN CSL_CITATION {"citationItems":[{"id":"ITEM-1","itemData":{"DOI":"10.1111/nmo.12759","ISSN":"13652982","PMID":"26728091","abstract":"© 2016 John Wiley  &amp;  Sons Ltd. Background: Infectious gastroenteritis is a major risk factor to develop postinfectious irritable bowel syndrome (PI-IBS). It remains unknown why only a subgroup of infected individuals develops PI-IBS. We hypothesize that immunogenetic predisposition is an important risk factor. Hence, we studied the effect of Citrobacter rodentium infection on visceral sensitivity in Th1-predominant C57BL/6 and Th2-predominant Balb/c mice. Methods: Eight-week-old mice were gavaged with C. rodentium, followed by 1 h of water avoidance stress (WAS) at 5 weeks PI. At 10, 14 days, and 5 weeks PI, samples were assessed for histology and inflammatory gene expression by RT-qPCR. Visceral sensitivity was evaluated by visceromotor response recordings (VMR) to colorectal distension. Key Results: Citrobacter rodentium evoked a comparable colonic inflammatory response at 14 days PI characterized by increased crypt length and upregulation of Th1/Th17 cytokine mRNA levels (p uncorrected &lt;  0.05) in both C57BL/6 and Balb/c mice. At 5 weeks PI, inflammatory gene mRNA levels returned to baseline in both strains. The VMR was maximal at 14 days PI in C57BL/6 (150 ± 47%; p = 0.02) and Balb/c mice (243 ± 52%; p = 0.03). At 3 weeks PI, the VMR remained increased in Balb/c (176 ± 23%; p = 0.02), but returned to baseline in C57BL/6 mice. At 5 weeks PI, WAS could not re-introduce visceral hypersensitivity (VHS).  Conclusions  &amp;  Inferences: Citrobacter rodentium infection induces transient VHS in C57BL/6 and Balb/c mice, which persisted 1 week longer in Balb/c mice. Although other strain-related differences may contribute, a Th2 background may represent a risk factor for prolonged PI-VHS. As PI-VHS is transient, other factors are crucial for persistent VHS development as observed in PI-IBS.","author":[{"dropping-particle":"","family":"Mondelaers","given":"S.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M.","non-dropping-particle":"","parse-names":false,"suffix":""},{"dropping-particle":"","family":"Mondelaers SU, Theofanous SA, Florens MV, Perna E, Aguilera-Lizarraga J, Boeckxstaens GE","given":"Wouters MM","non-dropping-particle":"","parse-names":false,"suffix":""},{"dropping-particle":"","family":"Mondelaers","given":"S.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M.","non-dropping-particle":"","parse-names":false,"suffix":""}],"container-title":"Neurogastroenterology and Motility","id":"ITEM-1","issue":"5","issued":{"date-parts":[["2016"]]},"page":"647-658","title":"Effect of genetic background and postinfectious stress on visceral sensitivity in Citrobacter rodentium-infected mice","type":"article-journal","volume":"28"},"uris":["http://www.mendeley.com/documents/?uuid=441ca505-bce8-410a-9ee1-1a1c6c0771d6"]}],"mendeley":{"formattedCitation":"&lt;sup&gt;19&lt;/sup&gt;","plainTextFormattedCitation":"19","previouslyFormattedCitation":"&lt;sup&gt;19&lt;/sup&gt;"},"properties":{"noteIndex":0},"schema":"https://github.com/citation-style-language/schema/raw/master/csl-citation.json"}</w:instrText>
      </w:r>
      <w:r w:rsidR="00CE2959" w:rsidRPr="00BA6F83">
        <w:rPr>
          <w:rFonts w:cstheme="minorHAnsi"/>
          <w:color w:val="000000" w:themeColor="text1"/>
          <w:lang w:val="en-US"/>
        </w:rPr>
        <w:fldChar w:fldCharType="separate"/>
      </w:r>
      <w:r w:rsidR="00D465C0" w:rsidRPr="00D465C0">
        <w:rPr>
          <w:rFonts w:cstheme="minorHAnsi"/>
          <w:noProof/>
          <w:color w:val="000000" w:themeColor="text1"/>
          <w:vertAlign w:val="superscript"/>
          <w:lang w:val="en-US"/>
        </w:rPr>
        <w:t>19</w:t>
      </w:r>
      <w:r w:rsidR="00CE2959" w:rsidRPr="00BA6F83">
        <w:rPr>
          <w:rFonts w:cstheme="minorHAnsi"/>
          <w:color w:val="000000" w:themeColor="text1"/>
          <w:lang w:val="en-US"/>
        </w:rPr>
        <w:fldChar w:fldCharType="end"/>
      </w:r>
      <w:r w:rsidR="00CE2959" w:rsidRPr="00BA6F83">
        <w:rPr>
          <w:rFonts w:cstheme="minorHAnsi"/>
          <w:color w:val="000000" w:themeColor="text1"/>
          <w:lang w:val="en-US"/>
        </w:rPr>
        <w:t>.</w:t>
      </w:r>
    </w:p>
    <w:p w14:paraId="25AD78C2" w14:textId="1C323313" w:rsidR="00CE2959" w:rsidRPr="00BA6F83" w:rsidRDefault="00CE2959" w:rsidP="00CE2959">
      <w:pPr>
        <w:spacing w:after="120" w:line="480" w:lineRule="auto"/>
        <w:jc w:val="both"/>
        <w:rPr>
          <w:color w:val="000000" w:themeColor="text1"/>
          <w:lang w:val="en-US"/>
        </w:rPr>
      </w:pPr>
      <w:r w:rsidRPr="00BA6F83">
        <w:rPr>
          <w:color w:val="000000" w:themeColor="text1"/>
          <w:lang w:val="en-US"/>
        </w:rPr>
        <w:t>As previously described</w:t>
      </w:r>
      <w:r w:rsidRPr="00BA6F83">
        <w:rPr>
          <w:color w:val="000000" w:themeColor="text1"/>
          <w:lang w:val="en-US"/>
        </w:rPr>
        <w:fldChar w:fldCharType="begin" w:fldLock="1"/>
      </w:r>
      <w:r w:rsidR="00770BE2">
        <w:rPr>
          <w:color w:val="000000" w:themeColor="text1"/>
          <w:lang w:val="en-US"/>
        </w:rPr>
        <w:instrText>ADDIN CSL_CITATION {"citationItems":[{"id":"ITEM-1","itemData":{"DOI":"10.1111/nmo.12759","ISSN":"13652982","PMID":"26728091","abstract":"© 2016 John Wiley  &amp;  Sons Ltd. Background: Infectious gastroenteritis is a major risk factor to develop postinfectious irritable bowel syndrome (PI-IBS). It remains unknown why only a subgroup of infected individuals develops PI-IBS. We hypothesize that immunogenetic predisposition is an important risk factor. Hence, we studied the effect of Citrobacter rodentium infection on visceral sensitivity in Th1-predominant C57BL/6 and Th2-predominant Balb/c mice. Methods: Eight-week-old mice were gavaged with C. rodentium, followed by 1 h of water avoidance stress (WAS) at 5 weeks PI. At 10, 14 days, and 5 weeks PI, samples were assessed for histology and inflammatory gene expression by RT-qPCR. Visceral sensitivity was evaluated by visceromotor response recordings (VMR) to colorectal distension. Key Results: Citrobacter rodentium evoked a comparable colonic inflammatory response at 14 days PI characterized by increased crypt length and upregulation of Th1/Th17 cytokine mRNA levels (p uncorrected &lt;  0.05) in both C57BL/6 and Balb/c mice. At 5 weeks PI, inflammatory gene mRNA levels returned to baseline in both strains. The VMR was maximal at 14 days PI in C57BL/6 (150 ± 47%; p = 0.02) and Balb/c mice (243 ± 52%; p = 0.03). At 3 weeks PI, the VMR remained increased in Balb/c (176 ± 23%; p = 0.02), but returned to baseline in C57BL/6 mice. At 5 weeks PI, WAS could not re-introduce visceral hypersensitivity (VHS).  Conclusions  &amp;  Inferences: Citrobacter rodentium infection induces transient VHS in C57BL/6 and Balb/c mice, which persisted 1 week longer in Balb/c mice. Although other strain-related differences may contribute, a Th2 background may represent a risk factor for prolonged PI-VHS. As PI-VHS is transient, other factors are crucial for persistent VHS development as observed in PI-IBS.","author":[{"dropping-particle":"","family":"Mondelaers","given":"S.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M.","non-dropping-particle":"","parse-names":false,"suffix":""},{"dropping-particle":"","family":"Mondelaers SU, Theofanous SA, Florens MV, Perna E, Aguilera-Lizarraga J, Boeckxstaens GE","given":"Wouters MM","non-dropping-particle":"","parse-names":false,"suffix":""},{"dropping-particle":"","family":"Mondelaers","given":"S.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M.","non-dropping-particle":"","parse-names":false,"suffix":""}],"container-title":"Neurogastroenterology and Motility","id":"ITEM-1","issue":"5","issued":{"date-parts":[["2016"]]},"page":"647-658","title":"Effect of genetic background and postinfectious stress on visceral sensitivity in Citrobacter rodentium-infected mice","type":"article-journal","volume":"28"},"uris":["http://www.mendeley.com/documents/?uuid=441ca505-bce8-410a-9ee1-1a1c6c0771d6"]}],"mendeley":{"formattedCitation":"&lt;sup&gt;19&lt;/sup&gt;","plainTextFormattedCitation":"19","previouslyFormattedCitation":"&lt;sup&gt;19&lt;/sup&gt;"},"properties":{"noteIndex":0},"schema":"https://github.com/citation-style-language/schema/raw/master/csl-citation.json"}</w:instrText>
      </w:r>
      <w:r w:rsidRPr="00BA6F83">
        <w:rPr>
          <w:color w:val="000000" w:themeColor="text1"/>
          <w:lang w:val="en-US"/>
        </w:rPr>
        <w:fldChar w:fldCharType="separate"/>
      </w:r>
      <w:r w:rsidR="00D465C0" w:rsidRPr="00D465C0">
        <w:rPr>
          <w:noProof/>
          <w:color w:val="000000" w:themeColor="text1"/>
          <w:vertAlign w:val="superscript"/>
          <w:lang w:val="en-US"/>
        </w:rPr>
        <w:t>19</w:t>
      </w:r>
      <w:r w:rsidRPr="00BA6F83">
        <w:rPr>
          <w:color w:val="000000" w:themeColor="text1"/>
          <w:lang w:val="en-US"/>
        </w:rPr>
        <w:fldChar w:fldCharType="end"/>
      </w:r>
      <w:r w:rsidRPr="00BA6F83">
        <w:rPr>
          <w:color w:val="000000" w:themeColor="text1"/>
          <w:lang w:val="en-US"/>
        </w:rPr>
        <w:t>, colorectal distensions were performed to evoke abdominal cramping as read-out of visceral pain, using a distension catheter (volumes from 20 to 80 µL, Fogarty catheter for arterial embolectomy, 4F; Edwards Lifesciences</w:t>
      </w:r>
      <w:r w:rsidR="00CC1DAD">
        <w:rPr>
          <w:color w:val="000000" w:themeColor="text1"/>
          <w:lang w:val="en-US"/>
        </w:rPr>
        <w:t>; Extended Data Figure 1</w:t>
      </w:r>
      <w:r w:rsidR="00FA5528">
        <w:rPr>
          <w:color w:val="000000" w:themeColor="text1"/>
          <w:lang w:val="en-US"/>
        </w:rPr>
        <w:t>H</w:t>
      </w:r>
      <w:r w:rsidRPr="00BA6F83">
        <w:rPr>
          <w:color w:val="000000" w:themeColor="text1"/>
          <w:lang w:val="en-US"/>
        </w:rPr>
        <w:t>). Data were calculated as % visceromotor response relative to maximum distention response before infection (i.e. 80 µL distension is set at 100 %) or as area under the curve (AUC) of the 4 distention volumes.</w:t>
      </w:r>
    </w:p>
    <w:p w14:paraId="0AFE6D9E" w14:textId="77777777" w:rsidR="00CE2959" w:rsidRPr="00BA6F83" w:rsidRDefault="00CE2959" w:rsidP="00CE2959">
      <w:pPr>
        <w:spacing w:after="120" w:line="480" w:lineRule="auto"/>
        <w:jc w:val="both"/>
        <w:rPr>
          <w:color w:val="000000" w:themeColor="text1"/>
          <w:u w:val="single"/>
          <w:lang w:val="en-US"/>
        </w:rPr>
      </w:pPr>
    </w:p>
    <w:p w14:paraId="5DBFF048"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Compliance:</w:t>
      </w:r>
    </w:p>
    <w:p w14:paraId="2771E89A"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Colonic compliance was studied in order to exclude inflammatory- or pharmacologically-mediated changes in wall stiffness that can influence in the nociception of the animals. Thus, the volume-pressure relationship of the colon was evaluated in animals subjected to visceromotor response recordings (Extended Data Table 1). </w:t>
      </w:r>
    </w:p>
    <w:p w14:paraId="57F52BBE" w14:textId="77777777" w:rsidR="00CE2959" w:rsidRPr="00BA6F83" w:rsidRDefault="00CE2959" w:rsidP="00CE2959">
      <w:pPr>
        <w:spacing w:after="120" w:line="480" w:lineRule="auto"/>
        <w:jc w:val="both"/>
        <w:rPr>
          <w:rFonts w:cstheme="minorHAnsi"/>
          <w:color w:val="000000" w:themeColor="text1"/>
          <w:lang w:val="en-US"/>
        </w:rPr>
      </w:pPr>
    </w:p>
    <w:p w14:paraId="739C0305"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Post-infectious protocol:</w:t>
      </w:r>
    </w:p>
    <w:p w14:paraId="432CBF57" w14:textId="7DFBE445" w:rsidR="00CE2959" w:rsidRPr="00BA6F83" w:rsidRDefault="00066AAC" w:rsidP="00CE2959">
      <w:pPr>
        <w:spacing w:after="120" w:line="480" w:lineRule="auto"/>
        <w:jc w:val="both"/>
        <w:rPr>
          <w:rFonts w:cstheme="minorHAnsi"/>
          <w:color w:val="000000" w:themeColor="text1"/>
          <w:lang w:val="en-US"/>
        </w:rPr>
      </w:pPr>
      <w:r>
        <w:rPr>
          <w:rFonts w:cstheme="minorHAnsi"/>
          <w:color w:val="000000" w:themeColor="text1"/>
          <w:lang w:val="en-US"/>
        </w:rPr>
        <w:t>Two weeks after telemetric transmitter implantation</w:t>
      </w:r>
      <w:r w:rsidR="00FA5528">
        <w:rPr>
          <w:rFonts w:cstheme="minorHAnsi"/>
          <w:color w:val="000000" w:themeColor="text1"/>
          <w:lang w:val="en-US"/>
        </w:rPr>
        <w:t xml:space="preserve"> (i.e. 8-9 weeks old)</w:t>
      </w:r>
      <w:r>
        <w:rPr>
          <w:rFonts w:cstheme="minorHAnsi"/>
          <w:color w:val="000000" w:themeColor="text1"/>
          <w:lang w:val="en-US"/>
        </w:rPr>
        <w:t>, m</w:t>
      </w:r>
      <w:r w:rsidR="00CE2959" w:rsidRPr="00BA6F83">
        <w:rPr>
          <w:rFonts w:cstheme="minorHAnsi"/>
          <w:color w:val="000000" w:themeColor="text1"/>
          <w:lang w:val="en-US"/>
        </w:rPr>
        <w:t xml:space="preserve">ice were infected with </w:t>
      </w:r>
      <w:r w:rsidR="00CE2959" w:rsidRPr="00BA6F83">
        <w:rPr>
          <w:rFonts w:cstheme="minorHAnsi"/>
          <w:i/>
          <w:color w:val="000000" w:themeColor="text1"/>
          <w:lang w:val="en-US"/>
        </w:rPr>
        <w:t xml:space="preserve">C. rodentium </w:t>
      </w:r>
      <w:r w:rsidR="00CE2959" w:rsidRPr="00BA6F83">
        <w:rPr>
          <w:rFonts w:cstheme="minorHAnsi"/>
          <w:color w:val="000000" w:themeColor="text1"/>
          <w:lang w:val="en-US"/>
        </w:rPr>
        <w:t xml:space="preserve">as abovementioned. Three hours after infection, mice were orally </w:t>
      </w:r>
      <w:proofErr w:type="spellStart"/>
      <w:r w:rsidR="00CE2959" w:rsidRPr="00BA6F83">
        <w:rPr>
          <w:rFonts w:cstheme="minorHAnsi"/>
          <w:color w:val="000000" w:themeColor="text1"/>
          <w:lang w:val="en-US"/>
        </w:rPr>
        <w:t>gavaged</w:t>
      </w:r>
      <w:proofErr w:type="spellEnd"/>
      <w:r w:rsidR="00CE2959" w:rsidRPr="00BA6F83">
        <w:rPr>
          <w:rFonts w:cstheme="minorHAnsi"/>
          <w:color w:val="000000" w:themeColor="text1"/>
          <w:lang w:val="en-US"/>
        </w:rPr>
        <w:t xml:space="preserve"> with 50 mg of </w:t>
      </w:r>
      <w:r w:rsidR="00CE2959" w:rsidRPr="00BA6F83">
        <w:rPr>
          <w:rFonts w:cstheme="minorHAnsi"/>
          <w:color w:val="000000" w:themeColor="text1"/>
          <w:lang w:val="en-US"/>
        </w:rPr>
        <w:lastRenderedPageBreak/>
        <w:t>ovalbumin (OVA) (Grade II, Sigma-Aldrich®) dissolved in 0.9% NaCl. Next, OVA was dissolved in drinking water (1% v/v) and changed daily throughout 10 days following infection. Five weeks after infection, mice were re-exposed to OVA (50 mg) by oral gavage every other day until sacrifice. Visceromotor responses were recorded before the infection (baseline), 2 and 4 weeks after infection, and 1 h after the 4</w:t>
      </w:r>
      <w:r w:rsidR="00CE2959" w:rsidRPr="00BA6F83">
        <w:rPr>
          <w:rFonts w:cstheme="minorHAnsi"/>
          <w:color w:val="000000" w:themeColor="text1"/>
          <w:vertAlign w:val="superscript"/>
          <w:lang w:val="en-US"/>
        </w:rPr>
        <w:t>th</w:t>
      </w:r>
      <w:r w:rsidR="00CE2959" w:rsidRPr="00BA6F83">
        <w:rPr>
          <w:rFonts w:cstheme="minorHAnsi"/>
          <w:color w:val="000000" w:themeColor="text1"/>
          <w:lang w:val="en-US"/>
        </w:rPr>
        <w:t xml:space="preserve"> and the 8</w:t>
      </w:r>
      <w:r w:rsidR="00CE2959" w:rsidRPr="00BA6F83">
        <w:rPr>
          <w:rFonts w:cstheme="minorHAnsi"/>
          <w:color w:val="000000" w:themeColor="text1"/>
          <w:vertAlign w:val="superscript"/>
          <w:lang w:val="en-US"/>
        </w:rPr>
        <w:t>th</w:t>
      </w:r>
      <w:r w:rsidR="00CE2959" w:rsidRPr="00BA6F83">
        <w:rPr>
          <w:rFonts w:cstheme="minorHAnsi"/>
          <w:color w:val="000000" w:themeColor="text1"/>
          <w:lang w:val="en-US"/>
        </w:rPr>
        <w:t xml:space="preserve"> OVA gavage (Fig. 1A). </w:t>
      </w:r>
      <w:r w:rsidR="00921082">
        <w:rPr>
          <w:rFonts w:cstheme="minorHAnsi"/>
          <w:color w:val="000000" w:themeColor="text1"/>
          <w:lang w:val="en-US"/>
        </w:rPr>
        <w:t>Oral OVA gavage continued every other day until the day of euthanasia (normally after an extra 1 or 2 oral OVA challenges, unless otherwise specified (i.e. VMR in long-term VHS following final OVA re-exposure</w:t>
      </w:r>
      <w:r w:rsidR="00B33184">
        <w:rPr>
          <w:rFonts w:cstheme="minorHAnsi"/>
          <w:color w:val="000000" w:themeColor="text1"/>
          <w:lang w:val="en-US"/>
        </w:rPr>
        <w:t xml:space="preserve">, </w:t>
      </w:r>
      <w:r w:rsidR="00B33184">
        <w:rPr>
          <w:rFonts w:cstheme="minorHAnsi"/>
          <w:i/>
          <w:iCs/>
          <w:color w:val="000000" w:themeColor="text1"/>
          <w:lang w:val="en-US"/>
        </w:rPr>
        <w:t xml:space="preserve">ex-vivo </w:t>
      </w:r>
      <w:r w:rsidR="00B33184">
        <w:rPr>
          <w:rFonts w:cstheme="minorHAnsi"/>
          <w:color w:val="000000" w:themeColor="text1"/>
          <w:lang w:val="en-US"/>
        </w:rPr>
        <w:t>re-exposure, etc.</w:t>
      </w:r>
      <w:r w:rsidR="00921082">
        <w:rPr>
          <w:rFonts w:cstheme="minorHAnsi"/>
          <w:color w:val="000000" w:themeColor="text1"/>
          <w:lang w:val="en-US"/>
        </w:rPr>
        <w:t>)</w:t>
      </w:r>
      <w:r w:rsidR="00EF4DE2">
        <w:rPr>
          <w:rFonts w:cstheme="minorHAnsi"/>
          <w:color w:val="000000" w:themeColor="text1"/>
          <w:lang w:val="en-US"/>
        </w:rPr>
        <w:t>.</w:t>
      </w:r>
      <w:r w:rsidR="00081016">
        <w:rPr>
          <w:rFonts w:cstheme="minorHAnsi"/>
          <w:color w:val="000000" w:themeColor="text1"/>
          <w:lang w:val="en-US"/>
        </w:rPr>
        <w:t xml:space="preserve"> Development of VHS at 7 weeks after infection</w:t>
      </w:r>
      <w:r w:rsidR="00921082">
        <w:rPr>
          <w:rFonts w:cstheme="minorHAnsi"/>
          <w:color w:val="000000" w:themeColor="text1"/>
          <w:lang w:val="en-US"/>
        </w:rPr>
        <w:t xml:space="preserve"> </w:t>
      </w:r>
      <w:r w:rsidR="00081016">
        <w:rPr>
          <w:rFonts w:cstheme="minorHAnsi"/>
          <w:color w:val="000000" w:themeColor="text1"/>
          <w:lang w:val="en-US"/>
        </w:rPr>
        <w:t xml:space="preserve">was routinely confirmed in OVA/infected + OVA mice throughout all experiments in the manuscript. </w:t>
      </w:r>
      <w:r w:rsidR="00CE2959" w:rsidRPr="00BA6F83">
        <w:rPr>
          <w:rFonts w:cstheme="minorHAnsi"/>
          <w:color w:val="000000" w:themeColor="text1"/>
          <w:lang w:val="en-US"/>
        </w:rPr>
        <w:t>Mice were sacrificed by CO</w:t>
      </w:r>
      <w:r w:rsidR="00CE2959" w:rsidRPr="00BA6F83">
        <w:rPr>
          <w:rFonts w:cstheme="minorHAnsi"/>
          <w:color w:val="000000" w:themeColor="text1"/>
          <w:vertAlign w:val="subscript"/>
          <w:lang w:val="en-US"/>
        </w:rPr>
        <w:t>2</w:t>
      </w:r>
      <w:r w:rsidR="00CE2959" w:rsidRPr="00BA6F83">
        <w:rPr>
          <w:rFonts w:cstheme="minorHAnsi"/>
          <w:color w:val="000000" w:themeColor="text1"/>
          <w:lang w:val="en-US"/>
        </w:rPr>
        <w:t xml:space="preserve"> intoxication. In the experiment to evaluate the </w:t>
      </w:r>
      <w:r w:rsidR="00CE2959" w:rsidRPr="00BA6F83">
        <w:rPr>
          <w:rFonts w:asciiTheme="minorHAnsi" w:hAnsiTheme="minorHAnsi"/>
          <w:color w:val="000000" w:themeColor="text1"/>
          <w:lang w:val="en-US"/>
        </w:rPr>
        <w:t xml:space="preserve">antigen-specificity of the immune response to OVA, mice received repeated gavages with 50 mg bovine serum albumin (BSA, Enzo Life sciences) </w:t>
      </w:r>
      <w:r w:rsidR="00CE2959" w:rsidRPr="00BA6F83">
        <w:rPr>
          <w:rFonts w:cstheme="minorHAnsi"/>
          <w:color w:val="000000" w:themeColor="text1"/>
          <w:lang w:val="en-US"/>
        </w:rPr>
        <w:t>dissolved in 0.9% NaCl.</w:t>
      </w:r>
      <w:r w:rsidR="00CD62F7">
        <w:rPr>
          <w:rFonts w:cstheme="minorHAnsi"/>
          <w:color w:val="000000" w:themeColor="text1"/>
          <w:lang w:val="en-US"/>
        </w:rPr>
        <w:t xml:space="preserve"> In the experiment using </w:t>
      </w:r>
      <w:r w:rsidR="00CD62F7" w:rsidRPr="00963325">
        <w:rPr>
          <w:rFonts w:cstheme="minorHAnsi"/>
          <w:i/>
          <w:iCs/>
          <w:color w:val="000000" w:themeColor="text1"/>
          <w:lang w:val="en-US"/>
        </w:rPr>
        <w:t>Cpa3</w:t>
      </w:r>
      <w:r w:rsidR="00CD62F7" w:rsidRPr="00963325">
        <w:rPr>
          <w:rFonts w:cstheme="minorHAnsi"/>
          <w:i/>
          <w:iCs/>
          <w:color w:val="000000" w:themeColor="text1"/>
          <w:vertAlign w:val="superscript"/>
          <w:lang w:val="en-US"/>
        </w:rPr>
        <w:t>Cre</w:t>
      </w:r>
      <w:r w:rsidR="00CD62F7" w:rsidRPr="00963325">
        <w:rPr>
          <w:rFonts w:cstheme="minorHAnsi"/>
          <w:color w:val="000000" w:themeColor="text1"/>
          <w:vertAlign w:val="superscript"/>
          <w:lang w:val="en-US"/>
        </w:rPr>
        <w:t>/+</w:t>
      </w:r>
      <w:r w:rsidR="00CD62F7">
        <w:rPr>
          <w:rFonts w:cstheme="minorHAnsi"/>
          <w:color w:val="000000" w:themeColor="text1"/>
          <w:lang w:val="en-US"/>
        </w:rPr>
        <w:t xml:space="preserve"> mice, OVA re-exposure started 7 weeks after infection, after normalization of infection-induced VHS</w:t>
      </w:r>
      <w:r w:rsidR="00982267">
        <w:rPr>
          <w:rFonts w:cstheme="minorHAnsi"/>
          <w:color w:val="000000" w:themeColor="text1"/>
          <w:lang w:val="en-US"/>
        </w:rPr>
        <w:t xml:space="preserve"> (i.e. 6 weeks PI)</w:t>
      </w:r>
      <w:r w:rsidR="00CD62F7">
        <w:rPr>
          <w:rFonts w:cstheme="minorHAnsi"/>
          <w:color w:val="000000" w:themeColor="text1"/>
          <w:lang w:val="en-US"/>
        </w:rPr>
        <w:t xml:space="preserve">. </w:t>
      </w:r>
    </w:p>
    <w:p w14:paraId="26B5556F" w14:textId="77777777" w:rsidR="00CE2959" w:rsidRPr="00BA6F83" w:rsidRDefault="00CE2959" w:rsidP="00CE2959">
      <w:pPr>
        <w:spacing w:after="120" w:line="480" w:lineRule="auto"/>
        <w:jc w:val="both"/>
        <w:rPr>
          <w:rFonts w:cstheme="minorHAnsi"/>
          <w:i/>
          <w:color w:val="000000" w:themeColor="text1"/>
          <w:lang w:val="en-US"/>
        </w:rPr>
      </w:pPr>
    </w:p>
    <w:p w14:paraId="159B3B39"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Post-infectious protocol with prior OVA tolerization:</w:t>
      </w:r>
    </w:p>
    <w:p w14:paraId="7F3BC083"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Two weeks before the infection with </w:t>
      </w:r>
      <w:r w:rsidRPr="00BA6F83">
        <w:rPr>
          <w:rFonts w:cstheme="minorHAnsi"/>
          <w:i/>
          <w:color w:val="000000" w:themeColor="text1"/>
          <w:lang w:val="en-US"/>
        </w:rPr>
        <w:t xml:space="preserve">Citrobacter </w:t>
      </w:r>
      <w:proofErr w:type="spellStart"/>
      <w:r w:rsidRPr="00BA6F83">
        <w:rPr>
          <w:rFonts w:cstheme="minorHAnsi"/>
          <w:i/>
          <w:color w:val="000000" w:themeColor="text1"/>
          <w:lang w:val="en-US"/>
        </w:rPr>
        <w:t>rodentium</w:t>
      </w:r>
      <w:proofErr w:type="spellEnd"/>
      <w:r w:rsidRPr="00BA6F83">
        <w:rPr>
          <w:rFonts w:cstheme="minorHAnsi"/>
          <w:color w:val="000000" w:themeColor="text1"/>
          <w:lang w:val="en-US"/>
        </w:rPr>
        <w:t xml:space="preserve">, mice were exposed to 1 mg/mL of OVA in the drinking water (low dose oral tolerance) during 7 days or were orally </w:t>
      </w:r>
      <w:proofErr w:type="spellStart"/>
      <w:r w:rsidRPr="00BA6F83">
        <w:rPr>
          <w:rFonts w:cstheme="minorHAnsi"/>
          <w:color w:val="000000" w:themeColor="text1"/>
          <w:lang w:val="en-US"/>
        </w:rPr>
        <w:t>gavaged</w:t>
      </w:r>
      <w:proofErr w:type="spellEnd"/>
      <w:r w:rsidRPr="00BA6F83">
        <w:rPr>
          <w:rFonts w:cstheme="minorHAnsi"/>
          <w:color w:val="000000" w:themeColor="text1"/>
          <w:lang w:val="en-US"/>
        </w:rPr>
        <w:t xml:space="preserve"> 3 times, every other day, with 50 mg of OVA (high dose oral tolerance). Following tolerization, mice underwent the same post-infectious protocol described above. </w:t>
      </w:r>
    </w:p>
    <w:p w14:paraId="32555462" w14:textId="77777777" w:rsidR="00CE2959" w:rsidRPr="00BA6F83" w:rsidRDefault="00CE2959" w:rsidP="00CE2959">
      <w:pPr>
        <w:spacing w:after="120" w:line="480" w:lineRule="auto"/>
        <w:jc w:val="both"/>
        <w:rPr>
          <w:rFonts w:cstheme="minorHAnsi"/>
          <w:color w:val="000000" w:themeColor="text1"/>
          <w:lang w:val="en-US"/>
        </w:rPr>
      </w:pPr>
    </w:p>
    <w:p w14:paraId="0E92F192" w14:textId="77777777" w:rsidR="00CE2959" w:rsidRPr="00BA6F83" w:rsidRDefault="00CE2959" w:rsidP="00CE2959">
      <w:pPr>
        <w:spacing w:after="120" w:line="480" w:lineRule="auto"/>
        <w:jc w:val="both"/>
        <w:rPr>
          <w:i/>
          <w:color w:val="000000" w:themeColor="text1"/>
          <w:lang w:val="en-US"/>
        </w:rPr>
      </w:pPr>
      <w:r w:rsidRPr="00BA6F83">
        <w:rPr>
          <w:rFonts w:cstheme="minorHAnsi"/>
          <w:i/>
          <w:color w:val="000000" w:themeColor="text1"/>
          <w:lang w:val="en-US"/>
        </w:rPr>
        <w:t>Staphylococcal enterotoxin B (SEB) protocol:</w:t>
      </w:r>
    </w:p>
    <w:p w14:paraId="364A29D5"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Mice were exposed by oral gavage to 10 µg of SEB from </w:t>
      </w:r>
      <w:r w:rsidRPr="00BA6F83">
        <w:rPr>
          <w:rFonts w:cstheme="minorHAnsi"/>
          <w:i/>
          <w:color w:val="000000" w:themeColor="text1"/>
          <w:lang w:val="en-US"/>
        </w:rPr>
        <w:t>Staphylococcus</w:t>
      </w:r>
      <w:r w:rsidRPr="00BA6F83">
        <w:rPr>
          <w:rFonts w:cstheme="minorHAnsi"/>
          <w:color w:val="000000" w:themeColor="text1"/>
          <w:lang w:val="en-US"/>
        </w:rPr>
        <w:t xml:space="preserve"> </w:t>
      </w:r>
      <w:r w:rsidRPr="00BA6F83">
        <w:rPr>
          <w:rFonts w:cstheme="minorHAnsi"/>
          <w:i/>
          <w:color w:val="000000" w:themeColor="text1"/>
          <w:lang w:val="en-US"/>
        </w:rPr>
        <w:t>aureus</w:t>
      </w:r>
      <w:r w:rsidRPr="00BA6F83">
        <w:rPr>
          <w:rFonts w:cstheme="minorHAnsi"/>
          <w:color w:val="000000" w:themeColor="text1"/>
          <w:lang w:val="en-US"/>
        </w:rPr>
        <w:t xml:space="preserve"> (Sigma-Aldrich®) in the presence of 50 mg of OVA during 3 consecutive days. Similar to the post-infectious protocol, 5 weeks after OVA/SEB administration mice were re-exposed to OVA (50 mg). Visceromotor responses were measured </w:t>
      </w:r>
      <w:r w:rsidRPr="00BA6F83">
        <w:rPr>
          <w:rFonts w:cstheme="minorHAnsi"/>
          <w:color w:val="000000" w:themeColor="text1"/>
          <w:lang w:val="en-US"/>
        </w:rPr>
        <w:lastRenderedPageBreak/>
        <w:t>at different time-points: before the SEB administration (baseline) and after OVA re-exposure (Extended Data Fig. 5A). Mice were sacrificed by CO</w:t>
      </w:r>
      <w:r w:rsidRPr="00BA6F83">
        <w:rPr>
          <w:rFonts w:cstheme="minorHAnsi"/>
          <w:color w:val="000000" w:themeColor="text1"/>
          <w:vertAlign w:val="subscript"/>
          <w:lang w:val="en-US"/>
        </w:rPr>
        <w:t>2</w:t>
      </w:r>
      <w:r w:rsidRPr="00BA6F83">
        <w:rPr>
          <w:rFonts w:cstheme="minorHAnsi"/>
          <w:color w:val="000000" w:themeColor="text1"/>
          <w:lang w:val="en-US"/>
        </w:rPr>
        <w:t xml:space="preserve"> intoxication.</w:t>
      </w:r>
    </w:p>
    <w:p w14:paraId="5633A845" w14:textId="77777777" w:rsidR="00CE2959" w:rsidRPr="00BA6F83" w:rsidRDefault="00CE2959" w:rsidP="00CE2959">
      <w:pPr>
        <w:spacing w:after="120" w:line="480" w:lineRule="auto"/>
        <w:jc w:val="both"/>
        <w:rPr>
          <w:color w:val="000000" w:themeColor="text1"/>
          <w:u w:val="single"/>
          <w:lang w:val="en-US"/>
        </w:rPr>
      </w:pPr>
    </w:p>
    <w:p w14:paraId="16CB3B62"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Ovalbumin allergy protocol:</w:t>
      </w:r>
    </w:p>
    <w:p w14:paraId="0DB1C9B0" w14:textId="77777777" w:rsidR="00CE2959" w:rsidRPr="00BA6F83" w:rsidRDefault="00CE2959" w:rsidP="00CE2959">
      <w:pPr>
        <w:spacing w:after="120" w:line="480" w:lineRule="auto"/>
        <w:jc w:val="both"/>
        <w:rPr>
          <w:color w:val="000000" w:themeColor="text1"/>
          <w:lang w:val="en-US"/>
        </w:rPr>
      </w:pPr>
      <w:r w:rsidRPr="00BA6F83">
        <w:rPr>
          <w:color w:val="000000" w:themeColor="text1"/>
          <w:lang w:val="en-US"/>
        </w:rPr>
        <w:t>Six- to eight-week-old BALB/c mice were sensitized at day 0 and day 14 with 100 µg OVA (grade V) in the presence of 1 mg Alum (</w:t>
      </w:r>
      <w:proofErr w:type="spellStart"/>
      <w:r w:rsidRPr="00BA6F83">
        <w:rPr>
          <w:color w:val="000000" w:themeColor="text1"/>
          <w:lang w:val="en-US"/>
        </w:rPr>
        <w:t>ThermoFisher</w:t>
      </w:r>
      <w:proofErr w:type="spellEnd"/>
      <w:r w:rsidRPr="00BA6F83">
        <w:rPr>
          <w:color w:val="000000" w:themeColor="text1"/>
          <w:lang w:val="en-US"/>
        </w:rPr>
        <w:t xml:space="preserve"> Scientific Inc.) by intraperitoneal (i.p.) injection. From day 28, mice were challenged every other day with OVA (grade II, 50 mg) by oral gavage.</w:t>
      </w:r>
    </w:p>
    <w:p w14:paraId="7893296B" w14:textId="77777777" w:rsidR="00CE2959" w:rsidRPr="00BA6F83" w:rsidRDefault="00CE2959" w:rsidP="00CE2959">
      <w:pPr>
        <w:spacing w:after="120" w:line="480" w:lineRule="auto"/>
        <w:jc w:val="both"/>
        <w:rPr>
          <w:rFonts w:cstheme="minorHAnsi"/>
          <w:i/>
          <w:color w:val="000000" w:themeColor="text1"/>
          <w:lang w:val="en-US"/>
        </w:rPr>
      </w:pPr>
    </w:p>
    <w:p w14:paraId="40A8EED3"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Treatments of mice:</w:t>
      </w:r>
    </w:p>
    <w:p w14:paraId="2BDEDF5B" w14:textId="74D494F4"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Antibiotics treatment:</w:t>
      </w:r>
      <w:r w:rsidRPr="00BA6F83">
        <w:rPr>
          <w:rFonts w:cstheme="minorHAnsi"/>
          <w:color w:val="000000" w:themeColor="text1"/>
          <w:lang w:val="en-US"/>
        </w:rPr>
        <w:t xml:space="preserve"> Ampicillin (25 mg/mL, Sigma-Aldrich®), vancomycin (12.5 mg/mL, Sigma-Aldrich®), neomycin (25 mg/mL, Sigma-Aldrich®) and metronidazole (25 mg/mL, Sigma-Aldrich®) were dissolved in 0.9% NaCl and a volume of 10 mL/kg body weight was orally </w:t>
      </w:r>
      <w:proofErr w:type="spellStart"/>
      <w:r w:rsidRPr="00BA6F83">
        <w:rPr>
          <w:rFonts w:cstheme="minorHAnsi"/>
          <w:color w:val="000000" w:themeColor="text1"/>
          <w:lang w:val="en-US"/>
        </w:rPr>
        <w:t>gavaged</w:t>
      </w:r>
      <w:proofErr w:type="spellEnd"/>
      <w:r w:rsidRPr="00BA6F83">
        <w:rPr>
          <w:rFonts w:cstheme="minorHAnsi"/>
          <w:color w:val="000000" w:themeColor="text1"/>
          <w:lang w:val="en-US"/>
        </w:rPr>
        <w:t xml:space="preserve"> every day from week 4 after the infection with </w:t>
      </w:r>
      <w:r w:rsidRPr="00BA6F83">
        <w:rPr>
          <w:rFonts w:cstheme="minorHAnsi"/>
          <w:i/>
          <w:color w:val="000000" w:themeColor="text1"/>
          <w:lang w:val="en-US"/>
        </w:rPr>
        <w:t>C. rodentium</w:t>
      </w:r>
      <w:r w:rsidRPr="00BA6F83">
        <w:rPr>
          <w:rFonts w:cstheme="minorHAnsi"/>
          <w:color w:val="000000" w:themeColor="text1"/>
          <w:lang w:val="en-US"/>
        </w:rPr>
        <w:t xml:space="preserve"> until the sacrifice (Extended Data Fig. 2E). Antibiotic concoction was prepared fresh every day. When administered with OVA (250 mg/mL) during the re-exposure, this was dissolved and </w:t>
      </w:r>
      <w:proofErr w:type="spellStart"/>
      <w:r w:rsidRPr="00BA6F83">
        <w:rPr>
          <w:rFonts w:cstheme="minorHAnsi"/>
          <w:color w:val="000000" w:themeColor="text1"/>
          <w:lang w:val="en-US"/>
        </w:rPr>
        <w:t>gavaged</w:t>
      </w:r>
      <w:proofErr w:type="spellEnd"/>
      <w:r w:rsidRPr="00BA6F83">
        <w:rPr>
          <w:rFonts w:cstheme="minorHAnsi"/>
          <w:color w:val="000000" w:themeColor="text1"/>
          <w:lang w:val="en-US"/>
        </w:rPr>
        <w:t xml:space="preserve"> together with the antibiotic-cocktail. NaCl </w:t>
      </w:r>
      <w:bookmarkStart w:id="15" w:name="_Hlk11161164"/>
      <w:r w:rsidRPr="00BA6F83">
        <w:rPr>
          <w:rFonts w:cstheme="minorHAnsi"/>
          <w:color w:val="000000" w:themeColor="text1"/>
          <w:lang w:val="en-US"/>
        </w:rPr>
        <w:t>(NaCl%)</w:t>
      </w:r>
      <w:bookmarkEnd w:id="15"/>
      <w:r w:rsidRPr="00BA6F83">
        <w:rPr>
          <w:rFonts w:cstheme="minorHAnsi"/>
          <w:color w:val="000000" w:themeColor="text1"/>
          <w:lang w:val="en-US"/>
        </w:rPr>
        <w:t xml:space="preserve"> was used as vehicle treatment.</w:t>
      </w:r>
      <w:r w:rsidR="007A7E63">
        <w:rPr>
          <w:rFonts w:cstheme="minorHAnsi"/>
          <w:color w:val="000000" w:themeColor="text1"/>
          <w:lang w:val="en-US"/>
        </w:rPr>
        <w:t xml:space="preserve"> Absence of cultivable bacteria in antibiotics-treated mice was confirmed by </w:t>
      </w:r>
      <w:r w:rsidR="00982267">
        <w:rPr>
          <w:rFonts w:cstheme="minorHAnsi"/>
          <w:color w:val="000000" w:themeColor="text1"/>
          <w:lang w:val="en-US"/>
        </w:rPr>
        <w:t>culturing of</w:t>
      </w:r>
      <w:r w:rsidR="007A7E63">
        <w:rPr>
          <w:rFonts w:cstheme="minorHAnsi"/>
          <w:color w:val="000000" w:themeColor="text1"/>
          <w:lang w:val="en-US"/>
        </w:rPr>
        <w:t xml:space="preserve"> fecal pellets in </w:t>
      </w:r>
      <w:r w:rsidR="007A7E63" w:rsidRPr="007A7E63">
        <w:rPr>
          <w:rFonts w:cstheme="minorHAnsi"/>
          <w:color w:val="000000" w:themeColor="text1"/>
          <w:lang w:val="en-US"/>
        </w:rPr>
        <w:t>LB agar</w:t>
      </w:r>
      <w:r w:rsidR="007A7E63">
        <w:rPr>
          <w:rFonts w:cstheme="minorHAnsi"/>
          <w:color w:val="000000" w:themeColor="text1"/>
          <w:lang w:val="en-US"/>
        </w:rPr>
        <w:t xml:space="preserve"> incubated for 24h at 37˚C.</w:t>
      </w:r>
    </w:p>
    <w:p w14:paraId="202B8392"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Mast cell-stabilizer:</w:t>
      </w:r>
      <w:r w:rsidRPr="00BA6F83">
        <w:rPr>
          <w:rFonts w:cstheme="minorHAnsi"/>
          <w:color w:val="000000" w:themeColor="text1"/>
          <w:lang w:val="en-US"/>
        </w:rPr>
        <w:t xml:space="preserve"> </w:t>
      </w:r>
      <w:proofErr w:type="spellStart"/>
      <w:r w:rsidRPr="00BA6F83">
        <w:rPr>
          <w:rFonts w:cstheme="minorHAnsi"/>
          <w:color w:val="000000" w:themeColor="text1"/>
          <w:lang w:val="en-US"/>
        </w:rPr>
        <w:t>Doxantrazole</w:t>
      </w:r>
      <w:proofErr w:type="spellEnd"/>
      <w:r w:rsidRPr="00BA6F83">
        <w:rPr>
          <w:rFonts w:cstheme="minorHAnsi"/>
          <w:color w:val="000000" w:themeColor="text1"/>
          <w:lang w:val="en-US"/>
        </w:rPr>
        <w:t xml:space="preserve"> (Sigma-Aldrich®) was dissolved in NaCHO</w:t>
      </w:r>
      <w:r w:rsidRPr="00BA6F83">
        <w:rPr>
          <w:rFonts w:cstheme="minorHAnsi"/>
          <w:color w:val="000000" w:themeColor="text1"/>
          <w:vertAlign w:val="subscript"/>
          <w:lang w:val="en-US"/>
        </w:rPr>
        <w:t>3</w:t>
      </w:r>
      <w:r w:rsidRPr="00BA6F83">
        <w:rPr>
          <w:rFonts w:cstheme="minorHAnsi"/>
          <w:color w:val="000000" w:themeColor="text1"/>
          <w:lang w:val="en-US"/>
        </w:rPr>
        <w:t xml:space="preserve"> (0.5% w/v) by sonication for 25 min. Mice were treated i.p. with </w:t>
      </w:r>
      <w:proofErr w:type="spellStart"/>
      <w:r w:rsidRPr="00BA6F83">
        <w:rPr>
          <w:rFonts w:cstheme="minorHAnsi"/>
          <w:color w:val="000000" w:themeColor="text1"/>
          <w:lang w:val="en-US"/>
        </w:rPr>
        <w:t>doxantrazole</w:t>
      </w:r>
      <w:proofErr w:type="spellEnd"/>
      <w:r w:rsidRPr="00BA6F83">
        <w:rPr>
          <w:rFonts w:cstheme="minorHAnsi"/>
          <w:color w:val="000000" w:themeColor="text1"/>
          <w:lang w:val="en-US"/>
        </w:rPr>
        <w:t xml:space="preserve"> (16.5 mg/kg) daily 1h before the OVA re-exposure during 7 consecutive days. NaCHO</w:t>
      </w:r>
      <w:r w:rsidRPr="00BA6F83">
        <w:rPr>
          <w:rFonts w:cstheme="minorHAnsi"/>
          <w:color w:val="000000" w:themeColor="text1"/>
          <w:vertAlign w:val="subscript"/>
          <w:lang w:val="en-US"/>
        </w:rPr>
        <w:t>3</w:t>
      </w:r>
      <w:r w:rsidRPr="00BA6F83">
        <w:rPr>
          <w:rFonts w:cstheme="minorHAnsi"/>
          <w:color w:val="000000" w:themeColor="text1"/>
          <w:lang w:val="en-US"/>
        </w:rPr>
        <w:t xml:space="preserve"> (0.5% w/v) was used as vehicle treatment.</w:t>
      </w:r>
    </w:p>
    <w:p w14:paraId="406345E4" w14:textId="2842EBE9"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B cell depletion:</w:t>
      </w:r>
      <w:r w:rsidRPr="00BA6F83">
        <w:rPr>
          <w:rFonts w:cstheme="minorHAnsi"/>
          <w:color w:val="000000" w:themeColor="text1"/>
          <w:lang w:val="en-US"/>
        </w:rPr>
        <w:t xml:space="preserve"> The B cell depleting antibody, IgG2a anti-CD20 (clone 5D2, isotype IgG2a) and the control antibody (clone 3E5, isotype IgG2a) were kindly provided by Genentech. Mice were treated i.p with anti-</w:t>
      </w:r>
      <w:r w:rsidRPr="00BA6F83">
        <w:rPr>
          <w:rFonts w:cstheme="minorHAnsi"/>
          <w:color w:val="000000" w:themeColor="text1"/>
          <w:lang w:val="en-US"/>
        </w:rPr>
        <w:lastRenderedPageBreak/>
        <w:t>CD20 or control antibody (8 mg/kg) dissolved in PBS i.p. every other day</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{"citationItems":[{"id":"ITEM-1","itemData":{"DOI":"10.1002/hep.23238","ISBN":"1527-3350 (Electronic) 0270-9139 (Linking)","ISSN":"02709139","PMID":"19877182","abstract":"UNLABELLED: The treatment of primary biliary cirrhosis (PBC) with conventional immunosuppressive drugs has been relatively disappointing and there have been few efforts in defining a role for the newer biological agents useful in rheumatoid arthritis and other systemic autoimmune diseases. In this study we took advantage of transforming growth factor-beta (TGF-beta) receptor II dominant negative (dnTGF-betaRII) mice, a mouse model of autoimmune cholangitis, to address the therapeutic efficacy of B-cell depletion using anti-CD20. Mice were treated at either 4-6 weeks of age or beginning at 20-22 weeks of age with intraperitoneal injections of anti-CD20 every 2 weeks. We quantitated B-cell levels in all mice as well as antimitochondrial antibodies (AMA), serum and hepatic levels of proinflammatory cytokines, and histopathology of liver and colon. In mice whose treatment was initiated at 4-6 weeks of age, anti-CD20 therapy demonstrated a significantly lower incidence of liver inflammation associated with reduced numbers of activated hepatic CD8(+) T cells. However, colon inflammation was exacerbated. In contrast, in mice treated at 20-22 weeks of age, anti-CD20 therapy had relatively little effect on either liver or colon disease. As expected, all treated animals had reduced levels of B cells, absence of AMA, and increased levels in sera of tumor necrosis factor alpha (TNF-alpha), interleukin 6 (IL-6), and chemokine (C-C motif) ligand (CCL2) (monocyte chemoattractant protein 1 [MCP-1]).\\n\\nCONCLUSION: These data suggest potential usage of anti-CD20 in early PBC resistant to other modalities, but raise a cautionary note regarding the use of anti-CD20 in inflammatory bowel disease.","author":[{"dropping-particle":"","family":"Moritoki","given":"Yuki","non-dropping-particle":"","parse-names":false,"suffix":""},{"dropping-particle":"","family":"Lian","given":"Zhe Xiong","non-dropping-particle":"","parse-names":false,"suffix":""},{"dropping-particle":"","family":"Lindor","given":"Keith","non-dropping-particle":"","parse-names":false,"suffix":""},{"dropping-particle":"","family":"Tuscano","given":"Joseph","non-dropping-particle":"","parse-names":false,"suffix":""},{"dropping-particle":"","family":"Tsuneyama","given":"Koichi","non-dropping-particle":"","parse-names":false,"suffix":""},{"dropping-particle":"","family":"Zhang","given":"Weici","non-dropping-particle":"","parse-names":false,"suffix":""},{"dropping-particle":"","family":"Ueno","given":"Yoshiyuki","non-dropping-particle":"","parse-names":false,"suffix":""},{"dropping-particle":"","family":"Dunn","given":"Robert","non-dropping-particle":"","parse-names":false,"suffix":""},{"dropping-particle":"","family":"Kehry","given":"Marilyn","non-dropping-particle":"","parse-names":false,"suffix":""},{"dropping-particle":"","family":"Coppel","given":"Ross L.","non-dropping-particle":"","parse-names":false,"suffix":""},{"dropping-particle":"","family":"Mackay","given":"Ian R.","non-dropping-particle":"","parse-names":false,"suffix":""},{"dropping-particle":"","family":"Gershwin","given":"M. Eric","non-dropping-particle":"","parse-names":false,"suffix":""}],"container-title":"Hepatology","id":"ITEM-1","issue":"6","issued":{"date-parts":[["2009"]]},"page":"1893-1903","title":"B-cell depletion with anti-CD20 ameliorates autoimmune cholangitis but exacerbates colitis in transforming growth factor-β receptor II dominant negative mice","type":"article-journal","volume":"50"},"uris":["http://www.mendeley.com/documents/?uuid=f4d70c3b-d67c-495c-9221-a681ced58a43"]}],"mendeley":{"formattedCitation":"&lt;sup&gt;70&lt;/sup&gt;","plainTextFormattedCitation":"70","previouslyFormattedCitation":"&lt;sup&gt;69&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70</w:t>
      </w:r>
      <w:r w:rsidRPr="00BA6F83">
        <w:rPr>
          <w:rFonts w:cstheme="minorHAnsi"/>
          <w:color w:val="000000" w:themeColor="text1"/>
          <w:lang w:val="en-US"/>
        </w:rPr>
        <w:fldChar w:fldCharType="end"/>
      </w:r>
      <w:r w:rsidRPr="00BA6F83">
        <w:rPr>
          <w:rFonts w:cstheme="minorHAnsi"/>
          <w:color w:val="000000" w:themeColor="text1"/>
          <w:lang w:val="en-US"/>
        </w:rPr>
        <w:t xml:space="preserve"> from 4 weeks after the infection with </w:t>
      </w:r>
      <w:r w:rsidRPr="00BA6F83">
        <w:rPr>
          <w:rFonts w:cstheme="minorHAnsi"/>
          <w:i/>
          <w:color w:val="000000" w:themeColor="text1"/>
          <w:lang w:val="en-US"/>
        </w:rPr>
        <w:t>C. rodentium</w:t>
      </w:r>
      <w:r w:rsidRPr="00BA6F83">
        <w:rPr>
          <w:rFonts w:cstheme="minorHAnsi"/>
          <w:color w:val="000000" w:themeColor="text1"/>
          <w:lang w:val="en-US"/>
        </w:rPr>
        <w:t xml:space="preserve"> until the sacrifice (Extended Data Fig. 4E). </w:t>
      </w:r>
    </w:p>
    <w:p w14:paraId="3B7D0B1A" w14:textId="31044EE5"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Plasma cell depletion:</w:t>
      </w:r>
      <w:r w:rsidRPr="00BA6F83">
        <w:rPr>
          <w:rFonts w:cstheme="minorHAnsi"/>
          <w:color w:val="000000" w:themeColor="text1"/>
          <w:lang w:val="en-US"/>
        </w:rPr>
        <w:t xml:space="preserve"> Bortezomib (</w:t>
      </w:r>
      <w:proofErr w:type="spellStart"/>
      <w:r w:rsidRPr="00BA6F83">
        <w:rPr>
          <w:rFonts w:cstheme="minorHAnsi"/>
          <w:color w:val="000000" w:themeColor="text1"/>
          <w:lang w:val="en-US"/>
        </w:rPr>
        <w:t>Selleckchem</w:t>
      </w:r>
      <w:proofErr w:type="spellEnd"/>
      <w:r w:rsidRPr="00BA6F83">
        <w:rPr>
          <w:rFonts w:cstheme="minorHAnsi"/>
          <w:color w:val="000000" w:themeColor="text1"/>
          <w:lang w:val="en-US"/>
        </w:rPr>
        <w:t>) was dissolved in PBS (DMSO 0.1% v/v). Mice were treated i.p. with bortezomib (0.65 mg/kg)</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{"citationItems":[{"id":"ITEM-1","itemData":{"DOI":"10.1189/jlb.0613310","ISSN":"0741-5400","PMID":"24231258","abstract":"Continuous exposure to commensal bacteria gives rise to a complex intestinal immune system that maintains local tolerance, which requires Foxp3-expressing Treg. Recently, the regulation of TFH function by plasma cells has been reported, but effects of intestinal LP-PCs, one of the richest plasma cells in the body, on T cell differentiation have not been studied. Here, we investigated whether IgA(+) LP-PCs from murine small intestines had effects on T cell differentiation. Surprisingly, when IgA(+) LP-PCs were cocultured with CD4(+) T cells, Foxp3 expression was increased significantly in CD4(+)CD25(-) T cells. Results using the Transwell coculture system revealed that soluble factors from LP-PCs, TGF-β, and RA were involved in the induction of Foxp3 expression. Furthermore, Foxp3(+)CD25(-) T cells were decreased in PP after intestinal depletion of plasma cells. In addition, intestinal colony transfer from SPF to germ-free mice was demonstrated to generate IgA(+) LP-PCs and Foxp3(+) T cells with meaningful correlation in LP. We report for the first time that IgA(+) LP-PCs induce Foxp3 expression in T cells through TGF-β and RA. LP-PCs generated by commensal bacteria may play a crucial role in intestinal immunity through the induction of Treg, as well as IgA production.","author":[{"dropping-particle":"","family":"Kim","given":"M. S.","non-dropping-particle":"","parse-names":false,"suffix":""},{"dropping-particle":"","family":"Kim","given":"T. S.","non-dropping-particle":"","parse-names":false,"suffix":""}],"container-title":"Journal of Leukocyte Biology","id":"ITEM-1","issue":"3","issued":{"date-parts":[["2014"]]},"page":"461-469","title":"IgA+ plasma cells in murine intestinal lamina propria as a positive regulator of Treg differentiation","type":"article-journal","volume":"95"},"uris":["http://www.mendeley.com/documents/?uuid=86939418-ac8a-4172-9f52-7d51904b8dc1"]}],"mendeley":{"formattedCitation":"&lt;sup&gt;71&lt;/sup&gt;","plainTextFormattedCitation":"71","previouslyFormattedCitation":"&lt;sup&gt;70&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71</w:t>
      </w:r>
      <w:r w:rsidRPr="00BA6F83">
        <w:rPr>
          <w:rFonts w:cstheme="minorHAnsi"/>
          <w:color w:val="000000" w:themeColor="text1"/>
          <w:lang w:val="en-US"/>
        </w:rPr>
        <w:fldChar w:fldCharType="end"/>
      </w:r>
      <w:r w:rsidRPr="00BA6F83">
        <w:rPr>
          <w:rFonts w:cstheme="minorHAnsi"/>
          <w:color w:val="000000" w:themeColor="text1"/>
          <w:lang w:val="en-US"/>
        </w:rPr>
        <w:t xml:space="preserve"> every day from 4 weeks after the infection with </w:t>
      </w:r>
      <w:r w:rsidRPr="00BA6F83">
        <w:rPr>
          <w:rFonts w:cstheme="minorHAnsi"/>
          <w:i/>
          <w:color w:val="000000" w:themeColor="text1"/>
          <w:lang w:val="en-US"/>
        </w:rPr>
        <w:t>C. rodentium</w:t>
      </w:r>
      <w:r w:rsidRPr="00BA6F83">
        <w:rPr>
          <w:rFonts w:cstheme="minorHAnsi"/>
          <w:color w:val="000000" w:themeColor="text1"/>
          <w:lang w:val="en-US"/>
        </w:rPr>
        <w:t xml:space="preserve"> until the sacrifice. PBS (DMSO 0.1% v/v) was used as vehicle treatment (Extended Data Fig. 4E).</w:t>
      </w:r>
    </w:p>
    <w:p w14:paraId="471FC507" w14:textId="1A634F73"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Anti-</w:t>
      </w:r>
      <w:proofErr w:type="spellStart"/>
      <w:r w:rsidRPr="00BA6F83">
        <w:rPr>
          <w:rFonts w:cstheme="minorHAnsi"/>
          <w:color w:val="000000" w:themeColor="text1"/>
          <w:u w:val="single"/>
          <w:lang w:val="en-US"/>
        </w:rPr>
        <w:t>IgE</w:t>
      </w:r>
      <w:proofErr w:type="spellEnd"/>
      <w:r w:rsidRPr="00BA6F83">
        <w:rPr>
          <w:rFonts w:cstheme="minorHAnsi"/>
          <w:color w:val="000000" w:themeColor="text1"/>
          <w:u w:val="single"/>
          <w:lang w:val="en-US"/>
        </w:rPr>
        <w:t xml:space="preserve"> antibody:</w:t>
      </w:r>
      <w:r w:rsidRPr="00BA6F83">
        <w:rPr>
          <w:rFonts w:cstheme="minorHAnsi"/>
          <w:color w:val="000000" w:themeColor="text1"/>
          <w:lang w:val="en-US"/>
        </w:rPr>
        <w:t xml:space="preserve"> Anti-</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xml:space="preserve"> antibody (clone R1E4, </w:t>
      </w:r>
      <w:proofErr w:type="spellStart"/>
      <w:r w:rsidRPr="00BA6F83">
        <w:rPr>
          <w:rFonts w:cstheme="minorHAnsi"/>
          <w:color w:val="000000" w:themeColor="text1"/>
          <w:lang w:val="en-US"/>
        </w:rPr>
        <w:t>Kerafast</w:t>
      </w:r>
      <w:proofErr w:type="spellEnd"/>
      <w:r w:rsidRPr="00BA6F83">
        <w:rPr>
          <w:rFonts w:cstheme="minorHAnsi"/>
          <w:color w:val="000000" w:themeColor="text1"/>
          <w:lang w:val="en-US"/>
        </w:rPr>
        <w:t>) was dissolved in NaCl (</w:t>
      </w:r>
      <w:r w:rsidR="00DD502C">
        <w:rPr>
          <w:rFonts w:cstheme="minorHAnsi"/>
          <w:color w:val="000000" w:themeColor="text1"/>
          <w:lang w:val="en-US"/>
        </w:rPr>
        <w:t>0.9</w:t>
      </w:r>
      <w:r w:rsidRPr="00BA6F83">
        <w:rPr>
          <w:rFonts w:cstheme="minorHAnsi"/>
          <w:color w:val="000000" w:themeColor="text1"/>
          <w:lang w:val="en-US"/>
        </w:rPr>
        <w:t>%). Mice were treated i.p. with anti-</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xml:space="preserve"> antibody (1 mg/kg) once a week starting before the re-exposure until the sacrifice. NaCl (0.9 %) was used as vehicle treatment.</w:t>
      </w:r>
    </w:p>
    <w:p w14:paraId="28D67C8E" w14:textId="3727ACDA"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Pyrilamine:</w:t>
      </w:r>
      <w:r w:rsidRPr="00BA6F83">
        <w:rPr>
          <w:rFonts w:cstheme="minorHAnsi"/>
          <w:i/>
          <w:color w:val="000000" w:themeColor="text1"/>
          <w:lang w:val="en-US"/>
        </w:rPr>
        <w:t xml:space="preserve"> </w:t>
      </w:r>
      <w:r w:rsidRPr="00BA6F83">
        <w:rPr>
          <w:rFonts w:cstheme="minorHAnsi"/>
          <w:color w:val="000000" w:themeColor="text1"/>
          <w:lang w:val="en-US"/>
        </w:rPr>
        <w:t>Pyrilamine maleate salt (Sigma-Aldrich®) was dissolved in 0.9% NaCl. Mice were treated i.p. with pyrilamine (5 mg/kg)</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{"citationItems":[{"id":"ITEM-1","itemData":{"DOI":"10.1073/pnas.0600451103","ISBN":"0027-8424 (Print)\\r0027-8424 (Linking)","ISSN":"0027-8424","PMID":"16537376","abstract":"Histaminergic neurons play an important role in the regulation of sleep-wake behavior through histamine H(1) receptors (H(1)R). Blockade of the histamine H(3) receptor (H(3)R) is proposed to induce wakefulness by regulating the release of various wake-related transmitters, not only histamine. In the present study, we characterized sleep-wake cycles of H(1)R knockout (KO) mice and their arousal responses to an H(3)R antagonist. Under baseline conditions, H(1)R KO mice showed sleep-wake cycles essentially identical to those of WT mice but with fewer incidents of brief awakening (&lt;16-sec epoch), prolonged durations of non-rapid eye movement (NREM) sleep episodes, a decreased number of state transitions between NREM sleep and wakefulness, and a shorter latency for initiating NREM sleep after an i.p. injection of saline. The H(1)R antagonist pyrilamine mimicked these effects in WT mice. When an H(3)R antagonist, ciproxifan, was administered i.p., wakefulness increased in WT mice in a dose-dependent manner but did not increase at all in H(1)R KO mice. In vivo microdialysis revealed that the i.p. application of ciproxifan increased histamine release from the frontal cortex in both genotypes of mice. These results indicate that H(1)R is involved in the regulation of behavioral state transitions from NREM sleep to wakefulness and that the arousal effect of the H(3)R antagonist completely depends on the activation of histaminergic systems through H(1)R.","author":[{"dropping-particle":"","family":"Huang","given":"Z.-L.","non-dropping-particle":"","parse-names":false,"suffix":""},{"dropping-particle":"","family":"Mochizuki","given":"T.","non-dropping-particle":"","parse-names":false,"suffix":""},{"dropping-particle":"","family":"Qu","given":"W.-M.","non-dropping-particle":"","parse-names":false,"suffix":""},{"dropping-particle":"","family":"Hong","given":"Z.-Y.","non-dropping-particle":"","parse-names":false,"suffix":""},{"dropping-particle":"","family":"Watanabe","given":"T.","non-dropping-particle":"","parse-names":false,"suffix":""},{"dropping-particle":"","family":"Urade","given":"Y.","non-dropping-particle":"","parse-names":false,"suffix":""},{"dropping-particle":"","family":"Hayaishi","given":"O.","non-dropping-particle":"","parse-names":false,"suffix":""}],"container-title":"Proceedings of the National Academy of Sciences","id":"ITEM-1","issue":"12","issued":{"date-parts":[["2006"]]},"page":"4687-4692","title":"Altered sleep-wake characteristics and lack of arousal response to H3 receptor antagonist in histamine H1 receptor knockout mice","type":"article-journal","volume":"103"},"uris":["http://www.mendeley.com/documents/?uuid=ff10ec77-8a12-46a9-aa0c-b7336af2dc1a"]}],"mendeley":{"formattedCitation":"&lt;sup&gt;72&lt;/sup&gt;","plainTextFormattedCitation":"72","previouslyFormattedCitation":"&lt;sup&gt;71&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72</w:t>
      </w:r>
      <w:r w:rsidRPr="00BA6F83">
        <w:rPr>
          <w:rFonts w:cstheme="minorHAnsi"/>
          <w:color w:val="000000" w:themeColor="text1"/>
          <w:lang w:val="en-US"/>
        </w:rPr>
        <w:fldChar w:fldCharType="end"/>
      </w:r>
      <w:r w:rsidRPr="00BA6F83">
        <w:rPr>
          <w:rFonts w:cstheme="minorHAnsi"/>
          <w:color w:val="000000" w:themeColor="text1"/>
          <w:lang w:val="en-US"/>
        </w:rPr>
        <w:t xml:space="preserve"> every other day 1h before the OVA re-exposure until the end of the experiment. NaCl (0.9 %) was used as vehicle treatment.</w:t>
      </w:r>
    </w:p>
    <w:p w14:paraId="4775135A"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u w:val="single"/>
          <w:lang w:val="en-US"/>
        </w:rPr>
        <w:t>M</w:t>
      </w:r>
      <w:r w:rsidRPr="00BA6F83">
        <w:rPr>
          <w:rFonts w:asciiTheme="minorHAnsi" w:hAnsiTheme="minorHAnsi"/>
          <w:color w:val="000000" w:themeColor="text1"/>
          <w:u w:val="single"/>
          <w:lang w:val="en-US"/>
        </w:rPr>
        <w:t xml:space="preserve">onoclonal OVA-specific </w:t>
      </w:r>
      <w:proofErr w:type="spellStart"/>
      <w:r w:rsidRPr="00BA6F83">
        <w:rPr>
          <w:rFonts w:asciiTheme="minorHAnsi" w:hAnsiTheme="minorHAnsi"/>
          <w:color w:val="000000" w:themeColor="text1"/>
          <w:u w:val="single"/>
          <w:lang w:val="en-US"/>
        </w:rPr>
        <w:t>IgE</w:t>
      </w:r>
      <w:proofErr w:type="spellEnd"/>
      <w:r w:rsidRPr="00BA6F83">
        <w:rPr>
          <w:rFonts w:asciiTheme="minorHAnsi" w:hAnsiTheme="minorHAnsi"/>
          <w:color w:val="000000" w:themeColor="text1"/>
          <w:u w:val="single"/>
          <w:lang w:val="en-US"/>
        </w:rPr>
        <w:t xml:space="preserve"> antibody</w:t>
      </w:r>
      <w:r w:rsidRPr="00BA6F83">
        <w:rPr>
          <w:rFonts w:cstheme="minorHAnsi"/>
          <w:color w:val="000000" w:themeColor="text1"/>
          <w:u w:val="single"/>
          <w:lang w:val="en-US"/>
        </w:rPr>
        <w:t>:</w:t>
      </w:r>
      <w:r w:rsidRPr="00BA6F83">
        <w:rPr>
          <w:rFonts w:cstheme="minorHAnsi"/>
          <w:color w:val="000000" w:themeColor="text1"/>
          <w:lang w:val="en-US"/>
        </w:rPr>
        <w:t xml:space="preserve"> Mouse anti-OVA monoclonal </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xml:space="preserve"> antibody (clone E-C1) was diluted in PBS. Mice were treated i.p. with </w:t>
      </w:r>
      <w:r w:rsidRPr="00BA6F83">
        <w:rPr>
          <w:rFonts w:asciiTheme="minorHAnsi" w:hAnsiTheme="minorHAnsi"/>
          <w:color w:val="000000" w:themeColor="text1"/>
          <w:lang w:val="en-US"/>
        </w:rPr>
        <w:t xml:space="preserve">OVA-specific </w:t>
      </w:r>
      <w:proofErr w:type="spellStart"/>
      <w:r w:rsidRPr="00BA6F83">
        <w:rPr>
          <w:rFonts w:asciiTheme="minorHAnsi" w:hAnsiTheme="minorHAnsi"/>
          <w:color w:val="000000" w:themeColor="text1"/>
          <w:lang w:val="en-US"/>
        </w:rPr>
        <w:t>IgE</w:t>
      </w:r>
      <w:proofErr w:type="spellEnd"/>
      <w:r w:rsidRPr="00BA6F83">
        <w:rPr>
          <w:rFonts w:asciiTheme="minorHAnsi" w:hAnsiTheme="minorHAnsi"/>
          <w:color w:val="000000" w:themeColor="text1"/>
          <w:lang w:val="en-US"/>
        </w:rPr>
        <w:t xml:space="preserve"> antibody</w:t>
      </w:r>
      <w:r w:rsidRPr="00BA6F83">
        <w:rPr>
          <w:rFonts w:cstheme="minorHAnsi"/>
          <w:color w:val="000000" w:themeColor="text1"/>
          <w:lang w:val="en-US"/>
        </w:rPr>
        <w:t xml:space="preserve"> (10 µg/mouse) 2 and 1 days before the 1</w:t>
      </w:r>
      <w:r w:rsidRPr="00BA6F83">
        <w:rPr>
          <w:rFonts w:cstheme="minorHAnsi"/>
          <w:color w:val="000000" w:themeColor="text1"/>
          <w:vertAlign w:val="superscript"/>
          <w:lang w:val="en-US"/>
        </w:rPr>
        <w:t>st</w:t>
      </w:r>
      <w:r w:rsidRPr="00BA6F83">
        <w:rPr>
          <w:rFonts w:cstheme="minorHAnsi"/>
          <w:color w:val="000000" w:themeColor="text1"/>
          <w:lang w:val="en-US"/>
        </w:rPr>
        <w:t xml:space="preserve"> OVA exposure, and another time 1 day before the 4</w:t>
      </w:r>
      <w:r w:rsidRPr="00BA6F83">
        <w:rPr>
          <w:rFonts w:cstheme="minorHAnsi"/>
          <w:color w:val="000000" w:themeColor="text1"/>
          <w:vertAlign w:val="superscript"/>
          <w:lang w:val="en-US"/>
        </w:rPr>
        <w:t>th</w:t>
      </w:r>
      <w:r w:rsidRPr="00BA6F83">
        <w:rPr>
          <w:rFonts w:cstheme="minorHAnsi"/>
          <w:color w:val="000000" w:themeColor="text1"/>
          <w:lang w:val="en-US"/>
        </w:rPr>
        <w:t xml:space="preserve"> OVA exposure (Extended Data Fig. 1J). After OVA-specific </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xml:space="preserve"> antibody injection, mice were orally </w:t>
      </w:r>
      <w:proofErr w:type="spellStart"/>
      <w:r w:rsidRPr="00BA6F83">
        <w:rPr>
          <w:rFonts w:cstheme="minorHAnsi"/>
          <w:color w:val="000000" w:themeColor="text1"/>
          <w:lang w:val="en-US"/>
        </w:rPr>
        <w:t>gavaged</w:t>
      </w:r>
      <w:proofErr w:type="spellEnd"/>
      <w:r w:rsidRPr="00BA6F83">
        <w:rPr>
          <w:rFonts w:cstheme="minorHAnsi"/>
          <w:color w:val="000000" w:themeColor="text1"/>
          <w:lang w:val="en-US"/>
        </w:rPr>
        <w:t xml:space="preserve"> with OVA 4 times. Monoclonal Anti-Dinitrophenyl (DNP) antibody was used as non-specific </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xml:space="preserve"> control antibody.</w:t>
      </w:r>
    </w:p>
    <w:p w14:paraId="71742D46" w14:textId="77777777" w:rsidR="00CE2959" w:rsidRPr="00BA6F83" w:rsidRDefault="00CE2959" w:rsidP="00CE2959">
      <w:pPr>
        <w:spacing w:after="120" w:line="480" w:lineRule="auto"/>
        <w:jc w:val="both"/>
        <w:rPr>
          <w:color w:val="000000" w:themeColor="text1"/>
          <w:u w:val="single"/>
          <w:lang w:val="en-US"/>
        </w:rPr>
      </w:pPr>
    </w:p>
    <w:p w14:paraId="10F9BE82" w14:textId="437125CD"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 xml:space="preserve">Diarrhea </w:t>
      </w:r>
      <w:r w:rsidR="00DD502C">
        <w:rPr>
          <w:i/>
          <w:color w:val="000000" w:themeColor="text1"/>
          <w:lang w:val="en-US"/>
        </w:rPr>
        <w:t>development</w:t>
      </w:r>
      <w:r w:rsidRPr="00BA6F83">
        <w:rPr>
          <w:i/>
          <w:color w:val="000000" w:themeColor="text1"/>
          <w:lang w:val="en-US"/>
        </w:rPr>
        <w:t>:</w:t>
      </w:r>
    </w:p>
    <w:p w14:paraId="580E403D" w14:textId="3BAAB503" w:rsidR="00CE2959" w:rsidRDefault="00DD502C" w:rsidP="00CE2959">
      <w:pPr>
        <w:spacing w:after="120" w:line="480" w:lineRule="auto"/>
        <w:jc w:val="both"/>
        <w:rPr>
          <w:color w:val="000000" w:themeColor="text1"/>
          <w:lang w:val="en-US"/>
        </w:rPr>
      </w:pPr>
      <w:r w:rsidRPr="00963325">
        <w:rPr>
          <w:color w:val="000000" w:themeColor="text1"/>
          <w:u w:val="single"/>
          <w:lang w:val="en-US"/>
        </w:rPr>
        <w:t>Diarrhea score:</w:t>
      </w:r>
      <w:r>
        <w:rPr>
          <w:color w:val="000000" w:themeColor="text1"/>
          <w:lang w:val="en-US"/>
        </w:rPr>
        <w:t xml:space="preserve"> </w:t>
      </w:r>
      <w:r w:rsidR="00CE2959" w:rsidRPr="00BA6F83">
        <w:rPr>
          <w:color w:val="000000" w:themeColor="text1"/>
          <w:lang w:val="en-US"/>
        </w:rPr>
        <w:t>Mice were placed in a metabolic cage provided with water for 1 h after OVA gavage. Diarrhea was scored as follows: 1 = normal and dry pellet; 2 = normal and wetter pellet; 3 = wet and less-shaped pellet; 4 = complete diarrhea.</w:t>
      </w:r>
    </w:p>
    <w:p w14:paraId="35C35B26" w14:textId="66C3F154" w:rsidR="00CE2959" w:rsidRDefault="00DD502C" w:rsidP="00CE2959">
      <w:pPr>
        <w:spacing w:after="120" w:line="480" w:lineRule="auto"/>
        <w:jc w:val="both"/>
        <w:rPr>
          <w:color w:val="000000" w:themeColor="text1"/>
          <w:lang w:val="en-US"/>
        </w:rPr>
      </w:pPr>
      <w:r w:rsidRPr="00963325">
        <w:rPr>
          <w:color w:val="000000" w:themeColor="text1"/>
          <w:u w:val="single"/>
          <w:lang w:val="en-US"/>
        </w:rPr>
        <w:lastRenderedPageBreak/>
        <w:t>Whole-gut Transit time:</w:t>
      </w:r>
      <w:r>
        <w:rPr>
          <w:color w:val="000000" w:themeColor="text1"/>
          <w:lang w:val="en-US"/>
        </w:rPr>
        <w:t xml:space="preserve"> Carmine red dye (6%) was dissolved in methylcellulose (0.5% w/v</w:t>
      </w:r>
      <w:proofErr w:type="gramStart"/>
      <w:r>
        <w:rPr>
          <w:color w:val="000000" w:themeColor="text1"/>
          <w:lang w:val="en-US"/>
        </w:rPr>
        <w:t>)  and</w:t>
      </w:r>
      <w:proofErr w:type="gramEnd"/>
      <w:r>
        <w:rPr>
          <w:color w:val="000000" w:themeColor="text1"/>
          <w:lang w:val="en-US"/>
        </w:rPr>
        <w:t xml:space="preserve"> orally </w:t>
      </w:r>
      <w:proofErr w:type="spellStart"/>
      <w:r>
        <w:rPr>
          <w:color w:val="000000" w:themeColor="text1"/>
          <w:lang w:val="en-US"/>
        </w:rPr>
        <w:t>gavaged</w:t>
      </w:r>
      <w:proofErr w:type="spellEnd"/>
      <w:r>
        <w:rPr>
          <w:color w:val="000000" w:themeColor="text1"/>
          <w:lang w:val="en-US"/>
        </w:rPr>
        <w:t xml:space="preserve"> to overnight</w:t>
      </w:r>
      <w:r w:rsidR="00CF37FE">
        <w:rPr>
          <w:color w:val="000000" w:themeColor="text1"/>
          <w:lang w:val="en-US"/>
        </w:rPr>
        <w:t xml:space="preserve"> (12-hours)</w:t>
      </w:r>
      <w:r>
        <w:rPr>
          <w:color w:val="000000" w:themeColor="text1"/>
          <w:lang w:val="en-US"/>
        </w:rPr>
        <w:t xml:space="preserve"> fasted mice. Then, mice were individually placed in cages and time was monitored until the presence of the first fecal pellet containing carmine red dye.</w:t>
      </w:r>
    </w:p>
    <w:p w14:paraId="35B75E3B" w14:textId="137D8B03" w:rsidR="00DD502C" w:rsidRDefault="00DD502C" w:rsidP="00CE2959">
      <w:pPr>
        <w:spacing w:after="120" w:line="480" w:lineRule="auto"/>
        <w:jc w:val="both"/>
        <w:rPr>
          <w:color w:val="000000" w:themeColor="text1"/>
          <w:lang w:val="en-US"/>
        </w:rPr>
      </w:pPr>
      <w:r w:rsidRPr="00963325">
        <w:rPr>
          <w:color w:val="000000" w:themeColor="text1"/>
          <w:u w:val="single"/>
          <w:lang w:val="en-US"/>
        </w:rPr>
        <w:t>Water content assessment:</w:t>
      </w:r>
      <w:r>
        <w:rPr>
          <w:color w:val="000000" w:themeColor="text1"/>
          <w:lang w:val="en-US"/>
        </w:rPr>
        <w:t xml:space="preserve"> Fecal pellets were collected after whole-gut transit time experiment (2 hours after carmine dye gavage) and weighed. Next, samples were again weighed after 24-hour-incubation at 50˚C (with the Eppendorf tube lid open), and water content was determined</w:t>
      </w:r>
      <w:r w:rsidR="00CF37FE">
        <w:rPr>
          <w:color w:val="000000" w:themeColor="text1"/>
          <w:lang w:val="en-US"/>
        </w:rPr>
        <w:t xml:space="preserve"> (</w:t>
      </w:r>
      <w:r>
        <w:rPr>
          <w:color w:val="000000" w:themeColor="text1"/>
          <w:lang w:val="en-US"/>
        </w:rPr>
        <w:t>calculated as weight %</w:t>
      </w:r>
      <w:r w:rsidR="00CF37FE">
        <w:rPr>
          <w:color w:val="000000" w:themeColor="text1"/>
          <w:lang w:val="en-US"/>
        </w:rPr>
        <w:t>)</w:t>
      </w:r>
      <w:r>
        <w:rPr>
          <w:color w:val="000000" w:themeColor="text1"/>
          <w:lang w:val="en-US"/>
        </w:rPr>
        <w:t>.</w:t>
      </w:r>
    </w:p>
    <w:p w14:paraId="7B3DEAEF" w14:textId="77777777" w:rsidR="00DD502C" w:rsidRDefault="00DD502C" w:rsidP="00CE2959">
      <w:pPr>
        <w:spacing w:after="120" w:line="480" w:lineRule="auto"/>
        <w:jc w:val="both"/>
        <w:rPr>
          <w:color w:val="000000" w:themeColor="text1"/>
          <w:lang w:val="en-US"/>
        </w:rPr>
      </w:pPr>
    </w:p>
    <w:p w14:paraId="228C855E" w14:textId="2655D2F8"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 xml:space="preserve">ELISA OVA-specific </w:t>
      </w:r>
      <w:proofErr w:type="spellStart"/>
      <w:r w:rsidRPr="00BA6F83">
        <w:rPr>
          <w:rFonts w:cstheme="minorHAnsi"/>
          <w:i/>
          <w:color w:val="000000" w:themeColor="text1"/>
          <w:lang w:val="en-US"/>
        </w:rPr>
        <w:t>IgE</w:t>
      </w:r>
      <w:proofErr w:type="spellEnd"/>
      <w:r w:rsidRPr="00BA6F83">
        <w:rPr>
          <w:rFonts w:cstheme="minorHAnsi"/>
          <w:i/>
          <w:color w:val="000000" w:themeColor="text1"/>
          <w:lang w:val="en-US"/>
        </w:rPr>
        <w:t>:</w:t>
      </w:r>
    </w:p>
    <w:p w14:paraId="03E52259" w14:textId="0CC435FE" w:rsidR="00CE2959" w:rsidRPr="00BA6F83" w:rsidRDefault="00CE2959" w:rsidP="00B913EA">
      <w:pPr>
        <w:spacing w:after="120" w:line="480" w:lineRule="auto"/>
        <w:jc w:val="both"/>
        <w:rPr>
          <w:rFonts w:cstheme="minorHAnsi"/>
          <w:color w:val="000000" w:themeColor="text1"/>
          <w:lang w:val="en-US"/>
        </w:rPr>
      </w:pPr>
      <w:r w:rsidRPr="00BA6F83">
        <w:rPr>
          <w:rFonts w:cstheme="minorHAnsi"/>
          <w:color w:val="000000" w:themeColor="text1"/>
          <w:lang w:val="en-US"/>
        </w:rPr>
        <w:t xml:space="preserve">Micro-titer plates were coated with 40 </w:t>
      </w:r>
      <w:proofErr w:type="spellStart"/>
      <w:r w:rsidRPr="00BA6F83">
        <w:rPr>
          <w:rFonts w:cstheme="minorHAnsi"/>
          <w:color w:val="000000" w:themeColor="text1"/>
          <w:lang w:val="en-US"/>
        </w:rPr>
        <w:t>μg</w:t>
      </w:r>
      <w:proofErr w:type="spellEnd"/>
      <w:r w:rsidRPr="00BA6F83">
        <w:rPr>
          <w:rFonts w:cstheme="minorHAnsi"/>
          <w:color w:val="000000" w:themeColor="text1"/>
          <w:lang w:val="en-US"/>
        </w:rPr>
        <w:t xml:space="preserve">/mL OVA (grade V) in carbonate buffer and incubated at 4°C overnight. Next, plates were blocked for 2h at room temperature with PBS containing 3% BSA. </w:t>
      </w:r>
      <w:r w:rsidR="00E17297">
        <w:rPr>
          <w:rFonts w:cstheme="minorHAnsi"/>
          <w:color w:val="000000" w:themeColor="text1"/>
          <w:lang w:val="en-US"/>
        </w:rPr>
        <w:t>Next, p</w:t>
      </w:r>
      <w:r w:rsidRPr="00BA6F83">
        <w:rPr>
          <w:rFonts w:cstheme="minorHAnsi"/>
          <w:color w:val="000000" w:themeColor="text1"/>
          <w:lang w:val="en-US"/>
        </w:rPr>
        <w:t xml:space="preserve">lates </w:t>
      </w:r>
      <w:r w:rsidR="00E17297">
        <w:rPr>
          <w:rFonts w:cstheme="minorHAnsi"/>
          <w:color w:val="000000" w:themeColor="text1"/>
          <w:lang w:val="en-US"/>
        </w:rPr>
        <w:t xml:space="preserve">were </w:t>
      </w:r>
      <w:r w:rsidRPr="00BA6F83">
        <w:rPr>
          <w:rFonts w:cstheme="minorHAnsi"/>
          <w:color w:val="000000" w:themeColor="text1"/>
          <w:lang w:val="en-US"/>
        </w:rPr>
        <w:t xml:space="preserve">loaded with </w:t>
      </w:r>
      <w:r w:rsidR="000A4665">
        <w:rPr>
          <w:rFonts w:cstheme="minorHAnsi"/>
          <w:color w:val="000000" w:themeColor="text1"/>
          <w:lang w:val="en-US"/>
        </w:rPr>
        <w:t xml:space="preserve">50 </w:t>
      </w:r>
      <w:proofErr w:type="spellStart"/>
      <w:r w:rsidR="000A4665" w:rsidRPr="000A4665">
        <w:rPr>
          <w:rFonts w:cstheme="minorHAnsi"/>
          <w:color w:val="000000" w:themeColor="text1"/>
          <w:lang w:val="en-US"/>
        </w:rPr>
        <w:t>μ</w:t>
      </w:r>
      <w:r w:rsidR="000A4665">
        <w:rPr>
          <w:rFonts w:cstheme="minorHAnsi"/>
          <w:color w:val="000000" w:themeColor="text1"/>
          <w:lang w:val="en-US"/>
        </w:rPr>
        <w:t>L</w:t>
      </w:r>
      <w:proofErr w:type="spellEnd"/>
      <w:r w:rsidR="00AC34A9">
        <w:rPr>
          <w:rFonts w:cstheme="minorHAnsi"/>
          <w:color w:val="000000" w:themeColor="text1"/>
          <w:lang w:val="en-US"/>
        </w:rPr>
        <w:t xml:space="preserve"> of sample</w:t>
      </w:r>
      <w:r w:rsidRPr="00BA6F83">
        <w:rPr>
          <w:rFonts w:cstheme="minorHAnsi"/>
          <w:color w:val="000000" w:themeColor="text1"/>
          <w:lang w:val="en-US"/>
        </w:rPr>
        <w:t xml:space="preserve"> </w:t>
      </w:r>
      <w:r w:rsidR="00E17297">
        <w:rPr>
          <w:rFonts w:cstheme="minorHAnsi"/>
          <w:color w:val="000000" w:themeColor="text1"/>
          <w:lang w:val="en-US"/>
        </w:rPr>
        <w:t>and</w:t>
      </w:r>
      <w:r w:rsidRPr="00BA6F83">
        <w:rPr>
          <w:rFonts w:cstheme="minorHAnsi"/>
          <w:color w:val="000000" w:themeColor="text1"/>
          <w:lang w:val="en-US"/>
        </w:rPr>
        <w:t xml:space="preserve"> incubated overnight at 4°C</w:t>
      </w:r>
      <w:r w:rsidR="00E17297">
        <w:rPr>
          <w:rFonts w:cstheme="minorHAnsi"/>
          <w:color w:val="000000" w:themeColor="text1"/>
          <w:lang w:val="en-US"/>
        </w:rPr>
        <w:t>.</w:t>
      </w:r>
      <w:r w:rsidRPr="00BA6F83">
        <w:rPr>
          <w:rFonts w:cstheme="minorHAnsi"/>
          <w:color w:val="000000" w:themeColor="text1"/>
          <w:lang w:val="en-US"/>
        </w:rPr>
        <w:t xml:space="preserve"> </w:t>
      </w:r>
      <w:r w:rsidR="00E17297">
        <w:rPr>
          <w:rFonts w:cstheme="minorHAnsi"/>
          <w:color w:val="000000" w:themeColor="text1"/>
          <w:lang w:val="en-US"/>
        </w:rPr>
        <w:t>T</w:t>
      </w:r>
      <w:r w:rsidRPr="00BA6F83">
        <w:rPr>
          <w:rFonts w:cstheme="minorHAnsi"/>
          <w:color w:val="000000" w:themeColor="text1"/>
          <w:lang w:val="en-US"/>
        </w:rPr>
        <w:t>hen</w:t>
      </w:r>
      <w:r w:rsidR="00E17297">
        <w:rPr>
          <w:rFonts w:cstheme="minorHAnsi"/>
          <w:color w:val="000000" w:themeColor="text1"/>
          <w:lang w:val="en-US"/>
        </w:rPr>
        <w:t>, plates were incubated</w:t>
      </w:r>
      <w:r w:rsidRPr="00BA6F83">
        <w:rPr>
          <w:rFonts w:cstheme="minorHAnsi"/>
          <w:color w:val="000000" w:themeColor="text1"/>
          <w:lang w:val="en-US"/>
        </w:rPr>
        <w:t xml:space="preserve"> for 1 h at room temperature with detection antibody (Biotin Rat anti-Mouse </w:t>
      </w:r>
      <w:proofErr w:type="spellStart"/>
      <w:r w:rsidRPr="00BA6F83">
        <w:rPr>
          <w:rFonts w:cstheme="minorHAnsi"/>
          <w:color w:val="000000" w:themeColor="text1"/>
          <w:lang w:val="en-US"/>
        </w:rPr>
        <w:t>IgE</w:t>
      </w:r>
      <w:proofErr w:type="spellEnd"/>
      <w:r w:rsidRPr="00BA6F83">
        <w:rPr>
          <w:rFonts w:cstheme="minorHAnsi"/>
          <w:color w:val="000000" w:themeColor="text1"/>
          <w:lang w:val="en-US"/>
        </w:rPr>
        <w:t>, 4µg/mL, BD Biosciences),</w:t>
      </w:r>
      <w:r w:rsidR="00E17297">
        <w:rPr>
          <w:rFonts w:cstheme="minorHAnsi"/>
          <w:color w:val="000000" w:themeColor="text1"/>
          <w:lang w:val="en-US"/>
        </w:rPr>
        <w:t xml:space="preserve"> followed by an incubation</w:t>
      </w:r>
      <w:r w:rsidRPr="00BA6F83">
        <w:rPr>
          <w:rFonts w:cstheme="minorHAnsi"/>
          <w:color w:val="000000" w:themeColor="text1"/>
          <w:lang w:val="en-US"/>
        </w:rPr>
        <w:t xml:space="preserve"> at room temperature for 30 min with Strep-AP (R&amp;D systems, </w:t>
      </w:r>
      <w:proofErr w:type="spellStart"/>
      <w:r w:rsidRPr="00BA6F83">
        <w:rPr>
          <w:rFonts w:cstheme="minorHAnsi"/>
          <w:color w:val="000000" w:themeColor="text1"/>
          <w:lang w:val="en-US"/>
        </w:rPr>
        <w:t>bipp</w:t>
      </w:r>
      <w:proofErr w:type="spellEnd"/>
      <w:r w:rsidRPr="00BA6F83">
        <w:rPr>
          <w:rFonts w:cstheme="minorHAnsi"/>
          <w:color w:val="000000" w:themeColor="text1"/>
          <w:lang w:val="en-US"/>
        </w:rPr>
        <w:t>) (diluted 1:500 in 1% BSA, 0.05% Tween 20, 0.025M Tris, 0.5M NaCl; pH 7.4)</w:t>
      </w:r>
      <w:r w:rsidR="00E17297">
        <w:rPr>
          <w:rFonts w:cstheme="minorHAnsi"/>
          <w:color w:val="000000" w:themeColor="text1"/>
          <w:lang w:val="en-US"/>
        </w:rPr>
        <w:t xml:space="preserve">. Finally, </w:t>
      </w:r>
      <w:proofErr w:type="spellStart"/>
      <w:r w:rsidRPr="00BA6F83">
        <w:rPr>
          <w:rFonts w:cstheme="minorHAnsi"/>
          <w:color w:val="000000" w:themeColor="text1"/>
          <w:lang w:val="en-US"/>
        </w:rPr>
        <w:t>BluePhos</w:t>
      </w:r>
      <w:proofErr w:type="spellEnd"/>
      <w:r w:rsidRPr="00BA6F83">
        <w:rPr>
          <w:rFonts w:cstheme="minorHAnsi"/>
          <w:color w:val="000000" w:themeColor="text1"/>
          <w:lang w:val="en-US"/>
        </w:rPr>
        <w:t xml:space="preserve"> substrate (KPL)</w:t>
      </w:r>
      <w:r w:rsidR="00E17297">
        <w:rPr>
          <w:rFonts w:cstheme="minorHAnsi"/>
          <w:color w:val="000000" w:themeColor="text1"/>
          <w:lang w:val="en-US"/>
        </w:rPr>
        <w:t xml:space="preserve"> was added to the reaction and incubated for 30 min</w:t>
      </w:r>
      <w:r w:rsidR="00EA5125">
        <w:rPr>
          <w:rFonts w:cstheme="minorHAnsi"/>
          <w:color w:val="000000" w:themeColor="text1"/>
          <w:lang w:val="en-US"/>
        </w:rPr>
        <w:t xml:space="preserve"> at room temperature</w:t>
      </w:r>
      <w:r w:rsidRPr="00BA6F83">
        <w:rPr>
          <w:rFonts w:cstheme="minorHAnsi"/>
          <w:color w:val="000000" w:themeColor="text1"/>
          <w:lang w:val="en-US"/>
        </w:rPr>
        <w:t>. The reaction was stopped with H</w:t>
      </w:r>
      <w:r w:rsidRPr="00BA6F83">
        <w:rPr>
          <w:rFonts w:cstheme="minorHAnsi"/>
          <w:color w:val="000000" w:themeColor="text1"/>
          <w:vertAlign w:val="subscript"/>
          <w:lang w:val="en-US"/>
        </w:rPr>
        <w:t>2</w:t>
      </w:r>
      <w:r w:rsidRPr="00BA6F83">
        <w:rPr>
          <w:rFonts w:cstheme="minorHAnsi"/>
          <w:color w:val="000000" w:themeColor="text1"/>
          <w:lang w:val="en-US"/>
        </w:rPr>
        <w:t>SO</w:t>
      </w:r>
      <w:r w:rsidRPr="00BA6F83">
        <w:rPr>
          <w:rFonts w:cstheme="minorHAnsi"/>
          <w:color w:val="000000" w:themeColor="text1"/>
          <w:vertAlign w:val="subscript"/>
          <w:lang w:val="en-US"/>
        </w:rPr>
        <w:t>4</w:t>
      </w:r>
      <w:r w:rsidRPr="00BA6F83">
        <w:rPr>
          <w:rFonts w:cstheme="minorHAnsi"/>
          <w:color w:val="000000" w:themeColor="text1"/>
          <w:lang w:val="en-US"/>
        </w:rPr>
        <w:t xml:space="preserve"> (2M) and the absorbance was measured at a wavelength of 620nm.</w:t>
      </w:r>
      <w:r>
        <w:rPr>
          <w:rFonts w:cstheme="minorHAnsi"/>
          <w:color w:val="000000" w:themeColor="text1"/>
          <w:lang w:val="en-US"/>
        </w:rPr>
        <w:t xml:space="preserve"> Absorbance values were normalized by the amount of protein (mg), that were measured using </w:t>
      </w:r>
      <w:r w:rsidRPr="00DD2ACA">
        <w:rPr>
          <w:rFonts w:cstheme="minorHAnsi"/>
          <w:color w:val="000000" w:themeColor="text1"/>
          <w:lang w:val="en-US"/>
        </w:rPr>
        <w:t>BCA Protein Assay Kit</w:t>
      </w:r>
      <w:r>
        <w:rPr>
          <w:rFonts w:cstheme="minorHAnsi"/>
          <w:color w:val="000000" w:themeColor="text1"/>
          <w:lang w:val="en-US"/>
        </w:rPr>
        <w:t xml:space="preserve"> (</w:t>
      </w:r>
      <w:proofErr w:type="spellStart"/>
      <w:r>
        <w:rPr>
          <w:rFonts w:cstheme="minorHAnsi"/>
          <w:color w:val="000000" w:themeColor="text1"/>
          <w:lang w:val="en-US"/>
        </w:rPr>
        <w:t>ThermoFisher</w:t>
      </w:r>
      <w:proofErr w:type="spellEnd"/>
      <w:r>
        <w:rPr>
          <w:rFonts w:cstheme="minorHAnsi"/>
          <w:color w:val="000000" w:themeColor="text1"/>
          <w:lang w:val="en-US"/>
        </w:rPr>
        <w:t xml:space="preserve"> Scientific) following manufacturers’ instructions.</w:t>
      </w:r>
    </w:p>
    <w:p w14:paraId="0863507B" w14:textId="77777777" w:rsidR="00CE2959" w:rsidRPr="00BA6F83" w:rsidRDefault="00CE2959" w:rsidP="00CE2959">
      <w:pPr>
        <w:spacing w:after="120" w:line="480" w:lineRule="auto"/>
        <w:jc w:val="both"/>
        <w:rPr>
          <w:rFonts w:cstheme="minorHAnsi"/>
          <w:i/>
          <w:color w:val="000000" w:themeColor="text1"/>
          <w:lang w:val="en-US"/>
        </w:rPr>
      </w:pPr>
    </w:p>
    <w:p w14:paraId="65132F3C"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Ear prick allergy test:</w:t>
      </w:r>
    </w:p>
    <w:p w14:paraId="2C08059D"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Mice were subjected to intradermal injections of 1 </w:t>
      </w:r>
      <w:proofErr w:type="spellStart"/>
      <w:r w:rsidRPr="00BA6F83">
        <w:rPr>
          <w:rFonts w:cstheme="minorHAnsi"/>
          <w:color w:val="000000" w:themeColor="text1"/>
          <w:lang w:val="en-US"/>
        </w:rPr>
        <w:t>μg</w:t>
      </w:r>
      <w:proofErr w:type="spellEnd"/>
      <w:r w:rsidRPr="00BA6F83">
        <w:rPr>
          <w:rFonts w:cstheme="minorHAnsi"/>
          <w:color w:val="000000" w:themeColor="text1"/>
          <w:lang w:val="en-US"/>
        </w:rPr>
        <w:t xml:space="preserve"> of OVA (Grade III, Sigma-Aldrich®) dissolved in sterile saline in one ear and 10 </w:t>
      </w:r>
      <w:proofErr w:type="spellStart"/>
      <w:r w:rsidRPr="00BA6F83">
        <w:rPr>
          <w:rFonts w:cstheme="minorHAnsi"/>
          <w:color w:val="000000" w:themeColor="text1"/>
          <w:lang w:val="en-US"/>
        </w:rPr>
        <w:t>μL</w:t>
      </w:r>
      <w:proofErr w:type="spellEnd"/>
      <w:r w:rsidRPr="00BA6F83">
        <w:rPr>
          <w:rFonts w:cstheme="minorHAnsi"/>
          <w:color w:val="000000" w:themeColor="text1"/>
          <w:lang w:val="en-US"/>
        </w:rPr>
        <w:t xml:space="preserve"> of saline in the other. Ear swelling was compared with a caliper 30 min after injection.</w:t>
      </w:r>
    </w:p>
    <w:p w14:paraId="4ACC1254" w14:textId="77777777" w:rsidR="00CE2959" w:rsidRPr="00BA6F83" w:rsidRDefault="00CE2959" w:rsidP="00CE2959">
      <w:pPr>
        <w:spacing w:after="120" w:line="480" w:lineRule="auto"/>
        <w:jc w:val="both"/>
        <w:rPr>
          <w:color w:val="000000" w:themeColor="text1"/>
          <w:u w:val="single"/>
          <w:lang w:val="en-US"/>
        </w:rPr>
      </w:pPr>
    </w:p>
    <w:p w14:paraId="11E8067F"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Colonic permeability:</w:t>
      </w:r>
    </w:p>
    <w:p w14:paraId="0D4DF1C8" w14:textId="4583EEBE" w:rsidR="00CE2959" w:rsidRPr="00BA6F83" w:rsidRDefault="00CE2959" w:rsidP="00CE2959">
      <w:pPr>
        <w:spacing w:after="120" w:line="480" w:lineRule="auto"/>
        <w:jc w:val="both"/>
        <w:rPr>
          <w:color w:val="000000" w:themeColor="text1"/>
          <w:lang w:val="en-US"/>
        </w:rPr>
      </w:pPr>
      <w:r w:rsidRPr="00BA6F83">
        <w:rPr>
          <w:color w:val="000000" w:themeColor="text1"/>
          <w:lang w:val="en-US"/>
        </w:rPr>
        <w:t xml:space="preserve">Freshly isolated colonic tissue was mounted at </w:t>
      </w:r>
      <w:proofErr w:type="spellStart"/>
      <w:r w:rsidRPr="00BA6F83">
        <w:rPr>
          <w:color w:val="000000" w:themeColor="text1"/>
          <w:lang w:val="en-US"/>
        </w:rPr>
        <w:t>Ussing</w:t>
      </w:r>
      <w:proofErr w:type="spellEnd"/>
      <w:r w:rsidRPr="00BA6F83">
        <w:rPr>
          <w:color w:val="000000" w:themeColor="text1"/>
          <w:lang w:val="en-US"/>
        </w:rPr>
        <w:t xml:space="preserve"> chambers (</w:t>
      </w:r>
      <w:proofErr w:type="spellStart"/>
      <w:r w:rsidRPr="00BA6F83">
        <w:rPr>
          <w:color w:val="000000" w:themeColor="text1"/>
          <w:lang w:val="en-US"/>
        </w:rPr>
        <w:t>Mussler</w:t>
      </w:r>
      <w:proofErr w:type="spellEnd"/>
      <w:r w:rsidRPr="00BA6F83">
        <w:rPr>
          <w:color w:val="000000" w:themeColor="text1"/>
          <w:lang w:val="en-US"/>
        </w:rPr>
        <w:t xml:space="preserve"> Scientific Instruments) with an opening of 0.017 cm</w:t>
      </w:r>
      <w:r w:rsidRPr="00BA6F83">
        <w:rPr>
          <w:color w:val="000000" w:themeColor="text1"/>
          <w:vertAlign w:val="superscript"/>
          <w:lang w:val="en-US"/>
        </w:rPr>
        <w:t>2</w:t>
      </w:r>
      <w:r w:rsidRPr="00BA6F83">
        <w:rPr>
          <w:color w:val="000000" w:themeColor="text1"/>
          <w:lang w:val="en-US"/>
        </w:rPr>
        <w:t xml:space="preserve"> and without removal of the seromuscular layer as previously described</w:t>
      </w:r>
      <w:r w:rsidRPr="00BA6F83">
        <w:rPr>
          <w:color w:val="000000" w:themeColor="text1"/>
          <w:lang w:val="en-US"/>
        </w:rPr>
        <w:fldChar w:fldCharType="begin" w:fldLock="1"/>
      </w:r>
      <w:r w:rsidR="00756206">
        <w:rPr>
          <w:color w:val="000000" w:themeColor="text1"/>
          <w:lang w:val="en-US"/>
        </w:rPr>
        <w:instrText>ADDIN CSL_CITATION {"citationItems":[{"id":"ITEM-1","itemData":{"DOI":"10.3109/10253890.2016.1154527","ISSN":"16078888","PMID":"26947111","abstract":"Psychological stress increases intestinal permeability, potentially leading to low-grade inflammation and symptoms in functional gastrointestinal disorders. We assessed the effect of subacute, chronic and combined stress on intestinal barrier function and mast cell density. Male Wistar rats were allocated to four experimental groups (n = 8/group): 1/sham; 2/subacute stress (isolation and limited movement for 24 h); 3/chronic crowding stress for 14 days and 4/combined subacute and chronic stress. Jejunum and colon were collected to measure: transepithelial electrical resistance (TEER; a measure of epithelial barrier function); gene expression of tight junction molecules; mast cell density. Plasma corticosterone concentration was increased in all three stress conditions versus sham, with highest concentrations in the combined stress condition. TEER in the jejunum was decreased in all stress conditions, but was significantly lower in the combined stress condition than in the other groups. TEER in the jejunum correlated negatively with corticosterone concentration. Increased expression of claudin 1, 5 and 8, occludin and zonula occludens 1 mRNAs was detected after subacute stress in the jejunum. In contrast, colonic TEER was decreased only after combined stress, and the expression of tight junction molecules was unaltered. Increased mast cell density was observed in the chronic and combined stress condition in the colon only. In conclusion, our data show that chronic stress sensitizes the gastrointestinal tract to the effects of subacute stress on intestinal barrier function; different underlying cellular and molecular alterations are indicated in the small intestine versus the colon.","author":[{"dropping-particle":"","family":"Lauffer","given":"Adriana","non-dropping-particle":"","parse-names":false,"suffix":""},{"dropping-particle":"","family":"Vanuytsel","given":"Tim","non-dropping-particle":"","parse-names":false,"suffix":""},{"dropping-particle":"","family":"Vanormelingen","given":"Christophe","non-dropping-particle":"","parse-names":false,"suffix":""},{"dropping-particle":"","family":"Vanheel","given":"Hanne","non-dropping-particle":"","parse-names":false,"suffix":""},{"dropping-particle":"","family":"Salim Rasoel","given":"Shadea","non-dropping-particle":"","parse-names":false,"suffix":""},{"dropping-particle":"","family":"Tóth","given":"Joran","non-dropping-particle":"","parse-names":false,"suffix":""},{"dropping-particle":"","family":"Tack","given":"Jan","non-dropping-particle":"","parse-names":false,"suffix":""},{"dropping-particle":"","family":"Fornari","given":"Fernando","non-dropping-particle":"","parse-names":false,"suffix":""},{"dropping-particle":"","family":"Farré","given":"Ricard","non-dropping-particle":"","parse-names":false,"suffix":""}],"container-title":"Stress","id":"ITEM-1","issue":"2","issued":{"date-parts":[["2016"]]},"page":"225-234","title":"Subacute stress and chronic stress interact to decrease intestinal barrier function in rats","type":"article-journal","volume":"19"},"uris":["http://www.mendeley.com/documents/?uuid=cc754e2a-fd78-47bf-8860-333dc36e4ad6"]}],"mendeley":{"formattedCitation":"&lt;sup&gt;73&lt;/sup&gt;","plainTextFormattedCitation":"73","previouslyFormattedCitation":"&lt;sup&gt;72&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73</w:t>
      </w:r>
      <w:r w:rsidRPr="00BA6F83">
        <w:rPr>
          <w:color w:val="000000" w:themeColor="text1"/>
          <w:lang w:val="en-US"/>
        </w:rPr>
        <w:fldChar w:fldCharType="end"/>
      </w:r>
      <w:r w:rsidRPr="00BA6F83">
        <w:rPr>
          <w:color w:val="000000" w:themeColor="text1"/>
          <w:lang w:val="en-US"/>
        </w:rPr>
        <w:t xml:space="preserve">. Transepithelial electrical resistance was continuously measured (open circuit conditions, bipolar constant-current pulses of 16 µA during 200 </w:t>
      </w:r>
      <w:proofErr w:type="spellStart"/>
      <w:r w:rsidRPr="00BA6F83">
        <w:rPr>
          <w:color w:val="000000" w:themeColor="text1"/>
          <w:lang w:val="en-US"/>
        </w:rPr>
        <w:t>ms</w:t>
      </w:r>
      <w:proofErr w:type="spellEnd"/>
      <w:r w:rsidRPr="00BA6F83">
        <w:rPr>
          <w:color w:val="000000" w:themeColor="text1"/>
          <w:lang w:val="en-US"/>
        </w:rPr>
        <w:t xml:space="preserve">) and passage of fluorescein sodium salt were assessed every 30 min over 2 h. The concentration of fluorescein was measured using a </w:t>
      </w:r>
      <w:proofErr w:type="spellStart"/>
      <w:r w:rsidRPr="00BA6F83">
        <w:rPr>
          <w:color w:val="000000" w:themeColor="text1"/>
          <w:lang w:val="en-US"/>
        </w:rPr>
        <w:t>FLUOstar</w:t>
      </w:r>
      <w:proofErr w:type="spellEnd"/>
      <w:r w:rsidRPr="00BA6F83">
        <w:rPr>
          <w:color w:val="000000" w:themeColor="text1"/>
          <w:lang w:val="en-US"/>
        </w:rPr>
        <w:t xml:space="preserve"> Omega fluorescence reader (BMG Labtech) and the transepithelial electrical resistance with Clamp software version 9.00 (</w:t>
      </w:r>
      <w:proofErr w:type="spellStart"/>
      <w:r w:rsidRPr="00BA6F83">
        <w:rPr>
          <w:color w:val="000000" w:themeColor="text1"/>
          <w:lang w:val="en-US"/>
        </w:rPr>
        <w:t>Mussler</w:t>
      </w:r>
      <w:proofErr w:type="spellEnd"/>
      <w:r w:rsidRPr="00BA6F83">
        <w:rPr>
          <w:color w:val="000000" w:themeColor="text1"/>
          <w:lang w:val="en-US"/>
        </w:rPr>
        <w:t xml:space="preserve"> Scientific Instruments).</w:t>
      </w:r>
    </w:p>
    <w:p w14:paraId="02414F9D" w14:textId="77777777" w:rsidR="00CE2959" w:rsidRPr="00BA6F83" w:rsidRDefault="00CE2959" w:rsidP="00CE2959">
      <w:pPr>
        <w:spacing w:after="120" w:line="480" w:lineRule="auto"/>
        <w:jc w:val="both"/>
        <w:rPr>
          <w:i/>
          <w:color w:val="000000" w:themeColor="text1"/>
          <w:lang w:val="en-US"/>
        </w:rPr>
      </w:pPr>
    </w:p>
    <w:p w14:paraId="1E97F83A"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DNA extraction and 16S rRNA gene sequencing:</w:t>
      </w:r>
    </w:p>
    <w:p w14:paraId="471A99C5" w14:textId="4B511270" w:rsidR="00CE2959" w:rsidRPr="00BA6F83" w:rsidRDefault="00CE2959" w:rsidP="00CE2959">
      <w:pPr>
        <w:spacing w:after="120" w:line="480" w:lineRule="auto"/>
        <w:jc w:val="both"/>
        <w:rPr>
          <w:i/>
          <w:color w:val="000000" w:themeColor="text1"/>
          <w:lang w:val="en-US"/>
        </w:rPr>
      </w:pPr>
      <w:r w:rsidRPr="00BA6F83">
        <w:rPr>
          <w:color w:val="000000" w:themeColor="text1"/>
          <w:lang w:val="en-US"/>
        </w:rPr>
        <w:t xml:space="preserve"> Mouse fecal samples were collected at three-time points</w:t>
      </w:r>
      <w:r w:rsidR="00E66DEF">
        <w:rPr>
          <w:color w:val="000000" w:themeColor="text1"/>
          <w:lang w:val="en-US"/>
        </w:rPr>
        <w:t xml:space="preserve"> from the same cohort of mice</w:t>
      </w:r>
      <w:r w:rsidRPr="00BA6F83">
        <w:rPr>
          <w:color w:val="000000" w:themeColor="text1"/>
          <w:lang w:val="en-US"/>
        </w:rPr>
        <w:t xml:space="preserve">: before </w:t>
      </w:r>
      <w:r w:rsidRPr="00BA6F83">
        <w:rPr>
          <w:i/>
          <w:color w:val="000000" w:themeColor="text1"/>
          <w:lang w:val="en-US"/>
        </w:rPr>
        <w:t>C. rodentium</w:t>
      </w:r>
      <w:r w:rsidRPr="00BA6F83">
        <w:rPr>
          <w:color w:val="000000" w:themeColor="text1"/>
          <w:lang w:val="en-US"/>
        </w:rPr>
        <w:t xml:space="preserve"> infection (baseline), 10 days after infection and after OVA re-exposure. DNA was extracted from ~150mg of fecal samples using </w:t>
      </w:r>
      <w:proofErr w:type="spellStart"/>
      <w:r w:rsidRPr="00BA6F83">
        <w:rPr>
          <w:color w:val="000000" w:themeColor="text1"/>
          <w:lang w:val="en-US"/>
        </w:rPr>
        <w:t>MagAttract</w:t>
      </w:r>
      <w:proofErr w:type="spellEnd"/>
      <w:r w:rsidRPr="00BA6F83">
        <w:rPr>
          <w:color w:val="000000" w:themeColor="text1"/>
          <w:lang w:val="en-US"/>
        </w:rPr>
        <w:t xml:space="preserve"> </w:t>
      </w:r>
      <w:proofErr w:type="spellStart"/>
      <w:r w:rsidRPr="00BA6F83">
        <w:rPr>
          <w:color w:val="000000" w:themeColor="text1"/>
          <w:lang w:val="en-US"/>
        </w:rPr>
        <w:t>PowerMicrobiome</w:t>
      </w:r>
      <w:proofErr w:type="spellEnd"/>
      <w:r w:rsidRPr="00BA6F83">
        <w:rPr>
          <w:color w:val="000000" w:themeColor="text1"/>
          <w:lang w:val="en-US"/>
        </w:rPr>
        <w:t xml:space="preserve"> DNA/RNA KF kit. The V4 region of 16S rRNA genes was amplified using the 515F/806R primer pair and purified using the </w:t>
      </w:r>
      <w:proofErr w:type="spellStart"/>
      <w:r w:rsidRPr="00BA6F83">
        <w:rPr>
          <w:color w:val="000000" w:themeColor="text1"/>
          <w:lang w:val="en-US"/>
        </w:rPr>
        <w:t>QIAquick</w:t>
      </w:r>
      <w:proofErr w:type="spellEnd"/>
      <w:r w:rsidRPr="00BA6F83">
        <w:rPr>
          <w:color w:val="000000" w:themeColor="text1"/>
          <w:lang w:val="en-US"/>
        </w:rPr>
        <w:t xml:space="preserve"> PCR Purification Kit. Sequencing was performed using the Illumina </w:t>
      </w:r>
      <w:proofErr w:type="spellStart"/>
      <w:r w:rsidRPr="00BA6F83">
        <w:rPr>
          <w:color w:val="000000" w:themeColor="text1"/>
          <w:lang w:val="en-US"/>
        </w:rPr>
        <w:t>MiSeq</w:t>
      </w:r>
      <w:proofErr w:type="spellEnd"/>
      <w:r w:rsidRPr="00BA6F83">
        <w:rPr>
          <w:color w:val="000000" w:themeColor="text1"/>
          <w:lang w:val="en-US"/>
        </w:rPr>
        <w:t xml:space="preserve"> platform (</w:t>
      </w:r>
      <w:proofErr w:type="spellStart"/>
      <w:r w:rsidRPr="00BA6F83">
        <w:rPr>
          <w:color w:val="000000" w:themeColor="text1"/>
          <w:lang w:val="en-US"/>
        </w:rPr>
        <w:t>MiSeq</w:t>
      </w:r>
      <w:proofErr w:type="spellEnd"/>
      <w:r w:rsidRPr="00BA6F83">
        <w:rPr>
          <w:color w:val="000000" w:themeColor="text1"/>
          <w:lang w:val="en-US"/>
        </w:rPr>
        <w:t xml:space="preserve"> Reagent Kit v2). </w:t>
      </w:r>
    </w:p>
    <w:p w14:paraId="6289FD18" w14:textId="77777777" w:rsidR="00CE2959" w:rsidRPr="00BA6F83" w:rsidRDefault="00CE2959" w:rsidP="00CE2959">
      <w:pPr>
        <w:spacing w:after="120" w:line="480" w:lineRule="auto"/>
        <w:jc w:val="both"/>
        <w:rPr>
          <w:color w:val="000000" w:themeColor="text1"/>
          <w:lang w:val="en-US"/>
        </w:rPr>
      </w:pPr>
    </w:p>
    <w:p w14:paraId="62BF7C73" w14:textId="77777777" w:rsidR="00CE2959" w:rsidRPr="00BA6F83" w:rsidRDefault="00CE2959" w:rsidP="00CE2959">
      <w:pPr>
        <w:spacing w:after="120" w:line="480" w:lineRule="auto"/>
        <w:jc w:val="both"/>
        <w:rPr>
          <w:color w:val="000000" w:themeColor="text1"/>
          <w:lang w:val="en-US"/>
        </w:rPr>
      </w:pPr>
      <w:r w:rsidRPr="00BA6F83">
        <w:rPr>
          <w:i/>
          <w:color w:val="000000" w:themeColor="text1"/>
          <w:lang w:val="en-US"/>
        </w:rPr>
        <w:t>Microbiome Analysis:</w:t>
      </w:r>
    </w:p>
    <w:p w14:paraId="671635D8" w14:textId="51D235BC" w:rsidR="00CE2959" w:rsidRPr="00BA6F83" w:rsidRDefault="00CE2959" w:rsidP="00CE2959">
      <w:pPr>
        <w:spacing w:after="120" w:line="480" w:lineRule="auto"/>
        <w:jc w:val="both"/>
        <w:rPr>
          <w:color w:val="000000" w:themeColor="text1"/>
          <w:lang w:val="en-US"/>
        </w:rPr>
      </w:pPr>
      <w:r w:rsidRPr="00BA6F83">
        <w:rPr>
          <w:color w:val="000000" w:themeColor="text1"/>
          <w:lang w:val="en-US"/>
        </w:rPr>
        <w:t xml:space="preserve">After demultiplexing with the </w:t>
      </w:r>
      <w:proofErr w:type="spellStart"/>
      <w:r w:rsidRPr="00BA6F83">
        <w:rPr>
          <w:color w:val="000000" w:themeColor="text1"/>
          <w:lang w:val="en-US"/>
        </w:rPr>
        <w:t>LotuS</w:t>
      </w:r>
      <w:proofErr w:type="spellEnd"/>
      <w:r w:rsidRPr="00BA6F83">
        <w:rPr>
          <w:color w:val="000000" w:themeColor="text1"/>
          <w:lang w:val="en-US"/>
        </w:rPr>
        <w:t xml:space="preserve"> 1.565</w:t>
      </w:r>
      <w:r w:rsidRPr="00BA6F83">
        <w:rPr>
          <w:color w:val="000000" w:themeColor="text1"/>
          <w:lang w:val="en-US"/>
        </w:rPr>
        <w:fldChar w:fldCharType="begin" w:fldLock="1"/>
      </w:r>
      <w:r w:rsidR="00756206">
        <w:rPr>
          <w:color w:val="000000" w:themeColor="text1"/>
          <w:lang w:val="en-US"/>
        </w:rPr>
        <w:instrText>ADDIN CSL_CITATION {"citationItems":[{"id":"ITEM-1","itemData":{"DOI":"10.1186/2049-2618-2-30","ISBN":"2049-2618 (Print)\\r2049-2618 (Linking)","ISSN":"20492618","PMID":"25317332","abstract":"16S ribosomal DNA (rDNA) amplicon sequencing is frequently used to analyse the structure of bacterial communities from oceans to the human microbiota. However, computational power is still a major bottleneck in the analysis of continuously enlarging metagenomic data sets. Analysis is further complicated by the technical complexity of current bioinformatics tools.","author":[{"dropping-particle":"","family":"Hildebrand","given":"Falk","non-dropping-particle":"","parse-names":false,"suffix":""},{"dropping-particle":"","family":"Tadeo","given":"Raul","non-dropping-particle":"","parse-names":false,"suffix":""},{"dropping-particle":"","family":"Voigt","given":"Anita Y.","non-dropping-particle":"","parse-names":false,"suffix":""},{"dropping-particle":"","family":"Bork","given":"Peer","non-dropping-particle":"","parse-names":false,"suffix":""},{"dropping-particle":"","family":"Raes","given":"Jeroen","non-dropping-particle":"","parse-names":false,"suffix":""}],"container-title":"Microbiome","id":"ITEM-1","issue":"1","issued":{"date-parts":[["2014"]]},"page":"30","title":"LotuS: An efficient and user-friendly OTU processing pipeline","type":"article-journal","volume":"2"},"uris":["http://www.mendeley.com/documents/?uuid=1f8dd3ca-4230-4174-adbf-adea13ba60df"]}],"mendeley":{"formattedCitation":"&lt;sup&gt;74&lt;/sup&gt;","plainTextFormattedCitation":"74","previouslyFormattedCitation":"&lt;sup&gt;73&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74</w:t>
      </w:r>
      <w:r w:rsidRPr="00BA6F83">
        <w:rPr>
          <w:color w:val="000000" w:themeColor="text1"/>
          <w:lang w:val="en-US"/>
        </w:rPr>
        <w:fldChar w:fldCharType="end"/>
      </w:r>
      <w:r w:rsidRPr="00BA6F83">
        <w:rPr>
          <w:color w:val="000000" w:themeColor="text1"/>
          <w:lang w:val="en-US"/>
        </w:rPr>
        <w:t xml:space="preserve">, </w:t>
      </w:r>
      <w:proofErr w:type="spellStart"/>
      <w:r w:rsidRPr="00BA6F83">
        <w:rPr>
          <w:color w:val="000000" w:themeColor="text1"/>
          <w:lang w:val="en-US"/>
        </w:rPr>
        <w:t>fastq</w:t>
      </w:r>
      <w:proofErr w:type="spellEnd"/>
      <w:r w:rsidRPr="00BA6F83">
        <w:rPr>
          <w:color w:val="000000" w:themeColor="text1"/>
          <w:lang w:val="en-US"/>
        </w:rPr>
        <w:t xml:space="preserve"> sequences were further processed following the DADA2 microbiome pipeline</w:t>
      </w:r>
      <w:r w:rsidRPr="00BA6F83">
        <w:rPr>
          <w:color w:val="000000" w:themeColor="text1"/>
          <w:lang w:val="en-US"/>
        </w:rPr>
        <w:fldChar w:fldCharType="begin" w:fldLock="1"/>
      </w:r>
      <w:r w:rsidR="00756206">
        <w:rPr>
          <w:color w:val="000000" w:themeColor="text1"/>
          <w:lang w:val="en-US"/>
        </w:rPr>
        <w:instrText>ADDIN CSL_CITATION {"citationItems":[{"id":"ITEM-1","itemData":{"DOI":"10.1038/nmeth.3869","ISBN":"1548-7105 (Electronic)\\r1548-7091 (Linking)","ISSN":"15487105","PMID":"27214047","abstract":"We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Methods","id":"ITEM-1","issue":"7","issued":{"date-parts":[["2016"]]},"page":"581-3","title":"DADA2: High-resolution sample inference from Illumina amplicon data","type":"article-journal","volume":"13"},"uris":["http://www.mendeley.com/documents/?uuid=4307a915-0774-4c19-ba28-8d1e776d2dc7"]}],"mendeley":{"formattedCitation":"&lt;sup&gt;75&lt;/sup&gt;","plainTextFormattedCitation":"75","previouslyFormattedCitation":"&lt;sup&gt;74&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75</w:t>
      </w:r>
      <w:r w:rsidRPr="00BA6F83">
        <w:rPr>
          <w:color w:val="000000" w:themeColor="text1"/>
          <w:lang w:val="en-US"/>
        </w:rPr>
        <w:fldChar w:fldCharType="end"/>
      </w:r>
      <w:r w:rsidRPr="00BA6F83">
        <w:rPr>
          <w:color w:val="000000" w:themeColor="text1"/>
          <w:lang w:val="en-US"/>
        </w:rPr>
        <w:t xml:space="preserve">. Briefly, sequence reads were first filtered and trimmed with the parameters: </w:t>
      </w:r>
      <w:proofErr w:type="spellStart"/>
      <w:r w:rsidRPr="00BA6F83">
        <w:rPr>
          <w:color w:val="000000" w:themeColor="text1"/>
          <w:lang w:val="en-US"/>
        </w:rPr>
        <w:t>truncQ</w:t>
      </w:r>
      <w:proofErr w:type="spellEnd"/>
      <w:r w:rsidRPr="00BA6F83">
        <w:rPr>
          <w:color w:val="000000" w:themeColor="text1"/>
          <w:lang w:val="en-US"/>
        </w:rPr>
        <w:t xml:space="preserve">=11, </w:t>
      </w:r>
      <w:proofErr w:type="spellStart"/>
      <w:r w:rsidRPr="00BA6F83">
        <w:rPr>
          <w:color w:val="000000" w:themeColor="text1"/>
          <w:lang w:val="en-US"/>
        </w:rPr>
        <w:t>truncLen</w:t>
      </w:r>
      <w:proofErr w:type="spellEnd"/>
      <w:r w:rsidRPr="00BA6F83">
        <w:rPr>
          <w:color w:val="000000" w:themeColor="text1"/>
          <w:lang w:val="en-US"/>
        </w:rPr>
        <w:t xml:space="preserve">=c (150,200), and </w:t>
      </w:r>
      <w:proofErr w:type="spellStart"/>
      <w:r w:rsidRPr="00BA6F83">
        <w:rPr>
          <w:color w:val="000000" w:themeColor="text1"/>
          <w:lang w:val="en-US"/>
        </w:rPr>
        <w:t>trimLeft</w:t>
      </w:r>
      <w:proofErr w:type="spellEnd"/>
      <w:r w:rsidRPr="00BA6F83">
        <w:rPr>
          <w:color w:val="000000" w:themeColor="text1"/>
          <w:lang w:val="en-US"/>
        </w:rPr>
        <w:t xml:space="preserve">=c (30, 30). Filtered reads were denoised using the DADA2 algorithm, which infers the sequencing errors. After removing chimeras, amplicon sequence variants </w:t>
      </w:r>
      <w:r w:rsidRPr="00BA6F83">
        <w:rPr>
          <w:color w:val="000000" w:themeColor="text1"/>
          <w:lang w:val="en-US"/>
        </w:rPr>
        <w:lastRenderedPageBreak/>
        <w:t xml:space="preserve">(ASVs) table was constructed and taxonomy was assigned using the Ribosomal Database Project (RDP) classifier implemented in DADA2. Prior to the downstream analysis, bacterial abundances were transformed using centered log-ratio (CLR) transformation of </w:t>
      </w:r>
      <w:proofErr w:type="spellStart"/>
      <w:r w:rsidRPr="00BA6F83">
        <w:rPr>
          <w:color w:val="000000" w:themeColor="text1"/>
          <w:lang w:val="en-US"/>
        </w:rPr>
        <w:t>Aitchinson</w:t>
      </w:r>
      <w:proofErr w:type="spellEnd"/>
      <w:r w:rsidRPr="00BA6F83">
        <w:rPr>
          <w:color w:val="000000" w:themeColor="text1"/>
          <w:lang w:val="en-US"/>
        </w:rPr>
        <w:t xml:space="preserve"> to control the compositionality of the sequencing data (</w:t>
      </w:r>
      <w:proofErr w:type="spellStart"/>
      <w:r w:rsidRPr="00BA6F83">
        <w:rPr>
          <w:color w:val="000000" w:themeColor="text1"/>
          <w:lang w:val="en-US"/>
        </w:rPr>
        <w:t>CoDaSeq</w:t>
      </w:r>
      <w:proofErr w:type="spellEnd"/>
      <w:r w:rsidRPr="00BA6F83">
        <w:rPr>
          <w:color w:val="000000" w:themeColor="text1"/>
          <w:lang w:val="en-US"/>
        </w:rPr>
        <w:t xml:space="preserve"> R package function codaSeq.clr</w:t>
      </w:r>
      <w:r w:rsidRPr="00BA6F83">
        <w:rPr>
          <w:color w:val="000000" w:themeColor="text1"/>
          <w:lang w:val="en-US"/>
        </w:rPr>
        <w:fldChar w:fldCharType="begin" w:fldLock="1"/>
      </w:r>
      <w:r w:rsidR="00756206">
        <w:rPr>
          <w:color w:val="000000" w:themeColor="text1"/>
          <w:lang w:val="en-US"/>
        </w:rPr>
        <w:instrText>ADDIN CSL_CITATION {"citationItems":[{"id":"ITEM-1","itemData":{"DOI":"10.1016/j.annepidem.2016.03.003","ISBN":"1047-2797","ISSN":"18732585","PMID":"27143475","abstract":"Purpose The ability to properly analyze and interpret large microbiome data sets has lagged behind our ability to acquire such data sets from environmental or clinical samples. Sequencing instruments impose a structure on these data: the natural sample space of a 16S rRNA gene sequencing data set is a simplex, which is a part of real space that is restricted to nonnegative values with a constant sum. Such data are compositional and should be analyzed using compositionally appropriate tools and approaches. However, most of the tools for 16S rRNA gene sequencing analysis assume these data are unrestricted. Methods We show that existing tools for compositional data (CoDa) analysis can be readily adapted to analyze high-throughput sequencing data sets. Results The Human Microbiome Project tongue versus buccal mucosa data set shows how the CoDa approach can address the major elements of microbiome analysis. Reanalysis of a publicly available autism microbiome data set shows that the CoDa approach in concert with multiple hypothesis test corrections prevent false positive identifications. Conclusions The CoDa approach is readily scalable to microbiome-sized analyses. We provide example code and make recommendations to improve the analysis and reporting of microbiome data sets.","author":[{"dropping-particle":"","family":"Gloor","given":"Gregory B.","non-dropping-particle":"","parse-names":false,"suffix":""},{"dropping-particle":"","family":"Wu","given":"Jia Rong","non-dropping-particle":"","parse-names":false,"suffix":""},{"dropping-particle":"","family":"Pawlowsky-Glahn","given":"Vera","non-dropping-particle":"","parse-names":false,"suffix":""},{"dropping-particle":"","family":"Egozcue","given":"Juan José","non-dropping-particle":"","parse-names":false,"suffix":""}],"container-title":"Annals of Epidemiology","id":"ITEM-1","issued":{"date-parts":[["2016"]]},"page":"322-9","title":"It's all relative: analyzing microbiome data as compositions","type":"article"},"uris":["http://www.mendeley.com/documents/?uuid=dde63407-72a8-4303-b369-1503ce38e5b0"]}],"mendeley":{"formattedCitation":"&lt;sup&gt;76&lt;/sup&gt;","plainTextFormattedCitation":"76","previouslyFormattedCitation":"&lt;sup&gt;75&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76</w:t>
      </w:r>
      <w:r w:rsidRPr="00BA6F83">
        <w:rPr>
          <w:color w:val="000000" w:themeColor="text1"/>
          <w:lang w:val="en-US"/>
        </w:rPr>
        <w:fldChar w:fldCharType="end"/>
      </w:r>
      <w:r w:rsidRPr="00BA6F83">
        <w:rPr>
          <w:color w:val="000000" w:themeColor="text1"/>
          <w:lang w:val="en-US"/>
        </w:rPr>
        <w:t xml:space="preserve">). Zero counts in the AVS table were replaced by multiplicative zero imputation using the </w:t>
      </w:r>
      <w:proofErr w:type="spellStart"/>
      <w:r w:rsidRPr="00BA6F83">
        <w:rPr>
          <w:color w:val="000000" w:themeColor="text1"/>
          <w:lang w:val="en-US"/>
        </w:rPr>
        <w:t>zCompositions</w:t>
      </w:r>
      <w:proofErr w:type="spellEnd"/>
      <w:r w:rsidRPr="00BA6F83">
        <w:rPr>
          <w:color w:val="000000" w:themeColor="text1"/>
          <w:lang w:val="en-US"/>
        </w:rPr>
        <w:t xml:space="preserve"> package function cmultRepl</w:t>
      </w:r>
      <w:r w:rsidRPr="00BA6F83">
        <w:rPr>
          <w:color w:val="000000" w:themeColor="text1"/>
          <w:lang w:val="en-US"/>
        </w:rPr>
        <w:fldChar w:fldCharType="begin" w:fldLock="1"/>
      </w:r>
      <w:r w:rsidR="00756206">
        <w:rPr>
          <w:color w:val="000000" w:themeColor="text1"/>
          <w:lang w:val="en-US"/>
        </w:rPr>
        <w:instrText>ADDIN CSL_CITATION {"citationItems":[{"id":"ITEM-1","itemData":{"DOI":"10.1016/j.chemolab.2015.02.019","ISBN":"0169-7439","ISSN":"18733239","abstract":"zCompositions is an R package for the imputation of left-censored data under a compositional approach. It is pertinent when the analyst assumes that the relevant information is contained on the relative variation structure of the data. For instance, in cases where the experimental data are simultaneously measured in amounts related to a same total weight or volume. The approach is used in fields like geochemistry of waters or sedimentary rocks, environmental studies related to air pollution, physicochemical analysis of glass fragments in forensic science, and among many others. In these fields, rounded zeros and nondetects are usually regarded as left-censored data that hamper any subsequent data analysis. The implemented methods consider aspects of relevance for a compositional approach such as scale invariance, subcompositional coherence or preserving the multivariate relative structure of the data. Based on solid statistical frameworks, it comprises the ability to deal with single and varying censoring thresholds, consistent treatment of closed and non-closed data, exploratory tools, multiple imputation, MCMC, robust and non-parametric alternatives, and recent proposals for count data. Key methodological aspects, new contributions, computational implementation and the practical application of the approach are discussed.","author":[{"dropping-particle":"","family":"Palarea-Albaladejo","given":"Javier","non-dropping-particle":"","parse-names":false,"suffix":""},{"dropping-particle":"","family":"Martín-Fernández","given":"Josep Antoni","non-dropping-particle":"","parse-names":false,"suffix":""}],"container-title":"Chemometrics and Intelligent Laboratory Systems","id":"ITEM-1","issued":{"date-parts":[["2015"]]},"page":"85-96","title":"ZCompositions - R package for multivariate imputation of left-censored data under a compositional approach","type":"article-journal","volume":"143"},"uris":["http://www.mendeley.com/documents/?uuid=0ad96e8a-fcdb-4c12-8911-20db0515fe3f"]}],"mendeley":{"formattedCitation":"&lt;sup&gt;77&lt;/sup&gt;","plainTextFormattedCitation":"77","previouslyFormattedCitation":"&lt;sup&gt;76&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77</w:t>
      </w:r>
      <w:r w:rsidRPr="00BA6F83">
        <w:rPr>
          <w:color w:val="000000" w:themeColor="text1"/>
          <w:lang w:val="en-US"/>
        </w:rPr>
        <w:fldChar w:fldCharType="end"/>
      </w:r>
      <w:r w:rsidRPr="00BA6F83">
        <w:rPr>
          <w:color w:val="000000" w:themeColor="text1"/>
          <w:lang w:val="en-US"/>
        </w:rPr>
        <w:t xml:space="preserve">. Ordination analysis (PCA) with contributing bacteria was performed at genus-level using the vegan package </w:t>
      </w:r>
      <w:r w:rsidRPr="00BA6F83">
        <w:rPr>
          <w:color w:val="000000" w:themeColor="text1"/>
          <w:lang w:val="en-US"/>
        </w:rPr>
        <w:fldChar w:fldCharType="begin" w:fldLock="1"/>
      </w:r>
      <w:r w:rsidR="00756206">
        <w:rPr>
          <w:color w:val="000000" w:themeColor="text1"/>
          <w:lang w:val="en-US"/>
        </w:rPr>
        <w:instrText>ADDIN CSL_CITATION {"citationItems":[{"id":"ITEM-1","itemData":{"DOI":"10.4135/9781412971874.n145","ISBN":"9781412996808","ISSN":"&lt;null&gt;","PMID":"17666792","abstract":"Ordination methods, diversity analysis and other functions for community and vegetation ecologists. License","author":[{"dropping-particle":"","family":"Oksanen","given":"Jari","non-dropping-particle":"","parse-names":false,"suffix":""},{"dropping-particle":"","family":"Kindt","given":"Roeland","non-dropping-particle":"","parse-names":false,"suffix":""},{"dropping-particle":"","family":"Legendre","given":"Pierre","non-dropping-particle":"","parse-names":false,"suffix":""},{"dropping-particle":"","family":"O'Hara","given":"Bob","non-dropping-particle":"","parse-names":false,"suffix":""},{"dropping-particle":"","family":"Simpson","given":"Gavin L","non-dropping-particle":"","parse-names":false,"suffix":""},{"dropping-particle":"","family":"Solymos","given":"Peter M","non-dropping-particle":"","parse-names":false,"suffix":""},{"dropping-particle":"","family":"Stevens","given":"M. Henry H.","non-dropping-particle":"","parse-names":false,"suffix":""},{"dropping-particle":"","family":"&amp; Wagner","given":"Helene","non-dropping-particle":"","parse-names":false,"suffix":""}],"container-title":"Community ecology package","id":"ITEM-1","issued":{"date-parts":[["2008"]]},"title":"The vegan package","type":"article"},"uris":["http://www.mendeley.com/documents/?uuid=bb1adbe3-bab1-4f26-89bb-89795396ae0f"]}],"mendeley":{"formattedCitation":"&lt;sup&gt;78&lt;/sup&gt;","plainTextFormattedCitation":"78","previouslyFormattedCitation":"&lt;sup&gt;77&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78</w:t>
      </w:r>
      <w:r w:rsidRPr="00BA6F83">
        <w:rPr>
          <w:color w:val="000000" w:themeColor="text1"/>
          <w:lang w:val="en-US"/>
        </w:rPr>
        <w:fldChar w:fldCharType="end"/>
      </w:r>
      <w:r w:rsidRPr="00BA6F83">
        <w:rPr>
          <w:color w:val="000000" w:themeColor="text1"/>
          <w:lang w:val="en-US"/>
        </w:rPr>
        <w:t xml:space="preserve">. Association of hypersensitivity with genus </w:t>
      </w:r>
      <w:proofErr w:type="spellStart"/>
      <w:r w:rsidRPr="00BA6F83">
        <w:rPr>
          <w:i/>
          <w:color w:val="000000" w:themeColor="text1"/>
          <w:lang w:val="en-US"/>
        </w:rPr>
        <w:t>Robinsoniella</w:t>
      </w:r>
      <w:proofErr w:type="spellEnd"/>
      <w:r w:rsidRPr="00BA6F83">
        <w:rPr>
          <w:color w:val="000000" w:themeColor="text1"/>
          <w:lang w:val="en-US"/>
        </w:rPr>
        <w:t xml:space="preserve"> and </w:t>
      </w:r>
      <w:proofErr w:type="spellStart"/>
      <w:r w:rsidRPr="00BA6F83">
        <w:rPr>
          <w:i/>
          <w:color w:val="000000" w:themeColor="text1"/>
          <w:sz w:val="20"/>
          <w:szCs w:val="20"/>
          <w:lang w:val="en-US"/>
        </w:rPr>
        <w:t>Eisenbergiella</w:t>
      </w:r>
      <w:proofErr w:type="spellEnd"/>
      <w:r w:rsidRPr="00BA6F83">
        <w:rPr>
          <w:color w:val="000000" w:themeColor="text1"/>
          <w:lang w:val="en-US"/>
        </w:rPr>
        <w:t xml:space="preserve"> was assessed using the Mann–Whitney U test. All analyses were performed in R (version 3.4.1).</w:t>
      </w:r>
    </w:p>
    <w:p w14:paraId="5A1C9927" w14:textId="77777777" w:rsidR="00CE2959" w:rsidRPr="00BA6F83" w:rsidRDefault="00CE2959" w:rsidP="00CE2959">
      <w:pPr>
        <w:spacing w:after="120" w:line="480" w:lineRule="auto"/>
        <w:jc w:val="both"/>
        <w:rPr>
          <w:i/>
          <w:color w:val="000000" w:themeColor="text1"/>
          <w:lang w:val="en-US"/>
        </w:rPr>
      </w:pPr>
    </w:p>
    <w:p w14:paraId="162C4669"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Histopathology assessment of murine samples:</w:t>
      </w:r>
    </w:p>
    <w:p w14:paraId="3B95EA6F" w14:textId="77777777" w:rsidR="00CE2959" w:rsidRPr="00BA6F83" w:rsidRDefault="00CE2959" w:rsidP="00CE2959">
      <w:pPr>
        <w:spacing w:after="120" w:line="480" w:lineRule="auto"/>
        <w:jc w:val="both"/>
        <w:rPr>
          <w:color w:val="000000" w:themeColor="text1"/>
          <w:lang w:val="en-US"/>
        </w:rPr>
      </w:pPr>
      <w:r w:rsidRPr="00BA6F83">
        <w:rPr>
          <w:color w:val="000000" w:themeColor="text1"/>
          <w:lang w:val="en-US"/>
        </w:rPr>
        <w:t>Samples were fixed in 4% paraformaldehyde (PFA) at 4</w:t>
      </w:r>
      <w:r w:rsidRPr="00BA6F83">
        <w:rPr>
          <w:rFonts w:cstheme="minorHAnsi"/>
          <w:color w:val="000000" w:themeColor="text1"/>
          <w:lang w:val="en-US"/>
        </w:rPr>
        <w:t>°C</w:t>
      </w:r>
      <w:r w:rsidRPr="00BA6F83">
        <w:rPr>
          <w:color w:val="000000" w:themeColor="text1"/>
          <w:lang w:val="en-US"/>
        </w:rPr>
        <w:t xml:space="preserve"> overnight, transferred to sucrose (0.3 g/mL) and stored at 4</w:t>
      </w:r>
      <w:r w:rsidRPr="00BA6F83">
        <w:rPr>
          <w:rFonts w:cstheme="minorHAnsi"/>
          <w:color w:val="000000" w:themeColor="text1"/>
          <w:lang w:val="en-US"/>
        </w:rPr>
        <w:t>°C</w:t>
      </w:r>
      <w:r w:rsidRPr="00BA6F83">
        <w:rPr>
          <w:color w:val="000000" w:themeColor="text1"/>
          <w:lang w:val="en-US"/>
        </w:rPr>
        <w:t>. Samples were embedded using conventional techniques. 5-</w:t>
      </w:r>
      <w:r w:rsidRPr="00BA6F83">
        <w:rPr>
          <w:rFonts w:cstheme="minorHAnsi"/>
          <w:color w:val="000000" w:themeColor="text1"/>
          <w:lang w:val="en-US"/>
        </w:rPr>
        <w:t>µ</w:t>
      </w:r>
      <w:r w:rsidRPr="00BA6F83">
        <w:rPr>
          <w:color w:val="000000" w:themeColor="text1"/>
          <w:lang w:val="en-US"/>
        </w:rPr>
        <w:t xml:space="preserve">m-sections were cut and stained by the </w:t>
      </w:r>
      <w:proofErr w:type="spellStart"/>
      <w:r w:rsidRPr="00BA6F83">
        <w:rPr>
          <w:color w:val="000000" w:themeColor="text1"/>
          <w:lang w:val="en-US"/>
        </w:rPr>
        <w:t>heamatoxylin</w:t>
      </w:r>
      <w:proofErr w:type="spellEnd"/>
      <w:r w:rsidRPr="00BA6F83">
        <w:rPr>
          <w:color w:val="000000" w:themeColor="text1"/>
          <w:lang w:val="en-US"/>
        </w:rPr>
        <w:t xml:space="preserve"> &amp; eosin (H&amp;E) method. Slides were reviewed using an Olympus BX41 light microscope and scored blinded. Crypt length, crypt space and muscle thickness were measured. </w:t>
      </w:r>
    </w:p>
    <w:p w14:paraId="014F7853" w14:textId="77777777" w:rsidR="00CE2959" w:rsidRPr="00BA6F83" w:rsidRDefault="00CE2959" w:rsidP="00CE2959">
      <w:pPr>
        <w:spacing w:after="120" w:line="480" w:lineRule="auto"/>
        <w:jc w:val="both"/>
        <w:rPr>
          <w:color w:val="000000" w:themeColor="text1"/>
          <w:lang w:val="en-US"/>
        </w:rPr>
      </w:pPr>
    </w:p>
    <w:p w14:paraId="60C7AD04" w14:textId="77777777" w:rsidR="00CE2959" w:rsidRPr="00BA6F83" w:rsidRDefault="00CE2959" w:rsidP="00CE2959">
      <w:pPr>
        <w:spacing w:after="120" w:line="480" w:lineRule="auto"/>
        <w:jc w:val="both"/>
        <w:rPr>
          <w:rFonts w:asciiTheme="minorHAnsi" w:hAnsiTheme="minorHAnsi" w:cstheme="minorHAnsi"/>
          <w:i/>
          <w:color w:val="000000" w:themeColor="text1"/>
          <w:lang w:val="en-US"/>
        </w:rPr>
      </w:pPr>
      <w:r>
        <w:rPr>
          <w:rFonts w:asciiTheme="minorHAnsi" w:hAnsiTheme="minorHAnsi" w:cstheme="minorHAnsi"/>
          <w:i/>
          <w:color w:val="000000" w:themeColor="text1"/>
          <w:lang w:val="en-US"/>
        </w:rPr>
        <w:t>Mast cell live imaging</w:t>
      </w:r>
      <w:r w:rsidRPr="00BA6F83">
        <w:rPr>
          <w:rFonts w:asciiTheme="minorHAnsi" w:hAnsiTheme="minorHAnsi" w:cstheme="minorHAnsi"/>
          <w:i/>
          <w:color w:val="000000" w:themeColor="text1"/>
          <w:lang w:val="en-US"/>
        </w:rPr>
        <w:t xml:space="preserve"> in mouse</w:t>
      </w:r>
      <w:r>
        <w:rPr>
          <w:rFonts w:asciiTheme="minorHAnsi" w:hAnsiTheme="minorHAnsi" w:cstheme="minorHAnsi"/>
          <w:i/>
          <w:color w:val="000000" w:themeColor="text1"/>
          <w:lang w:val="en-US"/>
        </w:rPr>
        <w:t xml:space="preserve"> colonic submucosa</w:t>
      </w:r>
    </w:p>
    <w:p w14:paraId="67455A61" w14:textId="232C08A1" w:rsidR="00CE2959" w:rsidRPr="00506441" w:rsidRDefault="00CE2959" w:rsidP="00CE2959">
      <w:pPr>
        <w:spacing w:after="120" w:line="480" w:lineRule="auto"/>
        <w:jc w:val="both"/>
        <w:rPr>
          <w:rFonts w:asciiTheme="minorHAnsi" w:hAnsiTheme="minorHAnsi" w:cstheme="minorHAnsi"/>
          <w:color w:val="000000" w:themeColor="text1"/>
          <w:lang w:val="en-US"/>
        </w:rPr>
      </w:pPr>
      <w:r w:rsidRPr="00506441">
        <w:rPr>
          <w:rFonts w:asciiTheme="minorHAnsi" w:hAnsiTheme="minorHAnsi" w:cstheme="minorHAnsi"/>
          <w:color w:val="000000" w:themeColor="text1"/>
          <w:lang w:val="en-US"/>
        </w:rPr>
        <w:t>The colon was dissected and placed into Krebs solution oxygenated with 95% O</w:t>
      </w:r>
      <w:r w:rsidRPr="00506441">
        <w:rPr>
          <w:rFonts w:asciiTheme="minorHAnsi" w:hAnsiTheme="minorHAnsi" w:cstheme="minorHAnsi"/>
          <w:color w:val="000000" w:themeColor="text1"/>
          <w:vertAlign w:val="subscript"/>
          <w:lang w:val="en-US"/>
        </w:rPr>
        <w:t>2</w:t>
      </w:r>
      <w:r w:rsidRPr="00506441">
        <w:rPr>
          <w:rFonts w:asciiTheme="minorHAnsi" w:hAnsiTheme="minorHAnsi" w:cstheme="minorHAnsi"/>
          <w:color w:val="000000" w:themeColor="text1"/>
          <w:lang w:val="en-US"/>
        </w:rPr>
        <w:t>/5% CO</w:t>
      </w:r>
      <w:r w:rsidRPr="00506441">
        <w:rPr>
          <w:rFonts w:asciiTheme="minorHAnsi" w:hAnsiTheme="minorHAnsi" w:cstheme="minorHAnsi"/>
          <w:color w:val="000000" w:themeColor="text1"/>
          <w:vertAlign w:val="subscript"/>
          <w:lang w:val="en-US"/>
        </w:rPr>
        <w:t>2</w:t>
      </w:r>
      <w:r w:rsidRPr="00506441">
        <w:rPr>
          <w:rFonts w:asciiTheme="minorHAnsi" w:hAnsiTheme="minorHAnsi" w:cstheme="minorHAnsi"/>
          <w:color w:val="000000" w:themeColor="text1"/>
          <w:lang w:val="en-US"/>
        </w:rPr>
        <w:t xml:space="preserve">. The colon was cut opened parallel to the mesenteric line, cleaned from fecal pellets and pinned flat in a </w:t>
      </w:r>
      <w:proofErr w:type="spellStart"/>
      <w:r w:rsidRPr="00506441">
        <w:rPr>
          <w:rFonts w:asciiTheme="minorHAnsi" w:hAnsiTheme="minorHAnsi" w:cstheme="minorHAnsi"/>
          <w:color w:val="000000" w:themeColor="text1"/>
          <w:lang w:val="en-US"/>
        </w:rPr>
        <w:t>sylgard</w:t>
      </w:r>
      <w:proofErr w:type="spellEnd"/>
      <w:r w:rsidRPr="00506441">
        <w:rPr>
          <w:rFonts w:asciiTheme="minorHAnsi" w:hAnsiTheme="minorHAnsi" w:cstheme="minorHAnsi"/>
          <w:color w:val="000000" w:themeColor="text1"/>
          <w:lang w:val="en-US"/>
        </w:rPr>
        <w:t xml:space="preserve"> plate. Upon removal of the mucosa, the submucosal layer was dissected, placed on a metal ring to stabilize the tissue and loaded with the dye </w:t>
      </w:r>
      <w:proofErr w:type="spellStart"/>
      <w:r w:rsidRPr="00506441">
        <w:rPr>
          <w:rFonts w:asciiTheme="minorHAnsi" w:hAnsiTheme="minorHAnsi" w:cstheme="minorHAnsi"/>
          <w:color w:val="000000" w:themeColor="text1"/>
          <w:lang w:val="en-US"/>
        </w:rPr>
        <w:t>Sulforhodamine</w:t>
      </w:r>
      <w:proofErr w:type="spellEnd"/>
      <w:r w:rsidRPr="00506441">
        <w:rPr>
          <w:rFonts w:asciiTheme="minorHAnsi" w:hAnsiTheme="minorHAnsi" w:cstheme="minorHAnsi"/>
          <w:color w:val="000000" w:themeColor="text1"/>
          <w:lang w:val="en-US"/>
        </w:rPr>
        <w:t xml:space="preserve"> 101–coupled avidin (8 µg/mL in Krebs solution) (Sigma-Aldrich®) for 20 min and washed for 5 minutes with Krebs solution</w:t>
      </w:r>
      <w:r>
        <w:rPr>
          <w:rFonts w:asciiTheme="minorHAnsi" w:hAnsiTheme="minorHAnsi" w:cstheme="minorHAnsi"/>
          <w:color w:val="000000" w:themeColor="text1"/>
          <w:lang w:val="en-US"/>
        </w:rPr>
        <w:fldChar w:fldCharType="begin" w:fldLock="1"/>
      </w:r>
      <w:r w:rsidR="00756206">
        <w:rPr>
          <w:rFonts w:asciiTheme="minorHAnsi" w:hAnsiTheme="minorHAnsi" w:cstheme="minorHAnsi"/>
          <w:color w:val="000000" w:themeColor="text1"/>
          <w:lang w:val="en-US"/>
        </w:rPr>
        <w:instrText>ADDIN CSL_CITATION {"citationItems":[{"id":"ITEM-1","itemData":{"DOI":"10.1172/jci.insight.92900","ISSN":"23793708","abstract":"Contact hypersensitivity (CHS) is a common skin disease induced by epicutaneous sensitization to haptens. Conflicting results have been obtained regarding pathogenic versus protective roles of mast cells (MCs) in CHS, and this has been attributed in part to the limitations of certain models for studying MC functions in vivo. Here we describe a fluorescent imaging approach that enables in vivo selective labeling and tracking of MC secretory granules by real-time intravital 2-photon microscopy in living mice, and permits the identification of such MCs as a potential source of cytokines in different disease models. We show using this method that dermal MCs release their granules progressively into the surrounding microenvironment, but also represent an initial source of the antiinflammatory cytokine IL-10, during the early phase of severe CHS reactions. Finally, using 3 different types of MC-deficient mice, as well as mice in which IL-10 is ablated specifically in MCs, we show that IL-10 production by MCs can significantly limit the inflammation and tissue pathology observed in severe CHS reactions.","author":[{"dropping-particle":"","family":"Reber","given":"Laurent L.","non-dropping-particle":"","parse-names":false,"suffix":""},{"dropping-particle":"","family":"Sibilano","given":"Riccardo","non-dropping-particle":"","parse-names":false,"suffix":""},{"dropping-particle":"","family":"Starkl","given":"Philipp","non-dropping-particle":"","parse-names":false,"suffix":""},{"dropping-particle":"","family":"Roers","given":"Axel","non-dropping-particle":"","parse-names":false,"suffix":""},{"dropping-particle":"","family":"Grimbaldeston","given":"Michele A.","non-dropping-particle":"","parse-names":false,"suffix":""},{"dropping-particle":"","family":"Tsai","given":"Mindy","non-dropping-particle":"","parse-names":false,"suffix":""},{"dropping-particle":"","family":"Gaudenzio","given":"Nicolas","non-dropping-particle":"","parse-names":false,"suffix":""},{"dropping-particle":"","family":"Galli","given":"Stephen J.","non-dropping-particle":"","parse-names":false,"suffix":""}],"container-title":"JCI Insight","id":"ITEM-1","issue":"7","issued":{"date-parts":[["2017"]]},"page":"DOI","title":"Imaging protective mast cells in living mice during severe contact hypersensitivity","type":"article-journal","volume":"2"},"uris":["http://www.mendeley.com/documents/?uuid=5a3efab6-4d77-47ae-98e0-43b51a8889da"]},{"id":"ITEM-2","itemData":{"DOI":"10.1038/ncomms7174","ISSN":"20411723","abstract":"Mast cells are tissue-resident immune cells that play a key role in inflammation and allergy. Here we show that interaction of mast cells with antibody-targeted cells induces the polarized exocytosis of their granules resulting in a sustained exposure of effector enzymes, such as tryptase and chymase, at the cell-cell contact site. This previously unidentified mast cell effector mechanism, which we name the antibody-dependent degranulatory synapse (ADDS), is triggered by both IgE- and IgG-targeted cells. ADDSs take place within an area of cortical actin cytoskeleton clearance in the absence of microtubule organizing centre and Golgi apparatus repositioning towards the stimulating cell. Remarkably, IgG-mediated degranulatory synapses also occur upon contact with opsonized Toxoplasma gondii tachyzoites resulting in tryptase-dependent parasite death. Our results broaden current views of mast cell degranulation by revealing that human mast cells form degranulatory synapses with antibody-targeted cells and pathogens for dedicated secretion and defence.","author":[{"dropping-particle":"","family":"Joulia","given":"Régis","non-dropping-particle":"","parse-names":false,"suffix":""},{"dropping-particle":"","family":"Gaudenzio","given":"Nicolas","non-dropping-particle":"","parse-names":false,"suffix":""},{"dropping-particle":"","family":"Rodrigues","given":"Magda","non-dropping-particle":"","parse-names":false,"suffix":""},{"dropping-particle":"","family":"Lopez","given":"Jodie","non-dropping-particle":"","parse-names":false,"suffix":""},{"dropping-particle":"","family":"Blanchard","given":"Nicolas","non-dropping-particle":"","parse-names":false,"suffix":""},{"dropping-particle":"","family":"Valitutti","given":"Salvatore","non-dropping-particle":"","parse-names":false,"suffix":""},{"dropping-particle":"","family":"Espinosa","given":"Eric","non-dropping-particle":"","parse-names":false,"suffix":""}],"container-title":"Nature Communications","id":"ITEM-2","issue":"6","issued":{"date-parts":[["2015"]]},"page":"6174","title":"Mast cells form antibody-dependent degranulatory synapse for dedicated secretion and defence","type":"article-journal","volume":"25"},"uris":["http://www.mendeley.com/documents/?uuid=43f01317-7dfd-48e2-9ec1-9f50f0c8411a"]}],"mendeley":{"formattedCitation":"&lt;sup&gt;34,79&lt;/sup&gt;","plainTextFormattedCitation":"34,79","previouslyFormattedCitation":"&lt;sup&gt;34,78&lt;/sup&gt;"},"properties":{"noteIndex":0},"schema":"https://github.com/citation-style-language/schema/raw/master/csl-citation.json"}</w:instrText>
      </w:r>
      <w:r>
        <w:rPr>
          <w:rFonts w:asciiTheme="minorHAnsi" w:hAnsiTheme="minorHAnsi" w:cstheme="minorHAnsi"/>
          <w:color w:val="000000" w:themeColor="text1"/>
          <w:lang w:val="en-US"/>
        </w:rPr>
        <w:fldChar w:fldCharType="separate"/>
      </w:r>
      <w:r w:rsidR="00756206" w:rsidRPr="00756206">
        <w:rPr>
          <w:rFonts w:asciiTheme="minorHAnsi" w:hAnsiTheme="minorHAnsi" w:cstheme="minorHAnsi"/>
          <w:noProof/>
          <w:color w:val="000000" w:themeColor="text1"/>
          <w:vertAlign w:val="superscript"/>
          <w:lang w:val="en-US"/>
        </w:rPr>
        <w:t>34,79</w:t>
      </w:r>
      <w:r>
        <w:rPr>
          <w:rFonts w:asciiTheme="minorHAnsi" w:hAnsiTheme="minorHAnsi" w:cstheme="minorHAnsi"/>
          <w:color w:val="000000" w:themeColor="text1"/>
          <w:lang w:val="en-US"/>
        </w:rPr>
        <w:fldChar w:fldCharType="end"/>
      </w:r>
      <w:r w:rsidRPr="00506441">
        <w:rPr>
          <w:rFonts w:asciiTheme="minorHAnsi" w:hAnsiTheme="minorHAnsi" w:cstheme="minorHAnsi"/>
          <w:color w:val="000000" w:themeColor="text1"/>
          <w:lang w:val="en-US"/>
        </w:rPr>
        <w:t xml:space="preserve">. For image acquisition, the field of interest was selected randomly based on Avidin staining and incubated with OVA peptide (10 </w:t>
      </w:r>
      <w:r>
        <w:rPr>
          <w:rFonts w:asciiTheme="minorHAnsi" w:hAnsiTheme="minorHAnsi" w:cstheme="minorHAnsi"/>
          <w:color w:val="000000" w:themeColor="text1"/>
          <w:lang w:val="en-US"/>
        </w:rPr>
        <w:sym w:font="Symbol" w:char="F06D"/>
      </w:r>
      <w:r w:rsidRPr="00506441">
        <w:rPr>
          <w:rFonts w:asciiTheme="minorHAnsi" w:hAnsiTheme="minorHAnsi" w:cstheme="minorHAnsi"/>
          <w:color w:val="000000" w:themeColor="text1"/>
          <w:lang w:val="en-US"/>
        </w:rPr>
        <w:t>g/m</w:t>
      </w:r>
      <w:r>
        <w:rPr>
          <w:rFonts w:asciiTheme="minorHAnsi" w:hAnsiTheme="minorHAnsi" w:cstheme="minorHAnsi"/>
          <w:color w:val="000000" w:themeColor="text1"/>
          <w:lang w:val="en-US"/>
        </w:rPr>
        <w:t xml:space="preserve">L; </w:t>
      </w:r>
      <w:proofErr w:type="spellStart"/>
      <w:r>
        <w:rPr>
          <w:rFonts w:asciiTheme="minorHAnsi" w:hAnsiTheme="minorHAnsi" w:cstheme="minorHAnsi"/>
          <w:color w:val="000000" w:themeColor="text1"/>
          <w:lang w:val="en-US"/>
        </w:rPr>
        <w:t>InvivoGen</w:t>
      </w:r>
      <w:proofErr w:type="spellEnd"/>
      <w:r w:rsidRPr="00506441">
        <w:rPr>
          <w:rFonts w:asciiTheme="minorHAnsi" w:hAnsiTheme="minorHAnsi" w:cstheme="minorHAnsi"/>
          <w:color w:val="000000" w:themeColor="text1"/>
          <w:lang w:val="en-US"/>
        </w:rPr>
        <w:t xml:space="preserve">). </w:t>
      </w:r>
      <w:r>
        <w:rPr>
          <w:rFonts w:asciiTheme="minorHAnsi" w:hAnsiTheme="minorHAnsi" w:cstheme="minorHAnsi"/>
          <w:color w:val="000000" w:themeColor="text1"/>
          <w:lang w:val="en-US"/>
        </w:rPr>
        <w:t>Five</w:t>
      </w:r>
      <w:r w:rsidRPr="00506441">
        <w:rPr>
          <w:rFonts w:asciiTheme="minorHAnsi" w:hAnsiTheme="minorHAnsi" w:cstheme="minorHAnsi"/>
          <w:color w:val="000000" w:themeColor="text1"/>
          <w:lang w:val="en-US"/>
        </w:rPr>
        <w:t xml:space="preserve"> Z stacks per section (5 microns depth) were acquired just </w:t>
      </w:r>
      <w:r>
        <w:rPr>
          <w:rFonts w:asciiTheme="minorHAnsi" w:hAnsiTheme="minorHAnsi" w:cstheme="minorHAnsi"/>
          <w:color w:val="000000" w:themeColor="text1"/>
          <w:lang w:val="en-US"/>
        </w:rPr>
        <w:t>upon</w:t>
      </w:r>
      <w:r w:rsidRPr="00506441">
        <w:rPr>
          <w:rFonts w:asciiTheme="minorHAnsi" w:hAnsiTheme="minorHAnsi" w:cstheme="minorHAnsi"/>
          <w:color w:val="000000" w:themeColor="text1"/>
          <w:lang w:val="en-US"/>
        </w:rPr>
        <w:t xml:space="preserve"> incubation with OVA (0 </w:t>
      </w:r>
      <w:r w:rsidRPr="00506441">
        <w:rPr>
          <w:rFonts w:asciiTheme="minorHAnsi" w:hAnsiTheme="minorHAnsi" w:cstheme="minorHAnsi"/>
          <w:color w:val="000000" w:themeColor="text1"/>
          <w:lang w:val="en-US"/>
        </w:rPr>
        <w:lastRenderedPageBreak/>
        <w:t xml:space="preserve">min) and every </w:t>
      </w:r>
      <w:r>
        <w:rPr>
          <w:rFonts w:asciiTheme="minorHAnsi" w:hAnsiTheme="minorHAnsi" w:cstheme="minorHAnsi"/>
          <w:color w:val="000000" w:themeColor="text1"/>
          <w:lang w:val="en-US"/>
        </w:rPr>
        <w:t>7-</w:t>
      </w:r>
      <w:r w:rsidRPr="00506441">
        <w:rPr>
          <w:rFonts w:asciiTheme="minorHAnsi" w:hAnsiTheme="minorHAnsi" w:cstheme="minorHAnsi"/>
          <w:color w:val="000000" w:themeColor="text1"/>
          <w:lang w:val="en-US"/>
        </w:rPr>
        <w:t>minute interval</w:t>
      </w:r>
      <w:r>
        <w:rPr>
          <w:rFonts w:asciiTheme="minorHAnsi" w:hAnsiTheme="minorHAnsi" w:cstheme="minorHAnsi"/>
          <w:color w:val="000000" w:themeColor="text1"/>
          <w:lang w:val="en-US"/>
        </w:rPr>
        <w:t>,</w:t>
      </w:r>
      <w:r w:rsidRPr="00506441">
        <w:rPr>
          <w:rFonts w:asciiTheme="minorHAnsi" w:hAnsiTheme="minorHAnsi" w:cstheme="minorHAnsi"/>
          <w:color w:val="000000" w:themeColor="text1"/>
          <w:lang w:val="en-US"/>
        </w:rPr>
        <w:t xml:space="preserve"> </w:t>
      </w:r>
      <w:r>
        <w:rPr>
          <w:rFonts w:asciiTheme="minorHAnsi" w:hAnsiTheme="minorHAnsi" w:cstheme="minorHAnsi"/>
          <w:color w:val="000000" w:themeColor="text1"/>
          <w:lang w:val="en-US"/>
        </w:rPr>
        <w:t xml:space="preserve">during </w:t>
      </w:r>
      <w:r w:rsidRPr="00506441">
        <w:rPr>
          <w:rFonts w:asciiTheme="minorHAnsi" w:hAnsiTheme="minorHAnsi" w:cstheme="minorHAnsi"/>
          <w:color w:val="000000" w:themeColor="text1"/>
          <w:lang w:val="en-US"/>
        </w:rPr>
        <w:t>28</w:t>
      </w:r>
      <w:r>
        <w:rPr>
          <w:rFonts w:asciiTheme="minorHAnsi" w:hAnsiTheme="minorHAnsi" w:cstheme="minorHAnsi"/>
          <w:color w:val="000000" w:themeColor="text1"/>
          <w:lang w:val="en-US"/>
        </w:rPr>
        <w:t xml:space="preserve"> minu</w:t>
      </w:r>
      <w:r w:rsidRPr="00506441">
        <w:rPr>
          <w:rFonts w:asciiTheme="minorHAnsi" w:hAnsiTheme="minorHAnsi" w:cstheme="minorHAnsi"/>
          <w:color w:val="000000" w:themeColor="text1"/>
          <w:lang w:val="en-US"/>
        </w:rPr>
        <w:t xml:space="preserve">tes for Texas red channels using a 25X water immersion lens under a confocal microscope (Zeiss LSM 780, Belgium). </w:t>
      </w:r>
      <w:r>
        <w:rPr>
          <w:rFonts w:asciiTheme="minorHAnsi" w:hAnsiTheme="minorHAnsi" w:cstheme="minorHAnsi"/>
          <w:color w:val="000000" w:themeColor="text1"/>
          <w:lang w:val="en-US"/>
        </w:rPr>
        <w:t xml:space="preserve">Ionomycin (10 </w:t>
      </w:r>
      <w:r>
        <w:rPr>
          <w:rFonts w:asciiTheme="minorHAnsi" w:hAnsiTheme="minorHAnsi" w:cstheme="minorHAnsi"/>
          <w:color w:val="000000" w:themeColor="text1"/>
          <w:lang w:val="en-US"/>
        </w:rPr>
        <w:sym w:font="Symbol" w:char="F06D"/>
      </w:r>
      <w:r>
        <w:rPr>
          <w:rFonts w:asciiTheme="minorHAnsi" w:hAnsiTheme="minorHAnsi" w:cstheme="minorHAnsi"/>
          <w:color w:val="000000" w:themeColor="text1"/>
          <w:lang w:val="en-US"/>
        </w:rPr>
        <w:t>M, Sigma-</w:t>
      </w:r>
      <w:proofErr w:type="spellStart"/>
      <w:r>
        <w:rPr>
          <w:rFonts w:asciiTheme="minorHAnsi" w:hAnsiTheme="minorHAnsi" w:cstheme="minorHAnsi"/>
          <w:color w:val="000000" w:themeColor="text1"/>
          <w:lang w:val="en-US"/>
        </w:rPr>
        <w:t>Aldich</w:t>
      </w:r>
      <w:proofErr w:type="spellEnd"/>
      <w:r>
        <w:rPr>
          <w:rFonts w:asciiTheme="minorHAnsi" w:hAnsiTheme="minorHAnsi" w:cstheme="minorHAnsi"/>
          <w:color w:val="000000" w:themeColor="text1"/>
          <w:lang w:val="en-US"/>
        </w:rPr>
        <w:t xml:space="preserve">®) was used as positive control for MC degranulation. </w:t>
      </w:r>
      <w:r w:rsidRPr="00506441">
        <w:rPr>
          <w:rFonts w:asciiTheme="minorHAnsi" w:hAnsiTheme="minorHAnsi" w:cstheme="minorHAnsi"/>
          <w:color w:val="000000" w:themeColor="text1"/>
          <w:lang w:val="en-US"/>
        </w:rPr>
        <w:t>For fluorescence intensity analysis, Z stacks were processed (ImageJ 2.0.0-rc-54/1.52d) as sum projection used to quantify total corrected cell fluorescence (TCCF) as previously described</w:t>
      </w:r>
      <w:r>
        <w:rPr>
          <w:rFonts w:asciiTheme="minorHAnsi" w:hAnsiTheme="minorHAnsi" w:cstheme="minorHAnsi"/>
          <w:color w:val="000000" w:themeColor="text1"/>
          <w:lang w:val="en-US"/>
        </w:rPr>
        <w:fldChar w:fldCharType="begin" w:fldLock="1"/>
      </w:r>
      <w:r w:rsidR="00756206">
        <w:rPr>
          <w:rFonts w:asciiTheme="minorHAnsi" w:hAnsiTheme="minorHAnsi" w:cstheme="minorHAnsi"/>
          <w:color w:val="000000" w:themeColor="text1"/>
          <w:lang w:val="en-US"/>
        </w:rPr>
        <w:instrText>ADDIN CSL_CITATION {"citationItems":[{"id":"ITEM-1","itemData":{"DOI":"10.4161/cc.28401","ISBN":"1538-4101","ISSN":"15514005","PMID":"24626186","abstract":"Entry and progression through mitosis has traditionally been linked directly to the activity of cyclin-dependent kinase 1 (Cdk1). In this study we utilized low doses of the Cdk1-specific inhibitor, RO3306 from early G 2 phase onwards. Addition of low doses of RO3306 in G 2 phase induced minor chromosome congression and segregation defects. In contrast, mild doses of RO3306 during G 2 phase resulted in cells entering an aberrant mitosis, with cells fragmenting centrosomes and failing to fully disassemble the nuclear envelope. Cells often underwent cytokinesis and metaphase simultaneously, despite the presence of an active spindle assembly checkpoint, which prevented degradation of cyclin B1 and securin, resulting in the random partitioning of whole chromosomes. This highly aberrant mitosis produced a significant increase in the proportion of viable polyploid cells present up to 3 days post-treatment. Furthermore, cells treated with medium doses of RO3306 were only able to reach the threshold of Cdk1 substrate phosphorylation required to initiate nuclear envelope breakdown, but failed to reach the levels of phosphorylation required to correctly complete pro-metaphase. Treatment with low doses of Okadaic acid, which primarily inhibits PP2A, rescued the mitotic defects and increased the number of cells that completed a normal mitosis. This supports the current model that PP2A is the primary phosphatase that counterbalances the activity of Cdk1 during mitosis. Taken together these results show that continuous and subtle disruption of Cdk1 activity from G 2 phase onwards has deleterious consequences on mitotic progression by disrupting the balance between Cdk1 and PP2A.","author":[{"dropping-particle":"","family":"McCloy","given":"Rachael A.","non-dropping-particle":"","parse-names":false,"suffix":""},{"dropping-particle":"","family":"Rogers","given":"Samuel","non-dropping-particle":"","parse-names":false,"suffix":""},{"dropping-particle":"","family":"Caldon","given":"C. Elizabeth","non-dropping-particle":"","parse-names":false,"suffix":""},{"dropping-particle":"","family":"Lorca","given":"Thierry","non-dropping-particle":"","parse-names":false,"suffix":""},{"dropping-particle":"","family":"Castro","given":"Anna","non-dropping-particle":"","parse-names":false,"suffix":""},{"dropping-particle":"","family":"Burgess","given":"Andrew","non-dropping-particle":"","parse-names":false,"suffix":""}],"container-title":"Cell Cycle","id":"ITEM-1","issue":"9","issued":{"date-parts":[["2014"]]},"page":"1400-12","title":"Partial inhibition of Cdk1 in G2phase overrides the SAC and decouples mitotic events","type":"article-journal","volume":"13"},"uris":["http://www.mendeley.com/documents/?uuid=334a6f43-8598-4e26-b966-5cd49f5bc60f"]}],"mendeley":{"formattedCitation":"&lt;sup&gt;80&lt;/sup&gt;","plainTextFormattedCitation":"80","previouslyFormattedCitation":"&lt;sup&gt;79&lt;/sup&gt;"},"properties":{"noteIndex":0},"schema":"https://github.com/citation-style-language/schema/raw/master/csl-citation.json"}</w:instrText>
      </w:r>
      <w:r>
        <w:rPr>
          <w:rFonts w:asciiTheme="minorHAnsi" w:hAnsiTheme="minorHAnsi" w:cstheme="minorHAnsi"/>
          <w:color w:val="000000" w:themeColor="text1"/>
          <w:lang w:val="en-US"/>
        </w:rPr>
        <w:fldChar w:fldCharType="separate"/>
      </w:r>
      <w:r w:rsidR="00756206" w:rsidRPr="00756206">
        <w:rPr>
          <w:rFonts w:asciiTheme="minorHAnsi" w:hAnsiTheme="minorHAnsi" w:cstheme="minorHAnsi"/>
          <w:noProof/>
          <w:color w:val="000000" w:themeColor="text1"/>
          <w:vertAlign w:val="superscript"/>
          <w:lang w:val="en-US"/>
        </w:rPr>
        <w:t>80</w:t>
      </w:r>
      <w:r>
        <w:rPr>
          <w:rFonts w:asciiTheme="minorHAnsi" w:hAnsiTheme="minorHAnsi" w:cstheme="minorHAnsi"/>
          <w:color w:val="000000" w:themeColor="text1"/>
          <w:lang w:val="en-US"/>
        </w:rPr>
        <w:fldChar w:fldCharType="end"/>
      </w:r>
      <w:r>
        <w:rPr>
          <w:rFonts w:asciiTheme="minorHAnsi" w:hAnsiTheme="minorHAnsi" w:cstheme="minorHAnsi"/>
          <w:color w:val="000000" w:themeColor="text1"/>
          <w:lang w:val="en-US"/>
        </w:rPr>
        <w:t xml:space="preserve"> and expressed as % compared to TCCF in baseline (time = 0 min)</w:t>
      </w:r>
      <w:r w:rsidRPr="00506441">
        <w:rPr>
          <w:rFonts w:asciiTheme="minorHAnsi" w:hAnsiTheme="minorHAnsi" w:cstheme="minorHAnsi"/>
          <w:color w:val="000000" w:themeColor="text1"/>
          <w:lang w:val="en-US"/>
        </w:rPr>
        <w:t xml:space="preserve">. </w:t>
      </w:r>
      <w:r>
        <w:rPr>
          <w:rFonts w:asciiTheme="minorHAnsi" w:hAnsiTheme="minorHAnsi" w:cstheme="minorHAnsi"/>
          <w:color w:val="000000" w:themeColor="text1"/>
          <w:lang w:val="en-US"/>
        </w:rPr>
        <w:t>For calculation of the percentage of MC degranulated, the 95</w:t>
      </w:r>
      <w:r w:rsidRPr="00FB4B0F">
        <w:rPr>
          <w:rFonts w:asciiTheme="minorHAnsi" w:hAnsiTheme="minorHAnsi" w:cstheme="minorHAnsi"/>
          <w:color w:val="000000" w:themeColor="text1"/>
          <w:vertAlign w:val="superscript"/>
          <w:lang w:val="en-US"/>
        </w:rPr>
        <w:t>th</w:t>
      </w:r>
      <w:r>
        <w:rPr>
          <w:rFonts w:asciiTheme="minorHAnsi" w:hAnsiTheme="minorHAnsi" w:cstheme="minorHAnsi"/>
          <w:color w:val="000000" w:themeColor="text1"/>
          <w:lang w:val="en-US"/>
        </w:rPr>
        <w:t xml:space="preserve"> percentile of TCCF % loss in MC from OVA/sham + OVA group at time = 28 min was used as a threshold for MC to degranulate. </w:t>
      </w:r>
      <w:r w:rsidRPr="00506441">
        <w:rPr>
          <w:rFonts w:asciiTheme="minorHAnsi" w:hAnsiTheme="minorHAnsi" w:cstheme="minorHAnsi"/>
          <w:color w:val="000000" w:themeColor="text1"/>
          <w:lang w:val="en-US"/>
        </w:rPr>
        <w:t xml:space="preserve">Representative images were acquired using a 25X water immersion lens and processed as sum projection. Images were assigned with red color and adjusted similarly for brightness and contrast. </w:t>
      </w:r>
    </w:p>
    <w:p w14:paraId="6AA91E11" w14:textId="77777777" w:rsidR="00CE2959" w:rsidRPr="00BA6F83" w:rsidRDefault="00CE2959" w:rsidP="00CE2959">
      <w:pPr>
        <w:spacing w:after="120" w:line="480" w:lineRule="auto"/>
        <w:jc w:val="both"/>
        <w:rPr>
          <w:color w:val="000000" w:themeColor="text1"/>
          <w:lang w:val="en-US"/>
        </w:rPr>
      </w:pPr>
    </w:p>
    <w:p w14:paraId="74F3626A"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RNA extraction and cDNA preparation:</w:t>
      </w:r>
    </w:p>
    <w:p w14:paraId="38138075" w14:textId="77777777" w:rsidR="00CE2959" w:rsidRPr="00BA6F83" w:rsidRDefault="00CE2959" w:rsidP="00CE2959">
      <w:pPr>
        <w:spacing w:after="120" w:line="480" w:lineRule="auto"/>
        <w:jc w:val="both"/>
        <w:rPr>
          <w:color w:val="000000" w:themeColor="text1"/>
          <w:lang w:val="en-US"/>
        </w:rPr>
      </w:pPr>
      <w:r w:rsidRPr="00BA6F83">
        <w:rPr>
          <w:color w:val="000000" w:themeColor="text1"/>
          <w:lang w:val="en-US"/>
        </w:rPr>
        <w:t xml:space="preserve">RNeasy Mini Kit (Qiagen) was used to isolate total RNA following manufacturers’ instructions (Qiagen). cDNA was then transcribed (Quanta Biosciences, Gaithersburg, Maryland, USA) and subjected to RT-qPCR analysis according to manufacturers’ instructions. </w:t>
      </w:r>
    </w:p>
    <w:p w14:paraId="5F33DD65" w14:textId="77777777" w:rsidR="00CE2959" w:rsidRPr="00BA6F83" w:rsidRDefault="00CE2959" w:rsidP="00CE2959">
      <w:pPr>
        <w:spacing w:after="120" w:line="480" w:lineRule="auto"/>
        <w:jc w:val="both"/>
        <w:rPr>
          <w:rFonts w:cstheme="minorHAnsi"/>
          <w:color w:val="000000" w:themeColor="text1"/>
          <w:lang w:val="en-US"/>
        </w:rPr>
      </w:pPr>
    </w:p>
    <w:p w14:paraId="63C1642D" w14:textId="77777777" w:rsidR="00CE2959" w:rsidRPr="00BA6F83" w:rsidRDefault="00CE2959" w:rsidP="00CE2959">
      <w:pPr>
        <w:spacing w:line="480" w:lineRule="auto"/>
        <w:jc w:val="both"/>
        <w:rPr>
          <w:i/>
          <w:color w:val="000000" w:themeColor="text1"/>
          <w:lang w:val="en-US"/>
        </w:rPr>
      </w:pPr>
      <w:r w:rsidRPr="00BA6F83">
        <w:rPr>
          <w:i/>
          <w:color w:val="000000" w:themeColor="text1"/>
          <w:lang w:val="en-US"/>
        </w:rPr>
        <w:t>Tissue harvest for single cell suspensions</w:t>
      </w:r>
    </w:p>
    <w:p w14:paraId="0D2CEF30" w14:textId="798A2552" w:rsidR="00CE2959" w:rsidRPr="00BA6F83" w:rsidRDefault="00CE2959" w:rsidP="00CE2959">
      <w:pPr>
        <w:spacing w:line="480" w:lineRule="auto"/>
        <w:jc w:val="both"/>
        <w:rPr>
          <w:color w:val="000000" w:themeColor="text1"/>
          <w:lang w:val="en-US"/>
        </w:rPr>
      </w:pPr>
      <w:r w:rsidRPr="00BA6F83">
        <w:rPr>
          <w:color w:val="000000" w:themeColor="text1"/>
          <w:lang w:val="en-US"/>
        </w:rPr>
        <w:t xml:space="preserve">Colon </w:t>
      </w:r>
      <w:r w:rsidR="00AF6DE8">
        <w:rPr>
          <w:color w:val="000000" w:themeColor="text1"/>
          <w:lang w:val="en-US"/>
        </w:rPr>
        <w:t xml:space="preserve">and small intestine </w:t>
      </w:r>
      <w:r w:rsidRPr="00BA6F83">
        <w:rPr>
          <w:color w:val="000000" w:themeColor="text1"/>
          <w:lang w:val="en-US"/>
        </w:rPr>
        <w:t>w</w:t>
      </w:r>
      <w:r w:rsidR="00AF6DE8">
        <w:rPr>
          <w:color w:val="000000" w:themeColor="text1"/>
          <w:lang w:val="en-US"/>
        </w:rPr>
        <w:t>ere</w:t>
      </w:r>
      <w:r w:rsidRPr="00BA6F83">
        <w:rPr>
          <w:color w:val="000000" w:themeColor="text1"/>
          <w:lang w:val="en-US"/>
        </w:rPr>
        <w:t xml:space="preserve"> removed from mesenteric fat tissue, opened longitudinally and subsequently cleaned in cold phosphate-buffered saline (PBS) and Hank's Balanced Salt Solution (HBSS) (Gibco) supplemented with fetal calf serum (FCS, 1%, Lonza) and Penicillin/Streptomycin (Gibco) (100 µg/mL) (= wash medium). Epithelial cells were removed by an 8-minute incubation on a magnetic stirrer in warm (37°C) wash medium supplemented with DTT (1 mM) and EDTA (1 mM). After a washing step, tissue was cut in pieces smaller than 3mm and digested by a 25- to 30-min incubation on a magnetic stirrer in warm (37°C) MEM α containing Penicillin/Streptomycin (100 µg/mL), β-</w:t>
      </w:r>
      <w:proofErr w:type="spellStart"/>
      <w:r w:rsidRPr="00BA6F83">
        <w:rPr>
          <w:color w:val="000000" w:themeColor="text1"/>
          <w:lang w:val="en-US"/>
        </w:rPr>
        <w:t>mercaptoethanol</w:t>
      </w:r>
      <w:proofErr w:type="spellEnd"/>
      <w:r w:rsidRPr="00BA6F83">
        <w:rPr>
          <w:color w:val="000000" w:themeColor="text1"/>
          <w:lang w:val="en-US"/>
        </w:rPr>
        <w:t xml:space="preserve"> (50 µM, Sigma-</w:t>
      </w:r>
      <w:r w:rsidRPr="00BA6F83">
        <w:rPr>
          <w:color w:val="000000" w:themeColor="text1"/>
          <w:lang w:val="en-US"/>
        </w:rPr>
        <w:lastRenderedPageBreak/>
        <w:t xml:space="preserve">Aldrich®), FCS (5%), DNase (5 U/mL, Roche), Collagenase V (0.85 mg/mL, Sigma-Aldrich®), Collagenase D (1.25 mg/mL, Roche), </w:t>
      </w:r>
      <w:proofErr w:type="spellStart"/>
      <w:r w:rsidRPr="00BA6F83">
        <w:rPr>
          <w:color w:val="000000" w:themeColor="text1"/>
          <w:lang w:val="en-US"/>
        </w:rPr>
        <w:t>Dispase</w:t>
      </w:r>
      <w:proofErr w:type="spellEnd"/>
      <w:r w:rsidRPr="00BA6F83">
        <w:rPr>
          <w:color w:val="000000" w:themeColor="text1"/>
          <w:lang w:val="en-US"/>
        </w:rPr>
        <w:t xml:space="preserve"> (1 mg/mL, Gibco). After digestion, cells were filtered through a 70 µm cell strainer and lamina propria cells were purified using a </w:t>
      </w:r>
      <w:proofErr w:type="spellStart"/>
      <w:r w:rsidRPr="00BA6F83">
        <w:rPr>
          <w:color w:val="000000" w:themeColor="text1"/>
          <w:lang w:val="en-US"/>
        </w:rPr>
        <w:t>Percoll</w:t>
      </w:r>
      <w:proofErr w:type="spellEnd"/>
      <w:r w:rsidRPr="00BA6F83">
        <w:rPr>
          <w:color w:val="000000" w:themeColor="text1"/>
          <w:lang w:val="en-US"/>
        </w:rPr>
        <w:t xml:space="preserve"> (VWR) gradient (44 to 67%).  Purified cells were washed and re-suspended in PBS supplemented with FCS (1%) and Penicillin/Streptomycin (100 µg/mL) and </w:t>
      </w:r>
      <w:r w:rsidR="007B392F">
        <w:rPr>
          <w:color w:val="000000" w:themeColor="text1"/>
          <w:lang w:val="en-US"/>
        </w:rPr>
        <w:t>stained</w:t>
      </w:r>
      <w:r w:rsidRPr="00BA6F83">
        <w:rPr>
          <w:color w:val="000000" w:themeColor="text1"/>
          <w:lang w:val="en-US"/>
        </w:rPr>
        <w:t xml:space="preserve"> for Flow Cytometry. </w:t>
      </w:r>
    </w:p>
    <w:p w14:paraId="0FE0B9F1" w14:textId="77777777" w:rsidR="00CE2959" w:rsidRPr="00BA6F83" w:rsidRDefault="00CE2959" w:rsidP="00CE2959">
      <w:pPr>
        <w:spacing w:line="480" w:lineRule="auto"/>
        <w:jc w:val="both"/>
        <w:rPr>
          <w:i/>
          <w:color w:val="000000" w:themeColor="text1"/>
          <w:lang w:val="en-US"/>
        </w:rPr>
      </w:pPr>
      <w:r w:rsidRPr="00BA6F83">
        <w:rPr>
          <w:i/>
          <w:color w:val="000000" w:themeColor="text1"/>
          <w:lang w:val="en-US"/>
        </w:rPr>
        <w:t>Flow Cytometry</w:t>
      </w:r>
    </w:p>
    <w:p w14:paraId="3B49FA30" w14:textId="3860A089" w:rsidR="00CE2959" w:rsidRPr="00BA6F83" w:rsidRDefault="00CE2959" w:rsidP="00CE2959">
      <w:pPr>
        <w:spacing w:line="480" w:lineRule="auto"/>
        <w:jc w:val="both"/>
        <w:rPr>
          <w:color w:val="000000" w:themeColor="text1"/>
          <w:lang w:val="en-US"/>
        </w:rPr>
      </w:pPr>
      <w:r w:rsidRPr="00BA6F83">
        <w:rPr>
          <w:color w:val="000000" w:themeColor="text1"/>
          <w:lang w:val="en-US"/>
        </w:rPr>
        <w:t xml:space="preserve">Single cell suspensions were labelled for flow cytometry analysis using fluorophore-conjugated anti-mouse antibodies for 30 min at 4°C using the antibodies listed in </w:t>
      </w:r>
      <w:r>
        <w:rPr>
          <w:color w:val="000000" w:themeColor="text1"/>
          <w:lang w:val="en-US"/>
        </w:rPr>
        <w:t xml:space="preserve">Extended Data </w:t>
      </w:r>
      <w:r w:rsidRPr="00BA6F83">
        <w:rPr>
          <w:color w:val="000000" w:themeColor="text1"/>
          <w:lang w:val="en-US"/>
        </w:rPr>
        <w:t>Table 4</w:t>
      </w:r>
      <w:r w:rsidRPr="00BA6F83">
        <w:rPr>
          <w:rStyle w:val="CommentReference"/>
          <w:color w:val="000000" w:themeColor="text1"/>
          <w:lang w:val="en-US"/>
        </w:rPr>
        <w:t xml:space="preserve">. </w:t>
      </w:r>
      <w:r w:rsidRPr="00BA6F83">
        <w:rPr>
          <w:color w:val="000000" w:themeColor="text1"/>
          <w:lang w:val="en-US"/>
        </w:rPr>
        <w:t xml:space="preserve">Living cells were identified using a viability dye (Fixable Viability Dye eFluor®506, </w:t>
      </w:r>
      <w:proofErr w:type="spellStart"/>
      <w:r w:rsidRPr="00BA6F83">
        <w:rPr>
          <w:color w:val="000000" w:themeColor="text1"/>
          <w:lang w:val="en-US"/>
        </w:rPr>
        <w:t>eBioscience</w:t>
      </w:r>
      <w:proofErr w:type="spellEnd"/>
      <w:r w:rsidRPr="00BA6F83">
        <w:rPr>
          <w:color w:val="000000" w:themeColor="text1"/>
          <w:lang w:val="en-US"/>
        </w:rPr>
        <w:t>). For intracellular staining, cells were fixed for 30 minutes, washed and then permeabilized for 20 minutes using a Foxp3 / Transcription Factor Staining Buffer Set (</w:t>
      </w:r>
      <w:proofErr w:type="spellStart"/>
      <w:r w:rsidRPr="00BA6F83">
        <w:rPr>
          <w:color w:val="000000" w:themeColor="text1"/>
          <w:lang w:val="en-US"/>
        </w:rPr>
        <w:t>eBioscience</w:t>
      </w:r>
      <w:proofErr w:type="spellEnd"/>
      <w:r w:rsidRPr="00BA6F83">
        <w:rPr>
          <w:color w:val="000000" w:themeColor="text1"/>
          <w:lang w:val="en-US"/>
        </w:rPr>
        <w:t xml:space="preserve">). Cells were incubated with intracellular antibodies for 1 hour at 4°C. Samples were acquired using BD </w:t>
      </w:r>
      <w:proofErr w:type="spellStart"/>
      <w:r w:rsidRPr="00BA6F83">
        <w:rPr>
          <w:color w:val="000000" w:themeColor="text1"/>
          <w:lang w:val="en-US"/>
        </w:rPr>
        <w:t>FACSCanto</w:t>
      </w:r>
      <w:proofErr w:type="spellEnd"/>
      <w:r w:rsidRPr="00BA6F83">
        <w:rPr>
          <w:color w:val="000000" w:themeColor="text1"/>
          <w:lang w:val="en-US"/>
        </w:rPr>
        <w:t xml:space="preserve"> II (BD Biosciences)</w:t>
      </w:r>
      <w:r w:rsidR="007B392F" w:rsidRPr="00963325">
        <w:rPr>
          <w:color w:val="000000" w:themeColor="text1"/>
          <w:lang w:val="en-US"/>
        </w:rPr>
        <w:t xml:space="preserve"> or BD FACS Symphony A5 (BD Biosciences),</w:t>
      </w:r>
      <w:r w:rsidRPr="00BA6F83">
        <w:rPr>
          <w:color w:val="000000" w:themeColor="text1"/>
          <w:lang w:val="en-US"/>
        </w:rPr>
        <w:t xml:space="preserve"> and analysis was carried out using </w:t>
      </w:r>
      <w:proofErr w:type="spellStart"/>
      <w:r w:rsidRPr="00BA6F83">
        <w:rPr>
          <w:color w:val="000000" w:themeColor="text1"/>
          <w:lang w:val="en-US"/>
        </w:rPr>
        <w:t>FlowJo</w:t>
      </w:r>
      <w:proofErr w:type="spellEnd"/>
      <w:r w:rsidRPr="00BA6F83">
        <w:rPr>
          <w:color w:val="000000" w:themeColor="text1"/>
          <w:lang w:val="en-US"/>
        </w:rPr>
        <w:t xml:space="preserve"> software (V.10.0.8, BD).</w:t>
      </w:r>
    </w:p>
    <w:p w14:paraId="200FE0A7" w14:textId="77777777" w:rsidR="00CE2959" w:rsidRPr="00BA6F83" w:rsidRDefault="00CE2959" w:rsidP="00CE2959">
      <w:pPr>
        <w:spacing w:after="120" w:line="480" w:lineRule="auto"/>
        <w:jc w:val="both"/>
        <w:rPr>
          <w:i/>
          <w:color w:val="000000" w:themeColor="text1"/>
          <w:lang w:val="en-US"/>
        </w:rPr>
      </w:pPr>
    </w:p>
    <w:p w14:paraId="1C2A18A6" w14:textId="77777777" w:rsidR="00CE2959" w:rsidRPr="00BA6F83" w:rsidRDefault="00CE2959" w:rsidP="00CE2959">
      <w:pPr>
        <w:spacing w:after="120" w:line="480" w:lineRule="auto"/>
        <w:jc w:val="both"/>
        <w:rPr>
          <w:color w:val="000000" w:themeColor="text1"/>
          <w:lang w:val="en-US"/>
        </w:rPr>
      </w:pPr>
      <w:r w:rsidRPr="00BA6F83">
        <w:rPr>
          <w:i/>
          <w:color w:val="000000" w:themeColor="text1"/>
          <w:lang w:val="en-US"/>
        </w:rPr>
        <w:t>Gene expression quantification</w:t>
      </w:r>
      <w:r w:rsidRPr="00BA6F83">
        <w:rPr>
          <w:color w:val="000000" w:themeColor="text1"/>
          <w:lang w:val="en-US"/>
        </w:rPr>
        <w:t>:</w:t>
      </w:r>
    </w:p>
    <w:p w14:paraId="160051B4" w14:textId="6008D2B3" w:rsidR="00CE2959" w:rsidRPr="00BA6F83" w:rsidRDefault="00CE2959" w:rsidP="00CE2959">
      <w:pPr>
        <w:spacing w:after="120" w:line="480" w:lineRule="auto"/>
        <w:jc w:val="both"/>
        <w:rPr>
          <w:rFonts w:cstheme="minorHAnsi"/>
          <w:color w:val="000000" w:themeColor="text1"/>
          <w:lang w:val="en-US"/>
        </w:rPr>
      </w:pPr>
      <w:r w:rsidRPr="00BA6F83">
        <w:rPr>
          <w:color w:val="000000" w:themeColor="text1"/>
          <w:u w:val="single"/>
          <w:lang w:val="en-US"/>
        </w:rPr>
        <w:t>Gene expression in mouse colonic samples by RT-qPCR:</w:t>
      </w:r>
      <w:r w:rsidRPr="00BA6F83">
        <w:rPr>
          <w:color w:val="000000" w:themeColor="text1"/>
          <w:lang w:val="en-US"/>
        </w:rPr>
        <w:t xml:space="preserve"> All steps were performed according to manufacturers’ instructions and as previously described </w:t>
      </w:r>
      <w:r w:rsidRPr="00BA6F83">
        <w:rPr>
          <w:color w:val="000000" w:themeColor="text1"/>
          <w:lang w:val="en-US"/>
        </w:rPr>
        <w:fldChar w:fldCharType="begin" w:fldLock="1"/>
      </w:r>
      <w:r w:rsidR="00770BE2">
        <w:rPr>
          <w:color w:val="000000" w:themeColor="text1"/>
          <w:lang w:val="en-US"/>
        </w:rPr>
        <w:instrText>ADDIN CSL_CITATION {"citationItems":[{"id":"ITEM-1","itemData":{"DOI":"10.1111/nmo.12759","ISSN":"13652982","PMID":"26728091","abstract":"© 2016 John Wiley  &amp;  Sons Ltd. Background: Infectious gastroenteritis is a major risk factor to develop postinfectious irritable bowel syndrome (PI-IBS). It remains unknown why only a subgroup of infected individuals develops PI-IBS. We hypothesize that immunogenetic predisposition is an important risk factor. Hence, we studied the effect of Citrobacter rodentium infection on visceral sensitivity in Th1-predominant C57BL/6 and Th2-predominant Balb/c mice. Methods: Eight-week-old mice were gavaged with C. rodentium, followed by 1 h of water avoidance stress (WAS) at 5 weeks PI. At 10, 14 days, and 5 weeks PI, samples were assessed for histology and inflammatory gene expression by RT-qPCR. Visceral sensitivity was evaluated by visceromotor response recordings (VMR) to colorectal distension. Key Results: Citrobacter rodentium evoked a comparable colonic inflammatory response at 14 days PI characterized by increased crypt length and upregulation of Th1/Th17 cytokine mRNA levels (p uncorrected &lt;  0.05) in both C57BL/6 and Balb/c mice. At 5 weeks PI, inflammatory gene mRNA levels returned to baseline in both strains. The VMR was maximal at 14 days PI in C57BL/6 (150 ± 47%; p = 0.02) and Balb/c mice (243 ± 52%; p = 0.03). At 3 weeks PI, the VMR remained increased in Balb/c (176 ± 23%; p = 0.02), but returned to baseline in C57BL/6 mice. At 5 weeks PI, WAS could not re-introduce visceral hypersensitivity (VHS).  Conclusions  &amp;  Inferences: Citrobacter rodentium infection induces transient VHS in C57BL/6 and Balb/c mice, which persisted 1 week longer in Balb/c mice. Although other strain-related differences may contribute, a Th2 background may represent a risk factor for prolonged PI-VHS. As PI-VHS is transient, other factors are crucial for persistent VHS development as observed in PI-IBS.","author":[{"dropping-particle":"","family":"Mondelaers","given":"S.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M.","non-dropping-particle":"","parse-names":false,"suffix":""},{"dropping-particle":"","family":"Mondelaers SU, Theofanous SA, Florens MV, Perna E, Aguilera-Lizarraga J, Boeckxstaens GE","given":"Wouters MM","non-dropping-particle":"","parse-names":false,"suffix":""},{"dropping-particle":"","family":"Mondelaers","given":"S. U.","non-dropping-particle":"","parse-names":false,"suffix":""},{"dropping-particle":"","family":"Theofanous","given":"S. A.","non-dropping-particle":"","parse-names":false,"suffix":""},{"dropping-particle":"V.","family":"Florens","given":"M.","non-dropping-particle":"","parse-names":false,"suffix":""},{"dropping-particle":"","family":"Perna","given":"E.","non-dropping-particle":"","parse-names":false,"suffix":""},{"dropping-particle":"","family":"Aguilera-Lizarraga","given":"J.","non-dropping-particle":"","parse-names":false,"suffix":""},{"dropping-particle":"","family":"Boeckxstaens","given":"G. E.","non-dropping-particle":"","parse-names":false,"suffix":""},{"dropping-particle":"","family":"Wouters","given":"M. M.","non-dropping-particle":"","parse-names":false,"suffix":""}],"container-title":"Neurogastroenterology and Motility","id":"ITEM-1","issue":"5","issued":{"date-parts":[["2016"]]},"page":"647-658","title":"Effect of genetic background and postinfectious stress on visceral sensitivity in Citrobacter rodentium-infected mice","type":"article-journal","volume":"28"},"uris":["http://www.mendeley.com/documents/?uuid=441ca505-bce8-410a-9ee1-1a1c6c0771d6"]}],"mendeley":{"formattedCitation":"&lt;sup&gt;19&lt;/sup&gt;","plainTextFormattedCitation":"19","previouslyFormattedCitation":"&lt;sup&gt;19&lt;/sup&gt;"},"properties":{"noteIndex":0},"schema":"https://github.com/citation-style-language/schema/raw/master/csl-citation.json"}</w:instrText>
      </w:r>
      <w:r w:rsidRPr="00BA6F83">
        <w:rPr>
          <w:color w:val="000000" w:themeColor="text1"/>
          <w:lang w:val="en-US"/>
        </w:rPr>
        <w:fldChar w:fldCharType="separate"/>
      </w:r>
      <w:r w:rsidR="00D465C0" w:rsidRPr="00D465C0">
        <w:rPr>
          <w:noProof/>
          <w:color w:val="000000" w:themeColor="text1"/>
          <w:vertAlign w:val="superscript"/>
          <w:lang w:val="en-US"/>
        </w:rPr>
        <w:t>19</w:t>
      </w:r>
      <w:r w:rsidRPr="00BA6F83">
        <w:rPr>
          <w:color w:val="000000" w:themeColor="text1"/>
          <w:lang w:val="en-US"/>
        </w:rPr>
        <w:fldChar w:fldCharType="end"/>
      </w:r>
      <w:r w:rsidRPr="00BA6F83">
        <w:rPr>
          <w:rFonts w:cstheme="minorHAnsi"/>
          <w:color w:val="000000" w:themeColor="text1"/>
          <w:lang w:val="en-US"/>
        </w:rPr>
        <w:t xml:space="preserve"> using </w:t>
      </w:r>
      <w:proofErr w:type="spellStart"/>
      <w:r w:rsidRPr="00BA6F83">
        <w:rPr>
          <w:color w:val="000000" w:themeColor="text1"/>
          <w:lang w:val="en-US"/>
        </w:rPr>
        <w:t>LightCycler</w:t>
      </w:r>
      <w:proofErr w:type="spellEnd"/>
      <w:r w:rsidRPr="00BA6F83">
        <w:rPr>
          <w:color w:val="000000" w:themeColor="text1"/>
          <w:lang w:val="en-US"/>
        </w:rPr>
        <w:t xml:space="preserve">® 480 </w:t>
      </w:r>
      <w:proofErr w:type="spellStart"/>
      <w:r w:rsidRPr="00BA6F83">
        <w:rPr>
          <w:color w:val="000000" w:themeColor="text1"/>
          <w:lang w:val="en-US"/>
        </w:rPr>
        <w:t>multiwell</w:t>
      </w:r>
      <w:proofErr w:type="spellEnd"/>
      <w:r w:rsidRPr="00BA6F83">
        <w:rPr>
          <w:color w:val="000000" w:themeColor="text1"/>
          <w:lang w:val="en-US"/>
        </w:rPr>
        <w:t xml:space="preserve"> plate 96 (Roche </w:t>
      </w:r>
      <w:proofErr w:type="spellStart"/>
      <w:r w:rsidRPr="00BA6F83">
        <w:rPr>
          <w:color w:val="000000" w:themeColor="text1"/>
          <w:lang w:val="en-US"/>
        </w:rPr>
        <w:t>GmBH</w:t>
      </w:r>
      <w:proofErr w:type="spellEnd"/>
      <w:r w:rsidRPr="00BA6F83">
        <w:rPr>
          <w:color w:val="000000" w:themeColor="text1"/>
          <w:lang w:val="en-US"/>
        </w:rPr>
        <w:t>). Gene expression was calculated</w:t>
      </w:r>
      <w:r w:rsidRPr="00BA6F83">
        <w:rPr>
          <w:rFonts w:cstheme="minorHAnsi"/>
          <w:color w:val="000000" w:themeColor="text1"/>
          <w:lang w:val="en-US"/>
        </w:rPr>
        <w:t xml:space="preserve"> as relative quantification of the gene expression using the </w:t>
      </w:r>
      <w:proofErr w:type="spellStart"/>
      <w:r w:rsidRPr="00BA6F83">
        <w:rPr>
          <w:rFonts w:cstheme="minorHAnsi"/>
          <w:color w:val="000000" w:themeColor="text1"/>
          <w:lang w:val="en-US"/>
        </w:rPr>
        <w:t>Pfaffl</w:t>
      </w:r>
      <w:proofErr w:type="spellEnd"/>
      <w:r w:rsidRPr="00BA6F83">
        <w:rPr>
          <w:rFonts w:cstheme="minorHAnsi"/>
          <w:color w:val="000000" w:themeColor="text1"/>
          <w:lang w:val="en-US"/>
        </w:rPr>
        <w:t xml:space="preserve"> method </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{"citationItems":[{"id":"ITEM-1","itemData":{"DOI":"10.1093/nar/29.9.e45","ISBN":"1362-4962 (Electronic)\\r0305-1048 (Linking)","ISSN":"1362-4962","PMID":"11328886","abstract":"Use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 able as well as rapid quantification results. But accu- rate quantification of nucleic acids requires a reproducible methodology and an adequate mathe- matical model for data analysis. This study enters into the particular topics of the relative quantification in real-time RT–PCR of a target gene transcript in comparison to a reference gene transcript. There- 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 tion run with respect to RNA integrity, sample loading and inter-PCR variations. High accuracy and reproducibility (&lt;2.5% variation) were reached in LightCycler PCR using the establishedmathematical model.","author":[{"dropping-particle":"","family":"Pfaffl","given":"Michael W","non-dropping-particle":"","parse-names":false,"suffix":""}],"container-title":"Nucleic Acids Research","id":"ITEM-1","issue":"9","issued":{"date-parts":[["2001"]]},"page":"16-21","title":"A new mathematical model for relative quantification in RT-PCR","type":"article-journal","volume":"29"},"uris":["http://www.mendeley.com/documents/?uuid=c5476c4d-836d-47e6-b91f-2b4b78b7d525"]}],"mendeley":{"formattedCitation":"&lt;sup&gt;81&lt;/sup&gt;","plainTextFormattedCitation":"81","previouslyFormattedCitation":"&lt;sup&gt;80&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81</w:t>
      </w:r>
      <w:r w:rsidRPr="00BA6F83">
        <w:rPr>
          <w:rFonts w:cstheme="minorHAnsi"/>
          <w:color w:val="000000" w:themeColor="text1"/>
          <w:lang w:val="en-US"/>
        </w:rPr>
        <w:fldChar w:fldCharType="end"/>
      </w:r>
      <w:r w:rsidRPr="00BA6F83">
        <w:rPr>
          <w:rFonts w:cstheme="minorHAnsi"/>
          <w:color w:val="000000" w:themeColor="text1"/>
          <w:lang w:val="en-US"/>
        </w:rPr>
        <w:t xml:space="preserve"> and normalized to the control group. The primer pairs used are described in the </w:t>
      </w:r>
      <w:r>
        <w:rPr>
          <w:rFonts w:cstheme="minorHAnsi"/>
          <w:color w:val="000000" w:themeColor="text1"/>
          <w:lang w:val="en-US"/>
        </w:rPr>
        <w:t xml:space="preserve">Extended Data </w:t>
      </w:r>
      <w:r w:rsidRPr="00BA6F83">
        <w:rPr>
          <w:rFonts w:cstheme="minorHAnsi"/>
          <w:color w:val="000000" w:themeColor="text1"/>
          <w:lang w:val="en-US"/>
        </w:rPr>
        <w:t xml:space="preserve">Table 2. mRNA expression of each gene was compared to the expression of </w:t>
      </w:r>
      <w:proofErr w:type="spellStart"/>
      <w:r w:rsidRPr="00BA6F83">
        <w:rPr>
          <w:rFonts w:cstheme="minorHAnsi"/>
          <w:i/>
          <w:color w:val="000000" w:themeColor="text1"/>
          <w:lang w:val="en-US"/>
        </w:rPr>
        <w:t>Actb</w:t>
      </w:r>
      <w:proofErr w:type="spellEnd"/>
      <w:r w:rsidRPr="00BA6F83">
        <w:rPr>
          <w:rFonts w:cstheme="minorHAnsi"/>
          <w:color w:val="000000" w:themeColor="text1"/>
          <w:lang w:val="en-US"/>
        </w:rPr>
        <w:t xml:space="preserve"> (reference gene).</w:t>
      </w:r>
    </w:p>
    <w:p w14:paraId="254B1F1D"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i/>
          <w:color w:val="000000" w:themeColor="text1"/>
          <w:u w:val="single"/>
          <w:lang w:val="en-US"/>
        </w:rPr>
        <w:t>Staphylococcus</w:t>
      </w:r>
      <w:r w:rsidRPr="00BA6F83">
        <w:rPr>
          <w:rFonts w:cstheme="minorHAnsi"/>
          <w:color w:val="000000" w:themeColor="text1"/>
          <w:u w:val="single"/>
          <w:lang w:val="en-US"/>
        </w:rPr>
        <w:t xml:space="preserve"> </w:t>
      </w:r>
      <w:r w:rsidRPr="00BA6F83">
        <w:rPr>
          <w:rFonts w:cstheme="minorHAnsi"/>
          <w:i/>
          <w:color w:val="000000" w:themeColor="text1"/>
          <w:u w:val="single"/>
          <w:lang w:val="en-US"/>
        </w:rPr>
        <w:t>aureus</w:t>
      </w:r>
      <w:r w:rsidRPr="00BA6F83">
        <w:rPr>
          <w:rFonts w:cstheme="minorHAnsi"/>
          <w:color w:val="000000" w:themeColor="text1"/>
          <w:u w:val="single"/>
          <w:lang w:val="en-US"/>
        </w:rPr>
        <w:t xml:space="preserve"> and </w:t>
      </w:r>
      <w:proofErr w:type="spellStart"/>
      <w:r w:rsidRPr="00BA6F83">
        <w:rPr>
          <w:rFonts w:cstheme="minorHAnsi"/>
          <w:color w:val="000000" w:themeColor="text1"/>
          <w:u w:val="single"/>
          <w:lang w:val="en-US"/>
        </w:rPr>
        <w:t>SAgs</w:t>
      </w:r>
      <w:proofErr w:type="spellEnd"/>
      <w:r w:rsidRPr="00BA6F83">
        <w:rPr>
          <w:rFonts w:cstheme="minorHAnsi"/>
          <w:color w:val="000000" w:themeColor="text1"/>
          <w:u w:val="single"/>
          <w:lang w:val="en-US"/>
        </w:rPr>
        <w:t xml:space="preserve"> qPCR identification in fecal samples:</w:t>
      </w:r>
      <w:r w:rsidRPr="00BA6F83">
        <w:rPr>
          <w:rFonts w:cstheme="minorHAnsi"/>
          <w:color w:val="000000" w:themeColor="text1"/>
          <w:lang w:val="en-US"/>
        </w:rPr>
        <w:t xml:space="preserve"> The presence of </w:t>
      </w:r>
      <w:r w:rsidRPr="00BA6F83">
        <w:rPr>
          <w:rFonts w:cstheme="minorHAnsi"/>
          <w:i/>
          <w:color w:val="000000" w:themeColor="text1"/>
          <w:lang w:val="en-US"/>
        </w:rPr>
        <w:t>Staphylococcus</w:t>
      </w:r>
      <w:r w:rsidRPr="00BA6F83">
        <w:rPr>
          <w:rFonts w:cstheme="minorHAnsi"/>
          <w:color w:val="000000" w:themeColor="text1"/>
          <w:lang w:val="en-US"/>
        </w:rPr>
        <w:t xml:space="preserve"> </w:t>
      </w:r>
      <w:r w:rsidRPr="00BA6F83">
        <w:rPr>
          <w:rFonts w:cstheme="minorHAnsi"/>
          <w:i/>
          <w:color w:val="000000" w:themeColor="text1"/>
          <w:lang w:val="en-US"/>
        </w:rPr>
        <w:t>aureus</w:t>
      </w:r>
      <w:r w:rsidRPr="00BA6F83">
        <w:rPr>
          <w:rFonts w:cstheme="minorHAnsi"/>
          <w:color w:val="000000" w:themeColor="text1"/>
          <w:lang w:val="en-US"/>
        </w:rPr>
        <w:t xml:space="preserve"> and</w:t>
      </w:r>
      <w:r w:rsidRPr="00BA6F83">
        <w:rPr>
          <w:rFonts w:cstheme="minorHAnsi"/>
          <w:i/>
          <w:color w:val="000000" w:themeColor="text1"/>
          <w:lang w:val="en-US"/>
        </w:rPr>
        <w:t xml:space="preserve"> Streptococcus pyogenes</w:t>
      </w:r>
      <w:r w:rsidRPr="00BA6F83">
        <w:rPr>
          <w:rFonts w:cstheme="minorHAnsi"/>
          <w:color w:val="000000" w:themeColor="text1"/>
          <w:lang w:val="en-US"/>
        </w:rPr>
        <w:t xml:space="preserve"> were evaluated by identifying the presence of the </w:t>
      </w:r>
      <w:proofErr w:type="spellStart"/>
      <w:r w:rsidRPr="00BA6F83">
        <w:rPr>
          <w:rFonts w:cstheme="minorHAnsi"/>
          <w:i/>
          <w:color w:val="000000" w:themeColor="text1"/>
          <w:lang w:val="en-US"/>
        </w:rPr>
        <w:t>nuc</w:t>
      </w:r>
      <w:proofErr w:type="spellEnd"/>
      <w:r w:rsidRPr="00BA6F83">
        <w:rPr>
          <w:rFonts w:cstheme="minorHAnsi"/>
          <w:i/>
          <w:color w:val="000000" w:themeColor="text1"/>
          <w:lang w:val="en-US"/>
        </w:rPr>
        <w:t xml:space="preserve"> </w:t>
      </w:r>
      <w:r w:rsidRPr="00BA6F83">
        <w:rPr>
          <w:rFonts w:cstheme="minorHAnsi"/>
          <w:color w:val="000000" w:themeColor="text1"/>
          <w:lang w:val="en-US"/>
        </w:rPr>
        <w:t xml:space="preserve">and </w:t>
      </w:r>
      <w:r w:rsidRPr="00BA6F83">
        <w:rPr>
          <w:rFonts w:cstheme="minorHAnsi"/>
          <w:i/>
          <w:color w:val="000000" w:themeColor="text1"/>
          <w:lang w:val="en-US"/>
        </w:rPr>
        <w:t>spy1258</w:t>
      </w:r>
      <w:r w:rsidRPr="00BA6F83">
        <w:rPr>
          <w:rFonts w:cstheme="minorHAnsi"/>
          <w:color w:val="000000" w:themeColor="text1"/>
          <w:lang w:val="en-US"/>
        </w:rPr>
        <w:t xml:space="preserve"> </w:t>
      </w:r>
      <w:r w:rsidRPr="00BA6F83">
        <w:rPr>
          <w:rFonts w:cstheme="minorHAnsi"/>
          <w:color w:val="000000" w:themeColor="text1"/>
          <w:lang w:val="en-US"/>
        </w:rPr>
        <w:lastRenderedPageBreak/>
        <w:t xml:space="preserve">genes, respectively. The presence of the following </w:t>
      </w:r>
      <w:proofErr w:type="spellStart"/>
      <w:r w:rsidRPr="00BA6F83">
        <w:rPr>
          <w:rFonts w:cstheme="minorHAnsi"/>
          <w:color w:val="000000" w:themeColor="text1"/>
          <w:lang w:val="en-US"/>
        </w:rPr>
        <w:t>SAg</w:t>
      </w:r>
      <w:proofErr w:type="spellEnd"/>
      <w:r w:rsidRPr="00BA6F83">
        <w:rPr>
          <w:rFonts w:cstheme="minorHAnsi"/>
          <w:color w:val="000000" w:themeColor="text1"/>
          <w:lang w:val="en-US"/>
        </w:rPr>
        <w:t xml:space="preserve"> of </w:t>
      </w:r>
      <w:r w:rsidRPr="00BA6F83">
        <w:rPr>
          <w:rFonts w:cstheme="minorHAnsi"/>
          <w:i/>
          <w:color w:val="000000" w:themeColor="text1"/>
          <w:lang w:val="en-US"/>
        </w:rPr>
        <w:t>Staphylococcus aureus</w:t>
      </w:r>
      <w:r w:rsidRPr="00BA6F83">
        <w:rPr>
          <w:rFonts w:cstheme="minorHAnsi"/>
          <w:color w:val="000000" w:themeColor="text1"/>
          <w:lang w:val="en-US"/>
        </w:rPr>
        <w:t xml:space="preserve"> were evaluated: sea, </w:t>
      </w:r>
      <w:proofErr w:type="spellStart"/>
      <w:r w:rsidRPr="00BA6F83">
        <w:rPr>
          <w:rFonts w:cstheme="minorHAnsi"/>
          <w:color w:val="000000" w:themeColor="text1"/>
          <w:lang w:val="en-US"/>
        </w:rPr>
        <w:t>seb</w:t>
      </w:r>
      <w:proofErr w:type="spellEnd"/>
      <w:r w:rsidRPr="00BA6F83">
        <w:rPr>
          <w:rFonts w:cstheme="minorHAnsi"/>
          <w:color w:val="000000" w:themeColor="text1"/>
          <w:lang w:val="en-US"/>
        </w:rPr>
        <w:t xml:space="preserve">, sec, sed, seg, she, </w:t>
      </w:r>
      <w:proofErr w:type="spellStart"/>
      <w:r w:rsidRPr="00BA6F83">
        <w:rPr>
          <w:rFonts w:cstheme="minorHAnsi"/>
          <w:color w:val="000000" w:themeColor="text1"/>
          <w:lang w:val="en-US"/>
        </w:rPr>
        <w:t>sel</w:t>
      </w:r>
      <w:r w:rsidRPr="00BA6F83">
        <w:rPr>
          <w:rFonts w:cstheme="minorHAnsi"/>
          <w:i/>
          <w:color w:val="000000" w:themeColor="text1"/>
          <w:lang w:val="en-US"/>
        </w:rPr>
        <w:t>k</w:t>
      </w:r>
      <w:proofErr w:type="spellEnd"/>
      <w:r w:rsidRPr="00BA6F83">
        <w:rPr>
          <w:rFonts w:cstheme="minorHAnsi"/>
          <w:color w:val="000000" w:themeColor="text1"/>
          <w:lang w:val="en-US"/>
        </w:rPr>
        <w:t>, sel</w:t>
      </w:r>
      <w:r w:rsidRPr="00BA6F83">
        <w:rPr>
          <w:rFonts w:cstheme="minorHAnsi"/>
          <w:i/>
          <w:color w:val="000000" w:themeColor="text1"/>
          <w:lang w:val="en-US"/>
        </w:rPr>
        <w:t>l</w:t>
      </w:r>
      <w:r w:rsidRPr="00BA6F83">
        <w:rPr>
          <w:rFonts w:cstheme="minorHAnsi"/>
          <w:color w:val="000000" w:themeColor="text1"/>
          <w:lang w:val="en-US"/>
        </w:rPr>
        <w:t xml:space="preserve">, </w:t>
      </w:r>
      <w:proofErr w:type="spellStart"/>
      <w:r w:rsidRPr="00BA6F83">
        <w:rPr>
          <w:rFonts w:cstheme="minorHAnsi"/>
          <w:color w:val="000000" w:themeColor="text1"/>
          <w:lang w:val="en-US"/>
        </w:rPr>
        <w:t>sel</w:t>
      </w:r>
      <w:r w:rsidRPr="00BA6F83">
        <w:rPr>
          <w:rFonts w:cstheme="minorHAnsi"/>
          <w:i/>
          <w:color w:val="000000" w:themeColor="text1"/>
          <w:lang w:val="en-US"/>
        </w:rPr>
        <w:t>m</w:t>
      </w:r>
      <w:proofErr w:type="spellEnd"/>
      <w:r w:rsidRPr="00BA6F83">
        <w:rPr>
          <w:rFonts w:cstheme="minorHAnsi"/>
          <w:color w:val="000000" w:themeColor="text1"/>
          <w:lang w:val="en-US"/>
        </w:rPr>
        <w:t xml:space="preserve">, </w:t>
      </w:r>
      <w:proofErr w:type="spellStart"/>
      <w:r w:rsidRPr="00BA6F83">
        <w:rPr>
          <w:rFonts w:cstheme="minorHAnsi"/>
          <w:color w:val="000000" w:themeColor="text1"/>
          <w:lang w:val="en-US"/>
        </w:rPr>
        <w:t>sel</w:t>
      </w:r>
      <w:r w:rsidRPr="00BA6F83">
        <w:rPr>
          <w:rFonts w:cstheme="minorHAnsi"/>
          <w:i/>
          <w:color w:val="000000" w:themeColor="text1"/>
          <w:lang w:val="en-US"/>
        </w:rPr>
        <w:t>o</w:t>
      </w:r>
      <w:proofErr w:type="spellEnd"/>
      <w:r w:rsidRPr="00BA6F83">
        <w:rPr>
          <w:rFonts w:cstheme="minorHAnsi"/>
          <w:color w:val="000000" w:themeColor="text1"/>
          <w:lang w:val="en-US"/>
        </w:rPr>
        <w:t xml:space="preserve">, </w:t>
      </w:r>
      <w:proofErr w:type="spellStart"/>
      <w:r w:rsidRPr="00BA6F83">
        <w:rPr>
          <w:rFonts w:cstheme="minorHAnsi"/>
          <w:color w:val="000000" w:themeColor="text1"/>
          <w:lang w:val="en-US"/>
        </w:rPr>
        <w:t>sel</w:t>
      </w:r>
      <w:r w:rsidRPr="00BA6F83">
        <w:rPr>
          <w:rFonts w:cstheme="minorHAnsi"/>
          <w:i/>
          <w:color w:val="000000" w:themeColor="text1"/>
          <w:lang w:val="en-US"/>
        </w:rPr>
        <w:t>p</w:t>
      </w:r>
      <w:proofErr w:type="spellEnd"/>
      <w:r w:rsidRPr="00BA6F83">
        <w:rPr>
          <w:rFonts w:cstheme="minorHAnsi"/>
          <w:color w:val="000000" w:themeColor="text1"/>
          <w:lang w:val="en-US"/>
        </w:rPr>
        <w:t xml:space="preserve">, </w:t>
      </w:r>
      <w:proofErr w:type="spellStart"/>
      <w:r w:rsidRPr="00BA6F83">
        <w:rPr>
          <w:rFonts w:cstheme="minorHAnsi"/>
          <w:color w:val="000000" w:themeColor="text1"/>
          <w:lang w:val="en-US"/>
        </w:rPr>
        <w:t>sel</w:t>
      </w:r>
      <w:r w:rsidRPr="00BA6F83">
        <w:rPr>
          <w:rFonts w:cstheme="minorHAnsi"/>
          <w:i/>
          <w:color w:val="000000" w:themeColor="text1"/>
          <w:lang w:val="en-US"/>
        </w:rPr>
        <w:t>q</w:t>
      </w:r>
      <w:proofErr w:type="spellEnd"/>
      <w:r w:rsidRPr="00BA6F83">
        <w:rPr>
          <w:rFonts w:cstheme="minorHAnsi"/>
          <w:color w:val="000000" w:themeColor="text1"/>
          <w:lang w:val="en-US"/>
        </w:rPr>
        <w:t xml:space="preserve"> and </w:t>
      </w:r>
      <w:proofErr w:type="spellStart"/>
      <w:r w:rsidRPr="00BA6F83">
        <w:rPr>
          <w:rFonts w:cstheme="minorHAnsi"/>
          <w:color w:val="000000" w:themeColor="text1"/>
          <w:lang w:val="en-US"/>
        </w:rPr>
        <w:t>sel</w:t>
      </w:r>
      <w:r w:rsidRPr="00BA6F83">
        <w:rPr>
          <w:rFonts w:cstheme="minorHAnsi"/>
          <w:i/>
          <w:color w:val="000000" w:themeColor="text1"/>
          <w:lang w:val="en-US"/>
        </w:rPr>
        <w:t>u</w:t>
      </w:r>
      <w:proofErr w:type="spellEnd"/>
      <w:r w:rsidRPr="00BA6F83">
        <w:rPr>
          <w:rFonts w:cstheme="minorHAnsi"/>
          <w:color w:val="000000" w:themeColor="text1"/>
          <w:lang w:val="en-US"/>
        </w:rPr>
        <w:t xml:space="preserve">. The primer pairs used are described in the </w:t>
      </w:r>
      <w:r>
        <w:rPr>
          <w:rFonts w:cstheme="minorHAnsi"/>
          <w:color w:val="000000" w:themeColor="text1"/>
          <w:lang w:val="en-US"/>
        </w:rPr>
        <w:t xml:space="preserve">Extended Data </w:t>
      </w:r>
      <w:r w:rsidRPr="00BA6F83">
        <w:rPr>
          <w:rFonts w:cstheme="minorHAnsi"/>
          <w:color w:val="000000" w:themeColor="text1"/>
          <w:lang w:val="en-US"/>
        </w:rPr>
        <w:t>Table 3.</w:t>
      </w:r>
    </w:p>
    <w:p w14:paraId="4DF56244" w14:textId="77777777" w:rsidR="00CE2959" w:rsidRPr="00BA6F83" w:rsidRDefault="00CE2959" w:rsidP="00CE2959">
      <w:pPr>
        <w:spacing w:after="120" w:line="480" w:lineRule="auto"/>
        <w:jc w:val="both"/>
        <w:rPr>
          <w:rFonts w:cstheme="minorHAnsi"/>
          <w:color w:val="000000" w:themeColor="text1"/>
          <w:u w:val="single"/>
          <w:lang w:val="en-US"/>
        </w:rPr>
      </w:pPr>
    </w:p>
    <w:p w14:paraId="59C7B686"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 xml:space="preserve">mIL-4 Enzyme-Linked </w:t>
      </w:r>
      <w:proofErr w:type="spellStart"/>
      <w:r w:rsidRPr="00BA6F83">
        <w:rPr>
          <w:rFonts w:cstheme="minorHAnsi"/>
          <w:i/>
          <w:color w:val="000000" w:themeColor="text1"/>
          <w:lang w:val="en-US"/>
        </w:rPr>
        <w:t>Immunospot</w:t>
      </w:r>
      <w:proofErr w:type="spellEnd"/>
      <w:r w:rsidRPr="00BA6F83">
        <w:rPr>
          <w:rFonts w:cstheme="minorHAnsi"/>
          <w:i/>
          <w:color w:val="000000" w:themeColor="text1"/>
          <w:lang w:val="en-US"/>
        </w:rPr>
        <w:t xml:space="preserve"> Assay</w:t>
      </w:r>
    </w:p>
    <w:p w14:paraId="5DB21B21"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IL-4 producing cells were quantified by means of enzyme-linked </w:t>
      </w:r>
      <w:proofErr w:type="spellStart"/>
      <w:r w:rsidRPr="00BA6F83">
        <w:rPr>
          <w:rFonts w:cstheme="minorHAnsi"/>
          <w:color w:val="000000" w:themeColor="text1"/>
          <w:lang w:val="en-US"/>
        </w:rPr>
        <w:t>immunospot</w:t>
      </w:r>
      <w:proofErr w:type="spellEnd"/>
      <w:r w:rsidRPr="00BA6F83">
        <w:rPr>
          <w:rFonts w:cstheme="minorHAnsi"/>
          <w:color w:val="000000" w:themeColor="text1"/>
          <w:lang w:val="en-US"/>
        </w:rPr>
        <w:t xml:space="preserve"> (ELISpot) assay, according to manufacturer’s instructions (CTL-Europe, Bonn, Germany). Total cells were isolated from colon-draining lymph nodes</w:t>
      </w:r>
      <w:r>
        <w:rPr>
          <w:rFonts w:cstheme="minorHAnsi"/>
          <w:color w:val="000000" w:themeColor="text1"/>
          <w:lang w:val="en-US"/>
        </w:rPr>
        <w:t xml:space="preserve"> (</w:t>
      </w:r>
      <w:proofErr w:type="spellStart"/>
      <w:r>
        <w:rPr>
          <w:rFonts w:cstheme="minorHAnsi"/>
          <w:color w:val="000000" w:themeColor="text1"/>
          <w:lang w:val="en-US"/>
        </w:rPr>
        <w:t>cMLN</w:t>
      </w:r>
      <w:proofErr w:type="spellEnd"/>
      <w:r>
        <w:rPr>
          <w:rFonts w:cstheme="minorHAnsi"/>
          <w:color w:val="000000" w:themeColor="text1"/>
          <w:lang w:val="en-US"/>
        </w:rPr>
        <w:t>). C</w:t>
      </w:r>
      <w:r w:rsidRPr="00BA6F83">
        <w:rPr>
          <w:rFonts w:cstheme="minorHAnsi"/>
          <w:color w:val="000000" w:themeColor="text1"/>
          <w:lang w:val="en-US"/>
        </w:rPr>
        <w:t>ells were seeded (5*10</w:t>
      </w:r>
      <w:r w:rsidRPr="00BA6F83">
        <w:rPr>
          <w:rFonts w:cstheme="minorHAnsi"/>
          <w:color w:val="000000" w:themeColor="text1"/>
          <w:vertAlign w:val="superscript"/>
          <w:lang w:val="en-US"/>
        </w:rPr>
        <w:t>5</w:t>
      </w:r>
      <w:r w:rsidRPr="00BA6F83">
        <w:rPr>
          <w:rFonts w:cstheme="minorHAnsi"/>
          <w:color w:val="000000" w:themeColor="text1"/>
          <w:lang w:val="en-US"/>
        </w:rPr>
        <w:t>/well in duplicate) on plates pre-coated with capture antibody for mIL-4 in medium (R10</w:t>
      </w:r>
      <w:r>
        <w:rPr>
          <w:rFonts w:cstheme="minorHAnsi"/>
          <w:color w:val="000000" w:themeColor="text1"/>
          <w:lang w:val="en-US"/>
        </w:rPr>
        <w:t xml:space="preserve">) </w:t>
      </w:r>
      <w:r w:rsidRPr="00BA6F83">
        <w:rPr>
          <w:rFonts w:cstheme="minorHAnsi"/>
          <w:color w:val="000000" w:themeColor="text1"/>
          <w:lang w:val="en-US"/>
        </w:rPr>
        <w:t>and incubated at 37° C with 5% CO</w:t>
      </w:r>
      <w:r w:rsidRPr="00BA6F83">
        <w:rPr>
          <w:rFonts w:cstheme="minorHAnsi"/>
          <w:color w:val="000000" w:themeColor="text1"/>
          <w:vertAlign w:val="subscript"/>
          <w:lang w:val="en-US"/>
        </w:rPr>
        <w:t xml:space="preserve">2 </w:t>
      </w:r>
      <w:r w:rsidRPr="00BA6F83">
        <w:rPr>
          <w:rFonts w:cstheme="minorHAnsi"/>
          <w:color w:val="000000" w:themeColor="text1"/>
          <w:lang w:val="en-US"/>
        </w:rPr>
        <w:t>for</w:t>
      </w:r>
      <w:r w:rsidRPr="00BA6F83">
        <w:rPr>
          <w:rFonts w:cstheme="minorHAnsi"/>
          <w:color w:val="000000" w:themeColor="text1"/>
          <w:vertAlign w:val="subscript"/>
          <w:lang w:val="en-US"/>
        </w:rPr>
        <w:t xml:space="preserve"> </w:t>
      </w:r>
      <w:r w:rsidRPr="00BA6F83">
        <w:rPr>
          <w:rFonts w:cstheme="minorHAnsi"/>
          <w:color w:val="000000" w:themeColor="text1"/>
          <w:lang w:val="en-US"/>
        </w:rPr>
        <w:t xml:space="preserve">4 days. </w:t>
      </w:r>
      <w:r>
        <w:rPr>
          <w:rFonts w:cstheme="minorHAnsi"/>
          <w:color w:val="000000" w:themeColor="text1"/>
          <w:lang w:val="en-US"/>
        </w:rPr>
        <w:t>M</w:t>
      </w:r>
      <w:r w:rsidRPr="00BA6F83">
        <w:rPr>
          <w:rFonts w:cstheme="minorHAnsi"/>
          <w:color w:val="000000" w:themeColor="text1"/>
          <w:lang w:val="en-US"/>
        </w:rPr>
        <w:t>edi</w:t>
      </w:r>
      <w:r>
        <w:rPr>
          <w:rFonts w:cstheme="minorHAnsi"/>
          <w:color w:val="000000" w:themeColor="text1"/>
          <w:lang w:val="en-US"/>
        </w:rPr>
        <w:t>um</w:t>
      </w:r>
      <w:r w:rsidRPr="00BA6F83">
        <w:rPr>
          <w:rFonts w:cstheme="minorHAnsi"/>
          <w:color w:val="000000" w:themeColor="text1"/>
          <w:lang w:val="en-US"/>
        </w:rPr>
        <w:t xml:space="preserve"> contained 1% penicillin/streptomycin, 1% L-</w:t>
      </w:r>
      <w:proofErr w:type="spellStart"/>
      <w:r w:rsidRPr="00BA6F83">
        <w:rPr>
          <w:rFonts w:cstheme="minorHAnsi"/>
          <w:color w:val="000000" w:themeColor="text1"/>
          <w:lang w:val="en-US"/>
        </w:rPr>
        <w:t>glutamin</w:t>
      </w:r>
      <w:proofErr w:type="spellEnd"/>
      <w:r w:rsidRPr="00BA6F83">
        <w:rPr>
          <w:rFonts w:cstheme="minorHAnsi"/>
          <w:color w:val="000000" w:themeColor="text1"/>
          <w:lang w:val="en-US"/>
        </w:rPr>
        <w:t xml:space="preserve"> and 10% fetal bovine serum. Additionally, R10 contained 50 µM β-</w:t>
      </w:r>
      <w:proofErr w:type="spellStart"/>
      <w:r w:rsidRPr="00BA6F83">
        <w:rPr>
          <w:rFonts w:cstheme="minorHAnsi"/>
          <w:color w:val="000000" w:themeColor="text1"/>
          <w:lang w:val="en-US"/>
        </w:rPr>
        <w:t>mercaptoethanol</w:t>
      </w:r>
      <w:proofErr w:type="spellEnd"/>
      <w:r w:rsidRPr="00BA6F83">
        <w:rPr>
          <w:rFonts w:cstheme="minorHAnsi"/>
          <w:color w:val="000000" w:themeColor="text1"/>
          <w:lang w:val="en-US"/>
        </w:rPr>
        <w:t xml:space="preserve"> and 20 mM HEPES. As positive control, cells were activated with 50 ng/mL PMA and 500</w:t>
      </w:r>
      <w:r>
        <w:rPr>
          <w:rFonts w:cstheme="minorHAnsi"/>
          <w:color w:val="000000" w:themeColor="text1"/>
          <w:lang w:val="en-US"/>
        </w:rPr>
        <w:t xml:space="preserve"> </w:t>
      </w:r>
      <w:r w:rsidRPr="00BA6F83">
        <w:rPr>
          <w:rFonts w:cstheme="minorHAnsi"/>
          <w:color w:val="000000" w:themeColor="text1"/>
          <w:lang w:val="en-US"/>
        </w:rPr>
        <w:t xml:space="preserve">ng/mL of ionomycin during 4 hours prior to the first washing step. Cytokine-producing cells were resolved by a 25-min-incubation with the Blue Developer Solution </w:t>
      </w:r>
      <w:r w:rsidRPr="00BA6F83">
        <w:rPr>
          <w:rFonts w:cstheme="minorHAnsi"/>
          <w:color w:val="000000" w:themeColor="text1"/>
          <w:u w:val="single"/>
          <w:lang w:val="en-US"/>
        </w:rPr>
        <w:t>provided</w:t>
      </w:r>
      <w:r w:rsidRPr="00BA6F83">
        <w:rPr>
          <w:rFonts w:cstheme="minorHAnsi"/>
          <w:color w:val="000000" w:themeColor="text1"/>
          <w:lang w:val="en-US"/>
        </w:rPr>
        <w:t xml:space="preserve">. Spot-forming cells (SFC) were quantified with </w:t>
      </w:r>
      <w:proofErr w:type="spellStart"/>
      <w:r w:rsidRPr="00BA6F83">
        <w:rPr>
          <w:rFonts w:cstheme="minorHAnsi"/>
          <w:color w:val="000000" w:themeColor="text1"/>
          <w:lang w:val="en-US"/>
        </w:rPr>
        <w:t>ImmunoSpot</w:t>
      </w:r>
      <w:proofErr w:type="spellEnd"/>
      <w:r w:rsidRPr="00BA6F83">
        <w:rPr>
          <w:rFonts w:cstheme="minorHAnsi"/>
          <w:color w:val="000000" w:themeColor="text1"/>
          <w:lang w:val="en-US"/>
        </w:rPr>
        <w:t xml:space="preserve"> software (CTL-Europe, Bonn, Germany).</w:t>
      </w:r>
    </w:p>
    <w:p w14:paraId="14C7A2C6" w14:textId="77777777" w:rsidR="00CE2959" w:rsidRPr="00BA6F83" w:rsidRDefault="00CE2959" w:rsidP="00CE2959">
      <w:pPr>
        <w:spacing w:after="120" w:line="480" w:lineRule="auto"/>
        <w:jc w:val="both"/>
        <w:rPr>
          <w:rFonts w:cstheme="minorHAnsi"/>
          <w:color w:val="000000" w:themeColor="text1"/>
          <w:u w:val="single"/>
          <w:lang w:val="en-US"/>
        </w:rPr>
      </w:pPr>
    </w:p>
    <w:p w14:paraId="49BC3AFB"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Preparation of colonic supernatants:</w:t>
      </w:r>
    </w:p>
    <w:p w14:paraId="552F79BC"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Supernatants (colonic tissue 2% w/v, collected at 7 weeks post-infection, or 7 weeks post-WAS) were incubated for 4 or 24 h at 37°C, 5% CO</w:t>
      </w:r>
      <w:r w:rsidRPr="00BA6F83">
        <w:rPr>
          <w:rFonts w:cstheme="minorHAnsi"/>
          <w:color w:val="000000" w:themeColor="text1"/>
          <w:vertAlign w:val="subscript"/>
          <w:lang w:val="en-US"/>
        </w:rPr>
        <w:t>2</w:t>
      </w:r>
      <w:r w:rsidRPr="00BA6F83">
        <w:rPr>
          <w:rFonts w:cstheme="minorHAnsi"/>
          <w:color w:val="000000" w:themeColor="text1"/>
          <w:lang w:val="en-US"/>
        </w:rPr>
        <w:t xml:space="preserve"> in RPMI (Lonza) supplemented with fetal calf serum (10%), Penicillin, Streptomycin, Gentamycin and Amphotericin B (100 U, 100 </w:t>
      </w:r>
      <w:r w:rsidRPr="00BA6F83">
        <w:rPr>
          <w:rFonts w:cstheme="minorHAnsi"/>
          <w:color w:val="000000" w:themeColor="text1"/>
          <w:lang w:val="en-US"/>
        </w:rPr>
        <w:sym w:font="Symbol" w:char="F06D"/>
      </w:r>
      <w:r w:rsidRPr="00BA6F83">
        <w:rPr>
          <w:rFonts w:cstheme="minorHAnsi"/>
          <w:color w:val="000000" w:themeColor="text1"/>
          <w:lang w:val="en-US"/>
        </w:rPr>
        <w:t xml:space="preserve">g, 10 </w:t>
      </w:r>
      <w:r w:rsidRPr="00BA6F83">
        <w:rPr>
          <w:rFonts w:cstheme="minorHAnsi"/>
          <w:color w:val="000000" w:themeColor="text1"/>
          <w:lang w:val="en-US"/>
        </w:rPr>
        <w:sym w:font="Symbol" w:char="F06D"/>
      </w:r>
      <w:r w:rsidRPr="00BA6F83">
        <w:rPr>
          <w:rFonts w:cstheme="minorHAnsi"/>
          <w:color w:val="000000" w:themeColor="text1"/>
          <w:lang w:val="en-US"/>
        </w:rPr>
        <w:t xml:space="preserve">g and 0.25 </w:t>
      </w:r>
      <w:r w:rsidRPr="00BA6F83">
        <w:rPr>
          <w:rFonts w:cstheme="minorHAnsi"/>
          <w:color w:val="000000" w:themeColor="text1"/>
          <w:lang w:val="en-US"/>
        </w:rPr>
        <w:sym w:font="Symbol" w:char="F06D"/>
      </w:r>
      <w:r w:rsidRPr="00BA6F83">
        <w:rPr>
          <w:rFonts w:cstheme="minorHAnsi"/>
          <w:color w:val="000000" w:themeColor="text1"/>
          <w:lang w:val="en-US"/>
        </w:rPr>
        <w:t xml:space="preserve">g per mL; Invitrogen). Supernatants were collected and stored at -80°C until use. </w:t>
      </w:r>
    </w:p>
    <w:p w14:paraId="195E173D" w14:textId="77777777" w:rsidR="00CE2959" w:rsidRPr="00BA6F83" w:rsidRDefault="00CE2959" w:rsidP="00CE2959">
      <w:pPr>
        <w:spacing w:after="120" w:line="480" w:lineRule="auto"/>
        <w:jc w:val="both"/>
        <w:rPr>
          <w:rFonts w:cstheme="minorHAnsi"/>
          <w:color w:val="000000" w:themeColor="text1"/>
          <w:lang w:val="en-US"/>
        </w:rPr>
      </w:pPr>
    </w:p>
    <w:p w14:paraId="49AE2EE4"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Quantification of inflammatory cytokines:</w:t>
      </w:r>
    </w:p>
    <w:p w14:paraId="3A49AF5B" w14:textId="77777777" w:rsidR="00CE2959"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lastRenderedPageBreak/>
        <w:t xml:space="preserve">Colonic supernatants were analyzed for secretion of cytokines (IL-4, IL-6, </w:t>
      </w:r>
      <w:bookmarkStart w:id="16" w:name="_Hlk11160223"/>
      <w:r w:rsidRPr="00BA6F83">
        <w:rPr>
          <w:rFonts w:cstheme="minorHAnsi"/>
          <w:color w:val="000000" w:themeColor="text1"/>
          <w:lang w:val="en-US"/>
        </w:rPr>
        <w:t>KC (murine IL-8 homologue)</w:t>
      </w:r>
      <w:bookmarkEnd w:id="16"/>
      <w:r w:rsidRPr="00BA6F83">
        <w:rPr>
          <w:rFonts w:cstheme="minorHAnsi"/>
          <w:color w:val="000000" w:themeColor="text1"/>
          <w:lang w:val="en-US"/>
        </w:rPr>
        <w:t>, IL-10, IL-13, IL-17A, IFN-γ, MCP-1, TNF-α) by flow cytometry using BD™ Cytometric Bead Array (CBA) (BD Biosciences) according to the manufacturers’ instructions. Cytokine concentrations were calculated using FCAP Array Software (BD Biosciences).</w:t>
      </w:r>
    </w:p>
    <w:p w14:paraId="37D8F752" w14:textId="77777777" w:rsidR="00CE2959" w:rsidRPr="00BA6F83" w:rsidRDefault="00CE2959" w:rsidP="00CE2959">
      <w:pPr>
        <w:spacing w:after="120" w:line="480" w:lineRule="auto"/>
        <w:jc w:val="both"/>
        <w:rPr>
          <w:rFonts w:cstheme="minorHAnsi"/>
          <w:color w:val="000000" w:themeColor="text1"/>
          <w:lang w:val="en-US"/>
        </w:rPr>
      </w:pPr>
    </w:p>
    <w:p w14:paraId="1994E6A6"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Afferent nerve recording:</w:t>
      </w:r>
    </w:p>
    <w:p w14:paraId="00612A54" w14:textId="3FBBD18B" w:rsidR="00CE2959" w:rsidRPr="00BA6F83" w:rsidRDefault="00CE2959" w:rsidP="00CE2959">
      <w:pPr>
        <w:spacing w:after="120" w:line="480" w:lineRule="auto"/>
        <w:jc w:val="both"/>
        <w:rPr>
          <w:color w:val="000000" w:themeColor="text1"/>
          <w:lang w:val="en-US"/>
        </w:rPr>
      </w:pPr>
      <w:r w:rsidRPr="00BA6F83">
        <w:rPr>
          <w:color w:val="000000" w:themeColor="text1"/>
          <w:lang w:val="en-US"/>
        </w:rPr>
        <w:t xml:space="preserve">The colon from BALB/c mice, with the associated lumbar splanchnic nerves, was dissected out. Tissues were placed in a bath perfused with </w:t>
      </w:r>
      <w:proofErr w:type="spellStart"/>
      <w:r w:rsidRPr="00BA6F83">
        <w:rPr>
          <w:color w:val="000000" w:themeColor="text1"/>
          <w:lang w:val="en-US"/>
        </w:rPr>
        <w:t>carbogenated</w:t>
      </w:r>
      <w:proofErr w:type="spellEnd"/>
      <w:r w:rsidRPr="00BA6F83">
        <w:rPr>
          <w:color w:val="000000" w:themeColor="text1"/>
          <w:lang w:val="en-US"/>
        </w:rPr>
        <w:t xml:space="preserve"> Krebs buffer (7 mL/min; 32°C–34°C) and lumbar splanchnic nerves were isolated as </w:t>
      </w:r>
      <w:r w:rsidRPr="00963325">
        <w:rPr>
          <w:color w:val="000000" w:themeColor="text1"/>
          <w:lang w:val="en-US"/>
        </w:rPr>
        <w:t>previously described</w:t>
      </w:r>
      <w:r w:rsidRPr="00963325">
        <w:rPr>
          <w:color w:val="000000" w:themeColor="text1"/>
          <w:lang w:val="en-US"/>
        </w:rPr>
        <w:fldChar w:fldCharType="begin" w:fldLock="1"/>
      </w:r>
      <w:r w:rsidR="00756206" w:rsidRPr="00963325">
        <w:rPr>
          <w:color w:val="000000" w:themeColor="text1"/>
          <w:lang w:val="en-US"/>
        </w:rPr>
        <w:instrText>ADDIN CSL_CITATION {"citationItems":[{"id":"ITEM-1","itemData":{"DOI":"10.1053/j.gastro.2004.04.008","ISBN":"00165085","ISSN":"00165085","PMID":"15236183","abstract":"Background&amp;Aims: Mechanosensory information from the colon is conducted via lumbar splanchnic nerves (LSN) and sacral pelvic nerves (PN) to the spinal cord. The precise nature of mechanosensory information encoded by each pathway has remained elusive. Here, we characterize and directly compare the properties of mechanosensitive primary afferents from these 2 pathways. Methods: Using a novel in vitro mouse colon preparation, mechanosensitive primary afferents were recorded from the LSN and PN and distinguished based on their response to receptive field stimulation with 3 distinct mechanical stimuli: probing (70 mg-4 g), circular stretch (1-5 g), and mucosal stroking (10-1000 mg). Results: Five different classes of afferent were recorded from the LSN and PN. Three of these classes of afferent (serosal, muscular, and mucosal) were conserved between both pathways; however, their respective proportions, receptive field distributions, and response properties differed greatly. In general, these 3 classes of afferent recorded from the PN responded to lower stimulation intensities, displayed greater response magnitudes, and adapted less completely to mechanical stimulation compared with their LSN counterparts. In addition, the LSN and PN each contain a specialized class of afferent (mesenteric and muscular/mucosal), which is unique to their respective pathway. Conclusions: The splanchnic and pelvic pathways contain distinct populations of mechanosensitive afferents. These afferents are capable of detecting an array of mechanical stimuli and are individually tuned to detect the type, magnitude, and duration of the stimulus. This knowledge contributes to our understanding of the role that these 2 pathways play in conveying mechanical information from the colon.","author":[{"dropping-particle":"","family":"Brierley","given":"Stuart M.","non-dropping-particle":"","parse-names":false,"suffix":""},{"dropping-particle":"","family":"Jones","given":"R. Carter W.","non-dropping-particle":"","parse-names":false,"suffix":""},{"dropping-particle":"","family":"Gebhart","given":"Gerald F.","non-dropping-particle":"","parse-names":false,"suffix":""},{"dropping-particle":"","family":"Blackshaw","given":"L. Ashley","non-dropping-particle":"","parse-names":false,"suffix":""}],"container-title":"Gastroenterology","id":"ITEM-1","issue":"1","issued":{"date-parts":[["2004"]]},"page":"166-178","title":"Splanchnic and pelvic mechanosensory afferents signal different qualities of colonic stimuli in mice","type":"article-journal","volume":"127"},"uris":["http://www.mendeley.com/documents/?uuid=14b2c655-1bd6-499f-9b1a-4584d22c2af8"]}],"mendeley":{"formattedCitation":"&lt;sup&gt;82&lt;/sup&gt;","plainTextFormattedCitation":"82","previouslyFormattedCitation":"&lt;sup&gt;81&lt;/sup&gt;"},"properties":{"noteIndex":0},"schema":"https://github.com/citation-style-language/schema/raw/master/csl-citation.json"}</w:instrText>
      </w:r>
      <w:r w:rsidRPr="00963325">
        <w:rPr>
          <w:color w:val="000000" w:themeColor="text1"/>
          <w:lang w:val="en-US"/>
        </w:rPr>
        <w:fldChar w:fldCharType="separate"/>
      </w:r>
      <w:r w:rsidR="00756206" w:rsidRPr="00963325">
        <w:rPr>
          <w:noProof/>
          <w:color w:val="000000" w:themeColor="text1"/>
          <w:vertAlign w:val="superscript"/>
          <w:lang w:val="en-US"/>
        </w:rPr>
        <w:t>82</w:t>
      </w:r>
      <w:r w:rsidRPr="00963325">
        <w:rPr>
          <w:color w:val="000000" w:themeColor="text1"/>
          <w:lang w:val="en-US"/>
        </w:rPr>
        <w:fldChar w:fldCharType="end"/>
      </w:r>
      <w:r w:rsidRPr="00963325">
        <w:rPr>
          <w:color w:val="000000" w:themeColor="text1"/>
          <w:lang w:val="en-US"/>
        </w:rPr>
        <w:t xml:space="preserve">. </w:t>
      </w:r>
      <w:r w:rsidR="006F1474" w:rsidRPr="00963325">
        <w:rPr>
          <w:rFonts w:eastAsia="Times New Roman" w:cstheme="minorHAnsi"/>
          <w:color w:val="000000" w:themeColor="text1"/>
          <w:lang w:val="en-US"/>
        </w:rPr>
        <w:t>Mesenteric subclasses of the lumbar splanchnic nerve fibers were identified based on their anatomic location, their receptive field and response to mechanical stimuli such as brush stroking and stretching</w:t>
      </w:r>
      <w:r w:rsidR="00CB3A32" w:rsidRPr="00963325">
        <w:rPr>
          <w:rFonts w:eastAsia="Times New Roman" w:cstheme="minorHAnsi"/>
          <w:color w:val="000000" w:themeColor="text1"/>
        </w:rPr>
        <w:fldChar w:fldCharType="begin" w:fldLock="1"/>
      </w:r>
      <w:r w:rsidR="00756206" w:rsidRPr="00963325">
        <w:rPr>
          <w:rFonts w:eastAsia="Times New Roman" w:cstheme="minorHAnsi"/>
          <w:color w:val="000000" w:themeColor="text1"/>
          <w:lang w:val="en-US"/>
        </w:rPr>
        <w:instrText>ADDIN CSL_CITATION {"citationItems":[{"id":"ITEM-1","itemData":{"DOI":"10.1053/j.gastro.2004.04.008","ISBN":"00165085","ISSN":"00165085","PMID":"15236183","abstract":"Background&amp;Aims: Mechanosensory information from the colon is conducted via lumbar splanchnic nerves (LSN) and sacral pelvic nerves (PN) to the spinal cord. The precise nature of mechanosensory information encoded by each pathway has remained elusive. Here, we characterize and directly compare the properties of mechanosensitive primary afferents from these 2 pathways. Methods: Using a novel in vitro mouse colon preparation, mechanosensitive primary afferents were recorded from the LSN and PN and distinguished based on their response to receptive field stimulation with 3 distinct mechanical stimuli: probing (70 mg-4 g), circular stretch (1-5 g), and mucosal stroking (10-1000 mg). Results: Five different classes of afferent were recorded from the LSN and PN. Three of these classes of afferent (serosal, muscular, and mucosal) were conserved between both pathways; however, their respective proportions, receptive field distributions, and response properties differed greatly. In general, these 3 classes of afferent recorded from the PN responded to lower stimulation intensities, displayed greater response magnitudes, and adapted less completely to mechanical stimulation compared with their LSN counterparts. In addition, the LSN and PN each contain a specialized class of afferent (mesenteric and muscular/mucosal), which is unique to their respective pathway. Conclusions: The splanchnic and pelvic pathways contain distinct populations of mechanosensitive afferents. These afferents are capable of detecting an array of mechanical stimuli and are individually tuned to detect the type, magnitude, and duration of the stimulus. This knowledge contributes to our understanding of the role that these 2 pathways play in conveying mechanical information from the colon.","author":[{"dropping-particle":"","family":"Brierley","given":"Stuart M.","non-dropping-particle":"","parse-names":false,"suffix":""},{"dropping-particle":"","family":"Jones","given":"R. Carter W.","non-dropping-particle":"","parse-names":false,"suffix":""},{"dropping-particle":"","family":"Gebhart","given":"Gerald F.","non-dropping-particle":"","parse-names":false,"suffix":""},{"dropping-particle":"","family":"Blackshaw","given":"L. Ashley","non-dropping-particle":"","parse-names":false,"suffix":""}],"container-title":"Gastroenterology","id":"ITEM-1","issue":"1","issued":{"date-parts":[["2004"]]},"page":"166-178","title":"Splanchnic and pelvic mechanosensory afferents signal different qualities of colonic stimuli in mice","type":"article-journal","volume":"127"},"uris":["http://www.mendeley.com/documents/?uuid=14b2c655-1bd6-499f-9b1a-4584d22c2af8"]}],"mendeley":{"formattedCitation":"&lt;sup&gt;82&lt;/sup&gt;","plainTextFormattedCitation":"82","previouslyFormattedCitation":"&lt;sup&gt;81&lt;/sup&gt;"},"properties":{"noteIndex":0},"schema":"https://github.com/citation-style-language/schema/raw/master/csl-citation.json"}</w:instrText>
      </w:r>
      <w:r w:rsidR="00CB3A32" w:rsidRPr="00963325">
        <w:rPr>
          <w:rFonts w:eastAsia="Times New Roman" w:cstheme="minorHAnsi"/>
          <w:color w:val="000000" w:themeColor="text1"/>
        </w:rPr>
        <w:fldChar w:fldCharType="separate"/>
      </w:r>
      <w:r w:rsidR="00756206" w:rsidRPr="00963325">
        <w:rPr>
          <w:rFonts w:eastAsia="Times New Roman" w:cstheme="minorHAnsi"/>
          <w:noProof/>
          <w:color w:val="000000" w:themeColor="text1"/>
          <w:vertAlign w:val="superscript"/>
          <w:lang w:val="en-US"/>
        </w:rPr>
        <w:t>82</w:t>
      </w:r>
      <w:r w:rsidR="00CB3A32" w:rsidRPr="00963325">
        <w:rPr>
          <w:rFonts w:eastAsia="Times New Roman" w:cstheme="minorHAnsi"/>
          <w:color w:val="000000" w:themeColor="text1"/>
        </w:rPr>
        <w:fldChar w:fldCharType="end"/>
      </w:r>
      <w:r w:rsidR="006F1474" w:rsidRPr="00963325">
        <w:rPr>
          <w:rFonts w:eastAsia="Times New Roman" w:cstheme="minorHAnsi"/>
          <w:color w:val="000000" w:themeColor="text1"/>
          <w:lang w:val="en-US"/>
        </w:rPr>
        <w:t xml:space="preserve">. </w:t>
      </w:r>
      <w:r w:rsidRPr="00963325">
        <w:rPr>
          <w:color w:val="000000" w:themeColor="text1"/>
          <w:lang w:val="en-US"/>
        </w:rPr>
        <w:t xml:space="preserve">Basal </w:t>
      </w:r>
      <w:proofErr w:type="spellStart"/>
      <w:r w:rsidRPr="00BA6F83">
        <w:rPr>
          <w:color w:val="000000" w:themeColor="text1"/>
          <w:lang w:val="en-US"/>
        </w:rPr>
        <w:t>mechanosensitivity</w:t>
      </w:r>
      <w:proofErr w:type="spellEnd"/>
      <w:r w:rsidRPr="00BA6F83">
        <w:rPr>
          <w:color w:val="000000" w:themeColor="text1"/>
          <w:lang w:val="en-US"/>
        </w:rPr>
        <w:t xml:space="preserve"> was characterized on response of receptive fields to </w:t>
      </w:r>
      <w:bookmarkStart w:id="17" w:name="OLE_LINK12"/>
      <w:r w:rsidRPr="00BA6F83">
        <w:rPr>
          <w:color w:val="000000" w:themeColor="text1"/>
          <w:lang w:val="en-US"/>
        </w:rPr>
        <w:t xml:space="preserve">von Frey hair probing (0.16 grams </w:t>
      </w:r>
      <w:bookmarkEnd w:id="17"/>
      <w:r w:rsidRPr="00BA6F83">
        <w:rPr>
          <w:color w:val="000000" w:themeColor="text1"/>
          <w:lang w:val="en-US"/>
        </w:rPr>
        <w:t xml:space="preserve">applied 3 times for 3 s). For analysis, individual single-unit discharge was discriminated offline using template-matching </w:t>
      </w:r>
      <w:proofErr w:type="spellStart"/>
      <w:r w:rsidRPr="00BA6F83">
        <w:rPr>
          <w:color w:val="000000" w:themeColor="text1"/>
          <w:lang w:val="en-US"/>
        </w:rPr>
        <w:t>wavemark</w:t>
      </w:r>
      <w:proofErr w:type="spellEnd"/>
      <w:r w:rsidRPr="00BA6F83">
        <w:rPr>
          <w:color w:val="000000" w:themeColor="text1"/>
          <w:lang w:val="en-US"/>
        </w:rPr>
        <w:t xml:space="preserve"> software. For the </w:t>
      </w:r>
      <w:proofErr w:type="spellStart"/>
      <w:r w:rsidRPr="00BA6F83">
        <w:rPr>
          <w:color w:val="000000" w:themeColor="text1"/>
          <w:lang w:val="en-US"/>
        </w:rPr>
        <w:t>mechanosensitivity</w:t>
      </w:r>
      <w:proofErr w:type="spellEnd"/>
      <w:r w:rsidRPr="00BA6F83">
        <w:rPr>
          <w:color w:val="000000" w:themeColor="text1"/>
          <w:lang w:val="en-US"/>
        </w:rPr>
        <w:t xml:space="preserve"> to von Frey hair probing, peak action potential discharge (Hz) over a 2-second period within the 3-second period of probing was determined for each probe and a mean response was calculated from each set of 3.</w:t>
      </w:r>
    </w:p>
    <w:p w14:paraId="2AA17896" w14:textId="77777777" w:rsidR="00CE2959" w:rsidRPr="00BA6F83" w:rsidRDefault="00CE2959" w:rsidP="00CE2959">
      <w:pPr>
        <w:spacing w:after="120" w:line="480" w:lineRule="auto"/>
        <w:jc w:val="both"/>
        <w:rPr>
          <w:rFonts w:cstheme="minorHAnsi"/>
          <w:color w:val="000000" w:themeColor="text1"/>
          <w:lang w:val="en-US"/>
        </w:rPr>
      </w:pPr>
    </w:p>
    <w:p w14:paraId="0F9BE272"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i/>
          <w:color w:val="000000" w:themeColor="text1"/>
          <w:lang w:val="en-US"/>
        </w:rPr>
        <w:t>Patch-camp recording:</w:t>
      </w:r>
    </w:p>
    <w:p w14:paraId="6A4AEA01" w14:textId="2FA16E31"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DRG neurons (T9-T13)</w:t>
      </w:r>
      <w:r w:rsidRPr="00BA6F83">
        <w:rPr>
          <w:color w:val="000000" w:themeColor="text1"/>
          <w:lang w:val="en-US"/>
        </w:rPr>
        <w:t xml:space="preserve"> </w:t>
      </w:r>
      <w:r w:rsidRPr="00BA6F83">
        <w:rPr>
          <w:rFonts w:cstheme="minorHAnsi"/>
          <w:color w:val="000000" w:themeColor="text1"/>
          <w:lang w:val="en-US"/>
        </w:rPr>
        <w:t xml:space="preserve">from 8-12 weeks old mice were bilaterally excised under a dissection microscope as previously described </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{"citationItems":[{"id":"ITEM-1","itemData":{"DOI":"10.1136/gut.2009.190439","ISSN":"00175749","PMID":"20427396","abstract":"OBJECTIVES: Abdominal pain is a serious cause of morbidity in patients with inflammatory bowel disease. To better understand the mechanisms and potentially identify new targets for treatment, the effects of inflammatory supernatant from colonic biopsies of patients with active ulcerative colitis (UC) on mouse colonic nociceptive dorsal root ganglia neurons were examined. METHODS: Acutely dissociated dorsal root ganglia neurons innervating the mouse colon were incubated in supernatants obtained from colonic biopsies from patients with UC. Whole-cell patch clamp recordings were obtained to examine the effects on neuronal excitability. The role of tumour necrosis factor alpha (TNFalpha) was studied using TNFalpha receptor (TNFR) knockout mice and comparing supernatant and TNFalpha actions. RESULTS: UC supernatants significantly decreased the rheobase and increased action potential discharge, indicating increased neuronal excitability. Human biopsies exhibited high levels of TNFalpha, and mouse colonic neurons only exhibited TNFR1 mRNA. Incubation with TNFalpha recapitulated the supernatant effects on neuronal excitability, and supernatant and TNFalpha actions were almost completely blocked in TNFR knockout mice. In voltage clamp studies, transient I(A) and I(K) currents were suppressed and Na(v) 1.8 currents were enhanced by TNFalpha and UC supernatant, suggesting that multiple underlying mechanisms contributed to the enhanced excitability. CONCLUSIONS: UC supernatants enhance neuronal excitability of sensory dorsal root ganglia neurons innervating the colon. TNFalpha is a key mediator which acts at neuronal TNFR1 to modulate K(v) and Na(v) currents. Together these data provide a number of potential new targets for pain management in UC.","author":[{"dropping-particle":"","family":"Ibeakanma","given":"Charles","non-dropping-particle":"","parse-names":false,"suffix":""},{"dropping-particle":"","family":"Vanner","given":"Stephen","non-dropping-particle":"","parse-names":false,"suffix":""}],"container-title":"Gut","id":"ITEM-1","issue":"5","issued":{"date-parts":[["2010"]]},"page":"612-621","title":"TNFα is a key mediator of the pronociceptive effects of mucosal supernatant from human ulcerative colitis on colonic DRG neurons","type":"article-journal","volume":"59"},"uris":["http://www.mendeley.com/documents/?uuid=74fd9c74-ecc5-485e-a0b5-9777d8b0b14a"]}],"mendeley":{"formattedCitation":"&lt;sup&gt;83&lt;/sup&gt;","plainTextFormattedCitation":"83","previouslyFormattedCitation":"&lt;sup&gt;82&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83</w:t>
      </w:r>
      <w:r w:rsidRPr="00BA6F83">
        <w:rPr>
          <w:rFonts w:cstheme="minorHAnsi"/>
          <w:color w:val="000000" w:themeColor="text1"/>
          <w:lang w:val="en-US"/>
        </w:rPr>
        <w:fldChar w:fldCharType="end"/>
      </w:r>
      <w:r w:rsidRPr="00BA6F83">
        <w:rPr>
          <w:rFonts w:cstheme="minorHAnsi"/>
          <w:color w:val="000000" w:themeColor="text1"/>
          <w:lang w:val="en-US"/>
        </w:rPr>
        <w:t xml:space="preserve">. Following overnight incubation with colonic supernatants, DRG neuronal activity was then assessed using perforated-patch clamp with amphotericin B (0.24 mg/mL). The composition of the extracellular solution was as follows (in mM): 140 NaCl, 5 </w:t>
      </w:r>
      <w:proofErr w:type="spellStart"/>
      <w:r w:rsidRPr="00BA6F83">
        <w:rPr>
          <w:rFonts w:cstheme="minorHAnsi"/>
          <w:color w:val="000000" w:themeColor="text1"/>
          <w:lang w:val="en-US"/>
        </w:rPr>
        <w:t>KCl</w:t>
      </w:r>
      <w:proofErr w:type="spellEnd"/>
      <w:r w:rsidRPr="00BA6F83">
        <w:rPr>
          <w:rFonts w:cstheme="minorHAnsi"/>
          <w:color w:val="000000" w:themeColor="text1"/>
          <w:lang w:val="en-US"/>
        </w:rPr>
        <w:t>, 1 MgCl</w:t>
      </w:r>
      <w:r w:rsidRPr="00BA6F83">
        <w:rPr>
          <w:rFonts w:cstheme="minorHAnsi"/>
          <w:color w:val="000000" w:themeColor="text1"/>
          <w:vertAlign w:val="subscript"/>
          <w:lang w:val="en-US"/>
        </w:rPr>
        <w:t>2</w:t>
      </w:r>
      <w:r w:rsidRPr="00BA6F83">
        <w:rPr>
          <w:rFonts w:cstheme="minorHAnsi"/>
          <w:color w:val="000000" w:themeColor="text1"/>
          <w:lang w:val="en-US"/>
        </w:rPr>
        <w:t>, 2 CaCl</w:t>
      </w:r>
      <w:r w:rsidRPr="00BA6F83">
        <w:rPr>
          <w:rFonts w:cstheme="minorHAnsi"/>
          <w:color w:val="000000" w:themeColor="text1"/>
          <w:vertAlign w:val="subscript"/>
          <w:lang w:val="en-US"/>
        </w:rPr>
        <w:t>2</w:t>
      </w:r>
      <w:r w:rsidRPr="00BA6F83">
        <w:rPr>
          <w:rFonts w:cstheme="minorHAnsi"/>
          <w:color w:val="000000" w:themeColor="text1"/>
          <w:lang w:val="en-US"/>
        </w:rPr>
        <w:t xml:space="preserve">, 10 4-(2-Hydroxyethyl)-1-piperazineethanesulfonic acid (HEPES), 10 D-glucose; pH 7.4. For the pipette solution </w:t>
      </w:r>
      <w:r w:rsidRPr="00BA6F83">
        <w:rPr>
          <w:rFonts w:cstheme="minorHAnsi"/>
          <w:color w:val="000000" w:themeColor="text1"/>
          <w:lang w:val="en-US"/>
        </w:rPr>
        <w:lastRenderedPageBreak/>
        <w:t xml:space="preserve">(in mM): 110 K-gluconate, 30 </w:t>
      </w:r>
      <w:proofErr w:type="spellStart"/>
      <w:r w:rsidRPr="00BA6F83">
        <w:rPr>
          <w:rFonts w:cstheme="minorHAnsi"/>
          <w:color w:val="000000" w:themeColor="text1"/>
          <w:lang w:val="en-US"/>
        </w:rPr>
        <w:t>KCl</w:t>
      </w:r>
      <w:proofErr w:type="spellEnd"/>
      <w:r w:rsidRPr="00BA6F83">
        <w:rPr>
          <w:rFonts w:cstheme="minorHAnsi"/>
          <w:color w:val="000000" w:themeColor="text1"/>
          <w:lang w:val="en-US"/>
        </w:rPr>
        <w:t>, 10 HEPES, 1 MgCl</w:t>
      </w:r>
      <w:r w:rsidRPr="00BA6F83">
        <w:rPr>
          <w:rFonts w:cstheme="minorHAnsi"/>
          <w:color w:val="000000" w:themeColor="text1"/>
          <w:vertAlign w:val="subscript"/>
          <w:lang w:val="en-US"/>
        </w:rPr>
        <w:t>2</w:t>
      </w:r>
      <w:r w:rsidRPr="00BA6F83">
        <w:rPr>
          <w:rFonts w:cstheme="minorHAnsi"/>
          <w:color w:val="000000" w:themeColor="text1"/>
          <w:lang w:val="en-US"/>
        </w:rPr>
        <w:t>, 2 CaCl</w:t>
      </w:r>
      <w:r w:rsidRPr="00BA6F83">
        <w:rPr>
          <w:rFonts w:cstheme="minorHAnsi"/>
          <w:color w:val="000000" w:themeColor="text1"/>
          <w:vertAlign w:val="subscript"/>
          <w:lang w:val="en-US"/>
        </w:rPr>
        <w:t>2</w:t>
      </w:r>
      <w:r w:rsidRPr="00BA6F83">
        <w:rPr>
          <w:rFonts w:cstheme="minorHAnsi"/>
          <w:color w:val="000000" w:themeColor="text1"/>
          <w:lang w:val="en-US"/>
        </w:rPr>
        <w:t xml:space="preserve">; pH 7.25. The liquid junction potential was calculated to be 12 mV and corrected. The recording chamber was continuously perfused with external solution at approximately 1-2 mL/min. Final pipette resistance was 2–5 MΩ in bath solution. Signals were amplified using </w:t>
      </w:r>
      <w:proofErr w:type="spellStart"/>
      <w:r w:rsidRPr="00BA6F83">
        <w:rPr>
          <w:rFonts w:cstheme="minorHAnsi"/>
          <w:color w:val="000000" w:themeColor="text1"/>
          <w:lang w:val="en-US"/>
        </w:rPr>
        <w:t>Multiclamp</w:t>
      </w:r>
      <w:proofErr w:type="spellEnd"/>
      <w:r w:rsidRPr="00BA6F83">
        <w:rPr>
          <w:rFonts w:cstheme="minorHAnsi"/>
          <w:color w:val="000000" w:themeColor="text1"/>
          <w:lang w:val="en-US"/>
        </w:rPr>
        <w:t xml:space="preserve"> 700B, digitized by </w:t>
      </w:r>
      <w:proofErr w:type="spellStart"/>
      <w:r w:rsidRPr="00BA6F83">
        <w:rPr>
          <w:rFonts w:cstheme="minorHAnsi"/>
          <w:color w:val="000000" w:themeColor="text1"/>
          <w:lang w:val="en-US"/>
        </w:rPr>
        <w:t>Digidata</w:t>
      </w:r>
      <w:proofErr w:type="spellEnd"/>
      <w:r w:rsidRPr="00BA6F83">
        <w:rPr>
          <w:rFonts w:cstheme="minorHAnsi"/>
          <w:color w:val="000000" w:themeColor="text1"/>
          <w:lang w:val="en-US"/>
        </w:rPr>
        <w:t xml:space="preserve"> 1440A converters, and recorded using </w:t>
      </w:r>
      <w:proofErr w:type="spellStart"/>
      <w:r w:rsidRPr="00BA6F83">
        <w:rPr>
          <w:rFonts w:cstheme="minorHAnsi"/>
          <w:color w:val="000000" w:themeColor="text1"/>
          <w:lang w:val="en-US"/>
        </w:rPr>
        <w:t>pClamp</w:t>
      </w:r>
      <w:proofErr w:type="spellEnd"/>
      <w:r w:rsidRPr="00BA6F83">
        <w:rPr>
          <w:rFonts w:cstheme="minorHAnsi"/>
          <w:color w:val="000000" w:themeColor="text1"/>
          <w:lang w:val="en-US"/>
        </w:rPr>
        <w:t xml:space="preserve"> 10.5 software (Molecular Devices). Only neurons with resting membrane potentials more negative than −40 mV were analyzed. Only neurons with &lt;30 pF capacitance were used because these neurons have been shown to display properties associated with nociceptors </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{"citationItems":[{"id":"ITEM-1","itemData":{"DOI":"10.1113/jphysiol.2003.046409","ISBN":"0022-3751 (Print)\\r0022-3751 (Linking)","ISSN":"00223751","PMID":"12923214","abstract":"Intestinal inflammation induces hyperexcitability of dorsal root ganglia sensory neurons, which has been implicated in increased pain sensation. This study examined whether alteration of sodium (Na+) and/or potassium (K+) currents underlies this hyperexcitability. Ileitis was induced in guinea pig ileum with trinitrobenzene sulphonic acid (TBNS) and dorsal root ganglion neurons innervating the site of inflammation were identified by Fast Blue or DiI fluorescence labelling. Whole cell recordings were made from acutely dissociated small-sized neurons at 7-10 days. Neurons exhibited transient A-type and sustained outward rectifier K+ currents. Compared to control, both A-type and sustained K+ current densities were significantly reduced (42 and 34%, respectively; P &lt; 0.05) in labelled neurons from the inflamed intestine but not in non-labelled neurons. A-type current voltage dependence of inactivation was negatively shifted in labelled inflamed intestine neurons. Neurons also exhibited tetrodotoxin-sensitive and resistant Na+ currents. Tetrodotoxin-resistant sodium currents were increased by 37% in labelled neurons from the inflamed intestine compared to control (P &lt; 0.01), whereas unlabelled neurons were unaffected. The activation and inactivation curves of these currents were unchanged by inflammation. These data suggest ileitis increases excitability of intestinal sensory neurons by modulating multiple ionic channels. The lack of effect in non-labelled neurons suggests signalling originated at the nerve terminal rather than through circulating mediators and, given that Na+ currents are enhanced whereas K+ currents are suppressed, one or more signalling pathways may be involved.","author":[{"dropping-particle":"","family":"Stewart","given":"Timothy","non-dropping-particle":"","parse-names":false,"suffix":""},{"dropping-particle":"","family":"Beyak","given":"Michael J.","non-dropping-particle":"","parse-names":false,"suffix":""},{"dropping-particle":"","family":"Vanner","given":"Stephen","non-dropping-particle":"","parse-names":false,"suffix":""}],"container-title":"The Journal of Physiology","id":"ITEM-1","issue":"3","issued":{"date-parts":[["2003"]]},"page":"797-807","title":"Ileitis modulates potassium and sodium currents in guinea pig dorsal root ganglia sensory neurons","type":"article-journal","volume":"552"},"uris":["http://www.mendeley.com/documents/?uuid=7fa6a6c3-258f-4d42-9c14-d063556b13d8"]},{"id":"ITEM-2","itemData":{"DOI":"10.1152/ajpgi.00406.2001","ISBN":"0193-1857","ISSN":"0193-1857","PMID":"12016130","abstract":"This study examines whether intestinal inflammation leads to changes in the properties of ion channels in dorsal root ganglia (DRG) neurons. Ileitis was induced by injection of trinitrobenzene sulfonic acid (TNBS), and DRG neurons innervating the ileum were labeled using fast blue. Intracellular recording techniques were used to measure electrophysiological properties of acutely dissociated neurons 12-24 h after dissection. Nociceptive neurons were identified by sensitivity to capsaicin, tetrodotoxin resistance, and size (&lt;30 microm). The action potential threshold in neurons from TNBS-treated animals was reduced by &gt;70% compared with controls (P &lt; 0.001), but the resting membrane potential was unchanged. Cell diameter, input resistance (67%), and action potential upstroke velocity (22%) increased in the TNBS group (P &lt; 0.05). The number of action potentials discharged increased in the TNBS group (P &lt; 0.001), whereas application of 4-aminopyridine to control cells mimicked this effect. This study demonstrates that ileitis induces hyperexcitability in nociceptive DRG neurons and changes in the properties of Na(+) and K(+) channels at the soma, which persist after removal from the inflamed environment.","author":[{"dropping-particle":"","family":"Moore","given":"Beverley A","non-dropping-particle":"","parse-names":false,"suffix":""},{"dropping-particle":"","family":"Stewart","given":"Timothy M R","non-dropping-particle":"","parse-names":false,"suffix":""},{"dropping-particle":"","family":"Hill","given":"Ceredwyn","non-dropping-particle":"","parse-names":false,"suffix":""},{"dropping-particle":"","family":"Vanner","given":"Stephen J","non-dropping-particle":"","parse-names":false,"suffix":""}],"container-title":"American journal of physiology Gastrointestinal and liver physiology","id":"ITEM-2","issue":"6","issued":{"date-parts":[["2002"]]},"page":"G1045-51","title":"TNBS ileitis evokes hyperexcitability and changes in ionic membrane properties of nociceptive DRG neurons","type":"article-journal","volume":"282"},"uris":["http://www.mendeley.com/documents/?uuid=f6b23918-9ebf-4f85-a09e-a232ae4e8805"]}],"mendeley":{"formattedCitation":"&lt;sup&gt;84,85&lt;/sup&gt;","plainTextFormattedCitation":"84,85","previouslyFormattedCitation":"&lt;sup&gt;83,84&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84,85</w:t>
      </w:r>
      <w:r w:rsidRPr="00BA6F83">
        <w:rPr>
          <w:rFonts w:cstheme="minorHAnsi"/>
          <w:color w:val="000000" w:themeColor="text1"/>
          <w:lang w:val="en-US"/>
        </w:rPr>
        <w:fldChar w:fldCharType="end"/>
      </w:r>
      <w:r w:rsidRPr="00BA6F83">
        <w:rPr>
          <w:rFonts w:cstheme="minorHAnsi"/>
          <w:color w:val="000000" w:themeColor="text1"/>
          <w:lang w:val="en-US"/>
        </w:rPr>
        <w:t xml:space="preserve">. Neuronal excitability was measured by recording the rheobase (minimum amount of current required to elicit an action potential) and numbers of action potentials discharged at twice the rheobase, as previously described </w:t>
      </w:r>
      <w:r w:rsidRPr="00BA6F83">
        <w:rPr>
          <w:rFonts w:cstheme="minorHAnsi"/>
          <w:color w:val="000000" w:themeColor="text1"/>
          <w:lang w:val="en-US"/>
        </w:rPr>
        <w:fldChar w:fldCharType="begin" w:fldLock="1"/>
      </w:r>
      <w:r w:rsidR="00756206">
        <w:rPr>
          <w:rFonts w:cstheme="minorHAnsi"/>
          <w:color w:val="000000" w:themeColor="text1"/>
          <w:lang w:val="en-US"/>
        </w:rPr>
        <w:instrText>ADDIN CSL_CITATION {"citationItems":[{"id":"ITEM-1","itemData":{"DOI":"10.1053/j.gastro.2011.08.006","ISBN":"1528-0012 (Electronic)\\r0016-5085 (Linking)","ISSN":"15280012","PMID":"21856270","abstract":"Background &amp; Aims: To investigate the peripheral sensory effects of repeated stress in patients with postinfectious irritable bowel syndrome (IBS), we tested whether stress following self-limiting bacterial colitis increases colonic dorsal root ganglia (DRG) nociceptive signaling. Methods: C57BL/6 mice were infected with Citrobacter rodentium. Stress was induced using a 9-day water avoidance paradigm (days 2130 after infection). Colonic DRG neuronal excitability was measured using perforated patch clamp techniques, in vitro multi-unit afferent recordings, and measurements of visceromotor reflexes. Results: Combined stress and prior infection increased corticosterone and epinephrine levels, compared with infected animals, but did not alter the resolution of colonic inflammation. These changes were associated with increased neuronal excitability and parallel changes in multi-unit afferent recordings and visceromotor reflex thresholds. Protease activity was increased at day 30 following infection with C rodentium. Protease inhibitors markedly reduced the effects of colonic supernatants on neuronal excitability from C rodentium but not stressed animals. Colonic DRG neurons expressed messenger RNAs for the β2adrenergic and glucocorticoid receptors; incubation with stress mediators recapitulated the effects on neuronal excitability observed with chronic stress alone. PAR2 activation with concentrations of the activating peptide SLIGRL that had no effect on neuronal excitability in controls caused marked increases in excitability when applied to neurons from chronically stressed animals. Conclusions: Stress, combined with prior acute colitis, results in exaggerated peripheral nociceptive signaling. Proteases and stress mediators can signal directly to colonic DRG neurons; further analysis of these pathways could provide new targets for treatment of patients with postinfectious IBS. © 2011 AGA Institute.","author":[{"dropping-particle":"","family":"Ibeakanma","given":"Charles","non-dropping-particle":"","parse-names":false,"suffix":""},{"dropping-particle":"","family":"Ochoacortes","given":"Fernando","non-dropping-particle":"","parse-names":false,"suffix":""},{"dropping-particle":"","family":"Mirandamorales","given":"Marcela","non-dropping-particle":"","parse-names":false,"suffix":""},{"dropping-particle":"","family":"McDonald","given":"Todd","non-dropping-particle":"","parse-names":false,"suffix":""},{"dropping-particle":"","family":"Spreadbury","given":"Ian","non-dropping-particle":"","parse-names":false,"suffix":""},{"dropping-particle":"","family":"Cenac","given":"Nicolas","non-dropping-particle":"","parse-names":false,"suffix":""},{"dropping-particle":"","family":"Cattaruzza","given":"Fiore","non-dropping-particle":"","parse-names":false,"suffix":""},{"dropping-particle":"","family":"Hurlbut","given":"David","non-dropping-particle":"","parse-names":false,"suffix":""},{"dropping-particle":"","family":"Vanner","given":"Stephanie Stephen Stephanie","non-dropping-particle":"","parse-names":false,"suffix":""},{"dropping-particle":"","family":"Bunnett","given":"Nigel","non-dropping-particle":"","parse-names":false,"suffix":""},{"dropping-particle":"","family":"Vergnolle","given":"Nathalie","non-dropping-particle":"","parse-names":false,"suffix":""},{"dropping-particle":"","family":"Vanner","given":"Stephanie Stephen Stephanie","non-dropping-particle":"","parse-names":false,"suffix":""}],"container-title":"Gastroenterology","id":"ITEM-1","issue":"6","issued":{"date-parts":[["2011"]]},"page":"2098-2108","title":"Brain-Gut interactions increase peripheral nociceptive signaling in mice with postinfectious irritable bowel syndrome","type":"article-journal","volume":"141"},"uris":["http://www.mendeley.com/documents/?uuid=6c46bbfd-c201-491e-8835-fb4695f19eec"]}],"mendeley":{"formattedCitation":"&lt;sup&gt;86&lt;/sup&gt;","plainTextFormattedCitation":"86","previouslyFormattedCitation":"&lt;sup&gt;85&lt;/sup&gt;"},"properties":{"noteIndex":0},"schema":"https://github.com/citation-style-language/schema/raw/master/csl-citation.json"}</w:instrText>
      </w:r>
      <w:r w:rsidRPr="00BA6F83">
        <w:rPr>
          <w:rFonts w:cstheme="minorHAnsi"/>
          <w:color w:val="000000" w:themeColor="text1"/>
          <w:lang w:val="en-US"/>
        </w:rPr>
        <w:fldChar w:fldCharType="separate"/>
      </w:r>
      <w:r w:rsidR="00756206" w:rsidRPr="00756206">
        <w:rPr>
          <w:rFonts w:cstheme="minorHAnsi"/>
          <w:noProof/>
          <w:color w:val="000000" w:themeColor="text1"/>
          <w:vertAlign w:val="superscript"/>
          <w:lang w:val="en-US"/>
        </w:rPr>
        <w:t>86</w:t>
      </w:r>
      <w:r w:rsidRPr="00BA6F83">
        <w:rPr>
          <w:rFonts w:cstheme="minorHAnsi"/>
          <w:color w:val="000000" w:themeColor="text1"/>
          <w:lang w:val="en-US"/>
        </w:rPr>
        <w:fldChar w:fldCharType="end"/>
      </w:r>
      <w:r w:rsidRPr="00BA6F83">
        <w:rPr>
          <w:rFonts w:cstheme="minorHAnsi"/>
          <w:color w:val="000000" w:themeColor="text1"/>
          <w:lang w:val="en-US"/>
        </w:rPr>
        <w:t xml:space="preserve">. The role of </w:t>
      </w:r>
      <w:r w:rsidRPr="00BA6F83">
        <w:rPr>
          <w:rFonts w:asciiTheme="minorHAnsi" w:hAnsiTheme="minorHAnsi"/>
          <w:color w:val="000000" w:themeColor="text1"/>
          <w:lang w:val="en-US"/>
        </w:rPr>
        <w:t>H</w:t>
      </w:r>
      <w:r w:rsidRPr="00BA6F83">
        <w:rPr>
          <w:rFonts w:asciiTheme="minorHAnsi" w:hAnsiTheme="minorHAnsi"/>
          <w:color w:val="000000" w:themeColor="text1"/>
          <w:vertAlign w:val="subscript"/>
          <w:lang w:val="en-US"/>
        </w:rPr>
        <w:t>1</w:t>
      </w:r>
      <w:r w:rsidRPr="00BA6F83">
        <w:rPr>
          <w:rFonts w:asciiTheme="minorHAnsi" w:hAnsiTheme="minorHAnsi"/>
          <w:color w:val="000000" w:themeColor="text1"/>
          <w:lang w:val="en-US"/>
        </w:rPr>
        <w:t>R</w:t>
      </w:r>
      <w:r w:rsidRPr="00BA6F83">
        <w:rPr>
          <w:rFonts w:cstheme="minorHAnsi"/>
          <w:color w:val="000000" w:themeColor="text1"/>
          <w:lang w:val="en-US"/>
        </w:rPr>
        <w:t xml:space="preserve"> receptor was evaluated using pyrilamine (1 </w:t>
      </w:r>
      <w:proofErr w:type="spellStart"/>
      <w:r w:rsidRPr="00BA6F83">
        <w:rPr>
          <w:rFonts w:cstheme="minorHAnsi"/>
          <w:color w:val="000000" w:themeColor="text1"/>
          <w:lang w:val="en-US"/>
        </w:rPr>
        <w:t>μM</w:t>
      </w:r>
      <w:proofErr w:type="spellEnd"/>
      <w:r w:rsidRPr="00BA6F83">
        <w:rPr>
          <w:rFonts w:cstheme="minorHAnsi"/>
          <w:color w:val="000000" w:themeColor="text1"/>
          <w:lang w:val="en-US"/>
        </w:rPr>
        <w:t>), applied 1 h prior to application of colonic supernatant.</w:t>
      </w:r>
    </w:p>
    <w:p w14:paraId="57002A37" w14:textId="77777777" w:rsidR="00CE2959" w:rsidRPr="00BA6F83" w:rsidRDefault="00CE2959" w:rsidP="00CE2959">
      <w:pPr>
        <w:spacing w:after="120" w:line="480" w:lineRule="auto"/>
        <w:jc w:val="both"/>
        <w:rPr>
          <w:rFonts w:cstheme="minorHAnsi"/>
          <w:i/>
          <w:color w:val="000000" w:themeColor="text1"/>
          <w:lang w:val="en-US"/>
        </w:rPr>
      </w:pPr>
    </w:p>
    <w:p w14:paraId="3C605181"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Ca</w:t>
      </w:r>
      <w:r w:rsidRPr="00BA6F83">
        <w:rPr>
          <w:rFonts w:cstheme="minorHAnsi"/>
          <w:i/>
          <w:color w:val="000000" w:themeColor="text1"/>
          <w:vertAlign w:val="superscript"/>
          <w:lang w:val="en-US"/>
        </w:rPr>
        <w:t>2+</w:t>
      </w:r>
      <w:r w:rsidRPr="00BA6F83">
        <w:rPr>
          <w:rFonts w:cstheme="minorHAnsi"/>
          <w:i/>
          <w:color w:val="000000" w:themeColor="text1"/>
          <w:lang w:val="en-US"/>
        </w:rPr>
        <w:t xml:space="preserve"> imaging: </w:t>
      </w:r>
    </w:p>
    <w:p w14:paraId="56238D51" w14:textId="3A8D59F8"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DRG neurons (T9-T13)</w:t>
      </w:r>
      <w:r w:rsidRPr="00BA6F83">
        <w:rPr>
          <w:color w:val="000000" w:themeColor="text1"/>
          <w:lang w:val="en-US"/>
        </w:rPr>
        <w:t xml:space="preserve"> </w:t>
      </w:r>
      <w:r w:rsidRPr="00BA6F83">
        <w:rPr>
          <w:rFonts w:cstheme="minorHAnsi"/>
          <w:color w:val="000000" w:themeColor="text1"/>
          <w:lang w:val="en-US"/>
        </w:rPr>
        <w:t>from 8-12 weeks old mice were bilaterally excised under a dissection microscope and intracellular Ca</w:t>
      </w:r>
      <w:r w:rsidRPr="00BA6F83">
        <w:rPr>
          <w:rFonts w:cstheme="minorHAnsi"/>
          <w:color w:val="000000" w:themeColor="text1"/>
          <w:vertAlign w:val="superscript"/>
          <w:lang w:val="en-US"/>
        </w:rPr>
        <w:t>2+</w:t>
      </w:r>
      <w:r w:rsidRPr="00BA6F83">
        <w:rPr>
          <w:rFonts w:cstheme="minorHAnsi"/>
          <w:color w:val="000000" w:themeColor="text1"/>
          <w:lang w:val="en-US"/>
        </w:rPr>
        <w:t xml:space="preserve"> concentration was measured as previously described </w:t>
      </w:r>
      <w:r w:rsidRPr="00BA6F83">
        <w:rPr>
          <w:rFonts w:cstheme="minorHAnsi"/>
          <w:color w:val="000000" w:themeColor="text1"/>
          <w:lang w:val="en-US"/>
        </w:rPr>
        <w:fldChar w:fldCharType="begin" w:fldLock="1"/>
      </w:r>
      <w:r w:rsidR="00271D58">
        <w:rPr>
          <w:rFonts w:cstheme="minorHAnsi"/>
          <w:color w:val="000000" w:themeColor="text1"/>
          <w:lang w:val="en-US"/>
        </w:rPr>
        <w:instrText>ADDIN CSL_CITATION {"citationItems":[{"id":"ITEM-1","itemData":{"DOI":"10.1053/j.gastro.2015.12.034","ISBN":"0016-5085","ISSN":"15280012","PMID":"26752109","abstract":"Background &amp; Aims Histamine sensitizes the nociceptor transient reporter potential channel V1 (TRPV1) and has been shown to contribute to visceral hypersensitivity in animals. We investigated the role of TRPV1 in irritable bowel syndrome (IBS) and evaluated if an antagonist of histamine receptor H1 (HRH1) could reduce symptoms of patients in a randomized placebo-controlled trial. Methods By using live calcium imaging, we compared activation of submucosal neurons by the TRPV1 agonist capsaicin in rectal biopsy specimens collected from 9 patients with IBS (ROME 3 criteria) and 15 healthy subjects. The sensitization of TRPV1 by histamine, its metabolite imidazole acetaldehyde, and supernatants from biopsy specimens was assessed by calcium imaging of mouse dorsal root ganglion neurons. We then performed a double-blind trial of patients with IBS (mean age, 31 y; range, 18-65 y; 34 female). After a 2-week run-in period, subjects were assigned randomly to groups given either the HRH1 antagonist ebastine (20 mg/day; n = 28) or placebo (n = 27) for 12 weeks. Rectal biopsy specimens were collected, barostat studies were performed, and symptoms were assessed (using the validated gastrointestinal symptom rating scale) before and after the 12-week period. Patients were followed up for an additional 2 weeks. Abdominal pain, symptom relief, and health-related quality of life were assessed on a weekly basis. The primary end point of the study was the effect of ebastine on the symptom score evoked by rectal distension. Results TRPV1 responses of submucosal neurons from patients with IBS were potentiated compared with those of healthy volunteers. Moreover, TRPV1 responses of submucosal neurons from healthy volunteers could be potentiated by their pre-incubation with histamine; this effect was blocked by the HRH1 antagonist pyrilamine. Supernatants from rectal biopsy specimens from patients with IBS, but not from the healthy volunteers, sensitized TRPV1 in mouse nociceptive dorsal root ganglion neurons via HRH1; this effect could be reproduced by histamine and imidazole acetaldehyde. Compared with subjects given placebo, those given ebastine had reduced visceral hypersensitivity, increased symptom relief (ebastine 46% vs placebo 13%; P =.024), and reduced abdominal pain scores (ebastine 39 ± 23 vs placebo 62 ± 22; P =.0004). Conclusions In studies of rectal biopsy specimens from patients, we found that HRH1-mediated sensitization of TRPV1 is involved in IBS. Ebastine, an …","author":[{"dropping-particle":"","family":"Wouters","given":"Mira M.","non-dropping-particle":"","parse-names":false,"suffix":""},{"dropping-particle":"","family":"Balemans","given":"Dafne","non-dropping-particle":"","parse-names":false,"suffix":""},{"dropping-particle":"","family":"Wanrooy","given":"Sander","non-dropping-particle":"Van","parse-names":false,"suffix":""},{"dropping-particle":"","family":"Dooley","given":"James","non-dropping-particle":"","parse-names":false,"suffix":""},{"dropping-particle":"","family":"Cibert-Goton","given":"Vincent","non-dropping-particle":"","parse-names":false,"suffix":""},{"dropping-particle":"","family":"Alpizar","given":"Yeranddy A.","non-dropping-particle":"","parse-names":false,"suffix":""},{"dropping-particle":"","family":"Valdez-Morales","given":"Eduardo E.","non-dropping-particle":"","parse-names":false,"suffix":""},{"dropping-particle":"","family":"Nasser","given":"Yasmin","non-dropping-particle":"","parse-names":false,"suffix":""},{"dropping-particle":"","family":"Veldhoven","given":"Paul P.","non-dropping-particle":"Van","parse-names":false,"suffix":""},{"dropping-particle":"","family":"Vanbrabant","given":"Winde","non-dropping-particle":"","parse-names":false,"suffix":""},{"dropping-particle":"","family":"Merwe","given":"Schalk","non-dropping-particle":"Van Der","parse-names":false,"suffix":""},{"dropping-particle":"","family":"Mols","given":"Raf","non-dropping-particle":"","parse-names":false,"suffix":""},{"dropping-particle":"","family":"Ghesquiè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dropping-particle":"","family":"Ghesqui??re","given":"Bart","non-dropping-particle":"","parse-names":false,"suffix":""},{"dropping-particle":"","family":"Cirillo","given":"Carla","non-dropping-particle":"","parse-names":false,"suffix":""},{"dropping-particle":"","family":"Kortekaas","given":"Inge","non-dropping-particle":"","parse-names":false,"suffix":""},{"dropping-particle":"","family":"Carmeliet","given":"Peter","non-dropping-particle":"","parse-names":false,"suffix":""},{"dropping-particle":"","family":"Peetermans","given":"Willy E.","non-dropping-particle":"","parse-names":false,"suffix":""},{"dropping-particle":"","family":"Vermeire","given":"S??verine Séverine","non-dropping-particle":"","parse-names":false,"suffix":""},{"dropping-particle":"","family":"Rutgeerts","given":"Paul","non-dropping-particle":"","parse-names":false,"suffix":""},{"dropping-particle":"","family":"Augustijns","given":"Patrick","non-dropping-particle":"","parse-names":false,"suffix":""},{"dropping-particle":"","family":"Hellings","given":"Peter W.","non-dropping-particle":"","parse-names":false,"suffix":""},{"dropping-particle":"","family":"Belmans","given":"Ann","non-dropping-particle":"","parse-names":false,"suffix":""},{"dropping-particle":"","family":"Vanner","given":"Stephen","non-dropping-particle":"","parse-names":false,"suffix":""},{"dropping-particle":"","family":"Bulmer","given":"David C.","non-dropping-particle":"","parse-names":false,"suffix":""},{"dropping-particle":"","family":"Talavera","given":"Karel","non-dropping-particle":"","parse-names":false,"suffix":""},{"dropping-particle":"","family":"Berghe","given":"Pieter","non-dropping-particle":"Vanden","parse-names":false,"suffix":""},{"dropping-particle":"","family":"Liston","given":"Adrian","non-dropping-particle":"","parse-names":false,"suffix":""},{"dropping-particle":"","family":"Boeckxstaens","given":"Guy E.","non-dropping-particle":"","parse-names":false,"suffix":""}],"container-title":"Gastroenterology","id":"ITEM-1","issue":"4","issued":{"date-parts":[["2016"]]},"page":"875-887.e9","title":"Histamine Receptor H1-Mediated Sensitization of TRPV1 Mediates Visceral Hypersensitivity and Symptoms in Patients with Irritable Bowel Syndrome","type":"article-journal","volume":"150"},"uris":["http://www.mendeley.com/documents/?uuid=877088fd-6212-4474-952f-b2f94ca5f924"]}],"mendeley":{"formattedCitation":"&lt;sup&gt;39&lt;/sup&gt;","plainTextFormattedCitation":"39","previouslyFormattedCitation":"&lt;sup&gt;39&lt;/sup&gt;"},"properties":{"noteIndex":0},"schema":"https://github.com/citation-style-language/schema/raw/master/csl-citation.json"}</w:instrText>
      </w:r>
      <w:r w:rsidRPr="00BA6F83">
        <w:rPr>
          <w:rFonts w:cstheme="minorHAnsi"/>
          <w:color w:val="000000" w:themeColor="text1"/>
          <w:lang w:val="en-US"/>
        </w:rPr>
        <w:fldChar w:fldCharType="separate"/>
      </w:r>
      <w:r w:rsidR="007355CA" w:rsidRPr="007355CA">
        <w:rPr>
          <w:rFonts w:cstheme="minorHAnsi"/>
          <w:noProof/>
          <w:color w:val="000000" w:themeColor="text1"/>
          <w:vertAlign w:val="superscript"/>
          <w:lang w:val="en-US"/>
        </w:rPr>
        <w:t>39</w:t>
      </w:r>
      <w:r w:rsidRPr="00BA6F83">
        <w:rPr>
          <w:rFonts w:cstheme="minorHAnsi"/>
          <w:color w:val="000000" w:themeColor="text1"/>
          <w:lang w:val="en-US"/>
        </w:rPr>
        <w:fldChar w:fldCharType="end"/>
      </w:r>
      <w:r w:rsidRPr="00BA6F83">
        <w:rPr>
          <w:rFonts w:cstheme="minorHAnsi"/>
          <w:color w:val="000000" w:themeColor="text1"/>
          <w:lang w:val="en-US"/>
        </w:rPr>
        <w:t>. Following overnight incubation with colonic supernatants, neurons were</w:t>
      </w:r>
      <w:r w:rsidRPr="00BA6F83">
        <w:rPr>
          <w:color w:val="000000" w:themeColor="text1"/>
          <w:lang w:val="en-US"/>
        </w:rPr>
        <w:t xml:space="preserve"> </w:t>
      </w:r>
      <w:r w:rsidRPr="00BA6F83">
        <w:rPr>
          <w:rFonts w:cstheme="minorHAnsi"/>
          <w:color w:val="000000" w:themeColor="text1"/>
          <w:lang w:val="en-US"/>
        </w:rPr>
        <w:t>loaded with 2 µM Fura-2AM (Invitrogen) for 20 minutes at 37 °C. The baseline intracellular Ca</w:t>
      </w:r>
      <w:r w:rsidRPr="00BA6F83">
        <w:rPr>
          <w:rFonts w:cstheme="minorHAnsi"/>
          <w:color w:val="000000" w:themeColor="text1"/>
          <w:vertAlign w:val="superscript"/>
          <w:lang w:val="en-US"/>
        </w:rPr>
        <w:t>2+</w:t>
      </w:r>
      <w:r w:rsidRPr="00BA6F83">
        <w:rPr>
          <w:rFonts w:cstheme="minorHAnsi"/>
          <w:color w:val="000000" w:themeColor="text1"/>
          <w:lang w:val="en-US"/>
        </w:rPr>
        <w:t xml:space="preserve"> concentration was monitored for 120 s and neurons were perfused with 10 </w:t>
      </w:r>
      <w:proofErr w:type="spellStart"/>
      <w:r w:rsidRPr="00BA6F83">
        <w:rPr>
          <w:rFonts w:cstheme="minorHAnsi"/>
          <w:color w:val="000000" w:themeColor="text1"/>
          <w:lang w:val="en-US"/>
        </w:rPr>
        <w:t>nM</w:t>
      </w:r>
      <w:proofErr w:type="spellEnd"/>
      <w:r w:rsidRPr="00BA6F83">
        <w:rPr>
          <w:rFonts w:cstheme="minorHAnsi"/>
          <w:color w:val="000000" w:themeColor="text1"/>
          <w:lang w:val="en-US"/>
        </w:rPr>
        <w:t xml:space="preserve"> of </w:t>
      </w:r>
      <w:r w:rsidRPr="00963325">
        <w:rPr>
          <w:rFonts w:cstheme="minorHAnsi"/>
          <w:color w:val="000000" w:themeColor="text1"/>
          <w:lang w:val="en-US"/>
        </w:rPr>
        <w:t xml:space="preserve">the TRPV1 channel-agonist capsaicin (Sigma-Aldrich®) to evaluate neuron sensitization. Capsaicin (1 µM) was used to identify TRPV1-expressing neurons. Neurons were identified upon perfusion with of 45 mM </w:t>
      </w:r>
      <w:proofErr w:type="spellStart"/>
      <w:r w:rsidRPr="00963325">
        <w:rPr>
          <w:rFonts w:cstheme="minorHAnsi"/>
          <w:color w:val="000000" w:themeColor="text1"/>
          <w:lang w:val="en-US"/>
        </w:rPr>
        <w:t>K</w:t>
      </w:r>
      <w:r w:rsidRPr="00963325">
        <w:rPr>
          <w:rFonts w:cstheme="minorHAnsi"/>
          <w:color w:val="000000" w:themeColor="text1"/>
          <w:vertAlign w:val="superscript"/>
          <w:lang w:val="en-US"/>
        </w:rPr>
        <w:t>+</w:t>
      </w:r>
      <w:r w:rsidRPr="00963325">
        <w:rPr>
          <w:rFonts w:cstheme="minorHAnsi"/>
          <w:color w:val="000000" w:themeColor="text1"/>
          <w:lang w:val="en-US"/>
        </w:rPr>
        <w:t>Cl-supplemented</w:t>
      </w:r>
      <w:proofErr w:type="spellEnd"/>
      <w:r w:rsidRPr="00963325">
        <w:rPr>
          <w:rFonts w:cstheme="minorHAnsi"/>
          <w:color w:val="000000" w:themeColor="text1"/>
          <w:lang w:val="en-US"/>
        </w:rPr>
        <w:t xml:space="preserve"> Krebs. </w:t>
      </w:r>
      <w:r w:rsidR="0034733C" w:rsidRPr="00963325">
        <w:rPr>
          <w:rFonts w:eastAsia="Times New Roman" w:cstheme="minorHAnsi"/>
          <w:color w:val="000000" w:themeColor="text1"/>
          <w:shd w:val="clear" w:color="auto" w:fill="FFFFFF"/>
          <w:lang w:val="en-US"/>
        </w:rPr>
        <w:t xml:space="preserve">We previously performed (Wouters MM, et al., Gastroenterology. 2016) dose-response curves using 10, 30, and 100 </w:t>
      </w:r>
      <w:proofErr w:type="spellStart"/>
      <w:r w:rsidR="0034733C" w:rsidRPr="00963325">
        <w:rPr>
          <w:rFonts w:eastAsia="Times New Roman" w:cstheme="minorHAnsi"/>
          <w:color w:val="000000" w:themeColor="text1"/>
          <w:shd w:val="clear" w:color="auto" w:fill="FFFFFF"/>
          <w:lang w:val="en-US"/>
        </w:rPr>
        <w:t>nM</w:t>
      </w:r>
      <w:proofErr w:type="spellEnd"/>
      <w:r w:rsidR="0034733C" w:rsidRPr="00963325">
        <w:rPr>
          <w:rFonts w:eastAsia="Times New Roman" w:cstheme="minorHAnsi"/>
          <w:color w:val="000000" w:themeColor="text1"/>
          <w:shd w:val="clear" w:color="auto" w:fill="FFFFFF"/>
          <w:lang w:val="en-US"/>
        </w:rPr>
        <w:t xml:space="preserve"> capsaicin, in the presence or absence of </w:t>
      </w:r>
      <w:r w:rsidR="00716C72" w:rsidRPr="00963325">
        <w:rPr>
          <w:rFonts w:eastAsia="Times New Roman" w:cstheme="minorHAnsi"/>
          <w:color w:val="000000" w:themeColor="text1"/>
          <w:shd w:val="clear" w:color="auto" w:fill="FFFFFF"/>
          <w:lang w:val="en-US"/>
        </w:rPr>
        <w:t>10</w:t>
      </w:r>
      <w:r w:rsidR="0034733C" w:rsidRPr="00963325">
        <w:rPr>
          <w:rFonts w:eastAsia="Times New Roman" w:cstheme="minorHAnsi"/>
          <w:color w:val="000000" w:themeColor="text1"/>
          <w:shd w:val="clear" w:color="auto" w:fill="FFFFFF"/>
          <w:lang w:val="en-US"/>
        </w:rPr>
        <w:t xml:space="preserve"> </w:t>
      </w:r>
      <w:r w:rsidR="0034733C" w:rsidRPr="00963325">
        <w:rPr>
          <w:rFonts w:eastAsia="Times New Roman" w:cstheme="minorHAnsi"/>
          <w:color w:val="000000" w:themeColor="text1"/>
          <w:shd w:val="clear" w:color="auto" w:fill="FFFFFF"/>
        </w:rPr>
        <w:t>μ</w:t>
      </w:r>
      <w:r w:rsidR="0034733C" w:rsidRPr="00963325">
        <w:rPr>
          <w:rFonts w:eastAsia="Times New Roman" w:cstheme="minorHAnsi"/>
          <w:color w:val="000000" w:themeColor="text1"/>
          <w:shd w:val="clear" w:color="auto" w:fill="FFFFFF"/>
          <w:lang w:val="en-US"/>
        </w:rPr>
        <w:t xml:space="preserve">M histamine. Neurons responding to 10 </w:t>
      </w:r>
      <w:proofErr w:type="spellStart"/>
      <w:r w:rsidR="0034733C" w:rsidRPr="00963325">
        <w:rPr>
          <w:rFonts w:eastAsia="Times New Roman" w:cstheme="minorHAnsi"/>
          <w:color w:val="000000" w:themeColor="text1"/>
          <w:shd w:val="clear" w:color="auto" w:fill="FFFFFF"/>
          <w:lang w:val="en-US"/>
        </w:rPr>
        <w:t>nM</w:t>
      </w:r>
      <w:proofErr w:type="spellEnd"/>
      <w:r w:rsidR="0034733C" w:rsidRPr="00963325">
        <w:rPr>
          <w:rFonts w:eastAsia="Times New Roman" w:cstheme="minorHAnsi"/>
          <w:color w:val="000000" w:themeColor="text1"/>
          <w:shd w:val="clear" w:color="auto" w:fill="FFFFFF"/>
          <w:lang w:val="en-US"/>
        </w:rPr>
        <w:t xml:space="preserve"> capsaicin were more sensitized by histamine than neurons responding to 30 and 100 </w:t>
      </w:r>
      <w:proofErr w:type="spellStart"/>
      <w:r w:rsidR="0034733C" w:rsidRPr="00963325">
        <w:rPr>
          <w:rFonts w:eastAsia="Times New Roman" w:cstheme="minorHAnsi"/>
          <w:color w:val="000000" w:themeColor="text1"/>
          <w:shd w:val="clear" w:color="auto" w:fill="FFFFFF"/>
          <w:lang w:val="en-US"/>
        </w:rPr>
        <w:t>nM</w:t>
      </w:r>
      <w:proofErr w:type="spellEnd"/>
      <w:r w:rsidR="0034733C" w:rsidRPr="00963325">
        <w:rPr>
          <w:rFonts w:eastAsia="Times New Roman" w:cstheme="minorHAnsi"/>
          <w:color w:val="000000" w:themeColor="text1"/>
          <w:shd w:val="clear" w:color="auto" w:fill="FFFFFF"/>
          <w:lang w:val="en-US"/>
        </w:rPr>
        <w:t xml:space="preserve"> capsaicin</w:t>
      </w:r>
      <w:r w:rsidR="009B0C9B" w:rsidRPr="00963325">
        <w:rPr>
          <w:rFonts w:eastAsia="Times New Roman" w:cstheme="minorHAnsi"/>
          <w:color w:val="000000" w:themeColor="text1"/>
          <w:shd w:val="clear" w:color="auto" w:fill="FFFFFF"/>
          <w:lang w:val="en-US"/>
        </w:rPr>
        <w:t>, therefore, the first concentration was chosen for our experiments</w:t>
      </w:r>
      <w:r w:rsidR="0034733C" w:rsidRPr="00963325">
        <w:rPr>
          <w:rFonts w:eastAsia="Times New Roman" w:cstheme="minorHAnsi"/>
          <w:color w:val="000000" w:themeColor="text1"/>
          <w:shd w:val="clear" w:color="auto" w:fill="FFFFFF"/>
          <w:lang w:val="en-US"/>
        </w:rPr>
        <w:t>.</w:t>
      </w:r>
      <w:r w:rsidR="009B0C9B" w:rsidRPr="00963325">
        <w:rPr>
          <w:rFonts w:eastAsia="Times New Roman" w:cstheme="minorHAnsi"/>
          <w:color w:val="000000" w:themeColor="text1"/>
          <w:shd w:val="clear" w:color="auto" w:fill="FFFFFF"/>
          <w:lang w:val="en-US"/>
        </w:rPr>
        <w:t xml:space="preserve"> </w:t>
      </w:r>
      <w:r w:rsidRPr="00963325">
        <w:rPr>
          <w:rFonts w:cstheme="minorHAnsi"/>
          <w:color w:val="000000" w:themeColor="text1"/>
          <w:lang w:val="en-US"/>
        </w:rPr>
        <w:t xml:space="preserve">The role of </w:t>
      </w:r>
      <w:r w:rsidRPr="00963325">
        <w:rPr>
          <w:rFonts w:asciiTheme="minorHAnsi" w:hAnsiTheme="minorHAnsi"/>
          <w:color w:val="000000" w:themeColor="text1"/>
          <w:lang w:val="en-US"/>
        </w:rPr>
        <w:t>H</w:t>
      </w:r>
      <w:r w:rsidRPr="00963325">
        <w:rPr>
          <w:rFonts w:asciiTheme="minorHAnsi" w:hAnsiTheme="minorHAnsi"/>
          <w:color w:val="000000" w:themeColor="text1"/>
          <w:vertAlign w:val="subscript"/>
          <w:lang w:val="en-US"/>
        </w:rPr>
        <w:t>1</w:t>
      </w:r>
      <w:r w:rsidRPr="00963325">
        <w:rPr>
          <w:rFonts w:asciiTheme="minorHAnsi" w:hAnsiTheme="minorHAnsi"/>
          <w:color w:val="000000" w:themeColor="text1"/>
          <w:lang w:val="en-US"/>
        </w:rPr>
        <w:t>R</w:t>
      </w:r>
      <w:r w:rsidRPr="00963325">
        <w:rPr>
          <w:rFonts w:cstheme="minorHAnsi"/>
          <w:color w:val="000000" w:themeColor="text1"/>
          <w:lang w:val="en-US"/>
        </w:rPr>
        <w:t xml:space="preserve"> receptor was evaluated using pyrilamine </w:t>
      </w:r>
      <w:r w:rsidRPr="00BA6F83">
        <w:rPr>
          <w:rFonts w:cstheme="minorHAnsi"/>
          <w:color w:val="000000" w:themeColor="text1"/>
          <w:lang w:val="en-US"/>
        </w:rPr>
        <w:t xml:space="preserve">(1 </w:t>
      </w:r>
      <w:proofErr w:type="spellStart"/>
      <w:r w:rsidRPr="00BA6F83">
        <w:rPr>
          <w:rFonts w:cstheme="minorHAnsi"/>
          <w:color w:val="000000" w:themeColor="text1"/>
          <w:lang w:val="en-US"/>
        </w:rPr>
        <w:t>μM</w:t>
      </w:r>
      <w:proofErr w:type="spellEnd"/>
      <w:r w:rsidRPr="00BA6F83">
        <w:rPr>
          <w:rFonts w:cstheme="minorHAnsi"/>
          <w:color w:val="000000" w:themeColor="text1"/>
          <w:lang w:val="en-US"/>
        </w:rPr>
        <w:t xml:space="preserve">). Pyrilamine was applied to neurons 1 h prior to application of colonic supernatant and was present throughout the incubation with </w:t>
      </w:r>
      <w:r w:rsidRPr="00BA6F83">
        <w:rPr>
          <w:rFonts w:cstheme="minorHAnsi"/>
          <w:color w:val="000000" w:themeColor="text1"/>
          <w:lang w:val="en-US"/>
        </w:rPr>
        <w:lastRenderedPageBreak/>
        <w:t xml:space="preserve">colonic supernatants. </w:t>
      </w:r>
      <w:r w:rsidRPr="00325809">
        <w:rPr>
          <w:rFonts w:cstheme="minorHAnsi"/>
          <w:color w:val="000000" w:themeColor="text1"/>
          <w:lang w:val="en-US"/>
        </w:rPr>
        <w:t xml:space="preserve">The percentage of neurons responding to 10 </w:t>
      </w:r>
      <w:proofErr w:type="spellStart"/>
      <w:r w:rsidRPr="00325809">
        <w:rPr>
          <w:rFonts w:cstheme="minorHAnsi"/>
          <w:color w:val="000000" w:themeColor="text1"/>
          <w:lang w:val="en-US"/>
        </w:rPr>
        <w:t>nM</w:t>
      </w:r>
      <w:proofErr w:type="spellEnd"/>
      <w:r w:rsidRPr="00325809">
        <w:rPr>
          <w:rFonts w:cstheme="minorHAnsi"/>
          <w:color w:val="000000" w:themeColor="text1"/>
          <w:lang w:val="en-US"/>
        </w:rPr>
        <w:t xml:space="preserve"> of capsaicin was calculated among the total amount of neurons recorded</w:t>
      </w:r>
      <w:r>
        <w:rPr>
          <w:rFonts w:cstheme="minorHAnsi"/>
          <w:color w:val="000000" w:themeColor="text1"/>
          <w:lang w:val="en-US"/>
        </w:rPr>
        <w:t>.</w:t>
      </w:r>
    </w:p>
    <w:p w14:paraId="2CF132E5" w14:textId="77777777" w:rsidR="00CE2959" w:rsidRPr="00BA6F83" w:rsidRDefault="00CE2959" w:rsidP="00CE2959">
      <w:pPr>
        <w:spacing w:after="120" w:line="480" w:lineRule="auto"/>
        <w:jc w:val="both"/>
        <w:rPr>
          <w:rFonts w:cstheme="minorHAnsi"/>
          <w:i/>
          <w:color w:val="000000" w:themeColor="text1"/>
          <w:lang w:val="en-US"/>
        </w:rPr>
      </w:pPr>
    </w:p>
    <w:p w14:paraId="3C3A4632"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Colonic tissue homogenates:</w:t>
      </w:r>
    </w:p>
    <w:p w14:paraId="22A3BF30"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Immediately after sacrifice, mouse colonic</w:t>
      </w:r>
      <w:r>
        <w:rPr>
          <w:rFonts w:cstheme="minorHAnsi"/>
          <w:color w:val="000000" w:themeColor="text1"/>
          <w:lang w:val="en-US"/>
        </w:rPr>
        <w:t xml:space="preserve"> and small intestine</w:t>
      </w:r>
      <w:r w:rsidRPr="00BA6F83">
        <w:rPr>
          <w:rFonts w:cstheme="minorHAnsi"/>
          <w:color w:val="000000" w:themeColor="text1"/>
          <w:lang w:val="en-US"/>
        </w:rPr>
        <w:t xml:space="preserve"> tissues were snap frozen upon collection and kept frozen while being mechanically disrupted using a </w:t>
      </w:r>
      <w:proofErr w:type="spellStart"/>
      <w:r w:rsidRPr="00BA6F83">
        <w:rPr>
          <w:rFonts w:cstheme="minorHAnsi"/>
          <w:color w:val="000000" w:themeColor="text1"/>
          <w:lang w:val="en-US"/>
        </w:rPr>
        <w:t>TissueLyser</w:t>
      </w:r>
      <w:proofErr w:type="spellEnd"/>
      <w:r w:rsidRPr="00BA6F83">
        <w:rPr>
          <w:rFonts w:cstheme="minorHAnsi"/>
          <w:color w:val="000000" w:themeColor="text1"/>
          <w:lang w:val="en-US"/>
        </w:rPr>
        <w:t xml:space="preserve"> II (Qiagen). Disrupted tissues were suspended (10% w/v) in 0.9% NaCl solution containing Protease Inhibitor Tablets (Compete, Roche Diagnostics). After homogenization by vortex, samples were centrifuged and supernatants were collected and stored at -80°C until use.</w:t>
      </w:r>
    </w:p>
    <w:p w14:paraId="7EEA51CD" w14:textId="77777777" w:rsidR="00CE2959" w:rsidRDefault="00CE2959" w:rsidP="00CE2959">
      <w:pPr>
        <w:spacing w:after="120" w:line="480" w:lineRule="auto"/>
        <w:jc w:val="both"/>
        <w:rPr>
          <w:rFonts w:cstheme="minorHAnsi"/>
          <w:i/>
          <w:color w:val="000000" w:themeColor="text1"/>
          <w:lang w:val="en-US"/>
        </w:rPr>
      </w:pPr>
    </w:p>
    <w:p w14:paraId="7E511C9B" w14:textId="77777777" w:rsidR="00CE2959" w:rsidRPr="00BA6F83" w:rsidRDefault="00CE2959" w:rsidP="00CE2959">
      <w:pPr>
        <w:spacing w:after="120" w:line="480" w:lineRule="auto"/>
        <w:jc w:val="both"/>
        <w:rPr>
          <w:rFonts w:cstheme="minorHAnsi"/>
          <w:i/>
          <w:color w:val="000000" w:themeColor="text1"/>
          <w:lang w:val="en-US"/>
        </w:rPr>
      </w:pPr>
      <w:r w:rsidRPr="00BA6F83">
        <w:rPr>
          <w:rFonts w:cstheme="minorHAnsi"/>
          <w:i/>
          <w:color w:val="000000" w:themeColor="text1"/>
          <w:lang w:val="en-US"/>
        </w:rPr>
        <w:t>DNA extraction from fecal samples:</w:t>
      </w:r>
    </w:p>
    <w:p w14:paraId="08C35F52" w14:textId="77777777" w:rsidR="00CE2959" w:rsidRPr="00BA6F83"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 xml:space="preserve">Fecal samples (200 mg) were incubated in Brain Heart Infusion broth (Sigma-Aldrich®) for 24 h shaking at 37°C and DNA was extracted using a commercial kit. Thereafter, bacterial DNA was extracted following manufacturers’ instructions (Genomic DNA extraction from tissue kit, </w:t>
      </w:r>
      <w:proofErr w:type="spellStart"/>
      <w:r w:rsidRPr="00BA6F83">
        <w:rPr>
          <w:rFonts w:cstheme="minorHAnsi"/>
          <w:color w:val="000000" w:themeColor="text1"/>
          <w:lang w:val="en-US"/>
        </w:rPr>
        <w:t>Macherey</w:t>
      </w:r>
      <w:proofErr w:type="spellEnd"/>
      <w:r w:rsidRPr="00BA6F83">
        <w:rPr>
          <w:rFonts w:cstheme="minorHAnsi"/>
          <w:color w:val="000000" w:themeColor="text1"/>
          <w:lang w:val="en-US"/>
        </w:rPr>
        <w:t>-Nagel) adapted to the Support Protocol for hard-to-hard bacteria.</w:t>
      </w:r>
    </w:p>
    <w:p w14:paraId="4A2C8DC0" w14:textId="77777777" w:rsidR="00CE2959" w:rsidRPr="00BA6F83" w:rsidRDefault="00CE2959" w:rsidP="00CE2959">
      <w:pPr>
        <w:spacing w:after="120" w:line="480" w:lineRule="auto"/>
        <w:jc w:val="both"/>
        <w:rPr>
          <w:rFonts w:cstheme="minorHAnsi"/>
          <w:color w:val="000000" w:themeColor="text1"/>
          <w:lang w:val="en-US"/>
        </w:rPr>
      </w:pPr>
      <w:proofErr w:type="spellStart"/>
      <w:r w:rsidRPr="00BA6F83">
        <w:rPr>
          <w:rFonts w:cstheme="minorHAnsi"/>
          <w:color w:val="000000" w:themeColor="text1"/>
          <w:lang w:val="en-US"/>
        </w:rPr>
        <w:t>SAgs</w:t>
      </w:r>
      <w:proofErr w:type="spellEnd"/>
      <w:r w:rsidRPr="00BA6F83">
        <w:rPr>
          <w:rFonts w:cstheme="minorHAnsi"/>
          <w:color w:val="000000" w:themeColor="text1"/>
          <w:lang w:val="en-US"/>
        </w:rPr>
        <w:t xml:space="preserve">-positive </w:t>
      </w:r>
      <w:r w:rsidRPr="00BA6F83">
        <w:rPr>
          <w:rFonts w:cstheme="minorHAnsi"/>
          <w:i/>
          <w:color w:val="000000" w:themeColor="text1"/>
          <w:lang w:val="en-US"/>
        </w:rPr>
        <w:t>Staphylococcus aureus</w:t>
      </w:r>
      <w:r w:rsidRPr="00BA6F83">
        <w:rPr>
          <w:rFonts w:cstheme="minorHAnsi"/>
          <w:color w:val="000000" w:themeColor="text1"/>
          <w:lang w:val="en-US"/>
        </w:rPr>
        <w:t xml:space="preserve"> strains, used as positive controls, were kindly provided by the National Reference Centre (NRC) for </w:t>
      </w:r>
      <w:r w:rsidRPr="00BA6F83">
        <w:rPr>
          <w:rFonts w:cstheme="minorHAnsi"/>
          <w:i/>
          <w:color w:val="000000" w:themeColor="text1"/>
          <w:lang w:val="en-US"/>
        </w:rPr>
        <w:t>Staphylococcus</w:t>
      </w:r>
      <w:r w:rsidRPr="00BA6F83">
        <w:rPr>
          <w:rFonts w:cstheme="minorHAnsi"/>
          <w:color w:val="000000" w:themeColor="text1"/>
          <w:lang w:val="en-US"/>
        </w:rPr>
        <w:t xml:space="preserve"> </w:t>
      </w:r>
      <w:r w:rsidRPr="00BA6F83">
        <w:rPr>
          <w:rFonts w:cstheme="minorHAnsi"/>
          <w:i/>
          <w:color w:val="000000" w:themeColor="text1"/>
          <w:lang w:val="en-US"/>
        </w:rPr>
        <w:t>aureus</w:t>
      </w:r>
      <w:r w:rsidRPr="00BA6F83">
        <w:rPr>
          <w:rFonts w:cstheme="minorHAnsi"/>
          <w:color w:val="000000" w:themeColor="text1"/>
          <w:lang w:val="en-US"/>
        </w:rPr>
        <w:t xml:space="preserve"> of </w:t>
      </w:r>
      <w:proofErr w:type="spellStart"/>
      <w:r w:rsidRPr="00BA6F83">
        <w:rPr>
          <w:rFonts w:cstheme="minorHAnsi"/>
          <w:color w:val="000000" w:themeColor="text1"/>
          <w:lang w:val="en-US"/>
        </w:rPr>
        <w:t>Université</w:t>
      </w:r>
      <w:proofErr w:type="spellEnd"/>
      <w:r w:rsidRPr="00BA6F83">
        <w:rPr>
          <w:rFonts w:cstheme="minorHAnsi"/>
          <w:color w:val="000000" w:themeColor="text1"/>
          <w:lang w:val="en-US"/>
        </w:rPr>
        <w:t xml:space="preserve"> Libre de </w:t>
      </w:r>
      <w:proofErr w:type="spellStart"/>
      <w:r w:rsidRPr="00BA6F83">
        <w:rPr>
          <w:rFonts w:cstheme="minorHAnsi"/>
          <w:color w:val="000000" w:themeColor="text1"/>
          <w:lang w:val="en-US"/>
        </w:rPr>
        <w:t>Bruxelles</w:t>
      </w:r>
      <w:proofErr w:type="spellEnd"/>
      <w:r w:rsidRPr="00BA6F83">
        <w:rPr>
          <w:rFonts w:cstheme="minorHAnsi"/>
          <w:color w:val="000000" w:themeColor="text1"/>
          <w:lang w:val="en-US"/>
        </w:rPr>
        <w:t xml:space="preserve"> (ULB) (Belgium).</w:t>
      </w:r>
    </w:p>
    <w:p w14:paraId="2A46EB19" w14:textId="77777777" w:rsidR="00CE2959" w:rsidRPr="00BA6F83" w:rsidRDefault="00CE2959" w:rsidP="00CE2959">
      <w:pPr>
        <w:spacing w:after="120" w:line="480" w:lineRule="auto"/>
        <w:jc w:val="both"/>
        <w:rPr>
          <w:rFonts w:cstheme="minorHAnsi"/>
          <w:i/>
          <w:color w:val="000000" w:themeColor="text1"/>
          <w:lang w:val="en-US"/>
        </w:rPr>
      </w:pPr>
    </w:p>
    <w:p w14:paraId="7DB5EA95" w14:textId="60D0FB92" w:rsidR="00CE2959" w:rsidRPr="00BA6F83" w:rsidRDefault="00CE2959" w:rsidP="00CE2959">
      <w:pPr>
        <w:spacing w:after="120" w:line="480" w:lineRule="auto"/>
        <w:jc w:val="both"/>
        <w:rPr>
          <w:rFonts w:asciiTheme="minorHAnsi" w:hAnsiTheme="minorHAnsi" w:cstheme="minorHAnsi"/>
          <w:i/>
          <w:color w:val="000000" w:themeColor="text1"/>
          <w:lang w:val="en-US"/>
        </w:rPr>
      </w:pPr>
      <w:r w:rsidRPr="00BA6F83">
        <w:rPr>
          <w:rFonts w:asciiTheme="minorHAnsi" w:hAnsiTheme="minorHAnsi" w:cstheme="minorHAnsi"/>
          <w:i/>
          <w:color w:val="000000" w:themeColor="text1"/>
          <w:lang w:val="en-US"/>
        </w:rPr>
        <w:t>Immunofluorescence staining</w:t>
      </w:r>
      <w:r w:rsidR="00C0781B">
        <w:rPr>
          <w:rFonts w:asciiTheme="minorHAnsi" w:hAnsiTheme="minorHAnsi" w:cstheme="minorHAnsi"/>
          <w:i/>
          <w:color w:val="000000" w:themeColor="text1"/>
          <w:lang w:val="en-US"/>
        </w:rPr>
        <w:t>,</w:t>
      </w:r>
      <w:r w:rsidRPr="00BA6F83">
        <w:rPr>
          <w:rFonts w:asciiTheme="minorHAnsi" w:hAnsiTheme="minorHAnsi" w:cstheme="minorHAnsi"/>
          <w:i/>
          <w:color w:val="000000" w:themeColor="text1"/>
          <w:lang w:val="en-US"/>
        </w:rPr>
        <w:t xml:space="preserve"> total corrected cell fluorescence </w:t>
      </w:r>
      <w:r w:rsidR="00C0781B">
        <w:rPr>
          <w:rFonts w:asciiTheme="minorHAnsi" w:hAnsiTheme="minorHAnsi" w:cstheme="minorHAnsi"/>
          <w:i/>
          <w:color w:val="000000" w:themeColor="text1"/>
          <w:lang w:val="en-US"/>
        </w:rPr>
        <w:t xml:space="preserve">and cell distance </w:t>
      </w:r>
      <w:r w:rsidRPr="00BA6F83">
        <w:rPr>
          <w:rFonts w:asciiTheme="minorHAnsi" w:hAnsiTheme="minorHAnsi" w:cstheme="minorHAnsi"/>
          <w:i/>
          <w:color w:val="000000" w:themeColor="text1"/>
          <w:lang w:val="en-US"/>
        </w:rPr>
        <w:t>analys</w:t>
      </w:r>
      <w:r w:rsidR="00C0781B">
        <w:rPr>
          <w:rFonts w:asciiTheme="minorHAnsi" w:hAnsiTheme="minorHAnsi" w:cstheme="minorHAnsi"/>
          <w:i/>
          <w:color w:val="000000" w:themeColor="text1"/>
          <w:lang w:val="en-US"/>
        </w:rPr>
        <w:t>e</w:t>
      </w:r>
      <w:r w:rsidRPr="00BA6F83">
        <w:rPr>
          <w:rFonts w:asciiTheme="minorHAnsi" w:hAnsiTheme="minorHAnsi" w:cstheme="minorHAnsi"/>
          <w:i/>
          <w:color w:val="000000" w:themeColor="text1"/>
          <w:lang w:val="en-US"/>
        </w:rPr>
        <w:t>s in human samples</w:t>
      </w:r>
    </w:p>
    <w:p w14:paraId="46F5416D" w14:textId="5DCC206C" w:rsidR="00CE2959" w:rsidRPr="00BA6F83" w:rsidRDefault="00CE2959" w:rsidP="00CE2959">
      <w:pPr>
        <w:spacing w:after="120" w:line="480" w:lineRule="auto"/>
        <w:jc w:val="both"/>
        <w:rPr>
          <w:rFonts w:asciiTheme="minorHAnsi" w:hAnsiTheme="minorHAnsi" w:cstheme="minorHAnsi"/>
          <w:color w:val="000000" w:themeColor="text1"/>
          <w:lang w:val="en-US"/>
        </w:rPr>
      </w:pPr>
      <w:r w:rsidRPr="00BA6F83">
        <w:rPr>
          <w:rFonts w:asciiTheme="minorHAnsi" w:hAnsiTheme="minorHAnsi" w:cstheme="minorHAnsi"/>
          <w:color w:val="000000" w:themeColor="text1"/>
          <w:lang w:val="en-US"/>
        </w:rPr>
        <w:lastRenderedPageBreak/>
        <w:t>For immunostaining, biopsies were fixed in 4% PFA, then</w:t>
      </w:r>
      <w:r w:rsidRPr="00BA6F83">
        <w:rPr>
          <w:color w:val="000000" w:themeColor="text1"/>
          <w:lang w:val="en-US"/>
        </w:rPr>
        <w:t xml:space="preserve"> </w:t>
      </w:r>
      <w:r w:rsidRPr="00BA6F83">
        <w:rPr>
          <w:rFonts w:asciiTheme="minorHAnsi" w:hAnsiTheme="minorHAnsi" w:cstheme="minorHAnsi"/>
          <w:color w:val="000000" w:themeColor="text1"/>
          <w:lang w:val="en-US"/>
        </w:rPr>
        <w:t xml:space="preserve">transferred to sucrose (0.3 g/mL) and subsequently embedded in OCT-compound and stored at -80 °C. Cryosections (5 </w:t>
      </w:r>
      <w:proofErr w:type="spellStart"/>
      <w:r w:rsidRPr="00BA6F83">
        <w:rPr>
          <w:rFonts w:asciiTheme="minorHAnsi" w:hAnsiTheme="minorHAnsi" w:cstheme="minorHAnsi"/>
          <w:color w:val="000000" w:themeColor="text1"/>
          <w:lang w:val="en-US"/>
        </w:rPr>
        <w:t>μm</w:t>
      </w:r>
      <w:proofErr w:type="spellEnd"/>
      <w:r w:rsidRPr="00BA6F83">
        <w:rPr>
          <w:rFonts w:asciiTheme="minorHAnsi" w:hAnsiTheme="minorHAnsi" w:cstheme="minorHAnsi"/>
          <w:color w:val="000000" w:themeColor="text1"/>
          <w:lang w:val="en-US"/>
        </w:rPr>
        <w:t>) were incubated with 1% BSA in PBS for 1h at room temperature, followed by overnight incubation with the primary antibody at 4 °C. Primary antibodies were prepared in PBS containing 0.3% Triton-X and used to stain mast cells (1:500 anti-CD117 K963, IBL, USA)</w:t>
      </w:r>
      <w:r w:rsidR="00C0781B">
        <w:rPr>
          <w:rFonts w:asciiTheme="minorHAnsi" w:hAnsiTheme="minorHAnsi" w:cstheme="minorHAnsi"/>
          <w:color w:val="000000" w:themeColor="text1"/>
          <w:lang w:val="en-US"/>
        </w:rPr>
        <w:t>,</w:t>
      </w:r>
      <w:r w:rsidRPr="00BA6F83">
        <w:rPr>
          <w:rFonts w:asciiTheme="minorHAnsi" w:hAnsiTheme="minorHAnsi" w:cstheme="minorHAnsi"/>
          <w:color w:val="000000" w:themeColor="text1"/>
          <w:lang w:val="en-US"/>
        </w:rPr>
        <w:t xml:space="preserve"> </w:t>
      </w:r>
      <w:r w:rsidR="00C0781B" w:rsidRPr="00C0781B">
        <w:rPr>
          <w:rFonts w:asciiTheme="minorHAnsi" w:hAnsiTheme="minorHAnsi" w:cstheme="minorHAnsi"/>
          <w:color w:val="000000" w:themeColor="text1"/>
          <w:lang w:val="en-US"/>
        </w:rPr>
        <w:t>mast cells (1:500 rabbit anti-CD117 K963, IBL, USA)</w:t>
      </w:r>
      <w:r w:rsidR="00C0781B">
        <w:rPr>
          <w:rFonts w:asciiTheme="minorHAnsi" w:hAnsiTheme="minorHAnsi" w:cstheme="minorHAnsi"/>
          <w:color w:val="000000" w:themeColor="text1"/>
          <w:lang w:val="en-US"/>
        </w:rPr>
        <w:t xml:space="preserve">, </w:t>
      </w:r>
      <w:proofErr w:type="spellStart"/>
      <w:r w:rsidRPr="00BA6F83">
        <w:rPr>
          <w:rFonts w:asciiTheme="minorHAnsi" w:hAnsiTheme="minorHAnsi" w:cstheme="minorHAnsi"/>
          <w:color w:val="000000" w:themeColor="text1"/>
          <w:lang w:val="en-US"/>
        </w:rPr>
        <w:t>IgE</w:t>
      </w:r>
      <w:proofErr w:type="spellEnd"/>
      <w:r w:rsidRPr="00BA6F83">
        <w:rPr>
          <w:rFonts w:asciiTheme="minorHAnsi" w:hAnsiTheme="minorHAnsi" w:cstheme="minorHAnsi"/>
          <w:color w:val="000000" w:themeColor="text1"/>
          <w:lang w:val="en-US"/>
        </w:rPr>
        <w:t xml:space="preserve"> (1:250 mouse anti-human MHE-18, </w:t>
      </w:r>
      <w:proofErr w:type="spellStart"/>
      <w:r w:rsidRPr="00BA6F83">
        <w:rPr>
          <w:rFonts w:asciiTheme="minorHAnsi" w:hAnsiTheme="minorHAnsi" w:cstheme="minorHAnsi"/>
          <w:color w:val="000000" w:themeColor="text1"/>
          <w:lang w:val="en-US"/>
        </w:rPr>
        <w:t>BioLegend</w:t>
      </w:r>
      <w:proofErr w:type="spellEnd"/>
      <w:r w:rsidRPr="00BA6F83">
        <w:rPr>
          <w:rFonts w:asciiTheme="minorHAnsi" w:hAnsiTheme="minorHAnsi" w:cstheme="minorHAnsi"/>
          <w:color w:val="000000" w:themeColor="text1"/>
          <w:lang w:val="en-US"/>
        </w:rPr>
        <w:t>, Fell, Germany)</w:t>
      </w:r>
      <w:r w:rsidR="00C0781B">
        <w:rPr>
          <w:rFonts w:asciiTheme="minorHAnsi" w:hAnsiTheme="minorHAnsi" w:cstheme="minorHAnsi"/>
          <w:color w:val="000000" w:themeColor="text1"/>
          <w:lang w:val="en-US"/>
        </w:rPr>
        <w:t xml:space="preserve"> and </w:t>
      </w:r>
      <w:r w:rsidR="00C0781B" w:rsidRPr="00C0781B">
        <w:rPr>
          <w:rFonts w:asciiTheme="minorHAnsi" w:hAnsiTheme="minorHAnsi" w:cstheme="minorHAnsi"/>
          <w:color w:val="000000" w:themeColor="text1"/>
          <w:lang w:val="en-US"/>
        </w:rPr>
        <w:t>nerve fibers (1:500 chicken anti-beta III tubulin, Abcam, UK)</w:t>
      </w:r>
      <w:r w:rsidRPr="00BA6F83">
        <w:rPr>
          <w:rFonts w:asciiTheme="minorHAnsi" w:hAnsiTheme="minorHAnsi" w:cstheme="minorHAnsi"/>
          <w:color w:val="000000" w:themeColor="text1"/>
          <w:lang w:val="en-US"/>
        </w:rPr>
        <w:t xml:space="preserve">. After washing, sections were incubated with fluorescent secondary antibodies (2h in the dark at room temperature). Secondary antibodies (Jackson </w:t>
      </w:r>
      <w:proofErr w:type="spellStart"/>
      <w:r w:rsidRPr="00BA6F83">
        <w:rPr>
          <w:rFonts w:asciiTheme="minorHAnsi" w:hAnsiTheme="minorHAnsi" w:cstheme="minorHAnsi"/>
          <w:color w:val="000000" w:themeColor="text1"/>
          <w:lang w:val="en-US"/>
        </w:rPr>
        <w:t>ImmunoResearch</w:t>
      </w:r>
      <w:proofErr w:type="spellEnd"/>
      <w:r w:rsidRPr="00BA6F83">
        <w:rPr>
          <w:rFonts w:asciiTheme="minorHAnsi" w:hAnsiTheme="minorHAnsi" w:cstheme="minorHAnsi"/>
          <w:color w:val="000000" w:themeColor="text1"/>
          <w:lang w:val="en-US"/>
        </w:rPr>
        <w:t>) included Cy3 donkey anti-rabbit (1:500), Cy5 donkey anti-mouse (1:500)</w:t>
      </w:r>
      <w:r w:rsidR="00C0781B">
        <w:rPr>
          <w:rFonts w:asciiTheme="minorHAnsi" w:hAnsiTheme="minorHAnsi" w:cstheme="minorHAnsi"/>
          <w:color w:val="000000" w:themeColor="text1"/>
          <w:lang w:val="en-US"/>
        </w:rPr>
        <w:t xml:space="preserve"> [for immunofluorescence intensity evaluation] and</w:t>
      </w:r>
      <w:r w:rsidR="00C0781B" w:rsidRPr="00C0781B">
        <w:rPr>
          <w:rFonts w:cs="Calibri"/>
          <w:color w:val="000000"/>
          <w:kern w:val="24"/>
          <w:lang w:val="en-US"/>
        </w:rPr>
        <w:t xml:space="preserve"> </w:t>
      </w:r>
      <w:r w:rsidR="00C0781B" w:rsidRPr="00C0781B">
        <w:rPr>
          <w:rFonts w:asciiTheme="minorHAnsi" w:hAnsiTheme="minorHAnsi" w:cstheme="minorHAnsi"/>
          <w:color w:val="000000" w:themeColor="text1"/>
          <w:lang w:val="en-US"/>
        </w:rPr>
        <w:t>Cy3 donkey anti-chicken (1:300), Cy5 donkey anti-rabbit (1:500), A488 donkey anti mouse (1:500)</w:t>
      </w:r>
      <w:r w:rsidR="00C0781B">
        <w:rPr>
          <w:rFonts w:asciiTheme="minorHAnsi" w:hAnsiTheme="minorHAnsi" w:cstheme="minorHAnsi"/>
          <w:color w:val="000000" w:themeColor="text1"/>
          <w:lang w:val="en-US"/>
        </w:rPr>
        <w:t xml:space="preserve"> [for distance evaluation between </w:t>
      </w:r>
      <w:proofErr w:type="spellStart"/>
      <w:r w:rsidR="00C0781B">
        <w:rPr>
          <w:rFonts w:asciiTheme="minorHAnsi" w:hAnsiTheme="minorHAnsi" w:cstheme="minorHAnsi"/>
          <w:color w:val="000000" w:themeColor="text1"/>
          <w:lang w:val="en-US"/>
        </w:rPr>
        <w:t>IgE</w:t>
      </w:r>
      <w:proofErr w:type="spellEnd"/>
      <w:r w:rsidR="00C0781B">
        <w:rPr>
          <w:rFonts w:asciiTheme="minorHAnsi" w:hAnsiTheme="minorHAnsi" w:cstheme="minorHAnsi"/>
          <w:color w:val="000000" w:themeColor="text1"/>
          <w:lang w:val="en-US"/>
        </w:rPr>
        <w:t>+ MC and nerve fibers]</w:t>
      </w:r>
      <w:r w:rsidRPr="00BA6F83">
        <w:rPr>
          <w:rFonts w:asciiTheme="minorHAnsi" w:hAnsiTheme="minorHAnsi" w:cstheme="minorHAnsi"/>
          <w:color w:val="000000" w:themeColor="text1"/>
          <w:lang w:val="en-US"/>
        </w:rPr>
        <w:t xml:space="preserve">. Sections were mounted in </w:t>
      </w:r>
      <w:proofErr w:type="spellStart"/>
      <w:r w:rsidRPr="00BA6F83">
        <w:rPr>
          <w:rFonts w:asciiTheme="minorHAnsi" w:hAnsiTheme="minorHAnsi" w:cstheme="minorHAnsi"/>
          <w:color w:val="000000" w:themeColor="text1"/>
          <w:lang w:val="en-US"/>
        </w:rPr>
        <w:t>SlowFade</w:t>
      </w:r>
      <w:proofErr w:type="spellEnd"/>
      <w:r w:rsidRPr="00BA6F83">
        <w:rPr>
          <w:rFonts w:asciiTheme="minorHAnsi" w:hAnsiTheme="minorHAnsi" w:cstheme="minorHAnsi"/>
          <w:color w:val="000000" w:themeColor="text1"/>
          <w:lang w:val="en-US"/>
        </w:rPr>
        <w:t xml:space="preserve">® Gold (Life Technologies Europe B.V., Gent, Belgium) with DAPI. A negative control, absence of primary antibody, was carried out for every subject to ensure antibody specificity. For image acquisition, the field of interest was selected randomly based on DAPI staining and 5-6 Z stacks per section with a step-size of 1.07 um were acquired for three channels (DAPI, Cy3 and Cy5) using a 40X oil immersion lens under a confocal microscope (Zeiss LSM 880 – </w:t>
      </w:r>
      <w:proofErr w:type="spellStart"/>
      <w:r w:rsidRPr="00BA6F83">
        <w:rPr>
          <w:rFonts w:asciiTheme="minorHAnsi" w:hAnsiTheme="minorHAnsi" w:cstheme="minorHAnsi"/>
          <w:color w:val="000000" w:themeColor="text1"/>
          <w:lang w:val="en-US"/>
        </w:rPr>
        <w:t>Airyscan</w:t>
      </w:r>
      <w:proofErr w:type="spellEnd"/>
      <w:r w:rsidRPr="00BA6F83">
        <w:rPr>
          <w:rFonts w:asciiTheme="minorHAnsi" w:hAnsiTheme="minorHAnsi" w:cstheme="minorHAnsi"/>
          <w:color w:val="000000" w:themeColor="text1"/>
          <w:lang w:val="en-US"/>
        </w:rPr>
        <w:t>, Belgium). All images were acquired using the same settings using</w:t>
      </w:r>
      <w:r w:rsidRPr="00BA6F83">
        <w:rPr>
          <w:color w:val="000000" w:themeColor="text1"/>
          <w:lang w:val="en-US"/>
        </w:rPr>
        <w:t xml:space="preserve"> </w:t>
      </w:r>
      <w:r w:rsidRPr="00BA6F83">
        <w:rPr>
          <w:rFonts w:asciiTheme="minorHAnsi" w:hAnsiTheme="minorHAnsi" w:cstheme="minorHAnsi"/>
          <w:color w:val="000000" w:themeColor="text1"/>
          <w:lang w:val="en-US"/>
        </w:rPr>
        <w:t xml:space="preserve">Zen Black 2.3 SP1 software. For fluorescence intensity analysis, Z stacks were processed (ImageJ 2.0.0-rc-54/1.52d) as sum projection used to </w:t>
      </w:r>
      <w:bookmarkStart w:id="18" w:name="OLE_LINK18"/>
      <w:r w:rsidRPr="00BA6F83">
        <w:rPr>
          <w:rFonts w:asciiTheme="minorHAnsi" w:hAnsiTheme="minorHAnsi" w:cstheme="minorHAnsi"/>
          <w:color w:val="000000" w:themeColor="text1"/>
          <w:lang w:val="en-US"/>
        </w:rPr>
        <w:t>quantify total corrected cell fluorescence (TCCF)</w:t>
      </w:r>
      <w:bookmarkEnd w:id="18"/>
      <w:r w:rsidRPr="00BA6F83">
        <w:rPr>
          <w:rFonts w:asciiTheme="minorHAnsi" w:hAnsiTheme="minorHAnsi" w:cstheme="minorHAnsi"/>
          <w:color w:val="000000" w:themeColor="text1"/>
          <w:lang w:val="en-US"/>
        </w:rPr>
        <w:t xml:space="preserve"> as previously described </w:t>
      </w:r>
      <w:r w:rsidRPr="00BA6F83">
        <w:rPr>
          <w:rFonts w:asciiTheme="minorHAnsi" w:hAnsiTheme="minorHAnsi" w:cstheme="minorHAnsi"/>
          <w:color w:val="000000" w:themeColor="text1"/>
          <w:lang w:val="en-US"/>
        </w:rPr>
        <w:fldChar w:fldCharType="begin" w:fldLock="1"/>
      </w:r>
      <w:r w:rsidR="00756206">
        <w:rPr>
          <w:rFonts w:asciiTheme="minorHAnsi" w:hAnsiTheme="minorHAnsi" w:cstheme="minorHAnsi"/>
          <w:color w:val="000000" w:themeColor="text1"/>
          <w:lang w:val="en-US"/>
        </w:rPr>
        <w:instrText>ADDIN CSL_CITATION {"citationItems":[{"id":"ITEM-1","itemData":{"DOI":"10.4161/cc.28401","ISBN":"1538-4101","ISSN":"15514005","PMID":"24626186","abstract":"Entry and progression through mitosis has traditionally been linked directly to the activity of cyclin-dependent kinase 1 (Cdk1). In this study we utilized low doses of the Cdk1-specific inhibitor, RO3306 from early G 2 phase onwards. Addition of low doses of RO3306 in G 2 phase induced minor chromosome congression and segregation defects. In contrast, mild doses of RO3306 during G 2 phase resulted in cells entering an aberrant mitosis, with cells fragmenting centrosomes and failing to fully disassemble the nuclear envelope. Cells often underwent cytokinesis and metaphase simultaneously, despite the presence of an active spindle assembly checkpoint, which prevented degradation of cyclin B1 and securin, resulting in the random partitioning of whole chromosomes. This highly aberrant mitosis produced a significant increase in the proportion of viable polyploid cells present up to 3 days post-treatment. Furthermore, cells treated with medium doses of RO3306 were only able to reach the threshold of Cdk1 substrate phosphorylation required to initiate nuclear envelope breakdown, but failed to reach the levels of phosphorylation required to correctly complete pro-metaphase. Treatment with low doses of Okadaic acid, which primarily inhibits PP2A, rescued the mitotic defects and increased the number of cells that completed a normal mitosis. This supports the current model that PP2A is the primary phosphatase that counterbalances the activity of Cdk1 during mitosis. Taken together these results show that continuous and subtle disruption of Cdk1 activity from G 2 phase onwards has deleterious consequences on mitotic progression by disrupting the balance between Cdk1 and PP2A.","author":[{"dropping-particle":"","family":"McCloy","given":"Rachael A.","non-dropping-particle":"","parse-names":false,"suffix":""},{"dropping-particle":"","family":"Rogers","given":"Samuel","non-dropping-particle":"","parse-names":false,"suffix":""},{"dropping-particle":"","family":"Caldon","given":"C. Elizabeth","non-dropping-particle":"","parse-names":false,"suffix":""},{"dropping-particle":"","family":"Lorca","given":"Thierry","non-dropping-particle":"","parse-names":false,"suffix":""},{"dropping-particle":"","family":"Castro","given":"Anna","non-dropping-particle":"","parse-names":false,"suffix":""},{"dropping-particle":"","family":"Burgess","given":"Andrew","non-dropping-particle":"","parse-names":false,"suffix":""}],"container-title":"Cell Cycle","id":"ITEM-1","issue":"9","issued":{"date-parts":[["2014"]]},"page":"1400-12","title":"Partial inhibition of Cdk1 in G2phase overrides the SAC and decouples mitotic events","type":"article-journal","volume":"13"},"uris":["http://www.mendeley.com/documents/?uuid=334a6f43-8598-4e26-b966-5cd49f5bc60f"]}],"mendeley":{"formattedCitation":"&lt;sup&gt;80&lt;/sup&gt;","plainTextFormattedCitation":"80","previouslyFormattedCitation":"&lt;sup&gt;79&lt;/sup&gt;"},"properties":{"noteIndex":0},"schema":"https://github.com/citation-style-language/schema/raw/master/csl-citation.json"}</w:instrText>
      </w:r>
      <w:r w:rsidRPr="00BA6F83">
        <w:rPr>
          <w:rFonts w:asciiTheme="minorHAnsi" w:hAnsiTheme="minorHAnsi" w:cstheme="minorHAnsi"/>
          <w:color w:val="000000" w:themeColor="text1"/>
          <w:lang w:val="en-US"/>
        </w:rPr>
        <w:fldChar w:fldCharType="separate"/>
      </w:r>
      <w:r w:rsidR="00756206" w:rsidRPr="00756206">
        <w:rPr>
          <w:rFonts w:asciiTheme="minorHAnsi" w:hAnsiTheme="minorHAnsi" w:cstheme="minorHAnsi"/>
          <w:noProof/>
          <w:color w:val="000000" w:themeColor="text1"/>
          <w:vertAlign w:val="superscript"/>
          <w:lang w:val="en-US"/>
        </w:rPr>
        <w:t>80</w:t>
      </w:r>
      <w:r w:rsidRPr="00BA6F83">
        <w:rPr>
          <w:rFonts w:asciiTheme="minorHAnsi" w:hAnsiTheme="minorHAnsi" w:cstheme="minorHAnsi"/>
          <w:color w:val="000000" w:themeColor="text1"/>
          <w:lang w:val="en-US"/>
        </w:rPr>
        <w:fldChar w:fldCharType="end"/>
      </w:r>
      <w:r w:rsidRPr="00BA6F83">
        <w:rPr>
          <w:rFonts w:asciiTheme="minorHAnsi" w:hAnsiTheme="minorHAnsi" w:cstheme="minorHAnsi"/>
          <w:color w:val="000000" w:themeColor="text1"/>
          <w:lang w:val="en-US"/>
        </w:rPr>
        <w:t xml:space="preserve">. Cells were identified using c-kit immunoreactivity and only nucleated profiles were included for analysis. </w:t>
      </w:r>
      <w:r w:rsidR="00C0781B" w:rsidRPr="00C0781B">
        <w:rPr>
          <w:rFonts w:asciiTheme="minorHAnsi" w:hAnsiTheme="minorHAnsi" w:cstheme="minorHAnsi"/>
          <w:color w:val="000000" w:themeColor="text1"/>
          <w:lang w:val="en-US"/>
        </w:rPr>
        <w:t>For distance measurement</w:t>
      </w:r>
      <w:r w:rsidR="00AC34A9">
        <w:rPr>
          <w:rFonts w:asciiTheme="minorHAnsi" w:hAnsiTheme="minorHAnsi" w:cstheme="minorHAnsi"/>
          <w:color w:val="000000" w:themeColor="text1"/>
          <w:lang w:val="en-US"/>
        </w:rPr>
        <w:t>s</w:t>
      </w:r>
      <w:r w:rsidR="00C0781B" w:rsidRPr="00C0781B">
        <w:rPr>
          <w:rFonts w:asciiTheme="minorHAnsi" w:hAnsiTheme="minorHAnsi" w:cstheme="minorHAnsi"/>
          <w:color w:val="000000" w:themeColor="text1"/>
          <w:lang w:val="en-US"/>
        </w:rPr>
        <w:t xml:space="preserve">, Z stacks were processed (ImageJ 2.0.0-rc-54/1.52d) as sum projection and used to quantify distance from the periphery of nerve fibers (based on beta tubulin staining) to mast cells periphery (identified based on CD117 staining) by using </w:t>
      </w:r>
      <w:r w:rsidR="00A325CB" w:rsidRPr="00C0781B">
        <w:rPr>
          <w:rFonts w:asciiTheme="minorHAnsi" w:hAnsiTheme="minorHAnsi" w:cstheme="minorHAnsi"/>
          <w:color w:val="000000" w:themeColor="text1"/>
          <w:lang w:val="en-US"/>
        </w:rPr>
        <w:t>straight line</w:t>
      </w:r>
      <w:r w:rsidR="00C0781B" w:rsidRPr="00C0781B">
        <w:rPr>
          <w:rFonts w:asciiTheme="minorHAnsi" w:hAnsiTheme="minorHAnsi" w:cstheme="minorHAnsi"/>
          <w:color w:val="000000" w:themeColor="text1"/>
          <w:lang w:val="en-US"/>
        </w:rPr>
        <w:t xml:space="preserve"> tool. Cells were identified using CD117 and only nucleated profiles were included for analysis</w:t>
      </w:r>
      <w:r w:rsidR="00A325CB">
        <w:rPr>
          <w:rFonts w:asciiTheme="minorHAnsi" w:hAnsiTheme="minorHAnsi" w:cstheme="minorHAnsi"/>
          <w:color w:val="000000" w:themeColor="text1"/>
          <w:lang w:val="en-US"/>
        </w:rPr>
        <w:t xml:space="preserve">. </w:t>
      </w:r>
      <w:r w:rsidRPr="00BA6F83">
        <w:rPr>
          <w:rFonts w:asciiTheme="minorHAnsi" w:hAnsiTheme="minorHAnsi" w:cstheme="minorHAnsi"/>
          <w:color w:val="000000" w:themeColor="text1"/>
          <w:lang w:val="en-US"/>
        </w:rPr>
        <w:t xml:space="preserve">Immunostaining, image acquisition and mean fluorescence intensity analysis were performed in a blinded manner. Representative images </w:t>
      </w:r>
      <w:r w:rsidRPr="00BA6F83">
        <w:rPr>
          <w:rFonts w:asciiTheme="minorHAnsi" w:hAnsiTheme="minorHAnsi" w:cstheme="minorHAnsi"/>
          <w:color w:val="000000" w:themeColor="text1"/>
          <w:lang w:val="en-US"/>
        </w:rPr>
        <w:lastRenderedPageBreak/>
        <w:t xml:space="preserve">were acquired using a 63X </w:t>
      </w:r>
      <w:r w:rsidR="00A325CB">
        <w:rPr>
          <w:rFonts w:asciiTheme="minorHAnsi" w:hAnsiTheme="minorHAnsi" w:cstheme="minorHAnsi"/>
          <w:color w:val="000000" w:themeColor="text1"/>
          <w:lang w:val="en-US"/>
        </w:rPr>
        <w:t xml:space="preserve">or 40X </w:t>
      </w:r>
      <w:r w:rsidRPr="00BA6F83">
        <w:rPr>
          <w:rFonts w:asciiTheme="minorHAnsi" w:hAnsiTheme="minorHAnsi" w:cstheme="minorHAnsi"/>
          <w:color w:val="000000" w:themeColor="text1"/>
          <w:lang w:val="en-US"/>
        </w:rPr>
        <w:t>oil immersion lens and processes as described above. Images were assigned with pseudo colors (</w:t>
      </w:r>
      <w:r w:rsidR="00A325CB">
        <w:rPr>
          <w:rFonts w:asciiTheme="minorHAnsi" w:hAnsiTheme="minorHAnsi" w:cstheme="minorHAnsi"/>
          <w:color w:val="000000" w:themeColor="text1"/>
          <w:lang w:val="en-US"/>
        </w:rPr>
        <w:t xml:space="preserve">immunofluorescence analysis: </w:t>
      </w:r>
      <w:r w:rsidRPr="00BA6F83">
        <w:rPr>
          <w:rFonts w:asciiTheme="minorHAnsi" w:hAnsiTheme="minorHAnsi" w:cstheme="minorHAnsi"/>
          <w:color w:val="000000" w:themeColor="text1"/>
          <w:lang w:val="en-US"/>
        </w:rPr>
        <w:t>green for Cy3 channel and magenta for Cy5 channels</w:t>
      </w:r>
      <w:r w:rsidR="00A325CB">
        <w:rPr>
          <w:rFonts w:asciiTheme="minorHAnsi" w:hAnsiTheme="minorHAnsi" w:cstheme="minorHAnsi"/>
          <w:color w:val="000000" w:themeColor="text1"/>
          <w:lang w:val="en-US"/>
        </w:rPr>
        <w:t xml:space="preserve">; distance analysis: </w:t>
      </w:r>
      <w:r w:rsidR="00A325CB" w:rsidRPr="00A325CB">
        <w:rPr>
          <w:rFonts w:asciiTheme="minorHAnsi" w:hAnsiTheme="minorHAnsi" w:cstheme="minorHAnsi"/>
          <w:color w:val="000000" w:themeColor="text1"/>
          <w:lang w:val="en-US"/>
        </w:rPr>
        <w:t xml:space="preserve">green for </w:t>
      </w:r>
      <w:r w:rsidR="00A325CB">
        <w:rPr>
          <w:rFonts w:asciiTheme="minorHAnsi" w:hAnsiTheme="minorHAnsi" w:cstheme="minorHAnsi"/>
          <w:color w:val="000000" w:themeColor="text1"/>
          <w:lang w:val="en-US"/>
        </w:rPr>
        <w:t>C</w:t>
      </w:r>
      <w:r w:rsidR="00A325CB" w:rsidRPr="00A325CB">
        <w:rPr>
          <w:rFonts w:asciiTheme="minorHAnsi" w:hAnsiTheme="minorHAnsi" w:cstheme="minorHAnsi"/>
          <w:color w:val="000000" w:themeColor="text1"/>
          <w:lang w:val="en-US"/>
        </w:rPr>
        <w:t>y5 channel, magenta for A488 channels, red for Cy3 channel</w:t>
      </w:r>
      <w:r w:rsidRPr="00BA6F83">
        <w:rPr>
          <w:rFonts w:asciiTheme="minorHAnsi" w:hAnsiTheme="minorHAnsi" w:cstheme="minorHAnsi"/>
          <w:color w:val="000000" w:themeColor="text1"/>
          <w:lang w:val="en-US"/>
        </w:rPr>
        <w:t xml:space="preserve">) and adjusted for brightness and contrast. </w:t>
      </w:r>
    </w:p>
    <w:p w14:paraId="49DBD0A2" w14:textId="77777777" w:rsidR="00CE2959" w:rsidRPr="00BA6F83" w:rsidRDefault="00CE2959" w:rsidP="00CE2959">
      <w:pPr>
        <w:spacing w:after="120" w:line="480" w:lineRule="auto"/>
        <w:jc w:val="both"/>
        <w:rPr>
          <w:rFonts w:asciiTheme="minorHAnsi" w:hAnsiTheme="minorHAnsi" w:cstheme="minorHAnsi"/>
          <w:i/>
          <w:color w:val="000000" w:themeColor="text1"/>
          <w:lang w:val="en-US"/>
        </w:rPr>
      </w:pPr>
    </w:p>
    <w:p w14:paraId="10DFAF1F" w14:textId="77777777" w:rsidR="00CE2959" w:rsidRPr="00BA6F83" w:rsidRDefault="00CE2959" w:rsidP="00CE2959">
      <w:pPr>
        <w:spacing w:after="120" w:line="480" w:lineRule="auto"/>
        <w:jc w:val="both"/>
        <w:outlineLvl w:val="2"/>
        <w:rPr>
          <w:rFonts w:asciiTheme="minorHAnsi" w:eastAsia="Times New Roman" w:hAnsiTheme="minorHAnsi"/>
          <w:bCs/>
          <w:i/>
          <w:color w:val="000000" w:themeColor="text1"/>
          <w:lang w:val="en-US"/>
        </w:rPr>
      </w:pPr>
      <w:r w:rsidRPr="00BA6F83">
        <w:rPr>
          <w:rFonts w:asciiTheme="minorHAnsi" w:eastAsia="Times New Roman" w:hAnsiTheme="minorHAnsi"/>
          <w:bCs/>
          <w:i/>
          <w:color w:val="000000" w:themeColor="text1"/>
          <w:lang w:val="en-US"/>
        </w:rPr>
        <w:t>Trypsin-like activity assay</w:t>
      </w:r>
    </w:p>
    <w:p w14:paraId="704DEAB0" w14:textId="7DADC2E2" w:rsidR="00CE2959" w:rsidRPr="00BA6F83" w:rsidRDefault="00CE2959" w:rsidP="00CE2959">
      <w:pPr>
        <w:spacing w:after="120" w:line="480" w:lineRule="auto"/>
        <w:jc w:val="both"/>
        <w:rPr>
          <w:rFonts w:asciiTheme="minorHAnsi" w:eastAsia="Times New Roman" w:hAnsiTheme="minorHAnsi"/>
          <w:color w:val="000000" w:themeColor="text1"/>
          <w:lang w:val="en-US"/>
        </w:rPr>
      </w:pPr>
      <w:r w:rsidRPr="00BA6F83">
        <w:rPr>
          <w:rFonts w:asciiTheme="minorHAnsi" w:eastAsia="Times New Roman" w:hAnsiTheme="minorHAnsi"/>
          <w:color w:val="000000" w:themeColor="text1"/>
          <w:spacing w:val="3"/>
          <w:shd w:val="clear" w:color="auto" w:fill="FFFFFF"/>
          <w:lang w:val="en-US"/>
        </w:rPr>
        <w:t xml:space="preserve">Trypsin-like activity was measured as previously described with some modifications </w:t>
      </w:r>
      <w:r w:rsidRPr="00BA6F83">
        <w:rPr>
          <w:rFonts w:asciiTheme="minorHAnsi" w:eastAsia="Times New Roman" w:hAnsiTheme="minorHAnsi"/>
          <w:color w:val="000000" w:themeColor="text1"/>
          <w:spacing w:val="3"/>
          <w:shd w:val="clear" w:color="auto" w:fill="FFFFFF"/>
          <w:lang w:val="en-US"/>
        </w:rPr>
        <w:fldChar w:fldCharType="begin" w:fldLock="1"/>
      </w:r>
      <w:r w:rsidR="00756206">
        <w:rPr>
          <w:rFonts w:asciiTheme="minorHAnsi" w:eastAsia="Times New Roman" w:hAnsiTheme="minorHAnsi"/>
          <w:color w:val="000000" w:themeColor="text1"/>
          <w:spacing w:val="3"/>
          <w:shd w:val="clear" w:color="auto" w:fill="FFFFFF"/>
          <w:lang w:val="en-US"/>
        </w:rPr>
        <w:instrText>ADDIN CSL_CITATION {"citationItems":[{"id":"ITEM-1","itemData":{"DOI":"10.1038/s41598-018-26282-y","ISBN":"4159801826282","ISSN":"20452322","abstract":"While proteases are essential in gastrointestinal physiology, accumulating evidence indicates that dysregulated proteolysis plays a pivotal role in the pathophysiology of inflammatory bowel disease (IBD). Nonetheless, the identity of overactive proteases released by human colonic mucosa remains largely unknown. Studies of protease abundance have primarily investigated expression profiles, not taking into account their enzymatic activity. Herein we have used serine protease-targeted activity-based probes (ABPs) coupled with mass spectral analysis to identify active forms of proteases secreted by the colonic mucosa of healthy controls and IBD patients. Profiling of (Pro-Lys)-ABP bound proteases revealed that most of hyperactive proteases from IBD secretome are clustered at 28-kDa. We identified seven active proteases: the serine proteases cathepsin G, plasma kallikrein, plasmin, tryptase, chymotrypsin-like elastase 3 A, and thrombin and the aminopeptidase B. Only cathepsin G and thrombin were overactive in supernatants from IBD patient tissues compared to healthy controls. Gene expression analysis highlighted the transcription of genes encoding these proteases into intestinal mucosae. The functional ABP-targeted proteomic approach that we have used to identify active proteases in human colonic samples bears directly on the understanding of the role these enzymes may play in the pathophysiology of IBD.","author":[{"dropping-particle":"","family":"Denadai-Souza","given":"Alexandre","non-dropping-particle":"","parse-names":false,"suffix":""},{"dropping-particle":"","family":"Bonnart","given":"Chrystelle","non-dropping-particle":"","parse-names":false,"suffix":""},{"dropping-particle":"","family":"Tapias","given":"Núria Solà","non-dropping-particle":"","parse-names":false,"suffix":""},{"dropping-particle":"","family":"Marcellin","given":"Marlène","non-dropping-particle":"","parse-names":false,"suffix":""},{"dropping-particle":"","family":"Gilmore","given":"Brendan","non-dropping-particle":"","parse-names":false,"suffix":""},{"dropping-particle":"","family":"Alric","given":"Laurent","non-dropping-particle":"","parse-names":false,"suffix":""},{"dropping-particle":"","family":"Bonnet","given":"Delphine","non-dropping-particle":"","parse-names":false,"suffix":""},{"dropping-particle":"","family":"Burlet-Schiltz","given":"Odile","non-dropping-particle":"","parse-names":false,"suffix":""},{"dropping-particle":"","family":"Hollenberg","given":"Morley D.","non-dropping-particle":"","parse-names":false,"suffix":""},{"dropping-particle":"","family":"Vergnolle","given":"Nathalie","non-dropping-particle":"","parse-names":false,"suffix":""},{"dropping-particle":"","family":"Deraison","given":"Céline","non-dropping-particle":"","parse-names":false,"suffix":""}],"container-title":"Scientific Reports","id":"ITEM-1","issue":"1","issued":{"date-parts":[["2018"]]},"page":"7834","title":"Functional Proteomic Profiling of Secreted Serine Proteases in Health and Inflammatory Bowel Disease","type":"article-journal","volume":"8"},"uris":["http://www.mendeley.com/documents/?uuid=49aae959-897f-4130-8669-63ccb076ac74"]},{"id":"ITEM-2","itemData":{"DOI":"10.1186/s13075-017-1326-9","ISBN":"1478-6362 (Electronic) 1478-6354 (Linking)","ISSN":"14786362","PMID":"28587618","abstract":"© 2017 The Author(s).Background: Increasing evidences indicate that an unbalance between tryptases and their endogenous inhibitors, leading to an increased proteolytic activity, is implicated in the pathophysiology of rheumatoid arthritis. The aim of the present study was to evaluate the impact of tryptase inhibition on experimental arthritis. Methods: Analysis of gene expression and regulation in the mouse knee joint was performed by RT-qPCR and in situ hybridization. Arthritis was induced in male C57BL/6 mice with mBSA/IL-1β. Tryptase was inhibited by two approaches: a lentivirus-mediated heterologous expression of the human endogenous tryptase inhibitor, sperm-associated antigen 11B isoform C (hSPAG11B/C), or a chronic treatment with the synthetic tryptase inhibitor APC366. Several inflammatory parameters were evaluated, such as oedema formation, histopathology, production of IL-1β, -6, -17A and CXCL1/KC, myeloperoxidase and tryptase-like activities. Results: Spag11c was constitutively expressed in chondrocytes and cells from the synovial membrane in mice, but its expression did not change 7 days after the induction of arthritis, while tryptase expression and activity were upregulated. The intra-articular transduction of animals with the lentivirus phSPAG11B/C or the treatment with APC366 inhibited the increase of tryptase-like activity, the late phase of oedema formation, the production of IL-6 and CXCL1/KC. In contrast, neutrophil infiltration, degeneration of hyaline cartilage and erosion of subchondral bone were not affected. Conclusions: Tryptase inhibition was effective in inhibiting some inflammatory parameters associated to mBSA/IL-1β-induced arthritis, notably late phase oedema formation and IL-6 production, but not neutrophil infiltration and joint degeneration. These results suggest that the therapeutic application of tryptase inhibitors to rheumatoid arthritis would be restrained to palliative care, but not as disease-modifying drugs. Finally, this study highlighted lentivirus-based gene delivery as an instrumental tool to study the relevance of target genes in synovial joint physiology and disease.","author":[{"dropping-particle":"","family":"Denadai-Souza","given":"Alexandre","non-dropping-particle":"","parse-names":false,"suffix":""},{"dropping-particle":"","family":"Ribeiro","given":"Camilla Moreira","non-dropping-particle":"","parse-names":false,"suffix":""},{"dropping-particle":"","family":"Rolland","given":"Corinne","non-dropping-particle":"","parse-names":false,"suffix":""},{"dropping-particle":"","family":"Thouard","given":"Anne","non-dropping-particle":"","parse-names":false,"suffix":""},{"dropping-particle":"","family":"Deraison","given":"Céline","non-dropping-particle":"","parse-names":false,"suffix":""},{"dropping-particle":"","family":"Scavone","given":"Cristoforo","non-dropping-particle":"","parse-names":false,"suffix":""},{"dropping-particle":"","family":"Gonzalez-Dunia","given":"Daniel","non-dropping-particle":"","parse-names":false,"suffix":""},{"dropping-particle":"","family":"Vergnolle","given":"Nathalie","non-dropping-particle":"","parse-names":false,"suffix":""},{"dropping-particle":"","family":"Avellar","given":"Maria Christina Werneck","non-dropping-particle":"","parse-names":false,"suffix":""}],"container-title":"Arthritis Research and Therapy","id":"ITEM-2","issue":"1","issued":{"date-parts":[["2017"]]},"page":"124","title":"Effect of tryptase inhibition on joint inflammation: A pharmacological and lentivirus-mediated gene transfer study","type":"article-journal","volume":"19"},"uris":["http://www.mendeley.com/documents/?uuid=e98e2530-f231-479d-81d1-8bb21bb8eec3"]}],"mendeley":{"formattedCitation":"&lt;sup&gt;87,88&lt;/sup&gt;","plainTextFormattedCitation":"87,88","previouslyFormattedCitation":"&lt;sup&gt;86,87&lt;/sup&gt;"},"properties":{"noteIndex":0},"schema":"https://github.com/citation-style-language/schema/raw/master/csl-citation.json"}</w:instrText>
      </w:r>
      <w:r w:rsidRPr="00BA6F83">
        <w:rPr>
          <w:rFonts w:asciiTheme="minorHAnsi" w:eastAsia="Times New Roman" w:hAnsiTheme="minorHAnsi"/>
          <w:color w:val="000000" w:themeColor="text1"/>
          <w:spacing w:val="3"/>
          <w:shd w:val="clear" w:color="auto" w:fill="FFFFFF"/>
          <w:lang w:val="en-US"/>
        </w:rPr>
        <w:fldChar w:fldCharType="separate"/>
      </w:r>
      <w:r w:rsidR="00756206" w:rsidRPr="00756206">
        <w:rPr>
          <w:rFonts w:asciiTheme="minorHAnsi" w:eastAsia="Times New Roman" w:hAnsiTheme="minorHAnsi"/>
          <w:noProof/>
          <w:color w:val="000000" w:themeColor="text1"/>
          <w:spacing w:val="3"/>
          <w:shd w:val="clear" w:color="auto" w:fill="FFFFFF"/>
          <w:vertAlign w:val="superscript"/>
          <w:lang w:val="en-US"/>
        </w:rPr>
        <w:t>87,88</w:t>
      </w:r>
      <w:r w:rsidRPr="00BA6F83">
        <w:rPr>
          <w:rFonts w:asciiTheme="minorHAnsi" w:eastAsia="Times New Roman" w:hAnsiTheme="minorHAnsi"/>
          <w:color w:val="000000" w:themeColor="text1"/>
          <w:spacing w:val="3"/>
          <w:shd w:val="clear" w:color="auto" w:fill="FFFFFF"/>
          <w:lang w:val="en-US"/>
        </w:rPr>
        <w:fldChar w:fldCharType="end"/>
      </w:r>
      <w:r w:rsidRPr="00BA6F83">
        <w:rPr>
          <w:rFonts w:asciiTheme="minorHAnsi" w:eastAsia="Times New Roman" w:hAnsiTheme="minorHAnsi"/>
          <w:color w:val="000000" w:themeColor="text1"/>
          <w:spacing w:val="3"/>
          <w:shd w:val="clear" w:color="auto" w:fill="FFFFFF"/>
          <w:lang w:val="en-US"/>
        </w:rPr>
        <w:t xml:space="preserve">. Briefly, colonic tissue supernatant samples were incubated with 0.1 mM </w:t>
      </w:r>
      <w:proofErr w:type="spellStart"/>
      <w:r w:rsidRPr="00BA6F83">
        <w:rPr>
          <w:rFonts w:asciiTheme="minorHAnsi" w:eastAsia="Times New Roman" w:hAnsiTheme="minorHAnsi"/>
          <w:color w:val="000000" w:themeColor="text1"/>
          <w:spacing w:val="3"/>
          <w:shd w:val="clear" w:color="auto" w:fill="FFFFFF"/>
          <w:lang w:val="en-US"/>
        </w:rPr>
        <w:t>Tos</w:t>
      </w:r>
      <w:proofErr w:type="spellEnd"/>
      <w:r w:rsidRPr="00BA6F83">
        <w:rPr>
          <w:rFonts w:asciiTheme="minorHAnsi" w:eastAsia="Times New Roman" w:hAnsiTheme="minorHAnsi"/>
          <w:color w:val="000000" w:themeColor="text1"/>
          <w:spacing w:val="3"/>
          <w:shd w:val="clear" w:color="auto" w:fill="FFFFFF"/>
          <w:lang w:val="en-US"/>
        </w:rPr>
        <w:t>-GPR-</w:t>
      </w:r>
      <w:proofErr w:type="spellStart"/>
      <w:r w:rsidRPr="00BA6F83">
        <w:rPr>
          <w:rFonts w:asciiTheme="minorHAnsi" w:eastAsia="Times New Roman" w:hAnsiTheme="minorHAnsi"/>
          <w:color w:val="000000" w:themeColor="text1"/>
          <w:spacing w:val="3"/>
          <w:shd w:val="clear" w:color="auto" w:fill="FFFFFF"/>
          <w:lang w:val="en-US"/>
        </w:rPr>
        <w:t>AMC.HCl</w:t>
      </w:r>
      <w:proofErr w:type="spellEnd"/>
      <w:r w:rsidRPr="00BA6F83">
        <w:rPr>
          <w:rFonts w:asciiTheme="minorHAnsi" w:eastAsia="Times New Roman" w:hAnsiTheme="minorHAnsi"/>
          <w:color w:val="000000" w:themeColor="text1"/>
          <w:spacing w:val="3"/>
          <w:shd w:val="clear" w:color="auto" w:fill="FFFFFF"/>
          <w:lang w:val="en-US"/>
        </w:rPr>
        <w:t xml:space="preserve"> as substrate in 50 mM Tris, 10 mM CaCl</w:t>
      </w:r>
      <w:r w:rsidRPr="00BA6F83">
        <w:rPr>
          <w:rFonts w:asciiTheme="minorHAnsi" w:eastAsia="Times New Roman" w:hAnsiTheme="minorHAnsi"/>
          <w:color w:val="000000" w:themeColor="text1"/>
          <w:spacing w:val="3"/>
          <w:vertAlign w:val="subscript"/>
          <w:lang w:val="en-US"/>
        </w:rPr>
        <w:t>2</w:t>
      </w:r>
      <w:r w:rsidRPr="00BA6F83">
        <w:rPr>
          <w:rFonts w:asciiTheme="minorHAnsi" w:eastAsia="Times New Roman" w:hAnsiTheme="minorHAnsi"/>
          <w:color w:val="000000" w:themeColor="text1"/>
          <w:spacing w:val="3"/>
          <w:shd w:val="clear" w:color="auto" w:fill="FFFFFF"/>
          <w:lang w:val="en-US"/>
        </w:rPr>
        <w:t xml:space="preserve">, pH = 8 (Sigma-Aldrich). Substrate cleavage was calculated over 30 min at 37°C on a </w:t>
      </w:r>
      <w:proofErr w:type="spellStart"/>
      <w:r w:rsidRPr="00BA6F83">
        <w:rPr>
          <w:rFonts w:asciiTheme="minorHAnsi" w:eastAsia="Times New Roman" w:hAnsiTheme="minorHAnsi"/>
          <w:color w:val="000000" w:themeColor="text1"/>
          <w:spacing w:val="3"/>
          <w:shd w:val="clear" w:color="auto" w:fill="FFFFFF"/>
          <w:lang w:val="en-US"/>
        </w:rPr>
        <w:t>FLUOstar</w:t>
      </w:r>
      <w:proofErr w:type="spellEnd"/>
      <w:r w:rsidRPr="00BA6F83">
        <w:rPr>
          <w:rFonts w:asciiTheme="minorHAnsi" w:eastAsia="Times New Roman" w:hAnsiTheme="minorHAnsi"/>
          <w:color w:val="000000" w:themeColor="text1"/>
          <w:spacing w:val="3"/>
          <w:shd w:val="clear" w:color="auto" w:fill="FFFFFF"/>
          <w:lang w:val="en-US"/>
        </w:rPr>
        <w:t xml:space="preserve"> Omega microplate reader (BMG Labtech, GmbH). Sample values were interpolated into a linear regression generated with a standard curve of </w:t>
      </w:r>
      <w:proofErr w:type="spellStart"/>
      <w:r w:rsidRPr="00BA6F83">
        <w:rPr>
          <w:rFonts w:asciiTheme="minorHAnsi" w:eastAsia="Times New Roman" w:hAnsiTheme="minorHAnsi"/>
          <w:color w:val="000000" w:themeColor="text1"/>
          <w:spacing w:val="3"/>
          <w:shd w:val="clear" w:color="auto" w:fill="FFFFFF"/>
          <w:lang w:val="en-US"/>
        </w:rPr>
        <w:t>AMC.HCl</w:t>
      </w:r>
      <w:proofErr w:type="spellEnd"/>
      <w:r w:rsidRPr="00BA6F83">
        <w:rPr>
          <w:rFonts w:asciiTheme="minorHAnsi" w:eastAsia="Times New Roman" w:hAnsiTheme="minorHAnsi"/>
          <w:color w:val="000000" w:themeColor="text1"/>
          <w:spacing w:val="3"/>
          <w:shd w:val="clear" w:color="auto" w:fill="FFFFFF"/>
          <w:lang w:val="en-US"/>
        </w:rPr>
        <w:t xml:space="preserve"> (0.05–0.5 nmol; </w:t>
      </w:r>
      <w:proofErr w:type="spellStart"/>
      <w:r w:rsidRPr="00BA6F83">
        <w:rPr>
          <w:rFonts w:asciiTheme="minorHAnsi" w:eastAsia="Times New Roman" w:hAnsiTheme="minorHAnsi"/>
          <w:color w:val="000000" w:themeColor="text1"/>
          <w:spacing w:val="3"/>
          <w:shd w:val="clear" w:color="auto" w:fill="FFFFFF"/>
          <w:lang w:val="en-US"/>
        </w:rPr>
        <w:t>Bachem</w:t>
      </w:r>
      <w:proofErr w:type="spellEnd"/>
      <w:r w:rsidRPr="00BA6F83">
        <w:rPr>
          <w:rFonts w:asciiTheme="minorHAnsi" w:eastAsia="Times New Roman" w:hAnsiTheme="minorHAnsi"/>
          <w:color w:val="000000" w:themeColor="text1"/>
          <w:spacing w:val="3"/>
          <w:shd w:val="clear" w:color="auto" w:fill="FFFFFF"/>
          <w:lang w:val="en-US"/>
        </w:rPr>
        <w:t xml:space="preserve">). Mast cell tryptase activity was characterized by pre-incubating supernatants with the specific inhibitor APC-366 (100 </w:t>
      </w:r>
      <w:r w:rsidRPr="00BA6F83">
        <w:rPr>
          <w:rFonts w:asciiTheme="minorHAnsi" w:eastAsia="Times New Roman" w:hAnsiTheme="minorHAnsi"/>
          <w:color w:val="000000" w:themeColor="text1"/>
          <w:spacing w:val="3"/>
          <w:shd w:val="clear" w:color="auto" w:fill="FFFFFF"/>
          <w:lang w:val="en-US"/>
        </w:rPr>
        <w:sym w:font="Symbol" w:char="F06D"/>
      </w:r>
      <w:r w:rsidRPr="00BA6F83">
        <w:rPr>
          <w:rFonts w:asciiTheme="minorHAnsi" w:eastAsia="Times New Roman" w:hAnsiTheme="minorHAnsi"/>
          <w:color w:val="000000" w:themeColor="text1"/>
          <w:spacing w:val="3"/>
          <w:shd w:val="clear" w:color="auto" w:fill="FFFFFF"/>
          <w:lang w:val="en-US"/>
        </w:rPr>
        <w:t xml:space="preserve">M; </w:t>
      </w:r>
      <w:proofErr w:type="spellStart"/>
      <w:r w:rsidRPr="00BA6F83">
        <w:rPr>
          <w:rFonts w:asciiTheme="minorHAnsi" w:eastAsia="Times New Roman" w:hAnsiTheme="minorHAnsi"/>
          <w:color w:val="000000" w:themeColor="text1"/>
          <w:spacing w:val="3"/>
          <w:shd w:val="clear" w:color="auto" w:fill="FFFFFF"/>
          <w:lang w:val="en-US"/>
        </w:rPr>
        <w:t>Tocris</w:t>
      </w:r>
      <w:proofErr w:type="spellEnd"/>
      <w:r w:rsidRPr="00BA6F83">
        <w:rPr>
          <w:rFonts w:asciiTheme="minorHAnsi" w:eastAsia="Times New Roman" w:hAnsiTheme="minorHAnsi"/>
          <w:color w:val="000000" w:themeColor="text1"/>
          <w:spacing w:val="3"/>
          <w:shd w:val="clear" w:color="auto" w:fill="FFFFFF"/>
          <w:lang w:val="en-US"/>
        </w:rPr>
        <w:t xml:space="preserve">) for 60 min at 37°C. As controls, samples were pre-incubated with vehicle (0.2% DMSO) or the broad-spectrum serine protease inhibitor AEBSF (1000 </w:t>
      </w:r>
      <w:r w:rsidRPr="00BA6F83">
        <w:rPr>
          <w:rFonts w:asciiTheme="minorHAnsi" w:eastAsia="Times New Roman" w:hAnsiTheme="minorHAnsi"/>
          <w:color w:val="000000" w:themeColor="text1"/>
          <w:spacing w:val="3"/>
          <w:shd w:val="clear" w:color="auto" w:fill="FFFFFF"/>
          <w:lang w:val="en-US"/>
        </w:rPr>
        <w:sym w:font="Symbol" w:char="F06D"/>
      </w:r>
      <w:r w:rsidRPr="00BA6F83">
        <w:rPr>
          <w:rFonts w:asciiTheme="minorHAnsi" w:eastAsia="Times New Roman" w:hAnsiTheme="minorHAnsi"/>
          <w:color w:val="000000" w:themeColor="text1"/>
          <w:spacing w:val="3"/>
          <w:shd w:val="clear" w:color="auto" w:fill="FFFFFF"/>
          <w:lang w:val="en-US"/>
        </w:rPr>
        <w:t xml:space="preserve">M; Roche). Data were expressed as </w:t>
      </w:r>
      <w:proofErr w:type="spellStart"/>
      <w:r w:rsidRPr="00BA6F83">
        <w:rPr>
          <w:rFonts w:asciiTheme="minorHAnsi" w:eastAsia="Times New Roman" w:hAnsiTheme="minorHAnsi"/>
          <w:color w:val="000000" w:themeColor="text1"/>
          <w:spacing w:val="3"/>
          <w:shd w:val="clear" w:color="auto" w:fill="FFFFFF"/>
          <w:lang w:val="en-US"/>
        </w:rPr>
        <w:t>mU</w:t>
      </w:r>
      <w:proofErr w:type="spellEnd"/>
      <w:r w:rsidRPr="00BA6F83">
        <w:rPr>
          <w:rFonts w:asciiTheme="minorHAnsi" w:eastAsia="Times New Roman" w:hAnsiTheme="minorHAnsi"/>
          <w:color w:val="000000" w:themeColor="text1"/>
          <w:spacing w:val="3"/>
          <w:shd w:val="clear" w:color="auto" w:fill="FFFFFF"/>
          <w:lang w:val="en-US"/>
        </w:rPr>
        <w:t>/mL (1 U = conversion of 1 nmol of substrate/min).</w:t>
      </w:r>
    </w:p>
    <w:p w14:paraId="78314524" w14:textId="77777777" w:rsidR="00CE2959" w:rsidRPr="00BA6F83" w:rsidRDefault="00CE2959" w:rsidP="00CE2959">
      <w:pPr>
        <w:spacing w:after="120" w:line="240" w:lineRule="auto"/>
        <w:jc w:val="both"/>
        <w:rPr>
          <w:color w:val="000000" w:themeColor="text1"/>
          <w:u w:val="single"/>
          <w:lang w:val="en-US"/>
        </w:rPr>
      </w:pPr>
    </w:p>
    <w:p w14:paraId="153662CD" w14:textId="77777777" w:rsidR="00CE2959" w:rsidRPr="00BA6F83" w:rsidRDefault="00CE2959" w:rsidP="00CE2959">
      <w:pPr>
        <w:spacing w:after="120" w:line="480" w:lineRule="auto"/>
        <w:jc w:val="both"/>
        <w:rPr>
          <w:i/>
          <w:color w:val="000000" w:themeColor="text1"/>
          <w:lang w:val="en-US"/>
        </w:rPr>
      </w:pPr>
      <w:r w:rsidRPr="00BA6F83">
        <w:rPr>
          <w:i/>
          <w:color w:val="000000" w:themeColor="text1"/>
          <w:lang w:val="en-US"/>
        </w:rPr>
        <w:t>Library preparation for high-throughput sequencing of immunoglobulin heavy chain genes</w:t>
      </w:r>
    </w:p>
    <w:p w14:paraId="62791B87" w14:textId="35B3E8D4" w:rsidR="00CE2959" w:rsidRPr="00BA6F83" w:rsidRDefault="00CE2959" w:rsidP="00CE2959">
      <w:pPr>
        <w:spacing w:line="480" w:lineRule="auto"/>
        <w:jc w:val="both"/>
        <w:rPr>
          <w:i/>
          <w:color w:val="000000" w:themeColor="text1"/>
          <w:lang w:val="en-US"/>
        </w:rPr>
      </w:pPr>
      <w:r w:rsidRPr="00BA6F83">
        <w:rPr>
          <w:color w:val="000000" w:themeColor="text1"/>
          <w:lang w:val="en-US"/>
        </w:rPr>
        <w:t xml:space="preserve">cDNA was synthesized from 1 µg of RNA using </w:t>
      </w:r>
      <w:proofErr w:type="spellStart"/>
      <w:r w:rsidRPr="00BA6F83">
        <w:rPr>
          <w:color w:val="000000" w:themeColor="text1"/>
          <w:lang w:val="en-US"/>
        </w:rPr>
        <w:t>SuperScript</w:t>
      </w:r>
      <w:proofErr w:type="spellEnd"/>
      <w:r w:rsidRPr="00BA6F83">
        <w:rPr>
          <w:color w:val="000000" w:themeColor="text1"/>
          <w:lang w:val="en-US"/>
        </w:rPr>
        <w:t xml:space="preserve"> III (Thermo Fisher Scientific) and primed with random hexamers (Promega) according to manufacturer’s protocols. </w:t>
      </w:r>
      <w:proofErr w:type="spellStart"/>
      <w:r w:rsidRPr="00BA6F83">
        <w:rPr>
          <w:color w:val="000000" w:themeColor="text1"/>
          <w:lang w:val="en-US"/>
        </w:rPr>
        <w:t>IgH</w:t>
      </w:r>
      <w:proofErr w:type="spellEnd"/>
      <w:r w:rsidRPr="00BA6F83">
        <w:rPr>
          <w:color w:val="000000" w:themeColor="text1"/>
          <w:lang w:val="en-US"/>
        </w:rPr>
        <w:t xml:space="preserve"> genes were amplified by multiplexed RT-PCR using Biomed2 IGHV primers in the FR1 framework region </w:t>
      </w:r>
      <w:r w:rsidRPr="00BA6F83">
        <w:rPr>
          <w:noProof/>
          <w:color w:val="000000" w:themeColor="text1"/>
          <w:lang w:val="en-US"/>
        </w:rPr>
        <w:t>(van Dongen et al, 2003)</w:t>
      </w:r>
      <w:r w:rsidRPr="00BA6F83">
        <w:rPr>
          <w:color w:val="000000" w:themeColor="text1"/>
          <w:lang w:val="en-US"/>
        </w:rPr>
        <w:t xml:space="preserve"> and isotype-specific primers for IgM, </w:t>
      </w:r>
      <w:proofErr w:type="spellStart"/>
      <w:r w:rsidRPr="00BA6F83">
        <w:rPr>
          <w:color w:val="000000" w:themeColor="text1"/>
          <w:lang w:val="en-US"/>
        </w:rPr>
        <w:t>IgD</w:t>
      </w:r>
      <w:proofErr w:type="spellEnd"/>
      <w:r w:rsidRPr="00BA6F83">
        <w:rPr>
          <w:color w:val="000000" w:themeColor="text1"/>
          <w:lang w:val="en-US"/>
        </w:rPr>
        <w:t xml:space="preserve">, IgG, IgA and </w:t>
      </w:r>
      <w:proofErr w:type="spellStart"/>
      <w:r w:rsidRPr="00BA6F83">
        <w:rPr>
          <w:color w:val="000000" w:themeColor="text1"/>
          <w:lang w:val="en-US"/>
        </w:rPr>
        <w:t>IgE</w:t>
      </w:r>
      <w:proofErr w:type="spellEnd"/>
      <w:r w:rsidRPr="00BA6F83">
        <w:rPr>
          <w:color w:val="000000" w:themeColor="text1"/>
          <w:lang w:val="en-US"/>
        </w:rPr>
        <w:t xml:space="preserve"> located in the CH1 constant region. Each isotype was amplified separately to prevent the formation of cross-isotype chimeric PCR products, and 1/10</w:t>
      </w:r>
      <w:r w:rsidRPr="00BA6F83">
        <w:rPr>
          <w:color w:val="000000" w:themeColor="text1"/>
          <w:vertAlign w:val="superscript"/>
          <w:lang w:val="en-US"/>
        </w:rPr>
        <w:t>th</w:t>
      </w:r>
      <w:r w:rsidRPr="00BA6F83">
        <w:rPr>
          <w:color w:val="000000" w:themeColor="text1"/>
          <w:lang w:val="en-US"/>
        </w:rPr>
        <w:t xml:space="preserve"> of the total pool of cDNA generated from 1 µg of RNA from each sample was used for each RT-PCR reaction. </w:t>
      </w:r>
      <w:r w:rsidRPr="00BA6F83">
        <w:rPr>
          <w:color w:val="000000" w:themeColor="text1"/>
          <w:lang w:val="en-US"/>
        </w:rPr>
        <w:lastRenderedPageBreak/>
        <w:t xml:space="preserve">The primer sequences have been published previously </w:t>
      </w:r>
      <w:r w:rsidRPr="00BA6F83">
        <w:rPr>
          <w:color w:val="000000" w:themeColor="text1"/>
          <w:lang w:val="en-US"/>
        </w:rPr>
        <w:fldChar w:fldCharType="begin" w:fldLock="1"/>
      </w:r>
      <w:r w:rsidR="00756206">
        <w:rPr>
          <w:color w:val="000000" w:themeColor="text1"/>
          <w:lang w:val="en-US"/>
        </w:rPr>
        <w:instrText>ADDIN CSL_CITATION {"citationItems":[{"id":"ITEM-1","itemData":{"DOI":"10.1126/scitranslmed.aab1216","ISSN":"19466242","abstract":"Common variable immune deficiency (CVID) is the most common symptomatic primary immune deficiency, affecting ~1 in 25,000 persons. These patients suffer from impaired antibody responses, autoimmunity, and susceptibility to lymphoid cancers. To explore the cellular basis for these clinical phenotypes, we conducted high-throughput DNA sequencing of immunoglobulin heavy chain gene rearrangements from 93 CVID patients and 105 control subjects and sorted naïve and memory B cells from 13 of the CVID patients and 10 of the control subjects. The CVID patients showed abnormal VDJ rearrangement and abnormal formation of complementarity-determining region 3 (CDR3). We observed a decreased selection against antibodies with long CDR3s in memory repertoires and decreased variable gene replacement, offering possible mechanisms for increased patient autoreactivity. Our data indicate that patient immunodeficiency might derive from both decreased diversity of the naïve B cell pool and decreased somatic hypermutation in memory repertoires. The CVID patients also exhibited an abnormal clonal expansion of unmutated B cells relative to the controls. Although impaired B cell germinal center activation is commonly viewed as causative in CVID, these data indicate that CVID B cells diverge from controls as early as the pro-B stage, cell and suggest possible explanations for the increased incidence of autoimmunity, immunodeficiency, and lymphoma CVID patients.","author":[{"dropping-particle":"","family":"Roskin","given":"Krishna M.","non-dropping-particle":"","parse-names":false,"suffix":""},{"dropping-particle":"","family":"Simchoni","given":"Noa","non-dropping-particle":"","parse-names":false,"suffix":""},{"dropping-particle":"","family":"Liu","given":"Yi","non-dropping-particle":"","parse-names":false,"suffix":""},{"dropping-particle":"","family":"Lee","given":"Ji Yeun","non-dropping-particle":"","parse-names":false,"suffix":""},{"dropping-particle":"","family":"Seo","given":"Katie","non-dropping-particle":"","parse-names":false,"suffix":""},{"dropping-particle":"","family":"Hoh","given":"Ramona A.","non-dropping-particle":"","parse-names":false,"suffix":""},{"dropping-particle":"","family":"Pham","given":"Tho","non-dropping-particle":"","parse-names":false,"suffix":""},{"dropping-particle":"","family":"Park","given":"Joon H.","non-dropping-particle":"","parse-names":false,"suffix":""},{"dropping-particle":"","family":"Furman","given":"David","non-dropping-particle":"","parse-names":false,"suffix":""},{"dropping-particle":"","family":"Dekker","given":"Cornelia L.","non-dropping-particle":"","parse-names":false,"suffix":""},{"dropping-particle":"","family":"Davis","given":"Mark M.","non-dropping-particle":"","parse-names":false,"suffix":""},{"dropping-particle":"","family":"James","given":"Judith A.","non-dropping-particle":"","parse-names":false,"suffix":""},{"dropping-particle":"","family":"Nadeau","given":"Kari C.","non-dropping-particle":"","parse-names":false,"suffix":""},{"dropping-particle":"","family":"Cunningham-Rundles","given":"Charlotte","non-dropping-particle":"","parse-names":false,"suffix":""},{"dropping-particle":"","family":"Boyd","given":"Scott D.","non-dropping-particle":"","parse-names":false,"suffix":""}],"container-title":"Science Translational Medicine","id":"ITEM-1","issue":"302","issued":{"date-parts":[["2015"]]},"page":"302ra135","title":"IgH sequences in common variable immune deficiency reveal altered B cell development and selection","type":"article-journal","volume":"7"},"uris":["http://www.mendeley.com/documents/?uuid=48c82ed9-8829-4376-a294-c5bebc470b4c","http://www.mendeley.com/documents/?uuid=65028989-0def-4629-91ae-281c21101571"]}],"mendeley":{"formattedCitation":"&lt;sup&gt;89&lt;/sup&gt;","plainTextFormattedCitation":"89","previouslyFormattedCitation":"&lt;sup&gt;88&lt;/sup&gt;"},"properties":{"noteIndex":0},"schema":"https://github.com/citation-style-language/schema/raw/master/csl-citation.json"}</w:instrText>
      </w:r>
      <w:r w:rsidRPr="00BA6F83">
        <w:rPr>
          <w:color w:val="000000" w:themeColor="text1"/>
          <w:lang w:val="en-US"/>
        </w:rPr>
        <w:fldChar w:fldCharType="separate"/>
      </w:r>
      <w:r w:rsidR="00756206" w:rsidRPr="00756206">
        <w:rPr>
          <w:noProof/>
          <w:color w:val="000000" w:themeColor="text1"/>
          <w:vertAlign w:val="superscript"/>
          <w:lang w:val="en-US"/>
        </w:rPr>
        <w:t>89</w:t>
      </w:r>
      <w:r w:rsidRPr="00BA6F83">
        <w:rPr>
          <w:color w:val="000000" w:themeColor="text1"/>
          <w:lang w:val="en-US"/>
        </w:rPr>
        <w:fldChar w:fldCharType="end"/>
      </w:r>
      <w:r w:rsidRPr="00BA6F83">
        <w:rPr>
          <w:color w:val="000000" w:themeColor="text1"/>
          <w:lang w:val="en-US"/>
        </w:rPr>
        <w:t xml:space="preserve">. Briefly, primers contained 8-mer barcodes used to identify samples as well as half of the Illumina adapter sequence needed for cluster generation and sequencing on the </w:t>
      </w:r>
      <w:proofErr w:type="spellStart"/>
      <w:r w:rsidRPr="00BA6F83">
        <w:rPr>
          <w:color w:val="000000" w:themeColor="text1"/>
          <w:lang w:val="en-US"/>
        </w:rPr>
        <w:t>MiSeq</w:t>
      </w:r>
      <w:proofErr w:type="spellEnd"/>
      <w:r w:rsidRPr="00BA6F83">
        <w:rPr>
          <w:color w:val="000000" w:themeColor="text1"/>
          <w:lang w:val="en-US"/>
        </w:rPr>
        <w:t xml:space="preserve"> instrument. PCR was performed with gene-specific primers for 35 cycles, and then an additional 12 cycles with primers to complete the Illumina adapters. For Illumina cluster recognition, four randomized nucleotides were included in the primers immediately after the Illumina adapter sequence in the constant region primers. The PCR programs were as follows: first PCR: 94</w:t>
      </w:r>
      <w:r w:rsidRPr="00BA6F83">
        <w:rPr>
          <w:color w:val="000000" w:themeColor="text1"/>
          <w:lang w:val="en-US"/>
        </w:rPr>
        <w:sym w:font="Symbol" w:char="F0B0"/>
      </w:r>
      <w:r w:rsidRPr="00BA6F83">
        <w:rPr>
          <w:color w:val="000000" w:themeColor="text1"/>
          <w:lang w:val="en-US"/>
        </w:rPr>
        <w:t>C for 7 min.; 35 cycles of (94</w:t>
      </w:r>
      <w:r w:rsidRPr="00BA6F83">
        <w:rPr>
          <w:color w:val="000000" w:themeColor="text1"/>
          <w:lang w:val="en-US"/>
        </w:rPr>
        <w:sym w:font="Symbol" w:char="F0B0"/>
      </w:r>
      <w:r w:rsidRPr="00BA6F83">
        <w:rPr>
          <w:color w:val="000000" w:themeColor="text1"/>
          <w:lang w:val="en-US"/>
        </w:rPr>
        <w:t>C 30 s, 58</w:t>
      </w:r>
      <w:r w:rsidRPr="00BA6F83">
        <w:rPr>
          <w:color w:val="000000" w:themeColor="text1"/>
          <w:lang w:val="en-US"/>
        </w:rPr>
        <w:sym w:font="Symbol" w:char="F0B0"/>
      </w:r>
      <w:r w:rsidRPr="00BA6F83">
        <w:rPr>
          <w:color w:val="000000" w:themeColor="text1"/>
          <w:lang w:val="en-US"/>
        </w:rPr>
        <w:t>C 45 s, 72</w:t>
      </w:r>
      <w:r w:rsidRPr="00BA6F83">
        <w:rPr>
          <w:color w:val="000000" w:themeColor="text1"/>
          <w:lang w:val="en-US"/>
        </w:rPr>
        <w:sym w:font="Symbol" w:char="F0B0"/>
      </w:r>
      <w:r w:rsidRPr="00BA6F83">
        <w:rPr>
          <w:color w:val="000000" w:themeColor="text1"/>
          <w:lang w:val="en-US"/>
        </w:rPr>
        <w:t>C 120 s); and final extension at 72</w:t>
      </w:r>
      <w:r w:rsidRPr="00BA6F83">
        <w:rPr>
          <w:color w:val="000000" w:themeColor="text1"/>
          <w:lang w:val="en-US"/>
        </w:rPr>
        <w:sym w:font="Symbol" w:char="F0B0"/>
      </w:r>
      <w:r w:rsidRPr="00BA6F83">
        <w:rPr>
          <w:color w:val="000000" w:themeColor="text1"/>
          <w:lang w:val="en-US"/>
        </w:rPr>
        <w:t>C for 10 min.; second PCR: 0.4 µL of first PCR product was used as template for this 30 µL reaction. Conditions: 94</w:t>
      </w:r>
      <w:r w:rsidRPr="00BA6F83">
        <w:rPr>
          <w:color w:val="000000" w:themeColor="text1"/>
          <w:lang w:val="en-US"/>
        </w:rPr>
        <w:sym w:font="Symbol" w:char="F0B0"/>
      </w:r>
      <w:r w:rsidRPr="00BA6F83">
        <w:rPr>
          <w:color w:val="000000" w:themeColor="text1"/>
          <w:lang w:val="en-US"/>
        </w:rPr>
        <w:t>C for 15 min.; 12 cycles of (94</w:t>
      </w:r>
      <w:r w:rsidRPr="00BA6F83">
        <w:rPr>
          <w:color w:val="000000" w:themeColor="text1"/>
          <w:lang w:val="en-US"/>
        </w:rPr>
        <w:sym w:font="Symbol" w:char="F0B0"/>
      </w:r>
      <w:r w:rsidRPr="00BA6F83">
        <w:rPr>
          <w:color w:val="000000" w:themeColor="text1"/>
          <w:lang w:val="en-US"/>
        </w:rPr>
        <w:t>C 30 s, 60</w:t>
      </w:r>
      <w:r w:rsidRPr="00BA6F83">
        <w:rPr>
          <w:color w:val="000000" w:themeColor="text1"/>
          <w:lang w:val="en-US"/>
        </w:rPr>
        <w:sym w:font="Symbol" w:char="F0B0"/>
      </w:r>
      <w:r w:rsidRPr="00BA6F83">
        <w:rPr>
          <w:color w:val="000000" w:themeColor="text1"/>
          <w:lang w:val="en-US"/>
        </w:rPr>
        <w:t>C 45 s, 72</w:t>
      </w:r>
      <w:r w:rsidRPr="00BA6F83">
        <w:rPr>
          <w:color w:val="000000" w:themeColor="text1"/>
          <w:lang w:val="en-US"/>
        </w:rPr>
        <w:sym w:font="Symbol" w:char="F0B0"/>
      </w:r>
      <w:r w:rsidRPr="00BA6F83">
        <w:rPr>
          <w:color w:val="000000" w:themeColor="text1"/>
          <w:lang w:val="en-US"/>
        </w:rPr>
        <w:t>C 90 s); and final extension at 72</w:t>
      </w:r>
      <w:r w:rsidRPr="00BA6F83">
        <w:rPr>
          <w:color w:val="000000" w:themeColor="text1"/>
          <w:lang w:val="en-US"/>
        </w:rPr>
        <w:sym w:font="Symbol" w:char="F0B0"/>
      </w:r>
      <w:r w:rsidRPr="00BA6F83">
        <w:rPr>
          <w:color w:val="000000" w:themeColor="text1"/>
          <w:lang w:val="en-US"/>
        </w:rPr>
        <w:t xml:space="preserve">C for 10 min. </w:t>
      </w:r>
      <w:r w:rsidR="00004AA1" w:rsidRPr="00004AA1">
        <w:rPr>
          <w:color w:val="000000" w:themeColor="text1"/>
          <w:lang w:val="en-US"/>
        </w:rPr>
        <w:t xml:space="preserve">Amplification was confirmed by electrophoresis on agarose gels. To adjust for differences in amplification efficiencies arising from sample quality and biological factors such as low numbers of </w:t>
      </w:r>
      <w:proofErr w:type="spellStart"/>
      <w:r w:rsidR="00004AA1" w:rsidRPr="00004AA1">
        <w:rPr>
          <w:color w:val="000000" w:themeColor="text1"/>
          <w:lang w:val="en-US"/>
        </w:rPr>
        <w:t>IgE</w:t>
      </w:r>
      <w:proofErr w:type="spellEnd"/>
      <w:r w:rsidR="00004AA1" w:rsidRPr="00004AA1">
        <w:rPr>
          <w:color w:val="000000" w:themeColor="text1"/>
          <w:lang w:val="en-US"/>
        </w:rPr>
        <w:t xml:space="preserve"> transcripts relative to IgM,</w:t>
      </w:r>
      <w:r w:rsidR="00B913EA">
        <w:rPr>
          <w:color w:val="000000" w:themeColor="text1"/>
          <w:lang w:val="en-US"/>
        </w:rPr>
        <w:t xml:space="preserve"> </w:t>
      </w:r>
      <w:proofErr w:type="spellStart"/>
      <w:r w:rsidR="00004AA1" w:rsidRPr="00004AA1">
        <w:rPr>
          <w:color w:val="000000" w:themeColor="text1"/>
          <w:lang w:val="en-US"/>
        </w:rPr>
        <w:t>IgD</w:t>
      </w:r>
      <w:proofErr w:type="spellEnd"/>
      <w:r w:rsidR="00004AA1" w:rsidRPr="00004AA1">
        <w:rPr>
          <w:color w:val="000000" w:themeColor="text1"/>
          <w:lang w:val="en-US"/>
        </w:rPr>
        <w:t>,</w:t>
      </w:r>
      <w:r w:rsidR="00B913EA">
        <w:rPr>
          <w:color w:val="000000" w:themeColor="text1"/>
          <w:lang w:val="en-US"/>
        </w:rPr>
        <w:t xml:space="preserve"> </w:t>
      </w:r>
      <w:r w:rsidR="00004AA1" w:rsidRPr="00004AA1">
        <w:rPr>
          <w:color w:val="000000" w:themeColor="text1"/>
          <w:lang w:val="en-US"/>
        </w:rPr>
        <w:t xml:space="preserve">IgG and IgA transcripts, PCR reactions were pooled in roughly equal amounts based on the visual inspection of band intensity. The pool of products was then separated again by electrophoresis </w:t>
      </w:r>
      <w:r w:rsidRPr="00BA6F83">
        <w:rPr>
          <w:color w:val="000000" w:themeColor="text1"/>
          <w:lang w:val="en-US"/>
        </w:rPr>
        <w:t xml:space="preserve">and purified with </w:t>
      </w:r>
      <w:proofErr w:type="spellStart"/>
      <w:r w:rsidRPr="00BA6F83">
        <w:rPr>
          <w:color w:val="000000" w:themeColor="text1"/>
          <w:lang w:val="en-US"/>
        </w:rPr>
        <w:t>QIAquick</w:t>
      </w:r>
      <w:proofErr w:type="spellEnd"/>
      <w:r w:rsidRPr="00BA6F83">
        <w:rPr>
          <w:color w:val="000000" w:themeColor="text1"/>
          <w:lang w:val="en-US"/>
        </w:rPr>
        <w:t xml:space="preserve"> Gel Extraction Kits (Qiagen). </w:t>
      </w:r>
      <w:proofErr w:type="spellStart"/>
      <w:r w:rsidRPr="00BA6F83">
        <w:rPr>
          <w:color w:val="000000" w:themeColor="text1"/>
          <w:lang w:val="en-US"/>
        </w:rPr>
        <w:t>IgH</w:t>
      </w:r>
      <w:proofErr w:type="spellEnd"/>
      <w:r w:rsidRPr="00BA6F83">
        <w:rPr>
          <w:color w:val="000000" w:themeColor="text1"/>
          <w:lang w:val="en-US"/>
        </w:rPr>
        <w:t xml:space="preserve"> libraries were sequenced on an Illumina </w:t>
      </w:r>
      <w:proofErr w:type="spellStart"/>
      <w:r w:rsidRPr="00BA6F83">
        <w:rPr>
          <w:color w:val="000000" w:themeColor="text1"/>
          <w:lang w:val="en-US"/>
        </w:rPr>
        <w:t>MiSeq</w:t>
      </w:r>
      <w:proofErr w:type="spellEnd"/>
      <w:r w:rsidRPr="00BA6F83">
        <w:rPr>
          <w:color w:val="000000" w:themeColor="text1"/>
          <w:lang w:val="en-US"/>
        </w:rPr>
        <w:t xml:space="preserve"> using 600-cycle sequencing kits.</w:t>
      </w:r>
    </w:p>
    <w:p w14:paraId="5B21E7B4" w14:textId="77777777" w:rsidR="00CE2959" w:rsidRPr="00BA6F83" w:rsidRDefault="00CE2959" w:rsidP="00CE2959">
      <w:pPr>
        <w:shd w:val="clear" w:color="auto" w:fill="FFFFFF"/>
        <w:spacing w:line="480" w:lineRule="auto"/>
        <w:jc w:val="both"/>
        <w:rPr>
          <w:color w:val="000000" w:themeColor="text1"/>
          <w:lang w:val="en-US"/>
        </w:rPr>
      </w:pPr>
    </w:p>
    <w:p w14:paraId="3EC2C02E" w14:textId="77777777" w:rsidR="00CE2959" w:rsidRPr="00BA6F83" w:rsidRDefault="00CE2959" w:rsidP="00CE2959">
      <w:pPr>
        <w:shd w:val="clear" w:color="auto" w:fill="FFFFFF"/>
        <w:spacing w:line="480" w:lineRule="auto"/>
        <w:jc w:val="both"/>
        <w:rPr>
          <w:i/>
          <w:color w:val="000000" w:themeColor="text1"/>
          <w:lang w:val="en-US"/>
        </w:rPr>
      </w:pPr>
      <w:proofErr w:type="spellStart"/>
      <w:r w:rsidRPr="00BA6F83">
        <w:rPr>
          <w:i/>
          <w:color w:val="000000" w:themeColor="text1"/>
          <w:lang w:val="en-US"/>
        </w:rPr>
        <w:t>IgH</w:t>
      </w:r>
      <w:proofErr w:type="spellEnd"/>
      <w:r w:rsidRPr="00BA6F83">
        <w:rPr>
          <w:i/>
          <w:color w:val="000000" w:themeColor="text1"/>
          <w:lang w:val="en-US"/>
        </w:rPr>
        <w:t xml:space="preserve"> sequence analysis</w:t>
      </w:r>
    </w:p>
    <w:p w14:paraId="50536BBE" w14:textId="77777777" w:rsidR="00CE2959" w:rsidRPr="00BA6F83" w:rsidRDefault="00CE2959" w:rsidP="00CE2959">
      <w:pPr>
        <w:spacing w:line="480" w:lineRule="auto"/>
        <w:jc w:val="both"/>
        <w:rPr>
          <w:color w:val="000000" w:themeColor="text1"/>
          <w:lang w:val="en-US"/>
        </w:rPr>
      </w:pPr>
      <w:r w:rsidRPr="00BA6F83">
        <w:rPr>
          <w:color w:val="000000" w:themeColor="text1"/>
          <w:lang w:val="en-US"/>
        </w:rPr>
        <w:t>Paired-end reads were merged by FLASH and sequences with perfect or single mismatch alignment to full-length V</w:t>
      </w:r>
      <w:r w:rsidRPr="00BA6F83">
        <w:rPr>
          <w:color w:val="000000" w:themeColor="text1"/>
          <w:vertAlign w:val="subscript"/>
          <w:lang w:val="en-US"/>
        </w:rPr>
        <w:t xml:space="preserve">H </w:t>
      </w:r>
      <w:r w:rsidRPr="00BA6F83">
        <w:rPr>
          <w:color w:val="000000" w:themeColor="text1"/>
          <w:lang w:val="en-US"/>
        </w:rPr>
        <w:t>and C</w:t>
      </w:r>
      <w:r w:rsidRPr="00BA6F83">
        <w:rPr>
          <w:color w:val="000000" w:themeColor="text1"/>
          <w:vertAlign w:val="subscript"/>
          <w:lang w:val="en-US"/>
        </w:rPr>
        <w:t>H</w:t>
      </w:r>
      <w:r w:rsidRPr="00BA6F83">
        <w:rPr>
          <w:color w:val="000000" w:themeColor="text1"/>
          <w:lang w:val="en-US"/>
        </w:rPr>
        <w:t xml:space="preserve"> primers were demultiplexed according to the primer-encoded barcodes. Isotypes were called by perfect or single mismatch alignment to known constant region gene sequences, to remove artefactual sequences generated by cross-priming in the CH1 region and sequences with low-certainty </w:t>
      </w:r>
      <w:proofErr w:type="spellStart"/>
      <w:r w:rsidRPr="00BA6F83">
        <w:rPr>
          <w:color w:val="000000" w:themeColor="text1"/>
          <w:lang w:val="en-US"/>
        </w:rPr>
        <w:t>subisotype</w:t>
      </w:r>
      <w:proofErr w:type="spellEnd"/>
      <w:r w:rsidRPr="00BA6F83">
        <w:rPr>
          <w:color w:val="000000" w:themeColor="text1"/>
          <w:lang w:val="en-US"/>
        </w:rPr>
        <w:t xml:space="preserve"> calls. Out-of-frame rearrangements, rearrangements containing stop codons, and reads with no isotype call were not analyzed further. Reads were aligned using a local installation of </w:t>
      </w:r>
      <w:proofErr w:type="spellStart"/>
      <w:r w:rsidRPr="00BA6F83">
        <w:rPr>
          <w:color w:val="000000" w:themeColor="text1"/>
          <w:lang w:val="en-US"/>
        </w:rPr>
        <w:t>IgBLAST</w:t>
      </w:r>
      <w:proofErr w:type="spellEnd"/>
      <w:r w:rsidRPr="00BA6F83">
        <w:rPr>
          <w:color w:val="000000" w:themeColor="text1"/>
          <w:lang w:val="en-US"/>
        </w:rPr>
        <w:t xml:space="preserve"> to </w:t>
      </w:r>
      <w:r w:rsidRPr="00BA6F83">
        <w:rPr>
          <w:color w:val="000000" w:themeColor="text1"/>
          <w:lang w:val="en-US"/>
        </w:rPr>
        <w:lastRenderedPageBreak/>
        <w:t xml:space="preserve">identify features including germline IGHV, IGHD and IGHJ genes, framework and heavy chain complementarity determining regions 1, 2 and 3 (CDR-H1, CDR-H2 and CDR-H3). After quality filtering, library sequencing yielded 11,115,260 productively rearranged sequences, which were subsequently clustered into inferred clonal lineages via single linkage clustering, with the restrictions that the sequences had to be from the same individual, use the same IGHV gene and the same IGHJ gene (disregarding allele call), have the same CDR-H3 length, and have at least 90% identity in the nucleotides encoding the CDR-H3 region. </w:t>
      </w:r>
      <w:proofErr w:type="spellStart"/>
      <w:r w:rsidRPr="00BA6F83">
        <w:rPr>
          <w:color w:val="000000" w:themeColor="text1"/>
          <w:lang w:val="en-US"/>
        </w:rPr>
        <w:t>IgE</w:t>
      </w:r>
      <w:proofErr w:type="spellEnd"/>
      <w:r w:rsidRPr="00BA6F83">
        <w:rPr>
          <w:color w:val="000000" w:themeColor="text1"/>
          <w:lang w:val="en-US"/>
        </w:rPr>
        <w:t xml:space="preserve">+ clones were defined as those that contained at least one member expressing </w:t>
      </w:r>
      <w:proofErr w:type="spellStart"/>
      <w:r w:rsidRPr="00BA6F83">
        <w:rPr>
          <w:color w:val="000000" w:themeColor="text1"/>
          <w:lang w:val="en-US"/>
        </w:rPr>
        <w:t>IgE</w:t>
      </w:r>
      <w:proofErr w:type="spellEnd"/>
      <w:r w:rsidRPr="00BA6F83">
        <w:rPr>
          <w:color w:val="000000" w:themeColor="text1"/>
          <w:lang w:val="en-US"/>
        </w:rPr>
        <w:t>.</w:t>
      </w:r>
    </w:p>
    <w:p w14:paraId="2B59395B" w14:textId="77777777" w:rsidR="00CE2959" w:rsidRPr="00BA6F83" w:rsidRDefault="00CE2959" w:rsidP="00CE2959">
      <w:pPr>
        <w:spacing w:after="120" w:line="360" w:lineRule="auto"/>
        <w:jc w:val="both"/>
        <w:outlineLvl w:val="0"/>
        <w:rPr>
          <w:rFonts w:ascii="Arial" w:hAnsi="Arial" w:cs="Arial"/>
          <w:color w:val="000000" w:themeColor="text1"/>
          <w:u w:val="single"/>
          <w:lang w:val="en-US"/>
        </w:rPr>
      </w:pPr>
    </w:p>
    <w:p w14:paraId="18FA3007" w14:textId="77777777" w:rsidR="00CE2959" w:rsidRPr="00BA6F83" w:rsidRDefault="00CE2959" w:rsidP="00CE2959">
      <w:pPr>
        <w:spacing w:after="120" w:line="360" w:lineRule="auto"/>
        <w:jc w:val="both"/>
        <w:outlineLvl w:val="0"/>
        <w:rPr>
          <w:rFonts w:asciiTheme="minorHAnsi" w:hAnsiTheme="minorHAnsi" w:cs="Arial"/>
          <w:color w:val="000000" w:themeColor="text1"/>
          <w:u w:val="single"/>
          <w:lang w:val="en-US"/>
        </w:rPr>
      </w:pPr>
      <w:r w:rsidRPr="00BA6F83">
        <w:rPr>
          <w:rFonts w:asciiTheme="minorHAnsi" w:hAnsiTheme="minorHAnsi" w:cs="Arial"/>
          <w:color w:val="000000" w:themeColor="text1"/>
          <w:u w:val="single"/>
          <w:lang w:val="en-US"/>
        </w:rPr>
        <w:t xml:space="preserve">Quantification and Statistical Analysis </w:t>
      </w:r>
    </w:p>
    <w:p w14:paraId="51113975" w14:textId="77777777" w:rsidR="00CE2959" w:rsidRPr="00BA6F83" w:rsidRDefault="00CE2959" w:rsidP="00CE2959">
      <w:pPr>
        <w:spacing w:after="120" w:line="480" w:lineRule="auto"/>
        <w:jc w:val="both"/>
        <w:rPr>
          <w:rFonts w:asciiTheme="minorHAnsi" w:hAnsiTheme="minorHAnsi" w:cstheme="minorHAnsi"/>
          <w:i/>
          <w:color w:val="000000" w:themeColor="text1"/>
          <w:lang w:val="en-US"/>
        </w:rPr>
      </w:pPr>
      <w:r w:rsidRPr="00BA6F83">
        <w:rPr>
          <w:rFonts w:asciiTheme="minorHAnsi" w:hAnsiTheme="minorHAnsi" w:cstheme="minorHAnsi"/>
          <w:i/>
          <w:color w:val="000000" w:themeColor="text1"/>
          <w:lang w:val="en-US"/>
        </w:rPr>
        <w:t>Sample size and statistical methods:</w:t>
      </w:r>
    </w:p>
    <w:p w14:paraId="1CD63132" w14:textId="6A4A5B1A"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 animal studies, the number of mice was selected based on power calculations performed based on previous or present studies carried out in our laboratory and in the field.</w:t>
      </w:r>
      <w:r w:rsidR="002B7815">
        <w:rPr>
          <w:color w:val="000000" w:themeColor="text1"/>
          <w:szCs w:val="24"/>
          <w:lang w:val="en-US"/>
        </w:rPr>
        <w:t xml:space="preserve"> Normal (Gaussian) distribution was determined for all data sets using Shapiro-Wilk normality test. Data sets where one (or more) group did not pass the normality test (</w:t>
      </w:r>
      <w:r w:rsidR="007B00FB">
        <w:rPr>
          <w:color w:val="000000" w:themeColor="text1"/>
          <w:szCs w:val="24"/>
          <w:lang w:val="en-US"/>
        </w:rPr>
        <w:t xml:space="preserve">assuming </w:t>
      </w:r>
      <w:r w:rsidR="002B7815" w:rsidRPr="002B7815">
        <w:rPr>
          <w:color w:val="000000" w:themeColor="text1"/>
          <w:szCs w:val="24"/>
          <w:lang w:val="en-US"/>
        </w:rPr>
        <w:t>α</w:t>
      </w:r>
      <w:r w:rsidR="007B00FB">
        <w:rPr>
          <w:color w:val="000000" w:themeColor="text1"/>
          <w:szCs w:val="24"/>
          <w:lang w:val="en-US"/>
        </w:rPr>
        <w:t xml:space="preserve"> =</w:t>
      </w:r>
      <w:r w:rsidR="002B7815" w:rsidRPr="007B00FB">
        <w:rPr>
          <w:color w:val="000000" w:themeColor="text1"/>
          <w:szCs w:val="24"/>
          <w:lang w:val="en-US"/>
        </w:rPr>
        <w:t xml:space="preserve"> </w:t>
      </w:r>
      <w:r w:rsidR="007B00FB" w:rsidRPr="007B00FB">
        <w:rPr>
          <w:color w:val="000000" w:themeColor="text1"/>
          <w:szCs w:val="24"/>
          <w:lang w:val="en-US"/>
        </w:rPr>
        <w:t>0.05)</w:t>
      </w:r>
      <w:r w:rsidR="007B00FB">
        <w:rPr>
          <w:color w:val="000000" w:themeColor="text1"/>
          <w:szCs w:val="24"/>
          <w:lang w:val="en-US"/>
        </w:rPr>
        <w:t xml:space="preserve">, were analyzed using non-parametric tests. Otherwise, parametric tests </w:t>
      </w:r>
      <w:r w:rsidR="007B00FB" w:rsidRPr="00BA6F83">
        <w:rPr>
          <w:color w:val="000000" w:themeColor="text1"/>
          <w:szCs w:val="24"/>
          <w:lang w:val="en-US"/>
        </w:rPr>
        <w:t>were</w:t>
      </w:r>
      <w:r w:rsidR="007B00FB">
        <w:rPr>
          <w:color w:val="000000" w:themeColor="text1"/>
          <w:szCs w:val="24"/>
          <w:lang w:val="en-US"/>
        </w:rPr>
        <w:t xml:space="preserve"> used. </w:t>
      </w:r>
      <w:r w:rsidRPr="00BA6F83">
        <w:rPr>
          <w:color w:val="000000" w:themeColor="text1"/>
          <w:szCs w:val="24"/>
          <w:lang w:val="en-US"/>
        </w:rPr>
        <w:t>For the assessment of the diarrhea-score</w:t>
      </w:r>
      <w:r w:rsidR="00B913EA">
        <w:rPr>
          <w:color w:val="000000" w:themeColor="text1"/>
          <w:szCs w:val="24"/>
          <w:lang w:val="en-US"/>
        </w:rPr>
        <w:t>, whole total transit time and water content in fecal water</w:t>
      </w:r>
      <w:r w:rsidRPr="00BA6F83">
        <w:rPr>
          <w:color w:val="000000" w:themeColor="text1"/>
          <w:szCs w:val="24"/>
          <w:lang w:val="en-US"/>
        </w:rPr>
        <w:t xml:space="preserve"> we used between 6 and </w:t>
      </w:r>
      <w:r w:rsidR="00B913EA">
        <w:rPr>
          <w:color w:val="000000" w:themeColor="text1"/>
          <w:szCs w:val="24"/>
          <w:lang w:val="en-US"/>
        </w:rPr>
        <w:t>10</w:t>
      </w:r>
      <w:r w:rsidRPr="00BA6F83">
        <w:rPr>
          <w:color w:val="000000" w:themeColor="text1"/>
          <w:szCs w:val="24"/>
          <w:lang w:val="en-US"/>
        </w:rPr>
        <w:t xml:space="preserve"> mice per experimental group. For measurement visceromotor response we used between 3 and 13 mice per experimental group/genotype/pharmacological treatment. For ELISpot assay, we used 4 mice per experimental group. For recording of afferent nerves experiment we used between 6 and 8 mice per experimental group. For measurement of colonic permeability, we used between 5 and 12 mice per group/genotype/pharmacological treatment. For analysis of gut microbiota, we used 8 mice per experimental group. For histology studies we used between 6 and 8 mice per experimental group. For measurement of cytokine levels, we used between 8 and 12 mice per experimental group. For measurement of gene expression in colonic murine samples we used between 5 and 21 mice per </w:t>
      </w:r>
      <w:r w:rsidRPr="00BA6F83">
        <w:rPr>
          <w:color w:val="000000" w:themeColor="text1"/>
          <w:szCs w:val="24"/>
          <w:lang w:val="en-US"/>
        </w:rPr>
        <w:lastRenderedPageBreak/>
        <w:t xml:space="preserve">experimental group. For FACS analysis we used between </w:t>
      </w:r>
      <w:r w:rsidR="003B2AF6">
        <w:rPr>
          <w:color w:val="000000" w:themeColor="text1"/>
          <w:szCs w:val="24"/>
          <w:lang w:val="en-US"/>
        </w:rPr>
        <w:t>6</w:t>
      </w:r>
      <w:r w:rsidRPr="00BA6F83">
        <w:rPr>
          <w:color w:val="000000" w:themeColor="text1"/>
          <w:szCs w:val="24"/>
          <w:lang w:val="en-US"/>
        </w:rPr>
        <w:t xml:space="preserve"> and </w:t>
      </w:r>
      <w:r w:rsidR="003B2AF6">
        <w:rPr>
          <w:color w:val="000000" w:themeColor="text1"/>
          <w:szCs w:val="24"/>
          <w:lang w:val="en-US"/>
        </w:rPr>
        <w:t>10</w:t>
      </w:r>
      <w:r w:rsidRPr="00BA6F83">
        <w:rPr>
          <w:color w:val="000000" w:themeColor="text1"/>
          <w:szCs w:val="24"/>
          <w:lang w:val="en-US"/>
        </w:rPr>
        <w:t xml:space="preserve"> mice per experimental group. For measurement of OVA-specific immunoglobulins we used between 6 and </w:t>
      </w:r>
      <w:r>
        <w:rPr>
          <w:color w:val="000000" w:themeColor="text1"/>
          <w:szCs w:val="24"/>
          <w:lang w:val="en-US"/>
        </w:rPr>
        <w:t>10</w:t>
      </w:r>
      <w:r w:rsidRPr="00BA6F83">
        <w:rPr>
          <w:color w:val="000000" w:themeColor="text1"/>
          <w:szCs w:val="24"/>
          <w:lang w:val="en-US"/>
        </w:rPr>
        <w:t xml:space="preserve"> mice per experimental group in serum samples; and between 4 and 19 mice per experimental group in colonic samples. </w:t>
      </w:r>
      <w:r>
        <w:rPr>
          <w:color w:val="000000" w:themeColor="text1"/>
          <w:szCs w:val="24"/>
          <w:lang w:val="en-US"/>
        </w:rPr>
        <w:t xml:space="preserve">For evaluation of live MC degranulation, </w:t>
      </w:r>
      <w:r w:rsidR="00B913EA">
        <w:rPr>
          <w:color w:val="000000" w:themeColor="text1"/>
          <w:szCs w:val="24"/>
          <w:lang w:val="en-US"/>
        </w:rPr>
        <w:t>145</w:t>
      </w:r>
      <w:r>
        <w:rPr>
          <w:color w:val="000000" w:themeColor="text1"/>
          <w:szCs w:val="24"/>
          <w:lang w:val="en-US"/>
        </w:rPr>
        <w:t>-</w:t>
      </w:r>
      <w:r w:rsidR="00B913EA">
        <w:rPr>
          <w:color w:val="000000" w:themeColor="text1"/>
          <w:szCs w:val="24"/>
          <w:lang w:val="en-US"/>
        </w:rPr>
        <w:t>239</w:t>
      </w:r>
      <w:r>
        <w:rPr>
          <w:color w:val="000000" w:themeColor="text1"/>
          <w:szCs w:val="24"/>
          <w:lang w:val="en-US"/>
        </w:rPr>
        <w:t xml:space="preserve"> MC were analyzed per group, from tissue isolated from </w:t>
      </w:r>
      <w:r w:rsidR="00B913EA">
        <w:rPr>
          <w:color w:val="000000" w:themeColor="text1"/>
          <w:szCs w:val="24"/>
          <w:lang w:val="en-US"/>
        </w:rPr>
        <w:t>6</w:t>
      </w:r>
      <w:r>
        <w:rPr>
          <w:color w:val="000000" w:themeColor="text1"/>
          <w:szCs w:val="24"/>
          <w:lang w:val="en-US"/>
        </w:rPr>
        <w:t>-</w:t>
      </w:r>
      <w:r w:rsidR="00B913EA">
        <w:rPr>
          <w:color w:val="000000" w:themeColor="text1"/>
          <w:szCs w:val="24"/>
          <w:lang w:val="en-US"/>
        </w:rPr>
        <w:t>9</w:t>
      </w:r>
      <w:r>
        <w:rPr>
          <w:color w:val="000000" w:themeColor="text1"/>
          <w:szCs w:val="24"/>
          <w:lang w:val="en-US"/>
        </w:rPr>
        <w:t xml:space="preserve"> different mice/group. </w:t>
      </w:r>
      <w:r w:rsidRPr="00BA6F83">
        <w:rPr>
          <w:color w:val="000000" w:themeColor="text1"/>
          <w:szCs w:val="24"/>
          <w:lang w:val="en-US"/>
        </w:rPr>
        <w:t>For evaluation of ear-swelling upon OVA intradermal injection we used between 6 and 10 mice per experimental group. For patch-clamp experiments in DRG neurons we used between 18 and 24 neurons per experimental group/pharmacological treatment. For measurement of Ca</w:t>
      </w:r>
      <w:r w:rsidRPr="00BA6F83">
        <w:rPr>
          <w:color w:val="000000" w:themeColor="text1"/>
          <w:szCs w:val="24"/>
          <w:vertAlign w:val="superscript"/>
          <w:lang w:val="en-US"/>
        </w:rPr>
        <w:t>2+</w:t>
      </w:r>
      <w:r w:rsidRPr="00BA6F83">
        <w:rPr>
          <w:color w:val="000000" w:themeColor="text1"/>
          <w:szCs w:val="24"/>
          <w:lang w:val="en-US"/>
        </w:rPr>
        <w:t xml:space="preserve"> responses we used between 51 and 126 neurons per group/genotype/pharmacological treatment. </w:t>
      </w:r>
    </w:p>
    <w:p w14:paraId="602A1006" w14:textId="4195EFC7"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In human studies, no power calculations were performed for the food-antigens injection study and the amount of participant was chosen based on a previous similar study performed in patients with eosinophilic esophagitis</w:t>
      </w:r>
      <w:r w:rsidRPr="00BA6F83">
        <w:rPr>
          <w:color w:val="000000" w:themeColor="text1"/>
          <w:szCs w:val="24"/>
          <w:lang w:val="en-US"/>
        </w:rPr>
        <w:fldChar w:fldCharType="begin" w:fldLock="1"/>
      </w:r>
      <w:r w:rsidR="00756206">
        <w:rPr>
          <w:color w:val="000000" w:themeColor="text1"/>
          <w:szCs w:val="24"/>
          <w:lang w:val="en-US"/>
        </w:rPr>
        <w:instrText>ADDIN CSL_CITATION {"citationItems":[{"id":"ITEM-1","itemData":{"DOI":"10.1053/j.gastro.2017.08.062","ISSN":"15280012","PMID":"28870530","abstract":"Skin tests and measurement of serum levels of immunoglobulin E do not accurately identify foods for elimination from the diets of patients with eosinophilic esophagitis (EoE). We investigated whether an esophageal prick test, in which the esophageal mucosa is challenged by local injection of allergen extracts, could identify individuals with esophageal sensitization. During endoscopy, 6 allergens were injected in the esophagus of 8 patients with EoE and 3 patients without EoE (controls). A second endoscopy was performed after 24 hours to evaluate delayed responses. Five of the 8 patients with EoE had evidence for an acute response (luminal obstruction and mucosal blanching); 2 other patients had a delayed wheal or flare reaction. No responses were observed in controls. We conclude that esophageal mucosal food allergen injections induce acute and/or delayed responses in patients with EoE but not controls. The esophageal prick test deserves further exploration because it may guide elimination diets.","author":[{"dropping-particle":"","family":"Warners","given":"Marijn J.","non-dropping-particle":"","parse-names":false,"suffix":""},{"dropping-particle":"","family":"Terreehorst","given":"Ingrid","non-dropping-particle":"","parse-names":false,"suffix":""},{"dropping-particle":"","family":"Wijngaard","given":"René M.","non-dropping-particle":"van den","parse-names":false,"suffix":""},{"dropping-particle":"","family":"Akkerdaas","given":"Jaap","non-dropping-particle":"","parse-names":false,"suffix":""},{"dropping-particle":"","family":"Esch","given":"Betty C.A.M.","non-dropping-particle":"van","parse-names":false,"suffix":""},{"dropping-particle":"","family":"Ree","given":"Ronald","non-dropping-particle":"van","parse-names":false,"suffix":""},{"dropping-particle":"","family":"Versteeg","given":"Serge A.","non-dropping-particle":"","parse-names":false,"suffix":""},{"dropping-particle":"","family":"Smout","given":"Andreas J.P.M.","non-dropping-particle":"","parse-names":false,"suffix":""},{"dropping-particle":"","family":"Bredenoord","given":"Albert J.","non-dropping-particle":"","parse-names":false,"suffix":""}],"container-title":"Gastroenterology","id":"ITEM-1","issue":"1","issued":{"date-parts":[["2018"]]},"page":"57-60.e2","title":"Abnormal Responses to Local Esophageal Food Allergen Injections in Adult Patients With Eosinophilic Esophagitis","type":"article-journal","volume":"154"},"uris":["http://www.mendeley.com/documents/?uuid=0a870d0e-89f1-4ccf-a423-b7f356ffa152"]}],"mendeley":{"formattedCitation":"&lt;sup&gt;90&lt;/sup&gt;","plainTextFormattedCitation":"90","previouslyFormattedCitation":"&lt;sup&gt;89&lt;/sup&gt;"},"properties":{"noteIndex":0},"schema":"https://github.com/citation-style-language/schema/raw/master/csl-citation.json"}</w:instrText>
      </w:r>
      <w:r w:rsidRPr="00BA6F83">
        <w:rPr>
          <w:color w:val="000000" w:themeColor="text1"/>
          <w:szCs w:val="24"/>
          <w:lang w:val="en-US"/>
        </w:rPr>
        <w:fldChar w:fldCharType="separate"/>
      </w:r>
      <w:r w:rsidR="00756206" w:rsidRPr="00756206">
        <w:rPr>
          <w:noProof/>
          <w:color w:val="000000" w:themeColor="text1"/>
          <w:szCs w:val="24"/>
          <w:vertAlign w:val="superscript"/>
          <w:lang w:val="en-US"/>
        </w:rPr>
        <w:t>90</w:t>
      </w:r>
      <w:r w:rsidRPr="00BA6F83">
        <w:rPr>
          <w:color w:val="000000" w:themeColor="text1"/>
          <w:szCs w:val="24"/>
          <w:lang w:val="en-US"/>
        </w:rPr>
        <w:fldChar w:fldCharType="end"/>
      </w:r>
      <w:r w:rsidRPr="00BA6F83">
        <w:rPr>
          <w:color w:val="000000" w:themeColor="text1"/>
          <w:szCs w:val="24"/>
          <w:lang w:val="en-US"/>
        </w:rPr>
        <w:t>: 8 HV subjects and 12 IBS patients were used. For the measurement of trypsin-like-activity, samples from the food antigens-injection sites of 8 IBS patients were processed</w:t>
      </w:r>
      <w:r w:rsidR="003B2AF6">
        <w:rPr>
          <w:color w:val="000000" w:themeColor="text1"/>
          <w:szCs w:val="24"/>
          <w:lang w:val="en-US"/>
        </w:rPr>
        <w:t>, and 1</w:t>
      </w:r>
      <w:r w:rsidR="00776CF5">
        <w:rPr>
          <w:color w:val="000000" w:themeColor="text1"/>
          <w:szCs w:val="24"/>
          <w:lang w:val="en-US"/>
        </w:rPr>
        <w:t>3</w:t>
      </w:r>
      <w:r w:rsidR="003B2AF6">
        <w:rPr>
          <w:color w:val="000000" w:themeColor="text1"/>
          <w:szCs w:val="24"/>
          <w:lang w:val="en-US"/>
        </w:rPr>
        <w:t xml:space="preserve"> HV vs 4</w:t>
      </w:r>
      <w:r w:rsidR="00776CF5">
        <w:rPr>
          <w:color w:val="000000" w:themeColor="text1"/>
          <w:szCs w:val="24"/>
          <w:lang w:val="en-US"/>
        </w:rPr>
        <w:t>8</w:t>
      </w:r>
      <w:r w:rsidR="003B2AF6">
        <w:rPr>
          <w:color w:val="000000" w:themeColor="text1"/>
          <w:szCs w:val="24"/>
          <w:lang w:val="en-US"/>
        </w:rPr>
        <w:t xml:space="preserve"> IBS patients were compared at basal conditions</w:t>
      </w:r>
      <w:r w:rsidRPr="00BA6F83">
        <w:rPr>
          <w:color w:val="000000" w:themeColor="text1"/>
          <w:szCs w:val="24"/>
          <w:lang w:val="en-US"/>
        </w:rPr>
        <w:t xml:space="preserve">. For assessment of </w:t>
      </w:r>
      <w:proofErr w:type="spellStart"/>
      <w:r w:rsidRPr="00BA6F83">
        <w:rPr>
          <w:color w:val="000000" w:themeColor="text1"/>
          <w:szCs w:val="24"/>
          <w:lang w:val="en-US"/>
        </w:rPr>
        <w:t>IgE</w:t>
      </w:r>
      <w:proofErr w:type="spellEnd"/>
      <w:r w:rsidRPr="00BA6F83">
        <w:rPr>
          <w:color w:val="000000" w:themeColor="text1"/>
          <w:szCs w:val="24"/>
          <w:lang w:val="en-US"/>
        </w:rPr>
        <w:t xml:space="preserve"> immunofluorescence in mucosal biopsies, </w:t>
      </w:r>
      <w:r w:rsidR="00776CF5">
        <w:rPr>
          <w:color w:val="000000" w:themeColor="text1"/>
          <w:szCs w:val="24"/>
          <w:lang w:val="en-US"/>
        </w:rPr>
        <w:t>15</w:t>
      </w:r>
      <w:r w:rsidRPr="00BA6F83">
        <w:rPr>
          <w:color w:val="000000" w:themeColor="text1"/>
          <w:szCs w:val="24"/>
          <w:lang w:val="en-US"/>
        </w:rPr>
        <w:t xml:space="preserve"> HV and 22 IBS patients were used. For the bacteria and </w:t>
      </w:r>
      <w:proofErr w:type="spellStart"/>
      <w:r w:rsidRPr="00BA6F83">
        <w:rPr>
          <w:color w:val="000000" w:themeColor="text1"/>
          <w:szCs w:val="24"/>
          <w:lang w:val="en-US"/>
        </w:rPr>
        <w:t>SAg</w:t>
      </w:r>
      <w:proofErr w:type="spellEnd"/>
      <w:r w:rsidRPr="00BA6F83">
        <w:rPr>
          <w:color w:val="000000" w:themeColor="text1"/>
          <w:szCs w:val="24"/>
          <w:lang w:val="en-US"/>
        </w:rPr>
        <w:t>-producing bacteria, the number of samples was chosen based on power calculations of past studies in the field: 64 HV subjects and 84 IBS patients were used.</w:t>
      </w:r>
    </w:p>
    <w:p w14:paraId="48B58D3F" w14:textId="301C7E62"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 xml:space="preserve">Diarrhea score and colonic compliance was analyzed with two-way RM ANOVA with </w:t>
      </w:r>
      <w:proofErr w:type="spellStart"/>
      <w:r w:rsidRPr="00BA6F83">
        <w:rPr>
          <w:color w:val="000000" w:themeColor="text1"/>
          <w:szCs w:val="24"/>
          <w:lang w:val="en-US"/>
        </w:rPr>
        <w:t>Sidak's</w:t>
      </w:r>
      <w:proofErr w:type="spellEnd"/>
      <w:r w:rsidRPr="00BA6F83">
        <w:rPr>
          <w:color w:val="000000" w:themeColor="text1"/>
          <w:szCs w:val="24"/>
          <w:lang w:val="en-US"/>
        </w:rPr>
        <w:t xml:space="preserve"> multiple comparisons post-test, each </w:t>
      </w:r>
      <w:r w:rsidRPr="00BA6F83">
        <w:rPr>
          <w:i/>
          <w:color w:val="000000" w:themeColor="text1"/>
          <w:szCs w:val="24"/>
          <w:lang w:val="en-US"/>
        </w:rPr>
        <w:t>p</w:t>
      </w:r>
      <w:r w:rsidRPr="00BA6F83">
        <w:rPr>
          <w:color w:val="000000" w:themeColor="text1"/>
          <w:szCs w:val="24"/>
          <w:lang w:val="en-US"/>
        </w:rPr>
        <w:t xml:space="preserve">-value was therefore adjusted to account for multiple comparison. </w:t>
      </w:r>
      <w:r w:rsidR="00004AA1">
        <w:rPr>
          <w:color w:val="000000" w:themeColor="text1"/>
          <w:szCs w:val="24"/>
          <w:lang w:val="en-US"/>
        </w:rPr>
        <w:t>Whole-gut transient time and fecal water content,</w:t>
      </w:r>
      <w:r w:rsidR="00004AA1" w:rsidRPr="00BA6F83">
        <w:rPr>
          <w:color w:val="000000" w:themeColor="text1"/>
          <w:szCs w:val="24"/>
          <w:lang w:val="en-US"/>
        </w:rPr>
        <w:t xml:space="preserve"> </w:t>
      </w:r>
      <w:r w:rsidR="00004AA1">
        <w:rPr>
          <w:color w:val="000000" w:themeColor="text1"/>
          <w:szCs w:val="24"/>
          <w:lang w:val="en-US"/>
        </w:rPr>
        <w:t>v</w:t>
      </w:r>
      <w:r w:rsidRPr="00BA6F83">
        <w:rPr>
          <w:color w:val="000000" w:themeColor="text1"/>
          <w:szCs w:val="24"/>
          <w:lang w:val="en-US"/>
        </w:rPr>
        <w:t xml:space="preserve">isceromotor response, afferent nerve recording, measurement of fluorescein sodium and TEER, FACS analysis, OVA-specific </w:t>
      </w:r>
      <w:proofErr w:type="spellStart"/>
      <w:r w:rsidRPr="00BA6F83">
        <w:rPr>
          <w:color w:val="000000" w:themeColor="text1"/>
          <w:szCs w:val="24"/>
          <w:lang w:val="en-US"/>
        </w:rPr>
        <w:t>IgE</w:t>
      </w:r>
      <w:proofErr w:type="spellEnd"/>
      <w:r w:rsidRPr="00BA6F83">
        <w:rPr>
          <w:color w:val="000000" w:themeColor="text1"/>
          <w:szCs w:val="24"/>
          <w:lang w:val="en-US"/>
        </w:rPr>
        <w:t xml:space="preserve"> in mouse tissue, association between VHS and bacterial abundance, </w:t>
      </w:r>
      <w:bookmarkStart w:id="19" w:name="_Hlk11167332"/>
      <w:r w:rsidRPr="00BA6F83">
        <w:rPr>
          <w:color w:val="000000" w:themeColor="text1"/>
          <w:szCs w:val="24"/>
          <w:lang w:val="en-US"/>
        </w:rPr>
        <w:t>rheobase and action potential number</w:t>
      </w:r>
      <w:bookmarkEnd w:id="19"/>
      <w:r w:rsidRPr="00BA6F83">
        <w:rPr>
          <w:color w:val="000000" w:themeColor="text1"/>
          <w:szCs w:val="24"/>
          <w:lang w:val="en-US"/>
        </w:rPr>
        <w:t>, measurement of Ca</w:t>
      </w:r>
      <w:r w:rsidRPr="00BA6F83">
        <w:rPr>
          <w:color w:val="000000" w:themeColor="text1"/>
          <w:szCs w:val="24"/>
          <w:vertAlign w:val="superscript"/>
          <w:lang w:val="en-US"/>
        </w:rPr>
        <w:t>2+</w:t>
      </w:r>
      <w:r w:rsidRPr="00BA6F83">
        <w:rPr>
          <w:color w:val="000000" w:themeColor="text1"/>
          <w:szCs w:val="24"/>
          <w:lang w:val="en-US"/>
        </w:rPr>
        <w:t xml:space="preserve"> responses in DRG neurons and total corrected cell fluorescence (TCCF) of </w:t>
      </w:r>
      <w:proofErr w:type="spellStart"/>
      <w:r w:rsidRPr="00BA6F83">
        <w:rPr>
          <w:color w:val="000000" w:themeColor="text1"/>
          <w:szCs w:val="24"/>
          <w:lang w:val="en-US"/>
        </w:rPr>
        <w:t>IgE</w:t>
      </w:r>
      <w:proofErr w:type="spellEnd"/>
      <w:r w:rsidRPr="00BA6F83">
        <w:rPr>
          <w:color w:val="000000" w:themeColor="text1"/>
          <w:szCs w:val="24"/>
          <w:lang w:val="en-US"/>
        </w:rPr>
        <w:t xml:space="preserve"> in human biopsies were compared with two-tailed unpaired t-test for parametric analyses, or Mann-Whitney test for </w:t>
      </w:r>
      <w:proofErr w:type="spellStart"/>
      <w:r w:rsidRPr="00BA6F83">
        <w:rPr>
          <w:color w:val="000000" w:themeColor="text1"/>
          <w:szCs w:val="24"/>
          <w:lang w:val="en-US"/>
        </w:rPr>
        <w:t>nonparametrical</w:t>
      </w:r>
      <w:proofErr w:type="spellEnd"/>
      <w:r w:rsidRPr="00BA6F83">
        <w:rPr>
          <w:color w:val="000000" w:themeColor="text1"/>
          <w:szCs w:val="24"/>
          <w:lang w:val="en-US"/>
        </w:rPr>
        <w:t xml:space="preserve"> analyses</w:t>
      </w:r>
      <w:r w:rsidR="00004AA1">
        <w:rPr>
          <w:color w:val="000000" w:themeColor="text1"/>
          <w:szCs w:val="24"/>
          <w:lang w:val="en-US"/>
        </w:rPr>
        <w:t xml:space="preserve"> (as indicated in the legend of each figure)</w:t>
      </w:r>
      <w:r w:rsidRPr="00BA6F83">
        <w:rPr>
          <w:color w:val="000000" w:themeColor="text1"/>
          <w:szCs w:val="24"/>
          <w:lang w:val="en-US"/>
        </w:rPr>
        <w:t xml:space="preserve">. ELISpot mIL-4 were analyzed using </w:t>
      </w:r>
      <w:r w:rsidRPr="00BA6F83">
        <w:rPr>
          <w:color w:val="000000" w:themeColor="text1"/>
          <w:szCs w:val="24"/>
          <w:lang w:val="en-US"/>
        </w:rPr>
        <w:lastRenderedPageBreak/>
        <w:t xml:space="preserve">paired t-test of dependent samples. Visceromotor responses were also analyzed with two-way RM ANOVA with </w:t>
      </w:r>
      <w:proofErr w:type="spellStart"/>
      <w:r w:rsidRPr="00BA6F83">
        <w:rPr>
          <w:color w:val="000000" w:themeColor="text1"/>
          <w:szCs w:val="24"/>
          <w:lang w:val="en-US"/>
        </w:rPr>
        <w:t>Sidak's</w:t>
      </w:r>
      <w:proofErr w:type="spellEnd"/>
      <w:r w:rsidRPr="00BA6F83">
        <w:rPr>
          <w:color w:val="000000" w:themeColor="text1"/>
          <w:szCs w:val="24"/>
          <w:lang w:val="en-US"/>
        </w:rPr>
        <w:t xml:space="preserve"> multiple comparisons post-test, each </w:t>
      </w:r>
      <w:r w:rsidRPr="00BA6F83">
        <w:rPr>
          <w:i/>
          <w:color w:val="000000" w:themeColor="text1"/>
          <w:szCs w:val="24"/>
          <w:lang w:val="en-US"/>
        </w:rPr>
        <w:t>p</w:t>
      </w:r>
      <w:r w:rsidRPr="00BA6F83">
        <w:rPr>
          <w:color w:val="000000" w:themeColor="text1"/>
          <w:szCs w:val="24"/>
          <w:lang w:val="en-US"/>
        </w:rPr>
        <w:t>-value was therefore adjusted to account for multiple comparison. Measurement of fluorescein sodium and TEER, thickness of muscularis, length crypts, distance between crypts, cytokines levels, gene expression, ear swelling, rheobase, action potential number and measurement of Ca</w:t>
      </w:r>
      <w:r w:rsidRPr="00BA6F83">
        <w:rPr>
          <w:color w:val="000000" w:themeColor="text1"/>
          <w:szCs w:val="24"/>
          <w:vertAlign w:val="superscript"/>
          <w:lang w:val="en-US"/>
        </w:rPr>
        <w:t>2+</w:t>
      </w:r>
      <w:r w:rsidRPr="00BA6F83">
        <w:rPr>
          <w:color w:val="000000" w:themeColor="text1"/>
          <w:szCs w:val="24"/>
          <w:lang w:val="en-US"/>
        </w:rPr>
        <w:t xml:space="preserve"> responses in DRG neurons were analyzed with one-way ANOVA with </w:t>
      </w:r>
      <w:proofErr w:type="spellStart"/>
      <w:r w:rsidRPr="00BA6F83">
        <w:rPr>
          <w:color w:val="000000" w:themeColor="text1"/>
          <w:szCs w:val="24"/>
          <w:lang w:val="en-US"/>
        </w:rPr>
        <w:t>Sidak's</w:t>
      </w:r>
      <w:proofErr w:type="spellEnd"/>
      <w:r w:rsidRPr="00BA6F83">
        <w:rPr>
          <w:color w:val="000000" w:themeColor="text1"/>
          <w:szCs w:val="24"/>
          <w:lang w:val="en-US"/>
        </w:rPr>
        <w:t xml:space="preserve"> multiple comparisons post-test for parametrical analyses or Kruskal-Wallis test with Dunn's multiple comparisons post-test for </w:t>
      </w:r>
      <w:proofErr w:type="spellStart"/>
      <w:r w:rsidRPr="00BA6F83">
        <w:rPr>
          <w:color w:val="000000" w:themeColor="text1"/>
          <w:szCs w:val="24"/>
          <w:lang w:val="en-US"/>
        </w:rPr>
        <w:t>nonparametrical</w:t>
      </w:r>
      <w:proofErr w:type="spellEnd"/>
      <w:r w:rsidRPr="00BA6F83">
        <w:rPr>
          <w:color w:val="000000" w:themeColor="text1"/>
          <w:szCs w:val="24"/>
          <w:lang w:val="en-US"/>
        </w:rPr>
        <w:t xml:space="preserve"> analyses (each </w:t>
      </w:r>
      <w:r w:rsidRPr="00BA6F83">
        <w:rPr>
          <w:i/>
          <w:color w:val="000000" w:themeColor="text1"/>
          <w:szCs w:val="24"/>
          <w:lang w:val="en-US"/>
        </w:rPr>
        <w:t>p</w:t>
      </w:r>
      <w:r w:rsidRPr="00BA6F83">
        <w:rPr>
          <w:color w:val="000000" w:themeColor="text1"/>
          <w:szCs w:val="24"/>
          <w:lang w:val="en-US"/>
        </w:rPr>
        <w:t xml:space="preserve">-value was therefore adjusted to account for multiple comparison). Trypsin-like activity was analyzed by two-way ANOVA with </w:t>
      </w:r>
      <w:proofErr w:type="spellStart"/>
      <w:r w:rsidRPr="00BA6F83">
        <w:rPr>
          <w:color w:val="000000" w:themeColor="text1"/>
          <w:szCs w:val="24"/>
          <w:lang w:val="en-US"/>
        </w:rPr>
        <w:t>Sidak’s</w:t>
      </w:r>
      <w:proofErr w:type="spellEnd"/>
      <w:r w:rsidRPr="00BA6F83">
        <w:rPr>
          <w:color w:val="000000" w:themeColor="text1"/>
          <w:szCs w:val="24"/>
          <w:lang w:val="en-US"/>
        </w:rPr>
        <w:t xml:space="preserve"> multiple comparisons post-test. Associations between </w:t>
      </w:r>
      <w:proofErr w:type="spellStart"/>
      <w:r w:rsidRPr="00BA6F83">
        <w:rPr>
          <w:color w:val="000000" w:themeColor="text1"/>
          <w:szCs w:val="24"/>
          <w:lang w:val="en-US"/>
        </w:rPr>
        <w:t>IgE</w:t>
      </w:r>
      <w:proofErr w:type="spellEnd"/>
      <w:r w:rsidRPr="00BA6F83">
        <w:rPr>
          <w:color w:val="000000" w:themeColor="text1"/>
          <w:szCs w:val="24"/>
          <w:lang w:val="en-US"/>
        </w:rPr>
        <w:t xml:space="preserve"> immunofluorescence levels and symptoms severity scores were assessed by Pearson’s correlation. Bacteria and </w:t>
      </w:r>
      <w:proofErr w:type="spellStart"/>
      <w:r w:rsidRPr="00BA6F83">
        <w:rPr>
          <w:color w:val="000000" w:themeColor="text1"/>
          <w:szCs w:val="24"/>
          <w:lang w:val="en-US"/>
        </w:rPr>
        <w:t>SAgs</w:t>
      </w:r>
      <w:proofErr w:type="spellEnd"/>
      <w:r w:rsidRPr="00BA6F83">
        <w:rPr>
          <w:color w:val="000000" w:themeColor="text1"/>
          <w:szCs w:val="24"/>
          <w:lang w:val="en-US"/>
        </w:rPr>
        <w:t xml:space="preserve">-producing bacteria proportions and proportion of responding DRG neurons to 10 </w:t>
      </w:r>
      <w:proofErr w:type="spellStart"/>
      <w:r w:rsidRPr="00BA6F83">
        <w:rPr>
          <w:color w:val="000000" w:themeColor="text1"/>
          <w:szCs w:val="24"/>
          <w:lang w:val="en-US"/>
        </w:rPr>
        <w:t>nM</w:t>
      </w:r>
      <w:proofErr w:type="spellEnd"/>
      <w:r w:rsidRPr="00BA6F83">
        <w:rPr>
          <w:color w:val="000000" w:themeColor="text1"/>
          <w:szCs w:val="24"/>
          <w:lang w:val="en-US"/>
        </w:rPr>
        <w:t xml:space="preserve"> capsaicin were evaluated by two-sided Fisher's exact test. Data were plotted and statistical analysis were performed with Prism (GraphPad Software version 8.0.2 [263], La Jolla, California).</w:t>
      </w:r>
    </w:p>
    <w:p w14:paraId="77F88645" w14:textId="77777777" w:rsidR="00CE2959" w:rsidRPr="00BA6F83" w:rsidRDefault="00CE2959" w:rsidP="00CE2959">
      <w:pPr>
        <w:spacing w:after="120" w:line="480" w:lineRule="auto"/>
        <w:jc w:val="both"/>
        <w:rPr>
          <w:i/>
          <w:color w:val="000000" w:themeColor="text1"/>
          <w:szCs w:val="24"/>
          <w:lang w:val="en-US"/>
        </w:rPr>
      </w:pPr>
    </w:p>
    <w:p w14:paraId="144403D9" w14:textId="77777777" w:rsidR="00CE2959" w:rsidRPr="00BA6F83" w:rsidRDefault="00CE2959" w:rsidP="00CE2959">
      <w:pPr>
        <w:spacing w:after="120" w:line="480" w:lineRule="auto"/>
        <w:jc w:val="both"/>
        <w:rPr>
          <w:i/>
          <w:color w:val="000000" w:themeColor="text1"/>
          <w:szCs w:val="24"/>
          <w:lang w:val="en-US"/>
        </w:rPr>
      </w:pPr>
      <w:r w:rsidRPr="00BA6F83">
        <w:rPr>
          <w:i/>
          <w:color w:val="000000" w:themeColor="text1"/>
          <w:szCs w:val="24"/>
          <w:lang w:val="en-US"/>
        </w:rPr>
        <w:t>Replication:</w:t>
      </w:r>
    </w:p>
    <w:p w14:paraId="10545C33" w14:textId="364CBC59"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 visceromotor response recording (except mice OVA-tolerized prior infection, BSA repeated oral gavage, B and plasma cell depletion, treatment with anti-</w:t>
      </w:r>
      <w:proofErr w:type="spellStart"/>
      <w:r w:rsidRPr="00BA6F83">
        <w:rPr>
          <w:color w:val="000000" w:themeColor="text1"/>
          <w:szCs w:val="24"/>
          <w:lang w:val="en-US"/>
        </w:rPr>
        <w:t>IgE</w:t>
      </w:r>
      <w:proofErr w:type="spellEnd"/>
      <w:r w:rsidRPr="00BA6F83">
        <w:rPr>
          <w:color w:val="000000" w:themeColor="text1"/>
          <w:szCs w:val="24"/>
          <w:lang w:val="en-US"/>
        </w:rPr>
        <w:t xml:space="preserve"> antibody</w:t>
      </w:r>
      <w:r w:rsidR="008B509F">
        <w:rPr>
          <w:color w:val="000000" w:themeColor="text1"/>
          <w:szCs w:val="24"/>
          <w:lang w:val="en-US"/>
        </w:rPr>
        <w:t xml:space="preserve"> and </w:t>
      </w:r>
      <w:proofErr w:type="spellStart"/>
      <w:r w:rsidR="008B509F">
        <w:rPr>
          <w:color w:val="000000" w:themeColor="text1"/>
          <w:szCs w:val="24"/>
          <w:lang w:val="en-US"/>
        </w:rPr>
        <w:t>I</w:t>
      </w:r>
      <w:r w:rsidR="00532657">
        <w:rPr>
          <w:color w:val="000000" w:themeColor="text1"/>
          <w:szCs w:val="24"/>
          <w:lang w:val="en-US"/>
        </w:rPr>
        <w:t>gE</w:t>
      </w:r>
      <w:proofErr w:type="spellEnd"/>
      <w:r w:rsidR="00532657">
        <w:rPr>
          <w:color w:val="000000" w:themeColor="text1"/>
          <w:szCs w:val="24"/>
          <w:lang w:val="en-US"/>
        </w:rPr>
        <w:t>-deficient</w:t>
      </w:r>
      <w:r w:rsidR="008B509F">
        <w:rPr>
          <w:color w:val="000000" w:themeColor="text1"/>
          <w:szCs w:val="24"/>
          <w:lang w:val="en-US"/>
        </w:rPr>
        <w:t xml:space="preserve"> mice and</w:t>
      </w:r>
      <w:r w:rsidRPr="00BA6F83">
        <w:rPr>
          <w:color w:val="000000" w:themeColor="text1"/>
          <w:szCs w:val="24"/>
          <w:lang w:val="en-US"/>
        </w:rPr>
        <w:t xml:space="preserve"> treatment with OVA-specific </w:t>
      </w:r>
      <w:proofErr w:type="spellStart"/>
      <w:r w:rsidRPr="00BA6F83">
        <w:rPr>
          <w:color w:val="000000" w:themeColor="text1"/>
          <w:szCs w:val="24"/>
          <w:lang w:val="en-US"/>
        </w:rPr>
        <w:t>IgE</w:t>
      </w:r>
      <w:proofErr w:type="spellEnd"/>
      <w:r w:rsidRPr="00BA6F83">
        <w:rPr>
          <w:color w:val="000000" w:themeColor="text1"/>
          <w:szCs w:val="24"/>
          <w:lang w:val="en-US"/>
        </w:rPr>
        <w:t>), experiments were performed twice and data from individual mice were pooled from all experiments. Similar number of mice were used per experiment duplicated for control group/treatment and experimental group. For afferent nerve recording, experiments were performed twice and data from individual mice were pooled from all experiments. Similar number of mice were used per experiment duplicated for control group/treatment and experimental group. For experiments with cultures of DRG neurons, multiple biological replicates were used for each group. For Ca</w:t>
      </w:r>
      <w:r w:rsidRPr="00BA6F83">
        <w:rPr>
          <w:color w:val="000000" w:themeColor="text1"/>
          <w:szCs w:val="24"/>
          <w:vertAlign w:val="superscript"/>
          <w:lang w:val="en-US"/>
        </w:rPr>
        <w:t>2+</w:t>
      </w:r>
      <w:r w:rsidRPr="00BA6F83">
        <w:rPr>
          <w:color w:val="000000" w:themeColor="text1"/>
          <w:szCs w:val="24"/>
          <w:lang w:val="en-US"/>
        </w:rPr>
        <w:t xml:space="preserve"> experiments (except for </w:t>
      </w:r>
      <w:r w:rsidRPr="00BA6F83">
        <w:rPr>
          <w:i/>
          <w:color w:val="000000" w:themeColor="text1"/>
          <w:szCs w:val="24"/>
          <w:lang w:val="en-US"/>
        </w:rPr>
        <w:t>Hrh1</w:t>
      </w:r>
      <w:r w:rsidRPr="00BA6F83">
        <w:rPr>
          <w:i/>
          <w:color w:val="000000" w:themeColor="text1"/>
          <w:szCs w:val="24"/>
          <w:vertAlign w:val="superscript"/>
          <w:lang w:val="en-US"/>
        </w:rPr>
        <w:t>-/-</w:t>
      </w:r>
      <w:r w:rsidRPr="00BA6F83">
        <w:rPr>
          <w:color w:val="000000" w:themeColor="text1"/>
          <w:szCs w:val="24"/>
          <w:lang w:val="en-US"/>
        </w:rPr>
        <w:t xml:space="preserve"> DRG neurons), experiments were performed twice and neuron Ca</w:t>
      </w:r>
      <w:r w:rsidRPr="00BA6F83">
        <w:rPr>
          <w:color w:val="000000" w:themeColor="text1"/>
          <w:szCs w:val="24"/>
          <w:vertAlign w:val="superscript"/>
          <w:lang w:val="en-US"/>
        </w:rPr>
        <w:t>2+</w:t>
      </w:r>
      <w:r w:rsidRPr="00BA6F83">
        <w:rPr>
          <w:color w:val="000000" w:themeColor="text1"/>
          <w:szCs w:val="24"/>
          <w:lang w:val="en-US"/>
        </w:rPr>
        <w:t xml:space="preserve"> responses were </w:t>
      </w:r>
      <w:r w:rsidRPr="00BA6F83">
        <w:rPr>
          <w:color w:val="000000" w:themeColor="text1"/>
          <w:szCs w:val="24"/>
          <w:lang w:val="en-US"/>
        </w:rPr>
        <w:lastRenderedPageBreak/>
        <w:t xml:space="preserve">pooled. </w:t>
      </w:r>
      <w:r w:rsidR="00963325">
        <w:rPr>
          <w:color w:val="000000" w:themeColor="text1"/>
          <w:szCs w:val="24"/>
          <w:lang w:val="en-US"/>
        </w:rPr>
        <w:t>For experiments with live MC degranulation, experiments were performed twice and data were pooled.</w:t>
      </w:r>
    </w:p>
    <w:p w14:paraId="0F61C521" w14:textId="77777777" w:rsidR="00CE2959" w:rsidRPr="00BA6F83" w:rsidRDefault="00CE2959" w:rsidP="00CE2959">
      <w:pPr>
        <w:spacing w:after="120" w:line="480" w:lineRule="auto"/>
        <w:jc w:val="both"/>
        <w:rPr>
          <w:i/>
          <w:color w:val="000000" w:themeColor="text1"/>
          <w:szCs w:val="24"/>
          <w:lang w:val="en-US"/>
        </w:rPr>
      </w:pPr>
    </w:p>
    <w:p w14:paraId="34D44A19" w14:textId="77777777" w:rsidR="00CE2959" w:rsidRPr="00BA6F83" w:rsidRDefault="00CE2959" w:rsidP="00CE2959">
      <w:pPr>
        <w:spacing w:after="120" w:line="480" w:lineRule="auto"/>
        <w:jc w:val="both"/>
        <w:rPr>
          <w:i/>
          <w:color w:val="000000" w:themeColor="text1"/>
          <w:szCs w:val="24"/>
          <w:lang w:val="en-US"/>
        </w:rPr>
      </w:pPr>
      <w:r w:rsidRPr="00BA6F83">
        <w:rPr>
          <w:i/>
          <w:color w:val="000000" w:themeColor="text1"/>
          <w:szCs w:val="24"/>
          <w:lang w:val="en-US"/>
        </w:rPr>
        <w:t>Randomization and blinding:</w:t>
      </w:r>
    </w:p>
    <w:p w14:paraId="4F2B6305" w14:textId="77777777"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 experiments involving transgenic mice and pharmacological treatments, genetically modified mice and WT littermates or drug-treated- and vehicle/control-treated-mice were placed together in the same cages. For pharmacological treatments, the online tool of GraphPad software (</w:t>
      </w:r>
      <w:proofErr w:type="spellStart"/>
      <w:r w:rsidRPr="00BA6F83">
        <w:rPr>
          <w:color w:val="000000" w:themeColor="text1"/>
          <w:szCs w:val="24"/>
          <w:lang w:val="en-US"/>
        </w:rPr>
        <w:t>QuickCalcs</w:t>
      </w:r>
      <w:proofErr w:type="spellEnd"/>
      <w:r w:rsidRPr="00BA6F83">
        <w:rPr>
          <w:color w:val="000000" w:themeColor="text1"/>
          <w:szCs w:val="24"/>
          <w:lang w:val="en-US"/>
        </w:rPr>
        <w:t xml:space="preserve">) was used to randomly assign subjects to groups for treatment or vehicle/control. </w:t>
      </w:r>
    </w:p>
    <w:p w14:paraId="4E828AA9" w14:textId="77777777"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 pharmacological treatments and experiments with KO mice, the experimenter recording visceromotor responses was blinded for the treatment and control/vehicle or the mouse genotype and was unblinded for the analysis. For the afferent nerve recording experiment, the experimenter was blinded for the animal groups and was unblinded for the analysis. For the experiments involving cultures of DRG neuron, the experimenters were blinded for the analysis of the neurons and were unblinded for pooling the data in groups and analyze statistical differences. For experiments involving microbiota analysis the experimenter was blinded for the analysis.</w:t>
      </w:r>
      <w:r>
        <w:rPr>
          <w:color w:val="000000" w:themeColor="text1"/>
          <w:szCs w:val="24"/>
          <w:lang w:val="en-US"/>
        </w:rPr>
        <w:t xml:space="preserve"> For experiments involving live MC degranulation, the experimenter was blinded during the performance of the experiment and for the analysis of images.</w:t>
      </w:r>
    </w:p>
    <w:p w14:paraId="010E590E" w14:textId="5FD462EB"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 human experiments, the experimenter</w:t>
      </w:r>
      <w:r w:rsidR="0015683E">
        <w:rPr>
          <w:color w:val="000000" w:themeColor="text1"/>
          <w:szCs w:val="24"/>
          <w:lang w:val="en-US"/>
        </w:rPr>
        <w:t>s</w:t>
      </w:r>
      <w:r w:rsidRPr="00BA6F83">
        <w:rPr>
          <w:color w:val="000000" w:themeColor="text1"/>
          <w:szCs w:val="24"/>
          <w:lang w:val="en-US"/>
        </w:rPr>
        <w:t xml:space="preserve"> analyzing the reactions to food-antigens w</w:t>
      </w:r>
      <w:r w:rsidR="0015683E">
        <w:rPr>
          <w:color w:val="000000" w:themeColor="text1"/>
          <w:szCs w:val="24"/>
          <w:lang w:val="en-US"/>
        </w:rPr>
        <w:t>ere</w:t>
      </w:r>
      <w:r w:rsidRPr="00BA6F83">
        <w:rPr>
          <w:color w:val="000000" w:themeColor="text1"/>
          <w:szCs w:val="24"/>
          <w:lang w:val="en-US"/>
        </w:rPr>
        <w:t xml:space="preserve"> blinded for the images/videos analyses and w</w:t>
      </w:r>
      <w:r w:rsidR="0015683E">
        <w:rPr>
          <w:color w:val="000000" w:themeColor="text1"/>
          <w:szCs w:val="24"/>
          <w:lang w:val="en-US"/>
        </w:rPr>
        <w:t>ere</w:t>
      </w:r>
      <w:r w:rsidRPr="00BA6F83">
        <w:rPr>
          <w:color w:val="000000" w:themeColor="text1"/>
          <w:szCs w:val="24"/>
          <w:lang w:val="en-US"/>
        </w:rPr>
        <w:t xml:space="preserve"> unblinded once all the reactions were analyzed.</w:t>
      </w:r>
    </w:p>
    <w:p w14:paraId="1E7B1188" w14:textId="7F4F8C41"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 xml:space="preserve">For histopathology assessment murine samples and immunostainings in human samples, </w:t>
      </w:r>
      <w:r w:rsidR="00776CF5">
        <w:rPr>
          <w:color w:val="000000" w:themeColor="text1"/>
          <w:szCs w:val="24"/>
          <w:lang w:val="en-US"/>
        </w:rPr>
        <w:t xml:space="preserve">five to </w:t>
      </w:r>
      <w:r w:rsidRPr="00BA6F83">
        <w:rPr>
          <w:color w:val="000000" w:themeColor="text1"/>
          <w:szCs w:val="24"/>
          <w:lang w:val="en-US"/>
        </w:rPr>
        <w:t>ten images per sections were randomly captured and analyzed by the experimenter in a blinded manner. Experimenter was unblinded for analysis of statistical differences.</w:t>
      </w:r>
    </w:p>
    <w:p w14:paraId="725C3EA9" w14:textId="77777777" w:rsidR="00CE2959" w:rsidRPr="00BA6F83" w:rsidRDefault="00CE2959" w:rsidP="00CE2959">
      <w:pPr>
        <w:spacing w:after="120" w:line="480" w:lineRule="auto"/>
        <w:jc w:val="both"/>
        <w:rPr>
          <w:color w:val="000000" w:themeColor="text1"/>
          <w:szCs w:val="24"/>
          <w:lang w:val="en-US"/>
        </w:rPr>
      </w:pPr>
      <w:r w:rsidRPr="00BA6F83">
        <w:rPr>
          <w:color w:val="000000" w:themeColor="text1"/>
          <w:szCs w:val="24"/>
          <w:lang w:val="en-US"/>
        </w:rPr>
        <w:t>For</w:t>
      </w:r>
      <w:r w:rsidRPr="00BA6F83">
        <w:rPr>
          <w:color w:val="000000" w:themeColor="text1"/>
          <w:lang w:val="en-US"/>
        </w:rPr>
        <w:t xml:space="preserve"> </w:t>
      </w:r>
      <w:r w:rsidRPr="00BA6F83">
        <w:rPr>
          <w:color w:val="000000" w:themeColor="text1"/>
          <w:szCs w:val="24"/>
          <w:lang w:val="en-US"/>
        </w:rPr>
        <w:t>the analysis of immunoglobulin genes from tissue cDNA (</w:t>
      </w:r>
      <w:proofErr w:type="spellStart"/>
      <w:r w:rsidRPr="00BA6F83">
        <w:rPr>
          <w:color w:val="000000" w:themeColor="text1"/>
          <w:szCs w:val="24"/>
          <w:lang w:val="en-US"/>
        </w:rPr>
        <w:t>IgE</w:t>
      </w:r>
      <w:proofErr w:type="spellEnd"/>
      <w:r w:rsidRPr="00BA6F83">
        <w:rPr>
          <w:color w:val="000000" w:themeColor="text1"/>
          <w:szCs w:val="24"/>
          <w:lang w:val="en-US"/>
        </w:rPr>
        <w:t>+ clones), the experimenter analyzing the number of clones was only unblinded for analysis of statistical differences.</w:t>
      </w:r>
    </w:p>
    <w:p w14:paraId="57DCBDD6" w14:textId="77777777" w:rsidR="00CE2959" w:rsidRPr="00BA6F83" w:rsidRDefault="00CE2959" w:rsidP="00CE2959">
      <w:pPr>
        <w:spacing w:after="120" w:line="480" w:lineRule="auto"/>
        <w:jc w:val="both"/>
        <w:rPr>
          <w:rFonts w:cstheme="minorHAnsi"/>
          <w:color w:val="000000" w:themeColor="text1"/>
          <w:u w:val="single"/>
          <w:lang w:val="en-US"/>
        </w:rPr>
      </w:pPr>
    </w:p>
    <w:p w14:paraId="4A6B9448" w14:textId="77777777" w:rsidR="00CE2959" w:rsidRPr="00BA6F83" w:rsidRDefault="00CE2959" w:rsidP="00CE2959">
      <w:pPr>
        <w:spacing w:after="120" w:line="480" w:lineRule="auto"/>
        <w:jc w:val="both"/>
        <w:rPr>
          <w:rFonts w:cstheme="minorHAnsi"/>
          <w:color w:val="000000" w:themeColor="text1"/>
          <w:u w:val="single"/>
          <w:lang w:val="en-US"/>
        </w:rPr>
      </w:pPr>
      <w:r w:rsidRPr="00BA6F83">
        <w:rPr>
          <w:rFonts w:cstheme="minorHAnsi"/>
          <w:color w:val="000000" w:themeColor="text1"/>
          <w:u w:val="single"/>
          <w:lang w:val="en-US"/>
        </w:rPr>
        <w:t>Data availability</w:t>
      </w:r>
    </w:p>
    <w:p w14:paraId="6C5C691E" w14:textId="5A239A2D" w:rsidR="00CE2959" w:rsidRPr="00CE2959" w:rsidRDefault="00CE2959" w:rsidP="00CE2959">
      <w:pPr>
        <w:spacing w:after="120" w:line="480" w:lineRule="auto"/>
        <w:jc w:val="both"/>
        <w:rPr>
          <w:rFonts w:cstheme="minorHAnsi"/>
          <w:color w:val="000000" w:themeColor="text1"/>
          <w:lang w:val="en-US"/>
        </w:rPr>
      </w:pPr>
      <w:r w:rsidRPr="00BA6F83">
        <w:rPr>
          <w:rFonts w:cstheme="minorHAnsi"/>
          <w:color w:val="000000" w:themeColor="text1"/>
          <w:lang w:val="en-US"/>
        </w:rPr>
        <w:t>All relevant data generated and analyzed during the current study are available upon reasonable request to the corresponding author.</w:t>
      </w:r>
      <w:r>
        <w:rPr>
          <w:b/>
          <w:color w:val="000000" w:themeColor="text1"/>
          <w:u w:val="single"/>
          <w:lang w:val="en-US"/>
        </w:rPr>
        <w:br w:type="page"/>
      </w:r>
    </w:p>
    <w:p w14:paraId="0E7C1F56" w14:textId="47D5B3B8" w:rsidR="000178ED" w:rsidRPr="00BA6F83" w:rsidRDefault="00482753" w:rsidP="00935763">
      <w:pPr>
        <w:spacing w:after="120" w:line="259" w:lineRule="auto"/>
        <w:jc w:val="both"/>
        <w:rPr>
          <w:b/>
          <w:color w:val="000000" w:themeColor="text1"/>
          <w:u w:val="single"/>
          <w:lang w:val="en-US"/>
        </w:rPr>
      </w:pPr>
      <w:r w:rsidRPr="00BA6F83">
        <w:rPr>
          <w:b/>
          <w:color w:val="000000" w:themeColor="text1"/>
          <w:u w:val="single"/>
          <w:lang w:val="en-US"/>
        </w:rPr>
        <w:lastRenderedPageBreak/>
        <w:t>BIBLIOGRAPHY</w:t>
      </w:r>
    </w:p>
    <w:p w14:paraId="440DABFD" w14:textId="37A8DCF2" w:rsidR="00756206" w:rsidRPr="00756206" w:rsidRDefault="000178ED" w:rsidP="00756206">
      <w:pPr>
        <w:widowControl w:val="0"/>
        <w:autoSpaceDE w:val="0"/>
        <w:autoSpaceDN w:val="0"/>
        <w:adjustRightInd w:val="0"/>
        <w:spacing w:after="120" w:line="240" w:lineRule="auto"/>
        <w:ind w:left="640" w:hanging="640"/>
        <w:rPr>
          <w:rFonts w:cs="Calibri"/>
          <w:noProof/>
          <w:lang w:val="en-US"/>
        </w:rPr>
      </w:pPr>
      <w:r w:rsidRPr="00BA6F83">
        <w:rPr>
          <w:b/>
          <w:color w:val="000000" w:themeColor="text1"/>
          <w:lang w:val="en-US"/>
        </w:rPr>
        <w:fldChar w:fldCharType="begin" w:fldLock="1"/>
      </w:r>
      <w:r w:rsidRPr="00BA6F83">
        <w:rPr>
          <w:b/>
          <w:color w:val="000000" w:themeColor="text1"/>
          <w:lang w:val="en-US"/>
        </w:rPr>
        <w:instrText xml:space="preserve">ADDIN Mendeley Bibliography CSL_BIBLIOGRAPHY </w:instrText>
      </w:r>
      <w:r w:rsidRPr="00BA6F83">
        <w:rPr>
          <w:b/>
          <w:color w:val="000000" w:themeColor="text1"/>
          <w:lang w:val="en-US"/>
        </w:rPr>
        <w:fldChar w:fldCharType="separate"/>
      </w:r>
      <w:r w:rsidR="00756206" w:rsidRPr="00756206">
        <w:rPr>
          <w:rFonts w:cs="Calibri"/>
          <w:noProof/>
          <w:lang w:val="en-US"/>
        </w:rPr>
        <w:t>1.</w:t>
      </w:r>
      <w:r w:rsidR="00756206" w:rsidRPr="00756206">
        <w:rPr>
          <w:rFonts w:cs="Calibri"/>
          <w:noProof/>
          <w:lang w:val="en-US"/>
        </w:rPr>
        <w:tab/>
        <w:t xml:space="preserve">Honda, K. &amp; Littman, D. R. The microbiota in adaptive immune homeostasis and disease. </w:t>
      </w:r>
      <w:r w:rsidR="00756206" w:rsidRPr="00756206">
        <w:rPr>
          <w:rFonts w:cs="Calibri"/>
          <w:i/>
          <w:iCs/>
          <w:noProof/>
          <w:lang w:val="en-US"/>
        </w:rPr>
        <w:t>Nature</w:t>
      </w:r>
      <w:r w:rsidR="00756206" w:rsidRPr="00756206">
        <w:rPr>
          <w:rFonts w:cs="Calibri"/>
          <w:noProof/>
          <w:lang w:val="en-US"/>
        </w:rPr>
        <w:t xml:space="preserve"> vol. 535 75–84 (2016).</w:t>
      </w:r>
    </w:p>
    <w:p w14:paraId="5B8BF3FB"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w:t>
      </w:r>
      <w:r w:rsidRPr="00756206">
        <w:rPr>
          <w:rFonts w:cs="Calibri"/>
          <w:noProof/>
          <w:lang w:val="en-US"/>
        </w:rPr>
        <w:tab/>
        <w:t xml:space="preserve">Thaiss, C. A., Zmora, N., Levy, M. &amp; Elinav, E. The microbiome and innate immunity. </w:t>
      </w:r>
      <w:r w:rsidRPr="00756206">
        <w:rPr>
          <w:rFonts w:cs="Calibri"/>
          <w:i/>
          <w:iCs/>
          <w:noProof/>
          <w:lang w:val="en-US"/>
        </w:rPr>
        <w:t>Nature</w:t>
      </w:r>
      <w:r w:rsidRPr="00756206">
        <w:rPr>
          <w:rFonts w:cs="Calibri"/>
          <w:noProof/>
          <w:lang w:val="en-US"/>
        </w:rPr>
        <w:t xml:space="preserve"> vol. 535 65–74 (2016).</w:t>
      </w:r>
    </w:p>
    <w:p w14:paraId="231BD3A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w:t>
      </w:r>
      <w:r w:rsidRPr="00756206">
        <w:rPr>
          <w:rFonts w:cs="Calibri"/>
          <w:noProof/>
          <w:lang w:val="en-US"/>
        </w:rPr>
        <w:tab/>
        <w:t xml:space="preserve">Mowat, A. M. I. Anatomical basis of tolerance and immunity to intestinal antigens. </w:t>
      </w:r>
      <w:r w:rsidRPr="00756206">
        <w:rPr>
          <w:rFonts w:cs="Calibri"/>
          <w:i/>
          <w:iCs/>
          <w:noProof/>
          <w:lang w:val="en-US"/>
        </w:rPr>
        <w:t>Nature Reviews Immunology</w:t>
      </w:r>
      <w:r w:rsidRPr="00756206">
        <w:rPr>
          <w:rFonts w:cs="Calibri"/>
          <w:noProof/>
          <w:lang w:val="en-US"/>
        </w:rPr>
        <w:t xml:space="preserve"> vol. 3 331–341 (2003).</w:t>
      </w:r>
    </w:p>
    <w:p w14:paraId="7D947879"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w:t>
      </w:r>
      <w:r w:rsidRPr="00756206">
        <w:rPr>
          <w:rFonts w:cs="Calibri"/>
          <w:noProof/>
          <w:lang w:val="en-US"/>
        </w:rPr>
        <w:tab/>
        <w:t xml:space="preserve">Fonseca, D. M. Da </w:t>
      </w:r>
      <w:r w:rsidRPr="00756206">
        <w:rPr>
          <w:rFonts w:cs="Calibri"/>
          <w:i/>
          <w:iCs/>
          <w:noProof/>
          <w:lang w:val="en-US"/>
        </w:rPr>
        <w:t>et al.</w:t>
      </w:r>
      <w:r w:rsidRPr="00756206">
        <w:rPr>
          <w:rFonts w:cs="Calibri"/>
          <w:noProof/>
          <w:lang w:val="en-US"/>
        </w:rPr>
        <w:t xml:space="preserve"> Microbiota-Dependent Sequelae of Acute Infection Compromise Tissue-Specific Immunity. </w:t>
      </w:r>
      <w:r w:rsidRPr="00756206">
        <w:rPr>
          <w:rFonts w:cs="Calibri"/>
          <w:i/>
          <w:iCs/>
          <w:noProof/>
          <w:lang w:val="en-US"/>
        </w:rPr>
        <w:t>Cell</w:t>
      </w:r>
      <w:r w:rsidRPr="00756206">
        <w:rPr>
          <w:rFonts w:cs="Calibri"/>
          <w:noProof/>
          <w:lang w:val="en-US"/>
        </w:rPr>
        <w:t xml:space="preserve"> </w:t>
      </w:r>
      <w:r w:rsidRPr="00756206">
        <w:rPr>
          <w:rFonts w:cs="Calibri"/>
          <w:b/>
          <w:bCs/>
          <w:noProof/>
          <w:lang w:val="en-US"/>
        </w:rPr>
        <w:t>163</w:t>
      </w:r>
      <w:r w:rsidRPr="00756206">
        <w:rPr>
          <w:rFonts w:cs="Calibri"/>
          <w:noProof/>
          <w:lang w:val="en-US"/>
        </w:rPr>
        <w:t>, 354–66 (2015).</w:t>
      </w:r>
    </w:p>
    <w:p w14:paraId="43DEB7F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w:t>
      </w:r>
      <w:r w:rsidRPr="00756206">
        <w:rPr>
          <w:rFonts w:cs="Calibri"/>
          <w:noProof/>
          <w:lang w:val="en-US"/>
        </w:rPr>
        <w:tab/>
        <w:t xml:space="preserve">Bouziat, R. </w:t>
      </w:r>
      <w:r w:rsidRPr="00756206">
        <w:rPr>
          <w:rFonts w:cs="Calibri"/>
          <w:i/>
          <w:iCs/>
          <w:noProof/>
          <w:lang w:val="en-US"/>
        </w:rPr>
        <w:t>et al.</w:t>
      </w:r>
      <w:r w:rsidRPr="00756206">
        <w:rPr>
          <w:rFonts w:cs="Calibri"/>
          <w:noProof/>
          <w:lang w:val="en-US"/>
        </w:rPr>
        <w:t xml:space="preserve"> Reovirus infection triggers inflammatory responses to dietary antigens and development of celiac disease. </w:t>
      </w:r>
      <w:r w:rsidRPr="00756206">
        <w:rPr>
          <w:rFonts w:cs="Calibri"/>
          <w:i/>
          <w:iCs/>
          <w:noProof/>
          <w:lang w:val="en-US"/>
        </w:rPr>
        <w:t>Science (80-. ).</w:t>
      </w:r>
      <w:r w:rsidRPr="00756206">
        <w:rPr>
          <w:rFonts w:cs="Calibri"/>
          <w:noProof/>
          <w:lang w:val="en-US"/>
        </w:rPr>
        <w:t xml:space="preserve"> </w:t>
      </w:r>
      <w:r w:rsidRPr="00756206">
        <w:rPr>
          <w:rFonts w:cs="Calibri"/>
          <w:b/>
          <w:bCs/>
          <w:noProof/>
          <w:lang w:val="en-US"/>
        </w:rPr>
        <w:t>356</w:t>
      </w:r>
      <w:r w:rsidRPr="00756206">
        <w:rPr>
          <w:rFonts w:cs="Calibri"/>
          <w:noProof/>
          <w:lang w:val="en-US"/>
        </w:rPr>
        <w:t>, 44–50 (2017).</w:t>
      </w:r>
    </w:p>
    <w:p w14:paraId="52452C77"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w:t>
      </w:r>
      <w:r w:rsidRPr="00756206">
        <w:rPr>
          <w:rFonts w:cs="Calibri"/>
          <w:noProof/>
          <w:lang w:val="en-US"/>
        </w:rPr>
        <w:tab/>
        <w:t xml:space="preserve">Bouziat, R. </w:t>
      </w:r>
      <w:r w:rsidRPr="00756206">
        <w:rPr>
          <w:rFonts w:cs="Calibri"/>
          <w:i/>
          <w:iCs/>
          <w:noProof/>
          <w:lang w:val="en-US"/>
        </w:rPr>
        <w:t>et al.</w:t>
      </w:r>
      <w:r w:rsidRPr="00756206">
        <w:rPr>
          <w:rFonts w:cs="Calibri"/>
          <w:noProof/>
          <w:lang w:val="en-US"/>
        </w:rPr>
        <w:t xml:space="preserve"> Murine Norovirus Infection Induces TH1 Inflammatory Responses to Dietary Antigens. </w:t>
      </w:r>
      <w:r w:rsidRPr="00756206">
        <w:rPr>
          <w:rFonts w:cs="Calibri"/>
          <w:i/>
          <w:iCs/>
          <w:noProof/>
          <w:lang w:val="en-US"/>
        </w:rPr>
        <w:t>Cell Host Microbe</w:t>
      </w:r>
      <w:r w:rsidRPr="00756206">
        <w:rPr>
          <w:rFonts w:cs="Calibri"/>
          <w:noProof/>
          <w:lang w:val="en-US"/>
        </w:rPr>
        <w:t xml:space="preserve"> </w:t>
      </w:r>
      <w:r w:rsidRPr="00756206">
        <w:rPr>
          <w:rFonts w:cs="Calibri"/>
          <w:b/>
          <w:bCs/>
          <w:noProof/>
          <w:lang w:val="en-US"/>
        </w:rPr>
        <w:t>24</w:t>
      </w:r>
      <w:r w:rsidRPr="00756206">
        <w:rPr>
          <w:rFonts w:cs="Calibri"/>
          <w:noProof/>
          <w:lang w:val="en-US"/>
        </w:rPr>
        <w:t>, 677–688 (2018).</w:t>
      </w:r>
    </w:p>
    <w:p w14:paraId="42C7BCFA"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w:t>
      </w:r>
      <w:r w:rsidRPr="00756206">
        <w:rPr>
          <w:rFonts w:cs="Calibri"/>
          <w:noProof/>
          <w:lang w:val="en-US"/>
        </w:rPr>
        <w:tab/>
        <w:t xml:space="preserve">Esterházy, D. </w:t>
      </w:r>
      <w:r w:rsidRPr="00756206">
        <w:rPr>
          <w:rFonts w:cs="Calibri"/>
          <w:i/>
          <w:iCs/>
          <w:noProof/>
          <w:lang w:val="en-US"/>
        </w:rPr>
        <w:t>et al.</w:t>
      </w:r>
      <w:r w:rsidRPr="00756206">
        <w:rPr>
          <w:rFonts w:cs="Calibri"/>
          <w:noProof/>
          <w:lang w:val="en-US"/>
        </w:rPr>
        <w:t xml:space="preserve"> Compartmentalized gut lymph node drainage dictates adaptive immune responses. </w:t>
      </w:r>
      <w:r w:rsidRPr="00756206">
        <w:rPr>
          <w:rFonts w:cs="Calibri"/>
          <w:i/>
          <w:iCs/>
          <w:noProof/>
          <w:lang w:val="en-US"/>
        </w:rPr>
        <w:t>Nature</w:t>
      </w:r>
      <w:r w:rsidRPr="00756206">
        <w:rPr>
          <w:rFonts w:cs="Calibri"/>
          <w:noProof/>
          <w:lang w:val="en-US"/>
        </w:rPr>
        <w:t xml:space="preserve"> 569(7754) 126–130 (2019) doi:10.1038/s41586-019-1125-3.</w:t>
      </w:r>
    </w:p>
    <w:p w14:paraId="03A9A44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w:t>
      </w:r>
      <w:r w:rsidRPr="00756206">
        <w:rPr>
          <w:rFonts w:cs="Calibri"/>
          <w:noProof/>
          <w:lang w:val="en-US"/>
        </w:rPr>
        <w:tab/>
        <w:t xml:space="preserve">Spiller, R. &amp; Garsed, K. Postinfectious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136</w:t>
      </w:r>
      <w:r w:rsidRPr="00756206">
        <w:rPr>
          <w:rFonts w:cs="Calibri"/>
          <w:noProof/>
          <w:lang w:val="en-US"/>
        </w:rPr>
        <w:t>, 1979–1988 (2009).</w:t>
      </w:r>
    </w:p>
    <w:p w14:paraId="1E1103E1"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9.</w:t>
      </w:r>
      <w:r w:rsidRPr="00756206">
        <w:rPr>
          <w:rFonts w:cs="Calibri"/>
          <w:noProof/>
          <w:lang w:val="en-US"/>
        </w:rPr>
        <w:tab/>
        <w:t xml:space="preserve">Card, T. </w:t>
      </w:r>
      <w:r w:rsidRPr="00756206">
        <w:rPr>
          <w:rFonts w:cs="Calibri"/>
          <w:i/>
          <w:iCs/>
          <w:noProof/>
          <w:lang w:val="en-US"/>
        </w:rPr>
        <w:t>et al.</w:t>
      </w:r>
      <w:r w:rsidRPr="00756206">
        <w:rPr>
          <w:rFonts w:cs="Calibri"/>
          <w:noProof/>
          <w:lang w:val="en-US"/>
        </w:rPr>
        <w:t xml:space="preserve"> Post-infectious IBS: Defining its clinical features and prognosis using an internet-based survey. </w:t>
      </w:r>
      <w:r w:rsidRPr="00756206">
        <w:rPr>
          <w:rFonts w:cs="Calibri"/>
          <w:i/>
          <w:iCs/>
          <w:noProof/>
          <w:lang w:val="en-US"/>
        </w:rPr>
        <w:t>United Eur. Gastroenterol. J.</w:t>
      </w:r>
      <w:r w:rsidRPr="00756206">
        <w:rPr>
          <w:rFonts w:cs="Calibri"/>
          <w:noProof/>
          <w:lang w:val="en-US"/>
        </w:rPr>
        <w:t xml:space="preserve"> </w:t>
      </w:r>
      <w:r w:rsidRPr="00756206">
        <w:rPr>
          <w:rFonts w:cs="Calibri"/>
          <w:b/>
          <w:bCs/>
          <w:noProof/>
          <w:lang w:val="en-US"/>
        </w:rPr>
        <w:t>6</w:t>
      </w:r>
      <w:r w:rsidRPr="00756206">
        <w:rPr>
          <w:rFonts w:cs="Calibri"/>
          <w:noProof/>
          <w:lang w:val="en-US"/>
        </w:rPr>
        <w:t>, 1245–1253 (2018).</w:t>
      </w:r>
    </w:p>
    <w:p w14:paraId="0DCE836B"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10.</w:t>
      </w:r>
      <w:r w:rsidRPr="00756206">
        <w:rPr>
          <w:rFonts w:cs="Calibri"/>
          <w:noProof/>
          <w:lang w:val="en-US"/>
        </w:rPr>
        <w:tab/>
        <w:t xml:space="preserve">Shah, E. D., Riddle, M. S., Chang, C. &amp; Pimentel, M. Estimating the contribution of acute gastroenteritis to the overall prevalence of irritable bowel syndrome. </w:t>
      </w:r>
      <w:r w:rsidRPr="00756206">
        <w:rPr>
          <w:rFonts w:cs="Calibri"/>
          <w:i/>
          <w:iCs/>
          <w:noProof/>
          <w:lang w:val="en-US"/>
        </w:rPr>
        <w:t>J. Neurogastroenterol. Motil.</w:t>
      </w:r>
      <w:r w:rsidRPr="00756206">
        <w:rPr>
          <w:rFonts w:cs="Calibri"/>
          <w:noProof/>
          <w:lang w:val="en-US"/>
        </w:rPr>
        <w:t xml:space="preserve"> </w:t>
      </w:r>
      <w:r w:rsidRPr="00756206">
        <w:rPr>
          <w:rFonts w:cs="Calibri"/>
          <w:b/>
          <w:bCs/>
          <w:noProof/>
          <w:lang w:val="en-US"/>
        </w:rPr>
        <w:t>18</w:t>
      </w:r>
      <w:r w:rsidRPr="00756206">
        <w:rPr>
          <w:rFonts w:cs="Calibri"/>
          <w:noProof/>
          <w:lang w:val="en-US"/>
        </w:rPr>
        <w:t>, 200–4 (2012).</w:t>
      </w:r>
    </w:p>
    <w:p w14:paraId="46944795" w14:textId="77777777" w:rsidR="00756206" w:rsidRPr="00963325" w:rsidRDefault="00756206" w:rsidP="00756206">
      <w:pPr>
        <w:widowControl w:val="0"/>
        <w:autoSpaceDE w:val="0"/>
        <w:autoSpaceDN w:val="0"/>
        <w:adjustRightInd w:val="0"/>
        <w:spacing w:after="120" w:line="240" w:lineRule="auto"/>
        <w:ind w:left="640" w:hanging="640"/>
        <w:rPr>
          <w:rFonts w:cs="Calibri"/>
          <w:noProof/>
        </w:rPr>
      </w:pPr>
      <w:r w:rsidRPr="00756206">
        <w:rPr>
          <w:rFonts w:cs="Calibri"/>
          <w:noProof/>
          <w:lang w:val="en-US"/>
        </w:rPr>
        <w:t>11.</w:t>
      </w:r>
      <w:r w:rsidRPr="00756206">
        <w:rPr>
          <w:rFonts w:cs="Calibri"/>
          <w:noProof/>
          <w:lang w:val="en-US"/>
        </w:rPr>
        <w:tab/>
        <w:t xml:space="preserve">Ford, A. C., Lacy, B. E. &amp; Talley, N. J. Irritable Bowel Syndrome. </w:t>
      </w:r>
      <w:r w:rsidRPr="00963325">
        <w:rPr>
          <w:rFonts w:cs="Calibri"/>
          <w:i/>
          <w:iCs/>
          <w:noProof/>
        </w:rPr>
        <w:t>N. Engl. J. Med.</w:t>
      </w:r>
      <w:r w:rsidRPr="00963325">
        <w:rPr>
          <w:rFonts w:cs="Calibri"/>
          <w:noProof/>
        </w:rPr>
        <w:t xml:space="preserve"> </w:t>
      </w:r>
      <w:r w:rsidRPr="00963325">
        <w:rPr>
          <w:rFonts w:cs="Calibri"/>
          <w:b/>
          <w:bCs/>
          <w:noProof/>
        </w:rPr>
        <w:t>376</w:t>
      </w:r>
      <w:r w:rsidRPr="00963325">
        <w:rPr>
          <w:rFonts w:cs="Calibri"/>
          <w:noProof/>
        </w:rPr>
        <w:t>, 2566–2578 (2017).</w:t>
      </w:r>
    </w:p>
    <w:p w14:paraId="418B034F" w14:textId="77777777" w:rsidR="00756206" w:rsidRPr="00963325" w:rsidRDefault="00756206" w:rsidP="00756206">
      <w:pPr>
        <w:widowControl w:val="0"/>
        <w:autoSpaceDE w:val="0"/>
        <w:autoSpaceDN w:val="0"/>
        <w:adjustRightInd w:val="0"/>
        <w:spacing w:after="120" w:line="240" w:lineRule="auto"/>
        <w:ind w:left="640" w:hanging="640"/>
        <w:rPr>
          <w:rFonts w:cs="Calibri"/>
          <w:noProof/>
        </w:rPr>
      </w:pPr>
      <w:r w:rsidRPr="00963325">
        <w:rPr>
          <w:rFonts w:cs="Calibri"/>
          <w:noProof/>
        </w:rPr>
        <w:t>12.</w:t>
      </w:r>
      <w:r w:rsidRPr="00963325">
        <w:rPr>
          <w:rFonts w:cs="Calibri"/>
          <w:noProof/>
        </w:rPr>
        <w:tab/>
        <w:t xml:space="preserve">Lacy, B. E. </w:t>
      </w:r>
      <w:r w:rsidRPr="00963325">
        <w:rPr>
          <w:rFonts w:cs="Calibri"/>
          <w:i/>
          <w:iCs/>
          <w:noProof/>
        </w:rPr>
        <w:t>et al.</w:t>
      </w:r>
      <w:r w:rsidRPr="00963325">
        <w:rPr>
          <w:rFonts w:cs="Calibri"/>
          <w:noProof/>
        </w:rPr>
        <w:t xml:space="preserve"> Bowel disorders. </w:t>
      </w:r>
      <w:r w:rsidRPr="00963325">
        <w:rPr>
          <w:rFonts w:cs="Calibri"/>
          <w:i/>
          <w:iCs/>
          <w:noProof/>
        </w:rPr>
        <w:t>Gastroenterology</w:t>
      </w:r>
      <w:r w:rsidRPr="00963325">
        <w:rPr>
          <w:rFonts w:cs="Calibri"/>
          <w:noProof/>
        </w:rPr>
        <w:t xml:space="preserve"> </w:t>
      </w:r>
      <w:r w:rsidRPr="00963325">
        <w:rPr>
          <w:rFonts w:cs="Calibri"/>
          <w:b/>
          <w:bCs/>
          <w:noProof/>
        </w:rPr>
        <w:t>150</w:t>
      </w:r>
      <w:r w:rsidRPr="00963325">
        <w:rPr>
          <w:rFonts w:cs="Calibri"/>
          <w:noProof/>
        </w:rPr>
        <w:t>, 1393-1407e5 (2016).</w:t>
      </w:r>
    </w:p>
    <w:p w14:paraId="0D0AC1E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13.</w:t>
      </w:r>
      <w:r w:rsidRPr="00756206">
        <w:rPr>
          <w:rFonts w:cs="Calibri"/>
          <w:noProof/>
          <w:lang w:val="en-US"/>
        </w:rPr>
        <w:tab/>
        <w:t xml:space="preserve">Böhn, L., Störsrud, S., Törnblom, H., Bengtsson, U. &amp; Simrén, M. Self-reported food-related gastrointestinal symptoms in IBS are common and associated with more severe symptoms and reduced quality of life. </w:t>
      </w:r>
      <w:r w:rsidRPr="00756206">
        <w:rPr>
          <w:rFonts w:cs="Calibri"/>
          <w:i/>
          <w:iCs/>
          <w:noProof/>
          <w:lang w:val="en-US"/>
        </w:rPr>
        <w:t>Am. J. Gastroenterol.</w:t>
      </w:r>
      <w:r w:rsidRPr="00756206">
        <w:rPr>
          <w:rFonts w:cs="Calibri"/>
          <w:noProof/>
          <w:lang w:val="en-US"/>
        </w:rPr>
        <w:t xml:space="preserve"> </w:t>
      </w:r>
      <w:r w:rsidRPr="00756206">
        <w:rPr>
          <w:rFonts w:cs="Calibri"/>
          <w:b/>
          <w:bCs/>
          <w:noProof/>
          <w:lang w:val="en-US"/>
        </w:rPr>
        <w:t>108</w:t>
      </w:r>
      <w:r w:rsidRPr="00756206">
        <w:rPr>
          <w:rFonts w:cs="Calibri"/>
          <w:noProof/>
          <w:lang w:val="en-US"/>
        </w:rPr>
        <w:t>, 634–641 (2013).</w:t>
      </w:r>
    </w:p>
    <w:p w14:paraId="70BE348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14.</w:t>
      </w:r>
      <w:r w:rsidRPr="00756206">
        <w:rPr>
          <w:rFonts w:cs="Calibri"/>
          <w:noProof/>
          <w:lang w:val="en-US"/>
        </w:rPr>
        <w:tab/>
        <w:t xml:space="preserve">Barbara, G. </w:t>
      </w:r>
      <w:r w:rsidRPr="00756206">
        <w:rPr>
          <w:rFonts w:cs="Calibri"/>
          <w:i/>
          <w:iCs/>
          <w:noProof/>
          <w:lang w:val="en-US"/>
        </w:rPr>
        <w:t>et al.</w:t>
      </w:r>
      <w:r w:rsidRPr="00756206">
        <w:rPr>
          <w:rFonts w:cs="Calibri"/>
          <w:noProof/>
          <w:lang w:val="en-US"/>
        </w:rPr>
        <w:t xml:space="preserve"> Mast Cell-Dependent Excitation of Visceral-Nociceptive Sensory Neurons in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132</w:t>
      </w:r>
      <w:r w:rsidRPr="00756206">
        <w:rPr>
          <w:rFonts w:cs="Calibri"/>
          <w:noProof/>
          <w:lang w:val="en-US"/>
        </w:rPr>
        <w:t>, 26–37 (2007).</w:t>
      </w:r>
    </w:p>
    <w:p w14:paraId="4BF1146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15.</w:t>
      </w:r>
      <w:r w:rsidRPr="00756206">
        <w:rPr>
          <w:rFonts w:cs="Calibri"/>
          <w:noProof/>
          <w:lang w:val="en-US"/>
        </w:rPr>
        <w:tab/>
        <w:t xml:space="preserve">Dafne Balemans, Javier Aguilera-Lizarraga, Morgane V Florens, Piyush Jain, Alexandre Denadai-Souza, Maria Francesca Viola, Yeranddy Aguiar Alpizar, Schalk Van Der Merwe, Pieter Vanden Berghe, Karel Talavera, Stephen J. Vanner, Mira M Wouters,  and G. E. B. Histamine-mediated potentiation of TRPA1 and TRPV4 signaling in submucosal neurons in IBS patients. </w:t>
      </w:r>
      <w:r w:rsidRPr="00756206">
        <w:rPr>
          <w:rFonts w:cs="Calibri"/>
          <w:i/>
          <w:iCs/>
          <w:noProof/>
          <w:lang w:val="en-US"/>
        </w:rPr>
        <w:t>Am. J. Physiol. Gastrointest. liver Physiol. - Gastrointest. liver Physiol.</w:t>
      </w:r>
      <w:r w:rsidRPr="00756206">
        <w:rPr>
          <w:rFonts w:cs="Calibri"/>
          <w:noProof/>
          <w:lang w:val="en-US"/>
        </w:rPr>
        <w:t xml:space="preserve"> (2019).</w:t>
      </w:r>
    </w:p>
    <w:p w14:paraId="7AA9723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16.</w:t>
      </w:r>
      <w:r w:rsidRPr="00756206">
        <w:rPr>
          <w:rFonts w:cs="Calibri"/>
          <w:noProof/>
          <w:lang w:val="en-US"/>
        </w:rPr>
        <w:tab/>
        <w:t xml:space="preserve">Collins, J. W. </w:t>
      </w:r>
      <w:r w:rsidRPr="00756206">
        <w:rPr>
          <w:rFonts w:cs="Calibri"/>
          <w:i/>
          <w:iCs/>
          <w:noProof/>
          <w:lang w:val="en-US"/>
        </w:rPr>
        <w:t>et al.</w:t>
      </w:r>
      <w:r w:rsidRPr="00756206">
        <w:rPr>
          <w:rFonts w:cs="Calibri"/>
          <w:noProof/>
          <w:lang w:val="en-US"/>
        </w:rPr>
        <w:t xml:space="preserve"> Citrobacter rodentium: Infection, inflammation and the microbiota. </w:t>
      </w:r>
      <w:r w:rsidRPr="00756206">
        <w:rPr>
          <w:rFonts w:cs="Calibri"/>
          <w:i/>
          <w:iCs/>
          <w:noProof/>
          <w:lang w:val="en-US"/>
        </w:rPr>
        <w:t>Nature Reviews Microbiology</w:t>
      </w:r>
      <w:r w:rsidRPr="00756206">
        <w:rPr>
          <w:rFonts w:cs="Calibri"/>
          <w:noProof/>
          <w:lang w:val="en-US"/>
        </w:rPr>
        <w:t xml:space="preserve"> vol. 12 612–623 (2014).</w:t>
      </w:r>
    </w:p>
    <w:p w14:paraId="5190636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17.</w:t>
      </w:r>
      <w:r w:rsidRPr="00756206">
        <w:rPr>
          <w:rFonts w:cs="Calibri"/>
          <w:noProof/>
          <w:lang w:val="en-US"/>
        </w:rPr>
        <w:tab/>
        <w:t xml:space="preserve">Seiffart, V. </w:t>
      </w:r>
      <w:r w:rsidRPr="00756206">
        <w:rPr>
          <w:rFonts w:cs="Calibri"/>
          <w:i/>
          <w:iCs/>
          <w:noProof/>
          <w:lang w:val="en-US"/>
        </w:rPr>
        <w:t>et al.</w:t>
      </w:r>
      <w:r w:rsidRPr="00756206">
        <w:rPr>
          <w:rFonts w:cs="Calibri"/>
          <w:noProof/>
          <w:lang w:val="en-US"/>
        </w:rPr>
        <w:t xml:space="preserve"> IL10-Deficiency in CD4</w:t>
      </w:r>
      <w:r w:rsidRPr="00756206">
        <w:rPr>
          <w:rFonts w:cs="Calibri"/>
          <w:noProof/>
          <w:vertAlign w:val="superscript"/>
          <w:lang w:val="en-US"/>
        </w:rPr>
        <w:t>+</w:t>
      </w:r>
      <w:r w:rsidRPr="00756206">
        <w:rPr>
          <w:rFonts w:cs="Calibri"/>
          <w:noProof/>
          <w:lang w:val="en-US"/>
        </w:rPr>
        <w:t xml:space="preserve"> T Cells Exacerbates the IFNγ and IL17 Response During Bacteria Induced Colitis. </w:t>
      </w:r>
      <w:r w:rsidRPr="00756206">
        <w:rPr>
          <w:rFonts w:cs="Calibri"/>
          <w:i/>
          <w:iCs/>
          <w:noProof/>
          <w:lang w:val="en-US"/>
        </w:rPr>
        <w:t>Cell. Physiol. Biochem.</w:t>
      </w:r>
      <w:r w:rsidRPr="00756206">
        <w:rPr>
          <w:rFonts w:cs="Calibri"/>
          <w:noProof/>
          <w:lang w:val="en-US"/>
        </w:rPr>
        <w:t xml:space="preserve"> </w:t>
      </w:r>
      <w:r w:rsidRPr="00756206">
        <w:rPr>
          <w:rFonts w:cs="Calibri"/>
          <w:b/>
          <w:bCs/>
          <w:noProof/>
          <w:lang w:val="en-US"/>
        </w:rPr>
        <w:t>36</w:t>
      </w:r>
      <w:r w:rsidRPr="00756206">
        <w:rPr>
          <w:rFonts w:cs="Calibri"/>
          <w:noProof/>
          <w:lang w:val="en-US"/>
        </w:rPr>
        <w:t>, 1259–73 (2015).</w:t>
      </w:r>
    </w:p>
    <w:p w14:paraId="2B4341B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18.</w:t>
      </w:r>
      <w:r w:rsidRPr="00756206">
        <w:rPr>
          <w:rFonts w:cs="Calibri"/>
          <w:noProof/>
          <w:lang w:val="en-US"/>
        </w:rPr>
        <w:tab/>
        <w:t xml:space="preserve">Hadis, U. </w:t>
      </w:r>
      <w:r w:rsidRPr="00756206">
        <w:rPr>
          <w:rFonts w:cs="Calibri"/>
          <w:i/>
          <w:iCs/>
          <w:noProof/>
          <w:lang w:val="en-US"/>
        </w:rPr>
        <w:t>et al.</w:t>
      </w:r>
      <w:r w:rsidRPr="00756206">
        <w:rPr>
          <w:rFonts w:cs="Calibri"/>
          <w:noProof/>
          <w:lang w:val="en-US"/>
        </w:rPr>
        <w:t xml:space="preserve"> Intestinal Tolerance Requires Gut Homing and Expansion of FoxP3+ Regulatory T </w:t>
      </w:r>
      <w:r w:rsidRPr="00756206">
        <w:rPr>
          <w:rFonts w:cs="Calibri"/>
          <w:noProof/>
          <w:lang w:val="en-US"/>
        </w:rPr>
        <w:lastRenderedPageBreak/>
        <w:t xml:space="preserve">Cells in the Lamina Propria. </w:t>
      </w:r>
      <w:r w:rsidRPr="00756206">
        <w:rPr>
          <w:rFonts w:cs="Calibri"/>
          <w:i/>
          <w:iCs/>
          <w:noProof/>
          <w:lang w:val="en-US"/>
        </w:rPr>
        <w:t>Immunity</w:t>
      </w:r>
      <w:r w:rsidRPr="00756206">
        <w:rPr>
          <w:rFonts w:cs="Calibri"/>
          <w:noProof/>
          <w:lang w:val="en-US"/>
        </w:rPr>
        <w:t xml:space="preserve"> </w:t>
      </w:r>
      <w:r w:rsidRPr="00756206">
        <w:rPr>
          <w:rFonts w:cs="Calibri"/>
          <w:b/>
          <w:bCs/>
          <w:noProof/>
          <w:lang w:val="en-US"/>
        </w:rPr>
        <w:t>34</w:t>
      </w:r>
      <w:r w:rsidRPr="00756206">
        <w:rPr>
          <w:rFonts w:cs="Calibri"/>
          <w:noProof/>
          <w:lang w:val="en-US"/>
        </w:rPr>
        <w:t>, 237–246 (2011).</w:t>
      </w:r>
    </w:p>
    <w:p w14:paraId="4E3CB949"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19.</w:t>
      </w:r>
      <w:r w:rsidRPr="00756206">
        <w:rPr>
          <w:rFonts w:cs="Calibri"/>
          <w:noProof/>
          <w:lang w:val="en-US"/>
        </w:rPr>
        <w:tab/>
        <w:t xml:space="preserve">Mondelaers, S. U. </w:t>
      </w:r>
      <w:r w:rsidRPr="00756206">
        <w:rPr>
          <w:rFonts w:cs="Calibri"/>
          <w:i/>
          <w:iCs/>
          <w:noProof/>
          <w:lang w:val="en-US"/>
        </w:rPr>
        <w:t>et al.</w:t>
      </w:r>
      <w:r w:rsidRPr="00756206">
        <w:rPr>
          <w:rFonts w:cs="Calibri"/>
          <w:noProof/>
          <w:lang w:val="en-US"/>
        </w:rPr>
        <w:t xml:space="preserve"> Effect of genetic background and postinfectious stress on visceral sensitivity in Citrobacter rodentium-infected mice. </w:t>
      </w:r>
      <w:r w:rsidRPr="00756206">
        <w:rPr>
          <w:rFonts w:cs="Calibri"/>
          <w:i/>
          <w:iCs/>
          <w:noProof/>
          <w:lang w:val="en-US"/>
        </w:rPr>
        <w:t>Neurogastroenterol. Motil.</w:t>
      </w:r>
      <w:r w:rsidRPr="00756206">
        <w:rPr>
          <w:rFonts w:cs="Calibri"/>
          <w:noProof/>
          <w:lang w:val="en-US"/>
        </w:rPr>
        <w:t xml:space="preserve"> </w:t>
      </w:r>
      <w:r w:rsidRPr="00756206">
        <w:rPr>
          <w:rFonts w:cs="Calibri"/>
          <w:b/>
          <w:bCs/>
          <w:noProof/>
          <w:lang w:val="en-US"/>
        </w:rPr>
        <w:t>28</w:t>
      </w:r>
      <w:r w:rsidRPr="00756206">
        <w:rPr>
          <w:rFonts w:cs="Calibri"/>
          <w:noProof/>
          <w:lang w:val="en-US"/>
        </w:rPr>
        <w:t>, 647–658 (2016).</w:t>
      </w:r>
    </w:p>
    <w:p w14:paraId="0A9CFB04"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20.</w:t>
      </w:r>
      <w:r w:rsidRPr="00756206">
        <w:rPr>
          <w:rFonts w:cs="Calibri"/>
          <w:noProof/>
          <w:lang w:val="en-US"/>
        </w:rPr>
        <w:tab/>
        <w:t xml:space="preserve">Ibeakanma, C. </w:t>
      </w:r>
      <w:r w:rsidRPr="00756206">
        <w:rPr>
          <w:rFonts w:cs="Calibri"/>
          <w:i/>
          <w:iCs/>
          <w:noProof/>
          <w:lang w:val="en-US"/>
        </w:rPr>
        <w:t>et al.</w:t>
      </w:r>
      <w:r w:rsidRPr="00756206">
        <w:rPr>
          <w:rFonts w:cs="Calibri"/>
          <w:noProof/>
          <w:lang w:val="en-US"/>
        </w:rPr>
        <w:t xml:space="preserve"> Citrobacter rodentium colitis evokes post-infectious hyperexcitability of mouse nociceptive colonic dorsal root ganglion neurons. </w:t>
      </w:r>
      <w:r w:rsidRPr="00756206">
        <w:rPr>
          <w:rFonts w:cs="Calibri"/>
          <w:i/>
          <w:iCs/>
          <w:noProof/>
          <w:lang w:val="en-US"/>
        </w:rPr>
        <w:t>J. Physiol.</w:t>
      </w:r>
      <w:r w:rsidRPr="00756206">
        <w:rPr>
          <w:rFonts w:cs="Calibri"/>
          <w:noProof/>
          <w:lang w:val="en-US"/>
        </w:rPr>
        <w:t xml:space="preserve"> </w:t>
      </w:r>
      <w:r w:rsidRPr="00756206">
        <w:rPr>
          <w:rFonts w:cs="Calibri"/>
          <w:b/>
          <w:bCs/>
          <w:noProof/>
          <w:lang w:val="en-US"/>
        </w:rPr>
        <w:t>587</w:t>
      </w:r>
      <w:r w:rsidRPr="00756206">
        <w:rPr>
          <w:rFonts w:cs="Calibri"/>
          <w:noProof/>
          <w:lang w:val="en-US"/>
        </w:rPr>
        <w:t>, 3505–21 (2009).</w:t>
      </w:r>
    </w:p>
    <w:p w14:paraId="4356859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21.</w:t>
      </w:r>
      <w:r w:rsidRPr="00756206">
        <w:rPr>
          <w:rFonts w:cs="Calibri"/>
          <w:noProof/>
          <w:lang w:val="en-US"/>
        </w:rPr>
        <w:tab/>
        <w:t xml:space="preserve">Zhou, Q., Zhang, B. &amp; Nicholas Verne, G. Intestinal membrane permeability and hypersensitivity in the irritable bowel syndrome. </w:t>
      </w:r>
      <w:r w:rsidRPr="00756206">
        <w:rPr>
          <w:rFonts w:cs="Calibri"/>
          <w:i/>
          <w:iCs/>
          <w:noProof/>
          <w:lang w:val="en-US"/>
        </w:rPr>
        <w:t>Pain</w:t>
      </w:r>
      <w:r w:rsidRPr="00756206">
        <w:rPr>
          <w:rFonts w:cs="Calibri"/>
          <w:noProof/>
          <w:lang w:val="en-US"/>
        </w:rPr>
        <w:t xml:space="preserve"> </w:t>
      </w:r>
      <w:r w:rsidRPr="00756206">
        <w:rPr>
          <w:rFonts w:cs="Calibri"/>
          <w:b/>
          <w:bCs/>
          <w:noProof/>
          <w:lang w:val="en-US"/>
        </w:rPr>
        <w:t>146</w:t>
      </w:r>
      <w:r w:rsidRPr="00756206">
        <w:rPr>
          <w:rFonts w:cs="Calibri"/>
          <w:noProof/>
          <w:lang w:val="en-US"/>
        </w:rPr>
        <w:t>, 41–46 (2009).</w:t>
      </w:r>
    </w:p>
    <w:p w14:paraId="694FFA7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22.</w:t>
      </w:r>
      <w:r w:rsidRPr="00756206">
        <w:rPr>
          <w:rFonts w:cs="Calibri"/>
          <w:noProof/>
          <w:lang w:val="en-US"/>
        </w:rPr>
        <w:tab/>
        <w:t xml:space="preserve">Spiller, R. C. </w:t>
      </w:r>
      <w:r w:rsidRPr="00756206">
        <w:rPr>
          <w:rFonts w:cs="Calibri"/>
          <w:i/>
          <w:iCs/>
          <w:noProof/>
          <w:lang w:val="en-US"/>
        </w:rPr>
        <w:t>et al.</w:t>
      </w:r>
      <w:r w:rsidRPr="00756206">
        <w:rPr>
          <w:rFonts w:cs="Calibri"/>
          <w:noProof/>
          <w:lang w:val="en-US"/>
        </w:rPr>
        <w:t xml:space="preserve"> Increased rectal mucosal enteroendocrine cells, T lymphocytes, and increased gut permeability following acute Campylobacter enteritis and in post-dysenteric irritable bowel syndrome. </w:t>
      </w:r>
      <w:r w:rsidRPr="00756206">
        <w:rPr>
          <w:rFonts w:cs="Calibri"/>
          <w:i/>
          <w:iCs/>
          <w:noProof/>
          <w:lang w:val="en-US"/>
        </w:rPr>
        <w:t>Gut</w:t>
      </w:r>
      <w:r w:rsidRPr="00756206">
        <w:rPr>
          <w:rFonts w:cs="Calibri"/>
          <w:noProof/>
          <w:lang w:val="en-US"/>
        </w:rPr>
        <w:t xml:space="preserve"> </w:t>
      </w:r>
      <w:r w:rsidRPr="00756206">
        <w:rPr>
          <w:rFonts w:cs="Calibri"/>
          <w:b/>
          <w:bCs/>
          <w:noProof/>
          <w:lang w:val="en-US"/>
        </w:rPr>
        <w:t>47</w:t>
      </w:r>
      <w:r w:rsidRPr="00756206">
        <w:rPr>
          <w:rFonts w:cs="Calibri"/>
          <w:noProof/>
          <w:lang w:val="en-US"/>
        </w:rPr>
        <w:t>, 804–811 (2000).</w:t>
      </w:r>
    </w:p>
    <w:p w14:paraId="3C47ECA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23.</w:t>
      </w:r>
      <w:r w:rsidRPr="00756206">
        <w:rPr>
          <w:rFonts w:cs="Calibri"/>
          <w:noProof/>
          <w:lang w:val="en-US"/>
        </w:rPr>
        <w:tab/>
        <w:t xml:space="preserve">Lee, J. W. </w:t>
      </w:r>
      <w:r w:rsidRPr="00756206">
        <w:rPr>
          <w:rFonts w:cs="Calibri"/>
          <w:i/>
          <w:iCs/>
          <w:noProof/>
          <w:lang w:val="en-US"/>
        </w:rPr>
        <w:t>et al.</w:t>
      </w:r>
      <w:r w:rsidRPr="00756206">
        <w:rPr>
          <w:rFonts w:cs="Calibri"/>
          <w:noProof/>
          <w:lang w:val="en-US"/>
        </w:rPr>
        <w:t xml:space="preserve"> Subjects with diarrhea-predominant IBS have increased rectal permeability responsive to tryptase. </w:t>
      </w:r>
      <w:r w:rsidRPr="00756206">
        <w:rPr>
          <w:rFonts w:cs="Calibri"/>
          <w:i/>
          <w:iCs/>
          <w:noProof/>
          <w:lang w:val="en-US"/>
        </w:rPr>
        <w:t>Dig. Dis. Sci.</w:t>
      </w:r>
      <w:r w:rsidRPr="00756206">
        <w:rPr>
          <w:rFonts w:cs="Calibri"/>
          <w:noProof/>
          <w:lang w:val="en-US"/>
        </w:rPr>
        <w:t xml:space="preserve"> </w:t>
      </w:r>
      <w:r w:rsidRPr="00756206">
        <w:rPr>
          <w:rFonts w:cs="Calibri"/>
          <w:b/>
          <w:bCs/>
          <w:noProof/>
          <w:lang w:val="en-US"/>
        </w:rPr>
        <w:t>55</w:t>
      </w:r>
      <w:r w:rsidRPr="00756206">
        <w:rPr>
          <w:rFonts w:cs="Calibri"/>
          <w:noProof/>
          <w:lang w:val="en-US"/>
        </w:rPr>
        <w:t>, 2922–2928 (2010).</w:t>
      </w:r>
    </w:p>
    <w:p w14:paraId="2E4E016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24.</w:t>
      </w:r>
      <w:r w:rsidRPr="00756206">
        <w:rPr>
          <w:rFonts w:cs="Calibri"/>
          <w:noProof/>
          <w:lang w:val="en-US"/>
        </w:rPr>
        <w:tab/>
        <w:t xml:space="preserve">Shen, L., Weber, C. R., Raleigh, D. R., Yu, D. &amp; Turner, J. R. Tight junction pore and leak pathways: A dynamic duo. </w:t>
      </w:r>
      <w:r w:rsidRPr="00756206">
        <w:rPr>
          <w:rFonts w:cs="Calibri"/>
          <w:i/>
          <w:iCs/>
          <w:noProof/>
          <w:lang w:val="en-US"/>
        </w:rPr>
        <w:t>Annu. Rev. Physiol.</w:t>
      </w:r>
      <w:r w:rsidRPr="00756206">
        <w:rPr>
          <w:rFonts w:cs="Calibri"/>
          <w:noProof/>
          <w:lang w:val="en-US"/>
        </w:rPr>
        <w:t xml:space="preserve"> </w:t>
      </w:r>
      <w:r w:rsidRPr="00756206">
        <w:rPr>
          <w:rFonts w:cs="Calibri"/>
          <w:b/>
          <w:bCs/>
          <w:noProof/>
          <w:lang w:val="en-US"/>
        </w:rPr>
        <w:t>73</w:t>
      </w:r>
      <w:r w:rsidRPr="00756206">
        <w:rPr>
          <w:rFonts w:cs="Calibri"/>
          <w:noProof/>
          <w:lang w:val="en-US"/>
        </w:rPr>
        <w:t>, 289–309 (2011).</w:t>
      </w:r>
    </w:p>
    <w:p w14:paraId="0198C49B"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25.</w:t>
      </w:r>
      <w:r w:rsidRPr="00756206">
        <w:rPr>
          <w:rFonts w:cs="Calibri"/>
          <w:noProof/>
          <w:lang w:val="en-US"/>
        </w:rPr>
        <w:tab/>
        <w:t xml:space="preserve">Di Giovangiulio, M. </w:t>
      </w:r>
      <w:r w:rsidRPr="00756206">
        <w:rPr>
          <w:rFonts w:cs="Calibri"/>
          <w:i/>
          <w:iCs/>
          <w:noProof/>
          <w:lang w:val="en-US"/>
        </w:rPr>
        <w:t>et al.</w:t>
      </w:r>
      <w:r w:rsidRPr="00756206">
        <w:rPr>
          <w:rFonts w:cs="Calibri"/>
          <w:noProof/>
          <w:lang w:val="en-US"/>
        </w:rPr>
        <w:t xml:space="preserve"> Vagotomy Affects the Development of Oral Tolerance and Increases Susceptibility to Develop Colitis Independently of α-7 Nicotinic Receptor. </w:t>
      </w:r>
      <w:r w:rsidRPr="00756206">
        <w:rPr>
          <w:rFonts w:cs="Calibri"/>
          <w:i/>
          <w:iCs/>
          <w:noProof/>
          <w:lang w:val="en-US"/>
        </w:rPr>
        <w:t>Mol. Med.</w:t>
      </w:r>
      <w:r w:rsidRPr="00756206">
        <w:rPr>
          <w:rFonts w:cs="Calibri"/>
          <w:noProof/>
          <w:lang w:val="en-US"/>
        </w:rPr>
        <w:t xml:space="preserve"> </w:t>
      </w:r>
      <w:r w:rsidRPr="00756206">
        <w:rPr>
          <w:rFonts w:cs="Calibri"/>
          <w:b/>
          <w:bCs/>
          <w:noProof/>
          <w:lang w:val="en-US"/>
        </w:rPr>
        <w:t>22</w:t>
      </w:r>
      <w:r w:rsidRPr="00756206">
        <w:rPr>
          <w:rFonts w:cs="Calibri"/>
          <w:noProof/>
          <w:lang w:val="en-US"/>
        </w:rPr>
        <w:t>, 464–476 (2016).</w:t>
      </w:r>
    </w:p>
    <w:p w14:paraId="5CBB2F45"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26.</w:t>
      </w:r>
      <w:r w:rsidRPr="00756206">
        <w:rPr>
          <w:rFonts w:cs="Calibri"/>
          <w:noProof/>
          <w:lang w:val="en-US"/>
        </w:rPr>
        <w:tab/>
        <w:t xml:space="preserve">Smith, C. E., Eagar, T. N., Strominger, J. L. &amp; Miller, S. D. Differential induction of IgE-mediated anaphylaxis after soluble vs. cell-bound tolerogenic peptide therapy of autoimmune encephalomyelitis. </w:t>
      </w:r>
      <w:r w:rsidRPr="00756206">
        <w:rPr>
          <w:rFonts w:cs="Calibri"/>
          <w:i/>
          <w:iCs/>
          <w:noProof/>
          <w:lang w:val="en-US"/>
        </w:rPr>
        <w:t>Proc. Natl. Acad. Sci. U. S. A.</w:t>
      </w:r>
      <w:r w:rsidRPr="00756206">
        <w:rPr>
          <w:rFonts w:cs="Calibri"/>
          <w:noProof/>
          <w:lang w:val="en-US"/>
        </w:rPr>
        <w:t xml:space="preserve"> </w:t>
      </w:r>
      <w:r w:rsidRPr="00756206">
        <w:rPr>
          <w:rFonts w:cs="Calibri"/>
          <w:b/>
          <w:bCs/>
          <w:noProof/>
          <w:lang w:val="en-US"/>
        </w:rPr>
        <w:t>102</w:t>
      </w:r>
      <w:r w:rsidRPr="00756206">
        <w:rPr>
          <w:rFonts w:cs="Calibri"/>
          <w:noProof/>
          <w:lang w:val="en-US"/>
        </w:rPr>
        <w:t>, 9595–9600 (2005).</w:t>
      </w:r>
    </w:p>
    <w:p w14:paraId="1411566B"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27.</w:t>
      </w:r>
      <w:r w:rsidRPr="00756206">
        <w:rPr>
          <w:rFonts w:cs="Calibri"/>
          <w:noProof/>
          <w:lang w:val="en-US"/>
        </w:rPr>
        <w:tab/>
        <w:t xml:space="preserve">Keegan, A. D., Fratazzi, C., Shopes, B., Baird, B. &amp; Conrad, D. H. Characterization of new rat anti-mouse IgE monoclonals and their use along with chimeric IgE to further define the site that interacts with Fc epsilon RII and Fc epsilon RI. </w:t>
      </w:r>
      <w:r w:rsidRPr="00756206">
        <w:rPr>
          <w:rFonts w:cs="Calibri"/>
          <w:i/>
          <w:iCs/>
          <w:noProof/>
          <w:lang w:val="en-US"/>
        </w:rPr>
        <w:t>Mol. Immunol.</w:t>
      </w:r>
      <w:r w:rsidRPr="00756206">
        <w:rPr>
          <w:rFonts w:cs="Calibri"/>
          <w:noProof/>
          <w:lang w:val="en-US"/>
        </w:rPr>
        <w:t xml:space="preserve"> </w:t>
      </w:r>
      <w:r w:rsidRPr="00756206">
        <w:rPr>
          <w:rFonts w:cs="Calibri"/>
          <w:b/>
          <w:bCs/>
          <w:noProof/>
          <w:lang w:val="en-US"/>
        </w:rPr>
        <w:t>28</w:t>
      </w:r>
      <w:r w:rsidRPr="00756206">
        <w:rPr>
          <w:rFonts w:cs="Calibri"/>
          <w:noProof/>
          <w:lang w:val="en-US"/>
        </w:rPr>
        <w:t>, 1149–54 (1991).</w:t>
      </w:r>
    </w:p>
    <w:p w14:paraId="782CF87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28.</w:t>
      </w:r>
      <w:r w:rsidRPr="00756206">
        <w:rPr>
          <w:rFonts w:cs="Calibri"/>
          <w:noProof/>
          <w:lang w:val="en-US"/>
        </w:rPr>
        <w:tab/>
        <w:t xml:space="preserve">Schulman, E. S. Development of a monoclonal anti-immunoglobulin E antibody (omalizumab) for the treatment of allergic respiratory disorders. </w:t>
      </w:r>
      <w:r w:rsidRPr="00756206">
        <w:rPr>
          <w:rFonts w:cs="Calibri"/>
          <w:i/>
          <w:iCs/>
          <w:noProof/>
          <w:lang w:val="en-US"/>
        </w:rPr>
        <w:t>American Journal of Respiratory and Critical Care Medicine</w:t>
      </w:r>
      <w:r w:rsidRPr="00756206">
        <w:rPr>
          <w:rFonts w:cs="Calibri"/>
          <w:noProof/>
          <w:lang w:val="en-US"/>
        </w:rPr>
        <w:t xml:space="preserve"> 15;164(8 Pt 2):S6–11 (2001) doi:10.1164/ajrccm.164.supplement_1.2103025.</w:t>
      </w:r>
    </w:p>
    <w:p w14:paraId="70451D3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29.</w:t>
      </w:r>
      <w:r w:rsidRPr="00756206">
        <w:rPr>
          <w:rFonts w:cs="Calibri"/>
          <w:noProof/>
          <w:lang w:val="en-US"/>
        </w:rPr>
        <w:tab/>
        <w:t xml:space="preserve">Geha, R. S., Jabara, H. H. &amp; Brodeur, S. R. The regulation of immunoglobulin E class-switch recombination. </w:t>
      </w:r>
      <w:r w:rsidRPr="00756206">
        <w:rPr>
          <w:rFonts w:cs="Calibri"/>
          <w:i/>
          <w:iCs/>
          <w:noProof/>
          <w:lang w:val="en-US"/>
        </w:rPr>
        <w:t>Nature Reviews Immunology</w:t>
      </w:r>
      <w:r w:rsidRPr="00756206">
        <w:rPr>
          <w:rFonts w:cs="Calibri"/>
          <w:noProof/>
          <w:lang w:val="en-US"/>
        </w:rPr>
        <w:t xml:space="preserve"> 721–32 (2003) doi:10.1038/nri1181.</w:t>
      </w:r>
    </w:p>
    <w:p w14:paraId="267F7A9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30.</w:t>
      </w:r>
      <w:r w:rsidRPr="00756206">
        <w:rPr>
          <w:rFonts w:cs="Calibri"/>
          <w:noProof/>
          <w:lang w:val="en-US"/>
        </w:rPr>
        <w:tab/>
        <w:t xml:space="preserve">Wu, Y. L., Stubbington, M. J. T., Daly, M., Teichmann, S. A. &amp; Rada, C. Intrinsic transcriptional heterogeneity in B cells controls early class switching to IgE. </w:t>
      </w:r>
      <w:r w:rsidRPr="00756206">
        <w:rPr>
          <w:rFonts w:cs="Calibri"/>
          <w:i/>
          <w:iCs/>
          <w:noProof/>
          <w:lang w:val="en-US"/>
        </w:rPr>
        <w:t>J. Exp. Med.</w:t>
      </w:r>
      <w:r w:rsidRPr="00756206">
        <w:rPr>
          <w:rFonts w:cs="Calibri"/>
          <w:noProof/>
          <w:lang w:val="en-US"/>
        </w:rPr>
        <w:t xml:space="preserve"> </w:t>
      </w:r>
      <w:r w:rsidRPr="00756206">
        <w:rPr>
          <w:rFonts w:cs="Calibri"/>
          <w:b/>
          <w:bCs/>
          <w:noProof/>
          <w:lang w:val="en-US"/>
        </w:rPr>
        <w:t>214</w:t>
      </w:r>
      <w:r w:rsidRPr="00756206">
        <w:rPr>
          <w:rFonts w:cs="Calibri"/>
          <w:noProof/>
          <w:lang w:val="en-US"/>
        </w:rPr>
        <w:t>, 183–196 (2017).</w:t>
      </w:r>
    </w:p>
    <w:p w14:paraId="038DB23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31.</w:t>
      </w:r>
      <w:r w:rsidRPr="00756206">
        <w:rPr>
          <w:rFonts w:cs="Calibri"/>
          <w:noProof/>
          <w:lang w:val="en-US"/>
        </w:rPr>
        <w:tab/>
        <w:t xml:space="preserve">Malinen, E. </w:t>
      </w:r>
      <w:r w:rsidRPr="00756206">
        <w:rPr>
          <w:rFonts w:cs="Calibri"/>
          <w:i/>
          <w:iCs/>
          <w:noProof/>
          <w:lang w:val="en-US"/>
        </w:rPr>
        <w:t>et al.</w:t>
      </w:r>
      <w:r w:rsidRPr="00756206">
        <w:rPr>
          <w:rFonts w:cs="Calibri"/>
          <w:noProof/>
          <w:lang w:val="en-US"/>
        </w:rPr>
        <w:t xml:space="preserve"> Analysis of the fecal microbiota of irritable bowel syndrome patients and healthy controls with real-time PCR. </w:t>
      </w:r>
      <w:r w:rsidRPr="00756206">
        <w:rPr>
          <w:rFonts w:cs="Calibri"/>
          <w:i/>
          <w:iCs/>
          <w:noProof/>
          <w:lang w:val="en-US"/>
        </w:rPr>
        <w:t>Am. J. Gastroenterol.</w:t>
      </w:r>
      <w:r w:rsidRPr="00756206">
        <w:rPr>
          <w:rFonts w:cs="Calibri"/>
          <w:noProof/>
          <w:lang w:val="en-US"/>
        </w:rPr>
        <w:t xml:space="preserve"> </w:t>
      </w:r>
      <w:r w:rsidRPr="00756206">
        <w:rPr>
          <w:rFonts w:cs="Calibri"/>
          <w:b/>
          <w:bCs/>
          <w:noProof/>
          <w:lang w:val="en-US"/>
        </w:rPr>
        <w:t>100</w:t>
      </w:r>
      <w:r w:rsidRPr="00756206">
        <w:rPr>
          <w:rFonts w:cs="Calibri"/>
          <w:noProof/>
          <w:lang w:val="en-US"/>
        </w:rPr>
        <w:t>, 373–82 (2005).</w:t>
      </w:r>
    </w:p>
    <w:p w14:paraId="6DFAC1E4"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32.</w:t>
      </w:r>
      <w:r w:rsidRPr="00756206">
        <w:rPr>
          <w:rFonts w:cs="Calibri"/>
          <w:noProof/>
          <w:lang w:val="en-US"/>
        </w:rPr>
        <w:tab/>
        <w:t xml:space="preserve">Kassinen, A. </w:t>
      </w:r>
      <w:r w:rsidRPr="00756206">
        <w:rPr>
          <w:rFonts w:cs="Calibri"/>
          <w:i/>
          <w:iCs/>
          <w:noProof/>
          <w:lang w:val="en-US"/>
        </w:rPr>
        <w:t>et al.</w:t>
      </w:r>
      <w:r w:rsidRPr="00756206">
        <w:rPr>
          <w:rFonts w:cs="Calibri"/>
          <w:noProof/>
          <w:lang w:val="en-US"/>
        </w:rPr>
        <w:t xml:space="preserve"> The Fecal Microbiota of Irritable Bowel Syndrome Patients Differs Significantly From That of Healthy Subjects.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133</w:t>
      </w:r>
      <w:r w:rsidRPr="00756206">
        <w:rPr>
          <w:rFonts w:cs="Calibri"/>
          <w:noProof/>
          <w:lang w:val="en-US"/>
        </w:rPr>
        <w:t>, 24–33 (2007).</w:t>
      </w:r>
    </w:p>
    <w:p w14:paraId="47ED46D5"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33.</w:t>
      </w:r>
      <w:r w:rsidRPr="00756206">
        <w:rPr>
          <w:rFonts w:cs="Calibri"/>
          <w:noProof/>
          <w:lang w:val="en-US"/>
        </w:rPr>
        <w:tab/>
        <w:t xml:space="preserve">Reikvam, D. H. </w:t>
      </w:r>
      <w:r w:rsidRPr="00756206">
        <w:rPr>
          <w:rFonts w:cs="Calibri"/>
          <w:i/>
          <w:iCs/>
          <w:noProof/>
          <w:lang w:val="en-US"/>
        </w:rPr>
        <w:t>et al.</w:t>
      </w:r>
      <w:r w:rsidRPr="00756206">
        <w:rPr>
          <w:rFonts w:cs="Calibri"/>
          <w:noProof/>
          <w:lang w:val="en-US"/>
        </w:rPr>
        <w:t xml:space="preserve"> Depletion of murine intestinal microbiota: Effects on gut mucosa and epithelial gene expression. </w:t>
      </w:r>
      <w:r w:rsidRPr="00756206">
        <w:rPr>
          <w:rFonts w:cs="Calibri"/>
          <w:i/>
          <w:iCs/>
          <w:noProof/>
          <w:lang w:val="en-US"/>
        </w:rPr>
        <w:t>PLoS One</w:t>
      </w:r>
      <w:r w:rsidRPr="00756206">
        <w:rPr>
          <w:rFonts w:cs="Calibri"/>
          <w:noProof/>
          <w:lang w:val="en-US"/>
        </w:rPr>
        <w:t xml:space="preserve"> </w:t>
      </w:r>
      <w:r w:rsidRPr="00756206">
        <w:rPr>
          <w:rFonts w:cs="Calibri"/>
          <w:b/>
          <w:bCs/>
          <w:noProof/>
          <w:lang w:val="en-US"/>
        </w:rPr>
        <w:t>6</w:t>
      </w:r>
      <w:r w:rsidRPr="00756206">
        <w:rPr>
          <w:rFonts w:cs="Calibri"/>
          <w:noProof/>
          <w:lang w:val="en-US"/>
        </w:rPr>
        <w:t>, e17996 (2011).</w:t>
      </w:r>
    </w:p>
    <w:p w14:paraId="74C32EB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34.</w:t>
      </w:r>
      <w:r w:rsidRPr="00756206">
        <w:rPr>
          <w:rFonts w:cs="Calibri"/>
          <w:noProof/>
          <w:lang w:val="en-US"/>
        </w:rPr>
        <w:tab/>
        <w:t xml:space="preserve">Joulia, R. </w:t>
      </w:r>
      <w:r w:rsidRPr="00756206">
        <w:rPr>
          <w:rFonts w:cs="Calibri"/>
          <w:i/>
          <w:iCs/>
          <w:noProof/>
          <w:lang w:val="en-US"/>
        </w:rPr>
        <w:t>et al.</w:t>
      </w:r>
      <w:r w:rsidRPr="00756206">
        <w:rPr>
          <w:rFonts w:cs="Calibri"/>
          <w:noProof/>
          <w:lang w:val="en-US"/>
        </w:rPr>
        <w:t xml:space="preserve"> Mast cells form antibody-dependent degranulatory synapse for dedicated secretion and defence. </w:t>
      </w:r>
      <w:r w:rsidRPr="00756206">
        <w:rPr>
          <w:rFonts w:cs="Calibri"/>
          <w:i/>
          <w:iCs/>
          <w:noProof/>
          <w:lang w:val="en-US"/>
        </w:rPr>
        <w:t>Nat. Commun.</w:t>
      </w:r>
      <w:r w:rsidRPr="00756206">
        <w:rPr>
          <w:rFonts w:cs="Calibri"/>
          <w:noProof/>
          <w:lang w:val="en-US"/>
        </w:rPr>
        <w:t xml:space="preserve"> </w:t>
      </w:r>
      <w:r w:rsidRPr="00756206">
        <w:rPr>
          <w:rFonts w:cs="Calibri"/>
          <w:b/>
          <w:bCs/>
          <w:noProof/>
          <w:lang w:val="en-US"/>
        </w:rPr>
        <w:t>25</w:t>
      </w:r>
      <w:r w:rsidRPr="00756206">
        <w:rPr>
          <w:rFonts w:cs="Calibri"/>
          <w:noProof/>
          <w:lang w:val="en-US"/>
        </w:rPr>
        <w:t>, 6174 (2015).</w:t>
      </w:r>
    </w:p>
    <w:p w14:paraId="7EE444C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35.</w:t>
      </w:r>
      <w:r w:rsidRPr="00756206">
        <w:rPr>
          <w:rFonts w:cs="Calibri"/>
          <w:noProof/>
          <w:lang w:val="en-US"/>
        </w:rPr>
        <w:tab/>
        <w:t xml:space="preserve">Feyerabend, T. B. </w:t>
      </w:r>
      <w:r w:rsidRPr="00756206">
        <w:rPr>
          <w:rFonts w:cs="Calibri"/>
          <w:i/>
          <w:iCs/>
          <w:noProof/>
          <w:lang w:val="en-US"/>
        </w:rPr>
        <w:t>et al.</w:t>
      </w:r>
      <w:r w:rsidRPr="00756206">
        <w:rPr>
          <w:rFonts w:cs="Calibri"/>
          <w:noProof/>
          <w:lang w:val="en-US"/>
        </w:rPr>
        <w:t xml:space="preserve"> Cre-mediated cell ablation contests mast cell contribution in models of </w:t>
      </w:r>
      <w:r w:rsidRPr="00756206">
        <w:rPr>
          <w:rFonts w:cs="Calibri"/>
          <w:noProof/>
          <w:lang w:val="en-US"/>
        </w:rPr>
        <w:lastRenderedPageBreak/>
        <w:t xml:space="preserve">antibody- and T cell-mediated autoimmunity. </w:t>
      </w:r>
      <w:r w:rsidRPr="00756206">
        <w:rPr>
          <w:rFonts w:cs="Calibri"/>
          <w:i/>
          <w:iCs/>
          <w:noProof/>
          <w:lang w:val="en-US"/>
        </w:rPr>
        <w:t>Immunity</w:t>
      </w:r>
      <w:r w:rsidRPr="00756206">
        <w:rPr>
          <w:rFonts w:cs="Calibri"/>
          <w:noProof/>
          <w:lang w:val="en-US"/>
        </w:rPr>
        <w:t xml:space="preserve"> </w:t>
      </w:r>
      <w:r w:rsidRPr="00756206">
        <w:rPr>
          <w:rFonts w:cs="Calibri"/>
          <w:b/>
          <w:bCs/>
          <w:noProof/>
          <w:lang w:val="en-US"/>
        </w:rPr>
        <w:t>35</w:t>
      </w:r>
      <w:r w:rsidRPr="00756206">
        <w:rPr>
          <w:rFonts w:cs="Calibri"/>
          <w:noProof/>
          <w:lang w:val="en-US"/>
        </w:rPr>
        <w:t>, 832–844 (2011).</w:t>
      </w:r>
    </w:p>
    <w:p w14:paraId="162F4A8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36.</w:t>
      </w:r>
      <w:r w:rsidRPr="00756206">
        <w:rPr>
          <w:rFonts w:cs="Calibri"/>
          <w:noProof/>
          <w:lang w:val="en-US"/>
        </w:rPr>
        <w:tab/>
        <w:t xml:space="preserve">Hamaguchi, Y., Xiu, Y., Komura, K., Nimmerjahn, F. &amp; Tedder, T. F. Antibody isotype-specific engagement of Fcγ receptors regulates B lymphocyte depletion during CD20 immunotherapy. </w:t>
      </w:r>
      <w:r w:rsidRPr="00756206">
        <w:rPr>
          <w:rFonts w:cs="Calibri"/>
          <w:i/>
          <w:iCs/>
          <w:noProof/>
          <w:lang w:val="en-US"/>
        </w:rPr>
        <w:t>J. Exp. Med.</w:t>
      </w:r>
      <w:r w:rsidRPr="00756206">
        <w:rPr>
          <w:rFonts w:cs="Calibri"/>
          <w:noProof/>
          <w:lang w:val="en-US"/>
        </w:rPr>
        <w:t xml:space="preserve"> </w:t>
      </w:r>
      <w:r w:rsidRPr="00756206">
        <w:rPr>
          <w:rFonts w:cs="Calibri"/>
          <w:b/>
          <w:bCs/>
          <w:noProof/>
          <w:lang w:val="en-US"/>
        </w:rPr>
        <w:t>203</w:t>
      </w:r>
      <w:r w:rsidRPr="00756206">
        <w:rPr>
          <w:rFonts w:cs="Calibri"/>
          <w:noProof/>
          <w:lang w:val="en-US"/>
        </w:rPr>
        <w:t>, 743–753 (2006).</w:t>
      </w:r>
    </w:p>
    <w:p w14:paraId="2F4BEF5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37.</w:t>
      </w:r>
      <w:r w:rsidRPr="00756206">
        <w:rPr>
          <w:rFonts w:cs="Calibri"/>
          <w:noProof/>
          <w:lang w:val="en-US"/>
        </w:rPr>
        <w:tab/>
        <w:t xml:space="preserve">Khodadadi, L. </w:t>
      </w:r>
      <w:r w:rsidRPr="00756206">
        <w:rPr>
          <w:rFonts w:cs="Calibri"/>
          <w:i/>
          <w:iCs/>
          <w:noProof/>
          <w:lang w:val="en-US"/>
        </w:rPr>
        <w:t>et al.</w:t>
      </w:r>
      <w:r w:rsidRPr="00756206">
        <w:rPr>
          <w:rFonts w:cs="Calibri"/>
          <w:noProof/>
          <w:lang w:val="en-US"/>
        </w:rPr>
        <w:t xml:space="preserve"> Bortezomib plus continuous b cell depletion results in sustained plasma cell depletion and amelioration of lupus nephritis in NZB/WF1 Mice. </w:t>
      </w:r>
      <w:r w:rsidRPr="00756206">
        <w:rPr>
          <w:rFonts w:cs="Calibri"/>
          <w:i/>
          <w:iCs/>
          <w:noProof/>
          <w:lang w:val="en-US"/>
        </w:rPr>
        <w:t>PLoS One</w:t>
      </w:r>
      <w:r w:rsidRPr="00756206">
        <w:rPr>
          <w:rFonts w:cs="Calibri"/>
          <w:noProof/>
          <w:lang w:val="en-US"/>
        </w:rPr>
        <w:t xml:space="preserve"> </w:t>
      </w:r>
      <w:r w:rsidRPr="00756206">
        <w:rPr>
          <w:rFonts w:cs="Calibri"/>
          <w:b/>
          <w:bCs/>
          <w:noProof/>
          <w:lang w:val="en-US"/>
        </w:rPr>
        <w:t>10</w:t>
      </w:r>
      <w:r w:rsidRPr="00756206">
        <w:rPr>
          <w:rFonts w:cs="Calibri"/>
          <w:noProof/>
          <w:lang w:val="en-US"/>
        </w:rPr>
        <w:t>, 1–17 (2015).</w:t>
      </w:r>
    </w:p>
    <w:p w14:paraId="0F29E0EF"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38.</w:t>
      </w:r>
      <w:r w:rsidRPr="00756206">
        <w:rPr>
          <w:rFonts w:cs="Calibri"/>
          <w:noProof/>
          <w:lang w:val="en-US"/>
        </w:rPr>
        <w:tab/>
        <w:t xml:space="preserve">Balemans, D. </w:t>
      </w:r>
      <w:r w:rsidRPr="00756206">
        <w:rPr>
          <w:rFonts w:cs="Calibri"/>
          <w:i/>
          <w:iCs/>
          <w:noProof/>
          <w:lang w:val="en-US"/>
        </w:rPr>
        <w:t>et al.</w:t>
      </w:r>
      <w:r w:rsidRPr="00756206">
        <w:rPr>
          <w:rFonts w:cs="Calibri"/>
          <w:noProof/>
          <w:lang w:val="en-US"/>
        </w:rPr>
        <w:t xml:space="preserve"> Evidence for long-term sensitization of the bowel in patients with post-infectious-IBS. </w:t>
      </w:r>
      <w:r w:rsidRPr="00756206">
        <w:rPr>
          <w:rFonts w:cs="Calibri"/>
          <w:i/>
          <w:iCs/>
          <w:noProof/>
          <w:lang w:val="en-US"/>
        </w:rPr>
        <w:t>Sci. Rep.</w:t>
      </w:r>
      <w:r w:rsidRPr="00756206">
        <w:rPr>
          <w:rFonts w:cs="Calibri"/>
          <w:noProof/>
          <w:lang w:val="en-US"/>
        </w:rPr>
        <w:t xml:space="preserve"> </w:t>
      </w:r>
      <w:r w:rsidRPr="00756206">
        <w:rPr>
          <w:rFonts w:cs="Calibri"/>
          <w:b/>
          <w:bCs/>
          <w:noProof/>
          <w:lang w:val="en-US"/>
        </w:rPr>
        <w:t>7</w:t>
      </w:r>
      <w:r w:rsidRPr="00756206">
        <w:rPr>
          <w:rFonts w:cs="Calibri"/>
          <w:noProof/>
          <w:lang w:val="en-US"/>
        </w:rPr>
        <w:t>, 13606 (2017).</w:t>
      </w:r>
    </w:p>
    <w:p w14:paraId="54A6DBC2"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39.</w:t>
      </w:r>
      <w:r w:rsidRPr="00756206">
        <w:rPr>
          <w:rFonts w:cs="Calibri"/>
          <w:noProof/>
          <w:lang w:val="en-US"/>
        </w:rPr>
        <w:tab/>
        <w:t xml:space="preserve">Wouters, M. M. </w:t>
      </w:r>
      <w:r w:rsidRPr="00756206">
        <w:rPr>
          <w:rFonts w:cs="Calibri"/>
          <w:i/>
          <w:iCs/>
          <w:noProof/>
          <w:lang w:val="en-US"/>
        </w:rPr>
        <w:t>et al.</w:t>
      </w:r>
      <w:r w:rsidRPr="00756206">
        <w:rPr>
          <w:rFonts w:cs="Calibri"/>
          <w:noProof/>
          <w:lang w:val="en-US"/>
        </w:rPr>
        <w:t xml:space="preserve"> Histamine Receptor H1-Mediated Sensitization of TRPV1 Mediates Visceral Hypersensitivity and Symptoms in Patients with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150</w:t>
      </w:r>
      <w:r w:rsidRPr="00756206">
        <w:rPr>
          <w:rFonts w:cs="Calibri"/>
          <w:noProof/>
          <w:lang w:val="en-US"/>
        </w:rPr>
        <w:t>, 875-887.e9 (2016).</w:t>
      </w:r>
    </w:p>
    <w:p w14:paraId="20497E64"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40.</w:t>
      </w:r>
      <w:r w:rsidRPr="00756206">
        <w:rPr>
          <w:rFonts w:cs="Calibri"/>
          <w:noProof/>
          <w:lang w:val="en-US"/>
        </w:rPr>
        <w:tab/>
        <w:t xml:space="preserve">Hughes, P. A. </w:t>
      </w:r>
      <w:r w:rsidRPr="00756206">
        <w:rPr>
          <w:rFonts w:cs="Calibri"/>
          <w:i/>
          <w:iCs/>
          <w:noProof/>
          <w:lang w:val="en-US"/>
        </w:rPr>
        <w:t>et al.</w:t>
      </w:r>
      <w:r w:rsidRPr="00756206">
        <w:rPr>
          <w:rFonts w:cs="Calibri"/>
          <w:noProof/>
          <w:lang w:val="en-US"/>
        </w:rPr>
        <w:t xml:space="preserve"> Post-inflammatory colonic afferent sensitisation: Different subtypes, different pathways and different time courses. </w:t>
      </w:r>
      <w:r w:rsidRPr="00756206">
        <w:rPr>
          <w:rFonts w:cs="Calibri"/>
          <w:i/>
          <w:iCs/>
          <w:noProof/>
          <w:lang w:val="en-US"/>
        </w:rPr>
        <w:t>Gut</w:t>
      </w:r>
      <w:r w:rsidRPr="00756206">
        <w:rPr>
          <w:rFonts w:cs="Calibri"/>
          <w:noProof/>
          <w:lang w:val="en-US"/>
        </w:rPr>
        <w:t xml:space="preserve"> </w:t>
      </w:r>
      <w:r w:rsidRPr="00756206">
        <w:rPr>
          <w:rFonts w:cs="Calibri"/>
          <w:b/>
          <w:bCs/>
          <w:noProof/>
          <w:lang w:val="en-US"/>
        </w:rPr>
        <w:t>58</w:t>
      </w:r>
      <w:r w:rsidRPr="00756206">
        <w:rPr>
          <w:rFonts w:cs="Calibri"/>
          <w:noProof/>
          <w:lang w:val="en-US"/>
        </w:rPr>
        <w:t>, 1333–1341 (2009).</w:t>
      </w:r>
    </w:p>
    <w:p w14:paraId="3E827EC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41.</w:t>
      </w:r>
      <w:r w:rsidRPr="00756206">
        <w:rPr>
          <w:rFonts w:cs="Calibri"/>
          <w:noProof/>
          <w:lang w:val="en-US"/>
        </w:rPr>
        <w:tab/>
        <w:t xml:space="preserve">Valdez-Morales, E. E. </w:t>
      </w:r>
      <w:r w:rsidRPr="00756206">
        <w:rPr>
          <w:rFonts w:cs="Calibri"/>
          <w:i/>
          <w:iCs/>
          <w:noProof/>
          <w:lang w:val="en-US"/>
        </w:rPr>
        <w:t>et al.</w:t>
      </w:r>
      <w:r w:rsidRPr="00756206">
        <w:rPr>
          <w:rFonts w:cs="Calibri"/>
          <w:noProof/>
          <w:lang w:val="en-US"/>
        </w:rPr>
        <w:t xml:space="preserve"> Sensitization of peripheral sensory nerves by mediators from colonic biopsies of diarrhea-predominant irritable bowel syndrome patients: A role for PAR2. </w:t>
      </w:r>
      <w:r w:rsidRPr="00756206">
        <w:rPr>
          <w:rFonts w:cs="Calibri"/>
          <w:i/>
          <w:iCs/>
          <w:noProof/>
          <w:lang w:val="en-US"/>
        </w:rPr>
        <w:t>Am. J. Gastroenterol.</w:t>
      </w:r>
      <w:r w:rsidRPr="00756206">
        <w:rPr>
          <w:rFonts w:cs="Calibri"/>
          <w:noProof/>
          <w:lang w:val="en-US"/>
        </w:rPr>
        <w:t xml:space="preserve"> </w:t>
      </w:r>
      <w:r w:rsidRPr="00756206">
        <w:rPr>
          <w:rFonts w:cs="Calibri"/>
          <w:b/>
          <w:bCs/>
          <w:noProof/>
          <w:lang w:val="en-US"/>
        </w:rPr>
        <w:t>108</w:t>
      </w:r>
      <w:r w:rsidRPr="00756206">
        <w:rPr>
          <w:rFonts w:cs="Calibri"/>
          <w:noProof/>
          <w:lang w:val="en-US"/>
        </w:rPr>
        <w:t>, 1634–1643 (2013).</w:t>
      </w:r>
    </w:p>
    <w:p w14:paraId="2F4721F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42.</w:t>
      </w:r>
      <w:r w:rsidRPr="00756206">
        <w:rPr>
          <w:rFonts w:cs="Calibri"/>
          <w:noProof/>
          <w:lang w:val="en-US"/>
        </w:rPr>
        <w:tab/>
        <w:t xml:space="preserve">Liu, J. N. </w:t>
      </w:r>
      <w:r w:rsidRPr="00756206">
        <w:rPr>
          <w:rFonts w:cs="Calibri"/>
          <w:i/>
          <w:iCs/>
          <w:noProof/>
          <w:lang w:val="en-US"/>
        </w:rPr>
        <w:t>et al.</w:t>
      </w:r>
      <w:r w:rsidRPr="00756206">
        <w:rPr>
          <w:rFonts w:cs="Calibri"/>
          <w:noProof/>
          <w:lang w:val="en-US"/>
        </w:rPr>
        <w:t xml:space="preserve"> The prevalence of serum specific IgE to superantigens in asthma and allergic rhinitis patients. </w:t>
      </w:r>
      <w:r w:rsidRPr="00756206">
        <w:rPr>
          <w:rFonts w:cs="Calibri"/>
          <w:i/>
          <w:iCs/>
          <w:noProof/>
          <w:lang w:val="en-US"/>
        </w:rPr>
        <w:t>Allergy, Asthma Immunol. Res.</w:t>
      </w:r>
      <w:r w:rsidRPr="00756206">
        <w:rPr>
          <w:rFonts w:cs="Calibri"/>
          <w:noProof/>
          <w:lang w:val="en-US"/>
        </w:rPr>
        <w:t xml:space="preserve"> </w:t>
      </w:r>
      <w:r w:rsidRPr="00756206">
        <w:rPr>
          <w:rFonts w:cs="Calibri"/>
          <w:b/>
          <w:bCs/>
          <w:noProof/>
          <w:lang w:val="en-US"/>
        </w:rPr>
        <w:t>6</w:t>
      </w:r>
      <w:r w:rsidRPr="00756206">
        <w:rPr>
          <w:rFonts w:cs="Calibri"/>
          <w:noProof/>
          <w:lang w:val="en-US"/>
        </w:rPr>
        <w:t>, 263–266 (2014).</w:t>
      </w:r>
    </w:p>
    <w:p w14:paraId="56EFC47F"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43.</w:t>
      </w:r>
      <w:r w:rsidRPr="00756206">
        <w:rPr>
          <w:rFonts w:cs="Calibri"/>
          <w:noProof/>
          <w:lang w:val="en-US"/>
        </w:rPr>
        <w:tab/>
        <w:t xml:space="preserve">Huvenne, W., Hellings, P. W. &amp; Bachert, C. Role of staphylococcal superantigens in airway disease. </w:t>
      </w:r>
      <w:r w:rsidRPr="00756206">
        <w:rPr>
          <w:rFonts w:cs="Calibri"/>
          <w:i/>
          <w:iCs/>
          <w:noProof/>
          <w:lang w:val="en-US"/>
        </w:rPr>
        <w:t>International Archives of Allergy and Immunology</w:t>
      </w:r>
      <w:r w:rsidRPr="00756206">
        <w:rPr>
          <w:rFonts w:cs="Calibri"/>
          <w:noProof/>
          <w:lang w:val="en-US"/>
        </w:rPr>
        <w:t xml:space="preserve"> vol. 161 304–314 (2013).</w:t>
      </w:r>
    </w:p>
    <w:p w14:paraId="475210F5"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44.</w:t>
      </w:r>
      <w:r w:rsidRPr="00756206">
        <w:rPr>
          <w:rFonts w:cs="Calibri"/>
          <w:noProof/>
          <w:lang w:val="en-US"/>
        </w:rPr>
        <w:tab/>
        <w:t xml:space="preserve">Forbes-Blom, E., Camberis, M., Prout, M., Tang, S. C. &amp; Le Gros, G. Staphylococcal-derived superantigen enhances peanut induced Th2 responses in the skin. </w:t>
      </w:r>
      <w:r w:rsidRPr="00756206">
        <w:rPr>
          <w:rFonts w:cs="Calibri"/>
          <w:i/>
          <w:iCs/>
          <w:noProof/>
          <w:lang w:val="en-US"/>
        </w:rPr>
        <w:t>Clin. Exp. Allergy</w:t>
      </w:r>
      <w:r w:rsidRPr="00756206">
        <w:rPr>
          <w:rFonts w:cs="Calibri"/>
          <w:noProof/>
          <w:lang w:val="en-US"/>
        </w:rPr>
        <w:t xml:space="preserve"> </w:t>
      </w:r>
      <w:r w:rsidRPr="00756206">
        <w:rPr>
          <w:rFonts w:cs="Calibri"/>
          <w:b/>
          <w:bCs/>
          <w:noProof/>
          <w:lang w:val="en-US"/>
        </w:rPr>
        <w:t>42</w:t>
      </w:r>
      <w:r w:rsidRPr="00756206">
        <w:rPr>
          <w:rFonts w:cs="Calibri"/>
          <w:noProof/>
          <w:lang w:val="en-US"/>
        </w:rPr>
        <w:t>, 305–314 (2012).</w:t>
      </w:r>
    </w:p>
    <w:p w14:paraId="3261522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45.</w:t>
      </w:r>
      <w:r w:rsidRPr="00756206">
        <w:rPr>
          <w:rFonts w:cs="Calibri"/>
          <w:noProof/>
          <w:lang w:val="en-US"/>
        </w:rPr>
        <w:tab/>
        <w:t xml:space="preserve">Ganeshan, K. </w:t>
      </w:r>
      <w:r w:rsidRPr="00756206">
        <w:rPr>
          <w:rFonts w:cs="Calibri"/>
          <w:i/>
          <w:iCs/>
          <w:noProof/>
          <w:lang w:val="en-US"/>
        </w:rPr>
        <w:t>et al.</w:t>
      </w:r>
      <w:r w:rsidRPr="00756206">
        <w:rPr>
          <w:rFonts w:cs="Calibri"/>
          <w:noProof/>
          <w:lang w:val="en-US"/>
        </w:rPr>
        <w:t xml:space="preserve"> Impairing oral tolerance promotes allergy and anaphylaxis: A new murine food allergy model. </w:t>
      </w:r>
      <w:r w:rsidRPr="00756206">
        <w:rPr>
          <w:rFonts w:cs="Calibri"/>
          <w:i/>
          <w:iCs/>
          <w:noProof/>
          <w:lang w:val="en-US"/>
        </w:rPr>
        <w:t>J. Allergy Clin. Immunol.</w:t>
      </w:r>
      <w:r w:rsidRPr="00756206">
        <w:rPr>
          <w:rFonts w:cs="Calibri"/>
          <w:noProof/>
          <w:lang w:val="en-US"/>
        </w:rPr>
        <w:t xml:space="preserve"> </w:t>
      </w:r>
      <w:r w:rsidRPr="00756206">
        <w:rPr>
          <w:rFonts w:cs="Calibri"/>
          <w:b/>
          <w:bCs/>
          <w:noProof/>
          <w:lang w:val="en-US"/>
        </w:rPr>
        <w:t>123</w:t>
      </w:r>
      <w:r w:rsidRPr="00756206">
        <w:rPr>
          <w:rFonts w:cs="Calibri"/>
          <w:noProof/>
          <w:lang w:val="en-US"/>
        </w:rPr>
        <w:t>, 231–238 (2009).</w:t>
      </w:r>
    </w:p>
    <w:p w14:paraId="5A99A97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46.</w:t>
      </w:r>
      <w:r w:rsidRPr="00756206">
        <w:rPr>
          <w:rFonts w:cs="Calibri"/>
          <w:noProof/>
          <w:lang w:val="en-US"/>
        </w:rPr>
        <w:tab/>
        <w:t xml:space="preserve">Payne, S. C. &amp; Benninger, M. S. Staphylococcus aureus Is a Major Pathogen in Acute Bacterial Rhinosinusitis: A Meta-Analysis. </w:t>
      </w:r>
      <w:r w:rsidRPr="00756206">
        <w:rPr>
          <w:rFonts w:cs="Calibri"/>
          <w:i/>
          <w:iCs/>
          <w:noProof/>
          <w:lang w:val="en-US"/>
        </w:rPr>
        <w:t>Clin. Infect. Dis.</w:t>
      </w:r>
      <w:r w:rsidRPr="00756206">
        <w:rPr>
          <w:rFonts w:cs="Calibri"/>
          <w:noProof/>
          <w:lang w:val="en-US"/>
        </w:rPr>
        <w:t xml:space="preserve"> </w:t>
      </w:r>
      <w:r w:rsidRPr="00756206">
        <w:rPr>
          <w:rFonts w:cs="Calibri"/>
          <w:b/>
          <w:bCs/>
          <w:noProof/>
          <w:lang w:val="en-US"/>
        </w:rPr>
        <w:t>45</w:t>
      </w:r>
      <w:r w:rsidRPr="00756206">
        <w:rPr>
          <w:rFonts w:cs="Calibri"/>
          <w:noProof/>
          <w:lang w:val="en-US"/>
        </w:rPr>
        <w:t>, e121–e127 (2007).</w:t>
      </w:r>
    </w:p>
    <w:p w14:paraId="5407FBE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47.</w:t>
      </w:r>
      <w:r w:rsidRPr="00756206">
        <w:rPr>
          <w:rFonts w:cs="Calibri"/>
          <w:noProof/>
          <w:lang w:val="en-US"/>
        </w:rPr>
        <w:tab/>
        <w:t xml:space="preserve">Proft, T. &amp; F. J. Bacterial Superantigens. </w:t>
      </w:r>
      <w:r w:rsidRPr="00756206">
        <w:rPr>
          <w:rFonts w:cs="Calibri"/>
          <w:i/>
          <w:iCs/>
          <w:noProof/>
          <w:lang w:val="en-US"/>
        </w:rPr>
        <w:t>Clin. Exp. Immunol.</w:t>
      </w:r>
      <w:r w:rsidRPr="00756206">
        <w:rPr>
          <w:rFonts w:cs="Calibri"/>
          <w:noProof/>
          <w:lang w:val="en-US"/>
        </w:rPr>
        <w:t xml:space="preserve"> </w:t>
      </w:r>
      <w:r w:rsidRPr="00756206">
        <w:rPr>
          <w:rFonts w:cs="Calibri"/>
          <w:b/>
          <w:bCs/>
          <w:noProof/>
          <w:lang w:val="en-US"/>
        </w:rPr>
        <w:t>133</w:t>
      </w:r>
      <w:r w:rsidRPr="00756206">
        <w:rPr>
          <w:rFonts w:cs="Calibri"/>
          <w:noProof/>
          <w:lang w:val="en-US"/>
        </w:rPr>
        <w:t>, 299–306 (2003).</w:t>
      </w:r>
    </w:p>
    <w:p w14:paraId="5157781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48.</w:t>
      </w:r>
      <w:r w:rsidRPr="00756206">
        <w:rPr>
          <w:rFonts w:cs="Calibri"/>
          <w:noProof/>
          <w:lang w:val="en-US"/>
        </w:rPr>
        <w:tab/>
        <w:t xml:space="preserve">Tsilochristou, O. </w:t>
      </w:r>
      <w:r w:rsidRPr="00756206">
        <w:rPr>
          <w:rFonts w:cs="Calibri"/>
          <w:i/>
          <w:iCs/>
          <w:noProof/>
          <w:lang w:val="en-US"/>
        </w:rPr>
        <w:t>et al.</w:t>
      </w:r>
      <w:r w:rsidRPr="00756206">
        <w:rPr>
          <w:rFonts w:cs="Calibri"/>
          <w:noProof/>
          <w:lang w:val="en-US"/>
        </w:rPr>
        <w:t xml:space="preserve"> Association of Staphylococcus aureus colonization with food allergy occurs independently of eczema severity. </w:t>
      </w:r>
      <w:r w:rsidRPr="00756206">
        <w:rPr>
          <w:rFonts w:cs="Calibri"/>
          <w:i/>
          <w:iCs/>
          <w:noProof/>
          <w:lang w:val="en-US"/>
        </w:rPr>
        <w:t>J. Allergy Clin. Immunol.</w:t>
      </w:r>
      <w:r w:rsidRPr="00756206">
        <w:rPr>
          <w:rFonts w:cs="Calibri"/>
          <w:noProof/>
          <w:lang w:val="en-US"/>
        </w:rPr>
        <w:t xml:space="preserve"> </w:t>
      </w:r>
      <w:r w:rsidRPr="00756206">
        <w:rPr>
          <w:rFonts w:cs="Calibri"/>
          <w:b/>
          <w:bCs/>
          <w:noProof/>
          <w:lang w:val="en-US"/>
        </w:rPr>
        <w:t>144</w:t>
      </w:r>
      <w:r w:rsidRPr="00756206">
        <w:rPr>
          <w:rFonts w:cs="Calibri"/>
          <w:noProof/>
          <w:lang w:val="en-US"/>
        </w:rPr>
        <w:t>, 494–503 (2019).</w:t>
      </w:r>
    </w:p>
    <w:p w14:paraId="23A662B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49.</w:t>
      </w:r>
      <w:r w:rsidRPr="00756206">
        <w:rPr>
          <w:rFonts w:cs="Calibri"/>
          <w:noProof/>
          <w:lang w:val="en-US"/>
        </w:rPr>
        <w:tab/>
        <w:t xml:space="preserve">Jones, A. L., Curran-Everett, D. &amp; Leung, D. Y. M. Food allergy is associated with Staphylococcus aureus colonization in children with atopic dermatitis. </w:t>
      </w:r>
      <w:r w:rsidRPr="00756206">
        <w:rPr>
          <w:rFonts w:cs="Calibri"/>
          <w:i/>
          <w:iCs/>
          <w:noProof/>
          <w:lang w:val="en-US"/>
        </w:rPr>
        <w:t>J. Allergy Clin. Immunol.</w:t>
      </w:r>
      <w:r w:rsidRPr="00756206">
        <w:rPr>
          <w:rFonts w:cs="Calibri"/>
          <w:noProof/>
          <w:lang w:val="en-US"/>
        </w:rPr>
        <w:t xml:space="preserve"> </w:t>
      </w:r>
      <w:r w:rsidRPr="00756206">
        <w:rPr>
          <w:rFonts w:cs="Calibri"/>
          <w:b/>
          <w:bCs/>
          <w:noProof/>
          <w:lang w:val="en-US"/>
        </w:rPr>
        <w:t>137</w:t>
      </w:r>
      <w:r w:rsidRPr="00756206">
        <w:rPr>
          <w:rFonts w:cs="Calibri"/>
          <w:noProof/>
          <w:lang w:val="en-US"/>
        </w:rPr>
        <w:t>, 1247–1248 (2016).</w:t>
      </w:r>
    </w:p>
    <w:p w14:paraId="4126035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50.</w:t>
      </w:r>
      <w:r w:rsidRPr="00756206">
        <w:rPr>
          <w:rFonts w:cs="Calibri"/>
          <w:noProof/>
          <w:lang w:val="en-US"/>
        </w:rPr>
        <w:tab/>
        <w:t xml:space="preserve">Fritscher-Ravens, A. </w:t>
      </w:r>
      <w:r w:rsidRPr="00756206">
        <w:rPr>
          <w:rFonts w:cs="Calibri"/>
          <w:i/>
          <w:iCs/>
          <w:noProof/>
          <w:lang w:val="en-US"/>
        </w:rPr>
        <w:t>et al.</w:t>
      </w:r>
      <w:r w:rsidRPr="00756206">
        <w:rPr>
          <w:rFonts w:cs="Calibri"/>
          <w:noProof/>
          <w:lang w:val="en-US"/>
        </w:rPr>
        <w:t xml:space="preserve"> Confocal endomicroscopy shows food-associated changes in the intestinal mucosa of patients with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147</w:t>
      </w:r>
      <w:r w:rsidRPr="00756206">
        <w:rPr>
          <w:rFonts w:cs="Calibri"/>
          <w:noProof/>
          <w:lang w:val="en-US"/>
        </w:rPr>
        <w:t>, 1012-1020.e3 (2014).</w:t>
      </w:r>
    </w:p>
    <w:p w14:paraId="6A59DF1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51.</w:t>
      </w:r>
      <w:r w:rsidRPr="00756206">
        <w:rPr>
          <w:rFonts w:cs="Calibri"/>
          <w:noProof/>
          <w:lang w:val="en-US"/>
        </w:rPr>
        <w:tab/>
        <w:t xml:space="preserve">Fritscher-Ravens, A. </w:t>
      </w:r>
      <w:r w:rsidRPr="00756206">
        <w:rPr>
          <w:rFonts w:cs="Calibri"/>
          <w:i/>
          <w:iCs/>
          <w:noProof/>
          <w:lang w:val="en-US"/>
        </w:rPr>
        <w:t>et al.</w:t>
      </w:r>
      <w:r w:rsidRPr="00756206">
        <w:rPr>
          <w:rFonts w:cs="Calibri"/>
          <w:noProof/>
          <w:lang w:val="en-US"/>
        </w:rPr>
        <w:t xml:space="preserve"> Many Patients With Irritable Bowel Syndrome Have Atypical Food Allergies Not Associated With Immunoglobulin 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DOI</w:t>
      </w:r>
      <w:r w:rsidRPr="00756206">
        <w:rPr>
          <w:rFonts w:cs="Calibri"/>
          <w:noProof/>
          <w:lang w:val="en-US"/>
        </w:rPr>
        <w:t>, (2019).</w:t>
      </w:r>
    </w:p>
    <w:p w14:paraId="14CF623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52.</w:t>
      </w:r>
      <w:r w:rsidRPr="00756206">
        <w:rPr>
          <w:rFonts w:cs="Calibri"/>
          <w:noProof/>
          <w:lang w:val="en-US"/>
        </w:rPr>
        <w:tab/>
        <w:t xml:space="preserve">Boehm, T. </w:t>
      </w:r>
      <w:r w:rsidRPr="00756206">
        <w:rPr>
          <w:rFonts w:cs="Calibri"/>
          <w:i/>
          <w:iCs/>
          <w:noProof/>
          <w:lang w:val="en-US"/>
        </w:rPr>
        <w:t>et al.</w:t>
      </w:r>
      <w:r w:rsidRPr="00756206">
        <w:rPr>
          <w:rFonts w:cs="Calibri"/>
          <w:noProof/>
          <w:lang w:val="en-US"/>
        </w:rPr>
        <w:t xml:space="preserve"> Massive release of the histamine-degrading enzyme diamine oxidase during severe anaphylaxis in mastocytosis patients. </w:t>
      </w:r>
      <w:r w:rsidRPr="00756206">
        <w:rPr>
          <w:rFonts w:cs="Calibri"/>
          <w:i/>
          <w:iCs/>
          <w:noProof/>
          <w:lang w:val="en-US"/>
        </w:rPr>
        <w:t>Allergy Eur. J. Allergy Clin. Immunol.</w:t>
      </w:r>
      <w:r w:rsidRPr="00756206">
        <w:rPr>
          <w:rFonts w:cs="Calibri"/>
          <w:noProof/>
          <w:lang w:val="en-US"/>
        </w:rPr>
        <w:t xml:space="preserve"> </w:t>
      </w:r>
      <w:r w:rsidRPr="00756206">
        <w:rPr>
          <w:rFonts w:cs="Calibri"/>
          <w:b/>
          <w:bCs/>
          <w:noProof/>
          <w:lang w:val="en-US"/>
        </w:rPr>
        <w:t>74</w:t>
      </w:r>
      <w:r w:rsidRPr="00756206">
        <w:rPr>
          <w:rFonts w:cs="Calibri"/>
          <w:noProof/>
          <w:lang w:val="en-US"/>
        </w:rPr>
        <w:t xml:space="preserve">, 583–593 </w:t>
      </w:r>
      <w:r w:rsidRPr="00756206">
        <w:rPr>
          <w:rFonts w:cs="Calibri"/>
          <w:noProof/>
          <w:lang w:val="en-US"/>
        </w:rPr>
        <w:lastRenderedPageBreak/>
        <w:t>(2019).</w:t>
      </w:r>
    </w:p>
    <w:p w14:paraId="72F6FBE4"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53.</w:t>
      </w:r>
      <w:r w:rsidRPr="00756206">
        <w:rPr>
          <w:rFonts w:cs="Calibri"/>
          <w:noProof/>
          <w:lang w:val="en-US"/>
        </w:rPr>
        <w:tab/>
        <w:t xml:space="preserve">Cenac, N. </w:t>
      </w:r>
      <w:r w:rsidRPr="00756206">
        <w:rPr>
          <w:rFonts w:cs="Calibri"/>
          <w:i/>
          <w:iCs/>
          <w:noProof/>
          <w:lang w:val="en-US"/>
        </w:rPr>
        <w:t>et al.</w:t>
      </w:r>
      <w:r w:rsidRPr="00756206">
        <w:rPr>
          <w:rFonts w:cs="Calibri"/>
          <w:noProof/>
          <w:lang w:val="en-US"/>
        </w:rPr>
        <w:t xml:space="preserve"> Role for protease activity in visceral pain in irritable bowel syndrome. </w:t>
      </w:r>
      <w:r w:rsidRPr="00756206">
        <w:rPr>
          <w:rFonts w:cs="Calibri"/>
          <w:i/>
          <w:iCs/>
          <w:noProof/>
          <w:lang w:val="en-US"/>
        </w:rPr>
        <w:t>J. Clin. Invest.</w:t>
      </w:r>
      <w:r w:rsidRPr="00756206">
        <w:rPr>
          <w:rFonts w:cs="Calibri"/>
          <w:noProof/>
          <w:lang w:val="en-US"/>
        </w:rPr>
        <w:t xml:space="preserve"> </w:t>
      </w:r>
      <w:r w:rsidRPr="00756206">
        <w:rPr>
          <w:rFonts w:cs="Calibri"/>
          <w:b/>
          <w:bCs/>
          <w:noProof/>
          <w:lang w:val="en-US"/>
        </w:rPr>
        <w:t>117</w:t>
      </w:r>
      <w:r w:rsidRPr="00756206">
        <w:rPr>
          <w:rFonts w:cs="Calibri"/>
          <w:noProof/>
          <w:lang w:val="en-US"/>
        </w:rPr>
        <w:t>, 636–647 (2007).</w:t>
      </w:r>
    </w:p>
    <w:p w14:paraId="082A50F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54.</w:t>
      </w:r>
      <w:r w:rsidRPr="00756206">
        <w:rPr>
          <w:rFonts w:cs="Calibri"/>
          <w:noProof/>
          <w:lang w:val="en-US"/>
        </w:rPr>
        <w:tab/>
        <w:t xml:space="preserve">Rolland-Fourcade, C. </w:t>
      </w:r>
      <w:r w:rsidRPr="00756206">
        <w:rPr>
          <w:rFonts w:cs="Calibri"/>
          <w:i/>
          <w:iCs/>
          <w:noProof/>
          <w:lang w:val="en-US"/>
        </w:rPr>
        <w:t>et al.</w:t>
      </w:r>
      <w:r w:rsidRPr="00756206">
        <w:rPr>
          <w:rFonts w:cs="Calibri"/>
          <w:noProof/>
          <w:lang w:val="en-US"/>
        </w:rPr>
        <w:t xml:space="preserve"> Epithelial expression and function of trypsin-3 in irritable bowel syndrome. </w:t>
      </w:r>
      <w:r w:rsidRPr="00756206">
        <w:rPr>
          <w:rFonts w:cs="Calibri"/>
          <w:i/>
          <w:iCs/>
          <w:noProof/>
          <w:lang w:val="en-US"/>
        </w:rPr>
        <w:t>Gut</w:t>
      </w:r>
      <w:r w:rsidRPr="00756206">
        <w:rPr>
          <w:rFonts w:cs="Calibri"/>
          <w:noProof/>
          <w:lang w:val="en-US"/>
        </w:rPr>
        <w:t xml:space="preserve"> (2017) doi:10.1136/gutjnl-2016-312094.</w:t>
      </w:r>
    </w:p>
    <w:p w14:paraId="5A70E66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55.</w:t>
      </w:r>
      <w:r w:rsidRPr="00756206">
        <w:rPr>
          <w:rFonts w:cs="Calibri"/>
          <w:noProof/>
          <w:lang w:val="en-US"/>
        </w:rPr>
        <w:tab/>
        <w:t xml:space="preserve">Barbara, G. </w:t>
      </w:r>
      <w:r w:rsidRPr="00756206">
        <w:rPr>
          <w:rFonts w:cs="Calibri"/>
          <w:i/>
          <w:iCs/>
          <w:noProof/>
          <w:lang w:val="en-US"/>
        </w:rPr>
        <w:t>et al.</w:t>
      </w:r>
      <w:r w:rsidRPr="00756206">
        <w:rPr>
          <w:rFonts w:cs="Calibri"/>
          <w:noProof/>
          <w:lang w:val="en-US"/>
        </w:rPr>
        <w:t xml:space="preserve"> Activated Mast Cells in Proximity to Colonic Nerves Correlate with Abdominal Pain in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126</w:t>
      </w:r>
      <w:r w:rsidRPr="00756206">
        <w:rPr>
          <w:rFonts w:cs="Calibri"/>
          <w:noProof/>
          <w:lang w:val="en-US"/>
        </w:rPr>
        <w:t>, 693–702 (2004).</w:t>
      </w:r>
    </w:p>
    <w:p w14:paraId="3842D821"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56.</w:t>
      </w:r>
      <w:r w:rsidRPr="00756206">
        <w:rPr>
          <w:rFonts w:cs="Calibri"/>
          <w:noProof/>
          <w:lang w:val="en-US"/>
        </w:rPr>
        <w:tab/>
        <w:t xml:space="preserve">De Giorgio, R., Volta, U. &amp; Gibson, P. R. Sensitivity to wheat, gluten and FODMAPs in IBS: Facts or fiction? </w:t>
      </w:r>
      <w:r w:rsidRPr="00756206">
        <w:rPr>
          <w:rFonts w:cs="Calibri"/>
          <w:i/>
          <w:iCs/>
          <w:noProof/>
          <w:lang w:val="en-US"/>
        </w:rPr>
        <w:t>Gut</w:t>
      </w:r>
      <w:r w:rsidRPr="00756206">
        <w:rPr>
          <w:rFonts w:cs="Calibri"/>
          <w:noProof/>
          <w:lang w:val="en-US"/>
        </w:rPr>
        <w:t xml:space="preserve"> vol. 65 169–178 (2016).</w:t>
      </w:r>
    </w:p>
    <w:p w14:paraId="776A290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57.</w:t>
      </w:r>
      <w:r w:rsidRPr="00756206">
        <w:rPr>
          <w:rFonts w:cs="Calibri"/>
          <w:noProof/>
          <w:lang w:val="en-US"/>
        </w:rPr>
        <w:tab/>
        <w:t xml:space="preserve">Pearson, M., Teahon, K., Levi, A. J. &amp; Bjarnason, I. Food intolerance and Crohn’s disease. </w:t>
      </w:r>
      <w:r w:rsidRPr="00756206">
        <w:rPr>
          <w:rFonts w:cs="Calibri"/>
          <w:i/>
          <w:iCs/>
          <w:noProof/>
          <w:lang w:val="en-US"/>
        </w:rPr>
        <w:t>Gut</w:t>
      </w:r>
      <w:r w:rsidRPr="00756206">
        <w:rPr>
          <w:rFonts w:cs="Calibri"/>
          <w:noProof/>
          <w:lang w:val="en-US"/>
        </w:rPr>
        <w:t xml:space="preserve"> </w:t>
      </w:r>
      <w:r w:rsidRPr="00756206">
        <w:rPr>
          <w:rFonts w:cs="Calibri"/>
          <w:b/>
          <w:bCs/>
          <w:noProof/>
          <w:lang w:val="en-US"/>
        </w:rPr>
        <w:t>34</w:t>
      </w:r>
      <w:r w:rsidRPr="00756206">
        <w:rPr>
          <w:rFonts w:cs="Calibri"/>
          <w:noProof/>
          <w:lang w:val="en-US"/>
        </w:rPr>
        <w:t>, 783–787 (1993).</w:t>
      </w:r>
    </w:p>
    <w:p w14:paraId="3EB3DBF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58.</w:t>
      </w:r>
      <w:r w:rsidRPr="00756206">
        <w:rPr>
          <w:rFonts w:cs="Calibri"/>
          <w:noProof/>
          <w:lang w:val="en-US"/>
        </w:rPr>
        <w:tab/>
        <w:t xml:space="preserve">Rajendran, N. &amp; Kumar, D. Food-specific IgG4-guided exclusion diets improve symptoms in Crohn’s disease: a pilot study. </w:t>
      </w:r>
      <w:r w:rsidRPr="00756206">
        <w:rPr>
          <w:rFonts w:cs="Calibri"/>
          <w:i/>
          <w:iCs/>
          <w:noProof/>
          <w:lang w:val="en-US"/>
        </w:rPr>
        <w:t>Color. Dis. Off. J. Assoc. Coloproctology Gt. Britain Irel.</w:t>
      </w:r>
      <w:r w:rsidRPr="00756206">
        <w:rPr>
          <w:rFonts w:cs="Calibri"/>
          <w:noProof/>
          <w:lang w:val="en-US"/>
        </w:rPr>
        <w:t xml:space="preserve"> </w:t>
      </w:r>
      <w:r w:rsidRPr="00756206">
        <w:rPr>
          <w:rFonts w:cs="Calibri"/>
          <w:b/>
          <w:bCs/>
          <w:noProof/>
          <w:lang w:val="en-US"/>
        </w:rPr>
        <w:t>13</w:t>
      </w:r>
      <w:r w:rsidRPr="00756206">
        <w:rPr>
          <w:rFonts w:cs="Calibri"/>
          <w:noProof/>
          <w:lang w:val="en-US"/>
        </w:rPr>
        <w:t>, 1009–13 (2011).</w:t>
      </w:r>
    </w:p>
    <w:p w14:paraId="150B3D79"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59.</w:t>
      </w:r>
      <w:r w:rsidRPr="00756206">
        <w:rPr>
          <w:rFonts w:cs="Calibri"/>
          <w:noProof/>
          <w:lang w:val="en-US"/>
        </w:rPr>
        <w:tab/>
        <w:t xml:space="preserve">Lee, D. </w:t>
      </w:r>
      <w:r w:rsidRPr="00756206">
        <w:rPr>
          <w:rFonts w:cs="Calibri"/>
          <w:i/>
          <w:iCs/>
          <w:noProof/>
          <w:lang w:val="en-US"/>
        </w:rPr>
        <w:t>et al.</w:t>
      </w:r>
      <w:r w:rsidRPr="00756206">
        <w:rPr>
          <w:rFonts w:cs="Calibri"/>
          <w:noProof/>
          <w:lang w:val="en-US"/>
        </w:rPr>
        <w:t xml:space="preserve"> Diet in the pathogenesis and treatment of inflammatory bowel diseases.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148</w:t>
      </w:r>
      <w:r w:rsidRPr="00756206">
        <w:rPr>
          <w:rFonts w:cs="Calibri"/>
          <w:noProof/>
          <w:lang w:val="en-US"/>
        </w:rPr>
        <w:t>, 1087–1106 (2015).</w:t>
      </w:r>
    </w:p>
    <w:p w14:paraId="6B42062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60.</w:t>
      </w:r>
      <w:r w:rsidRPr="00756206">
        <w:rPr>
          <w:rFonts w:cs="Calibri"/>
          <w:noProof/>
          <w:lang w:val="en-US"/>
        </w:rPr>
        <w:tab/>
        <w:t xml:space="preserve">De Schryver, E. </w:t>
      </w:r>
      <w:r w:rsidRPr="00756206">
        <w:rPr>
          <w:rFonts w:cs="Calibri"/>
          <w:i/>
          <w:iCs/>
          <w:noProof/>
          <w:lang w:val="en-US"/>
        </w:rPr>
        <w:t>et al.</w:t>
      </w:r>
      <w:r w:rsidRPr="00756206">
        <w:rPr>
          <w:rFonts w:cs="Calibri"/>
          <w:noProof/>
          <w:lang w:val="en-US"/>
        </w:rPr>
        <w:t xml:space="preserve"> Local immunoglobulin E in the nasal mucosa: Clinical implications. </w:t>
      </w:r>
      <w:r w:rsidRPr="00756206">
        <w:rPr>
          <w:rFonts w:cs="Calibri"/>
          <w:i/>
          <w:iCs/>
          <w:noProof/>
          <w:lang w:val="en-US"/>
        </w:rPr>
        <w:t>Allergy, Asthma Immunol. Res.</w:t>
      </w:r>
      <w:r w:rsidRPr="00756206">
        <w:rPr>
          <w:rFonts w:cs="Calibri"/>
          <w:noProof/>
          <w:lang w:val="en-US"/>
        </w:rPr>
        <w:t xml:space="preserve"> </w:t>
      </w:r>
      <w:r w:rsidRPr="00756206">
        <w:rPr>
          <w:rFonts w:cs="Calibri"/>
          <w:b/>
          <w:bCs/>
          <w:noProof/>
          <w:lang w:val="en-US"/>
        </w:rPr>
        <w:t>7</w:t>
      </w:r>
      <w:r w:rsidRPr="00756206">
        <w:rPr>
          <w:rFonts w:cs="Calibri"/>
          <w:noProof/>
          <w:lang w:val="en-US"/>
        </w:rPr>
        <w:t>, 321–331 (2015).</w:t>
      </w:r>
    </w:p>
    <w:p w14:paraId="5EF2CCA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61.</w:t>
      </w:r>
      <w:r w:rsidRPr="00756206">
        <w:rPr>
          <w:rFonts w:cs="Calibri"/>
          <w:noProof/>
          <w:lang w:val="en-US"/>
        </w:rPr>
        <w:tab/>
        <w:t xml:space="preserve">Bischoff, S. C., Mayer, J., Meier, P. N., Zeck-Kapp, G. &amp; Manns, M. P. Clinical significance of the colonoscopic allergen provocation test. </w:t>
      </w:r>
      <w:r w:rsidRPr="00756206">
        <w:rPr>
          <w:rFonts w:cs="Calibri"/>
          <w:i/>
          <w:iCs/>
          <w:noProof/>
          <w:lang w:val="en-US"/>
        </w:rPr>
        <w:t>Int. Arch. Allergy Immunol.</w:t>
      </w:r>
      <w:r w:rsidRPr="00756206">
        <w:rPr>
          <w:rFonts w:cs="Calibri"/>
          <w:noProof/>
          <w:lang w:val="en-US"/>
        </w:rPr>
        <w:t xml:space="preserve"> </w:t>
      </w:r>
      <w:r w:rsidRPr="00756206">
        <w:rPr>
          <w:rFonts w:cs="Calibri"/>
          <w:b/>
          <w:bCs/>
          <w:noProof/>
          <w:lang w:val="en-US"/>
        </w:rPr>
        <w:t>113</w:t>
      </w:r>
      <w:r w:rsidRPr="00756206">
        <w:rPr>
          <w:rFonts w:cs="Calibri"/>
          <w:noProof/>
          <w:lang w:val="en-US"/>
        </w:rPr>
        <w:t>, 348–51 (1997).</w:t>
      </w:r>
    </w:p>
    <w:p w14:paraId="23A2DFD7"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62.</w:t>
      </w:r>
      <w:r w:rsidRPr="00756206">
        <w:rPr>
          <w:rFonts w:cs="Calibri"/>
          <w:noProof/>
          <w:lang w:val="en-US"/>
        </w:rPr>
        <w:tab/>
        <w:t xml:space="preserve">Tobin, M. C. </w:t>
      </w:r>
      <w:r w:rsidRPr="00756206">
        <w:rPr>
          <w:rFonts w:cs="Calibri"/>
          <w:i/>
          <w:iCs/>
          <w:noProof/>
          <w:lang w:val="en-US"/>
        </w:rPr>
        <w:t>et al.</w:t>
      </w:r>
      <w:r w:rsidRPr="00756206">
        <w:rPr>
          <w:rFonts w:cs="Calibri"/>
          <w:noProof/>
          <w:lang w:val="en-US"/>
        </w:rPr>
        <w:t xml:space="preserve"> Atopic irritable bowel syndrome: A novel subgroup of irritable bowel syndrome with allergic manifestations. </w:t>
      </w:r>
      <w:r w:rsidRPr="00756206">
        <w:rPr>
          <w:rFonts w:cs="Calibri"/>
          <w:i/>
          <w:iCs/>
          <w:noProof/>
          <w:lang w:val="en-US"/>
        </w:rPr>
        <w:t>Ann. Allergy, Asthma Immunol.</w:t>
      </w:r>
      <w:r w:rsidRPr="00756206">
        <w:rPr>
          <w:rFonts w:cs="Calibri"/>
          <w:noProof/>
          <w:lang w:val="en-US"/>
        </w:rPr>
        <w:t xml:space="preserve"> </w:t>
      </w:r>
      <w:r w:rsidRPr="00756206">
        <w:rPr>
          <w:rFonts w:cs="Calibri"/>
          <w:b/>
          <w:bCs/>
          <w:noProof/>
          <w:lang w:val="en-US"/>
        </w:rPr>
        <w:t>100</w:t>
      </w:r>
      <w:r w:rsidRPr="00756206">
        <w:rPr>
          <w:rFonts w:cs="Calibri"/>
          <w:noProof/>
          <w:lang w:val="en-US"/>
        </w:rPr>
        <w:t>, 49–53 (2008).</w:t>
      </w:r>
    </w:p>
    <w:p w14:paraId="3A72108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63.</w:t>
      </w:r>
      <w:r w:rsidRPr="00756206">
        <w:rPr>
          <w:rFonts w:cs="Calibri"/>
          <w:noProof/>
          <w:lang w:val="en-US"/>
        </w:rPr>
        <w:tab/>
        <w:t xml:space="preserve">Jones, M. P., Walker, M. M., Ford, A. C. &amp; Talley, N. J. The overlap of atopy and functional gastrointestinal disorders among 23,471 patients in primary care. </w:t>
      </w:r>
      <w:r w:rsidRPr="00756206">
        <w:rPr>
          <w:rFonts w:cs="Calibri"/>
          <w:i/>
          <w:iCs/>
          <w:noProof/>
          <w:lang w:val="en-US"/>
        </w:rPr>
        <w:t>Aliment. Pharmacol. Ther.</w:t>
      </w:r>
      <w:r w:rsidRPr="00756206">
        <w:rPr>
          <w:rFonts w:cs="Calibri"/>
          <w:noProof/>
          <w:lang w:val="en-US"/>
        </w:rPr>
        <w:t xml:space="preserve"> </w:t>
      </w:r>
      <w:r w:rsidRPr="00756206">
        <w:rPr>
          <w:rFonts w:cs="Calibri"/>
          <w:b/>
          <w:bCs/>
          <w:noProof/>
          <w:lang w:val="en-US"/>
        </w:rPr>
        <w:t>40</w:t>
      </w:r>
      <w:r w:rsidRPr="00756206">
        <w:rPr>
          <w:rFonts w:cs="Calibri"/>
          <w:noProof/>
          <w:lang w:val="en-US"/>
        </w:rPr>
        <w:t>, 382–391 (2014).</w:t>
      </w:r>
    </w:p>
    <w:p w14:paraId="44F0C137"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64.</w:t>
      </w:r>
      <w:r w:rsidRPr="00756206">
        <w:rPr>
          <w:rFonts w:cs="Calibri"/>
          <w:noProof/>
          <w:lang w:val="en-US"/>
        </w:rPr>
        <w:tab/>
        <w:t xml:space="preserve">Tan, T. K. </w:t>
      </w:r>
      <w:r w:rsidRPr="00756206">
        <w:rPr>
          <w:rFonts w:cs="Calibri"/>
          <w:i/>
          <w:iCs/>
          <w:noProof/>
          <w:lang w:val="en-US"/>
        </w:rPr>
        <w:t>et al.</w:t>
      </w:r>
      <w:r w:rsidRPr="00756206">
        <w:rPr>
          <w:rFonts w:cs="Calibri"/>
          <w:noProof/>
          <w:lang w:val="en-US"/>
        </w:rPr>
        <w:t xml:space="preserve"> Preschoolers with allergic diseases have an increased risk of irritable bowel syndrome when reaching school age. </w:t>
      </w:r>
      <w:r w:rsidRPr="00756206">
        <w:rPr>
          <w:rFonts w:cs="Calibri"/>
          <w:i/>
          <w:iCs/>
          <w:noProof/>
          <w:lang w:val="en-US"/>
        </w:rPr>
        <w:t>J. Pediatr. Gastroenterol. Nutr.</w:t>
      </w:r>
      <w:r w:rsidRPr="00756206">
        <w:rPr>
          <w:rFonts w:cs="Calibri"/>
          <w:noProof/>
          <w:lang w:val="en-US"/>
        </w:rPr>
        <w:t xml:space="preserve"> </w:t>
      </w:r>
      <w:r w:rsidRPr="00756206">
        <w:rPr>
          <w:rFonts w:cs="Calibri"/>
          <w:b/>
          <w:bCs/>
          <w:noProof/>
          <w:lang w:val="en-US"/>
        </w:rPr>
        <w:t>64</w:t>
      </w:r>
      <w:r w:rsidRPr="00756206">
        <w:rPr>
          <w:rFonts w:cs="Calibri"/>
          <w:noProof/>
          <w:lang w:val="en-US"/>
        </w:rPr>
        <w:t>, 26–30 (2017).</w:t>
      </w:r>
    </w:p>
    <w:p w14:paraId="63314155"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65.</w:t>
      </w:r>
      <w:r w:rsidRPr="00756206">
        <w:rPr>
          <w:rFonts w:cs="Calibri"/>
          <w:noProof/>
          <w:lang w:val="en-US"/>
        </w:rPr>
        <w:tab/>
        <w:t xml:space="preserve">Halpin, S. J. &amp; Ford, A. C. Prevalence of symptoms meeting criteria for irritable bowel syndrome in inflammatory bowel disease: Systematic review and meta-analysis. </w:t>
      </w:r>
      <w:r w:rsidRPr="00756206">
        <w:rPr>
          <w:rFonts w:cs="Calibri"/>
          <w:i/>
          <w:iCs/>
          <w:noProof/>
          <w:lang w:val="en-US"/>
        </w:rPr>
        <w:t>American Journal of Gastroenterology</w:t>
      </w:r>
      <w:r w:rsidRPr="00756206">
        <w:rPr>
          <w:rFonts w:cs="Calibri"/>
          <w:noProof/>
          <w:lang w:val="en-US"/>
        </w:rPr>
        <w:t xml:space="preserve"> 1474–82 (2012) doi:10.1038/ajg.2012.260.</w:t>
      </w:r>
    </w:p>
    <w:p w14:paraId="73A4385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66.</w:t>
      </w:r>
      <w:r w:rsidRPr="00756206">
        <w:rPr>
          <w:rFonts w:cs="Calibri"/>
          <w:noProof/>
          <w:lang w:val="en-US"/>
        </w:rPr>
        <w:tab/>
        <w:t xml:space="preserve">Pearson, J. S., Niven, R. M., Meng, J., Atarodi, S. &amp; Whorwell, P. J. Immunoglobulin E in irritable bowel syndrome: Another target for treatment? A case report and literature review. </w:t>
      </w:r>
      <w:r w:rsidRPr="00756206">
        <w:rPr>
          <w:rFonts w:cs="Calibri"/>
          <w:i/>
          <w:iCs/>
          <w:noProof/>
          <w:lang w:val="en-US"/>
        </w:rPr>
        <w:t>Therapeutic Advances in Gastroenterology</w:t>
      </w:r>
      <w:r w:rsidRPr="00756206">
        <w:rPr>
          <w:rFonts w:cs="Calibri"/>
          <w:noProof/>
          <w:lang w:val="en-US"/>
        </w:rPr>
        <w:t xml:space="preserve"> vol. 8 270–277 (2015).</w:t>
      </w:r>
    </w:p>
    <w:p w14:paraId="7E13237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67.</w:t>
      </w:r>
      <w:r w:rsidRPr="00756206">
        <w:rPr>
          <w:rFonts w:cs="Calibri"/>
          <w:noProof/>
          <w:lang w:val="en-US"/>
        </w:rPr>
        <w:tab/>
        <w:t xml:space="preserve">Magen, E. &amp; Chikovani, T. CASE REPORT OF IRRITABLE BOWEL SYNDROME RESPONDING TO OMALIZUMAB. </w:t>
      </w:r>
      <w:r w:rsidRPr="00756206">
        <w:rPr>
          <w:rFonts w:cs="Calibri"/>
          <w:i/>
          <w:iCs/>
          <w:noProof/>
          <w:lang w:val="en-US"/>
        </w:rPr>
        <w:t>Georgian Med. News</w:t>
      </w:r>
      <w:r w:rsidRPr="00756206">
        <w:rPr>
          <w:rFonts w:cs="Calibri"/>
          <w:noProof/>
          <w:lang w:val="en-US"/>
        </w:rPr>
        <w:t xml:space="preserve"> </w:t>
      </w:r>
      <w:r w:rsidRPr="00756206">
        <w:rPr>
          <w:rFonts w:cs="Calibri"/>
          <w:b/>
          <w:bCs/>
          <w:noProof/>
          <w:lang w:val="en-US"/>
        </w:rPr>
        <w:t>243</w:t>
      </w:r>
      <w:r w:rsidRPr="00756206">
        <w:rPr>
          <w:rFonts w:cs="Calibri"/>
          <w:noProof/>
          <w:lang w:val="en-US"/>
        </w:rPr>
        <w:t>, 42–5 (2015).</w:t>
      </w:r>
    </w:p>
    <w:p w14:paraId="3F45A590"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68.</w:t>
      </w:r>
      <w:r w:rsidRPr="00756206">
        <w:rPr>
          <w:rFonts w:cs="Calibri"/>
          <w:noProof/>
          <w:lang w:val="en-US"/>
        </w:rPr>
        <w:tab/>
        <w:t xml:space="preserve">Bengtsson, M., Persson, J., Sjölund, K. &amp; Ohlsson, B. Further validation of the visual analogue scale for irritable bowel syndrome after use in clinical practice. </w:t>
      </w:r>
      <w:r w:rsidRPr="00756206">
        <w:rPr>
          <w:rFonts w:cs="Calibri"/>
          <w:i/>
          <w:iCs/>
          <w:noProof/>
          <w:lang w:val="en-US"/>
        </w:rPr>
        <w:t>Gastroenterol. Nurs.</w:t>
      </w:r>
      <w:r w:rsidRPr="00756206">
        <w:rPr>
          <w:rFonts w:cs="Calibri"/>
          <w:noProof/>
          <w:lang w:val="en-US"/>
        </w:rPr>
        <w:t xml:space="preserve"> </w:t>
      </w:r>
      <w:r w:rsidRPr="00756206">
        <w:rPr>
          <w:rFonts w:cs="Calibri"/>
          <w:b/>
          <w:bCs/>
          <w:noProof/>
          <w:lang w:val="en-US"/>
        </w:rPr>
        <w:t>36</w:t>
      </w:r>
      <w:r w:rsidRPr="00756206">
        <w:rPr>
          <w:rFonts w:cs="Calibri"/>
          <w:noProof/>
          <w:lang w:val="en-US"/>
        </w:rPr>
        <w:t>, 188–98 (2013).</w:t>
      </w:r>
    </w:p>
    <w:p w14:paraId="6DED6AD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69.</w:t>
      </w:r>
      <w:r w:rsidRPr="00756206">
        <w:rPr>
          <w:rFonts w:cs="Calibri"/>
          <w:noProof/>
          <w:lang w:val="en-US"/>
        </w:rPr>
        <w:tab/>
        <w:t xml:space="preserve">Oettgen, H. C. </w:t>
      </w:r>
      <w:r w:rsidRPr="00756206">
        <w:rPr>
          <w:rFonts w:cs="Calibri"/>
          <w:i/>
          <w:iCs/>
          <w:noProof/>
          <w:lang w:val="en-US"/>
        </w:rPr>
        <w:t>et al.</w:t>
      </w:r>
      <w:r w:rsidRPr="00756206">
        <w:rPr>
          <w:rFonts w:cs="Calibri"/>
          <w:noProof/>
          <w:lang w:val="en-US"/>
        </w:rPr>
        <w:t xml:space="preserve"> Active anaphylaxis in IgE-deficient mice. </w:t>
      </w:r>
      <w:r w:rsidRPr="00756206">
        <w:rPr>
          <w:rFonts w:cs="Calibri"/>
          <w:i/>
          <w:iCs/>
          <w:noProof/>
          <w:lang w:val="en-US"/>
        </w:rPr>
        <w:t>Nature</w:t>
      </w:r>
      <w:r w:rsidRPr="00756206">
        <w:rPr>
          <w:rFonts w:cs="Calibri"/>
          <w:noProof/>
          <w:lang w:val="en-US"/>
        </w:rPr>
        <w:t xml:space="preserve"> </w:t>
      </w:r>
      <w:r w:rsidRPr="00756206">
        <w:rPr>
          <w:rFonts w:cs="Calibri"/>
          <w:b/>
          <w:bCs/>
          <w:noProof/>
          <w:lang w:val="en-US"/>
        </w:rPr>
        <w:t>370</w:t>
      </w:r>
      <w:r w:rsidRPr="00756206">
        <w:rPr>
          <w:rFonts w:cs="Calibri"/>
          <w:noProof/>
          <w:lang w:val="en-US"/>
        </w:rPr>
        <w:t>, 367–70 (1994).</w:t>
      </w:r>
    </w:p>
    <w:p w14:paraId="482898AA"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70.</w:t>
      </w:r>
      <w:r w:rsidRPr="00756206">
        <w:rPr>
          <w:rFonts w:cs="Calibri"/>
          <w:noProof/>
          <w:lang w:val="en-US"/>
        </w:rPr>
        <w:tab/>
        <w:t xml:space="preserve">Moritoki, Y. </w:t>
      </w:r>
      <w:r w:rsidRPr="00756206">
        <w:rPr>
          <w:rFonts w:cs="Calibri"/>
          <w:i/>
          <w:iCs/>
          <w:noProof/>
          <w:lang w:val="en-US"/>
        </w:rPr>
        <w:t>et al.</w:t>
      </w:r>
      <w:r w:rsidRPr="00756206">
        <w:rPr>
          <w:rFonts w:cs="Calibri"/>
          <w:noProof/>
          <w:lang w:val="en-US"/>
        </w:rPr>
        <w:t xml:space="preserve"> B-cell depletion with anti-CD20 ameliorates autoimmune cholangitis but exacerbates colitis in transforming growth factor-β receptor II dominant negative mice. </w:t>
      </w:r>
      <w:r w:rsidRPr="00756206">
        <w:rPr>
          <w:rFonts w:cs="Calibri"/>
          <w:i/>
          <w:iCs/>
          <w:noProof/>
          <w:lang w:val="en-US"/>
        </w:rPr>
        <w:lastRenderedPageBreak/>
        <w:t>Hepatology</w:t>
      </w:r>
      <w:r w:rsidRPr="00756206">
        <w:rPr>
          <w:rFonts w:cs="Calibri"/>
          <w:noProof/>
          <w:lang w:val="en-US"/>
        </w:rPr>
        <w:t xml:space="preserve"> </w:t>
      </w:r>
      <w:r w:rsidRPr="00756206">
        <w:rPr>
          <w:rFonts w:cs="Calibri"/>
          <w:b/>
          <w:bCs/>
          <w:noProof/>
          <w:lang w:val="en-US"/>
        </w:rPr>
        <w:t>50</w:t>
      </w:r>
      <w:r w:rsidRPr="00756206">
        <w:rPr>
          <w:rFonts w:cs="Calibri"/>
          <w:noProof/>
          <w:lang w:val="en-US"/>
        </w:rPr>
        <w:t>, 1893–1903 (2009).</w:t>
      </w:r>
    </w:p>
    <w:p w14:paraId="5875949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71.</w:t>
      </w:r>
      <w:r w:rsidRPr="00756206">
        <w:rPr>
          <w:rFonts w:cs="Calibri"/>
          <w:noProof/>
          <w:lang w:val="en-US"/>
        </w:rPr>
        <w:tab/>
        <w:t xml:space="preserve">Kim, M. S. &amp; Kim, T. S. IgA+ plasma cells in murine intestinal lamina propria as a positive regulator of Treg differentiation. </w:t>
      </w:r>
      <w:r w:rsidRPr="00756206">
        <w:rPr>
          <w:rFonts w:cs="Calibri"/>
          <w:i/>
          <w:iCs/>
          <w:noProof/>
          <w:lang w:val="en-US"/>
        </w:rPr>
        <w:t>J. Leukoc. Biol.</w:t>
      </w:r>
      <w:r w:rsidRPr="00756206">
        <w:rPr>
          <w:rFonts w:cs="Calibri"/>
          <w:noProof/>
          <w:lang w:val="en-US"/>
        </w:rPr>
        <w:t xml:space="preserve"> </w:t>
      </w:r>
      <w:r w:rsidRPr="00756206">
        <w:rPr>
          <w:rFonts w:cs="Calibri"/>
          <w:b/>
          <w:bCs/>
          <w:noProof/>
          <w:lang w:val="en-US"/>
        </w:rPr>
        <w:t>95</w:t>
      </w:r>
      <w:r w:rsidRPr="00756206">
        <w:rPr>
          <w:rFonts w:cs="Calibri"/>
          <w:noProof/>
          <w:lang w:val="en-US"/>
        </w:rPr>
        <w:t>, 461–469 (2014).</w:t>
      </w:r>
    </w:p>
    <w:p w14:paraId="31D22EB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72.</w:t>
      </w:r>
      <w:r w:rsidRPr="00756206">
        <w:rPr>
          <w:rFonts w:cs="Calibri"/>
          <w:noProof/>
          <w:lang w:val="en-US"/>
        </w:rPr>
        <w:tab/>
        <w:t xml:space="preserve">Huang, Z.-L. </w:t>
      </w:r>
      <w:r w:rsidRPr="00756206">
        <w:rPr>
          <w:rFonts w:cs="Calibri"/>
          <w:i/>
          <w:iCs/>
          <w:noProof/>
          <w:lang w:val="en-US"/>
        </w:rPr>
        <w:t>et al.</w:t>
      </w:r>
      <w:r w:rsidRPr="00756206">
        <w:rPr>
          <w:rFonts w:cs="Calibri"/>
          <w:noProof/>
          <w:lang w:val="en-US"/>
        </w:rPr>
        <w:t xml:space="preserve"> Altered sleep-wake characteristics and lack of arousal response to H3 receptor antagonist in histamine H1 receptor knockout mice. </w:t>
      </w:r>
      <w:r w:rsidRPr="00756206">
        <w:rPr>
          <w:rFonts w:cs="Calibri"/>
          <w:i/>
          <w:iCs/>
          <w:noProof/>
          <w:lang w:val="en-US"/>
        </w:rPr>
        <w:t>Proc. Natl. Acad. Sci.</w:t>
      </w:r>
      <w:r w:rsidRPr="00756206">
        <w:rPr>
          <w:rFonts w:cs="Calibri"/>
          <w:noProof/>
          <w:lang w:val="en-US"/>
        </w:rPr>
        <w:t xml:space="preserve"> </w:t>
      </w:r>
      <w:r w:rsidRPr="00756206">
        <w:rPr>
          <w:rFonts w:cs="Calibri"/>
          <w:b/>
          <w:bCs/>
          <w:noProof/>
          <w:lang w:val="en-US"/>
        </w:rPr>
        <w:t>103</w:t>
      </w:r>
      <w:r w:rsidRPr="00756206">
        <w:rPr>
          <w:rFonts w:cs="Calibri"/>
          <w:noProof/>
          <w:lang w:val="en-US"/>
        </w:rPr>
        <w:t>, 4687–4692 (2006).</w:t>
      </w:r>
    </w:p>
    <w:p w14:paraId="6757BFE1"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73.</w:t>
      </w:r>
      <w:r w:rsidRPr="00756206">
        <w:rPr>
          <w:rFonts w:cs="Calibri"/>
          <w:noProof/>
          <w:lang w:val="en-US"/>
        </w:rPr>
        <w:tab/>
        <w:t xml:space="preserve">Lauffer, A. </w:t>
      </w:r>
      <w:r w:rsidRPr="00756206">
        <w:rPr>
          <w:rFonts w:cs="Calibri"/>
          <w:i/>
          <w:iCs/>
          <w:noProof/>
          <w:lang w:val="en-US"/>
        </w:rPr>
        <w:t>et al.</w:t>
      </w:r>
      <w:r w:rsidRPr="00756206">
        <w:rPr>
          <w:rFonts w:cs="Calibri"/>
          <w:noProof/>
          <w:lang w:val="en-US"/>
        </w:rPr>
        <w:t xml:space="preserve"> Subacute stress and chronic stress interact to decrease intestinal barrier function in rats. </w:t>
      </w:r>
      <w:r w:rsidRPr="00756206">
        <w:rPr>
          <w:rFonts w:cs="Calibri"/>
          <w:i/>
          <w:iCs/>
          <w:noProof/>
          <w:lang w:val="en-US"/>
        </w:rPr>
        <w:t>Stress</w:t>
      </w:r>
      <w:r w:rsidRPr="00756206">
        <w:rPr>
          <w:rFonts w:cs="Calibri"/>
          <w:noProof/>
          <w:lang w:val="en-US"/>
        </w:rPr>
        <w:t xml:space="preserve"> </w:t>
      </w:r>
      <w:r w:rsidRPr="00756206">
        <w:rPr>
          <w:rFonts w:cs="Calibri"/>
          <w:b/>
          <w:bCs/>
          <w:noProof/>
          <w:lang w:val="en-US"/>
        </w:rPr>
        <w:t>19</w:t>
      </w:r>
      <w:r w:rsidRPr="00756206">
        <w:rPr>
          <w:rFonts w:cs="Calibri"/>
          <w:noProof/>
          <w:lang w:val="en-US"/>
        </w:rPr>
        <w:t>, 225–234 (2016).</w:t>
      </w:r>
    </w:p>
    <w:p w14:paraId="2C6915E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74.</w:t>
      </w:r>
      <w:r w:rsidRPr="00756206">
        <w:rPr>
          <w:rFonts w:cs="Calibri"/>
          <w:noProof/>
          <w:lang w:val="en-US"/>
        </w:rPr>
        <w:tab/>
        <w:t xml:space="preserve">Hildebrand, F., Tadeo, R., Voigt, A. Y., Bork, P. &amp; Raes, J. LotuS: An efficient and user-friendly OTU processing pipeline. </w:t>
      </w:r>
      <w:r w:rsidRPr="00756206">
        <w:rPr>
          <w:rFonts w:cs="Calibri"/>
          <w:i/>
          <w:iCs/>
          <w:noProof/>
          <w:lang w:val="en-US"/>
        </w:rPr>
        <w:t>Microbiome</w:t>
      </w:r>
      <w:r w:rsidRPr="00756206">
        <w:rPr>
          <w:rFonts w:cs="Calibri"/>
          <w:noProof/>
          <w:lang w:val="en-US"/>
        </w:rPr>
        <w:t xml:space="preserve"> </w:t>
      </w:r>
      <w:r w:rsidRPr="00756206">
        <w:rPr>
          <w:rFonts w:cs="Calibri"/>
          <w:b/>
          <w:bCs/>
          <w:noProof/>
          <w:lang w:val="en-US"/>
        </w:rPr>
        <w:t>2</w:t>
      </w:r>
      <w:r w:rsidRPr="00756206">
        <w:rPr>
          <w:rFonts w:cs="Calibri"/>
          <w:noProof/>
          <w:lang w:val="en-US"/>
        </w:rPr>
        <w:t>, 30 (2014).</w:t>
      </w:r>
    </w:p>
    <w:p w14:paraId="567AC9E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75.</w:t>
      </w:r>
      <w:r w:rsidRPr="00756206">
        <w:rPr>
          <w:rFonts w:cs="Calibri"/>
          <w:noProof/>
          <w:lang w:val="en-US"/>
        </w:rPr>
        <w:tab/>
        <w:t xml:space="preserve">Callahan, B. J. </w:t>
      </w:r>
      <w:r w:rsidRPr="00756206">
        <w:rPr>
          <w:rFonts w:cs="Calibri"/>
          <w:i/>
          <w:iCs/>
          <w:noProof/>
          <w:lang w:val="en-US"/>
        </w:rPr>
        <w:t>et al.</w:t>
      </w:r>
      <w:r w:rsidRPr="00756206">
        <w:rPr>
          <w:rFonts w:cs="Calibri"/>
          <w:noProof/>
          <w:lang w:val="en-US"/>
        </w:rPr>
        <w:t xml:space="preserve"> DADA2: High-resolution sample inference from Illumina amplicon data. </w:t>
      </w:r>
      <w:r w:rsidRPr="00756206">
        <w:rPr>
          <w:rFonts w:cs="Calibri"/>
          <w:i/>
          <w:iCs/>
          <w:noProof/>
          <w:lang w:val="en-US"/>
        </w:rPr>
        <w:t>Nat. Methods</w:t>
      </w:r>
      <w:r w:rsidRPr="00756206">
        <w:rPr>
          <w:rFonts w:cs="Calibri"/>
          <w:noProof/>
          <w:lang w:val="en-US"/>
        </w:rPr>
        <w:t xml:space="preserve"> </w:t>
      </w:r>
      <w:r w:rsidRPr="00756206">
        <w:rPr>
          <w:rFonts w:cs="Calibri"/>
          <w:b/>
          <w:bCs/>
          <w:noProof/>
          <w:lang w:val="en-US"/>
        </w:rPr>
        <w:t>13</w:t>
      </w:r>
      <w:r w:rsidRPr="00756206">
        <w:rPr>
          <w:rFonts w:cs="Calibri"/>
          <w:noProof/>
          <w:lang w:val="en-US"/>
        </w:rPr>
        <w:t>, 581–3 (2016).</w:t>
      </w:r>
    </w:p>
    <w:p w14:paraId="3F9FEA6C"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76.</w:t>
      </w:r>
      <w:r w:rsidRPr="00756206">
        <w:rPr>
          <w:rFonts w:cs="Calibri"/>
          <w:noProof/>
          <w:lang w:val="en-US"/>
        </w:rPr>
        <w:tab/>
        <w:t xml:space="preserve">Gloor, G. B., Wu, J. R., Pawlowsky-Glahn, V. &amp; Egozcue, J. J. It’s all relative: analyzing microbiome data as compositions. </w:t>
      </w:r>
      <w:r w:rsidRPr="00756206">
        <w:rPr>
          <w:rFonts w:cs="Calibri"/>
          <w:i/>
          <w:iCs/>
          <w:noProof/>
          <w:lang w:val="en-US"/>
        </w:rPr>
        <w:t>Annals of Epidemiology</w:t>
      </w:r>
      <w:r w:rsidRPr="00756206">
        <w:rPr>
          <w:rFonts w:cs="Calibri"/>
          <w:noProof/>
          <w:lang w:val="en-US"/>
        </w:rPr>
        <w:t xml:space="preserve"> 322–9 (2016) doi:10.1016/j.annepidem.2016.03.003.</w:t>
      </w:r>
    </w:p>
    <w:p w14:paraId="74F10CB8"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77.</w:t>
      </w:r>
      <w:r w:rsidRPr="00756206">
        <w:rPr>
          <w:rFonts w:cs="Calibri"/>
          <w:noProof/>
          <w:lang w:val="en-US"/>
        </w:rPr>
        <w:tab/>
        <w:t xml:space="preserve">Palarea-Albaladejo, J. &amp; Martín-Fernández, J. A. ZCompositions - R package for multivariate imputation of left-censored data under a compositional approach. </w:t>
      </w:r>
      <w:r w:rsidRPr="00756206">
        <w:rPr>
          <w:rFonts w:cs="Calibri"/>
          <w:i/>
          <w:iCs/>
          <w:noProof/>
          <w:lang w:val="en-US"/>
        </w:rPr>
        <w:t>Chemom. Intell. Lab. Syst.</w:t>
      </w:r>
      <w:r w:rsidRPr="00756206">
        <w:rPr>
          <w:rFonts w:cs="Calibri"/>
          <w:noProof/>
          <w:lang w:val="en-US"/>
        </w:rPr>
        <w:t xml:space="preserve"> </w:t>
      </w:r>
      <w:r w:rsidRPr="00756206">
        <w:rPr>
          <w:rFonts w:cs="Calibri"/>
          <w:b/>
          <w:bCs/>
          <w:noProof/>
          <w:lang w:val="en-US"/>
        </w:rPr>
        <w:t>143</w:t>
      </w:r>
      <w:r w:rsidRPr="00756206">
        <w:rPr>
          <w:rFonts w:cs="Calibri"/>
          <w:noProof/>
          <w:lang w:val="en-US"/>
        </w:rPr>
        <w:t>, 85–96 (2015).</w:t>
      </w:r>
    </w:p>
    <w:p w14:paraId="5E81E6BA"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78.</w:t>
      </w:r>
      <w:r w:rsidRPr="00756206">
        <w:rPr>
          <w:rFonts w:cs="Calibri"/>
          <w:noProof/>
          <w:lang w:val="en-US"/>
        </w:rPr>
        <w:tab/>
        <w:t xml:space="preserve">Oksanen, J. </w:t>
      </w:r>
      <w:r w:rsidRPr="00756206">
        <w:rPr>
          <w:rFonts w:cs="Calibri"/>
          <w:i/>
          <w:iCs/>
          <w:noProof/>
          <w:lang w:val="en-US"/>
        </w:rPr>
        <w:t>et al.</w:t>
      </w:r>
      <w:r w:rsidRPr="00756206">
        <w:rPr>
          <w:rFonts w:cs="Calibri"/>
          <w:noProof/>
          <w:lang w:val="en-US"/>
        </w:rPr>
        <w:t xml:space="preserve"> The vegan package. </w:t>
      </w:r>
      <w:r w:rsidRPr="00756206">
        <w:rPr>
          <w:rFonts w:cs="Calibri"/>
          <w:i/>
          <w:iCs/>
          <w:noProof/>
          <w:lang w:val="en-US"/>
        </w:rPr>
        <w:t>Community ecology package</w:t>
      </w:r>
      <w:r w:rsidRPr="00756206">
        <w:rPr>
          <w:rFonts w:cs="Calibri"/>
          <w:noProof/>
          <w:lang w:val="en-US"/>
        </w:rPr>
        <w:t xml:space="preserve"> (2008) doi:10.4135/9781412971874.n145.</w:t>
      </w:r>
    </w:p>
    <w:p w14:paraId="387D5F6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963325">
        <w:rPr>
          <w:rFonts w:cs="Calibri"/>
          <w:noProof/>
          <w:lang w:val="es-ES"/>
        </w:rPr>
        <w:t>79.</w:t>
      </w:r>
      <w:r w:rsidRPr="00963325">
        <w:rPr>
          <w:rFonts w:cs="Calibri"/>
          <w:noProof/>
          <w:lang w:val="es-ES"/>
        </w:rPr>
        <w:tab/>
        <w:t xml:space="preserve">Reber, L. L. </w:t>
      </w:r>
      <w:r w:rsidRPr="00963325">
        <w:rPr>
          <w:rFonts w:cs="Calibri"/>
          <w:i/>
          <w:iCs/>
          <w:noProof/>
          <w:lang w:val="es-ES"/>
        </w:rPr>
        <w:t>et al.</w:t>
      </w:r>
      <w:r w:rsidRPr="00963325">
        <w:rPr>
          <w:rFonts w:cs="Calibri"/>
          <w:noProof/>
          <w:lang w:val="es-ES"/>
        </w:rPr>
        <w:t xml:space="preserve"> </w:t>
      </w:r>
      <w:r w:rsidRPr="00756206">
        <w:rPr>
          <w:rFonts w:cs="Calibri"/>
          <w:noProof/>
          <w:lang w:val="en-US"/>
        </w:rPr>
        <w:t xml:space="preserve">Imaging protective mast cells in living mice during severe contact hypersensitivity. </w:t>
      </w:r>
      <w:r w:rsidRPr="00756206">
        <w:rPr>
          <w:rFonts w:cs="Calibri"/>
          <w:i/>
          <w:iCs/>
          <w:noProof/>
          <w:lang w:val="en-US"/>
        </w:rPr>
        <w:t>JCI Insight</w:t>
      </w:r>
      <w:r w:rsidRPr="00756206">
        <w:rPr>
          <w:rFonts w:cs="Calibri"/>
          <w:noProof/>
          <w:lang w:val="en-US"/>
        </w:rPr>
        <w:t xml:space="preserve"> </w:t>
      </w:r>
      <w:r w:rsidRPr="00756206">
        <w:rPr>
          <w:rFonts w:cs="Calibri"/>
          <w:b/>
          <w:bCs/>
          <w:noProof/>
          <w:lang w:val="en-US"/>
        </w:rPr>
        <w:t>2</w:t>
      </w:r>
      <w:r w:rsidRPr="00756206">
        <w:rPr>
          <w:rFonts w:cs="Calibri"/>
          <w:noProof/>
          <w:lang w:val="en-US"/>
        </w:rPr>
        <w:t>, DOI (2017).</w:t>
      </w:r>
    </w:p>
    <w:p w14:paraId="3CC12F6F"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80.</w:t>
      </w:r>
      <w:r w:rsidRPr="00756206">
        <w:rPr>
          <w:rFonts w:cs="Calibri"/>
          <w:noProof/>
          <w:lang w:val="en-US"/>
        </w:rPr>
        <w:tab/>
        <w:t xml:space="preserve">McCloy, R. A. </w:t>
      </w:r>
      <w:r w:rsidRPr="00756206">
        <w:rPr>
          <w:rFonts w:cs="Calibri"/>
          <w:i/>
          <w:iCs/>
          <w:noProof/>
          <w:lang w:val="en-US"/>
        </w:rPr>
        <w:t>et al.</w:t>
      </w:r>
      <w:r w:rsidRPr="00756206">
        <w:rPr>
          <w:rFonts w:cs="Calibri"/>
          <w:noProof/>
          <w:lang w:val="en-US"/>
        </w:rPr>
        <w:t xml:space="preserve"> Partial inhibition of Cdk1 in G2phase overrides the SAC and decouples mitotic events. </w:t>
      </w:r>
      <w:r w:rsidRPr="00756206">
        <w:rPr>
          <w:rFonts w:cs="Calibri"/>
          <w:i/>
          <w:iCs/>
          <w:noProof/>
          <w:lang w:val="en-US"/>
        </w:rPr>
        <w:t>Cell Cycle</w:t>
      </w:r>
      <w:r w:rsidRPr="00756206">
        <w:rPr>
          <w:rFonts w:cs="Calibri"/>
          <w:noProof/>
          <w:lang w:val="en-US"/>
        </w:rPr>
        <w:t xml:space="preserve"> </w:t>
      </w:r>
      <w:r w:rsidRPr="00756206">
        <w:rPr>
          <w:rFonts w:cs="Calibri"/>
          <w:b/>
          <w:bCs/>
          <w:noProof/>
          <w:lang w:val="en-US"/>
        </w:rPr>
        <w:t>13</w:t>
      </w:r>
      <w:r w:rsidRPr="00756206">
        <w:rPr>
          <w:rFonts w:cs="Calibri"/>
          <w:noProof/>
          <w:lang w:val="en-US"/>
        </w:rPr>
        <w:t>, 1400–12 (2014).</w:t>
      </w:r>
    </w:p>
    <w:p w14:paraId="5A458053"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81.</w:t>
      </w:r>
      <w:r w:rsidRPr="00756206">
        <w:rPr>
          <w:rFonts w:cs="Calibri"/>
          <w:noProof/>
          <w:lang w:val="en-US"/>
        </w:rPr>
        <w:tab/>
        <w:t xml:space="preserve">Pfaffl, M. W. A new mathematical model for relative quantification in RT-PCR. </w:t>
      </w:r>
      <w:r w:rsidRPr="00756206">
        <w:rPr>
          <w:rFonts w:cs="Calibri"/>
          <w:i/>
          <w:iCs/>
          <w:noProof/>
          <w:lang w:val="en-US"/>
        </w:rPr>
        <w:t>Nucleic Acids Res.</w:t>
      </w:r>
      <w:r w:rsidRPr="00756206">
        <w:rPr>
          <w:rFonts w:cs="Calibri"/>
          <w:noProof/>
          <w:lang w:val="en-US"/>
        </w:rPr>
        <w:t xml:space="preserve"> </w:t>
      </w:r>
      <w:r w:rsidRPr="00756206">
        <w:rPr>
          <w:rFonts w:cs="Calibri"/>
          <w:b/>
          <w:bCs/>
          <w:noProof/>
          <w:lang w:val="en-US"/>
        </w:rPr>
        <w:t>29</w:t>
      </w:r>
      <w:r w:rsidRPr="00756206">
        <w:rPr>
          <w:rFonts w:cs="Calibri"/>
          <w:noProof/>
          <w:lang w:val="en-US"/>
        </w:rPr>
        <w:t>, 16–21 (2001).</w:t>
      </w:r>
    </w:p>
    <w:p w14:paraId="3758E989"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82.</w:t>
      </w:r>
      <w:r w:rsidRPr="00756206">
        <w:rPr>
          <w:rFonts w:cs="Calibri"/>
          <w:noProof/>
          <w:lang w:val="en-US"/>
        </w:rPr>
        <w:tab/>
        <w:t xml:space="preserve">Brierley, S. M., Jones, R. C. W., Gebhart, G. F. &amp; Blackshaw, L. A. Splanchnic and pelvic mechanosensory afferents signal different qualities of colonic stimuli in mice.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127</w:t>
      </w:r>
      <w:r w:rsidRPr="00756206">
        <w:rPr>
          <w:rFonts w:cs="Calibri"/>
          <w:noProof/>
          <w:lang w:val="en-US"/>
        </w:rPr>
        <w:t>, 166–178 (2004).</w:t>
      </w:r>
    </w:p>
    <w:p w14:paraId="6904107F"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83.</w:t>
      </w:r>
      <w:r w:rsidRPr="00756206">
        <w:rPr>
          <w:rFonts w:cs="Calibri"/>
          <w:noProof/>
          <w:lang w:val="en-US"/>
        </w:rPr>
        <w:tab/>
        <w:t xml:space="preserve">Ibeakanma, C. &amp; Vanner, S. TNFα is a key mediator of the pronociceptive effects of mucosal supernatant from human ulcerative colitis on colonic DRG neurons. </w:t>
      </w:r>
      <w:r w:rsidRPr="00756206">
        <w:rPr>
          <w:rFonts w:cs="Calibri"/>
          <w:i/>
          <w:iCs/>
          <w:noProof/>
          <w:lang w:val="en-US"/>
        </w:rPr>
        <w:t>Gut</w:t>
      </w:r>
      <w:r w:rsidRPr="00756206">
        <w:rPr>
          <w:rFonts w:cs="Calibri"/>
          <w:noProof/>
          <w:lang w:val="en-US"/>
        </w:rPr>
        <w:t xml:space="preserve"> </w:t>
      </w:r>
      <w:r w:rsidRPr="00756206">
        <w:rPr>
          <w:rFonts w:cs="Calibri"/>
          <w:b/>
          <w:bCs/>
          <w:noProof/>
          <w:lang w:val="en-US"/>
        </w:rPr>
        <w:t>59</w:t>
      </w:r>
      <w:r w:rsidRPr="00756206">
        <w:rPr>
          <w:rFonts w:cs="Calibri"/>
          <w:noProof/>
          <w:lang w:val="en-US"/>
        </w:rPr>
        <w:t>, 612–621 (2010).</w:t>
      </w:r>
    </w:p>
    <w:p w14:paraId="5BF9CF45"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84.</w:t>
      </w:r>
      <w:r w:rsidRPr="00756206">
        <w:rPr>
          <w:rFonts w:cs="Calibri"/>
          <w:noProof/>
          <w:lang w:val="en-US"/>
        </w:rPr>
        <w:tab/>
        <w:t xml:space="preserve">Stewart, T., Beyak, M. J. &amp; Vanner, S. Ileitis modulates potassium and sodium currents in guinea pig dorsal root ganglia sensory neurons. </w:t>
      </w:r>
      <w:r w:rsidRPr="00756206">
        <w:rPr>
          <w:rFonts w:cs="Calibri"/>
          <w:i/>
          <w:iCs/>
          <w:noProof/>
          <w:lang w:val="en-US"/>
        </w:rPr>
        <w:t>J. Physiol.</w:t>
      </w:r>
      <w:r w:rsidRPr="00756206">
        <w:rPr>
          <w:rFonts w:cs="Calibri"/>
          <w:noProof/>
          <w:lang w:val="en-US"/>
        </w:rPr>
        <w:t xml:space="preserve"> </w:t>
      </w:r>
      <w:r w:rsidRPr="00756206">
        <w:rPr>
          <w:rFonts w:cs="Calibri"/>
          <w:b/>
          <w:bCs/>
          <w:noProof/>
          <w:lang w:val="en-US"/>
        </w:rPr>
        <w:t>552</w:t>
      </w:r>
      <w:r w:rsidRPr="00756206">
        <w:rPr>
          <w:rFonts w:cs="Calibri"/>
          <w:noProof/>
          <w:lang w:val="en-US"/>
        </w:rPr>
        <w:t>, 797–807 (2003).</w:t>
      </w:r>
    </w:p>
    <w:p w14:paraId="199182EE"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85.</w:t>
      </w:r>
      <w:r w:rsidRPr="00756206">
        <w:rPr>
          <w:rFonts w:cs="Calibri"/>
          <w:noProof/>
          <w:lang w:val="en-US"/>
        </w:rPr>
        <w:tab/>
        <w:t xml:space="preserve">Moore, B. A., Stewart, T. M. R., Hill, C. &amp; Vanner, S. J. TNBS ileitis evokes hyperexcitability and changes in ionic membrane properties of nociceptive DRG neurons. </w:t>
      </w:r>
      <w:r w:rsidRPr="00756206">
        <w:rPr>
          <w:rFonts w:cs="Calibri"/>
          <w:i/>
          <w:iCs/>
          <w:noProof/>
          <w:lang w:val="en-US"/>
        </w:rPr>
        <w:t>Am. J. Physiol. Gastrointest. liver Physiol.</w:t>
      </w:r>
      <w:r w:rsidRPr="00756206">
        <w:rPr>
          <w:rFonts w:cs="Calibri"/>
          <w:noProof/>
          <w:lang w:val="en-US"/>
        </w:rPr>
        <w:t xml:space="preserve"> </w:t>
      </w:r>
      <w:r w:rsidRPr="00756206">
        <w:rPr>
          <w:rFonts w:cs="Calibri"/>
          <w:b/>
          <w:bCs/>
          <w:noProof/>
          <w:lang w:val="en-US"/>
        </w:rPr>
        <w:t>282</w:t>
      </w:r>
      <w:r w:rsidRPr="00756206">
        <w:rPr>
          <w:rFonts w:cs="Calibri"/>
          <w:noProof/>
          <w:lang w:val="en-US"/>
        </w:rPr>
        <w:t>, G1045-51 (2002).</w:t>
      </w:r>
    </w:p>
    <w:p w14:paraId="7E589769"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86.</w:t>
      </w:r>
      <w:r w:rsidRPr="00756206">
        <w:rPr>
          <w:rFonts w:cs="Calibri"/>
          <w:noProof/>
          <w:lang w:val="en-US"/>
        </w:rPr>
        <w:tab/>
        <w:t xml:space="preserve">Ibeakanma, C. </w:t>
      </w:r>
      <w:r w:rsidRPr="00756206">
        <w:rPr>
          <w:rFonts w:cs="Calibri"/>
          <w:i/>
          <w:iCs/>
          <w:noProof/>
          <w:lang w:val="en-US"/>
        </w:rPr>
        <w:t>et al.</w:t>
      </w:r>
      <w:r w:rsidRPr="00756206">
        <w:rPr>
          <w:rFonts w:cs="Calibri"/>
          <w:noProof/>
          <w:lang w:val="en-US"/>
        </w:rPr>
        <w:t xml:space="preserve"> Brain-Gut interactions increase peripheral nociceptive signaling in mice with postinfectious irritable bowel syndrome.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141</w:t>
      </w:r>
      <w:r w:rsidRPr="00756206">
        <w:rPr>
          <w:rFonts w:cs="Calibri"/>
          <w:noProof/>
          <w:lang w:val="en-US"/>
        </w:rPr>
        <w:t>, 2098–2108 (2011).</w:t>
      </w:r>
    </w:p>
    <w:p w14:paraId="27B584C4"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87.</w:t>
      </w:r>
      <w:r w:rsidRPr="00756206">
        <w:rPr>
          <w:rFonts w:cs="Calibri"/>
          <w:noProof/>
          <w:lang w:val="en-US"/>
        </w:rPr>
        <w:tab/>
        <w:t xml:space="preserve">Denadai-Souza, A. </w:t>
      </w:r>
      <w:r w:rsidRPr="00756206">
        <w:rPr>
          <w:rFonts w:cs="Calibri"/>
          <w:i/>
          <w:iCs/>
          <w:noProof/>
          <w:lang w:val="en-US"/>
        </w:rPr>
        <w:t>et al.</w:t>
      </w:r>
      <w:r w:rsidRPr="00756206">
        <w:rPr>
          <w:rFonts w:cs="Calibri"/>
          <w:noProof/>
          <w:lang w:val="en-US"/>
        </w:rPr>
        <w:t xml:space="preserve"> Functional Proteomic Profiling of Secreted Serine Proteases in Health and Inflammatory Bowel Disease. </w:t>
      </w:r>
      <w:r w:rsidRPr="00756206">
        <w:rPr>
          <w:rFonts w:cs="Calibri"/>
          <w:i/>
          <w:iCs/>
          <w:noProof/>
          <w:lang w:val="en-US"/>
        </w:rPr>
        <w:t>Sci. Rep.</w:t>
      </w:r>
      <w:r w:rsidRPr="00756206">
        <w:rPr>
          <w:rFonts w:cs="Calibri"/>
          <w:noProof/>
          <w:lang w:val="en-US"/>
        </w:rPr>
        <w:t xml:space="preserve"> </w:t>
      </w:r>
      <w:r w:rsidRPr="00756206">
        <w:rPr>
          <w:rFonts w:cs="Calibri"/>
          <w:b/>
          <w:bCs/>
          <w:noProof/>
          <w:lang w:val="en-US"/>
        </w:rPr>
        <w:t>8</w:t>
      </w:r>
      <w:r w:rsidRPr="00756206">
        <w:rPr>
          <w:rFonts w:cs="Calibri"/>
          <w:noProof/>
          <w:lang w:val="en-US"/>
        </w:rPr>
        <w:t>, 7834 (2018).</w:t>
      </w:r>
    </w:p>
    <w:p w14:paraId="79B32326"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88.</w:t>
      </w:r>
      <w:r w:rsidRPr="00756206">
        <w:rPr>
          <w:rFonts w:cs="Calibri"/>
          <w:noProof/>
          <w:lang w:val="en-US"/>
        </w:rPr>
        <w:tab/>
        <w:t xml:space="preserve">Denadai-Souza, A. </w:t>
      </w:r>
      <w:r w:rsidRPr="00756206">
        <w:rPr>
          <w:rFonts w:cs="Calibri"/>
          <w:i/>
          <w:iCs/>
          <w:noProof/>
          <w:lang w:val="en-US"/>
        </w:rPr>
        <w:t>et al.</w:t>
      </w:r>
      <w:r w:rsidRPr="00756206">
        <w:rPr>
          <w:rFonts w:cs="Calibri"/>
          <w:noProof/>
          <w:lang w:val="en-US"/>
        </w:rPr>
        <w:t xml:space="preserve"> Effect of tryptase inhibition on joint inflammation: A pharmacological and </w:t>
      </w:r>
      <w:r w:rsidRPr="00756206">
        <w:rPr>
          <w:rFonts w:cs="Calibri"/>
          <w:noProof/>
          <w:lang w:val="en-US"/>
        </w:rPr>
        <w:lastRenderedPageBreak/>
        <w:t xml:space="preserve">lentivirus-mediated gene transfer study. </w:t>
      </w:r>
      <w:r w:rsidRPr="00756206">
        <w:rPr>
          <w:rFonts w:cs="Calibri"/>
          <w:i/>
          <w:iCs/>
          <w:noProof/>
          <w:lang w:val="en-US"/>
        </w:rPr>
        <w:t>Arthritis Res. Ther.</w:t>
      </w:r>
      <w:r w:rsidRPr="00756206">
        <w:rPr>
          <w:rFonts w:cs="Calibri"/>
          <w:noProof/>
          <w:lang w:val="en-US"/>
        </w:rPr>
        <w:t xml:space="preserve"> </w:t>
      </w:r>
      <w:r w:rsidRPr="00756206">
        <w:rPr>
          <w:rFonts w:cs="Calibri"/>
          <w:b/>
          <w:bCs/>
          <w:noProof/>
          <w:lang w:val="en-US"/>
        </w:rPr>
        <w:t>19</w:t>
      </w:r>
      <w:r w:rsidRPr="00756206">
        <w:rPr>
          <w:rFonts w:cs="Calibri"/>
          <w:noProof/>
          <w:lang w:val="en-US"/>
        </w:rPr>
        <w:t>, 124 (2017).</w:t>
      </w:r>
    </w:p>
    <w:p w14:paraId="685861BD" w14:textId="77777777" w:rsidR="00756206" w:rsidRPr="00756206"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89.</w:t>
      </w:r>
      <w:r w:rsidRPr="00756206">
        <w:rPr>
          <w:rFonts w:cs="Calibri"/>
          <w:noProof/>
          <w:lang w:val="en-US"/>
        </w:rPr>
        <w:tab/>
        <w:t xml:space="preserve">Roskin, K. M. </w:t>
      </w:r>
      <w:r w:rsidRPr="00756206">
        <w:rPr>
          <w:rFonts w:cs="Calibri"/>
          <w:i/>
          <w:iCs/>
          <w:noProof/>
          <w:lang w:val="en-US"/>
        </w:rPr>
        <w:t>et al.</w:t>
      </w:r>
      <w:r w:rsidRPr="00756206">
        <w:rPr>
          <w:rFonts w:cs="Calibri"/>
          <w:noProof/>
          <w:lang w:val="en-US"/>
        </w:rPr>
        <w:t xml:space="preserve"> IgH sequences in common variable immune deficiency reveal altered B cell development and selection. </w:t>
      </w:r>
      <w:r w:rsidRPr="00756206">
        <w:rPr>
          <w:rFonts w:cs="Calibri"/>
          <w:i/>
          <w:iCs/>
          <w:noProof/>
          <w:lang w:val="en-US"/>
        </w:rPr>
        <w:t>Sci. Transl. Med.</w:t>
      </w:r>
      <w:r w:rsidRPr="00756206">
        <w:rPr>
          <w:rFonts w:cs="Calibri"/>
          <w:noProof/>
          <w:lang w:val="en-US"/>
        </w:rPr>
        <w:t xml:space="preserve"> </w:t>
      </w:r>
      <w:r w:rsidRPr="00756206">
        <w:rPr>
          <w:rFonts w:cs="Calibri"/>
          <w:b/>
          <w:bCs/>
          <w:noProof/>
          <w:lang w:val="en-US"/>
        </w:rPr>
        <w:t>7</w:t>
      </w:r>
      <w:r w:rsidRPr="00756206">
        <w:rPr>
          <w:rFonts w:cs="Calibri"/>
          <w:noProof/>
          <w:lang w:val="en-US"/>
        </w:rPr>
        <w:t>, 302ra135 (2015).</w:t>
      </w:r>
    </w:p>
    <w:p w14:paraId="21AA7018" w14:textId="77777777" w:rsidR="00756206" w:rsidRPr="00963325" w:rsidRDefault="00756206" w:rsidP="00756206">
      <w:pPr>
        <w:widowControl w:val="0"/>
        <w:autoSpaceDE w:val="0"/>
        <w:autoSpaceDN w:val="0"/>
        <w:adjustRightInd w:val="0"/>
        <w:spacing w:after="120" w:line="240" w:lineRule="auto"/>
        <w:ind w:left="640" w:hanging="640"/>
        <w:rPr>
          <w:rFonts w:cs="Calibri"/>
          <w:noProof/>
          <w:lang w:val="en-US"/>
        </w:rPr>
      </w:pPr>
      <w:r w:rsidRPr="00756206">
        <w:rPr>
          <w:rFonts w:cs="Calibri"/>
          <w:noProof/>
          <w:lang w:val="en-US"/>
        </w:rPr>
        <w:t>90.</w:t>
      </w:r>
      <w:r w:rsidRPr="00756206">
        <w:rPr>
          <w:rFonts w:cs="Calibri"/>
          <w:noProof/>
          <w:lang w:val="en-US"/>
        </w:rPr>
        <w:tab/>
        <w:t xml:space="preserve">Warners, M. J. </w:t>
      </w:r>
      <w:r w:rsidRPr="00756206">
        <w:rPr>
          <w:rFonts w:cs="Calibri"/>
          <w:i/>
          <w:iCs/>
          <w:noProof/>
          <w:lang w:val="en-US"/>
        </w:rPr>
        <w:t>et al.</w:t>
      </w:r>
      <w:r w:rsidRPr="00756206">
        <w:rPr>
          <w:rFonts w:cs="Calibri"/>
          <w:noProof/>
          <w:lang w:val="en-US"/>
        </w:rPr>
        <w:t xml:space="preserve"> Abnormal Responses to Local Esophageal Food Allergen Injections in Adult Patients With Eosinophilic Esophagitis. </w:t>
      </w:r>
      <w:r w:rsidRPr="00756206">
        <w:rPr>
          <w:rFonts w:cs="Calibri"/>
          <w:i/>
          <w:iCs/>
          <w:noProof/>
          <w:lang w:val="en-US"/>
        </w:rPr>
        <w:t>Gastroenterology</w:t>
      </w:r>
      <w:r w:rsidRPr="00756206">
        <w:rPr>
          <w:rFonts w:cs="Calibri"/>
          <w:noProof/>
          <w:lang w:val="en-US"/>
        </w:rPr>
        <w:t xml:space="preserve"> </w:t>
      </w:r>
      <w:r w:rsidRPr="00756206">
        <w:rPr>
          <w:rFonts w:cs="Calibri"/>
          <w:b/>
          <w:bCs/>
          <w:noProof/>
          <w:lang w:val="en-US"/>
        </w:rPr>
        <w:t>154</w:t>
      </w:r>
      <w:r w:rsidRPr="00756206">
        <w:rPr>
          <w:rFonts w:cs="Calibri"/>
          <w:noProof/>
          <w:lang w:val="en-US"/>
        </w:rPr>
        <w:t>, 57-60.e2 (2018).</w:t>
      </w:r>
    </w:p>
    <w:p w14:paraId="619B7148" w14:textId="229B19CB" w:rsidR="002D4F8A" w:rsidRDefault="000178ED" w:rsidP="00756206">
      <w:pPr>
        <w:widowControl w:val="0"/>
        <w:autoSpaceDE w:val="0"/>
        <w:autoSpaceDN w:val="0"/>
        <w:adjustRightInd w:val="0"/>
        <w:spacing w:after="120" w:line="240" w:lineRule="auto"/>
        <w:ind w:left="640" w:hanging="640"/>
        <w:rPr>
          <w:b/>
          <w:color w:val="000000" w:themeColor="text1"/>
          <w:lang w:val="en-US"/>
        </w:rPr>
      </w:pPr>
      <w:r w:rsidRPr="00BA6F83">
        <w:rPr>
          <w:b/>
          <w:color w:val="000000" w:themeColor="text1"/>
          <w:lang w:val="en-US"/>
        </w:rPr>
        <w:fldChar w:fldCharType="end"/>
      </w:r>
      <w:bookmarkStart w:id="20" w:name="OLE_LINK38"/>
      <w:bookmarkEnd w:id="14"/>
    </w:p>
    <w:p w14:paraId="7604842E" w14:textId="1C022CEE" w:rsidR="00F76314" w:rsidRDefault="00F76314" w:rsidP="00CE2959">
      <w:pPr>
        <w:widowControl w:val="0"/>
        <w:autoSpaceDE w:val="0"/>
        <w:autoSpaceDN w:val="0"/>
        <w:adjustRightInd w:val="0"/>
        <w:spacing w:after="120" w:line="240" w:lineRule="auto"/>
        <w:rPr>
          <w:b/>
          <w:color w:val="000000" w:themeColor="text1"/>
          <w:lang w:val="en-US"/>
        </w:rPr>
      </w:pPr>
    </w:p>
    <w:p w14:paraId="1A8274B0" w14:textId="2B3855AD" w:rsidR="00F76314" w:rsidRDefault="00F76314">
      <w:pPr>
        <w:spacing w:after="160" w:line="259" w:lineRule="auto"/>
        <w:rPr>
          <w:b/>
          <w:color w:val="000000" w:themeColor="text1"/>
          <w:lang w:val="en-US"/>
        </w:rPr>
      </w:pPr>
      <w:r>
        <w:rPr>
          <w:b/>
          <w:color w:val="000000" w:themeColor="text1"/>
          <w:lang w:val="en-US"/>
        </w:rPr>
        <w:br w:type="page"/>
      </w:r>
    </w:p>
    <w:p w14:paraId="588B13D8" w14:textId="77777777" w:rsidR="00F76314" w:rsidRPr="00BA6F83" w:rsidRDefault="00F76314" w:rsidP="00F76314">
      <w:pPr>
        <w:pStyle w:val="Default"/>
        <w:spacing w:after="120" w:line="480" w:lineRule="auto"/>
        <w:jc w:val="both"/>
        <w:rPr>
          <w:rFonts w:ascii="Calibri" w:eastAsia="Calibri" w:hAnsi="Calibri" w:cstheme="minorHAnsi"/>
          <w:b/>
          <w:color w:val="000000" w:themeColor="text1"/>
          <w:sz w:val="22"/>
          <w:szCs w:val="22"/>
          <w:u w:val="single"/>
        </w:rPr>
      </w:pPr>
      <w:r w:rsidRPr="00BA6F83">
        <w:rPr>
          <w:rFonts w:ascii="Calibri" w:eastAsia="Calibri" w:hAnsi="Calibri" w:cstheme="minorHAnsi"/>
          <w:b/>
          <w:color w:val="000000" w:themeColor="text1"/>
          <w:sz w:val="22"/>
          <w:szCs w:val="22"/>
          <w:u w:val="single"/>
        </w:rPr>
        <w:lastRenderedPageBreak/>
        <w:t>ACKNOWLEDGMENTS</w:t>
      </w:r>
    </w:p>
    <w:p w14:paraId="6A85218E" w14:textId="77777777" w:rsidR="00F76314" w:rsidRPr="00BA6F83" w:rsidRDefault="00F76314" w:rsidP="00F76314">
      <w:pPr>
        <w:spacing w:after="120" w:line="480" w:lineRule="auto"/>
        <w:jc w:val="both"/>
        <w:rPr>
          <w:color w:val="000000" w:themeColor="text1"/>
          <w:lang w:val="en-US"/>
        </w:rPr>
      </w:pPr>
      <w:r w:rsidRPr="00BA6F83">
        <w:rPr>
          <w:rFonts w:cstheme="minorHAnsi"/>
          <w:color w:val="000000" w:themeColor="text1"/>
          <w:lang w:val="en-US"/>
        </w:rPr>
        <w:t xml:space="preserve">We thank I. </w:t>
      </w:r>
      <w:proofErr w:type="spellStart"/>
      <w:r w:rsidRPr="00BA6F83">
        <w:rPr>
          <w:rFonts w:cstheme="minorHAnsi"/>
          <w:color w:val="000000" w:themeColor="text1"/>
          <w:lang w:val="en-US"/>
        </w:rPr>
        <w:t>Croux</w:t>
      </w:r>
      <w:proofErr w:type="spellEnd"/>
      <w:r w:rsidRPr="00BA6F83">
        <w:rPr>
          <w:rFonts w:cstheme="minorHAnsi"/>
          <w:color w:val="000000" w:themeColor="text1"/>
          <w:lang w:val="en-US"/>
        </w:rPr>
        <w:t xml:space="preserve"> and R. De Keyser for technical assistance. Also, L. </w:t>
      </w:r>
      <w:proofErr w:type="spellStart"/>
      <w:r w:rsidRPr="00BA6F83">
        <w:rPr>
          <w:rFonts w:cstheme="minorHAnsi"/>
          <w:color w:val="000000" w:themeColor="text1"/>
          <w:lang w:val="en-US"/>
        </w:rPr>
        <w:t>Beullens</w:t>
      </w:r>
      <w:proofErr w:type="spellEnd"/>
      <w:r w:rsidRPr="00BA6F83">
        <w:rPr>
          <w:rFonts w:cstheme="minorHAnsi"/>
          <w:color w:val="000000" w:themeColor="text1"/>
          <w:lang w:val="en-US"/>
        </w:rPr>
        <w:t xml:space="preserve">, A.W. </w:t>
      </w:r>
      <w:proofErr w:type="spellStart"/>
      <w:r w:rsidRPr="00BA6F83">
        <w:rPr>
          <w:rFonts w:cstheme="minorHAnsi"/>
          <w:color w:val="000000" w:themeColor="text1"/>
          <w:lang w:val="en-US"/>
        </w:rPr>
        <w:t>Essilfie</w:t>
      </w:r>
      <w:bookmarkStart w:id="21" w:name="_Hlk11163320"/>
      <w:proofErr w:type="spellEnd"/>
      <w:r w:rsidRPr="00BA6F83">
        <w:rPr>
          <w:rFonts w:cstheme="minorHAnsi"/>
          <w:color w:val="000000" w:themeColor="text1"/>
          <w:lang w:val="en-US"/>
        </w:rPr>
        <w:t xml:space="preserve">, </w:t>
      </w:r>
      <w:r w:rsidRPr="00BA6F83">
        <w:rPr>
          <w:color w:val="000000" w:themeColor="text1"/>
          <w:lang w:val="en-US"/>
        </w:rPr>
        <w:t xml:space="preserve">H. </w:t>
      </w:r>
      <w:proofErr w:type="spellStart"/>
      <w:r w:rsidRPr="00BA6F83">
        <w:rPr>
          <w:color w:val="000000" w:themeColor="text1"/>
          <w:lang w:val="en-US"/>
        </w:rPr>
        <w:t>Willekens</w:t>
      </w:r>
      <w:bookmarkEnd w:id="21"/>
      <w:proofErr w:type="spellEnd"/>
      <w:r w:rsidRPr="00BA6F83">
        <w:rPr>
          <w:rFonts w:cstheme="minorHAnsi"/>
          <w:color w:val="000000" w:themeColor="text1"/>
          <w:lang w:val="en-US"/>
        </w:rPr>
        <w:t xml:space="preserve"> and H. </w:t>
      </w:r>
      <w:proofErr w:type="spellStart"/>
      <w:r w:rsidRPr="00BA6F83">
        <w:rPr>
          <w:rFonts w:cstheme="minorHAnsi"/>
          <w:color w:val="000000" w:themeColor="text1"/>
          <w:lang w:val="en-US"/>
        </w:rPr>
        <w:t>Volkaerts</w:t>
      </w:r>
      <w:proofErr w:type="spellEnd"/>
      <w:r w:rsidRPr="00BA6F83">
        <w:rPr>
          <w:rFonts w:cstheme="minorHAnsi"/>
          <w:color w:val="000000" w:themeColor="text1"/>
          <w:lang w:val="en-US"/>
        </w:rPr>
        <w:t xml:space="preserve"> for nursing assistance in the studies involving human patients. We also thank M. </w:t>
      </w:r>
      <w:proofErr w:type="spellStart"/>
      <w:r w:rsidRPr="00BA6F83">
        <w:rPr>
          <w:rFonts w:cstheme="minorHAnsi"/>
          <w:color w:val="000000" w:themeColor="text1"/>
          <w:lang w:val="en-US"/>
        </w:rPr>
        <w:t>Rasulova</w:t>
      </w:r>
      <w:proofErr w:type="spellEnd"/>
      <w:r w:rsidRPr="00BA6F83">
        <w:rPr>
          <w:rFonts w:cstheme="minorHAnsi"/>
          <w:color w:val="000000" w:themeColor="text1"/>
          <w:lang w:val="en-US"/>
        </w:rPr>
        <w:t xml:space="preserve"> (</w:t>
      </w:r>
      <w:proofErr w:type="spellStart"/>
      <w:r w:rsidRPr="00BA6F83">
        <w:rPr>
          <w:rFonts w:cstheme="minorHAnsi"/>
          <w:color w:val="000000" w:themeColor="text1"/>
          <w:lang w:val="en-US"/>
        </w:rPr>
        <w:t>Rega</w:t>
      </w:r>
      <w:proofErr w:type="spellEnd"/>
      <w:r w:rsidRPr="00BA6F83">
        <w:rPr>
          <w:rFonts w:cstheme="minorHAnsi"/>
          <w:color w:val="000000" w:themeColor="text1"/>
          <w:lang w:val="en-US"/>
        </w:rPr>
        <w:t xml:space="preserve"> Institute, KU Leuven, Belgium) for assistance with ELISpot plate read-out. Moreover, we thank the Cell and Tissue Imaging Cluster for the use of the NIKON inverted </w:t>
      </w:r>
      <w:proofErr w:type="spellStart"/>
      <w:r w:rsidRPr="00BA6F83">
        <w:rPr>
          <w:rFonts w:cstheme="minorHAnsi"/>
          <w:color w:val="000000" w:themeColor="text1"/>
          <w:lang w:val="en-US"/>
        </w:rPr>
        <w:t>TillVision</w:t>
      </w:r>
      <w:proofErr w:type="spellEnd"/>
      <w:r w:rsidRPr="00BA6F83">
        <w:rPr>
          <w:rFonts w:cstheme="minorHAnsi"/>
          <w:color w:val="000000" w:themeColor="text1"/>
          <w:lang w:val="en-US"/>
        </w:rPr>
        <w:t xml:space="preserve"> microscope, epifluorescence microscope BX 41 Olympus and Zeiss LSM880 – </w:t>
      </w:r>
      <w:proofErr w:type="spellStart"/>
      <w:r w:rsidRPr="00BA6F83">
        <w:rPr>
          <w:rFonts w:cstheme="minorHAnsi"/>
          <w:color w:val="000000" w:themeColor="text1"/>
          <w:lang w:val="en-US"/>
        </w:rPr>
        <w:t>Airyscan</w:t>
      </w:r>
      <w:proofErr w:type="spellEnd"/>
      <w:r w:rsidRPr="00BA6F83">
        <w:rPr>
          <w:rFonts w:cstheme="minorHAnsi"/>
          <w:color w:val="000000" w:themeColor="text1"/>
          <w:lang w:val="en-US"/>
        </w:rPr>
        <w:t xml:space="preserve"> confocal microscope (Cell and Tissue Imaging Cluster, CIC, Supported by Hercules AKUL/15/37_GOH1816N and FWO G.0929.15 to Prof. Pieter Vanden </w:t>
      </w:r>
      <w:proofErr w:type="spellStart"/>
      <w:r w:rsidRPr="00BA6F83">
        <w:rPr>
          <w:rFonts w:cstheme="minorHAnsi"/>
          <w:color w:val="000000" w:themeColor="text1"/>
          <w:lang w:val="en-US"/>
        </w:rPr>
        <w:t>Berghe</w:t>
      </w:r>
      <w:proofErr w:type="spellEnd"/>
      <w:r w:rsidRPr="00BA6F83">
        <w:rPr>
          <w:rFonts w:cstheme="minorHAnsi"/>
          <w:color w:val="000000" w:themeColor="text1"/>
          <w:lang w:val="en-US"/>
        </w:rPr>
        <w:t xml:space="preserve">, KU Leuven). Flow cytometry was done at the FACS Core facility (KU Leuven, Belgium) and we would like to thank Pier </w:t>
      </w:r>
      <w:proofErr w:type="spellStart"/>
      <w:r w:rsidRPr="00BA6F83">
        <w:rPr>
          <w:rFonts w:cstheme="minorHAnsi"/>
          <w:color w:val="000000" w:themeColor="text1"/>
          <w:lang w:val="en-US"/>
        </w:rPr>
        <w:t>Andrée</w:t>
      </w:r>
      <w:proofErr w:type="spellEnd"/>
      <w:r w:rsidRPr="00BA6F83">
        <w:rPr>
          <w:rFonts w:cstheme="minorHAnsi"/>
          <w:color w:val="000000" w:themeColor="text1"/>
          <w:lang w:val="en-US"/>
        </w:rPr>
        <w:t xml:space="preserve"> </w:t>
      </w:r>
      <w:proofErr w:type="spellStart"/>
      <w:r w:rsidRPr="00BA6F83">
        <w:rPr>
          <w:rFonts w:cstheme="minorHAnsi"/>
          <w:color w:val="000000" w:themeColor="text1"/>
          <w:lang w:val="en-US"/>
        </w:rPr>
        <w:t>Penttila</w:t>
      </w:r>
      <w:proofErr w:type="spellEnd"/>
      <w:r w:rsidRPr="00BA6F83">
        <w:rPr>
          <w:rFonts w:cstheme="minorHAnsi"/>
          <w:color w:val="000000" w:themeColor="text1"/>
          <w:lang w:val="en-US"/>
        </w:rPr>
        <w:t xml:space="preserve"> and Pradeep Kumar for their excellent technical assistance. Also, we thank National Reference Centre (NRC) for </w:t>
      </w:r>
      <w:r w:rsidRPr="00BA6F83">
        <w:rPr>
          <w:rFonts w:cstheme="minorHAnsi"/>
          <w:i/>
          <w:color w:val="000000" w:themeColor="text1"/>
          <w:lang w:val="en-US"/>
        </w:rPr>
        <w:t>Staphylococcus</w:t>
      </w:r>
      <w:r w:rsidRPr="00BA6F83">
        <w:rPr>
          <w:rFonts w:cstheme="minorHAnsi"/>
          <w:color w:val="000000" w:themeColor="text1"/>
          <w:lang w:val="en-US"/>
        </w:rPr>
        <w:t xml:space="preserve"> </w:t>
      </w:r>
      <w:r w:rsidRPr="00BA6F83">
        <w:rPr>
          <w:rFonts w:cstheme="minorHAnsi"/>
          <w:i/>
          <w:color w:val="000000" w:themeColor="text1"/>
          <w:lang w:val="en-US"/>
        </w:rPr>
        <w:t>aureus</w:t>
      </w:r>
      <w:r w:rsidRPr="00BA6F83">
        <w:rPr>
          <w:rFonts w:cstheme="minorHAnsi"/>
          <w:color w:val="000000" w:themeColor="text1"/>
          <w:lang w:val="en-US"/>
        </w:rPr>
        <w:t xml:space="preserve"> of </w:t>
      </w:r>
      <w:proofErr w:type="spellStart"/>
      <w:r w:rsidRPr="00BA6F83">
        <w:rPr>
          <w:rFonts w:cstheme="minorHAnsi"/>
          <w:color w:val="000000" w:themeColor="text1"/>
          <w:lang w:val="en-US"/>
        </w:rPr>
        <w:t>Université</w:t>
      </w:r>
      <w:proofErr w:type="spellEnd"/>
      <w:r w:rsidRPr="00BA6F83">
        <w:rPr>
          <w:rFonts w:cstheme="minorHAnsi"/>
          <w:color w:val="000000" w:themeColor="text1"/>
          <w:lang w:val="en-US"/>
        </w:rPr>
        <w:t xml:space="preserve"> Libre de </w:t>
      </w:r>
      <w:proofErr w:type="spellStart"/>
      <w:r w:rsidRPr="00BA6F83">
        <w:rPr>
          <w:rFonts w:cstheme="minorHAnsi"/>
          <w:color w:val="000000" w:themeColor="text1"/>
          <w:lang w:val="en-US"/>
        </w:rPr>
        <w:t>Bruxelles</w:t>
      </w:r>
      <w:proofErr w:type="spellEnd"/>
      <w:r w:rsidRPr="00BA6F83">
        <w:rPr>
          <w:rFonts w:cstheme="minorHAnsi"/>
          <w:color w:val="000000" w:themeColor="text1"/>
          <w:lang w:val="en-US"/>
        </w:rPr>
        <w:t xml:space="preserve"> (ULB) (Belgium) for kindly providing </w:t>
      </w:r>
      <w:proofErr w:type="spellStart"/>
      <w:r w:rsidRPr="00BA6F83">
        <w:rPr>
          <w:rFonts w:cstheme="minorHAnsi"/>
          <w:color w:val="000000" w:themeColor="text1"/>
          <w:lang w:val="en-US"/>
        </w:rPr>
        <w:t>SAgs</w:t>
      </w:r>
      <w:proofErr w:type="spellEnd"/>
      <w:r w:rsidRPr="00BA6F83">
        <w:rPr>
          <w:rFonts w:cstheme="minorHAnsi"/>
          <w:color w:val="000000" w:themeColor="text1"/>
          <w:lang w:val="en-US"/>
        </w:rPr>
        <w:t xml:space="preserve">-positive </w:t>
      </w:r>
      <w:r w:rsidRPr="00BA6F83">
        <w:rPr>
          <w:rFonts w:cstheme="minorHAnsi"/>
          <w:i/>
          <w:color w:val="000000" w:themeColor="text1"/>
          <w:lang w:val="en-US"/>
        </w:rPr>
        <w:t>Staphylococcus aureus</w:t>
      </w:r>
      <w:r w:rsidRPr="00BA6F83">
        <w:rPr>
          <w:rFonts w:cstheme="minorHAnsi"/>
          <w:color w:val="000000" w:themeColor="text1"/>
          <w:lang w:val="en-US"/>
        </w:rPr>
        <w:t xml:space="preserve"> strains; and Genentech for providing IgG2a anti-CD20 antibody and its isotype control.</w:t>
      </w:r>
      <w:r w:rsidRPr="00BA6F83">
        <w:rPr>
          <w:color w:val="000000" w:themeColor="text1"/>
          <w:lang w:val="en-US"/>
        </w:rPr>
        <w:t xml:space="preserve"> MVF, MFV and DB were supported by an FWO PhD fellowship 1110019N, 11C2219N and 1127415N, respectively). CB is supported by the Clinical Research Fund, University Hospitals, Leuven. </w:t>
      </w:r>
      <w:r>
        <w:rPr>
          <w:color w:val="000000" w:themeColor="text1"/>
          <w:lang w:val="en-US"/>
        </w:rPr>
        <w:t xml:space="preserve">JAL, </w:t>
      </w:r>
      <w:r w:rsidRPr="00BA6F83">
        <w:rPr>
          <w:color w:val="000000" w:themeColor="text1"/>
          <w:lang w:val="en-US"/>
        </w:rPr>
        <w:t>MMW, PJ, NS and YAA were supported by an FWO postdoctoral fellowship (</w:t>
      </w:r>
      <w:r w:rsidRPr="00E33604">
        <w:rPr>
          <w:color w:val="000000" w:themeColor="text1"/>
          <w:lang w:val="en-US"/>
        </w:rPr>
        <w:t>12X9820N</w:t>
      </w:r>
      <w:r>
        <w:rPr>
          <w:color w:val="000000" w:themeColor="text1"/>
          <w:lang w:val="en-US"/>
        </w:rPr>
        <w:t xml:space="preserve">, </w:t>
      </w:r>
      <w:r w:rsidRPr="00BA6F83">
        <w:rPr>
          <w:color w:val="000000" w:themeColor="text1"/>
          <w:lang w:val="en-US"/>
        </w:rPr>
        <w:t xml:space="preserve">1248513N, 12R5219N, 12V3619N and </w:t>
      </w:r>
      <w:r w:rsidRPr="00F415F4">
        <w:rPr>
          <w:color w:val="000000" w:themeColor="text1"/>
          <w:lang w:val="en-US"/>
        </w:rPr>
        <w:t>12H8220N</w:t>
      </w:r>
      <w:r w:rsidRPr="00BA6F83">
        <w:rPr>
          <w:color w:val="000000" w:themeColor="text1"/>
          <w:lang w:val="en-US"/>
        </w:rPr>
        <w:t>, respectively). TBF and H-RR were supported by SFB-TRR156-A07. SDB is supported by the NIH grant NIAID R01 AI125567 and an endowment from the Crown Family Foundation. GEB was funded by a KU Leuven university grant (Global Opportunities for Associations GOA 14.011, C14/18/086) and FWO grant (G0A9516N).</w:t>
      </w:r>
    </w:p>
    <w:p w14:paraId="1065277F" w14:textId="77777777" w:rsidR="00F76314" w:rsidRPr="00BA6F83" w:rsidRDefault="00F76314" w:rsidP="00F76314">
      <w:pPr>
        <w:pStyle w:val="Default"/>
        <w:spacing w:after="120" w:line="480" w:lineRule="auto"/>
        <w:jc w:val="both"/>
        <w:rPr>
          <w:rFonts w:ascii="Calibri" w:eastAsia="Calibri" w:hAnsi="Calibri" w:cstheme="minorHAnsi"/>
          <w:b/>
          <w:color w:val="000000" w:themeColor="text1"/>
          <w:sz w:val="22"/>
          <w:szCs w:val="22"/>
          <w:u w:val="single"/>
        </w:rPr>
      </w:pPr>
    </w:p>
    <w:p w14:paraId="13A8DDA0" w14:textId="77777777" w:rsidR="00F76314" w:rsidRPr="00BA6F83" w:rsidRDefault="00F76314" w:rsidP="00F76314">
      <w:pPr>
        <w:pStyle w:val="Default"/>
        <w:spacing w:after="120" w:line="480" w:lineRule="auto"/>
        <w:jc w:val="both"/>
        <w:rPr>
          <w:rFonts w:ascii="Calibri" w:eastAsia="Calibri" w:hAnsi="Calibri" w:cstheme="minorHAnsi"/>
          <w:b/>
          <w:color w:val="000000" w:themeColor="text1"/>
          <w:sz w:val="22"/>
          <w:szCs w:val="22"/>
          <w:u w:val="single"/>
        </w:rPr>
      </w:pPr>
      <w:r w:rsidRPr="00BA6F83">
        <w:rPr>
          <w:rFonts w:ascii="Calibri" w:eastAsia="Calibri" w:hAnsi="Calibri" w:cstheme="minorHAnsi"/>
          <w:b/>
          <w:color w:val="000000" w:themeColor="text1"/>
          <w:sz w:val="22"/>
          <w:szCs w:val="22"/>
          <w:u w:val="single"/>
        </w:rPr>
        <w:t>AUTHOR CONTRIBUTIONS</w:t>
      </w:r>
    </w:p>
    <w:p w14:paraId="504AF63A" w14:textId="08EE9484" w:rsidR="00F76314" w:rsidRPr="00BA6F83" w:rsidRDefault="00F76314" w:rsidP="00F76314">
      <w:pPr>
        <w:pStyle w:val="Default"/>
        <w:spacing w:after="120" w:line="480" w:lineRule="auto"/>
        <w:jc w:val="both"/>
        <w:rPr>
          <w:rFonts w:ascii="Calibri" w:eastAsia="Calibri" w:hAnsi="Calibri" w:cstheme="minorHAnsi"/>
          <w:color w:val="000000" w:themeColor="text1"/>
          <w:sz w:val="22"/>
          <w:szCs w:val="22"/>
        </w:rPr>
      </w:pPr>
      <w:r w:rsidRPr="00BA6F83">
        <w:rPr>
          <w:rFonts w:ascii="Calibri" w:eastAsia="Calibri" w:hAnsi="Calibri" w:cstheme="minorHAnsi"/>
          <w:color w:val="000000" w:themeColor="text1"/>
          <w:sz w:val="22"/>
          <w:szCs w:val="22"/>
        </w:rPr>
        <w:t xml:space="preserve">JAL, MVF, </w:t>
      </w:r>
      <w:r w:rsidR="0015683E">
        <w:rPr>
          <w:rFonts w:ascii="Calibri" w:eastAsia="Calibri" w:hAnsi="Calibri" w:cstheme="minorHAnsi"/>
          <w:color w:val="000000" w:themeColor="text1"/>
          <w:sz w:val="22"/>
          <w:szCs w:val="22"/>
        </w:rPr>
        <w:t xml:space="preserve">ADS, </w:t>
      </w:r>
      <w:r w:rsidRPr="00BA6F83">
        <w:rPr>
          <w:rFonts w:ascii="Calibri" w:eastAsia="Calibri" w:hAnsi="Calibri" w:cstheme="minorHAnsi"/>
          <w:color w:val="000000" w:themeColor="text1"/>
          <w:sz w:val="22"/>
          <w:szCs w:val="22"/>
        </w:rPr>
        <w:t xml:space="preserve">MMW and GEB planned and designed the experiments. JAL and MVF performed mice infections, pharmacological treatments and carrying out of </w:t>
      </w:r>
      <w:r w:rsidRPr="00BA6F83">
        <w:rPr>
          <w:rFonts w:ascii="Calibri" w:eastAsia="Calibri" w:hAnsi="Calibri" w:cstheme="minorHAnsi"/>
          <w:i/>
          <w:color w:val="000000" w:themeColor="text1"/>
          <w:sz w:val="22"/>
          <w:szCs w:val="22"/>
        </w:rPr>
        <w:t>in</w:t>
      </w:r>
      <w:r w:rsidRPr="00BA6F83">
        <w:rPr>
          <w:rFonts w:ascii="Calibri" w:eastAsia="Calibri" w:hAnsi="Calibri" w:cstheme="minorHAnsi"/>
          <w:color w:val="000000" w:themeColor="text1"/>
          <w:sz w:val="22"/>
          <w:szCs w:val="22"/>
        </w:rPr>
        <w:t xml:space="preserve"> </w:t>
      </w:r>
      <w:r w:rsidRPr="00BA6F83">
        <w:rPr>
          <w:rFonts w:ascii="Calibri" w:eastAsia="Calibri" w:hAnsi="Calibri" w:cstheme="minorHAnsi"/>
          <w:i/>
          <w:color w:val="000000" w:themeColor="text1"/>
          <w:sz w:val="22"/>
          <w:szCs w:val="22"/>
        </w:rPr>
        <w:t>vivo</w:t>
      </w:r>
      <w:r w:rsidRPr="00BA6F83">
        <w:rPr>
          <w:rFonts w:ascii="Calibri" w:eastAsia="Calibri" w:hAnsi="Calibri" w:cstheme="minorHAnsi"/>
          <w:color w:val="000000" w:themeColor="text1"/>
          <w:sz w:val="22"/>
          <w:szCs w:val="22"/>
        </w:rPr>
        <w:t xml:space="preserve"> animal protocols. JAL</w:t>
      </w:r>
      <w:r w:rsidR="0015683E">
        <w:rPr>
          <w:rFonts w:ascii="Calibri" w:eastAsia="Calibri" w:hAnsi="Calibri" w:cstheme="minorHAnsi"/>
          <w:color w:val="000000" w:themeColor="text1"/>
          <w:sz w:val="22"/>
          <w:szCs w:val="22"/>
        </w:rPr>
        <w:t>,</w:t>
      </w:r>
      <w:r w:rsidRPr="00BA6F83">
        <w:rPr>
          <w:rFonts w:ascii="Calibri" w:eastAsia="Calibri" w:hAnsi="Calibri" w:cstheme="minorHAnsi"/>
          <w:color w:val="000000" w:themeColor="text1"/>
          <w:sz w:val="22"/>
          <w:szCs w:val="22"/>
        </w:rPr>
        <w:t xml:space="preserve"> MVF</w:t>
      </w:r>
      <w:r w:rsidR="0015683E">
        <w:rPr>
          <w:rFonts w:ascii="Calibri" w:eastAsia="Calibri" w:hAnsi="Calibri" w:cstheme="minorHAnsi"/>
          <w:color w:val="000000" w:themeColor="text1"/>
          <w:sz w:val="22"/>
          <w:szCs w:val="22"/>
        </w:rPr>
        <w:t>, IA and MCE</w:t>
      </w:r>
      <w:r w:rsidRPr="00BA6F83">
        <w:rPr>
          <w:rFonts w:ascii="Calibri" w:eastAsia="Calibri" w:hAnsi="Calibri" w:cstheme="minorHAnsi"/>
          <w:color w:val="000000" w:themeColor="text1"/>
          <w:sz w:val="22"/>
          <w:szCs w:val="22"/>
        </w:rPr>
        <w:t xml:space="preserve"> performed immunoglobulin ELISAs. </w:t>
      </w:r>
      <w:r w:rsidR="0015683E">
        <w:rPr>
          <w:rFonts w:ascii="Calibri" w:eastAsia="Calibri" w:hAnsi="Calibri" w:cstheme="minorHAnsi"/>
          <w:color w:val="000000" w:themeColor="text1"/>
          <w:sz w:val="22"/>
          <w:szCs w:val="22"/>
        </w:rPr>
        <w:t xml:space="preserve">JAL and MCE performed diarrhea-development experiments. </w:t>
      </w:r>
      <w:r w:rsidRPr="00BA6F83">
        <w:rPr>
          <w:rFonts w:ascii="Calibri" w:eastAsia="Calibri" w:hAnsi="Calibri" w:cstheme="minorHAnsi"/>
          <w:color w:val="000000" w:themeColor="text1"/>
          <w:sz w:val="22"/>
          <w:szCs w:val="22"/>
        </w:rPr>
        <w:t xml:space="preserve">JAL and </w:t>
      </w:r>
      <w:r w:rsidRPr="00BA6F83">
        <w:rPr>
          <w:rFonts w:ascii="Calibri" w:eastAsia="Calibri" w:hAnsi="Calibri" w:cstheme="minorHAnsi"/>
          <w:color w:val="000000" w:themeColor="text1"/>
          <w:sz w:val="22"/>
          <w:szCs w:val="22"/>
        </w:rPr>
        <w:lastRenderedPageBreak/>
        <w:t>MVF recorded visceromotor responses and compliance. EP performed afferent nerve recordings. JAL performed colonic permeability assessments assisted by RF. JS and JR performed analysis of murine microbiota. MVF performed histopathology assessments in murine samples. NS performed cytokine quantification by</w:t>
      </w:r>
      <w:r w:rsidRPr="00BA6F83">
        <w:rPr>
          <w:color w:val="000000" w:themeColor="text1"/>
          <w:sz w:val="22"/>
          <w:szCs w:val="22"/>
        </w:rPr>
        <w:t xml:space="preserve"> </w:t>
      </w:r>
      <w:r w:rsidRPr="00BA6F83">
        <w:rPr>
          <w:rFonts w:ascii="Calibri" w:eastAsia="Calibri" w:hAnsi="Calibri" w:cstheme="minorHAnsi"/>
          <w:color w:val="000000" w:themeColor="text1"/>
          <w:sz w:val="22"/>
          <w:szCs w:val="22"/>
        </w:rPr>
        <w:t xml:space="preserve">Cytometric Bead Array. JAL, IA and NF performed RNA extraction and quantitative PCR experiments. MFV, MVF, IA, NF and GB performed FACS experiments assisted by GM, SIM, CB and BNL. </w:t>
      </w:r>
      <w:bookmarkStart w:id="22" w:name="_Hlk11157451"/>
      <w:r w:rsidRPr="00BA6F83">
        <w:rPr>
          <w:rFonts w:ascii="Calibri" w:eastAsia="Calibri" w:hAnsi="Calibri" w:cstheme="minorHAnsi"/>
          <w:color w:val="000000" w:themeColor="text1"/>
          <w:sz w:val="22"/>
          <w:szCs w:val="22"/>
        </w:rPr>
        <w:t>ELISPOT assay was performed by LD and ADS.</w:t>
      </w:r>
      <w:bookmarkEnd w:id="22"/>
      <w:r w:rsidRPr="00BA6F83">
        <w:rPr>
          <w:rFonts w:ascii="Calibri" w:eastAsia="Calibri" w:hAnsi="Calibri" w:cstheme="minorHAnsi"/>
          <w:color w:val="000000" w:themeColor="text1"/>
          <w:sz w:val="22"/>
          <w:szCs w:val="22"/>
        </w:rPr>
        <w:t xml:space="preserve"> CLL and JJP performed patch-clamp experiments assisted by DER. JAL performed Ca</w:t>
      </w:r>
      <w:r w:rsidRPr="00BA6F83">
        <w:rPr>
          <w:rFonts w:ascii="Calibri" w:eastAsia="Calibri" w:hAnsi="Calibri" w:cstheme="minorHAnsi"/>
          <w:color w:val="000000" w:themeColor="text1"/>
          <w:sz w:val="22"/>
          <w:szCs w:val="22"/>
          <w:vertAlign w:val="superscript"/>
        </w:rPr>
        <w:t>2+</w:t>
      </w:r>
      <w:r w:rsidRPr="00BA6F83">
        <w:rPr>
          <w:rFonts w:ascii="Calibri" w:eastAsia="Calibri" w:hAnsi="Calibri" w:cstheme="minorHAnsi"/>
          <w:color w:val="000000" w:themeColor="text1"/>
          <w:sz w:val="22"/>
          <w:szCs w:val="22"/>
        </w:rPr>
        <w:t xml:space="preserve"> experiments assisted by YAA and KT. JAL performed bacterial DNA extraction from fecal samples. PJ and MFV performed immunofluorescence staining of human samples and total corrected cell fluorescence analysis.</w:t>
      </w:r>
      <w:r>
        <w:rPr>
          <w:rFonts w:ascii="Calibri" w:eastAsia="Calibri" w:hAnsi="Calibri" w:cstheme="minorHAnsi"/>
          <w:color w:val="000000" w:themeColor="text1"/>
          <w:sz w:val="22"/>
          <w:szCs w:val="22"/>
        </w:rPr>
        <w:t xml:space="preserve"> </w:t>
      </w:r>
      <w:r w:rsidRPr="00BA6F83">
        <w:rPr>
          <w:rFonts w:ascii="Calibri" w:eastAsia="Calibri" w:hAnsi="Calibri" w:cstheme="minorHAnsi"/>
          <w:color w:val="000000" w:themeColor="text1"/>
          <w:sz w:val="22"/>
          <w:szCs w:val="22"/>
        </w:rPr>
        <w:t>PJ and M</w:t>
      </w:r>
      <w:r>
        <w:rPr>
          <w:rFonts w:ascii="Calibri" w:eastAsia="Calibri" w:hAnsi="Calibri" w:cstheme="minorHAnsi"/>
          <w:color w:val="000000" w:themeColor="text1"/>
          <w:sz w:val="22"/>
          <w:szCs w:val="22"/>
        </w:rPr>
        <w:t>CE</w:t>
      </w:r>
      <w:r w:rsidRPr="00BA6F83">
        <w:rPr>
          <w:rFonts w:ascii="Calibri" w:eastAsia="Calibri" w:hAnsi="Calibri" w:cstheme="minorHAnsi"/>
          <w:color w:val="000000" w:themeColor="text1"/>
          <w:sz w:val="22"/>
          <w:szCs w:val="22"/>
        </w:rPr>
        <w:t xml:space="preserve"> performed </w:t>
      </w:r>
      <w:r w:rsidR="00963325">
        <w:rPr>
          <w:rFonts w:ascii="Calibri" w:eastAsia="Calibri" w:hAnsi="Calibri" w:cstheme="minorHAnsi"/>
          <w:color w:val="000000" w:themeColor="text1"/>
          <w:sz w:val="22"/>
          <w:szCs w:val="22"/>
        </w:rPr>
        <w:t xml:space="preserve">and analyzed </w:t>
      </w:r>
      <w:r w:rsidRPr="00BA6F83">
        <w:rPr>
          <w:rFonts w:ascii="Calibri" w:eastAsia="Calibri" w:hAnsi="Calibri" w:cstheme="minorHAnsi"/>
          <w:color w:val="000000" w:themeColor="text1"/>
          <w:sz w:val="22"/>
          <w:szCs w:val="22"/>
        </w:rPr>
        <w:t xml:space="preserve">immunofluorescence staining of </w:t>
      </w:r>
      <w:r>
        <w:rPr>
          <w:rFonts w:ascii="Calibri" w:eastAsia="Calibri" w:hAnsi="Calibri" w:cstheme="minorHAnsi"/>
          <w:color w:val="000000" w:themeColor="text1"/>
          <w:sz w:val="22"/>
          <w:szCs w:val="22"/>
        </w:rPr>
        <w:t>murine</w:t>
      </w:r>
      <w:r w:rsidRPr="00BA6F83">
        <w:rPr>
          <w:rFonts w:ascii="Calibri" w:eastAsia="Calibri" w:hAnsi="Calibri" w:cstheme="minorHAnsi"/>
          <w:color w:val="000000" w:themeColor="text1"/>
          <w:sz w:val="22"/>
          <w:szCs w:val="22"/>
        </w:rPr>
        <w:t xml:space="preserve"> samples and </w:t>
      </w:r>
      <w:r>
        <w:rPr>
          <w:rFonts w:ascii="Calibri" w:eastAsia="Calibri" w:hAnsi="Calibri" w:cstheme="minorHAnsi"/>
          <w:color w:val="000000" w:themeColor="text1"/>
          <w:sz w:val="22"/>
          <w:szCs w:val="22"/>
        </w:rPr>
        <w:t>mast cell live imaging</w:t>
      </w:r>
      <w:r w:rsidRPr="00BA6F83">
        <w:rPr>
          <w:rFonts w:ascii="Calibri" w:eastAsia="Calibri" w:hAnsi="Calibri" w:cstheme="minorHAnsi"/>
          <w:color w:val="000000" w:themeColor="text1"/>
          <w:sz w:val="22"/>
          <w:szCs w:val="22"/>
        </w:rPr>
        <w:t xml:space="preserve"> analysis</w:t>
      </w:r>
      <w:r>
        <w:rPr>
          <w:rFonts w:ascii="Calibri" w:eastAsia="Calibri" w:hAnsi="Calibri" w:cstheme="minorHAnsi"/>
          <w:color w:val="000000" w:themeColor="text1"/>
          <w:sz w:val="22"/>
          <w:szCs w:val="22"/>
        </w:rPr>
        <w:t>.</w:t>
      </w:r>
      <w:r w:rsidRPr="00BA6F83">
        <w:rPr>
          <w:rFonts w:ascii="Calibri" w:eastAsia="Calibri" w:hAnsi="Calibri" w:cstheme="minorHAnsi"/>
          <w:color w:val="000000" w:themeColor="text1"/>
          <w:sz w:val="22"/>
          <w:szCs w:val="22"/>
        </w:rPr>
        <w:t xml:space="preserve"> </w:t>
      </w:r>
      <w:r w:rsidR="0015683E" w:rsidRPr="00BA6F83">
        <w:rPr>
          <w:rFonts w:ascii="Calibri" w:eastAsia="Calibri" w:hAnsi="Calibri" w:cstheme="minorHAnsi"/>
          <w:color w:val="000000" w:themeColor="text1"/>
          <w:sz w:val="22"/>
          <w:szCs w:val="22"/>
        </w:rPr>
        <w:t>RB, GEB, KVB and DB performed food-antigens injections and collection of biopsies. JAL and DB performed the analysis of the reactions to food-antigens. CB and RS performed the allergy work-up in humans.</w:t>
      </w:r>
      <w:r w:rsidR="0015683E">
        <w:rPr>
          <w:rFonts w:ascii="Calibri" w:eastAsia="Calibri" w:hAnsi="Calibri" w:cstheme="minorHAnsi"/>
          <w:color w:val="000000" w:themeColor="text1"/>
          <w:sz w:val="22"/>
          <w:szCs w:val="22"/>
        </w:rPr>
        <w:t xml:space="preserve"> </w:t>
      </w:r>
      <w:r w:rsidRPr="00BA6F83">
        <w:rPr>
          <w:rFonts w:ascii="Calibri" w:eastAsia="Calibri" w:hAnsi="Calibri" w:cstheme="minorHAnsi"/>
          <w:color w:val="000000" w:themeColor="text1"/>
          <w:sz w:val="22"/>
          <w:szCs w:val="22"/>
        </w:rPr>
        <w:t>ADS designed, performed and analyzed protease activity assays.</w:t>
      </w:r>
      <w:r w:rsidR="00963325">
        <w:rPr>
          <w:rFonts w:ascii="Calibri" w:eastAsia="Calibri" w:hAnsi="Calibri" w:cstheme="minorHAnsi"/>
          <w:color w:val="000000" w:themeColor="text1"/>
          <w:sz w:val="22"/>
          <w:szCs w:val="22"/>
        </w:rPr>
        <w:t xml:space="preserve"> MN and ADS evaluated histamine presence in mouse and human samples assisted by DC and PA. </w:t>
      </w:r>
      <w:r w:rsidRPr="00BA6F83">
        <w:rPr>
          <w:rFonts w:ascii="Calibri" w:eastAsia="Calibri" w:hAnsi="Calibri" w:cstheme="minorHAnsi"/>
          <w:color w:val="000000" w:themeColor="text1"/>
          <w:sz w:val="22"/>
          <w:szCs w:val="22"/>
        </w:rPr>
        <w:t xml:space="preserve"> </w:t>
      </w:r>
      <w:proofErr w:type="spellStart"/>
      <w:r w:rsidRPr="00BA6F83">
        <w:rPr>
          <w:rFonts w:ascii="Calibri" w:eastAsia="Calibri" w:hAnsi="Calibri" w:cstheme="minorHAnsi"/>
          <w:color w:val="000000" w:themeColor="text1"/>
          <w:sz w:val="22"/>
          <w:szCs w:val="22"/>
        </w:rPr>
        <w:t>IgH</w:t>
      </w:r>
      <w:proofErr w:type="spellEnd"/>
      <w:r w:rsidRPr="00BA6F83">
        <w:rPr>
          <w:rFonts w:ascii="Calibri" w:eastAsia="Calibri" w:hAnsi="Calibri" w:cstheme="minorHAnsi"/>
          <w:color w:val="000000" w:themeColor="text1"/>
          <w:sz w:val="22"/>
          <w:szCs w:val="22"/>
        </w:rPr>
        <w:t xml:space="preserve"> sequence analysis of </w:t>
      </w:r>
      <w:proofErr w:type="spellStart"/>
      <w:r w:rsidRPr="00BA6F83">
        <w:rPr>
          <w:rFonts w:ascii="Calibri" w:eastAsia="Calibri" w:hAnsi="Calibri" w:cstheme="minorHAnsi"/>
          <w:color w:val="000000" w:themeColor="text1"/>
          <w:sz w:val="22"/>
          <w:szCs w:val="22"/>
        </w:rPr>
        <w:t>IgE</w:t>
      </w:r>
      <w:proofErr w:type="spellEnd"/>
      <w:r w:rsidRPr="00BA6F83">
        <w:rPr>
          <w:rFonts w:ascii="Calibri" w:eastAsia="Calibri" w:hAnsi="Calibri" w:cstheme="minorHAnsi"/>
          <w:color w:val="000000" w:themeColor="text1"/>
          <w:sz w:val="22"/>
          <w:szCs w:val="22"/>
        </w:rPr>
        <w:t xml:space="preserve">+ clones </w:t>
      </w:r>
      <w:proofErr w:type="gramStart"/>
      <w:r w:rsidRPr="00BA6F83">
        <w:rPr>
          <w:rFonts w:ascii="Calibri" w:eastAsia="Calibri" w:hAnsi="Calibri" w:cstheme="minorHAnsi"/>
          <w:color w:val="000000" w:themeColor="text1"/>
          <w:sz w:val="22"/>
          <w:szCs w:val="22"/>
        </w:rPr>
        <w:t>was</w:t>
      </w:r>
      <w:proofErr w:type="gramEnd"/>
      <w:r w:rsidRPr="00BA6F83">
        <w:rPr>
          <w:rFonts w:ascii="Calibri" w:eastAsia="Calibri" w:hAnsi="Calibri" w:cstheme="minorHAnsi"/>
          <w:color w:val="000000" w:themeColor="text1"/>
          <w:sz w:val="22"/>
          <w:szCs w:val="22"/>
        </w:rPr>
        <w:t xml:space="preserve"> performed by RAH assisted by SDB. TBF and HRR provided </w:t>
      </w:r>
      <w:r w:rsidRPr="00BA6F83">
        <w:rPr>
          <w:rFonts w:ascii="Calibri" w:eastAsia="Calibri" w:hAnsi="Calibri" w:cstheme="minorHAnsi"/>
          <w:i/>
          <w:color w:val="000000" w:themeColor="text1"/>
          <w:sz w:val="22"/>
          <w:szCs w:val="22"/>
        </w:rPr>
        <w:t>Cpa3</w:t>
      </w:r>
      <w:r w:rsidRPr="00BA6F83">
        <w:rPr>
          <w:rFonts w:ascii="Calibri" w:eastAsia="Calibri" w:hAnsi="Calibri" w:cstheme="minorHAnsi"/>
          <w:i/>
          <w:color w:val="000000" w:themeColor="text1"/>
          <w:sz w:val="22"/>
          <w:szCs w:val="22"/>
          <w:vertAlign w:val="superscript"/>
        </w:rPr>
        <w:t>Cre/+</w:t>
      </w:r>
      <w:r w:rsidRPr="00BA6F83">
        <w:rPr>
          <w:rFonts w:ascii="Calibri" w:eastAsia="Calibri" w:hAnsi="Calibri" w:cstheme="minorHAnsi"/>
          <w:i/>
          <w:color w:val="000000" w:themeColor="text1"/>
          <w:sz w:val="22"/>
          <w:szCs w:val="22"/>
        </w:rPr>
        <w:t xml:space="preserve"> </w:t>
      </w:r>
      <w:r w:rsidRPr="00BA6F83">
        <w:rPr>
          <w:rFonts w:ascii="Calibri" w:eastAsia="Calibri" w:hAnsi="Calibri" w:cstheme="minorHAnsi"/>
          <w:color w:val="000000" w:themeColor="text1"/>
          <w:sz w:val="22"/>
          <w:szCs w:val="22"/>
        </w:rPr>
        <w:t>mice</w:t>
      </w:r>
      <w:r w:rsidR="0015683E">
        <w:rPr>
          <w:rFonts w:ascii="Calibri" w:eastAsia="Calibri" w:hAnsi="Calibri" w:cstheme="minorHAnsi"/>
          <w:color w:val="000000" w:themeColor="text1"/>
          <w:sz w:val="22"/>
          <w:szCs w:val="22"/>
        </w:rPr>
        <w:t xml:space="preserve"> and JS provided </w:t>
      </w:r>
      <w:r w:rsidR="0015683E" w:rsidRPr="00963325">
        <w:rPr>
          <w:rFonts w:ascii="Calibri" w:eastAsia="Calibri" w:hAnsi="Calibri" w:cstheme="minorHAnsi"/>
          <w:i/>
          <w:iCs/>
          <w:color w:val="000000" w:themeColor="text1"/>
          <w:sz w:val="22"/>
          <w:szCs w:val="22"/>
        </w:rPr>
        <w:t>Igh7</w:t>
      </w:r>
      <w:r w:rsidR="0015683E" w:rsidRPr="00963325">
        <w:rPr>
          <w:rFonts w:ascii="Calibri" w:eastAsia="Calibri" w:hAnsi="Calibri" w:cstheme="minorHAnsi"/>
          <w:color w:val="000000" w:themeColor="text1"/>
          <w:sz w:val="22"/>
          <w:szCs w:val="22"/>
          <w:vertAlign w:val="superscript"/>
        </w:rPr>
        <w:t>-/-</w:t>
      </w:r>
      <w:r w:rsidR="0015683E">
        <w:rPr>
          <w:rFonts w:ascii="Calibri" w:eastAsia="Calibri" w:hAnsi="Calibri" w:cstheme="minorHAnsi"/>
          <w:color w:val="000000" w:themeColor="text1"/>
          <w:sz w:val="22"/>
          <w:szCs w:val="22"/>
        </w:rPr>
        <w:t xml:space="preserve"> mice</w:t>
      </w:r>
      <w:r w:rsidRPr="00BA6F83">
        <w:rPr>
          <w:rFonts w:ascii="Calibri" w:eastAsia="Calibri" w:hAnsi="Calibri" w:cstheme="minorHAnsi"/>
          <w:color w:val="000000" w:themeColor="text1"/>
          <w:sz w:val="22"/>
          <w:szCs w:val="22"/>
        </w:rPr>
        <w:t>. JAL, MVF, MFV, ADS, DER, SJV, MMW and GEB reviewed data. JAL, ADS and GEB wrote and revised the manuscript. All other authors corrected and approved the final version of the manuscript.</w:t>
      </w:r>
    </w:p>
    <w:p w14:paraId="66D4E443" w14:textId="77777777" w:rsidR="00F76314" w:rsidRPr="00BA6F83" w:rsidRDefault="00F76314" w:rsidP="00F76314">
      <w:pPr>
        <w:pStyle w:val="Default"/>
        <w:spacing w:after="120" w:line="480" w:lineRule="auto"/>
        <w:jc w:val="both"/>
        <w:rPr>
          <w:rFonts w:ascii="Calibri" w:eastAsia="Calibri" w:hAnsi="Calibri" w:cstheme="minorHAnsi"/>
          <w:color w:val="000000" w:themeColor="text1"/>
          <w:sz w:val="22"/>
          <w:szCs w:val="22"/>
        </w:rPr>
      </w:pPr>
    </w:p>
    <w:p w14:paraId="1045CC56" w14:textId="77777777" w:rsidR="00F76314" w:rsidRPr="00BA6F83" w:rsidRDefault="00F76314" w:rsidP="00F76314">
      <w:pPr>
        <w:pStyle w:val="Default"/>
        <w:spacing w:after="120" w:line="480" w:lineRule="auto"/>
        <w:jc w:val="both"/>
        <w:rPr>
          <w:rFonts w:ascii="Calibri" w:eastAsia="Calibri" w:hAnsi="Calibri" w:cstheme="minorHAnsi"/>
          <w:b/>
          <w:color w:val="000000" w:themeColor="text1"/>
          <w:sz w:val="22"/>
          <w:szCs w:val="22"/>
          <w:u w:val="single"/>
        </w:rPr>
      </w:pPr>
      <w:r w:rsidRPr="00BA6F83">
        <w:rPr>
          <w:rFonts w:ascii="Calibri" w:eastAsia="Calibri" w:hAnsi="Calibri" w:cstheme="minorHAnsi"/>
          <w:b/>
          <w:color w:val="000000" w:themeColor="text1"/>
          <w:sz w:val="22"/>
          <w:szCs w:val="22"/>
          <w:u w:val="single"/>
        </w:rPr>
        <w:t>DECLARATION OF INTERESTS</w:t>
      </w:r>
    </w:p>
    <w:p w14:paraId="60BCCB98" w14:textId="77777777" w:rsidR="00F76314" w:rsidRPr="00BA6F83" w:rsidRDefault="00F76314" w:rsidP="00F76314">
      <w:pPr>
        <w:pStyle w:val="Default"/>
        <w:spacing w:after="120" w:line="480" w:lineRule="auto"/>
        <w:jc w:val="both"/>
        <w:rPr>
          <w:rFonts w:ascii="Calibri" w:eastAsia="Calibri" w:hAnsi="Calibri" w:cstheme="minorHAnsi"/>
          <w:color w:val="000000" w:themeColor="text1"/>
          <w:sz w:val="22"/>
          <w:szCs w:val="22"/>
        </w:rPr>
      </w:pPr>
      <w:r w:rsidRPr="00BA6F83">
        <w:rPr>
          <w:rFonts w:ascii="Calibri" w:eastAsia="Calibri" w:hAnsi="Calibri" w:cstheme="minorHAnsi"/>
          <w:color w:val="000000" w:themeColor="text1"/>
          <w:sz w:val="22"/>
          <w:szCs w:val="22"/>
        </w:rPr>
        <w:t>The authors declare no competing interests</w:t>
      </w:r>
    </w:p>
    <w:bookmarkEnd w:id="20"/>
    <w:p w14:paraId="2B3BA271" w14:textId="77777777" w:rsidR="00F76314" w:rsidRDefault="00F76314" w:rsidP="00CE2959">
      <w:pPr>
        <w:widowControl w:val="0"/>
        <w:autoSpaceDE w:val="0"/>
        <w:autoSpaceDN w:val="0"/>
        <w:adjustRightInd w:val="0"/>
        <w:spacing w:after="120" w:line="240" w:lineRule="auto"/>
        <w:rPr>
          <w:b/>
          <w:color w:val="000000" w:themeColor="text1"/>
          <w:lang w:val="en-US"/>
        </w:rPr>
      </w:pPr>
    </w:p>
    <w:sectPr w:rsidR="00F76314" w:rsidSect="00CC60A6">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D9C97" w14:textId="77777777" w:rsidR="004F4F90" w:rsidRDefault="004F4F90" w:rsidP="00454CDB">
      <w:pPr>
        <w:spacing w:after="0" w:line="240" w:lineRule="auto"/>
      </w:pPr>
      <w:r>
        <w:separator/>
      </w:r>
    </w:p>
  </w:endnote>
  <w:endnote w:type="continuationSeparator" w:id="0">
    <w:p w14:paraId="0C5F6211" w14:textId="77777777" w:rsidR="004F4F90" w:rsidRDefault="004F4F90" w:rsidP="0045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4432224"/>
      <w:docPartObj>
        <w:docPartGallery w:val="Page Numbers (Bottom of Page)"/>
        <w:docPartUnique/>
      </w:docPartObj>
    </w:sdtPr>
    <w:sdtEndPr>
      <w:rPr>
        <w:noProof/>
      </w:rPr>
    </w:sdtEndPr>
    <w:sdtContent>
      <w:p w14:paraId="12E1568A" w14:textId="77777777" w:rsidR="00841C28" w:rsidRDefault="00841C28">
        <w:pPr>
          <w:pStyle w:val="Footer"/>
          <w:jc w:val="right"/>
        </w:pPr>
        <w:r>
          <w:fldChar w:fldCharType="begin"/>
        </w:r>
        <w:r>
          <w:instrText xml:space="preserve"> PAGE   \* MERGEFORMAT </w:instrText>
        </w:r>
        <w:r>
          <w:fldChar w:fldCharType="separate"/>
        </w:r>
        <w:r>
          <w:rPr>
            <w:noProof/>
          </w:rPr>
          <w:t>50</w:t>
        </w:r>
        <w:r>
          <w:rPr>
            <w:noProof/>
          </w:rPr>
          <w:fldChar w:fldCharType="end"/>
        </w:r>
      </w:p>
    </w:sdtContent>
  </w:sdt>
  <w:p w14:paraId="69C1ADE1" w14:textId="77777777" w:rsidR="00841C28" w:rsidRDefault="00841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1A8D7" w14:textId="77777777" w:rsidR="004F4F90" w:rsidRDefault="004F4F90" w:rsidP="00454CDB">
      <w:pPr>
        <w:spacing w:after="0" w:line="240" w:lineRule="auto"/>
      </w:pPr>
      <w:r>
        <w:separator/>
      </w:r>
    </w:p>
  </w:footnote>
  <w:footnote w:type="continuationSeparator" w:id="0">
    <w:p w14:paraId="503CF27E" w14:textId="77777777" w:rsidR="004F4F90" w:rsidRDefault="004F4F90" w:rsidP="00454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954"/>
    <w:rsid w:val="00001013"/>
    <w:rsid w:val="0000234E"/>
    <w:rsid w:val="0000267F"/>
    <w:rsid w:val="000041D4"/>
    <w:rsid w:val="0000458F"/>
    <w:rsid w:val="00004AA1"/>
    <w:rsid w:val="0000513A"/>
    <w:rsid w:val="0000583D"/>
    <w:rsid w:val="00005F5A"/>
    <w:rsid w:val="00006CF0"/>
    <w:rsid w:val="00007840"/>
    <w:rsid w:val="000121E9"/>
    <w:rsid w:val="00013053"/>
    <w:rsid w:val="00013E2E"/>
    <w:rsid w:val="000149CD"/>
    <w:rsid w:val="00014B07"/>
    <w:rsid w:val="000151FA"/>
    <w:rsid w:val="00016B17"/>
    <w:rsid w:val="00016E69"/>
    <w:rsid w:val="00017676"/>
    <w:rsid w:val="000178ED"/>
    <w:rsid w:val="00021933"/>
    <w:rsid w:val="000233F3"/>
    <w:rsid w:val="000234FF"/>
    <w:rsid w:val="000241E4"/>
    <w:rsid w:val="00024736"/>
    <w:rsid w:val="000248FB"/>
    <w:rsid w:val="0002718E"/>
    <w:rsid w:val="000272B1"/>
    <w:rsid w:val="000314C6"/>
    <w:rsid w:val="00031715"/>
    <w:rsid w:val="00031C8A"/>
    <w:rsid w:val="000336DA"/>
    <w:rsid w:val="00034EC8"/>
    <w:rsid w:val="00037A8C"/>
    <w:rsid w:val="00040619"/>
    <w:rsid w:val="00041074"/>
    <w:rsid w:val="0004140D"/>
    <w:rsid w:val="00041EE3"/>
    <w:rsid w:val="00043E77"/>
    <w:rsid w:val="00044101"/>
    <w:rsid w:val="00046935"/>
    <w:rsid w:val="0004766C"/>
    <w:rsid w:val="00047F48"/>
    <w:rsid w:val="000508C7"/>
    <w:rsid w:val="00050D67"/>
    <w:rsid w:val="00051964"/>
    <w:rsid w:val="000528E8"/>
    <w:rsid w:val="00053CDA"/>
    <w:rsid w:val="00055661"/>
    <w:rsid w:val="00055CBE"/>
    <w:rsid w:val="00056EFE"/>
    <w:rsid w:val="00057879"/>
    <w:rsid w:val="0005791E"/>
    <w:rsid w:val="00057F71"/>
    <w:rsid w:val="000603CF"/>
    <w:rsid w:val="00060E34"/>
    <w:rsid w:val="0006210B"/>
    <w:rsid w:val="00062736"/>
    <w:rsid w:val="000641E6"/>
    <w:rsid w:val="00064247"/>
    <w:rsid w:val="000647B2"/>
    <w:rsid w:val="00066AAC"/>
    <w:rsid w:val="000674EB"/>
    <w:rsid w:val="00067E17"/>
    <w:rsid w:val="000710FB"/>
    <w:rsid w:val="0007311E"/>
    <w:rsid w:val="00075175"/>
    <w:rsid w:val="00075683"/>
    <w:rsid w:val="00075D17"/>
    <w:rsid w:val="00077004"/>
    <w:rsid w:val="0007731E"/>
    <w:rsid w:val="00080786"/>
    <w:rsid w:val="00081016"/>
    <w:rsid w:val="00082392"/>
    <w:rsid w:val="0008560F"/>
    <w:rsid w:val="00085CD8"/>
    <w:rsid w:val="00086CC2"/>
    <w:rsid w:val="00086D51"/>
    <w:rsid w:val="00086E1E"/>
    <w:rsid w:val="000900D7"/>
    <w:rsid w:val="00090326"/>
    <w:rsid w:val="00091C98"/>
    <w:rsid w:val="00093415"/>
    <w:rsid w:val="00093A8D"/>
    <w:rsid w:val="00095F6E"/>
    <w:rsid w:val="000961EA"/>
    <w:rsid w:val="00096909"/>
    <w:rsid w:val="000979B6"/>
    <w:rsid w:val="00097B93"/>
    <w:rsid w:val="000A06C9"/>
    <w:rsid w:val="000A1AE0"/>
    <w:rsid w:val="000A1DB5"/>
    <w:rsid w:val="000A1E3B"/>
    <w:rsid w:val="000A3EE6"/>
    <w:rsid w:val="000A4665"/>
    <w:rsid w:val="000A4B1C"/>
    <w:rsid w:val="000A5B52"/>
    <w:rsid w:val="000B1014"/>
    <w:rsid w:val="000B1A3A"/>
    <w:rsid w:val="000B297E"/>
    <w:rsid w:val="000B2E18"/>
    <w:rsid w:val="000B3077"/>
    <w:rsid w:val="000B3D80"/>
    <w:rsid w:val="000B4254"/>
    <w:rsid w:val="000B4C8A"/>
    <w:rsid w:val="000B5F16"/>
    <w:rsid w:val="000B61E7"/>
    <w:rsid w:val="000B62EE"/>
    <w:rsid w:val="000C00BB"/>
    <w:rsid w:val="000C0D42"/>
    <w:rsid w:val="000C15F7"/>
    <w:rsid w:val="000C18AF"/>
    <w:rsid w:val="000C20DE"/>
    <w:rsid w:val="000C3395"/>
    <w:rsid w:val="000C37A4"/>
    <w:rsid w:val="000C3946"/>
    <w:rsid w:val="000C4E5E"/>
    <w:rsid w:val="000C4F37"/>
    <w:rsid w:val="000C573C"/>
    <w:rsid w:val="000C647A"/>
    <w:rsid w:val="000C78F4"/>
    <w:rsid w:val="000C7A55"/>
    <w:rsid w:val="000D00C2"/>
    <w:rsid w:val="000D0944"/>
    <w:rsid w:val="000D0EFC"/>
    <w:rsid w:val="000D1930"/>
    <w:rsid w:val="000D1B87"/>
    <w:rsid w:val="000D269B"/>
    <w:rsid w:val="000D3BAC"/>
    <w:rsid w:val="000D6CB9"/>
    <w:rsid w:val="000D73DA"/>
    <w:rsid w:val="000E0299"/>
    <w:rsid w:val="000E034A"/>
    <w:rsid w:val="000E0A12"/>
    <w:rsid w:val="000E1F8A"/>
    <w:rsid w:val="000E2511"/>
    <w:rsid w:val="000E7708"/>
    <w:rsid w:val="000F0E9E"/>
    <w:rsid w:val="000F18BB"/>
    <w:rsid w:val="000F25D4"/>
    <w:rsid w:val="000F3969"/>
    <w:rsid w:val="000F6496"/>
    <w:rsid w:val="000F7361"/>
    <w:rsid w:val="000F7EB2"/>
    <w:rsid w:val="000F7EF0"/>
    <w:rsid w:val="00100C9D"/>
    <w:rsid w:val="00101ADE"/>
    <w:rsid w:val="0010480C"/>
    <w:rsid w:val="00104C82"/>
    <w:rsid w:val="00104FB7"/>
    <w:rsid w:val="001050D1"/>
    <w:rsid w:val="001056CB"/>
    <w:rsid w:val="001061E6"/>
    <w:rsid w:val="00107BA2"/>
    <w:rsid w:val="00110285"/>
    <w:rsid w:val="001116F9"/>
    <w:rsid w:val="00111D0B"/>
    <w:rsid w:val="00111D4C"/>
    <w:rsid w:val="00115206"/>
    <w:rsid w:val="00115AB7"/>
    <w:rsid w:val="0011626A"/>
    <w:rsid w:val="00117FDA"/>
    <w:rsid w:val="00121806"/>
    <w:rsid w:val="00123DE0"/>
    <w:rsid w:val="0012452C"/>
    <w:rsid w:val="00125E0B"/>
    <w:rsid w:val="00126E78"/>
    <w:rsid w:val="001274C0"/>
    <w:rsid w:val="00130552"/>
    <w:rsid w:val="00131AFB"/>
    <w:rsid w:val="00131F3C"/>
    <w:rsid w:val="00133557"/>
    <w:rsid w:val="0013573A"/>
    <w:rsid w:val="00136F08"/>
    <w:rsid w:val="00137323"/>
    <w:rsid w:val="00137CF2"/>
    <w:rsid w:val="00140FF2"/>
    <w:rsid w:val="0014125D"/>
    <w:rsid w:val="00141656"/>
    <w:rsid w:val="00142B7E"/>
    <w:rsid w:val="0014369F"/>
    <w:rsid w:val="00144651"/>
    <w:rsid w:val="00144867"/>
    <w:rsid w:val="001457E9"/>
    <w:rsid w:val="00145F7E"/>
    <w:rsid w:val="00146B3C"/>
    <w:rsid w:val="00147A91"/>
    <w:rsid w:val="00150A52"/>
    <w:rsid w:val="00150F70"/>
    <w:rsid w:val="001516B8"/>
    <w:rsid w:val="00152196"/>
    <w:rsid w:val="00152415"/>
    <w:rsid w:val="00152441"/>
    <w:rsid w:val="00153FE3"/>
    <w:rsid w:val="0015518C"/>
    <w:rsid w:val="0015523E"/>
    <w:rsid w:val="00155F96"/>
    <w:rsid w:val="00156493"/>
    <w:rsid w:val="0015683E"/>
    <w:rsid w:val="00156F10"/>
    <w:rsid w:val="001574BC"/>
    <w:rsid w:val="00160471"/>
    <w:rsid w:val="00160B68"/>
    <w:rsid w:val="001613C6"/>
    <w:rsid w:val="00161C8E"/>
    <w:rsid w:val="00165674"/>
    <w:rsid w:val="00166E4E"/>
    <w:rsid w:val="0016738C"/>
    <w:rsid w:val="00170BFB"/>
    <w:rsid w:val="00171EC3"/>
    <w:rsid w:val="00172C2D"/>
    <w:rsid w:val="00174642"/>
    <w:rsid w:val="001746B8"/>
    <w:rsid w:val="00175495"/>
    <w:rsid w:val="00177F61"/>
    <w:rsid w:val="00180DEC"/>
    <w:rsid w:val="00181D57"/>
    <w:rsid w:val="001820A9"/>
    <w:rsid w:val="00182A10"/>
    <w:rsid w:val="001837F2"/>
    <w:rsid w:val="00185359"/>
    <w:rsid w:val="0019117C"/>
    <w:rsid w:val="001917E3"/>
    <w:rsid w:val="0019224D"/>
    <w:rsid w:val="0019255D"/>
    <w:rsid w:val="00192728"/>
    <w:rsid w:val="00192CFD"/>
    <w:rsid w:val="00194394"/>
    <w:rsid w:val="001952F9"/>
    <w:rsid w:val="00197240"/>
    <w:rsid w:val="001976D7"/>
    <w:rsid w:val="001A284E"/>
    <w:rsid w:val="001A5307"/>
    <w:rsid w:val="001A59C3"/>
    <w:rsid w:val="001A7985"/>
    <w:rsid w:val="001A7A26"/>
    <w:rsid w:val="001B031F"/>
    <w:rsid w:val="001B036F"/>
    <w:rsid w:val="001B0A29"/>
    <w:rsid w:val="001B10AD"/>
    <w:rsid w:val="001B1986"/>
    <w:rsid w:val="001B1B8E"/>
    <w:rsid w:val="001B22F0"/>
    <w:rsid w:val="001B2468"/>
    <w:rsid w:val="001B2F4A"/>
    <w:rsid w:val="001B315F"/>
    <w:rsid w:val="001B34DF"/>
    <w:rsid w:val="001B4586"/>
    <w:rsid w:val="001B4CDA"/>
    <w:rsid w:val="001B7816"/>
    <w:rsid w:val="001C081D"/>
    <w:rsid w:val="001C0A27"/>
    <w:rsid w:val="001C1FC9"/>
    <w:rsid w:val="001C261D"/>
    <w:rsid w:val="001C3115"/>
    <w:rsid w:val="001C5622"/>
    <w:rsid w:val="001C5B0D"/>
    <w:rsid w:val="001C6D56"/>
    <w:rsid w:val="001D0CE5"/>
    <w:rsid w:val="001D3DDE"/>
    <w:rsid w:val="001D4463"/>
    <w:rsid w:val="001D44FB"/>
    <w:rsid w:val="001D4855"/>
    <w:rsid w:val="001D5666"/>
    <w:rsid w:val="001D617C"/>
    <w:rsid w:val="001D7A89"/>
    <w:rsid w:val="001D7AB8"/>
    <w:rsid w:val="001E0ACD"/>
    <w:rsid w:val="001E2404"/>
    <w:rsid w:val="001E2985"/>
    <w:rsid w:val="001E3660"/>
    <w:rsid w:val="001E5B1E"/>
    <w:rsid w:val="001E6F57"/>
    <w:rsid w:val="001E7C80"/>
    <w:rsid w:val="001E7EED"/>
    <w:rsid w:val="001F023D"/>
    <w:rsid w:val="001F1E85"/>
    <w:rsid w:val="001F4286"/>
    <w:rsid w:val="001F4CAB"/>
    <w:rsid w:val="002010CC"/>
    <w:rsid w:val="00203720"/>
    <w:rsid w:val="0020398D"/>
    <w:rsid w:val="00204ECA"/>
    <w:rsid w:val="00204F84"/>
    <w:rsid w:val="00205CED"/>
    <w:rsid w:val="00206341"/>
    <w:rsid w:val="0020648B"/>
    <w:rsid w:val="00206E0D"/>
    <w:rsid w:val="00206E3F"/>
    <w:rsid w:val="0021094E"/>
    <w:rsid w:val="00210A9C"/>
    <w:rsid w:val="002127B9"/>
    <w:rsid w:val="002129F4"/>
    <w:rsid w:val="00216584"/>
    <w:rsid w:val="00216DBA"/>
    <w:rsid w:val="002175C4"/>
    <w:rsid w:val="002200D8"/>
    <w:rsid w:val="00221C5C"/>
    <w:rsid w:val="00223365"/>
    <w:rsid w:val="0022364F"/>
    <w:rsid w:val="00224B95"/>
    <w:rsid w:val="00226675"/>
    <w:rsid w:val="00226B40"/>
    <w:rsid w:val="0022782A"/>
    <w:rsid w:val="00232717"/>
    <w:rsid w:val="00234E4D"/>
    <w:rsid w:val="00235AC5"/>
    <w:rsid w:val="00240433"/>
    <w:rsid w:val="002408F8"/>
    <w:rsid w:val="00240E9F"/>
    <w:rsid w:val="00241E77"/>
    <w:rsid w:val="00242500"/>
    <w:rsid w:val="0024327F"/>
    <w:rsid w:val="0024594B"/>
    <w:rsid w:val="00245F10"/>
    <w:rsid w:val="00247AA1"/>
    <w:rsid w:val="002503BB"/>
    <w:rsid w:val="00250FBC"/>
    <w:rsid w:val="002512E4"/>
    <w:rsid w:val="00251438"/>
    <w:rsid w:val="00252B4F"/>
    <w:rsid w:val="002537E9"/>
    <w:rsid w:val="00261961"/>
    <w:rsid w:val="002629D1"/>
    <w:rsid w:val="00262A68"/>
    <w:rsid w:val="0026389B"/>
    <w:rsid w:val="00266CFD"/>
    <w:rsid w:val="00267BBD"/>
    <w:rsid w:val="00271D58"/>
    <w:rsid w:val="00275D35"/>
    <w:rsid w:val="00281479"/>
    <w:rsid w:val="0028234F"/>
    <w:rsid w:val="002833B2"/>
    <w:rsid w:val="002846AD"/>
    <w:rsid w:val="002853DE"/>
    <w:rsid w:val="0029255D"/>
    <w:rsid w:val="002927A3"/>
    <w:rsid w:val="00292D8C"/>
    <w:rsid w:val="00295C6A"/>
    <w:rsid w:val="002A2663"/>
    <w:rsid w:val="002A2CDB"/>
    <w:rsid w:val="002A3E03"/>
    <w:rsid w:val="002A3FD7"/>
    <w:rsid w:val="002A3FDD"/>
    <w:rsid w:val="002A4E17"/>
    <w:rsid w:val="002A5EC1"/>
    <w:rsid w:val="002B0CF3"/>
    <w:rsid w:val="002B173B"/>
    <w:rsid w:val="002B4DD3"/>
    <w:rsid w:val="002B4EE2"/>
    <w:rsid w:val="002B7815"/>
    <w:rsid w:val="002C1D02"/>
    <w:rsid w:val="002C2A05"/>
    <w:rsid w:val="002C35EA"/>
    <w:rsid w:val="002C4C47"/>
    <w:rsid w:val="002C4E0C"/>
    <w:rsid w:val="002C4FC1"/>
    <w:rsid w:val="002C5501"/>
    <w:rsid w:val="002C6DDE"/>
    <w:rsid w:val="002D0AE9"/>
    <w:rsid w:val="002D3FDA"/>
    <w:rsid w:val="002D4292"/>
    <w:rsid w:val="002D43B9"/>
    <w:rsid w:val="002D4F88"/>
    <w:rsid w:val="002D4F8A"/>
    <w:rsid w:val="002D72D6"/>
    <w:rsid w:val="002E06D9"/>
    <w:rsid w:val="002E0B01"/>
    <w:rsid w:val="002E2C59"/>
    <w:rsid w:val="002E2E15"/>
    <w:rsid w:val="002E313E"/>
    <w:rsid w:val="002E5599"/>
    <w:rsid w:val="002E58F3"/>
    <w:rsid w:val="002E5A9F"/>
    <w:rsid w:val="002E6591"/>
    <w:rsid w:val="002E695B"/>
    <w:rsid w:val="002E6F2C"/>
    <w:rsid w:val="002E7F42"/>
    <w:rsid w:val="002F0CFD"/>
    <w:rsid w:val="002F0F16"/>
    <w:rsid w:val="002F24B7"/>
    <w:rsid w:val="002F2A0C"/>
    <w:rsid w:val="002F2DD5"/>
    <w:rsid w:val="002F3999"/>
    <w:rsid w:val="002F4263"/>
    <w:rsid w:val="002F4335"/>
    <w:rsid w:val="002F46D1"/>
    <w:rsid w:val="002F538C"/>
    <w:rsid w:val="002F5E30"/>
    <w:rsid w:val="002F63C4"/>
    <w:rsid w:val="002F76A2"/>
    <w:rsid w:val="00300256"/>
    <w:rsid w:val="00300421"/>
    <w:rsid w:val="0030098C"/>
    <w:rsid w:val="00301545"/>
    <w:rsid w:val="00302EEA"/>
    <w:rsid w:val="0030336A"/>
    <w:rsid w:val="00303DDE"/>
    <w:rsid w:val="00304AB7"/>
    <w:rsid w:val="00304FEB"/>
    <w:rsid w:val="003052D7"/>
    <w:rsid w:val="003061FD"/>
    <w:rsid w:val="003068E9"/>
    <w:rsid w:val="003073CB"/>
    <w:rsid w:val="00307BFB"/>
    <w:rsid w:val="00307E91"/>
    <w:rsid w:val="00310AD3"/>
    <w:rsid w:val="00311143"/>
    <w:rsid w:val="003111DD"/>
    <w:rsid w:val="0031454E"/>
    <w:rsid w:val="00314704"/>
    <w:rsid w:val="00314C80"/>
    <w:rsid w:val="003153D9"/>
    <w:rsid w:val="00315F86"/>
    <w:rsid w:val="00316F53"/>
    <w:rsid w:val="0031778C"/>
    <w:rsid w:val="00317795"/>
    <w:rsid w:val="00317F89"/>
    <w:rsid w:val="00323589"/>
    <w:rsid w:val="003236A5"/>
    <w:rsid w:val="003241D5"/>
    <w:rsid w:val="00325809"/>
    <w:rsid w:val="00326CCB"/>
    <w:rsid w:val="0033034A"/>
    <w:rsid w:val="00330641"/>
    <w:rsid w:val="00330852"/>
    <w:rsid w:val="00330A18"/>
    <w:rsid w:val="00331C51"/>
    <w:rsid w:val="00332CBD"/>
    <w:rsid w:val="00332F54"/>
    <w:rsid w:val="0033325A"/>
    <w:rsid w:val="003335F1"/>
    <w:rsid w:val="00334CDB"/>
    <w:rsid w:val="00335290"/>
    <w:rsid w:val="0033664B"/>
    <w:rsid w:val="00340D82"/>
    <w:rsid w:val="003455D0"/>
    <w:rsid w:val="00345DF4"/>
    <w:rsid w:val="00345F8D"/>
    <w:rsid w:val="00345F9A"/>
    <w:rsid w:val="00346CB6"/>
    <w:rsid w:val="00346E2A"/>
    <w:rsid w:val="00346EE3"/>
    <w:rsid w:val="0034733C"/>
    <w:rsid w:val="00350252"/>
    <w:rsid w:val="003518E8"/>
    <w:rsid w:val="00352176"/>
    <w:rsid w:val="00352657"/>
    <w:rsid w:val="00354A8F"/>
    <w:rsid w:val="0035512F"/>
    <w:rsid w:val="00355BB9"/>
    <w:rsid w:val="00355FDB"/>
    <w:rsid w:val="003563B9"/>
    <w:rsid w:val="00360448"/>
    <w:rsid w:val="00361251"/>
    <w:rsid w:val="0036187A"/>
    <w:rsid w:val="00361CD7"/>
    <w:rsid w:val="003625F3"/>
    <w:rsid w:val="003643A0"/>
    <w:rsid w:val="00365536"/>
    <w:rsid w:val="0036734E"/>
    <w:rsid w:val="00370F99"/>
    <w:rsid w:val="0037149C"/>
    <w:rsid w:val="00371A06"/>
    <w:rsid w:val="003747DE"/>
    <w:rsid w:val="00380A9D"/>
    <w:rsid w:val="003817C4"/>
    <w:rsid w:val="0038263C"/>
    <w:rsid w:val="00384046"/>
    <w:rsid w:val="00385372"/>
    <w:rsid w:val="00385B7D"/>
    <w:rsid w:val="00386F84"/>
    <w:rsid w:val="00387109"/>
    <w:rsid w:val="00392C4C"/>
    <w:rsid w:val="00392C8E"/>
    <w:rsid w:val="00394C7A"/>
    <w:rsid w:val="00395170"/>
    <w:rsid w:val="003A169A"/>
    <w:rsid w:val="003A3766"/>
    <w:rsid w:val="003A3E59"/>
    <w:rsid w:val="003A4454"/>
    <w:rsid w:val="003A50FB"/>
    <w:rsid w:val="003A6194"/>
    <w:rsid w:val="003A7108"/>
    <w:rsid w:val="003B08ED"/>
    <w:rsid w:val="003B0943"/>
    <w:rsid w:val="003B19C3"/>
    <w:rsid w:val="003B2AF6"/>
    <w:rsid w:val="003B2D45"/>
    <w:rsid w:val="003B320C"/>
    <w:rsid w:val="003B331E"/>
    <w:rsid w:val="003B3C71"/>
    <w:rsid w:val="003B6CE9"/>
    <w:rsid w:val="003C0EDA"/>
    <w:rsid w:val="003C3078"/>
    <w:rsid w:val="003C47D1"/>
    <w:rsid w:val="003C48F8"/>
    <w:rsid w:val="003C4A3E"/>
    <w:rsid w:val="003C588D"/>
    <w:rsid w:val="003C61DE"/>
    <w:rsid w:val="003C6603"/>
    <w:rsid w:val="003C698C"/>
    <w:rsid w:val="003C6E54"/>
    <w:rsid w:val="003C7211"/>
    <w:rsid w:val="003D032C"/>
    <w:rsid w:val="003D0B96"/>
    <w:rsid w:val="003D1AD1"/>
    <w:rsid w:val="003D1BDE"/>
    <w:rsid w:val="003D318B"/>
    <w:rsid w:val="003D3703"/>
    <w:rsid w:val="003D6A0D"/>
    <w:rsid w:val="003D76B2"/>
    <w:rsid w:val="003E035D"/>
    <w:rsid w:val="003E0954"/>
    <w:rsid w:val="003E1BCE"/>
    <w:rsid w:val="003E3119"/>
    <w:rsid w:val="003E413B"/>
    <w:rsid w:val="003E4884"/>
    <w:rsid w:val="003E4E94"/>
    <w:rsid w:val="003E50E3"/>
    <w:rsid w:val="003E5E59"/>
    <w:rsid w:val="003E78B5"/>
    <w:rsid w:val="003E7997"/>
    <w:rsid w:val="003F1819"/>
    <w:rsid w:val="003F3EDC"/>
    <w:rsid w:val="003F6AFF"/>
    <w:rsid w:val="003F6EF9"/>
    <w:rsid w:val="004011B3"/>
    <w:rsid w:val="004013AF"/>
    <w:rsid w:val="00401CED"/>
    <w:rsid w:val="00402992"/>
    <w:rsid w:val="00403709"/>
    <w:rsid w:val="00404936"/>
    <w:rsid w:val="004057E2"/>
    <w:rsid w:val="004062D7"/>
    <w:rsid w:val="004107CA"/>
    <w:rsid w:val="00410BE7"/>
    <w:rsid w:val="00411FF3"/>
    <w:rsid w:val="00412021"/>
    <w:rsid w:val="0041308E"/>
    <w:rsid w:val="004146A6"/>
    <w:rsid w:val="00414C9E"/>
    <w:rsid w:val="00416063"/>
    <w:rsid w:val="0041689F"/>
    <w:rsid w:val="00416F16"/>
    <w:rsid w:val="0041778C"/>
    <w:rsid w:val="00420F72"/>
    <w:rsid w:val="004210D5"/>
    <w:rsid w:val="00421BCA"/>
    <w:rsid w:val="0042245C"/>
    <w:rsid w:val="00424383"/>
    <w:rsid w:val="00424632"/>
    <w:rsid w:val="00425E3F"/>
    <w:rsid w:val="00425EBF"/>
    <w:rsid w:val="00426985"/>
    <w:rsid w:val="00427721"/>
    <w:rsid w:val="00432426"/>
    <w:rsid w:val="004377A6"/>
    <w:rsid w:val="00437E4B"/>
    <w:rsid w:val="00440F19"/>
    <w:rsid w:val="00441EF2"/>
    <w:rsid w:val="00442717"/>
    <w:rsid w:val="00442849"/>
    <w:rsid w:val="00444397"/>
    <w:rsid w:val="00444DE7"/>
    <w:rsid w:val="0044618A"/>
    <w:rsid w:val="004461E3"/>
    <w:rsid w:val="004462D0"/>
    <w:rsid w:val="0044684F"/>
    <w:rsid w:val="00446A4E"/>
    <w:rsid w:val="00446ACC"/>
    <w:rsid w:val="00446D29"/>
    <w:rsid w:val="00447350"/>
    <w:rsid w:val="00447E26"/>
    <w:rsid w:val="00452179"/>
    <w:rsid w:val="00453B1A"/>
    <w:rsid w:val="00453E04"/>
    <w:rsid w:val="00454252"/>
    <w:rsid w:val="00454A19"/>
    <w:rsid w:val="00454A57"/>
    <w:rsid w:val="00454CDB"/>
    <w:rsid w:val="004553F0"/>
    <w:rsid w:val="004559B2"/>
    <w:rsid w:val="004575DA"/>
    <w:rsid w:val="004605D0"/>
    <w:rsid w:val="0046090A"/>
    <w:rsid w:val="00460D50"/>
    <w:rsid w:val="00462BFA"/>
    <w:rsid w:val="00463AD8"/>
    <w:rsid w:val="0046500C"/>
    <w:rsid w:val="004650B1"/>
    <w:rsid w:val="00465298"/>
    <w:rsid w:val="004678C4"/>
    <w:rsid w:val="004717F2"/>
    <w:rsid w:val="00472FA1"/>
    <w:rsid w:val="004735DC"/>
    <w:rsid w:val="00474061"/>
    <w:rsid w:val="004750B8"/>
    <w:rsid w:val="004751BA"/>
    <w:rsid w:val="00476142"/>
    <w:rsid w:val="00476BD8"/>
    <w:rsid w:val="0048244E"/>
    <w:rsid w:val="004826CB"/>
    <w:rsid w:val="00482753"/>
    <w:rsid w:val="004832F5"/>
    <w:rsid w:val="0048459A"/>
    <w:rsid w:val="004845B8"/>
    <w:rsid w:val="004849E8"/>
    <w:rsid w:val="00485E71"/>
    <w:rsid w:val="004876A9"/>
    <w:rsid w:val="00490592"/>
    <w:rsid w:val="00492E95"/>
    <w:rsid w:val="004932E4"/>
    <w:rsid w:val="00493A93"/>
    <w:rsid w:val="004948D6"/>
    <w:rsid w:val="00497A1F"/>
    <w:rsid w:val="00497E98"/>
    <w:rsid w:val="004A0EC9"/>
    <w:rsid w:val="004A1116"/>
    <w:rsid w:val="004A161A"/>
    <w:rsid w:val="004A1FD7"/>
    <w:rsid w:val="004A2428"/>
    <w:rsid w:val="004A3A5D"/>
    <w:rsid w:val="004A42F2"/>
    <w:rsid w:val="004A4C30"/>
    <w:rsid w:val="004A6792"/>
    <w:rsid w:val="004A6ABD"/>
    <w:rsid w:val="004A7583"/>
    <w:rsid w:val="004B1FDD"/>
    <w:rsid w:val="004B2F16"/>
    <w:rsid w:val="004B3E37"/>
    <w:rsid w:val="004B50A8"/>
    <w:rsid w:val="004B7CC1"/>
    <w:rsid w:val="004C0001"/>
    <w:rsid w:val="004C088E"/>
    <w:rsid w:val="004C1FEE"/>
    <w:rsid w:val="004C281C"/>
    <w:rsid w:val="004C3D54"/>
    <w:rsid w:val="004C4728"/>
    <w:rsid w:val="004C4BF7"/>
    <w:rsid w:val="004C4CE3"/>
    <w:rsid w:val="004C4CEC"/>
    <w:rsid w:val="004C506D"/>
    <w:rsid w:val="004C58BE"/>
    <w:rsid w:val="004C639A"/>
    <w:rsid w:val="004C691D"/>
    <w:rsid w:val="004C6F6F"/>
    <w:rsid w:val="004C73AD"/>
    <w:rsid w:val="004C7BED"/>
    <w:rsid w:val="004C7D3E"/>
    <w:rsid w:val="004D1A58"/>
    <w:rsid w:val="004D2053"/>
    <w:rsid w:val="004D27C4"/>
    <w:rsid w:val="004D3826"/>
    <w:rsid w:val="004D3843"/>
    <w:rsid w:val="004D3895"/>
    <w:rsid w:val="004D41E1"/>
    <w:rsid w:val="004D5431"/>
    <w:rsid w:val="004D5AC2"/>
    <w:rsid w:val="004D5E83"/>
    <w:rsid w:val="004D7630"/>
    <w:rsid w:val="004E159D"/>
    <w:rsid w:val="004E15D1"/>
    <w:rsid w:val="004E2D9A"/>
    <w:rsid w:val="004E391E"/>
    <w:rsid w:val="004E3BEA"/>
    <w:rsid w:val="004E59F7"/>
    <w:rsid w:val="004E5D8B"/>
    <w:rsid w:val="004E6D3E"/>
    <w:rsid w:val="004F08BA"/>
    <w:rsid w:val="004F116B"/>
    <w:rsid w:val="004F2684"/>
    <w:rsid w:val="004F30F3"/>
    <w:rsid w:val="004F3C1D"/>
    <w:rsid w:val="004F4F90"/>
    <w:rsid w:val="004F5F06"/>
    <w:rsid w:val="004F5F9D"/>
    <w:rsid w:val="004F60D9"/>
    <w:rsid w:val="004F6C29"/>
    <w:rsid w:val="004F7051"/>
    <w:rsid w:val="004F7095"/>
    <w:rsid w:val="004F79E7"/>
    <w:rsid w:val="005006FF"/>
    <w:rsid w:val="0050070B"/>
    <w:rsid w:val="00502E88"/>
    <w:rsid w:val="00503083"/>
    <w:rsid w:val="00505536"/>
    <w:rsid w:val="00505B4F"/>
    <w:rsid w:val="00506441"/>
    <w:rsid w:val="0051053B"/>
    <w:rsid w:val="005124A5"/>
    <w:rsid w:val="005147EC"/>
    <w:rsid w:val="00514D54"/>
    <w:rsid w:val="0051622B"/>
    <w:rsid w:val="0051664A"/>
    <w:rsid w:val="00516723"/>
    <w:rsid w:val="005170FC"/>
    <w:rsid w:val="00517B36"/>
    <w:rsid w:val="00517C39"/>
    <w:rsid w:val="00520ABF"/>
    <w:rsid w:val="00520BBD"/>
    <w:rsid w:val="005227E5"/>
    <w:rsid w:val="00524AE0"/>
    <w:rsid w:val="00524F00"/>
    <w:rsid w:val="00525CA9"/>
    <w:rsid w:val="00526095"/>
    <w:rsid w:val="00526288"/>
    <w:rsid w:val="00530F42"/>
    <w:rsid w:val="00530F46"/>
    <w:rsid w:val="00532657"/>
    <w:rsid w:val="005336A7"/>
    <w:rsid w:val="005336D1"/>
    <w:rsid w:val="00535560"/>
    <w:rsid w:val="00536E79"/>
    <w:rsid w:val="00540573"/>
    <w:rsid w:val="00540616"/>
    <w:rsid w:val="005416D8"/>
    <w:rsid w:val="00543542"/>
    <w:rsid w:val="00543D55"/>
    <w:rsid w:val="00543F30"/>
    <w:rsid w:val="005440B8"/>
    <w:rsid w:val="0054527F"/>
    <w:rsid w:val="0054563B"/>
    <w:rsid w:val="00546310"/>
    <w:rsid w:val="00546C87"/>
    <w:rsid w:val="00546CD8"/>
    <w:rsid w:val="005501ED"/>
    <w:rsid w:val="005509CE"/>
    <w:rsid w:val="00550EB0"/>
    <w:rsid w:val="005517A9"/>
    <w:rsid w:val="0055441B"/>
    <w:rsid w:val="0055560A"/>
    <w:rsid w:val="00555C1B"/>
    <w:rsid w:val="00561456"/>
    <w:rsid w:val="00561D37"/>
    <w:rsid w:val="00562095"/>
    <w:rsid w:val="005626DC"/>
    <w:rsid w:val="005633BC"/>
    <w:rsid w:val="005638BB"/>
    <w:rsid w:val="00563E93"/>
    <w:rsid w:val="005649BD"/>
    <w:rsid w:val="005659FA"/>
    <w:rsid w:val="00566694"/>
    <w:rsid w:val="00567449"/>
    <w:rsid w:val="005678C9"/>
    <w:rsid w:val="00567BB9"/>
    <w:rsid w:val="0057125C"/>
    <w:rsid w:val="00571653"/>
    <w:rsid w:val="00571BD8"/>
    <w:rsid w:val="00571E22"/>
    <w:rsid w:val="0057309F"/>
    <w:rsid w:val="00573E4F"/>
    <w:rsid w:val="005741AE"/>
    <w:rsid w:val="005742D4"/>
    <w:rsid w:val="005744DC"/>
    <w:rsid w:val="00574D04"/>
    <w:rsid w:val="00576CE4"/>
    <w:rsid w:val="005779AB"/>
    <w:rsid w:val="00580436"/>
    <w:rsid w:val="00580865"/>
    <w:rsid w:val="005809B4"/>
    <w:rsid w:val="00581373"/>
    <w:rsid w:val="00581EC4"/>
    <w:rsid w:val="00582721"/>
    <w:rsid w:val="0058404F"/>
    <w:rsid w:val="0058421D"/>
    <w:rsid w:val="00584C85"/>
    <w:rsid w:val="00586DFB"/>
    <w:rsid w:val="00586EE9"/>
    <w:rsid w:val="00590FDA"/>
    <w:rsid w:val="00591B7E"/>
    <w:rsid w:val="00592DAD"/>
    <w:rsid w:val="005946A8"/>
    <w:rsid w:val="00594D0B"/>
    <w:rsid w:val="00596F6B"/>
    <w:rsid w:val="005A1124"/>
    <w:rsid w:val="005A1B0E"/>
    <w:rsid w:val="005A2156"/>
    <w:rsid w:val="005A297D"/>
    <w:rsid w:val="005A3319"/>
    <w:rsid w:val="005A4457"/>
    <w:rsid w:val="005A71E2"/>
    <w:rsid w:val="005A7637"/>
    <w:rsid w:val="005B0027"/>
    <w:rsid w:val="005B13A4"/>
    <w:rsid w:val="005B1BF7"/>
    <w:rsid w:val="005B2AD3"/>
    <w:rsid w:val="005B3C69"/>
    <w:rsid w:val="005B40F0"/>
    <w:rsid w:val="005B4509"/>
    <w:rsid w:val="005B558E"/>
    <w:rsid w:val="005B5A5C"/>
    <w:rsid w:val="005B5C5B"/>
    <w:rsid w:val="005B5D9A"/>
    <w:rsid w:val="005B62FC"/>
    <w:rsid w:val="005B643B"/>
    <w:rsid w:val="005B76F5"/>
    <w:rsid w:val="005C19AC"/>
    <w:rsid w:val="005C2455"/>
    <w:rsid w:val="005C382B"/>
    <w:rsid w:val="005C39E7"/>
    <w:rsid w:val="005C4384"/>
    <w:rsid w:val="005C447F"/>
    <w:rsid w:val="005C6C11"/>
    <w:rsid w:val="005C7B5A"/>
    <w:rsid w:val="005D087C"/>
    <w:rsid w:val="005D2E09"/>
    <w:rsid w:val="005D3733"/>
    <w:rsid w:val="005D4EB4"/>
    <w:rsid w:val="005D52B0"/>
    <w:rsid w:val="005D5765"/>
    <w:rsid w:val="005D6291"/>
    <w:rsid w:val="005E1EF8"/>
    <w:rsid w:val="005E2EA8"/>
    <w:rsid w:val="005E43A3"/>
    <w:rsid w:val="005E45D5"/>
    <w:rsid w:val="005E65DF"/>
    <w:rsid w:val="005E6F9D"/>
    <w:rsid w:val="005F132B"/>
    <w:rsid w:val="005F1C88"/>
    <w:rsid w:val="005F1E1B"/>
    <w:rsid w:val="005F1F2C"/>
    <w:rsid w:val="005F3FB2"/>
    <w:rsid w:val="005F55F2"/>
    <w:rsid w:val="005F76A9"/>
    <w:rsid w:val="005F7A03"/>
    <w:rsid w:val="00601979"/>
    <w:rsid w:val="00601DD7"/>
    <w:rsid w:val="00602723"/>
    <w:rsid w:val="00602FC6"/>
    <w:rsid w:val="006031D7"/>
    <w:rsid w:val="006040E0"/>
    <w:rsid w:val="0060478C"/>
    <w:rsid w:val="00606695"/>
    <w:rsid w:val="006071F7"/>
    <w:rsid w:val="006073B7"/>
    <w:rsid w:val="00607A41"/>
    <w:rsid w:val="00610379"/>
    <w:rsid w:val="0061047A"/>
    <w:rsid w:val="00610C30"/>
    <w:rsid w:val="00610CD9"/>
    <w:rsid w:val="00611AAC"/>
    <w:rsid w:val="00611F6C"/>
    <w:rsid w:val="00614E9A"/>
    <w:rsid w:val="00616E37"/>
    <w:rsid w:val="00617474"/>
    <w:rsid w:val="00617727"/>
    <w:rsid w:val="006206B5"/>
    <w:rsid w:val="00620B44"/>
    <w:rsid w:val="00621BE0"/>
    <w:rsid w:val="00622F3C"/>
    <w:rsid w:val="00624DB2"/>
    <w:rsid w:val="006255F7"/>
    <w:rsid w:val="006258F5"/>
    <w:rsid w:val="00627E8D"/>
    <w:rsid w:val="00630C59"/>
    <w:rsid w:val="00631BC4"/>
    <w:rsid w:val="00631F97"/>
    <w:rsid w:val="00632964"/>
    <w:rsid w:val="00632B54"/>
    <w:rsid w:val="00632D98"/>
    <w:rsid w:val="0063379A"/>
    <w:rsid w:val="006372F7"/>
    <w:rsid w:val="00640386"/>
    <w:rsid w:val="0064142B"/>
    <w:rsid w:val="00642E98"/>
    <w:rsid w:val="006444D0"/>
    <w:rsid w:val="006449EC"/>
    <w:rsid w:val="00644DAB"/>
    <w:rsid w:val="00646664"/>
    <w:rsid w:val="0064694E"/>
    <w:rsid w:val="00650207"/>
    <w:rsid w:val="006507C8"/>
    <w:rsid w:val="00650B99"/>
    <w:rsid w:val="00650D46"/>
    <w:rsid w:val="0065122B"/>
    <w:rsid w:val="00651EC5"/>
    <w:rsid w:val="0065269E"/>
    <w:rsid w:val="0065332E"/>
    <w:rsid w:val="006536F5"/>
    <w:rsid w:val="00654EEE"/>
    <w:rsid w:val="00656AB7"/>
    <w:rsid w:val="00657735"/>
    <w:rsid w:val="00660434"/>
    <w:rsid w:val="00661061"/>
    <w:rsid w:val="00662FD5"/>
    <w:rsid w:val="0066315A"/>
    <w:rsid w:val="00663EDB"/>
    <w:rsid w:val="00666FC6"/>
    <w:rsid w:val="006675FE"/>
    <w:rsid w:val="00671B7A"/>
    <w:rsid w:val="0067217D"/>
    <w:rsid w:val="00675AC7"/>
    <w:rsid w:val="0067627A"/>
    <w:rsid w:val="00676DDD"/>
    <w:rsid w:val="006802FD"/>
    <w:rsid w:val="006811BF"/>
    <w:rsid w:val="00681D07"/>
    <w:rsid w:val="00682976"/>
    <w:rsid w:val="00682D7D"/>
    <w:rsid w:val="00684957"/>
    <w:rsid w:val="006857BA"/>
    <w:rsid w:val="00686731"/>
    <w:rsid w:val="0068685C"/>
    <w:rsid w:val="006879CF"/>
    <w:rsid w:val="00690553"/>
    <w:rsid w:val="0069063B"/>
    <w:rsid w:val="00691162"/>
    <w:rsid w:val="00691D65"/>
    <w:rsid w:val="00692652"/>
    <w:rsid w:val="00695281"/>
    <w:rsid w:val="00696A9B"/>
    <w:rsid w:val="006977B7"/>
    <w:rsid w:val="006A0B76"/>
    <w:rsid w:val="006A1102"/>
    <w:rsid w:val="006A17C7"/>
    <w:rsid w:val="006A1CAC"/>
    <w:rsid w:val="006A26D9"/>
    <w:rsid w:val="006A2C47"/>
    <w:rsid w:val="006A2CE6"/>
    <w:rsid w:val="006A313A"/>
    <w:rsid w:val="006A38DD"/>
    <w:rsid w:val="006A3925"/>
    <w:rsid w:val="006A621C"/>
    <w:rsid w:val="006A6A63"/>
    <w:rsid w:val="006A6AEA"/>
    <w:rsid w:val="006A7358"/>
    <w:rsid w:val="006B0155"/>
    <w:rsid w:val="006B1DC8"/>
    <w:rsid w:val="006B1FC5"/>
    <w:rsid w:val="006B26BD"/>
    <w:rsid w:val="006B2718"/>
    <w:rsid w:val="006B3571"/>
    <w:rsid w:val="006B38AC"/>
    <w:rsid w:val="006B442F"/>
    <w:rsid w:val="006B69C1"/>
    <w:rsid w:val="006B7882"/>
    <w:rsid w:val="006B7CCA"/>
    <w:rsid w:val="006C0426"/>
    <w:rsid w:val="006C3510"/>
    <w:rsid w:val="006C4053"/>
    <w:rsid w:val="006C4D19"/>
    <w:rsid w:val="006C641A"/>
    <w:rsid w:val="006C673F"/>
    <w:rsid w:val="006C6E10"/>
    <w:rsid w:val="006D1316"/>
    <w:rsid w:val="006D1497"/>
    <w:rsid w:val="006D1B82"/>
    <w:rsid w:val="006D1E93"/>
    <w:rsid w:val="006D2816"/>
    <w:rsid w:val="006D2882"/>
    <w:rsid w:val="006D337D"/>
    <w:rsid w:val="006D4811"/>
    <w:rsid w:val="006D5AC8"/>
    <w:rsid w:val="006D69BD"/>
    <w:rsid w:val="006E076B"/>
    <w:rsid w:val="006E0955"/>
    <w:rsid w:val="006E186C"/>
    <w:rsid w:val="006E3734"/>
    <w:rsid w:val="006E3C57"/>
    <w:rsid w:val="006E3F34"/>
    <w:rsid w:val="006E43E5"/>
    <w:rsid w:val="006E50CF"/>
    <w:rsid w:val="006E75E8"/>
    <w:rsid w:val="006E7DFF"/>
    <w:rsid w:val="006F1474"/>
    <w:rsid w:val="006F29CB"/>
    <w:rsid w:val="006F2A09"/>
    <w:rsid w:val="006F56E6"/>
    <w:rsid w:val="006F5C1B"/>
    <w:rsid w:val="006F5DC6"/>
    <w:rsid w:val="006F6C2D"/>
    <w:rsid w:val="006F76E2"/>
    <w:rsid w:val="00702A91"/>
    <w:rsid w:val="007030A1"/>
    <w:rsid w:val="00703E2F"/>
    <w:rsid w:val="00704A5D"/>
    <w:rsid w:val="007054C6"/>
    <w:rsid w:val="00705A5D"/>
    <w:rsid w:val="00705CAE"/>
    <w:rsid w:val="00705F7E"/>
    <w:rsid w:val="00706769"/>
    <w:rsid w:val="00707434"/>
    <w:rsid w:val="00707E34"/>
    <w:rsid w:val="007102FF"/>
    <w:rsid w:val="00710360"/>
    <w:rsid w:val="007105C9"/>
    <w:rsid w:val="00712953"/>
    <w:rsid w:val="00713A75"/>
    <w:rsid w:val="00715039"/>
    <w:rsid w:val="0071514F"/>
    <w:rsid w:val="00715488"/>
    <w:rsid w:val="00715C62"/>
    <w:rsid w:val="00716018"/>
    <w:rsid w:val="00716C72"/>
    <w:rsid w:val="00717E91"/>
    <w:rsid w:val="0072009E"/>
    <w:rsid w:val="00720E03"/>
    <w:rsid w:val="007228CD"/>
    <w:rsid w:val="00722DE7"/>
    <w:rsid w:val="00723D6B"/>
    <w:rsid w:val="007243A5"/>
    <w:rsid w:val="007250A4"/>
    <w:rsid w:val="00725186"/>
    <w:rsid w:val="00725C65"/>
    <w:rsid w:val="00727D29"/>
    <w:rsid w:val="0073081A"/>
    <w:rsid w:val="00730C32"/>
    <w:rsid w:val="00732527"/>
    <w:rsid w:val="00733625"/>
    <w:rsid w:val="007341EB"/>
    <w:rsid w:val="007343C2"/>
    <w:rsid w:val="00734493"/>
    <w:rsid w:val="007355CA"/>
    <w:rsid w:val="007359E7"/>
    <w:rsid w:val="00736A7D"/>
    <w:rsid w:val="00737AD1"/>
    <w:rsid w:val="00737CED"/>
    <w:rsid w:val="0074051C"/>
    <w:rsid w:val="0074062A"/>
    <w:rsid w:val="007417C4"/>
    <w:rsid w:val="00742F93"/>
    <w:rsid w:val="00743288"/>
    <w:rsid w:val="0074470E"/>
    <w:rsid w:val="0074490B"/>
    <w:rsid w:val="00744B7D"/>
    <w:rsid w:val="00745E04"/>
    <w:rsid w:val="00746B43"/>
    <w:rsid w:val="00747C61"/>
    <w:rsid w:val="007501E7"/>
    <w:rsid w:val="007501EC"/>
    <w:rsid w:val="0075202D"/>
    <w:rsid w:val="00752472"/>
    <w:rsid w:val="007524C8"/>
    <w:rsid w:val="00753319"/>
    <w:rsid w:val="00754B83"/>
    <w:rsid w:val="00756206"/>
    <w:rsid w:val="0075687B"/>
    <w:rsid w:val="0075721E"/>
    <w:rsid w:val="00757B9B"/>
    <w:rsid w:val="00760034"/>
    <w:rsid w:val="0076181C"/>
    <w:rsid w:val="0076202E"/>
    <w:rsid w:val="0076491A"/>
    <w:rsid w:val="00765173"/>
    <w:rsid w:val="007664E9"/>
    <w:rsid w:val="00767558"/>
    <w:rsid w:val="00767D84"/>
    <w:rsid w:val="00767FF5"/>
    <w:rsid w:val="00770108"/>
    <w:rsid w:val="00770BE2"/>
    <w:rsid w:val="0077200F"/>
    <w:rsid w:val="007723DD"/>
    <w:rsid w:val="00772565"/>
    <w:rsid w:val="00772F5F"/>
    <w:rsid w:val="0077460A"/>
    <w:rsid w:val="00774F32"/>
    <w:rsid w:val="007750D9"/>
    <w:rsid w:val="00775FE1"/>
    <w:rsid w:val="00776206"/>
    <w:rsid w:val="00776A68"/>
    <w:rsid w:val="00776CF5"/>
    <w:rsid w:val="00777848"/>
    <w:rsid w:val="00777A87"/>
    <w:rsid w:val="00781006"/>
    <w:rsid w:val="007817A1"/>
    <w:rsid w:val="00781F14"/>
    <w:rsid w:val="0078333A"/>
    <w:rsid w:val="00785A42"/>
    <w:rsid w:val="00786574"/>
    <w:rsid w:val="00787238"/>
    <w:rsid w:val="0078741F"/>
    <w:rsid w:val="00787E8A"/>
    <w:rsid w:val="00790750"/>
    <w:rsid w:val="00790DC1"/>
    <w:rsid w:val="00791B54"/>
    <w:rsid w:val="00793DA6"/>
    <w:rsid w:val="007943DF"/>
    <w:rsid w:val="00796BF7"/>
    <w:rsid w:val="0079756B"/>
    <w:rsid w:val="007A0B2C"/>
    <w:rsid w:val="007A3004"/>
    <w:rsid w:val="007A3DB1"/>
    <w:rsid w:val="007A45A8"/>
    <w:rsid w:val="007A468C"/>
    <w:rsid w:val="007A46FD"/>
    <w:rsid w:val="007A49D7"/>
    <w:rsid w:val="007A5C89"/>
    <w:rsid w:val="007A5F84"/>
    <w:rsid w:val="007A671F"/>
    <w:rsid w:val="007A79A0"/>
    <w:rsid w:val="007A7E63"/>
    <w:rsid w:val="007B00FB"/>
    <w:rsid w:val="007B05E6"/>
    <w:rsid w:val="007B0650"/>
    <w:rsid w:val="007B2625"/>
    <w:rsid w:val="007B2CF6"/>
    <w:rsid w:val="007B392F"/>
    <w:rsid w:val="007B59C8"/>
    <w:rsid w:val="007B6AFF"/>
    <w:rsid w:val="007B7741"/>
    <w:rsid w:val="007C000F"/>
    <w:rsid w:val="007C0952"/>
    <w:rsid w:val="007C2242"/>
    <w:rsid w:val="007C28F0"/>
    <w:rsid w:val="007C4033"/>
    <w:rsid w:val="007C4A7F"/>
    <w:rsid w:val="007C4CE5"/>
    <w:rsid w:val="007C75C8"/>
    <w:rsid w:val="007D026F"/>
    <w:rsid w:val="007D02B2"/>
    <w:rsid w:val="007D02F4"/>
    <w:rsid w:val="007D0686"/>
    <w:rsid w:val="007D42EF"/>
    <w:rsid w:val="007D5E5B"/>
    <w:rsid w:val="007D67D2"/>
    <w:rsid w:val="007D6A11"/>
    <w:rsid w:val="007D6B2F"/>
    <w:rsid w:val="007D7395"/>
    <w:rsid w:val="007E1082"/>
    <w:rsid w:val="007E1DF9"/>
    <w:rsid w:val="007E4F3D"/>
    <w:rsid w:val="007E54B9"/>
    <w:rsid w:val="007E69D8"/>
    <w:rsid w:val="007F12FC"/>
    <w:rsid w:val="007F53D1"/>
    <w:rsid w:val="007F605B"/>
    <w:rsid w:val="007F68ED"/>
    <w:rsid w:val="007F6BAD"/>
    <w:rsid w:val="007F7B01"/>
    <w:rsid w:val="0080202A"/>
    <w:rsid w:val="008029A2"/>
    <w:rsid w:val="0080593B"/>
    <w:rsid w:val="008066E8"/>
    <w:rsid w:val="00806F66"/>
    <w:rsid w:val="00807AAF"/>
    <w:rsid w:val="00811798"/>
    <w:rsid w:val="00811F25"/>
    <w:rsid w:val="008125DA"/>
    <w:rsid w:val="00813077"/>
    <w:rsid w:val="00814472"/>
    <w:rsid w:val="0081467A"/>
    <w:rsid w:val="008151E0"/>
    <w:rsid w:val="00815BFC"/>
    <w:rsid w:val="00815ECB"/>
    <w:rsid w:val="008173E9"/>
    <w:rsid w:val="00817FB1"/>
    <w:rsid w:val="00820306"/>
    <w:rsid w:val="0082051C"/>
    <w:rsid w:val="0082135E"/>
    <w:rsid w:val="0082336B"/>
    <w:rsid w:val="00823EA1"/>
    <w:rsid w:val="008244EF"/>
    <w:rsid w:val="008248A0"/>
    <w:rsid w:val="00824BEF"/>
    <w:rsid w:val="00825E57"/>
    <w:rsid w:val="00826331"/>
    <w:rsid w:val="00826526"/>
    <w:rsid w:val="00830545"/>
    <w:rsid w:val="00830942"/>
    <w:rsid w:val="008312C2"/>
    <w:rsid w:val="00831575"/>
    <w:rsid w:val="00831E1A"/>
    <w:rsid w:val="00834A4E"/>
    <w:rsid w:val="00834FCF"/>
    <w:rsid w:val="0083607D"/>
    <w:rsid w:val="00836881"/>
    <w:rsid w:val="008404B5"/>
    <w:rsid w:val="0084144F"/>
    <w:rsid w:val="00841C28"/>
    <w:rsid w:val="008432A3"/>
    <w:rsid w:val="00844CA8"/>
    <w:rsid w:val="008464CD"/>
    <w:rsid w:val="00847CED"/>
    <w:rsid w:val="00850389"/>
    <w:rsid w:val="008507E4"/>
    <w:rsid w:val="00851BEA"/>
    <w:rsid w:val="008523FA"/>
    <w:rsid w:val="008544B1"/>
    <w:rsid w:val="008545AC"/>
    <w:rsid w:val="008558D1"/>
    <w:rsid w:val="00855AB3"/>
    <w:rsid w:val="008561D3"/>
    <w:rsid w:val="00856613"/>
    <w:rsid w:val="008570E7"/>
    <w:rsid w:val="00857E59"/>
    <w:rsid w:val="00861556"/>
    <w:rsid w:val="008620FD"/>
    <w:rsid w:val="00862544"/>
    <w:rsid w:val="00863DA7"/>
    <w:rsid w:val="00863EE6"/>
    <w:rsid w:val="008651B8"/>
    <w:rsid w:val="00865576"/>
    <w:rsid w:val="00866136"/>
    <w:rsid w:val="00866DD7"/>
    <w:rsid w:val="008672DE"/>
    <w:rsid w:val="00867595"/>
    <w:rsid w:val="00867994"/>
    <w:rsid w:val="0087042E"/>
    <w:rsid w:val="00871496"/>
    <w:rsid w:val="00871BBF"/>
    <w:rsid w:val="00871CB2"/>
    <w:rsid w:val="00871FF3"/>
    <w:rsid w:val="0087271A"/>
    <w:rsid w:val="00872F4F"/>
    <w:rsid w:val="0087355C"/>
    <w:rsid w:val="008754C1"/>
    <w:rsid w:val="008777B6"/>
    <w:rsid w:val="00877EB6"/>
    <w:rsid w:val="00880645"/>
    <w:rsid w:val="00880FA6"/>
    <w:rsid w:val="00881CD9"/>
    <w:rsid w:val="00881DDA"/>
    <w:rsid w:val="00881F16"/>
    <w:rsid w:val="00881F39"/>
    <w:rsid w:val="0088471E"/>
    <w:rsid w:val="00885052"/>
    <w:rsid w:val="0088520C"/>
    <w:rsid w:val="00885CC8"/>
    <w:rsid w:val="00887A26"/>
    <w:rsid w:val="00891200"/>
    <w:rsid w:val="00891318"/>
    <w:rsid w:val="0089142E"/>
    <w:rsid w:val="00892DE0"/>
    <w:rsid w:val="008940A0"/>
    <w:rsid w:val="00894FC8"/>
    <w:rsid w:val="00895B5F"/>
    <w:rsid w:val="00895BBD"/>
    <w:rsid w:val="00897A83"/>
    <w:rsid w:val="008A087E"/>
    <w:rsid w:val="008A0AAB"/>
    <w:rsid w:val="008A1361"/>
    <w:rsid w:val="008A1565"/>
    <w:rsid w:val="008A20FD"/>
    <w:rsid w:val="008A2CA2"/>
    <w:rsid w:val="008A2FB2"/>
    <w:rsid w:val="008A4398"/>
    <w:rsid w:val="008A5566"/>
    <w:rsid w:val="008A620A"/>
    <w:rsid w:val="008A6FBF"/>
    <w:rsid w:val="008B01DA"/>
    <w:rsid w:val="008B0749"/>
    <w:rsid w:val="008B0902"/>
    <w:rsid w:val="008B0A8C"/>
    <w:rsid w:val="008B1DBF"/>
    <w:rsid w:val="008B23DD"/>
    <w:rsid w:val="008B4B8E"/>
    <w:rsid w:val="008B509F"/>
    <w:rsid w:val="008B564D"/>
    <w:rsid w:val="008C04C4"/>
    <w:rsid w:val="008C1C54"/>
    <w:rsid w:val="008C2AD1"/>
    <w:rsid w:val="008C2B8D"/>
    <w:rsid w:val="008C2BBB"/>
    <w:rsid w:val="008C3166"/>
    <w:rsid w:val="008C47E1"/>
    <w:rsid w:val="008C5E20"/>
    <w:rsid w:val="008C6D9A"/>
    <w:rsid w:val="008C71BA"/>
    <w:rsid w:val="008C7668"/>
    <w:rsid w:val="008D1A75"/>
    <w:rsid w:val="008D25F7"/>
    <w:rsid w:val="008D2638"/>
    <w:rsid w:val="008D29E0"/>
    <w:rsid w:val="008D3149"/>
    <w:rsid w:val="008D3AB8"/>
    <w:rsid w:val="008D4E20"/>
    <w:rsid w:val="008D6022"/>
    <w:rsid w:val="008D68BD"/>
    <w:rsid w:val="008D6A55"/>
    <w:rsid w:val="008D7169"/>
    <w:rsid w:val="008D71A6"/>
    <w:rsid w:val="008D7B2F"/>
    <w:rsid w:val="008E1E01"/>
    <w:rsid w:val="008E2E32"/>
    <w:rsid w:val="008E3704"/>
    <w:rsid w:val="008E45A0"/>
    <w:rsid w:val="008E5A8D"/>
    <w:rsid w:val="008E61BE"/>
    <w:rsid w:val="008E6B5C"/>
    <w:rsid w:val="008E6C48"/>
    <w:rsid w:val="008E751A"/>
    <w:rsid w:val="008E78A0"/>
    <w:rsid w:val="008E7946"/>
    <w:rsid w:val="008E7A84"/>
    <w:rsid w:val="008F0C7D"/>
    <w:rsid w:val="008F201A"/>
    <w:rsid w:val="008F4074"/>
    <w:rsid w:val="008F4AEF"/>
    <w:rsid w:val="008F5527"/>
    <w:rsid w:val="008F56EC"/>
    <w:rsid w:val="008F5E28"/>
    <w:rsid w:val="008F6836"/>
    <w:rsid w:val="00900F5D"/>
    <w:rsid w:val="009014EB"/>
    <w:rsid w:val="00902061"/>
    <w:rsid w:val="00904AFE"/>
    <w:rsid w:val="009055B9"/>
    <w:rsid w:val="00906354"/>
    <w:rsid w:val="009101BE"/>
    <w:rsid w:val="009124EC"/>
    <w:rsid w:val="00912BD5"/>
    <w:rsid w:val="00913131"/>
    <w:rsid w:val="00913226"/>
    <w:rsid w:val="009132D0"/>
    <w:rsid w:val="00913E3D"/>
    <w:rsid w:val="00913ECF"/>
    <w:rsid w:val="00914CDD"/>
    <w:rsid w:val="0091565F"/>
    <w:rsid w:val="0091631B"/>
    <w:rsid w:val="00920792"/>
    <w:rsid w:val="00921082"/>
    <w:rsid w:val="00922CE8"/>
    <w:rsid w:val="00922E6A"/>
    <w:rsid w:val="0092352D"/>
    <w:rsid w:val="00924152"/>
    <w:rsid w:val="009243A9"/>
    <w:rsid w:val="009253FC"/>
    <w:rsid w:val="00925784"/>
    <w:rsid w:val="00925F58"/>
    <w:rsid w:val="00927353"/>
    <w:rsid w:val="00927706"/>
    <w:rsid w:val="009309EB"/>
    <w:rsid w:val="0093147C"/>
    <w:rsid w:val="0093172A"/>
    <w:rsid w:val="009328B0"/>
    <w:rsid w:val="00932BDA"/>
    <w:rsid w:val="009356C7"/>
    <w:rsid w:val="00935763"/>
    <w:rsid w:val="00937175"/>
    <w:rsid w:val="00940135"/>
    <w:rsid w:val="00940711"/>
    <w:rsid w:val="00940EFC"/>
    <w:rsid w:val="00941107"/>
    <w:rsid w:val="00941D7D"/>
    <w:rsid w:val="00943A0C"/>
    <w:rsid w:val="00943C5A"/>
    <w:rsid w:val="009441C6"/>
    <w:rsid w:val="00944EEE"/>
    <w:rsid w:val="0094501B"/>
    <w:rsid w:val="00947085"/>
    <w:rsid w:val="00947B11"/>
    <w:rsid w:val="00950141"/>
    <w:rsid w:val="00950607"/>
    <w:rsid w:val="009529A7"/>
    <w:rsid w:val="00952DFF"/>
    <w:rsid w:val="009535CC"/>
    <w:rsid w:val="00954989"/>
    <w:rsid w:val="00956B70"/>
    <w:rsid w:val="00956DB8"/>
    <w:rsid w:val="00956E8C"/>
    <w:rsid w:val="009600D4"/>
    <w:rsid w:val="0096131B"/>
    <w:rsid w:val="00962683"/>
    <w:rsid w:val="00962E09"/>
    <w:rsid w:val="009630EE"/>
    <w:rsid w:val="00963325"/>
    <w:rsid w:val="00964C4C"/>
    <w:rsid w:val="00971ABA"/>
    <w:rsid w:val="009763E7"/>
    <w:rsid w:val="00976C18"/>
    <w:rsid w:val="00976FBC"/>
    <w:rsid w:val="009775FC"/>
    <w:rsid w:val="00977DE9"/>
    <w:rsid w:val="0098053B"/>
    <w:rsid w:val="00980976"/>
    <w:rsid w:val="00980CE2"/>
    <w:rsid w:val="00982267"/>
    <w:rsid w:val="0098290D"/>
    <w:rsid w:val="00983603"/>
    <w:rsid w:val="009839D1"/>
    <w:rsid w:val="00983FF8"/>
    <w:rsid w:val="00984354"/>
    <w:rsid w:val="00984884"/>
    <w:rsid w:val="0098534F"/>
    <w:rsid w:val="009853D3"/>
    <w:rsid w:val="00985623"/>
    <w:rsid w:val="009858FB"/>
    <w:rsid w:val="00985FAB"/>
    <w:rsid w:val="00986527"/>
    <w:rsid w:val="00990D04"/>
    <w:rsid w:val="00991F15"/>
    <w:rsid w:val="009924B6"/>
    <w:rsid w:val="009931B4"/>
    <w:rsid w:val="00993900"/>
    <w:rsid w:val="00994175"/>
    <w:rsid w:val="00994329"/>
    <w:rsid w:val="00994984"/>
    <w:rsid w:val="009976E0"/>
    <w:rsid w:val="009A2666"/>
    <w:rsid w:val="009A2F29"/>
    <w:rsid w:val="009A45E3"/>
    <w:rsid w:val="009A5356"/>
    <w:rsid w:val="009A59DB"/>
    <w:rsid w:val="009A75BA"/>
    <w:rsid w:val="009A75F3"/>
    <w:rsid w:val="009B0C9B"/>
    <w:rsid w:val="009B1435"/>
    <w:rsid w:val="009B199A"/>
    <w:rsid w:val="009B2A23"/>
    <w:rsid w:val="009B2FAC"/>
    <w:rsid w:val="009B34D7"/>
    <w:rsid w:val="009B460A"/>
    <w:rsid w:val="009B4DBB"/>
    <w:rsid w:val="009B5246"/>
    <w:rsid w:val="009B5B6B"/>
    <w:rsid w:val="009B66EB"/>
    <w:rsid w:val="009C085A"/>
    <w:rsid w:val="009C10AA"/>
    <w:rsid w:val="009C134C"/>
    <w:rsid w:val="009C2A33"/>
    <w:rsid w:val="009C2EA7"/>
    <w:rsid w:val="009C363A"/>
    <w:rsid w:val="009C4CCC"/>
    <w:rsid w:val="009C5447"/>
    <w:rsid w:val="009C5D7C"/>
    <w:rsid w:val="009C6427"/>
    <w:rsid w:val="009C64B8"/>
    <w:rsid w:val="009C6930"/>
    <w:rsid w:val="009C79B2"/>
    <w:rsid w:val="009C7F35"/>
    <w:rsid w:val="009D08F3"/>
    <w:rsid w:val="009D0FDE"/>
    <w:rsid w:val="009D1537"/>
    <w:rsid w:val="009D15C9"/>
    <w:rsid w:val="009D1E6A"/>
    <w:rsid w:val="009D2A50"/>
    <w:rsid w:val="009D4342"/>
    <w:rsid w:val="009D434B"/>
    <w:rsid w:val="009D4C9F"/>
    <w:rsid w:val="009D5069"/>
    <w:rsid w:val="009D5208"/>
    <w:rsid w:val="009D6177"/>
    <w:rsid w:val="009D7951"/>
    <w:rsid w:val="009E14C2"/>
    <w:rsid w:val="009E1A21"/>
    <w:rsid w:val="009E1E5A"/>
    <w:rsid w:val="009E26F5"/>
    <w:rsid w:val="009E2CA9"/>
    <w:rsid w:val="009E39E9"/>
    <w:rsid w:val="009E42D4"/>
    <w:rsid w:val="009E5063"/>
    <w:rsid w:val="009E5159"/>
    <w:rsid w:val="009E5D3D"/>
    <w:rsid w:val="009E658A"/>
    <w:rsid w:val="009E669D"/>
    <w:rsid w:val="009E6D9F"/>
    <w:rsid w:val="009E773F"/>
    <w:rsid w:val="009F0781"/>
    <w:rsid w:val="009F1B55"/>
    <w:rsid w:val="009F31E1"/>
    <w:rsid w:val="009F683D"/>
    <w:rsid w:val="009F6C89"/>
    <w:rsid w:val="00A0696C"/>
    <w:rsid w:val="00A0729C"/>
    <w:rsid w:val="00A07502"/>
    <w:rsid w:val="00A07966"/>
    <w:rsid w:val="00A07A76"/>
    <w:rsid w:val="00A10F73"/>
    <w:rsid w:val="00A118CD"/>
    <w:rsid w:val="00A11A8E"/>
    <w:rsid w:val="00A12387"/>
    <w:rsid w:val="00A13B8E"/>
    <w:rsid w:val="00A148E2"/>
    <w:rsid w:val="00A15A30"/>
    <w:rsid w:val="00A17766"/>
    <w:rsid w:val="00A2371F"/>
    <w:rsid w:val="00A23AF5"/>
    <w:rsid w:val="00A24280"/>
    <w:rsid w:val="00A270AD"/>
    <w:rsid w:val="00A27189"/>
    <w:rsid w:val="00A27231"/>
    <w:rsid w:val="00A325CB"/>
    <w:rsid w:val="00A3535D"/>
    <w:rsid w:val="00A35F7A"/>
    <w:rsid w:val="00A400F7"/>
    <w:rsid w:val="00A40469"/>
    <w:rsid w:val="00A41A7D"/>
    <w:rsid w:val="00A430A2"/>
    <w:rsid w:val="00A44286"/>
    <w:rsid w:val="00A4602B"/>
    <w:rsid w:val="00A4619E"/>
    <w:rsid w:val="00A47051"/>
    <w:rsid w:val="00A4717E"/>
    <w:rsid w:val="00A4729E"/>
    <w:rsid w:val="00A47CB4"/>
    <w:rsid w:val="00A505FC"/>
    <w:rsid w:val="00A5199A"/>
    <w:rsid w:val="00A54545"/>
    <w:rsid w:val="00A545A3"/>
    <w:rsid w:val="00A54B8D"/>
    <w:rsid w:val="00A5668F"/>
    <w:rsid w:val="00A56AB2"/>
    <w:rsid w:val="00A5744E"/>
    <w:rsid w:val="00A5783E"/>
    <w:rsid w:val="00A60088"/>
    <w:rsid w:val="00A6171F"/>
    <w:rsid w:val="00A62AB3"/>
    <w:rsid w:val="00A62E7E"/>
    <w:rsid w:val="00A63224"/>
    <w:rsid w:val="00A66AA7"/>
    <w:rsid w:val="00A67800"/>
    <w:rsid w:val="00A678C0"/>
    <w:rsid w:val="00A717B3"/>
    <w:rsid w:val="00A7417A"/>
    <w:rsid w:val="00A747A9"/>
    <w:rsid w:val="00A7508F"/>
    <w:rsid w:val="00A7517C"/>
    <w:rsid w:val="00A75D6E"/>
    <w:rsid w:val="00A75F1C"/>
    <w:rsid w:val="00A76E6B"/>
    <w:rsid w:val="00A802A8"/>
    <w:rsid w:val="00A80E94"/>
    <w:rsid w:val="00A8105B"/>
    <w:rsid w:val="00A81C20"/>
    <w:rsid w:val="00A83959"/>
    <w:rsid w:val="00A83E7F"/>
    <w:rsid w:val="00A8597C"/>
    <w:rsid w:val="00A86985"/>
    <w:rsid w:val="00A87185"/>
    <w:rsid w:val="00A9044A"/>
    <w:rsid w:val="00A90761"/>
    <w:rsid w:val="00A90CD2"/>
    <w:rsid w:val="00A91712"/>
    <w:rsid w:val="00A93835"/>
    <w:rsid w:val="00A93AF8"/>
    <w:rsid w:val="00A950F8"/>
    <w:rsid w:val="00A961C3"/>
    <w:rsid w:val="00AA02A9"/>
    <w:rsid w:val="00AA1291"/>
    <w:rsid w:val="00AA3241"/>
    <w:rsid w:val="00AA3E15"/>
    <w:rsid w:val="00AA4439"/>
    <w:rsid w:val="00AA5458"/>
    <w:rsid w:val="00AA5ABF"/>
    <w:rsid w:val="00AA65BE"/>
    <w:rsid w:val="00AA7B27"/>
    <w:rsid w:val="00AB069E"/>
    <w:rsid w:val="00AB0B1E"/>
    <w:rsid w:val="00AB264A"/>
    <w:rsid w:val="00AB2DCB"/>
    <w:rsid w:val="00AB4B75"/>
    <w:rsid w:val="00AB4B82"/>
    <w:rsid w:val="00AB605D"/>
    <w:rsid w:val="00AB67D8"/>
    <w:rsid w:val="00AB7106"/>
    <w:rsid w:val="00AC2425"/>
    <w:rsid w:val="00AC34A9"/>
    <w:rsid w:val="00AC388B"/>
    <w:rsid w:val="00AC38F7"/>
    <w:rsid w:val="00AC7576"/>
    <w:rsid w:val="00AC770A"/>
    <w:rsid w:val="00AC7C0E"/>
    <w:rsid w:val="00AD0975"/>
    <w:rsid w:val="00AD1F4B"/>
    <w:rsid w:val="00AD357C"/>
    <w:rsid w:val="00AD4244"/>
    <w:rsid w:val="00AD4CE4"/>
    <w:rsid w:val="00AD5BCB"/>
    <w:rsid w:val="00AD71C1"/>
    <w:rsid w:val="00AD737E"/>
    <w:rsid w:val="00AE128B"/>
    <w:rsid w:val="00AE15A4"/>
    <w:rsid w:val="00AE15D7"/>
    <w:rsid w:val="00AE2F5D"/>
    <w:rsid w:val="00AE304B"/>
    <w:rsid w:val="00AE49E3"/>
    <w:rsid w:val="00AE4C14"/>
    <w:rsid w:val="00AE695D"/>
    <w:rsid w:val="00AE6A22"/>
    <w:rsid w:val="00AE6BB8"/>
    <w:rsid w:val="00AE7534"/>
    <w:rsid w:val="00AE77B3"/>
    <w:rsid w:val="00AE7FEA"/>
    <w:rsid w:val="00AF05CA"/>
    <w:rsid w:val="00AF1B9B"/>
    <w:rsid w:val="00AF1C72"/>
    <w:rsid w:val="00AF1D90"/>
    <w:rsid w:val="00AF1E82"/>
    <w:rsid w:val="00AF1F85"/>
    <w:rsid w:val="00AF2375"/>
    <w:rsid w:val="00AF265D"/>
    <w:rsid w:val="00AF3D39"/>
    <w:rsid w:val="00AF4801"/>
    <w:rsid w:val="00AF4E98"/>
    <w:rsid w:val="00AF5591"/>
    <w:rsid w:val="00AF6054"/>
    <w:rsid w:val="00AF6DE8"/>
    <w:rsid w:val="00AF6F3A"/>
    <w:rsid w:val="00B000C3"/>
    <w:rsid w:val="00B0069A"/>
    <w:rsid w:val="00B01CB0"/>
    <w:rsid w:val="00B027DC"/>
    <w:rsid w:val="00B0331E"/>
    <w:rsid w:val="00B0488D"/>
    <w:rsid w:val="00B05B30"/>
    <w:rsid w:val="00B063FA"/>
    <w:rsid w:val="00B06B04"/>
    <w:rsid w:val="00B07544"/>
    <w:rsid w:val="00B11197"/>
    <w:rsid w:val="00B11484"/>
    <w:rsid w:val="00B11EF0"/>
    <w:rsid w:val="00B1221B"/>
    <w:rsid w:val="00B16A43"/>
    <w:rsid w:val="00B178FE"/>
    <w:rsid w:val="00B20E17"/>
    <w:rsid w:val="00B20E56"/>
    <w:rsid w:val="00B21A3E"/>
    <w:rsid w:val="00B23467"/>
    <w:rsid w:val="00B247A1"/>
    <w:rsid w:val="00B25EA5"/>
    <w:rsid w:val="00B266D3"/>
    <w:rsid w:val="00B300F7"/>
    <w:rsid w:val="00B30158"/>
    <w:rsid w:val="00B318C7"/>
    <w:rsid w:val="00B32FBC"/>
    <w:rsid w:val="00B33184"/>
    <w:rsid w:val="00B3377A"/>
    <w:rsid w:val="00B34F95"/>
    <w:rsid w:val="00B41468"/>
    <w:rsid w:val="00B4234F"/>
    <w:rsid w:val="00B44CE5"/>
    <w:rsid w:val="00B44E43"/>
    <w:rsid w:val="00B45DBF"/>
    <w:rsid w:val="00B47257"/>
    <w:rsid w:val="00B47817"/>
    <w:rsid w:val="00B5123B"/>
    <w:rsid w:val="00B519EB"/>
    <w:rsid w:val="00B52530"/>
    <w:rsid w:val="00B53965"/>
    <w:rsid w:val="00B56489"/>
    <w:rsid w:val="00B5692A"/>
    <w:rsid w:val="00B56C86"/>
    <w:rsid w:val="00B57CC1"/>
    <w:rsid w:val="00B616F5"/>
    <w:rsid w:val="00B63153"/>
    <w:rsid w:val="00B638E0"/>
    <w:rsid w:val="00B66735"/>
    <w:rsid w:val="00B66BAB"/>
    <w:rsid w:val="00B71ECD"/>
    <w:rsid w:val="00B7230E"/>
    <w:rsid w:val="00B7245B"/>
    <w:rsid w:val="00B72F55"/>
    <w:rsid w:val="00B75C21"/>
    <w:rsid w:val="00B82244"/>
    <w:rsid w:val="00B8293A"/>
    <w:rsid w:val="00B84043"/>
    <w:rsid w:val="00B8414C"/>
    <w:rsid w:val="00B84159"/>
    <w:rsid w:val="00B84DD9"/>
    <w:rsid w:val="00B8543B"/>
    <w:rsid w:val="00B85F7C"/>
    <w:rsid w:val="00B863BF"/>
    <w:rsid w:val="00B863D6"/>
    <w:rsid w:val="00B86674"/>
    <w:rsid w:val="00B90AFB"/>
    <w:rsid w:val="00B913EA"/>
    <w:rsid w:val="00B920F4"/>
    <w:rsid w:val="00B9486A"/>
    <w:rsid w:val="00B9531F"/>
    <w:rsid w:val="00B954F9"/>
    <w:rsid w:val="00B9566A"/>
    <w:rsid w:val="00B9739F"/>
    <w:rsid w:val="00B97FCA"/>
    <w:rsid w:val="00BA0294"/>
    <w:rsid w:val="00BA04E6"/>
    <w:rsid w:val="00BA0508"/>
    <w:rsid w:val="00BA142F"/>
    <w:rsid w:val="00BA4061"/>
    <w:rsid w:val="00BA407D"/>
    <w:rsid w:val="00BA503F"/>
    <w:rsid w:val="00BA5A8B"/>
    <w:rsid w:val="00BA5B18"/>
    <w:rsid w:val="00BA5CE8"/>
    <w:rsid w:val="00BA6F83"/>
    <w:rsid w:val="00BB0C1E"/>
    <w:rsid w:val="00BB0D52"/>
    <w:rsid w:val="00BB1506"/>
    <w:rsid w:val="00BB3382"/>
    <w:rsid w:val="00BB3D86"/>
    <w:rsid w:val="00BB4124"/>
    <w:rsid w:val="00BB4198"/>
    <w:rsid w:val="00BB486C"/>
    <w:rsid w:val="00BB69F0"/>
    <w:rsid w:val="00BB6B72"/>
    <w:rsid w:val="00BB7BCA"/>
    <w:rsid w:val="00BC0795"/>
    <w:rsid w:val="00BC0BDE"/>
    <w:rsid w:val="00BC14AD"/>
    <w:rsid w:val="00BC291F"/>
    <w:rsid w:val="00BC3988"/>
    <w:rsid w:val="00BC47B0"/>
    <w:rsid w:val="00BC4C70"/>
    <w:rsid w:val="00BC4FB9"/>
    <w:rsid w:val="00BC4FEA"/>
    <w:rsid w:val="00BC51A4"/>
    <w:rsid w:val="00BC5731"/>
    <w:rsid w:val="00BC5BDF"/>
    <w:rsid w:val="00BC7A3C"/>
    <w:rsid w:val="00BD06EF"/>
    <w:rsid w:val="00BD079F"/>
    <w:rsid w:val="00BD08F8"/>
    <w:rsid w:val="00BD3085"/>
    <w:rsid w:val="00BD39D6"/>
    <w:rsid w:val="00BD556F"/>
    <w:rsid w:val="00BD5A47"/>
    <w:rsid w:val="00BD5BEC"/>
    <w:rsid w:val="00BD5C6C"/>
    <w:rsid w:val="00BD610F"/>
    <w:rsid w:val="00BD7190"/>
    <w:rsid w:val="00BD74EE"/>
    <w:rsid w:val="00BD7ABF"/>
    <w:rsid w:val="00BD7C52"/>
    <w:rsid w:val="00BE2F0C"/>
    <w:rsid w:val="00BE4D36"/>
    <w:rsid w:val="00BE5BAF"/>
    <w:rsid w:val="00BE6577"/>
    <w:rsid w:val="00BE6B9B"/>
    <w:rsid w:val="00BE7690"/>
    <w:rsid w:val="00BF0C50"/>
    <w:rsid w:val="00BF2A22"/>
    <w:rsid w:val="00BF3031"/>
    <w:rsid w:val="00BF355C"/>
    <w:rsid w:val="00BF428D"/>
    <w:rsid w:val="00BF466A"/>
    <w:rsid w:val="00BF540A"/>
    <w:rsid w:val="00BF5F4F"/>
    <w:rsid w:val="00BF6C2F"/>
    <w:rsid w:val="00BF79E1"/>
    <w:rsid w:val="00BF7D43"/>
    <w:rsid w:val="00C0002C"/>
    <w:rsid w:val="00C007C4"/>
    <w:rsid w:val="00C00B61"/>
    <w:rsid w:val="00C022CB"/>
    <w:rsid w:val="00C02CDC"/>
    <w:rsid w:val="00C03823"/>
    <w:rsid w:val="00C03DF2"/>
    <w:rsid w:val="00C040DA"/>
    <w:rsid w:val="00C041EB"/>
    <w:rsid w:val="00C04C95"/>
    <w:rsid w:val="00C050DC"/>
    <w:rsid w:val="00C05E25"/>
    <w:rsid w:val="00C06212"/>
    <w:rsid w:val="00C06B8E"/>
    <w:rsid w:val="00C06D97"/>
    <w:rsid w:val="00C077F2"/>
    <w:rsid w:val="00C0781B"/>
    <w:rsid w:val="00C10FDB"/>
    <w:rsid w:val="00C13C87"/>
    <w:rsid w:val="00C1513C"/>
    <w:rsid w:val="00C153A7"/>
    <w:rsid w:val="00C15611"/>
    <w:rsid w:val="00C159BE"/>
    <w:rsid w:val="00C16D78"/>
    <w:rsid w:val="00C2006D"/>
    <w:rsid w:val="00C21C76"/>
    <w:rsid w:val="00C22474"/>
    <w:rsid w:val="00C22CAE"/>
    <w:rsid w:val="00C2335F"/>
    <w:rsid w:val="00C235CA"/>
    <w:rsid w:val="00C23CFE"/>
    <w:rsid w:val="00C256DE"/>
    <w:rsid w:val="00C258C2"/>
    <w:rsid w:val="00C261FE"/>
    <w:rsid w:val="00C2729C"/>
    <w:rsid w:val="00C2782F"/>
    <w:rsid w:val="00C30D53"/>
    <w:rsid w:val="00C313A3"/>
    <w:rsid w:val="00C31F30"/>
    <w:rsid w:val="00C327E5"/>
    <w:rsid w:val="00C34B38"/>
    <w:rsid w:val="00C3589B"/>
    <w:rsid w:val="00C41230"/>
    <w:rsid w:val="00C41CD7"/>
    <w:rsid w:val="00C420FA"/>
    <w:rsid w:val="00C4294C"/>
    <w:rsid w:val="00C42CAB"/>
    <w:rsid w:val="00C434D6"/>
    <w:rsid w:val="00C44513"/>
    <w:rsid w:val="00C447D6"/>
    <w:rsid w:val="00C453F9"/>
    <w:rsid w:val="00C45574"/>
    <w:rsid w:val="00C471AA"/>
    <w:rsid w:val="00C47924"/>
    <w:rsid w:val="00C50A3F"/>
    <w:rsid w:val="00C51CCA"/>
    <w:rsid w:val="00C55926"/>
    <w:rsid w:val="00C55C23"/>
    <w:rsid w:val="00C560AF"/>
    <w:rsid w:val="00C57CEB"/>
    <w:rsid w:val="00C60113"/>
    <w:rsid w:val="00C60EFD"/>
    <w:rsid w:val="00C61F49"/>
    <w:rsid w:val="00C6295F"/>
    <w:rsid w:val="00C62D9C"/>
    <w:rsid w:val="00C63336"/>
    <w:rsid w:val="00C6377A"/>
    <w:rsid w:val="00C63A6F"/>
    <w:rsid w:val="00C63DCA"/>
    <w:rsid w:val="00C64E0E"/>
    <w:rsid w:val="00C6518C"/>
    <w:rsid w:val="00C654C7"/>
    <w:rsid w:val="00C659A2"/>
    <w:rsid w:val="00C6769C"/>
    <w:rsid w:val="00C678D1"/>
    <w:rsid w:val="00C71964"/>
    <w:rsid w:val="00C71B23"/>
    <w:rsid w:val="00C72BB4"/>
    <w:rsid w:val="00C72BD0"/>
    <w:rsid w:val="00C72C28"/>
    <w:rsid w:val="00C76602"/>
    <w:rsid w:val="00C77A89"/>
    <w:rsid w:val="00C77C18"/>
    <w:rsid w:val="00C80E00"/>
    <w:rsid w:val="00C812E2"/>
    <w:rsid w:val="00C819E0"/>
    <w:rsid w:val="00C8298B"/>
    <w:rsid w:val="00C8363E"/>
    <w:rsid w:val="00C83DB9"/>
    <w:rsid w:val="00C8597F"/>
    <w:rsid w:val="00C90766"/>
    <w:rsid w:val="00C90F1F"/>
    <w:rsid w:val="00C9124B"/>
    <w:rsid w:val="00C92F2A"/>
    <w:rsid w:val="00C94582"/>
    <w:rsid w:val="00C94765"/>
    <w:rsid w:val="00C94A3F"/>
    <w:rsid w:val="00C959E3"/>
    <w:rsid w:val="00C96487"/>
    <w:rsid w:val="00C97542"/>
    <w:rsid w:val="00CA0B83"/>
    <w:rsid w:val="00CA2084"/>
    <w:rsid w:val="00CA257A"/>
    <w:rsid w:val="00CA2D9C"/>
    <w:rsid w:val="00CA3DAC"/>
    <w:rsid w:val="00CA4503"/>
    <w:rsid w:val="00CA4B05"/>
    <w:rsid w:val="00CA4DBA"/>
    <w:rsid w:val="00CA54CB"/>
    <w:rsid w:val="00CA59B2"/>
    <w:rsid w:val="00CA6385"/>
    <w:rsid w:val="00CA6E55"/>
    <w:rsid w:val="00CB0BD6"/>
    <w:rsid w:val="00CB243D"/>
    <w:rsid w:val="00CB340B"/>
    <w:rsid w:val="00CB34E9"/>
    <w:rsid w:val="00CB3995"/>
    <w:rsid w:val="00CB3A32"/>
    <w:rsid w:val="00CB54FB"/>
    <w:rsid w:val="00CC02C8"/>
    <w:rsid w:val="00CC050D"/>
    <w:rsid w:val="00CC089C"/>
    <w:rsid w:val="00CC09FB"/>
    <w:rsid w:val="00CC1B32"/>
    <w:rsid w:val="00CC1DAD"/>
    <w:rsid w:val="00CC4FD2"/>
    <w:rsid w:val="00CC56B8"/>
    <w:rsid w:val="00CC60A6"/>
    <w:rsid w:val="00CC7968"/>
    <w:rsid w:val="00CD03FF"/>
    <w:rsid w:val="00CD2AC7"/>
    <w:rsid w:val="00CD433D"/>
    <w:rsid w:val="00CD62F7"/>
    <w:rsid w:val="00CD643B"/>
    <w:rsid w:val="00CD7FB6"/>
    <w:rsid w:val="00CE07BA"/>
    <w:rsid w:val="00CE1D64"/>
    <w:rsid w:val="00CE2743"/>
    <w:rsid w:val="00CE2959"/>
    <w:rsid w:val="00CE4540"/>
    <w:rsid w:val="00CE4A0A"/>
    <w:rsid w:val="00CE4B35"/>
    <w:rsid w:val="00CE4DC9"/>
    <w:rsid w:val="00CE522F"/>
    <w:rsid w:val="00CE6449"/>
    <w:rsid w:val="00CE71E2"/>
    <w:rsid w:val="00CF023C"/>
    <w:rsid w:val="00CF173F"/>
    <w:rsid w:val="00CF25B4"/>
    <w:rsid w:val="00CF3754"/>
    <w:rsid w:val="00CF37FE"/>
    <w:rsid w:val="00CF3EE5"/>
    <w:rsid w:val="00CF5415"/>
    <w:rsid w:val="00CF6182"/>
    <w:rsid w:val="00CF7BFB"/>
    <w:rsid w:val="00D007B8"/>
    <w:rsid w:val="00D00F16"/>
    <w:rsid w:val="00D016C5"/>
    <w:rsid w:val="00D01841"/>
    <w:rsid w:val="00D02581"/>
    <w:rsid w:val="00D025E3"/>
    <w:rsid w:val="00D040B7"/>
    <w:rsid w:val="00D05FD7"/>
    <w:rsid w:val="00D10760"/>
    <w:rsid w:val="00D15838"/>
    <w:rsid w:val="00D159EC"/>
    <w:rsid w:val="00D16D82"/>
    <w:rsid w:val="00D20020"/>
    <w:rsid w:val="00D2099C"/>
    <w:rsid w:val="00D22EFE"/>
    <w:rsid w:val="00D25F5B"/>
    <w:rsid w:val="00D264A2"/>
    <w:rsid w:val="00D27634"/>
    <w:rsid w:val="00D27C45"/>
    <w:rsid w:val="00D30428"/>
    <w:rsid w:val="00D30FB5"/>
    <w:rsid w:val="00D3160F"/>
    <w:rsid w:val="00D31678"/>
    <w:rsid w:val="00D32000"/>
    <w:rsid w:val="00D342AA"/>
    <w:rsid w:val="00D3475B"/>
    <w:rsid w:val="00D35156"/>
    <w:rsid w:val="00D364B9"/>
    <w:rsid w:val="00D3685D"/>
    <w:rsid w:val="00D36B72"/>
    <w:rsid w:val="00D36CF9"/>
    <w:rsid w:val="00D36FB4"/>
    <w:rsid w:val="00D405CE"/>
    <w:rsid w:val="00D40905"/>
    <w:rsid w:val="00D415C5"/>
    <w:rsid w:val="00D41CD5"/>
    <w:rsid w:val="00D42402"/>
    <w:rsid w:val="00D4274D"/>
    <w:rsid w:val="00D4390D"/>
    <w:rsid w:val="00D457F7"/>
    <w:rsid w:val="00D465C0"/>
    <w:rsid w:val="00D473F4"/>
    <w:rsid w:val="00D510D3"/>
    <w:rsid w:val="00D54261"/>
    <w:rsid w:val="00D54E5E"/>
    <w:rsid w:val="00D5544F"/>
    <w:rsid w:val="00D55A3D"/>
    <w:rsid w:val="00D6188D"/>
    <w:rsid w:val="00D62636"/>
    <w:rsid w:val="00D639EB"/>
    <w:rsid w:val="00D64A7E"/>
    <w:rsid w:val="00D66140"/>
    <w:rsid w:val="00D66607"/>
    <w:rsid w:val="00D67884"/>
    <w:rsid w:val="00D72483"/>
    <w:rsid w:val="00D726BA"/>
    <w:rsid w:val="00D73551"/>
    <w:rsid w:val="00D73F76"/>
    <w:rsid w:val="00D74803"/>
    <w:rsid w:val="00D751D1"/>
    <w:rsid w:val="00D759DE"/>
    <w:rsid w:val="00D76160"/>
    <w:rsid w:val="00D763D1"/>
    <w:rsid w:val="00D8007B"/>
    <w:rsid w:val="00D81829"/>
    <w:rsid w:val="00D81E4B"/>
    <w:rsid w:val="00D8224D"/>
    <w:rsid w:val="00D826EF"/>
    <w:rsid w:val="00D82934"/>
    <w:rsid w:val="00D82E93"/>
    <w:rsid w:val="00D8441D"/>
    <w:rsid w:val="00D84972"/>
    <w:rsid w:val="00D84E8A"/>
    <w:rsid w:val="00D85CC3"/>
    <w:rsid w:val="00D8641F"/>
    <w:rsid w:val="00D872D2"/>
    <w:rsid w:val="00D875C8"/>
    <w:rsid w:val="00D87C2E"/>
    <w:rsid w:val="00D87FBE"/>
    <w:rsid w:val="00D9090F"/>
    <w:rsid w:val="00D90E30"/>
    <w:rsid w:val="00D91047"/>
    <w:rsid w:val="00D94411"/>
    <w:rsid w:val="00D977E3"/>
    <w:rsid w:val="00DA12DF"/>
    <w:rsid w:val="00DA152F"/>
    <w:rsid w:val="00DA347F"/>
    <w:rsid w:val="00DA477F"/>
    <w:rsid w:val="00DA4A88"/>
    <w:rsid w:val="00DA7AB7"/>
    <w:rsid w:val="00DB07F2"/>
    <w:rsid w:val="00DB09A5"/>
    <w:rsid w:val="00DB0BDE"/>
    <w:rsid w:val="00DB21CE"/>
    <w:rsid w:val="00DB3177"/>
    <w:rsid w:val="00DB328B"/>
    <w:rsid w:val="00DB4C40"/>
    <w:rsid w:val="00DB50E1"/>
    <w:rsid w:val="00DB5196"/>
    <w:rsid w:val="00DB5A7C"/>
    <w:rsid w:val="00DB61D7"/>
    <w:rsid w:val="00DB77E1"/>
    <w:rsid w:val="00DB7D32"/>
    <w:rsid w:val="00DC003E"/>
    <w:rsid w:val="00DC02BC"/>
    <w:rsid w:val="00DC0338"/>
    <w:rsid w:val="00DC0507"/>
    <w:rsid w:val="00DC0D5E"/>
    <w:rsid w:val="00DC18C7"/>
    <w:rsid w:val="00DC19AD"/>
    <w:rsid w:val="00DC2E2B"/>
    <w:rsid w:val="00DC4093"/>
    <w:rsid w:val="00DC531C"/>
    <w:rsid w:val="00DD08F6"/>
    <w:rsid w:val="00DD1760"/>
    <w:rsid w:val="00DD2ACA"/>
    <w:rsid w:val="00DD2FD9"/>
    <w:rsid w:val="00DD3782"/>
    <w:rsid w:val="00DD3D88"/>
    <w:rsid w:val="00DD4E6E"/>
    <w:rsid w:val="00DD502C"/>
    <w:rsid w:val="00DD5794"/>
    <w:rsid w:val="00DD67FE"/>
    <w:rsid w:val="00DD7EAE"/>
    <w:rsid w:val="00DE010E"/>
    <w:rsid w:val="00DE0BD7"/>
    <w:rsid w:val="00DE1571"/>
    <w:rsid w:val="00DE217A"/>
    <w:rsid w:val="00DE26F6"/>
    <w:rsid w:val="00DE2B89"/>
    <w:rsid w:val="00DE5074"/>
    <w:rsid w:val="00DE616E"/>
    <w:rsid w:val="00DE6744"/>
    <w:rsid w:val="00DE78F7"/>
    <w:rsid w:val="00DF1C08"/>
    <w:rsid w:val="00DF3609"/>
    <w:rsid w:val="00DF4F77"/>
    <w:rsid w:val="00DF56A4"/>
    <w:rsid w:val="00DF56CF"/>
    <w:rsid w:val="00E00E03"/>
    <w:rsid w:val="00E014D2"/>
    <w:rsid w:val="00E01DF1"/>
    <w:rsid w:val="00E02FE8"/>
    <w:rsid w:val="00E034B6"/>
    <w:rsid w:val="00E0372B"/>
    <w:rsid w:val="00E03B73"/>
    <w:rsid w:val="00E0432C"/>
    <w:rsid w:val="00E04BDD"/>
    <w:rsid w:val="00E058D6"/>
    <w:rsid w:val="00E059AF"/>
    <w:rsid w:val="00E0695B"/>
    <w:rsid w:val="00E10DA7"/>
    <w:rsid w:val="00E125D9"/>
    <w:rsid w:val="00E162F2"/>
    <w:rsid w:val="00E17297"/>
    <w:rsid w:val="00E177A6"/>
    <w:rsid w:val="00E2022F"/>
    <w:rsid w:val="00E21562"/>
    <w:rsid w:val="00E216D3"/>
    <w:rsid w:val="00E21B54"/>
    <w:rsid w:val="00E225D1"/>
    <w:rsid w:val="00E23404"/>
    <w:rsid w:val="00E23AE4"/>
    <w:rsid w:val="00E24270"/>
    <w:rsid w:val="00E24600"/>
    <w:rsid w:val="00E25009"/>
    <w:rsid w:val="00E25236"/>
    <w:rsid w:val="00E25E65"/>
    <w:rsid w:val="00E265A4"/>
    <w:rsid w:val="00E2676E"/>
    <w:rsid w:val="00E272D6"/>
    <w:rsid w:val="00E27B95"/>
    <w:rsid w:val="00E3129B"/>
    <w:rsid w:val="00E312C3"/>
    <w:rsid w:val="00E33604"/>
    <w:rsid w:val="00E33C6A"/>
    <w:rsid w:val="00E351EE"/>
    <w:rsid w:val="00E35713"/>
    <w:rsid w:val="00E36321"/>
    <w:rsid w:val="00E37D04"/>
    <w:rsid w:val="00E40921"/>
    <w:rsid w:val="00E40B82"/>
    <w:rsid w:val="00E41A87"/>
    <w:rsid w:val="00E42413"/>
    <w:rsid w:val="00E43757"/>
    <w:rsid w:val="00E4502E"/>
    <w:rsid w:val="00E4559F"/>
    <w:rsid w:val="00E45645"/>
    <w:rsid w:val="00E46189"/>
    <w:rsid w:val="00E4620C"/>
    <w:rsid w:val="00E52F31"/>
    <w:rsid w:val="00E53321"/>
    <w:rsid w:val="00E54A67"/>
    <w:rsid w:val="00E556F8"/>
    <w:rsid w:val="00E55F5C"/>
    <w:rsid w:val="00E61437"/>
    <w:rsid w:val="00E6239E"/>
    <w:rsid w:val="00E62884"/>
    <w:rsid w:val="00E65500"/>
    <w:rsid w:val="00E66DEF"/>
    <w:rsid w:val="00E73317"/>
    <w:rsid w:val="00E757C3"/>
    <w:rsid w:val="00E764ED"/>
    <w:rsid w:val="00E77DA2"/>
    <w:rsid w:val="00E8096A"/>
    <w:rsid w:val="00E812FA"/>
    <w:rsid w:val="00E82DB3"/>
    <w:rsid w:val="00E83E77"/>
    <w:rsid w:val="00E84C8B"/>
    <w:rsid w:val="00E868CB"/>
    <w:rsid w:val="00E86D27"/>
    <w:rsid w:val="00E87F59"/>
    <w:rsid w:val="00E90FF3"/>
    <w:rsid w:val="00E92A7D"/>
    <w:rsid w:val="00E92D67"/>
    <w:rsid w:val="00E93713"/>
    <w:rsid w:val="00E94A24"/>
    <w:rsid w:val="00E96A3D"/>
    <w:rsid w:val="00EA167F"/>
    <w:rsid w:val="00EA1A78"/>
    <w:rsid w:val="00EA1B69"/>
    <w:rsid w:val="00EA2497"/>
    <w:rsid w:val="00EA2F09"/>
    <w:rsid w:val="00EA3A1C"/>
    <w:rsid w:val="00EA3D3B"/>
    <w:rsid w:val="00EA5125"/>
    <w:rsid w:val="00EA60F1"/>
    <w:rsid w:val="00EB01DE"/>
    <w:rsid w:val="00EB0908"/>
    <w:rsid w:val="00EB0FFF"/>
    <w:rsid w:val="00EB1E4D"/>
    <w:rsid w:val="00EB21DE"/>
    <w:rsid w:val="00EB3A8B"/>
    <w:rsid w:val="00EB5699"/>
    <w:rsid w:val="00EB6333"/>
    <w:rsid w:val="00EB6BF1"/>
    <w:rsid w:val="00EC27D4"/>
    <w:rsid w:val="00EC3A65"/>
    <w:rsid w:val="00EC51CE"/>
    <w:rsid w:val="00EC6EA6"/>
    <w:rsid w:val="00EC7B14"/>
    <w:rsid w:val="00ED0C36"/>
    <w:rsid w:val="00ED5903"/>
    <w:rsid w:val="00ED60BE"/>
    <w:rsid w:val="00ED61FA"/>
    <w:rsid w:val="00EE06B1"/>
    <w:rsid w:val="00EE18C4"/>
    <w:rsid w:val="00EE19C6"/>
    <w:rsid w:val="00EE2862"/>
    <w:rsid w:val="00EE4A20"/>
    <w:rsid w:val="00EE4BCE"/>
    <w:rsid w:val="00EE52B4"/>
    <w:rsid w:val="00EE6B03"/>
    <w:rsid w:val="00EE6E02"/>
    <w:rsid w:val="00EF0C82"/>
    <w:rsid w:val="00EF1413"/>
    <w:rsid w:val="00EF25FA"/>
    <w:rsid w:val="00EF4DE2"/>
    <w:rsid w:val="00EF611F"/>
    <w:rsid w:val="00EF7B86"/>
    <w:rsid w:val="00F000AA"/>
    <w:rsid w:val="00F020BA"/>
    <w:rsid w:val="00F02DCC"/>
    <w:rsid w:val="00F032E2"/>
    <w:rsid w:val="00F03F53"/>
    <w:rsid w:val="00F07DE7"/>
    <w:rsid w:val="00F10756"/>
    <w:rsid w:val="00F11627"/>
    <w:rsid w:val="00F1235F"/>
    <w:rsid w:val="00F12F5C"/>
    <w:rsid w:val="00F133F6"/>
    <w:rsid w:val="00F1359F"/>
    <w:rsid w:val="00F1377F"/>
    <w:rsid w:val="00F13D5A"/>
    <w:rsid w:val="00F15124"/>
    <w:rsid w:val="00F15675"/>
    <w:rsid w:val="00F156C8"/>
    <w:rsid w:val="00F15D6E"/>
    <w:rsid w:val="00F1714A"/>
    <w:rsid w:val="00F17517"/>
    <w:rsid w:val="00F17993"/>
    <w:rsid w:val="00F20CA8"/>
    <w:rsid w:val="00F22F16"/>
    <w:rsid w:val="00F23157"/>
    <w:rsid w:val="00F25970"/>
    <w:rsid w:val="00F25A2D"/>
    <w:rsid w:val="00F262C4"/>
    <w:rsid w:val="00F26336"/>
    <w:rsid w:val="00F26BB6"/>
    <w:rsid w:val="00F2731F"/>
    <w:rsid w:val="00F27CCA"/>
    <w:rsid w:val="00F31006"/>
    <w:rsid w:val="00F321F5"/>
    <w:rsid w:val="00F327C4"/>
    <w:rsid w:val="00F33975"/>
    <w:rsid w:val="00F34989"/>
    <w:rsid w:val="00F36197"/>
    <w:rsid w:val="00F36C29"/>
    <w:rsid w:val="00F4025C"/>
    <w:rsid w:val="00F4074E"/>
    <w:rsid w:val="00F41014"/>
    <w:rsid w:val="00F415F4"/>
    <w:rsid w:val="00F42EF0"/>
    <w:rsid w:val="00F476D1"/>
    <w:rsid w:val="00F5017A"/>
    <w:rsid w:val="00F501B0"/>
    <w:rsid w:val="00F507A6"/>
    <w:rsid w:val="00F52820"/>
    <w:rsid w:val="00F55D9B"/>
    <w:rsid w:val="00F55E89"/>
    <w:rsid w:val="00F56265"/>
    <w:rsid w:val="00F575C6"/>
    <w:rsid w:val="00F6013B"/>
    <w:rsid w:val="00F609F9"/>
    <w:rsid w:val="00F61240"/>
    <w:rsid w:val="00F61771"/>
    <w:rsid w:val="00F6416E"/>
    <w:rsid w:val="00F66153"/>
    <w:rsid w:val="00F67ED9"/>
    <w:rsid w:val="00F70293"/>
    <w:rsid w:val="00F73DF9"/>
    <w:rsid w:val="00F759C2"/>
    <w:rsid w:val="00F76314"/>
    <w:rsid w:val="00F82C87"/>
    <w:rsid w:val="00F8427D"/>
    <w:rsid w:val="00F84563"/>
    <w:rsid w:val="00F85691"/>
    <w:rsid w:val="00F85F24"/>
    <w:rsid w:val="00F87445"/>
    <w:rsid w:val="00F92285"/>
    <w:rsid w:val="00F92F4E"/>
    <w:rsid w:val="00F960EA"/>
    <w:rsid w:val="00FA10EC"/>
    <w:rsid w:val="00FA14DB"/>
    <w:rsid w:val="00FA160A"/>
    <w:rsid w:val="00FA1A8B"/>
    <w:rsid w:val="00FA1BBC"/>
    <w:rsid w:val="00FA1CAE"/>
    <w:rsid w:val="00FA242A"/>
    <w:rsid w:val="00FA3AD9"/>
    <w:rsid w:val="00FA5031"/>
    <w:rsid w:val="00FA5528"/>
    <w:rsid w:val="00FA55D1"/>
    <w:rsid w:val="00FA56F3"/>
    <w:rsid w:val="00FB07F7"/>
    <w:rsid w:val="00FB08E7"/>
    <w:rsid w:val="00FB0BEC"/>
    <w:rsid w:val="00FB0E4B"/>
    <w:rsid w:val="00FB1BB2"/>
    <w:rsid w:val="00FB3775"/>
    <w:rsid w:val="00FB39BE"/>
    <w:rsid w:val="00FB3E1A"/>
    <w:rsid w:val="00FB4B0F"/>
    <w:rsid w:val="00FB4EEC"/>
    <w:rsid w:val="00FB606E"/>
    <w:rsid w:val="00FB6DEE"/>
    <w:rsid w:val="00FC024B"/>
    <w:rsid w:val="00FC158C"/>
    <w:rsid w:val="00FC2B3B"/>
    <w:rsid w:val="00FC2C73"/>
    <w:rsid w:val="00FC3653"/>
    <w:rsid w:val="00FC3715"/>
    <w:rsid w:val="00FC6119"/>
    <w:rsid w:val="00FC6A95"/>
    <w:rsid w:val="00FD07E8"/>
    <w:rsid w:val="00FD0839"/>
    <w:rsid w:val="00FD1025"/>
    <w:rsid w:val="00FD2035"/>
    <w:rsid w:val="00FD2B90"/>
    <w:rsid w:val="00FD63F6"/>
    <w:rsid w:val="00FD7D9D"/>
    <w:rsid w:val="00FE062C"/>
    <w:rsid w:val="00FE0EDF"/>
    <w:rsid w:val="00FE12DA"/>
    <w:rsid w:val="00FE1D7F"/>
    <w:rsid w:val="00FE21A3"/>
    <w:rsid w:val="00FE23D8"/>
    <w:rsid w:val="00FE28EB"/>
    <w:rsid w:val="00FE2FEE"/>
    <w:rsid w:val="00FE43EC"/>
    <w:rsid w:val="00FE5F79"/>
    <w:rsid w:val="00FE7BF2"/>
    <w:rsid w:val="00FF0775"/>
    <w:rsid w:val="00FF0E94"/>
    <w:rsid w:val="00FF17A5"/>
    <w:rsid w:val="00FF5B5F"/>
    <w:rsid w:val="00FF6F63"/>
    <w:rsid w:val="00FF6FD3"/>
    <w:rsid w:val="00FF7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2D9CC"/>
  <w15:docId w15:val="{73312C67-170F-764C-A0ED-20B8EC80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08"/>
    <w:pPr>
      <w:spacing w:after="200" w:line="276" w:lineRule="auto"/>
    </w:pPr>
    <w:rPr>
      <w:rFonts w:ascii="Calibri" w:eastAsia="Calibri" w:hAnsi="Calibri" w:cs="Times New Roman"/>
      <w:lang w:val="nl-BE"/>
    </w:rPr>
  </w:style>
  <w:style w:type="paragraph" w:styleId="Heading1">
    <w:name w:val="heading 1"/>
    <w:basedOn w:val="Normal"/>
    <w:next w:val="Normal"/>
    <w:link w:val="Heading1Char"/>
    <w:uiPriority w:val="9"/>
    <w:qFormat/>
    <w:rsid w:val="00C5592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3">
    <w:name w:val="heading 3"/>
    <w:basedOn w:val="Normal"/>
    <w:link w:val="Heading3Char"/>
    <w:uiPriority w:val="9"/>
    <w:qFormat/>
    <w:rsid w:val="004461E3"/>
    <w:pPr>
      <w:spacing w:before="100" w:beforeAutospacing="1" w:after="100" w:afterAutospacing="1" w:line="240" w:lineRule="auto"/>
      <w:outlineLvl w:val="2"/>
    </w:pPr>
    <w:rPr>
      <w:rFonts w:ascii="Times New Roman" w:eastAsiaTheme="minorHAnsi" w:hAnsi="Times New Roman" w:cstheme="minorBidi"/>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CDB"/>
    <w:pPr>
      <w:tabs>
        <w:tab w:val="center" w:pos="4703"/>
        <w:tab w:val="right" w:pos="9406"/>
      </w:tabs>
      <w:spacing w:after="0" w:line="240" w:lineRule="auto"/>
    </w:pPr>
  </w:style>
  <w:style w:type="character" w:customStyle="1" w:styleId="HeaderChar">
    <w:name w:val="Header Char"/>
    <w:basedOn w:val="DefaultParagraphFont"/>
    <w:link w:val="Header"/>
    <w:uiPriority w:val="99"/>
    <w:rsid w:val="00454CDB"/>
    <w:rPr>
      <w:rFonts w:ascii="Calibri" w:eastAsia="Calibri" w:hAnsi="Calibri" w:cs="Times New Roman"/>
      <w:lang w:val="nl-BE"/>
    </w:rPr>
  </w:style>
  <w:style w:type="paragraph" w:styleId="Footer">
    <w:name w:val="footer"/>
    <w:basedOn w:val="Normal"/>
    <w:link w:val="FooterChar"/>
    <w:uiPriority w:val="99"/>
    <w:unhideWhenUsed/>
    <w:rsid w:val="00454CDB"/>
    <w:pPr>
      <w:tabs>
        <w:tab w:val="center" w:pos="4703"/>
        <w:tab w:val="right" w:pos="9406"/>
      </w:tabs>
      <w:spacing w:after="0" w:line="240" w:lineRule="auto"/>
    </w:pPr>
  </w:style>
  <w:style w:type="character" w:customStyle="1" w:styleId="FooterChar">
    <w:name w:val="Footer Char"/>
    <w:basedOn w:val="DefaultParagraphFont"/>
    <w:link w:val="Footer"/>
    <w:uiPriority w:val="99"/>
    <w:rsid w:val="00454CDB"/>
    <w:rPr>
      <w:rFonts w:ascii="Calibri" w:eastAsia="Calibri" w:hAnsi="Calibri" w:cs="Times New Roman"/>
      <w:lang w:val="nl-BE"/>
    </w:rPr>
  </w:style>
  <w:style w:type="character" w:styleId="CommentReference">
    <w:name w:val="annotation reference"/>
    <w:basedOn w:val="DefaultParagraphFont"/>
    <w:uiPriority w:val="99"/>
    <w:semiHidden/>
    <w:unhideWhenUsed/>
    <w:rsid w:val="004C4CE3"/>
    <w:rPr>
      <w:sz w:val="16"/>
      <w:szCs w:val="16"/>
    </w:rPr>
  </w:style>
  <w:style w:type="paragraph" w:styleId="CommentText">
    <w:name w:val="annotation text"/>
    <w:basedOn w:val="Normal"/>
    <w:link w:val="CommentTextChar"/>
    <w:uiPriority w:val="99"/>
    <w:semiHidden/>
    <w:unhideWhenUsed/>
    <w:rsid w:val="004C4CE3"/>
    <w:pPr>
      <w:spacing w:line="240" w:lineRule="auto"/>
    </w:pPr>
    <w:rPr>
      <w:sz w:val="20"/>
      <w:szCs w:val="20"/>
    </w:rPr>
  </w:style>
  <w:style w:type="character" w:customStyle="1" w:styleId="CommentTextChar">
    <w:name w:val="Comment Text Char"/>
    <w:basedOn w:val="DefaultParagraphFont"/>
    <w:link w:val="CommentText"/>
    <w:uiPriority w:val="99"/>
    <w:semiHidden/>
    <w:rsid w:val="004C4CE3"/>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uiPriority w:val="99"/>
    <w:semiHidden/>
    <w:unhideWhenUsed/>
    <w:rsid w:val="004C4CE3"/>
    <w:rPr>
      <w:b/>
      <w:bCs/>
    </w:rPr>
  </w:style>
  <w:style w:type="character" w:customStyle="1" w:styleId="CommentSubjectChar">
    <w:name w:val="Comment Subject Char"/>
    <w:basedOn w:val="CommentTextChar"/>
    <w:link w:val="CommentSubject"/>
    <w:uiPriority w:val="99"/>
    <w:semiHidden/>
    <w:rsid w:val="004C4CE3"/>
    <w:rPr>
      <w:rFonts w:ascii="Calibri" w:eastAsia="Calibri" w:hAnsi="Calibri" w:cs="Times New Roman"/>
      <w:b/>
      <w:bCs/>
      <w:sz w:val="20"/>
      <w:szCs w:val="20"/>
      <w:lang w:val="nl-BE"/>
    </w:rPr>
  </w:style>
  <w:style w:type="paragraph" w:styleId="BalloonText">
    <w:name w:val="Balloon Text"/>
    <w:basedOn w:val="Normal"/>
    <w:link w:val="BalloonTextChar"/>
    <w:uiPriority w:val="99"/>
    <w:semiHidden/>
    <w:unhideWhenUsed/>
    <w:rsid w:val="004C4CE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C4CE3"/>
    <w:rPr>
      <w:rFonts w:ascii="Times New Roman" w:eastAsia="Calibri" w:hAnsi="Times New Roman" w:cs="Times New Roman"/>
      <w:sz w:val="18"/>
      <w:szCs w:val="18"/>
      <w:lang w:val="nl-BE"/>
    </w:rPr>
  </w:style>
  <w:style w:type="paragraph" w:customStyle="1" w:styleId="Default">
    <w:name w:val="Default"/>
    <w:rsid w:val="00D6188D"/>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5C382B"/>
    <w:pPr>
      <w:spacing w:line="240" w:lineRule="auto"/>
    </w:pPr>
    <w:rPr>
      <w:i/>
      <w:iCs/>
      <w:color w:val="44546A" w:themeColor="text2"/>
      <w:sz w:val="18"/>
      <w:szCs w:val="18"/>
    </w:rPr>
  </w:style>
  <w:style w:type="paragraph" w:styleId="Revision">
    <w:name w:val="Revision"/>
    <w:hidden/>
    <w:uiPriority w:val="99"/>
    <w:semiHidden/>
    <w:rsid w:val="005F1F2C"/>
    <w:pPr>
      <w:spacing w:after="0" w:line="240" w:lineRule="auto"/>
    </w:pPr>
    <w:rPr>
      <w:rFonts w:ascii="Calibri" w:eastAsia="Calibri" w:hAnsi="Calibri" w:cs="Times New Roman"/>
      <w:lang w:val="nl-BE"/>
    </w:rPr>
  </w:style>
  <w:style w:type="character" w:customStyle="1" w:styleId="Heading3Char">
    <w:name w:val="Heading 3 Char"/>
    <w:basedOn w:val="DefaultParagraphFont"/>
    <w:link w:val="Heading3"/>
    <w:uiPriority w:val="9"/>
    <w:rsid w:val="004461E3"/>
    <w:rPr>
      <w:rFonts w:ascii="Times New Roman" w:hAnsi="Times New Roman"/>
      <w:b/>
      <w:bCs/>
      <w:sz w:val="27"/>
      <w:szCs w:val="27"/>
      <w:lang w:val="en-GB"/>
    </w:rPr>
  </w:style>
  <w:style w:type="paragraph" w:customStyle="1" w:styleId="para">
    <w:name w:val="para"/>
    <w:basedOn w:val="Normal"/>
    <w:rsid w:val="004461E3"/>
    <w:pPr>
      <w:spacing w:before="100" w:beforeAutospacing="1" w:after="100" w:afterAutospacing="1" w:line="240" w:lineRule="auto"/>
    </w:pPr>
    <w:rPr>
      <w:rFonts w:ascii="Times New Roman" w:eastAsiaTheme="minorHAnsi" w:hAnsi="Times New Roman" w:cstheme="minorBidi"/>
      <w:sz w:val="20"/>
      <w:szCs w:val="20"/>
      <w:lang w:val="en-GB"/>
    </w:rPr>
  </w:style>
  <w:style w:type="character" w:customStyle="1" w:styleId="Heading1Char">
    <w:name w:val="Heading 1 Char"/>
    <w:basedOn w:val="DefaultParagraphFont"/>
    <w:link w:val="Heading1"/>
    <w:uiPriority w:val="9"/>
    <w:rsid w:val="00C55926"/>
    <w:rPr>
      <w:rFonts w:asciiTheme="majorHAnsi" w:eastAsiaTheme="majorEastAsia" w:hAnsiTheme="majorHAnsi" w:cstheme="majorBidi"/>
      <w:b/>
      <w:bCs/>
      <w:color w:val="2C6EAB" w:themeColor="accent1" w:themeShade="B5"/>
      <w:sz w:val="32"/>
      <w:szCs w:val="32"/>
      <w:lang w:val="nl-BE"/>
    </w:rPr>
  </w:style>
  <w:style w:type="character" w:styleId="Hyperlink">
    <w:name w:val="Hyperlink"/>
    <w:basedOn w:val="DefaultParagraphFont"/>
    <w:uiPriority w:val="99"/>
    <w:unhideWhenUsed/>
    <w:rsid w:val="00C55926"/>
    <w:rPr>
      <w:color w:val="0000FF"/>
      <w:u w:val="single"/>
    </w:rPr>
  </w:style>
  <w:style w:type="character" w:styleId="LineNumber">
    <w:name w:val="line number"/>
    <w:basedOn w:val="DefaultParagraphFont"/>
    <w:uiPriority w:val="99"/>
    <w:semiHidden/>
    <w:unhideWhenUsed/>
    <w:rsid w:val="00CC6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05159">
      <w:bodyDiv w:val="1"/>
      <w:marLeft w:val="0"/>
      <w:marRight w:val="0"/>
      <w:marTop w:val="0"/>
      <w:marBottom w:val="0"/>
      <w:divBdr>
        <w:top w:val="none" w:sz="0" w:space="0" w:color="auto"/>
        <w:left w:val="none" w:sz="0" w:space="0" w:color="auto"/>
        <w:bottom w:val="none" w:sz="0" w:space="0" w:color="auto"/>
        <w:right w:val="none" w:sz="0" w:space="0" w:color="auto"/>
      </w:divBdr>
    </w:div>
    <w:div w:id="84887376">
      <w:bodyDiv w:val="1"/>
      <w:marLeft w:val="0"/>
      <w:marRight w:val="0"/>
      <w:marTop w:val="0"/>
      <w:marBottom w:val="0"/>
      <w:divBdr>
        <w:top w:val="none" w:sz="0" w:space="0" w:color="auto"/>
        <w:left w:val="none" w:sz="0" w:space="0" w:color="auto"/>
        <w:bottom w:val="none" w:sz="0" w:space="0" w:color="auto"/>
        <w:right w:val="none" w:sz="0" w:space="0" w:color="auto"/>
      </w:divBdr>
    </w:div>
    <w:div w:id="95178875">
      <w:bodyDiv w:val="1"/>
      <w:marLeft w:val="0"/>
      <w:marRight w:val="0"/>
      <w:marTop w:val="0"/>
      <w:marBottom w:val="0"/>
      <w:divBdr>
        <w:top w:val="none" w:sz="0" w:space="0" w:color="auto"/>
        <w:left w:val="none" w:sz="0" w:space="0" w:color="auto"/>
        <w:bottom w:val="none" w:sz="0" w:space="0" w:color="auto"/>
        <w:right w:val="none" w:sz="0" w:space="0" w:color="auto"/>
      </w:divBdr>
    </w:div>
    <w:div w:id="176434205">
      <w:bodyDiv w:val="1"/>
      <w:marLeft w:val="0"/>
      <w:marRight w:val="0"/>
      <w:marTop w:val="0"/>
      <w:marBottom w:val="0"/>
      <w:divBdr>
        <w:top w:val="none" w:sz="0" w:space="0" w:color="auto"/>
        <w:left w:val="none" w:sz="0" w:space="0" w:color="auto"/>
        <w:bottom w:val="none" w:sz="0" w:space="0" w:color="auto"/>
        <w:right w:val="none" w:sz="0" w:space="0" w:color="auto"/>
      </w:divBdr>
    </w:div>
    <w:div w:id="230576729">
      <w:bodyDiv w:val="1"/>
      <w:marLeft w:val="0"/>
      <w:marRight w:val="0"/>
      <w:marTop w:val="0"/>
      <w:marBottom w:val="0"/>
      <w:divBdr>
        <w:top w:val="none" w:sz="0" w:space="0" w:color="auto"/>
        <w:left w:val="none" w:sz="0" w:space="0" w:color="auto"/>
        <w:bottom w:val="none" w:sz="0" w:space="0" w:color="auto"/>
        <w:right w:val="none" w:sz="0" w:space="0" w:color="auto"/>
      </w:divBdr>
    </w:div>
    <w:div w:id="238835721">
      <w:bodyDiv w:val="1"/>
      <w:marLeft w:val="0"/>
      <w:marRight w:val="0"/>
      <w:marTop w:val="0"/>
      <w:marBottom w:val="0"/>
      <w:divBdr>
        <w:top w:val="none" w:sz="0" w:space="0" w:color="auto"/>
        <w:left w:val="none" w:sz="0" w:space="0" w:color="auto"/>
        <w:bottom w:val="none" w:sz="0" w:space="0" w:color="auto"/>
        <w:right w:val="none" w:sz="0" w:space="0" w:color="auto"/>
      </w:divBdr>
    </w:div>
    <w:div w:id="431701458">
      <w:bodyDiv w:val="1"/>
      <w:marLeft w:val="0"/>
      <w:marRight w:val="0"/>
      <w:marTop w:val="0"/>
      <w:marBottom w:val="0"/>
      <w:divBdr>
        <w:top w:val="none" w:sz="0" w:space="0" w:color="auto"/>
        <w:left w:val="none" w:sz="0" w:space="0" w:color="auto"/>
        <w:bottom w:val="none" w:sz="0" w:space="0" w:color="auto"/>
        <w:right w:val="none" w:sz="0" w:space="0" w:color="auto"/>
      </w:divBdr>
    </w:div>
    <w:div w:id="433520689">
      <w:bodyDiv w:val="1"/>
      <w:marLeft w:val="0"/>
      <w:marRight w:val="0"/>
      <w:marTop w:val="0"/>
      <w:marBottom w:val="0"/>
      <w:divBdr>
        <w:top w:val="none" w:sz="0" w:space="0" w:color="auto"/>
        <w:left w:val="none" w:sz="0" w:space="0" w:color="auto"/>
        <w:bottom w:val="none" w:sz="0" w:space="0" w:color="auto"/>
        <w:right w:val="none" w:sz="0" w:space="0" w:color="auto"/>
      </w:divBdr>
    </w:div>
    <w:div w:id="509102557">
      <w:bodyDiv w:val="1"/>
      <w:marLeft w:val="0"/>
      <w:marRight w:val="0"/>
      <w:marTop w:val="0"/>
      <w:marBottom w:val="0"/>
      <w:divBdr>
        <w:top w:val="none" w:sz="0" w:space="0" w:color="auto"/>
        <w:left w:val="none" w:sz="0" w:space="0" w:color="auto"/>
        <w:bottom w:val="none" w:sz="0" w:space="0" w:color="auto"/>
        <w:right w:val="none" w:sz="0" w:space="0" w:color="auto"/>
      </w:divBdr>
    </w:div>
    <w:div w:id="544563641">
      <w:bodyDiv w:val="1"/>
      <w:marLeft w:val="0"/>
      <w:marRight w:val="0"/>
      <w:marTop w:val="0"/>
      <w:marBottom w:val="0"/>
      <w:divBdr>
        <w:top w:val="none" w:sz="0" w:space="0" w:color="auto"/>
        <w:left w:val="none" w:sz="0" w:space="0" w:color="auto"/>
        <w:bottom w:val="none" w:sz="0" w:space="0" w:color="auto"/>
        <w:right w:val="none" w:sz="0" w:space="0" w:color="auto"/>
      </w:divBdr>
    </w:div>
    <w:div w:id="609320703">
      <w:bodyDiv w:val="1"/>
      <w:marLeft w:val="0"/>
      <w:marRight w:val="0"/>
      <w:marTop w:val="0"/>
      <w:marBottom w:val="0"/>
      <w:divBdr>
        <w:top w:val="none" w:sz="0" w:space="0" w:color="auto"/>
        <w:left w:val="none" w:sz="0" w:space="0" w:color="auto"/>
        <w:bottom w:val="none" w:sz="0" w:space="0" w:color="auto"/>
        <w:right w:val="none" w:sz="0" w:space="0" w:color="auto"/>
      </w:divBdr>
    </w:div>
    <w:div w:id="611858384">
      <w:bodyDiv w:val="1"/>
      <w:marLeft w:val="0"/>
      <w:marRight w:val="0"/>
      <w:marTop w:val="0"/>
      <w:marBottom w:val="0"/>
      <w:divBdr>
        <w:top w:val="none" w:sz="0" w:space="0" w:color="auto"/>
        <w:left w:val="none" w:sz="0" w:space="0" w:color="auto"/>
        <w:bottom w:val="none" w:sz="0" w:space="0" w:color="auto"/>
        <w:right w:val="none" w:sz="0" w:space="0" w:color="auto"/>
      </w:divBdr>
    </w:div>
    <w:div w:id="645210728">
      <w:bodyDiv w:val="1"/>
      <w:marLeft w:val="0"/>
      <w:marRight w:val="0"/>
      <w:marTop w:val="0"/>
      <w:marBottom w:val="0"/>
      <w:divBdr>
        <w:top w:val="none" w:sz="0" w:space="0" w:color="auto"/>
        <w:left w:val="none" w:sz="0" w:space="0" w:color="auto"/>
        <w:bottom w:val="none" w:sz="0" w:space="0" w:color="auto"/>
        <w:right w:val="none" w:sz="0" w:space="0" w:color="auto"/>
      </w:divBdr>
    </w:div>
    <w:div w:id="905336143">
      <w:bodyDiv w:val="1"/>
      <w:marLeft w:val="0"/>
      <w:marRight w:val="0"/>
      <w:marTop w:val="0"/>
      <w:marBottom w:val="0"/>
      <w:divBdr>
        <w:top w:val="none" w:sz="0" w:space="0" w:color="auto"/>
        <w:left w:val="none" w:sz="0" w:space="0" w:color="auto"/>
        <w:bottom w:val="none" w:sz="0" w:space="0" w:color="auto"/>
        <w:right w:val="none" w:sz="0" w:space="0" w:color="auto"/>
      </w:divBdr>
    </w:div>
    <w:div w:id="946160400">
      <w:bodyDiv w:val="1"/>
      <w:marLeft w:val="0"/>
      <w:marRight w:val="0"/>
      <w:marTop w:val="0"/>
      <w:marBottom w:val="0"/>
      <w:divBdr>
        <w:top w:val="none" w:sz="0" w:space="0" w:color="auto"/>
        <w:left w:val="none" w:sz="0" w:space="0" w:color="auto"/>
        <w:bottom w:val="none" w:sz="0" w:space="0" w:color="auto"/>
        <w:right w:val="none" w:sz="0" w:space="0" w:color="auto"/>
      </w:divBdr>
    </w:div>
    <w:div w:id="989287690">
      <w:bodyDiv w:val="1"/>
      <w:marLeft w:val="0"/>
      <w:marRight w:val="0"/>
      <w:marTop w:val="0"/>
      <w:marBottom w:val="0"/>
      <w:divBdr>
        <w:top w:val="none" w:sz="0" w:space="0" w:color="auto"/>
        <w:left w:val="none" w:sz="0" w:space="0" w:color="auto"/>
        <w:bottom w:val="none" w:sz="0" w:space="0" w:color="auto"/>
        <w:right w:val="none" w:sz="0" w:space="0" w:color="auto"/>
      </w:divBdr>
    </w:div>
    <w:div w:id="1122698540">
      <w:bodyDiv w:val="1"/>
      <w:marLeft w:val="0"/>
      <w:marRight w:val="0"/>
      <w:marTop w:val="0"/>
      <w:marBottom w:val="0"/>
      <w:divBdr>
        <w:top w:val="none" w:sz="0" w:space="0" w:color="auto"/>
        <w:left w:val="none" w:sz="0" w:space="0" w:color="auto"/>
        <w:bottom w:val="none" w:sz="0" w:space="0" w:color="auto"/>
        <w:right w:val="none" w:sz="0" w:space="0" w:color="auto"/>
      </w:divBdr>
    </w:div>
    <w:div w:id="1240794193">
      <w:bodyDiv w:val="1"/>
      <w:marLeft w:val="0"/>
      <w:marRight w:val="0"/>
      <w:marTop w:val="0"/>
      <w:marBottom w:val="0"/>
      <w:divBdr>
        <w:top w:val="none" w:sz="0" w:space="0" w:color="auto"/>
        <w:left w:val="none" w:sz="0" w:space="0" w:color="auto"/>
        <w:bottom w:val="none" w:sz="0" w:space="0" w:color="auto"/>
        <w:right w:val="none" w:sz="0" w:space="0" w:color="auto"/>
      </w:divBdr>
    </w:div>
    <w:div w:id="1270042371">
      <w:bodyDiv w:val="1"/>
      <w:marLeft w:val="0"/>
      <w:marRight w:val="0"/>
      <w:marTop w:val="0"/>
      <w:marBottom w:val="0"/>
      <w:divBdr>
        <w:top w:val="none" w:sz="0" w:space="0" w:color="auto"/>
        <w:left w:val="none" w:sz="0" w:space="0" w:color="auto"/>
        <w:bottom w:val="none" w:sz="0" w:space="0" w:color="auto"/>
        <w:right w:val="none" w:sz="0" w:space="0" w:color="auto"/>
      </w:divBdr>
    </w:div>
    <w:div w:id="1326126358">
      <w:bodyDiv w:val="1"/>
      <w:marLeft w:val="0"/>
      <w:marRight w:val="0"/>
      <w:marTop w:val="0"/>
      <w:marBottom w:val="0"/>
      <w:divBdr>
        <w:top w:val="none" w:sz="0" w:space="0" w:color="auto"/>
        <w:left w:val="none" w:sz="0" w:space="0" w:color="auto"/>
        <w:bottom w:val="none" w:sz="0" w:space="0" w:color="auto"/>
        <w:right w:val="none" w:sz="0" w:space="0" w:color="auto"/>
      </w:divBdr>
    </w:div>
    <w:div w:id="1335187638">
      <w:bodyDiv w:val="1"/>
      <w:marLeft w:val="0"/>
      <w:marRight w:val="0"/>
      <w:marTop w:val="0"/>
      <w:marBottom w:val="0"/>
      <w:divBdr>
        <w:top w:val="none" w:sz="0" w:space="0" w:color="auto"/>
        <w:left w:val="none" w:sz="0" w:space="0" w:color="auto"/>
        <w:bottom w:val="none" w:sz="0" w:space="0" w:color="auto"/>
        <w:right w:val="none" w:sz="0" w:space="0" w:color="auto"/>
      </w:divBdr>
    </w:div>
    <w:div w:id="1452355581">
      <w:bodyDiv w:val="1"/>
      <w:marLeft w:val="0"/>
      <w:marRight w:val="0"/>
      <w:marTop w:val="0"/>
      <w:marBottom w:val="0"/>
      <w:divBdr>
        <w:top w:val="none" w:sz="0" w:space="0" w:color="auto"/>
        <w:left w:val="none" w:sz="0" w:space="0" w:color="auto"/>
        <w:bottom w:val="none" w:sz="0" w:space="0" w:color="auto"/>
        <w:right w:val="none" w:sz="0" w:space="0" w:color="auto"/>
      </w:divBdr>
    </w:div>
    <w:div w:id="1503666215">
      <w:bodyDiv w:val="1"/>
      <w:marLeft w:val="0"/>
      <w:marRight w:val="0"/>
      <w:marTop w:val="0"/>
      <w:marBottom w:val="0"/>
      <w:divBdr>
        <w:top w:val="none" w:sz="0" w:space="0" w:color="auto"/>
        <w:left w:val="none" w:sz="0" w:space="0" w:color="auto"/>
        <w:bottom w:val="none" w:sz="0" w:space="0" w:color="auto"/>
        <w:right w:val="none" w:sz="0" w:space="0" w:color="auto"/>
      </w:divBdr>
    </w:div>
    <w:div w:id="1521823016">
      <w:bodyDiv w:val="1"/>
      <w:marLeft w:val="0"/>
      <w:marRight w:val="0"/>
      <w:marTop w:val="0"/>
      <w:marBottom w:val="0"/>
      <w:divBdr>
        <w:top w:val="none" w:sz="0" w:space="0" w:color="auto"/>
        <w:left w:val="none" w:sz="0" w:space="0" w:color="auto"/>
        <w:bottom w:val="none" w:sz="0" w:space="0" w:color="auto"/>
        <w:right w:val="none" w:sz="0" w:space="0" w:color="auto"/>
      </w:divBdr>
    </w:div>
    <w:div w:id="1550385495">
      <w:bodyDiv w:val="1"/>
      <w:marLeft w:val="0"/>
      <w:marRight w:val="0"/>
      <w:marTop w:val="0"/>
      <w:marBottom w:val="0"/>
      <w:divBdr>
        <w:top w:val="none" w:sz="0" w:space="0" w:color="auto"/>
        <w:left w:val="none" w:sz="0" w:space="0" w:color="auto"/>
        <w:bottom w:val="none" w:sz="0" w:space="0" w:color="auto"/>
        <w:right w:val="none" w:sz="0" w:space="0" w:color="auto"/>
      </w:divBdr>
    </w:div>
    <w:div w:id="1556575542">
      <w:bodyDiv w:val="1"/>
      <w:marLeft w:val="0"/>
      <w:marRight w:val="0"/>
      <w:marTop w:val="0"/>
      <w:marBottom w:val="0"/>
      <w:divBdr>
        <w:top w:val="none" w:sz="0" w:space="0" w:color="auto"/>
        <w:left w:val="none" w:sz="0" w:space="0" w:color="auto"/>
        <w:bottom w:val="none" w:sz="0" w:space="0" w:color="auto"/>
        <w:right w:val="none" w:sz="0" w:space="0" w:color="auto"/>
      </w:divBdr>
    </w:div>
    <w:div w:id="1602450832">
      <w:bodyDiv w:val="1"/>
      <w:marLeft w:val="0"/>
      <w:marRight w:val="0"/>
      <w:marTop w:val="0"/>
      <w:marBottom w:val="0"/>
      <w:divBdr>
        <w:top w:val="none" w:sz="0" w:space="0" w:color="auto"/>
        <w:left w:val="none" w:sz="0" w:space="0" w:color="auto"/>
        <w:bottom w:val="none" w:sz="0" w:space="0" w:color="auto"/>
        <w:right w:val="none" w:sz="0" w:space="0" w:color="auto"/>
      </w:divBdr>
    </w:div>
    <w:div w:id="1681273575">
      <w:bodyDiv w:val="1"/>
      <w:marLeft w:val="0"/>
      <w:marRight w:val="0"/>
      <w:marTop w:val="0"/>
      <w:marBottom w:val="0"/>
      <w:divBdr>
        <w:top w:val="none" w:sz="0" w:space="0" w:color="auto"/>
        <w:left w:val="none" w:sz="0" w:space="0" w:color="auto"/>
        <w:bottom w:val="none" w:sz="0" w:space="0" w:color="auto"/>
        <w:right w:val="none" w:sz="0" w:space="0" w:color="auto"/>
      </w:divBdr>
    </w:div>
    <w:div w:id="1732653456">
      <w:bodyDiv w:val="1"/>
      <w:marLeft w:val="0"/>
      <w:marRight w:val="0"/>
      <w:marTop w:val="0"/>
      <w:marBottom w:val="0"/>
      <w:divBdr>
        <w:top w:val="none" w:sz="0" w:space="0" w:color="auto"/>
        <w:left w:val="none" w:sz="0" w:space="0" w:color="auto"/>
        <w:bottom w:val="none" w:sz="0" w:space="0" w:color="auto"/>
        <w:right w:val="none" w:sz="0" w:space="0" w:color="auto"/>
      </w:divBdr>
    </w:div>
    <w:div w:id="1753158807">
      <w:bodyDiv w:val="1"/>
      <w:marLeft w:val="0"/>
      <w:marRight w:val="0"/>
      <w:marTop w:val="0"/>
      <w:marBottom w:val="0"/>
      <w:divBdr>
        <w:top w:val="none" w:sz="0" w:space="0" w:color="auto"/>
        <w:left w:val="none" w:sz="0" w:space="0" w:color="auto"/>
        <w:bottom w:val="none" w:sz="0" w:space="0" w:color="auto"/>
        <w:right w:val="none" w:sz="0" w:space="0" w:color="auto"/>
      </w:divBdr>
    </w:div>
    <w:div w:id="192984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y.boeckxstaens@kuleuven.b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824FF-9EBE-3941-8776-9F73F6C4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Pages>
  <Words>74941</Words>
  <Characters>427167</Characters>
  <Application>Microsoft Office Word</Application>
  <DocSecurity>0</DocSecurity>
  <Lines>3559</Lines>
  <Paragraphs>1002</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501106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 Aguilera</dc:creator>
  <cp:keywords/>
  <dc:description/>
  <cp:lastModifiedBy>Microsoft Office User</cp:lastModifiedBy>
  <cp:revision>4</cp:revision>
  <cp:lastPrinted>2018-10-11T11:51:00Z</cp:lastPrinted>
  <dcterms:created xsi:type="dcterms:W3CDTF">2020-09-03T11:13:00Z</dcterms:created>
  <dcterms:modified xsi:type="dcterms:W3CDTF">2020-09-03T14:13:00Z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http://www.zotero.org/styles/science</vt:lpwstr>
  </property>
  <property fmtid="{D5CDD505-2E9C-101B-9397-08002B2CF9AE}" pid="23" name="Mendeley Recent Style Name 9_1">
    <vt:lpwstr>Science</vt:lpwstr>
  </property>
  <property fmtid="{D5CDD505-2E9C-101B-9397-08002B2CF9AE}" pid="24" name="Mendeley Unique User Id_1">
    <vt:lpwstr>c8d9c300-1e87-3dd6-a878-4630f9396df7</vt:lpwstr>
  </property>
</Properties>
</file>