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50A79" w14:textId="77777777" w:rsidR="00D02970" w:rsidRPr="00FD11B2" w:rsidRDefault="00D02970" w:rsidP="00D02970">
      <w:pPr>
        <w:pStyle w:val="paragraph"/>
        <w:spacing w:line="480" w:lineRule="auto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506A79"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en-US"/>
        </w:rPr>
        <w:t>What’s on my mind</w:t>
      </w:r>
    </w:p>
    <w:p w14:paraId="04AF8C57" w14:textId="7B5FDC84" w:rsidR="00D02970" w:rsidRDefault="00D02970" w:rsidP="00D02970">
      <w:pPr>
        <w:pStyle w:val="paragraph"/>
        <w:spacing w:line="480" w:lineRule="auto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506A79"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en-US"/>
        </w:rPr>
        <w:t>LDL-Cholesterol Lowering Strategies and Population Health - Time to Move to a Cumulative Exposure Model</w:t>
      </w:r>
    </w:p>
    <w:p w14:paraId="279BB1C2" w14:textId="450D5233" w:rsidR="00321C1C" w:rsidRPr="00506A79" w:rsidRDefault="00321C1C" w:rsidP="00321C1C">
      <w:pPr>
        <w:pStyle w:val="paragraph"/>
        <w:spacing w:line="480" w:lineRule="auto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en-US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en-US"/>
        </w:rPr>
        <w:t>Running Title</w:t>
      </w:r>
      <w:r w:rsidR="00E30BA4"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(max. 50 Characters)</w:t>
      </w:r>
      <w:r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: </w:t>
      </w:r>
      <w:r w:rsidR="00550602" w:rsidRPr="00550602"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en-US"/>
        </w:rPr>
        <w:t>LDL-C Lowering Str</w:t>
      </w:r>
      <w:bookmarkStart w:id="0" w:name="_GoBack"/>
      <w:bookmarkEnd w:id="0"/>
      <w:r w:rsidR="00550602" w:rsidRPr="00550602"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en-US"/>
        </w:rPr>
        <w:t>ategies and Population Health</w:t>
      </w:r>
    </w:p>
    <w:p w14:paraId="5DA7AAEA" w14:textId="77777777" w:rsidR="00D02970" w:rsidRPr="00506A79" w:rsidRDefault="00D02970" w:rsidP="00D02970">
      <w:pPr>
        <w:pStyle w:val="paragraph"/>
        <w:spacing w:line="480" w:lineRule="auto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  <w:vertAlign w:val="superscript"/>
          <w:lang w:val="en-US"/>
        </w:rPr>
      </w:pPr>
      <w:r w:rsidRPr="00506A79">
        <w:rPr>
          <w:rStyle w:val="normaltextrun"/>
          <w:rFonts w:asciiTheme="minorHAnsi" w:hAnsiTheme="minorHAnsi" w:cstheme="minorHAnsi"/>
          <w:bCs/>
          <w:sz w:val="22"/>
          <w:szCs w:val="22"/>
          <w:lang w:val="en-US"/>
        </w:rPr>
        <w:t>Julia Brandts</w:t>
      </w:r>
      <w:r w:rsidRPr="00506A79">
        <w:rPr>
          <w:rStyle w:val="normaltextrun"/>
          <w:rFonts w:asciiTheme="minorHAnsi" w:hAnsiTheme="minorHAnsi" w:cstheme="minorHAnsi"/>
          <w:bCs/>
          <w:sz w:val="22"/>
          <w:szCs w:val="22"/>
          <w:vertAlign w:val="superscript"/>
          <w:lang w:val="en-US"/>
        </w:rPr>
        <w:t>1 2</w:t>
      </w:r>
      <w:r w:rsidRPr="00506A79">
        <w:rPr>
          <w:rStyle w:val="normaltextrun"/>
          <w:rFonts w:asciiTheme="minorHAnsi" w:hAnsiTheme="minorHAnsi" w:cstheme="minorHAnsi"/>
          <w:bCs/>
          <w:sz w:val="22"/>
          <w:szCs w:val="22"/>
          <w:lang w:val="en-US"/>
        </w:rPr>
        <w:t xml:space="preserve">, Professor Kausik K Ray FRCP </w:t>
      </w:r>
      <w:r w:rsidRPr="00506A79">
        <w:rPr>
          <w:rStyle w:val="normaltextrun"/>
          <w:rFonts w:asciiTheme="minorHAnsi" w:hAnsiTheme="minorHAnsi" w:cstheme="minorHAnsi"/>
          <w:bCs/>
          <w:sz w:val="22"/>
          <w:szCs w:val="22"/>
          <w:vertAlign w:val="superscript"/>
          <w:lang w:val="en-US"/>
        </w:rPr>
        <w:t>2</w:t>
      </w:r>
    </w:p>
    <w:p w14:paraId="0454AD86" w14:textId="77777777" w:rsidR="00D02970" w:rsidRPr="00506A79" w:rsidRDefault="00D02970" w:rsidP="00D02970">
      <w:pPr>
        <w:pStyle w:val="paragraph"/>
        <w:spacing w:line="480" w:lineRule="auto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506A79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1</w:t>
      </w:r>
      <w:r w:rsidRPr="00506A79">
        <w:rPr>
          <w:rFonts w:asciiTheme="minorHAnsi" w:hAnsiTheme="minorHAnsi" w:cstheme="minorHAnsi"/>
          <w:sz w:val="22"/>
          <w:szCs w:val="22"/>
          <w:lang w:val="en-US"/>
        </w:rPr>
        <w:t>Department of Medicine I, University Hospital RWTH Aachen, Aachen, Germany,</w:t>
      </w:r>
    </w:p>
    <w:p w14:paraId="3F91B157" w14:textId="77777777" w:rsidR="00D02970" w:rsidRPr="00506A79" w:rsidRDefault="00D02970" w:rsidP="00D02970">
      <w:pPr>
        <w:pStyle w:val="paragraph"/>
        <w:spacing w:line="480" w:lineRule="auto"/>
        <w:textAlignment w:val="baseline"/>
        <w:rPr>
          <w:rFonts w:asciiTheme="minorHAnsi" w:hAnsiTheme="minorHAnsi" w:cstheme="minorHAnsi"/>
          <w:sz w:val="22"/>
          <w:szCs w:val="22"/>
          <w:lang w:val="en-GB"/>
        </w:rPr>
      </w:pPr>
      <w:r w:rsidRPr="00506A79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2</w:t>
      </w:r>
      <w:r w:rsidRPr="00506A79">
        <w:rPr>
          <w:rFonts w:asciiTheme="minorHAnsi" w:hAnsiTheme="minorHAnsi" w:cstheme="minorHAnsi"/>
          <w:sz w:val="22"/>
          <w:szCs w:val="22"/>
          <w:lang w:val="en-GB"/>
        </w:rPr>
        <w:t>Imperial Centre for Cardiovascular Disease Prevention, School of Public Health, Imperial College London, London UK</w:t>
      </w:r>
    </w:p>
    <w:p w14:paraId="534D3145" w14:textId="77777777" w:rsidR="00D02970" w:rsidRPr="00506A79" w:rsidRDefault="00D02970" w:rsidP="00D02970">
      <w:pPr>
        <w:pStyle w:val="paragraph"/>
        <w:spacing w:line="480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n-US"/>
        </w:rPr>
      </w:pPr>
    </w:p>
    <w:p w14:paraId="5367F5AA" w14:textId="77777777" w:rsidR="00D02970" w:rsidRPr="00506A79" w:rsidRDefault="00D02970" w:rsidP="00D02970">
      <w:pPr>
        <w:pStyle w:val="paragraph"/>
        <w:spacing w:line="480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n-US"/>
        </w:rPr>
      </w:pPr>
    </w:p>
    <w:p w14:paraId="2EC5B00F" w14:textId="77777777" w:rsidR="00D02970" w:rsidRPr="00506A79" w:rsidRDefault="00D02970" w:rsidP="00D02970">
      <w:pPr>
        <w:pStyle w:val="paragraph"/>
        <w:spacing w:line="480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n-US"/>
        </w:rPr>
      </w:pPr>
    </w:p>
    <w:p w14:paraId="70FFFAD3" w14:textId="77777777" w:rsidR="00D02970" w:rsidRPr="00506A79" w:rsidRDefault="00D02970" w:rsidP="00D02970">
      <w:pPr>
        <w:pStyle w:val="paragraph"/>
        <w:spacing w:line="480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n-US"/>
        </w:rPr>
      </w:pPr>
    </w:p>
    <w:p w14:paraId="35E7A2C8" w14:textId="77777777" w:rsidR="00D02970" w:rsidRPr="00506A79" w:rsidRDefault="00D02970" w:rsidP="00D02970">
      <w:pPr>
        <w:rPr>
          <w:rFonts w:cstheme="minorHAnsi"/>
          <w:b/>
          <w:lang w:val="en-GB"/>
        </w:rPr>
      </w:pPr>
      <w:r w:rsidRPr="00506A79">
        <w:rPr>
          <w:rFonts w:cstheme="minorHAnsi"/>
          <w:b/>
          <w:lang w:val="en-GB"/>
        </w:rPr>
        <w:t>Correspondence to</w:t>
      </w:r>
    </w:p>
    <w:p w14:paraId="125CB5CA" w14:textId="77777777" w:rsidR="00D02970" w:rsidRPr="002973FF" w:rsidRDefault="00D02970" w:rsidP="00D02970">
      <w:pPr>
        <w:spacing w:line="240" w:lineRule="auto"/>
        <w:rPr>
          <w:rFonts w:cstheme="minorHAnsi"/>
          <w:lang w:val="en-GB"/>
        </w:rPr>
      </w:pPr>
      <w:bookmarkStart w:id="1" w:name="_Hlk29192539"/>
      <w:r w:rsidRPr="002973FF">
        <w:rPr>
          <w:rFonts w:cstheme="minorHAnsi"/>
          <w:lang w:val="en-GB"/>
        </w:rPr>
        <w:t>Prof Kausik K Ray</w:t>
      </w:r>
    </w:p>
    <w:p w14:paraId="40180F96" w14:textId="5D14FD2A" w:rsidR="00550602" w:rsidRPr="002973FF" w:rsidRDefault="00550602" w:rsidP="00550602">
      <w:pPr>
        <w:spacing w:line="240" w:lineRule="auto"/>
        <w:rPr>
          <w:rFonts w:cstheme="minorHAnsi"/>
          <w:lang w:val="en-GB"/>
        </w:rPr>
      </w:pPr>
      <w:r w:rsidRPr="002973FF">
        <w:rPr>
          <w:rFonts w:cstheme="minorHAnsi"/>
          <w:lang w:val="en-GB"/>
        </w:rPr>
        <w:t>Imperial College London</w:t>
      </w:r>
      <w:r w:rsidRPr="002973FF">
        <w:rPr>
          <w:rFonts w:cstheme="minorHAnsi"/>
          <w:lang w:val="en-GB"/>
        </w:rPr>
        <w:br/>
        <w:t>Primary Care and Public Health</w:t>
      </w:r>
      <w:r w:rsidRPr="002973FF">
        <w:rPr>
          <w:rFonts w:cstheme="minorHAnsi"/>
          <w:lang w:val="en-GB"/>
        </w:rPr>
        <w:br/>
      </w:r>
      <w:r w:rsidR="00C324D4" w:rsidRPr="002973FF">
        <w:rPr>
          <w:rFonts w:cstheme="minorHAnsi"/>
          <w:lang w:val="en-GB"/>
        </w:rPr>
        <w:t xml:space="preserve">320 </w:t>
      </w:r>
      <w:r w:rsidRPr="002973FF">
        <w:rPr>
          <w:rFonts w:cstheme="minorHAnsi"/>
          <w:lang w:val="en-GB"/>
        </w:rPr>
        <w:t>Reynolds Building</w:t>
      </w:r>
      <w:r w:rsidRPr="002973FF">
        <w:rPr>
          <w:rFonts w:cstheme="minorHAnsi"/>
          <w:lang w:val="en-GB"/>
        </w:rPr>
        <w:br/>
        <w:t>Dunstan Road</w:t>
      </w:r>
      <w:r w:rsidRPr="002973FF">
        <w:rPr>
          <w:rFonts w:cstheme="minorHAnsi"/>
          <w:lang w:val="en-GB"/>
        </w:rPr>
        <w:br/>
        <w:t>London W68RP</w:t>
      </w:r>
      <w:r w:rsidRPr="002973FF">
        <w:rPr>
          <w:rFonts w:cstheme="minorHAnsi"/>
          <w:lang w:val="en-GB"/>
        </w:rPr>
        <w:br/>
        <w:t xml:space="preserve">UNITED KINGDOM </w:t>
      </w:r>
    </w:p>
    <w:p w14:paraId="761ACB13" w14:textId="7D971318" w:rsidR="00550602" w:rsidRPr="002973FF" w:rsidRDefault="00550602" w:rsidP="00550602">
      <w:pPr>
        <w:spacing w:line="240" w:lineRule="auto"/>
        <w:rPr>
          <w:rFonts w:cstheme="minorHAnsi"/>
          <w:lang w:val="en-GB"/>
        </w:rPr>
      </w:pPr>
      <w:r w:rsidRPr="002973FF">
        <w:rPr>
          <w:rFonts w:cstheme="minorHAnsi"/>
          <w:lang w:val="en-GB"/>
        </w:rPr>
        <w:t xml:space="preserve">Telephone: +44 (0)20 7594 </w:t>
      </w:r>
      <w:r w:rsidR="00037984">
        <w:rPr>
          <w:rFonts w:cstheme="minorHAnsi"/>
          <w:lang w:val="en-GB"/>
        </w:rPr>
        <w:t>0716</w:t>
      </w:r>
    </w:p>
    <w:p w14:paraId="7CED9315" w14:textId="77777777" w:rsidR="00550602" w:rsidRPr="00037984" w:rsidRDefault="00550602" w:rsidP="00550602">
      <w:pPr>
        <w:spacing w:line="240" w:lineRule="auto"/>
        <w:rPr>
          <w:rFonts w:cstheme="minorHAnsi"/>
          <w:lang w:val="en-GB"/>
        </w:rPr>
      </w:pPr>
      <w:r w:rsidRPr="00037984">
        <w:rPr>
          <w:rFonts w:cstheme="minorHAnsi"/>
          <w:lang w:val="en-GB"/>
        </w:rPr>
        <w:t>E-Mail: k.ray@imperial.ac.uk</w:t>
      </w:r>
    </w:p>
    <w:bookmarkEnd w:id="1"/>
    <w:p w14:paraId="5263AB39" w14:textId="1064F949" w:rsidR="00D02970" w:rsidRPr="00FD11B2" w:rsidRDefault="00D02970" w:rsidP="00D02970">
      <w:pPr>
        <w:pStyle w:val="paragraph"/>
        <w:spacing w:line="480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sectPr w:rsidR="00D02970" w:rsidRPr="00FD11B2" w:rsidSect="00E01EC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Word count </w:t>
      </w:r>
      <w:r w:rsidR="003D39A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1000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/1000</w:t>
      </w:r>
    </w:p>
    <w:p w14:paraId="54AC8D23" w14:textId="0DDE2C9E" w:rsidR="00D02970" w:rsidRPr="00506A79" w:rsidRDefault="00D02970" w:rsidP="00D02970">
      <w:pPr>
        <w:pStyle w:val="paragraph"/>
        <w:spacing w:line="480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n-US"/>
        </w:rPr>
      </w:pPr>
      <w:bookmarkStart w:id="2" w:name="_Hlk24994592"/>
      <w:bookmarkStart w:id="3" w:name="_Hlk25089359"/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lastRenderedPageBreak/>
        <w:t>L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ifetime medication burden from current approaches to LDL-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cholesterol (LDL-C)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lowering is rel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iant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on small molecules 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requiring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daily dosing with the burden of responsibility placed upon patient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s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. P</w:t>
      </w:r>
      <w:r w:rsidRPr="00950CFC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atient-related factors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(risk perception, health literacy)</w:t>
      </w:r>
      <w:r w:rsidRPr="00950CFC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impact adherence and persistence. Adherence to statins and ezetimibe correlate with LDL-C reduction and risk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,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potentially accounting for 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approximately</w:t>
      </w:r>
      <w:r w:rsidRPr="00950CFC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12 000 avoidable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c</w:t>
      </w:r>
      <w:r w:rsidRPr="00950CFC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ardiovascular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events </w:t>
      </w:r>
      <w:r w:rsidRPr="00950CFC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per 500 000 patients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annually</w:t>
      </w:r>
      <w:r w:rsidRPr="00950CFC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506A79">
        <w:rPr>
          <w:rStyle w:val="normaltextrun"/>
          <w:rFonts w:asciiTheme="minorHAnsi" w:hAnsiTheme="minorHAnsi" w:cstheme="minorHAnsi"/>
          <w:noProof/>
          <w:sz w:val="22"/>
          <w:szCs w:val="22"/>
          <w:lang w:val="en-US"/>
        </w:rPr>
        <w:t>(1)</w:t>
      </w:r>
      <w:r w:rsidRPr="00950CFC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A</w:t>
      </w:r>
      <w:r w:rsidRPr="00950CFC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ttempts to improve adherence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have had mixed results with </w:t>
      </w:r>
      <w:r w:rsidRPr="00950CFC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only text-messaging reminders, community health worker-based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reinforcement </w:t>
      </w:r>
      <w:r w:rsidRPr="00950CFC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and fixed-dose combination pills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shown to be </w:t>
      </w:r>
      <w:r w:rsidRPr="00950CFC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effective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at improving adherence and clinical events </w:t>
      </w:r>
      <w:r w:rsidRPr="00506A79">
        <w:rPr>
          <w:rStyle w:val="normaltextrun"/>
          <w:rFonts w:asciiTheme="minorHAnsi" w:hAnsiTheme="minorHAnsi" w:cstheme="minorHAnsi"/>
          <w:noProof/>
          <w:sz w:val="22"/>
          <w:szCs w:val="22"/>
          <w:lang w:val="en-US"/>
        </w:rPr>
        <w:t>(2)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. Patient-tailored s</w:t>
      </w:r>
      <w:r w:rsidRPr="00950CFC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trategies combin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ing</w:t>
      </w:r>
      <w:r w:rsidRPr="00950CFC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multiple approaches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including in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-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person consultations may yield better outcomes</w:t>
      </w:r>
      <w:r w:rsidRPr="00950CFC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but </w:t>
      </w:r>
      <w:r w:rsidRPr="00950CFC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implementation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is </w:t>
      </w:r>
      <w:r w:rsidRPr="00950CFC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complex</w:t>
      </w:r>
      <w:r w:rsidR="0094782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,</w:t>
      </w:r>
      <w:r w:rsidRPr="00950CFC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consuming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both </w:t>
      </w:r>
      <w:r w:rsidRPr="00950CFC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time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and resource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.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O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besity and smoking cessation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have been tackled with </w:t>
      </w:r>
      <w:r w:rsidRPr="00950CFC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monetary compensation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.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Technology offer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s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scalable low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-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cost options 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for pill and refill reminders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through 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the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use of 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telephone calls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,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text-messages,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and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mobile apps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. Finally, a crucial barrier to long-term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adherence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is the asymptomatic nature of cardiovascular risk factors which may impact medication 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adherence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This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could be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facilitated by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simplifying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access to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prescriptions and refills,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through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electronic healthcare solution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s that connect pharmacies to electronic patient records and enable automated prescriptions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Pr="00950CFC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Here we draw on population studies and therapeutic developments to potentially address th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e issue of adherence and lifetime exposure to LDL-C.</w:t>
      </w:r>
      <w:bookmarkEnd w:id="2"/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bookmarkEnd w:id="3"/>
    <w:p w14:paraId="7AAF52F9" w14:textId="77777777" w:rsidR="00D02970" w:rsidRPr="00D16654" w:rsidRDefault="00D02970" w:rsidP="00D02970">
      <w:pPr>
        <w:pStyle w:val="paragraph"/>
        <w:spacing w:line="480" w:lineRule="auto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Comparison of Mendelian randomization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epidemiological 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studies, 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and trials 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comparing 50, 12, and 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5 years of exposure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respectively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show a log-linear relationship between relative risk and absolute difference in LDL-C. As benefits are cumulative,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for 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any given difference in LDL-C e.g. 39mg/dl genetic variants associated with lifelong lower LDL-C exposure are associated with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greater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risk reduction than similar LDL-C reduction derived over a shorter period of time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through pharmacological interventions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D16654">
        <w:rPr>
          <w:rStyle w:val="normaltextrun"/>
          <w:rFonts w:asciiTheme="minorHAnsi" w:hAnsiTheme="minorHAnsi" w:cstheme="minorHAnsi"/>
          <w:noProof/>
          <w:sz w:val="22"/>
          <w:szCs w:val="22"/>
          <w:lang w:val="en-US"/>
        </w:rPr>
        <w:t>(3)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. Conversely, small and sustained differences in LDL-C of about 13mg/dl over 50 years appear to provide a similar benefit to a 39mg/dl difference maintained over 5 years. </w:t>
      </w:r>
    </w:p>
    <w:p w14:paraId="330F23CD" w14:textId="03253E04" w:rsidR="00D02970" w:rsidRPr="00D16654" w:rsidRDefault="00D02970" w:rsidP="00D02970">
      <w:pPr>
        <w:pStyle w:val="paragraph"/>
        <w:spacing w:line="480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n-US"/>
        </w:rPr>
      </w:pP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lastRenderedPageBreak/>
        <w:t>I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mperfect adherence to any pharmacotherapy result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s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in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greater 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LDL-C variability, which in turn increases the average LDL-C exposure thus diminish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ing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the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benefit of a therapy. Instead of assessing LDL-C reduction at an isolated time-point</w:t>
      </w:r>
      <w:r w:rsidR="005A6D1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,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the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concept of annual 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time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-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averaged LDL-C per person per year</w:t>
      </w:r>
      <w:r w:rsidR="005A6D1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,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which accounts for adherence 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and </w:t>
      </w:r>
      <w:r w:rsidR="005A6D1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is 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more representative of the “real world”</w:t>
      </w:r>
      <w:r w:rsidR="005A6D1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,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is more meaningful for assessment of long term benefit 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(Figure 1A) </w:t>
      </w:r>
      <w:r w:rsidRPr="00D16654">
        <w:rPr>
          <w:rStyle w:val="normaltextrun"/>
          <w:rFonts w:asciiTheme="minorHAnsi" w:hAnsiTheme="minorHAnsi" w:cstheme="minorHAnsi"/>
          <w:noProof/>
          <w:sz w:val="22"/>
          <w:szCs w:val="22"/>
          <w:lang w:val="en-US"/>
        </w:rPr>
        <w:t>(1)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This concept incorporates the potency and the 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medication burden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/complexity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of 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the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lipid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-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lowering regimen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,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which in turn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are impacted by adherence.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The concept of annual LDL-C exposure can be projected over different time horizons to estimate short and long term benefits. </w:t>
      </w:r>
      <w:r w:rsidR="008D295B" w:rsidRPr="0017324C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As relative risk reduction is proportional to the absolute reduction in LDL-C</w:t>
      </w:r>
      <w:r w:rsidR="003D39A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and </w:t>
      </w:r>
      <w:r w:rsidR="008D295B" w:rsidRPr="0017324C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the duration of that reduction </w:t>
      </w:r>
      <w:r w:rsidR="003D39A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but</w:t>
      </w:r>
      <w:r w:rsidR="008D295B" w:rsidRPr="0017324C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independent of how LDL-C reductions are achieved, then emerging approaches, if safe, effective, and affordable may help to maintain long-term reductions in LDL-C through pharmacotherapy.</w:t>
      </w:r>
      <w:r w:rsidR="008D295B"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If we take the scenario of a 50% lowering in LDL-C, then this can currently be achieved with 365 statin tablets per year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or 26 injections of a monoclonal antibody (</w:t>
      </w:r>
      <w:proofErr w:type="spellStart"/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mAb</w:t>
      </w:r>
      <w:proofErr w:type="spellEnd"/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) to Proprotein convertase subtilisin/</w:t>
      </w:r>
      <w:proofErr w:type="spellStart"/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kexin</w:t>
      </w:r>
      <w:proofErr w:type="spellEnd"/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type 9 (PCSK9) per year or potentially in the future 2 injections per year of a siRNA based therapy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such as </w:t>
      </w:r>
      <w:proofErr w:type="spellStart"/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inclisiran</w:t>
      </w:r>
      <w:proofErr w:type="spellEnd"/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. Even combination therapies of small molecules such as statins and ezetimibe or potentially </w:t>
      </w:r>
      <w:proofErr w:type="spellStart"/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bempedoic</w:t>
      </w:r>
      <w:proofErr w:type="spellEnd"/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acid and ezetimibe</w:t>
      </w:r>
      <w:r w:rsidR="006B5CB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,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although they reduce pill burden with fixed dosed combinations, still require daily dosing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and thus 365 tablets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. </w:t>
      </w:r>
    </w:p>
    <w:p w14:paraId="66DD475D" w14:textId="4020090C" w:rsidR="00D02970" w:rsidRPr="00D16654" w:rsidRDefault="00D02970" w:rsidP="00D02970">
      <w:pPr>
        <w:pStyle w:val="paragraph"/>
        <w:spacing w:line="480" w:lineRule="auto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If we assume that imperfect adherence a</w:t>
      </w:r>
      <w:r w:rsidRPr="00D16654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t a population level 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causes suboptimal reductions in LDL-C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,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then a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theoretical 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39mg/dl reduction 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observed soon after initiation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will not be sustained when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the 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therapeutic time horizon is extended.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D</w:t>
      </w:r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ifferences in </w:t>
      </w:r>
      <w:r w:rsidRPr="00506A79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adherence</w:t>
      </w:r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 to treatment regimens</w:t>
      </w:r>
      <w:r w:rsidRPr="00506A79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 will differentially impact therapies which have different durations of action. </w:t>
      </w:r>
      <w:bookmarkStart w:id="4" w:name="_Hlk27479044"/>
      <w:bookmarkStart w:id="5" w:name="_Hlk27479283"/>
      <w:bookmarkStart w:id="6" w:name="_Hlk27474310"/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For instance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, </w:t>
      </w:r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based on real world data (1),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over a 5-year treatment cycle the </w:t>
      </w:r>
      <w:r w:rsidRPr="00D16654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time</w:t>
      </w:r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-</w:t>
      </w:r>
      <w:r w:rsidRPr="00D16654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averaged reduction in LDL-C might be </w:t>
      </w:r>
      <w:r w:rsidRPr="00506A79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attenuated from 39mg/dl to</w:t>
      </w:r>
      <w:r w:rsidRPr="00D16654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 23mg/dl for statins</w:t>
      </w:r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. P</w:t>
      </w:r>
      <w:r w:rsidRPr="00B94750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hase 1</w:t>
      </w:r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 </w:t>
      </w:r>
      <w:r w:rsidRPr="00B94750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data</w:t>
      </w:r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 from </w:t>
      </w:r>
      <w:proofErr w:type="spellStart"/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mAbs</w:t>
      </w:r>
      <w:proofErr w:type="spellEnd"/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, suggest LDL-C levels return to baseline 1 month after administration, hence</w:t>
      </w:r>
      <w:r w:rsidRPr="00B94750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 </w:t>
      </w:r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imperfect </w:t>
      </w:r>
      <w:r w:rsidRPr="00B94750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spacing </w:t>
      </w:r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of </w:t>
      </w:r>
      <w:r w:rsidRPr="00B94750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dosing intervals </w:t>
      </w:r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beyond the recommended schedule attenuates</w:t>
      </w:r>
      <w:r w:rsidRPr="00B94750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 </w:t>
      </w:r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peak LDL-C reduction by 4-5% (4). Over </w:t>
      </w:r>
      <w:r w:rsidRPr="00D2400A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a 5 year cycle </w:t>
      </w:r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a </w:t>
      </w:r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lastRenderedPageBreak/>
        <w:t xml:space="preserve">recurring modest attenuation of peak effect through imperfect adherence could translate into an </w:t>
      </w:r>
      <w:r w:rsidRPr="00D2400A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attenuation in the absolute reduction in LDL-C from 39 to 31mg/dl</w:t>
      </w:r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,</w:t>
      </w:r>
      <w:r w:rsidRPr="00D2400A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 so an approximate 20% attenu</w:t>
      </w:r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a</w:t>
      </w:r>
      <w:r w:rsidRPr="00D2400A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tion in the </w:t>
      </w:r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absolute </w:t>
      </w:r>
      <w:r w:rsidRPr="00D2400A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LDL-C exposure over 5 years</w:t>
      </w:r>
      <w:r w:rsidRPr="00D2400A" w:rsidDel="00D2400A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 </w:t>
      </w:r>
      <w:r w:rsidRPr="00D16654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for </w:t>
      </w:r>
      <w:proofErr w:type="spellStart"/>
      <w:r w:rsidRPr="00D16654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mAbs</w:t>
      </w:r>
      <w:proofErr w:type="spellEnd"/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.</w:t>
      </w:r>
      <w:bookmarkEnd w:id="4"/>
      <w:r w:rsidRPr="00D16654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 </w:t>
      </w:r>
      <w:bookmarkStart w:id="7" w:name="_Hlk27479075"/>
      <w:bookmarkEnd w:id="5"/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A</w:t>
      </w:r>
      <w:r w:rsidRPr="00506A79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 physician</w:t>
      </w:r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-</w:t>
      </w:r>
      <w:r w:rsidRPr="00506A79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administered siRNA should still provide a </w:t>
      </w:r>
      <w:r w:rsidRPr="00D16654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39mg/dl </w:t>
      </w:r>
      <w:r w:rsidRPr="00506A79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lowering </w:t>
      </w:r>
      <w:r w:rsidRPr="00D16654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assuming no loss of efficacy and </w:t>
      </w:r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no major or recurring delay in recommended dosing, </w:t>
      </w:r>
      <w:bookmarkEnd w:id="6"/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otherwise </w:t>
      </w:r>
      <w:r w:rsidRPr="001662AD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the average LDL-C exposure may not fit with the assumptions made.</w:t>
      </w:r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 </w:t>
      </w:r>
      <w:bookmarkEnd w:id="7"/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That said, the LDL-C returns towards baseline at about 2% per month with </w:t>
      </w:r>
      <w:proofErr w:type="spellStart"/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inclisiran</w:t>
      </w:r>
      <w:proofErr w:type="spellEnd"/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 allowing greater flexibility over 5 years than therapies with shorter half-lives. </w:t>
      </w:r>
      <w:r w:rsidRPr="00D16654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Therefore, the population level impact of each of these 3 approaches might produce less than the expected 22% lowering of risk expected per 39mg/dl LDL-C lowering over 5 years, with a predicted 13.5% proportional risk reduction for statins and a 17.5% reduction for </w:t>
      </w:r>
      <w:proofErr w:type="spellStart"/>
      <w:r w:rsidRPr="00D16654">
        <w:rPr>
          <w:rStyle w:val="spellingerror"/>
          <w:rFonts w:asciiTheme="minorHAnsi" w:hAnsiTheme="minorHAnsi" w:cstheme="minorHAnsi"/>
          <w:color w:val="212121"/>
          <w:sz w:val="22"/>
          <w:szCs w:val="22"/>
          <w:lang w:val="en-US"/>
        </w:rPr>
        <w:t>mAbs</w:t>
      </w:r>
      <w:proofErr w:type="spellEnd"/>
      <w:r w:rsidRPr="00D16654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 but a 22% reduction for siRNAs. </w:t>
      </w:r>
      <w:r w:rsidRPr="00506A79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P</w:t>
      </w:r>
      <w:r w:rsidRPr="00D16654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roject</w:t>
      </w:r>
      <w:r w:rsidRPr="00506A79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ing </w:t>
      </w:r>
      <w:r w:rsidRPr="00D16654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over a 50</w:t>
      </w:r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-</w:t>
      </w:r>
      <w:r w:rsidRPr="00D16654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year therapeutic window </w:t>
      </w:r>
      <w:r w:rsidRPr="00D16654">
        <w:rPr>
          <w:rStyle w:val="normaltextrun"/>
          <w:rFonts w:asciiTheme="minorHAnsi" w:hAnsiTheme="minorHAnsi" w:cstheme="minorHAnsi"/>
          <w:noProof/>
          <w:color w:val="212121"/>
          <w:sz w:val="22"/>
          <w:szCs w:val="22"/>
          <w:lang w:val="en-US"/>
        </w:rPr>
        <w:t>(3)</w:t>
      </w:r>
      <w:r w:rsidRPr="00D16654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, the cumulative benefits of maintaining the same LDL-C differences are even more marked at a population level, where one might expect a 31.2% relative risk reduction for statins, 41.6% for </w:t>
      </w:r>
      <w:proofErr w:type="spellStart"/>
      <w:r w:rsidRPr="00D16654">
        <w:rPr>
          <w:rStyle w:val="spellingerror"/>
          <w:rFonts w:asciiTheme="minorHAnsi" w:hAnsiTheme="minorHAnsi" w:cstheme="minorHAnsi"/>
          <w:color w:val="212121"/>
          <w:sz w:val="22"/>
          <w:szCs w:val="22"/>
          <w:lang w:val="en-US"/>
        </w:rPr>
        <w:t>mAbs</w:t>
      </w:r>
      <w:proofErr w:type="spellEnd"/>
      <w:r w:rsidRPr="00D16654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 and 52% for siRNAs (Figure 1</w:t>
      </w:r>
      <w:r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>B</w:t>
      </w:r>
      <w:r w:rsidRPr="00D16654">
        <w:rPr>
          <w:rStyle w:val="normaltextrun"/>
          <w:rFonts w:asciiTheme="minorHAnsi" w:hAnsiTheme="minorHAnsi" w:cstheme="minorHAnsi"/>
          <w:color w:val="212121"/>
          <w:sz w:val="22"/>
          <w:szCs w:val="22"/>
          <w:lang w:val="en-US"/>
        </w:rPr>
        <w:t xml:space="preserve">). </w:t>
      </w:r>
    </w:p>
    <w:p w14:paraId="52079719" w14:textId="77777777" w:rsidR="00D02970" w:rsidRPr="00D16654" w:rsidRDefault="00D02970" w:rsidP="00D02970">
      <w:pPr>
        <w:pStyle w:val="paragraph"/>
        <w:spacing w:line="480" w:lineRule="auto"/>
        <w:textAlignment w:val="baseline"/>
        <w:rPr>
          <w:rStyle w:val="eop"/>
          <w:rFonts w:asciiTheme="minorHAnsi" w:hAnsiTheme="minorHAnsi" w:cstheme="minorHAnsi"/>
          <w:sz w:val="22"/>
          <w:szCs w:val="22"/>
          <w:lang w:val="en-US"/>
        </w:rPr>
      </w:pP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The concepts of infrequent or “one time” therapeutic interventions could well be further extended through PCSK9-vaccination approaches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where a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nimal studies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suggest a 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safe PCSK9 antibody response and LDL-C lowering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are feasible 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in mice and non-human primates with a maximum in vivo half-life of 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~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5 months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Style w:val="normaltextrun"/>
          <w:rFonts w:asciiTheme="minorHAnsi" w:hAnsiTheme="minorHAnsi" w:cstheme="minorHAnsi"/>
          <w:noProof/>
          <w:sz w:val="22"/>
          <w:szCs w:val="22"/>
          <w:lang w:val="en-US"/>
        </w:rPr>
        <w:t>(5)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. In the future, a longer-lasting immune response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requiring an occasional boost may be feasible.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A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l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ifelong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permanent 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therapeutic effect with only a single treatment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could become 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feasible through gene editing 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with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the use of the CRISPR-Cas9 platform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and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introducing loss-of-function mutations into the PCSK9 gene. In mice circulating PSCK9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fell resulting in L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DL-C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reductions of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35%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-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40%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Style w:val="normaltextrun"/>
          <w:rFonts w:asciiTheme="minorHAnsi" w:hAnsiTheme="minorHAnsi" w:cstheme="minorHAnsi"/>
          <w:noProof/>
          <w:sz w:val="22"/>
          <w:szCs w:val="22"/>
          <w:lang w:val="en-US"/>
        </w:rPr>
        <w:t>(5)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.</w:t>
      </w:r>
    </w:p>
    <w:p w14:paraId="1B1F6B5B" w14:textId="7C4F5DCF" w:rsidR="001676F0" w:rsidRDefault="00D02970" w:rsidP="001676F0">
      <w:pPr>
        <w:pStyle w:val="paragraph"/>
        <w:spacing w:line="480" w:lineRule="auto"/>
        <w:textAlignment w:val="baseline"/>
        <w:rPr>
          <w:rStyle w:val="normaltextrun"/>
          <w:rFonts w:cstheme="minorHAnsi"/>
          <w:lang w:val="en-US"/>
        </w:rPr>
      </w:pP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In summary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,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therapeutic advances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reducing 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the burden of long-term adherence and hence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exp</w:t>
      </w:r>
      <w:r w:rsidRPr="00D16654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osure to risk factors away from the patient could </w:t>
      </w:r>
      <w:r w:rsidRPr="00506A7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improve population health to an earlier more effective strategy that preserves health rather than treating disease. </w:t>
      </w:r>
      <w:r w:rsidR="001676F0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br w:type="page"/>
      </w:r>
    </w:p>
    <w:p w14:paraId="33E8B7E2" w14:textId="77777777" w:rsidR="00A61446" w:rsidRDefault="00F56EDF" w:rsidP="001676F0">
      <w:pPr>
        <w:pStyle w:val="paragraph"/>
        <w:spacing w:line="480" w:lineRule="auto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037984">
        <w:rPr>
          <w:rFonts w:asciiTheme="minorHAnsi" w:hAnsiTheme="minorHAnsi" w:cstheme="minorHAnsi"/>
          <w:b/>
          <w:bCs/>
          <w:sz w:val="22"/>
          <w:szCs w:val="22"/>
          <w:lang w:val="en-US"/>
        </w:rPr>
        <w:lastRenderedPageBreak/>
        <w:t>Legend to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F56ED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Figure 1: </w:t>
      </w:r>
    </w:p>
    <w:p w14:paraId="570D2F00" w14:textId="31E48EC7" w:rsidR="00A61446" w:rsidRDefault="00F56EDF" w:rsidP="001676F0">
      <w:pPr>
        <w:pStyle w:val="paragraph"/>
        <w:spacing w:line="480" w:lineRule="auto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F56ED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A) Medication Burden Impairs Adherence and </w:t>
      </w:r>
      <w:r w:rsidR="002D46FD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Average </w:t>
      </w:r>
      <w:r w:rsidRPr="00F56EDF">
        <w:rPr>
          <w:rFonts w:asciiTheme="minorHAnsi" w:hAnsiTheme="minorHAnsi" w:cstheme="minorHAnsi"/>
          <w:b/>
          <w:bCs/>
          <w:sz w:val="22"/>
          <w:szCs w:val="22"/>
          <w:lang w:val="en-US"/>
        </w:rPr>
        <w:t>LDL-Cholesterol (LDL-C)-Reduction</w:t>
      </w:r>
      <w:r w:rsidR="002D46FD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Over Time</w:t>
      </w:r>
      <w:r w:rsidRPr="00F56EDF">
        <w:rPr>
          <w:rFonts w:asciiTheme="minorHAnsi" w:hAnsiTheme="minorHAnsi" w:cstheme="minorHAnsi"/>
          <w:b/>
          <w:bCs/>
          <w:sz w:val="22"/>
          <w:szCs w:val="22"/>
          <w:lang w:val="en-US"/>
        </w:rPr>
        <w:t>:</w:t>
      </w:r>
      <w:r w:rsidRPr="00F56EDF">
        <w:rPr>
          <w:rFonts w:asciiTheme="minorHAnsi" w:hAnsiTheme="minorHAnsi" w:cstheme="minorHAnsi"/>
          <w:sz w:val="22"/>
          <w:szCs w:val="22"/>
          <w:lang w:val="en-US"/>
        </w:rPr>
        <w:t xml:space="preserve"> Current annual medication burden for lipid lowering regimens are shown here. The highest </w:t>
      </w:r>
      <w:r w:rsidR="00A61446">
        <w:rPr>
          <w:rFonts w:asciiTheme="minorHAnsi" w:hAnsiTheme="minorHAnsi" w:cstheme="minorHAnsi"/>
          <w:sz w:val="22"/>
          <w:szCs w:val="22"/>
          <w:lang w:val="en-US"/>
        </w:rPr>
        <w:t xml:space="preserve">medication </w:t>
      </w:r>
      <w:r w:rsidRPr="00F56EDF">
        <w:rPr>
          <w:rFonts w:asciiTheme="minorHAnsi" w:hAnsiTheme="minorHAnsi" w:cstheme="minorHAnsi"/>
          <w:sz w:val="22"/>
          <w:szCs w:val="22"/>
          <w:lang w:val="en-US"/>
        </w:rPr>
        <w:t xml:space="preserve">burden </w:t>
      </w:r>
      <w:r w:rsidR="00670AEE">
        <w:rPr>
          <w:rFonts w:asciiTheme="minorHAnsi" w:hAnsiTheme="minorHAnsi" w:cstheme="minorHAnsi"/>
          <w:sz w:val="22"/>
          <w:szCs w:val="22"/>
          <w:lang w:val="en-US"/>
        </w:rPr>
        <w:t>is</w:t>
      </w:r>
      <w:r w:rsidR="00A61446">
        <w:rPr>
          <w:rFonts w:asciiTheme="minorHAnsi" w:hAnsiTheme="minorHAnsi" w:cstheme="minorHAnsi"/>
          <w:sz w:val="22"/>
          <w:szCs w:val="22"/>
          <w:lang w:val="en-US"/>
        </w:rPr>
        <w:t xml:space="preserve"> with s</w:t>
      </w:r>
      <w:r w:rsidRPr="00F56EDF">
        <w:rPr>
          <w:rFonts w:asciiTheme="minorHAnsi" w:hAnsiTheme="minorHAnsi" w:cstheme="minorHAnsi"/>
          <w:sz w:val="22"/>
          <w:szCs w:val="22"/>
          <w:lang w:val="en-US"/>
        </w:rPr>
        <w:t>tatins followed by monoclonal PCSK9 Antibodies (</w:t>
      </w:r>
      <w:proofErr w:type="spellStart"/>
      <w:r w:rsidRPr="00F56EDF">
        <w:rPr>
          <w:rFonts w:asciiTheme="minorHAnsi" w:hAnsiTheme="minorHAnsi" w:cstheme="minorHAnsi"/>
          <w:sz w:val="22"/>
          <w:szCs w:val="22"/>
          <w:lang w:val="en-US"/>
        </w:rPr>
        <w:t>mAbs</w:t>
      </w:r>
      <w:proofErr w:type="spellEnd"/>
      <w:r w:rsidRPr="00F56EDF">
        <w:rPr>
          <w:rFonts w:asciiTheme="minorHAnsi" w:hAnsiTheme="minorHAnsi" w:cstheme="minorHAnsi"/>
          <w:sz w:val="22"/>
          <w:szCs w:val="22"/>
          <w:lang w:val="en-US"/>
        </w:rPr>
        <w:t xml:space="preserve">), </w:t>
      </w:r>
      <w:r w:rsidR="00A61446">
        <w:rPr>
          <w:rFonts w:asciiTheme="minorHAnsi" w:hAnsiTheme="minorHAnsi" w:cstheme="minorHAnsi"/>
          <w:sz w:val="22"/>
          <w:szCs w:val="22"/>
          <w:lang w:val="en-US"/>
        </w:rPr>
        <w:t xml:space="preserve">which could </w:t>
      </w:r>
      <w:r w:rsidRPr="00F56EDF">
        <w:rPr>
          <w:rFonts w:asciiTheme="minorHAnsi" w:hAnsiTheme="minorHAnsi" w:cstheme="minorHAnsi"/>
          <w:sz w:val="22"/>
          <w:szCs w:val="22"/>
          <w:lang w:val="en-US"/>
        </w:rPr>
        <w:t>lead to imperfect adherence. New therapeutic agents are associated with lower a</w:t>
      </w:r>
      <w:r w:rsidR="00A61446">
        <w:rPr>
          <w:rFonts w:asciiTheme="minorHAnsi" w:hAnsiTheme="minorHAnsi" w:cstheme="minorHAnsi"/>
          <w:sz w:val="22"/>
          <w:szCs w:val="22"/>
          <w:lang w:val="en-US"/>
        </w:rPr>
        <w:t>dministration frequency. P</w:t>
      </w:r>
      <w:r w:rsidRPr="00F56EDF">
        <w:rPr>
          <w:rFonts w:asciiTheme="minorHAnsi" w:hAnsiTheme="minorHAnsi" w:cstheme="minorHAnsi"/>
          <w:sz w:val="22"/>
          <w:szCs w:val="22"/>
          <w:lang w:val="en-US"/>
        </w:rPr>
        <w:t xml:space="preserve">erfect to </w:t>
      </w:r>
      <w:r w:rsidR="00A61446">
        <w:rPr>
          <w:rFonts w:asciiTheme="minorHAnsi" w:hAnsiTheme="minorHAnsi" w:cstheme="minorHAnsi"/>
          <w:sz w:val="22"/>
          <w:szCs w:val="22"/>
          <w:lang w:val="en-US"/>
        </w:rPr>
        <w:t>near-</w:t>
      </w:r>
      <w:r w:rsidRPr="00F56EDF">
        <w:rPr>
          <w:rFonts w:asciiTheme="minorHAnsi" w:hAnsiTheme="minorHAnsi" w:cstheme="minorHAnsi"/>
          <w:sz w:val="22"/>
          <w:szCs w:val="22"/>
          <w:lang w:val="en-US"/>
        </w:rPr>
        <w:t xml:space="preserve">perfect adherence </w:t>
      </w:r>
      <w:r w:rsidR="00A61446">
        <w:rPr>
          <w:rFonts w:asciiTheme="minorHAnsi" w:hAnsiTheme="minorHAnsi" w:cstheme="minorHAnsi"/>
          <w:sz w:val="22"/>
          <w:szCs w:val="22"/>
          <w:lang w:val="en-US"/>
        </w:rPr>
        <w:t xml:space="preserve">may be feasible </w:t>
      </w:r>
      <w:r w:rsidRPr="00F56EDF">
        <w:rPr>
          <w:rFonts w:asciiTheme="minorHAnsi" w:hAnsiTheme="minorHAnsi" w:cstheme="minorHAnsi"/>
          <w:sz w:val="22"/>
          <w:szCs w:val="22"/>
          <w:lang w:val="en-US"/>
        </w:rPr>
        <w:t>with infrequent dosing regimens (small interfering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F56EDF">
        <w:rPr>
          <w:rFonts w:asciiTheme="minorHAnsi" w:hAnsiTheme="minorHAnsi" w:cstheme="minorHAnsi"/>
          <w:sz w:val="22"/>
          <w:szCs w:val="22"/>
          <w:lang w:val="en-US"/>
        </w:rPr>
        <w:t>RNAs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(siRNA)</w:t>
      </w:r>
      <w:r w:rsidRPr="00F56EDF">
        <w:rPr>
          <w:rFonts w:asciiTheme="minorHAnsi" w:hAnsiTheme="minorHAnsi" w:cstheme="minorHAnsi"/>
          <w:sz w:val="22"/>
          <w:szCs w:val="22"/>
          <w:lang w:val="en-US"/>
        </w:rPr>
        <w:t>, Vaccines) administered by medical professionals and with permanent interventions, like gene editing.</w:t>
      </w:r>
      <w:r w:rsidR="00670AEE">
        <w:rPr>
          <w:rFonts w:asciiTheme="minorHAnsi" w:hAnsiTheme="minorHAnsi" w:cstheme="minorHAnsi"/>
          <w:sz w:val="22"/>
          <w:szCs w:val="22"/>
          <w:lang w:val="en-US"/>
        </w:rPr>
        <w:t xml:space="preserve"> The impact of adherence to these therapies on average LDL-C reduction is shown in yellow</w:t>
      </w:r>
      <w:r w:rsidR="00E93895">
        <w:rPr>
          <w:rFonts w:asciiTheme="minorHAnsi" w:hAnsiTheme="minorHAnsi" w:cstheme="minorHAnsi"/>
          <w:sz w:val="22"/>
          <w:szCs w:val="22"/>
          <w:lang w:val="en-US"/>
        </w:rPr>
        <w:t xml:space="preserve"> and </w:t>
      </w:r>
      <w:r w:rsidR="00E93895" w:rsidRPr="00F56EDF">
        <w:rPr>
          <w:rFonts w:asciiTheme="minorHAnsi" w:hAnsiTheme="minorHAnsi" w:cstheme="minorHAnsi"/>
          <w:sz w:val="22"/>
          <w:szCs w:val="22"/>
          <w:lang w:val="en-US"/>
        </w:rPr>
        <w:t>assum</w:t>
      </w:r>
      <w:r w:rsidR="00E93895">
        <w:rPr>
          <w:rFonts w:asciiTheme="minorHAnsi" w:hAnsiTheme="minorHAnsi" w:cstheme="minorHAnsi"/>
          <w:sz w:val="22"/>
          <w:szCs w:val="22"/>
          <w:lang w:val="en-US"/>
        </w:rPr>
        <w:t>es an</w:t>
      </w:r>
      <w:r w:rsidR="00E93895" w:rsidRPr="00F56EDF">
        <w:rPr>
          <w:rFonts w:asciiTheme="minorHAnsi" w:hAnsiTheme="minorHAnsi" w:cstheme="minorHAnsi"/>
          <w:sz w:val="22"/>
          <w:szCs w:val="22"/>
          <w:lang w:val="en-US"/>
        </w:rPr>
        <w:t xml:space="preserve"> annual average LDL-C reduction</w:t>
      </w:r>
      <w:r w:rsidR="00E93895">
        <w:rPr>
          <w:rFonts w:asciiTheme="minorHAnsi" w:hAnsiTheme="minorHAnsi" w:cstheme="minorHAnsi"/>
          <w:sz w:val="22"/>
          <w:szCs w:val="22"/>
          <w:lang w:val="en-US"/>
        </w:rPr>
        <w:t>s</w:t>
      </w:r>
      <w:r w:rsidR="00E93895" w:rsidRPr="00F56EDF">
        <w:rPr>
          <w:rFonts w:asciiTheme="minorHAnsi" w:hAnsiTheme="minorHAnsi" w:cstheme="minorHAnsi"/>
          <w:sz w:val="22"/>
          <w:szCs w:val="22"/>
          <w:lang w:val="en-US"/>
        </w:rPr>
        <w:t xml:space="preserve"> of 39mg/dl </w:t>
      </w:r>
      <w:r w:rsidR="00E93895">
        <w:rPr>
          <w:rFonts w:asciiTheme="minorHAnsi" w:hAnsiTheme="minorHAnsi" w:cstheme="minorHAnsi"/>
          <w:sz w:val="22"/>
          <w:szCs w:val="22"/>
          <w:lang w:val="en-US"/>
        </w:rPr>
        <w:t xml:space="preserve">are maintained </w:t>
      </w:r>
      <w:r w:rsidR="00E93895" w:rsidRPr="00F56EDF">
        <w:rPr>
          <w:rFonts w:asciiTheme="minorHAnsi" w:hAnsiTheme="minorHAnsi" w:cstheme="minorHAnsi"/>
          <w:sz w:val="22"/>
          <w:szCs w:val="22"/>
          <w:lang w:val="en-US"/>
        </w:rPr>
        <w:t xml:space="preserve">with perfect adherence (siRNAs, vaccine, gene editing) and for imperfect adherence an annual average LDL-C reduction of 31mg/dl </w:t>
      </w:r>
      <w:r w:rsidR="00E93895">
        <w:rPr>
          <w:rFonts w:asciiTheme="minorHAnsi" w:hAnsiTheme="minorHAnsi" w:cstheme="minorHAnsi"/>
          <w:sz w:val="22"/>
          <w:szCs w:val="22"/>
          <w:lang w:val="en-US"/>
        </w:rPr>
        <w:t xml:space="preserve">is maintained </w:t>
      </w:r>
      <w:r w:rsidR="00E93895" w:rsidRPr="00F56EDF">
        <w:rPr>
          <w:rFonts w:asciiTheme="minorHAnsi" w:hAnsiTheme="minorHAnsi" w:cstheme="minorHAnsi"/>
          <w:sz w:val="22"/>
          <w:szCs w:val="22"/>
          <w:lang w:val="en-US"/>
        </w:rPr>
        <w:t xml:space="preserve">for </w:t>
      </w:r>
      <w:proofErr w:type="spellStart"/>
      <w:r w:rsidR="00E93895" w:rsidRPr="00F56EDF">
        <w:rPr>
          <w:rFonts w:asciiTheme="minorHAnsi" w:hAnsiTheme="minorHAnsi" w:cstheme="minorHAnsi"/>
          <w:sz w:val="22"/>
          <w:szCs w:val="22"/>
          <w:lang w:val="en-US"/>
        </w:rPr>
        <w:t>mAbs</w:t>
      </w:r>
      <w:proofErr w:type="spellEnd"/>
      <w:r w:rsidR="00E93895" w:rsidRPr="00F56EDF">
        <w:rPr>
          <w:rFonts w:asciiTheme="minorHAnsi" w:hAnsiTheme="minorHAnsi" w:cstheme="minorHAnsi"/>
          <w:sz w:val="22"/>
          <w:szCs w:val="22"/>
          <w:lang w:val="en-US"/>
        </w:rPr>
        <w:t xml:space="preserve"> and </w:t>
      </w:r>
      <w:r w:rsidR="00E93895">
        <w:rPr>
          <w:rFonts w:asciiTheme="minorHAnsi" w:hAnsiTheme="minorHAnsi" w:cstheme="minorHAnsi"/>
          <w:sz w:val="22"/>
          <w:szCs w:val="22"/>
          <w:lang w:val="en-US"/>
        </w:rPr>
        <w:t xml:space="preserve">for statins an average LDL-C reduction of </w:t>
      </w:r>
      <w:r w:rsidR="00E93895" w:rsidRPr="00F56EDF">
        <w:rPr>
          <w:rFonts w:asciiTheme="minorHAnsi" w:hAnsiTheme="minorHAnsi" w:cstheme="minorHAnsi"/>
          <w:sz w:val="22"/>
          <w:szCs w:val="22"/>
          <w:lang w:val="en-US"/>
        </w:rPr>
        <w:t xml:space="preserve">23mg/dl </w:t>
      </w:r>
      <w:r w:rsidR="00E93895">
        <w:rPr>
          <w:rFonts w:asciiTheme="minorHAnsi" w:hAnsiTheme="minorHAnsi" w:cstheme="minorHAnsi"/>
          <w:sz w:val="22"/>
          <w:szCs w:val="22"/>
          <w:lang w:val="en-US"/>
        </w:rPr>
        <w:t>is maintained.</w:t>
      </w:r>
      <w:r w:rsidRPr="00F56ED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6EA7E0DD" w14:textId="0649D05C" w:rsidR="001676F0" w:rsidRPr="001676F0" w:rsidRDefault="00F56EDF" w:rsidP="001676F0">
      <w:pPr>
        <w:pStyle w:val="paragraph"/>
        <w:spacing w:line="480" w:lineRule="auto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F56ED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B) Impact of Imperfect Adherence on the Proportional Risk Reduction of </w:t>
      </w:r>
      <w:r w:rsidR="00A61446">
        <w:rPr>
          <w:rFonts w:asciiTheme="minorHAnsi" w:hAnsiTheme="minorHAnsi" w:cstheme="minorHAnsi"/>
          <w:b/>
          <w:bCs/>
          <w:sz w:val="22"/>
          <w:szCs w:val="22"/>
          <w:lang w:val="en-GB"/>
        </w:rPr>
        <w:t>C</w:t>
      </w:r>
      <w:proofErr w:type="spellStart"/>
      <w:r w:rsidR="001676F0" w:rsidRPr="00037984">
        <w:rPr>
          <w:rFonts w:asciiTheme="minorHAnsi" w:hAnsiTheme="minorHAnsi" w:cstheme="minorHAnsi"/>
          <w:b/>
          <w:bCs/>
          <w:sz w:val="22"/>
          <w:szCs w:val="22"/>
          <w:lang w:val="en-US"/>
        </w:rPr>
        <w:t>oronary</w:t>
      </w:r>
      <w:proofErr w:type="spellEnd"/>
      <w:r w:rsidR="001676F0" w:rsidRPr="00037984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A61446">
        <w:rPr>
          <w:rFonts w:asciiTheme="minorHAnsi" w:hAnsiTheme="minorHAnsi" w:cstheme="minorHAnsi"/>
          <w:b/>
          <w:bCs/>
          <w:sz w:val="22"/>
          <w:szCs w:val="22"/>
          <w:lang w:val="en-US"/>
        </w:rPr>
        <w:t>H</w:t>
      </w:r>
      <w:r w:rsidR="001676F0" w:rsidRPr="00037984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eart </w:t>
      </w:r>
      <w:r w:rsidR="00A61446">
        <w:rPr>
          <w:rFonts w:asciiTheme="minorHAnsi" w:hAnsiTheme="minorHAnsi" w:cstheme="minorHAnsi"/>
          <w:b/>
          <w:bCs/>
          <w:sz w:val="22"/>
          <w:szCs w:val="22"/>
          <w:lang w:val="en-US"/>
        </w:rPr>
        <w:t>D</w:t>
      </w:r>
      <w:r w:rsidR="001676F0" w:rsidRPr="00037984">
        <w:rPr>
          <w:rFonts w:asciiTheme="minorHAnsi" w:hAnsiTheme="minorHAnsi" w:cstheme="minorHAnsi"/>
          <w:b/>
          <w:bCs/>
          <w:sz w:val="22"/>
          <w:szCs w:val="22"/>
          <w:lang w:val="en-US"/>
        </w:rPr>
        <w:t>isease (</w:t>
      </w:r>
      <w:r w:rsidRPr="00F56EDF">
        <w:rPr>
          <w:rFonts w:asciiTheme="minorHAnsi" w:hAnsiTheme="minorHAnsi" w:cstheme="minorHAnsi"/>
          <w:b/>
          <w:bCs/>
          <w:sz w:val="22"/>
          <w:szCs w:val="22"/>
          <w:lang w:val="en-US"/>
        </w:rPr>
        <w:t>CHD</w:t>
      </w:r>
      <w:r w:rsidR="001676F0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  <w:r w:rsidRPr="00F56ED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on Population Level:</w:t>
      </w:r>
      <w:r w:rsidRPr="00F56EDF">
        <w:rPr>
          <w:rFonts w:asciiTheme="minorHAnsi" w:hAnsiTheme="minorHAnsi" w:cstheme="minorHAnsi"/>
          <w:sz w:val="22"/>
          <w:szCs w:val="22"/>
          <w:lang w:val="en-US"/>
        </w:rPr>
        <w:t xml:space="preserve"> Shows the log-linear relationship </w:t>
      </w:r>
      <w:r w:rsidR="00A61446">
        <w:rPr>
          <w:rFonts w:asciiTheme="minorHAnsi" w:hAnsiTheme="minorHAnsi" w:cstheme="minorHAnsi"/>
          <w:sz w:val="22"/>
          <w:szCs w:val="22"/>
          <w:lang w:val="en-US"/>
        </w:rPr>
        <w:t>between absolute differences in</w:t>
      </w:r>
      <w:r w:rsidRPr="00F56EDF">
        <w:rPr>
          <w:rFonts w:asciiTheme="minorHAnsi" w:hAnsiTheme="minorHAnsi" w:cstheme="minorHAnsi"/>
          <w:sz w:val="22"/>
          <w:szCs w:val="22"/>
          <w:lang w:val="en-US"/>
        </w:rPr>
        <w:t xml:space="preserve"> LDL-C</w:t>
      </w:r>
      <w:r w:rsidR="00037984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A61446">
        <w:rPr>
          <w:rFonts w:asciiTheme="minorHAnsi" w:hAnsiTheme="minorHAnsi" w:cstheme="minorHAnsi"/>
          <w:sz w:val="22"/>
          <w:szCs w:val="22"/>
          <w:lang w:val="en-US"/>
        </w:rPr>
        <w:t>e</w:t>
      </w:r>
      <w:r w:rsidRPr="00F56EDF">
        <w:rPr>
          <w:rFonts w:asciiTheme="minorHAnsi" w:hAnsiTheme="minorHAnsi" w:cstheme="minorHAnsi"/>
          <w:sz w:val="22"/>
          <w:szCs w:val="22"/>
          <w:lang w:val="en-US"/>
        </w:rPr>
        <w:t xml:space="preserve">xposure </w:t>
      </w:r>
      <w:r w:rsidR="00E93895">
        <w:rPr>
          <w:rFonts w:asciiTheme="minorHAnsi" w:hAnsiTheme="minorHAnsi" w:cstheme="minorHAnsi"/>
          <w:sz w:val="22"/>
          <w:szCs w:val="22"/>
          <w:lang w:val="en-US"/>
        </w:rPr>
        <w:t xml:space="preserve">from different therapeutic approaches (after accounting for adherence) </w:t>
      </w:r>
      <w:r w:rsidR="00A61446">
        <w:rPr>
          <w:rFonts w:asciiTheme="minorHAnsi" w:hAnsiTheme="minorHAnsi" w:cstheme="minorHAnsi"/>
          <w:sz w:val="22"/>
          <w:szCs w:val="22"/>
          <w:lang w:val="en-US"/>
        </w:rPr>
        <w:t>and</w:t>
      </w:r>
      <w:r w:rsidRPr="00F56EDF">
        <w:rPr>
          <w:rFonts w:asciiTheme="minorHAnsi" w:hAnsiTheme="minorHAnsi" w:cstheme="minorHAnsi"/>
          <w:sz w:val="22"/>
          <w:szCs w:val="22"/>
          <w:lang w:val="en-US"/>
        </w:rPr>
        <w:t xml:space="preserve"> the relative</w:t>
      </w:r>
      <w:r w:rsidRPr="00F56EDF">
        <w:rPr>
          <w:lang w:val="en-GB"/>
        </w:rPr>
        <w:t xml:space="preserve"> </w:t>
      </w:r>
      <w:r w:rsidRPr="00F56EDF">
        <w:rPr>
          <w:rFonts w:asciiTheme="minorHAnsi" w:hAnsiTheme="minorHAnsi" w:cstheme="minorHAnsi"/>
          <w:sz w:val="22"/>
          <w:szCs w:val="22"/>
          <w:lang w:val="en-US"/>
        </w:rPr>
        <w:t>risk reduction</w:t>
      </w:r>
      <w:r w:rsidR="001676F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A61446">
        <w:rPr>
          <w:rFonts w:asciiTheme="minorHAnsi" w:hAnsiTheme="minorHAnsi" w:cstheme="minorHAnsi"/>
          <w:sz w:val="22"/>
          <w:szCs w:val="22"/>
          <w:lang w:val="en-US"/>
        </w:rPr>
        <w:t>in heart disease over</w:t>
      </w:r>
      <w:r w:rsidRPr="00F56EDF">
        <w:rPr>
          <w:rFonts w:asciiTheme="minorHAnsi" w:hAnsiTheme="minorHAnsi" w:cstheme="minorHAnsi"/>
          <w:sz w:val="22"/>
          <w:szCs w:val="22"/>
          <w:lang w:val="en-US"/>
        </w:rPr>
        <w:t xml:space="preserve"> 5 and 52 years. The impact </w:t>
      </w:r>
      <w:r w:rsidR="00A61446">
        <w:rPr>
          <w:rFonts w:asciiTheme="minorHAnsi" w:hAnsiTheme="minorHAnsi" w:cstheme="minorHAnsi"/>
          <w:sz w:val="22"/>
          <w:szCs w:val="22"/>
          <w:lang w:val="en-US"/>
        </w:rPr>
        <w:t xml:space="preserve">of the </w:t>
      </w:r>
      <w:r w:rsidRPr="00F56EDF">
        <w:rPr>
          <w:rFonts w:asciiTheme="minorHAnsi" w:hAnsiTheme="minorHAnsi" w:cstheme="minorHAnsi"/>
          <w:sz w:val="22"/>
          <w:szCs w:val="22"/>
          <w:lang w:val="en-US"/>
        </w:rPr>
        <w:t xml:space="preserve">exposure duration </w:t>
      </w:r>
      <w:r w:rsidR="00A61446">
        <w:rPr>
          <w:rFonts w:asciiTheme="minorHAnsi" w:hAnsiTheme="minorHAnsi" w:cstheme="minorHAnsi"/>
          <w:sz w:val="22"/>
          <w:szCs w:val="22"/>
          <w:lang w:val="en-US"/>
        </w:rPr>
        <w:t xml:space="preserve">on </w:t>
      </w:r>
      <w:r w:rsidR="00A61446" w:rsidRPr="00F56EDF">
        <w:rPr>
          <w:rFonts w:asciiTheme="minorHAnsi" w:hAnsiTheme="minorHAnsi" w:cstheme="minorHAnsi"/>
          <w:sz w:val="22"/>
          <w:szCs w:val="22"/>
          <w:lang w:val="en-US"/>
        </w:rPr>
        <w:t xml:space="preserve">relative risk reduction </w:t>
      </w:r>
      <w:r w:rsidRPr="00F56EDF">
        <w:rPr>
          <w:rFonts w:asciiTheme="minorHAnsi" w:hAnsiTheme="minorHAnsi" w:cstheme="minorHAnsi"/>
          <w:sz w:val="22"/>
          <w:szCs w:val="22"/>
          <w:lang w:val="en-US"/>
        </w:rPr>
        <w:t>is indicated with horizontal dashed lines for an exposure duration of 5 years and horizontal solid lines for 52 years</w:t>
      </w:r>
      <w:r w:rsidR="002D46FD">
        <w:rPr>
          <w:rFonts w:asciiTheme="minorHAnsi" w:hAnsiTheme="minorHAnsi" w:cstheme="minorHAnsi"/>
          <w:sz w:val="22"/>
          <w:szCs w:val="22"/>
          <w:lang w:val="en-US"/>
        </w:rPr>
        <w:t xml:space="preserve">. The impact of an </w:t>
      </w:r>
      <w:r w:rsidRPr="00F56EDF">
        <w:rPr>
          <w:rFonts w:asciiTheme="minorHAnsi" w:hAnsiTheme="minorHAnsi" w:cstheme="minorHAnsi"/>
          <w:sz w:val="22"/>
          <w:szCs w:val="22"/>
          <w:lang w:val="en-US"/>
        </w:rPr>
        <w:t>annual average LDL-C reduction</w:t>
      </w:r>
      <w:r w:rsidR="00A61446">
        <w:rPr>
          <w:rFonts w:asciiTheme="minorHAnsi" w:hAnsiTheme="minorHAnsi" w:cstheme="minorHAnsi"/>
          <w:sz w:val="22"/>
          <w:szCs w:val="22"/>
          <w:lang w:val="en-US"/>
        </w:rPr>
        <w:t>s</w:t>
      </w:r>
      <w:r w:rsidRPr="00F56EDF">
        <w:rPr>
          <w:rFonts w:asciiTheme="minorHAnsi" w:hAnsiTheme="minorHAnsi" w:cstheme="minorHAnsi"/>
          <w:sz w:val="22"/>
          <w:szCs w:val="22"/>
          <w:lang w:val="en-US"/>
        </w:rPr>
        <w:t xml:space="preserve"> of 39mg/dl </w:t>
      </w:r>
      <w:r w:rsidR="002D46FD">
        <w:rPr>
          <w:rFonts w:asciiTheme="minorHAnsi" w:hAnsiTheme="minorHAnsi" w:cstheme="minorHAnsi"/>
          <w:sz w:val="22"/>
          <w:szCs w:val="22"/>
          <w:lang w:val="en-US"/>
        </w:rPr>
        <w:t xml:space="preserve">potentially </w:t>
      </w:r>
      <w:r w:rsidRPr="00F56EDF">
        <w:rPr>
          <w:rFonts w:asciiTheme="minorHAnsi" w:hAnsiTheme="minorHAnsi" w:cstheme="minorHAnsi"/>
          <w:sz w:val="22"/>
          <w:szCs w:val="22"/>
          <w:lang w:val="en-US"/>
        </w:rPr>
        <w:t xml:space="preserve">with perfect adherence (siRNAs, vaccine, gene editing) (shown in blue) and for imperfect adherence  </w:t>
      </w:r>
      <w:r w:rsidR="002D46FD">
        <w:rPr>
          <w:rFonts w:asciiTheme="minorHAnsi" w:hAnsiTheme="minorHAnsi" w:cstheme="minorHAnsi"/>
          <w:sz w:val="22"/>
          <w:szCs w:val="22"/>
          <w:lang w:val="en-US"/>
        </w:rPr>
        <w:t xml:space="preserve">the potential impact of </w:t>
      </w:r>
      <w:r w:rsidRPr="00F56EDF">
        <w:rPr>
          <w:rFonts w:asciiTheme="minorHAnsi" w:hAnsiTheme="minorHAnsi" w:cstheme="minorHAnsi"/>
          <w:sz w:val="22"/>
          <w:szCs w:val="22"/>
          <w:lang w:val="en-US"/>
        </w:rPr>
        <w:t xml:space="preserve">an annual average LDL-C reduction of 31mg/dl for </w:t>
      </w:r>
      <w:proofErr w:type="spellStart"/>
      <w:r w:rsidRPr="00F56EDF">
        <w:rPr>
          <w:rFonts w:asciiTheme="minorHAnsi" w:hAnsiTheme="minorHAnsi" w:cstheme="minorHAnsi"/>
          <w:sz w:val="22"/>
          <w:szCs w:val="22"/>
          <w:lang w:val="en-US"/>
        </w:rPr>
        <w:t>mAbs</w:t>
      </w:r>
      <w:proofErr w:type="spellEnd"/>
      <w:r w:rsidRPr="00F56EDF">
        <w:rPr>
          <w:rFonts w:asciiTheme="minorHAnsi" w:hAnsiTheme="minorHAnsi" w:cstheme="minorHAnsi"/>
          <w:sz w:val="22"/>
          <w:szCs w:val="22"/>
          <w:lang w:val="en-US"/>
        </w:rPr>
        <w:t xml:space="preserve"> (shown in red) and </w:t>
      </w:r>
      <w:r w:rsidR="002D46FD">
        <w:rPr>
          <w:rFonts w:asciiTheme="minorHAnsi" w:hAnsiTheme="minorHAnsi" w:cstheme="minorHAnsi"/>
          <w:sz w:val="22"/>
          <w:szCs w:val="22"/>
          <w:lang w:val="en-US"/>
        </w:rPr>
        <w:t>the potential impact of an</w:t>
      </w:r>
      <w:r w:rsidR="00A6144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2D46FD">
        <w:rPr>
          <w:rFonts w:asciiTheme="minorHAnsi" w:hAnsiTheme="minorHAnsi" w:cstheme="minorHAnsi"/>
          <w:sz w:val="22"/>
          <w:szCs w:val="22"/>
          <w:lang w:val="en-US"/>
        </w:rPr>
        <w:t xml:space="preserve">annual </w:t>
      </w:r>
      <w:r w:rsidR="00A61446">
        <w:rPr>
          <w:rFonts w:asciiTheme="minorHAnsi" w:hAnsiTheme="minorHAnsi" w:cstheme="minorHAnsi"/>
          <w:sz w:val="22"/>
          <w:szCs w:val="22"/>
          <w:lang w:val="en-US"/>
        </w:rPr>
        <w:t xml:space="preserve">average LDL-C reduction of </w:t>
      </w:r>
      <w:r w:rsidRPr="00F56EDF">
        <w:rPr>
          <w:rFonts w:asciiTheme="minorHAnsi" w:hAnsiTheme="minorHAnsi" w:cstheme="minorHAnsi"/>
          <w:sz w:val="22"/>
          <w:szCs w:val="22"/>
          <w:lang w:val="en-US"/>
        </w:rPr>
        <w:t>23mg/dl for statins (shown in green).</w:t>
      </w:r>
      <w:r w:rsidR="001676F0">
        <w:rPr>
          <w:rFonts w:cstheme="minorHAnsi"/>
          <w:b/>
          <w:color w:val="212121"/>
          <w:lang w:val="en-GB" w:eastAsia="es-MX"/>
        </w:rPr>
        <w:br w:type="page"/>
      </w:r>
    </w:p>
    <w:p w14:paraId="6C1F50F7" w14:textId="71D0B475" w:rsidR="00D02970" w:rsidRPr="00506A79" w:rsidRDefault="00D02970" w:rsidP="00D02970">
      <w:pPr>
        <w:spacing w:after="0"/>
        <w:rPr>
          <w:rFonts w:eastAsia="Times New Roman" w:cstheme="minorHAnsi"/>
          <w:b/>
          <w:color w:val="212121"/>
          <w:lang w:val="en-GB" w:eastAsia="es-MX"/>
        </w:rPr>
      </w:pPr>
      <w:r w:rsidRPr="00506A79">
        <w:rPr>
          <w:rFonts w:eastAsia="Times New Roman" w:cstheme="minorHAnsi"/>
          <w:b/>
          <w:color w:val="212121"/>
          <w:lang w:val="en-GB" w:eastAsia="es-MX"/>
        </w:rPr>
        <w:lastRenderedPageBreak/>
        <w:t>Acknowledgements</w:t>
      </w:r>
    </w:p>
    <w:p w14:paraId="087208FF" w14:textId="77777777" w:rsidR="00D02970" w:rsidRDefault="00D02970" w:rsidP="00D02970">
      <w:pPr>
        <w:pStyle w:val="EndNoteBibliography"/>
        <w:spacing w:after="0"/>
        <w:rPr>
          <w:rFonts w:asciiTheme="minorHAnsi" w:hAnsiTheme="minorHAnsi" w:cstheme="minorHAnsi"/>
          <w:color w:val="212121"/>
          <w:lang w:val="en-GB" w:eastAsia="es-MX"/>
        </w:rPr>
      </w:pPr>
      <w:r w:rsidRPr="006C0F0A">
        <w:rPr>
          <w:rFonts w:asciiTheme="minorHAnsi" w:hAnsiTheme="minorHAnsi" w:cstheme="minorHAnsi"/>
          <w:color w:val="212121"/>
          <w:lang w:val="en-GB" w:eastAsia="es-MX"/>
        </w:rPr>
        <w:t>KKR acknowledges support from the Imperial NIHR Biomedical Research Centre</w:t>
      </w:r>
    </w:p>
    <w:p w14:paraId="19CFDC75" w14:textId="77777777" w:rsidR="00D02970" w:rsidRPr="006C0F0A" w:rsidRDefault="00D02970" w:rsidP="00D02970">
      <w:pPr>
        <w:pStyle w:val="EndNoteBibliography"/>
        <w:spacing w:after="0"/>
        <w:rPr>
          <w:rFonts w:asciiTheme="minorHAnsi" w:hAnsiTheme="minorHAnsi" w:cstheme="minorHAnsi"/>
          <w:color w:val="212121"/>
          <w:lang w:val="en-GB" w:eastAsia="es-MX"/>
        </w:rPr>
      </w:pPr>
    </w:p>
    <w:p w14:paraId="5649225C" w14:textId="77777777" w:rsidR="00D02970" w:rsidRPr="00506A79" w:rsidRDefault="00D02970" w:rsidP="00D02970">
      <w:pPr>
        <w:rPr>
          <w:rFonts w:cstheme="minorHAnsi"/>
          <w:b/>
          <w:bCs/>
          <w:lang w:val="en-US"/>
        </w:rPr>
      </w:pPr>
      <w:r w:rsidRPr="00506A79">
        <w:rPr>
          <w:rFonts w:cstheme="minorHAnsi"/>
          <w:b/>
          <w:bCs/>
          <w:lang w:val="en-US"/>
        </w:rPr>
        <w:t>Disclosures</w:t>
      </w:r>
    </w:p>
    <w:p w14:paraId="4EB8038E" w14:textId="77777777" w:rsidR="00D02970" w:rsidRPr="00506A79" w:rsidRDefault="00D02970" w:rsidP="00D02970">
      <w:pPr>
        <w:rPr>
          <w:rFonts w:cstheme="minorHAnsi"/>
          <w:lang w:val="en-GB"/>
        </w:rPr>
      </w:pPr>
      <w:r w:rsidRPr="00506A79">
        <w:rPr>
          <w:rFonts w:cstheme="minorHAnsi"/>
          <w:lang w:val="en-US"/>
        </w:rPr>
        <w:t>JB declares that there is no conflict of interest.</w:t>
      </w:r>
    </w:p>
    <w:p w14:paraId="046D3A27" w14:textId="77777777" w:rsidR="00D02970" w:rsidRPr="00C93E52" w:rsidRDefault="00D02970" w:rsidP="00D02970">
      <w:pPr>
        <w:rPr>
          <w:rFonts w:cstheme="minorHAnsi"/>
          <w:lang w:val="en-US"/>
        </w:rPr>
      </w:pPr>
      <w:r w:rsidRPr="00C93E52">
        <w:rPr>
          <w:rFonts w:cstheme="minorHAnsi"/>
          <w:lang w:val="en-US"/>
        </w:rPr>
        <w:t xml:space="preserve">KKR reports personal fees for consultancy from </w:t>
      </w:r>
      <w:proofErr w:type="spellStart"/>
      <w:r w:rsidRPr="00C93E52">
        <w:rPr>
          <w:rFonts w:cstheme="minorHAnsi"/>
          <w:lang w:val="en-US"/>
        </w:rPr>
        <w:t>Abbvie</w:t>
      </w:r>
      <w:proofErr w:type="spellEnd"/>
      <w:r w:rsidRPr="00C93E52">
        <w:rPr>
          <w:rFonts w:cstheme="minorHAnsi"/>
          <w:lang w:val="en-US"/>
        </w:rPr>
        <w:t xml:space="preserve">, Amgen, Astra Zeneca, Sanofi, Regeneron MSD, Pfizer, </w:t>
      </w:r>
      <w:proofErr w:type="spellStart"/>
      <w:r w:rsidRPr="00C93E52">
        <w:rPr>
          <w:rFonts w:cstheme="minorHAnsi"/>
          <w:lang w:val="en-US"/>
        </w:rPr>
        <w:t>Resverlogix</w:t>
      </w:r>
      <w:proofErr w:type="spellEnd"/>
      <w:r w:rsidRPr="00C93E52">
        <w:rPr>
          <w:rFonts w:cstheme="minorHAnsi"/>
          <w:lang w:val="en-US"/>
        </w:rPr>
        <w:t xml:space="preserve">, </w:t>
      </w:r>
      <w:proofErr w:type="spellStart"/>
      <w:r w:rsidRPr="00C93E52">
        <w:rPr>
          <w:rFonts w:cstheme="minorHAnsi"/>
          <w:lang w:val="en-US"/>
        </w:rPr>
        <w:t>Akcea</w:t>
      </w:r>
      <w:proofErr w:type="spellEnd"/>
      <w:r w:rsidRPr="00C93E52">
        <w:rPr>
          <w:rFonts w:cstheme="minorHAnsi"/>
          <w:lang w:val="en-US"/>
        </w:rPr>
        <w:t xml:space="preserve">, Boehringer Ingelheim, Novo Nordisk, Takeda, Kowa, Algorithm, Cipla, </w:t>
      </w:r>
      <w:proofErr w:type="spellStart"/>
      <w:r w:rsidRPr="00C93E52">
        <w:rPr>
          <w:rFonts w:cstheme="minorHAnsi"/>
          <w:lang w:val="en-US"/>
        </w:rPr>
        <w:t>Cerenis</w:t>
      </w:r>
      <w:proofErr w:type="spellEnd"/>
      <w:r w:rsidRPr="00C93E52">
        <w:rPr>
          <w:rFonts w:cstheme="minorHAnsi"/>
          <w:lang w:val="en-US"/>
        </w:rPr>
        <w:t xml:space="preserve">, Dr </w:t>
      </w:r>
      <w:proofErr w:type="spellStart"/>
      <w:r w:rsidRPr="00C93E52">
        <w:rPr>
          <w:rFonts w:cstheme="minorHAnsi"/>
          <w:lang w:val="en-US"/>
        </w:rPr>
        <w:t>Reddys</w:t>
      </w:r>
      <w:proofErr w:type="spellEnd"/>
      <w:r w:rsidRPr="00C93E52">
        <w:rPr>
          <w:rFonts w:cstheme="minorHAnsi"/>
          <w:lang w:val="en-US"/>
        </w:rPr>
        <w:t xml:space="preserve">, Lilly, </w:t>
      </w:r>
      <w:proofErr w:type="spellStart"/>
      <w:r w:rsidRPr="00C93E52">
        <w:rPr>
          <w:rFonts w:cstheme="minorHAnsi"/>
          <w:lang w:val="en-US"/>
        </w:rPr>
        <w:t>Zuellig</w:t>
      </w:r>
      <w:proofErr w:type="spellEnd"/>
      <w:r w:rsidRPr="00C93E52">
        <w:rPr>
          <w:rFonts w:cstheme="minorHAnsi"/>
          <w:lang w:val="en-US"/>
        </w:rPr>
        <w:t xml:space="preserve"> Pharma, Bayer, Daiichi Sankyo,  The Medicines Company; Esperion and research grant support from Pfizer, Amgen, Sanofi, Regeneron and MSD.</w:t>
      </w:r>
    </w:p>
    <w:p w14:paraId="6D5C9C4B" w14:textId="77777777" w:rsidR="00D02970" w:rsidRPr="00FD11B2" w:rsidRDefault="00D02970" w:rsidP="00D02970">
      <w:pPr>
        <w:pStyle w:val="EndNoteBibliography"/>
        <w:spacing w:after="0"/>
        <w:rPr>
          <w:rFonts w:asciiTheme="minorHAnsi" w:hAnsiTheme="minorHAnsi" w:cstheme="minorHAnsi"/>
          <w:b/>
          <w:bCs/>
        </w:rPr>
      </w:pPr>
    </w:p>
    <w:p w14:paraId="14E4D6F2" w14:textId="77777777" w:rsidR="00D02970" w:rsidRPr="00FD11B2" w:rsidRDefault="00D02970" w:rsidP="00D02970">
      <w:pPr>
        <w:pStyle w:val="EndNoteBibliography"/>
        <w:spacing w:after="0"/>
        <w:rPr>
          <w:rFonts w:asciiTheme="minorHAnsi" w:hAnsiTheme="minorHAnsi" w:cstheme="minorHAnsi"/>
          <w:b/>
          <w:bCs/>
          <w:lang w:val="en-GB"/>
        </w:rPr>
      </w:pPr>
      <w:r w:rsidRPr="00FD11B2">
        <w:rPr>
          <w:rFonts w:asciiTheme="minorHAnsi" w:hAnsiTheme="minorHAnsi" w:cstheme="minorHAnsi"/>
          <w:b/>
          <w:bCs/>
          <w:lang w:val="en-GB"/>
        </w:rPr>
        <w:t>References:</w:t>
      </w:r>
    </w:p>
    <w:p w14:paraId="3C16B2B5" w14:textId="458E9EBC" w:rsidR="00B16988" w:rsidRPr="00B16988" w:rsidRDefault="00B16988" w:rsidP="00B16988">
      <w:pPr>
        <w:rPr>
          <w:rFonts w:ascii="Calibri" w:eastAsia="Times New Roman" w:hAnsi="Calibri" w:cs="Calibri"/>
          <w:noProof/>
          <w:sz w:val="24"/>
          <w:szCs w:val="24"/>
          <w:lang w:val="en-GB" w:eastAsia="de-DE"/>
        </w:rPr>
      </w:pPr>
      <w:r w:rsidRPr="00B16988">
        <w:rPr>
          <w:rFonts w:ascii="Calibri" w:eastAsia="Times New Roman" w:hAnsi="Calibri" w:cs="Calibri"/>
          <w:noProof/>
          <w:sz w:val="24"/>
          <w:szCs w:val="24"/>
          <w:lang w:val="en-GB" w:eastAsia="de-DE"/>
        </w:rPr>
        <w:t>1.</w:t>
      </w:r>
      <w:r w:rsidRPr="00B16988">
        <w:rPr>
          <w:rFonts w:ascii="Calibri" w:eastAsia="Times New Roman" w:hAnsi="Calibri" w:cs="Calibri"/>
          <w:noProof/>
          <w:sz w:val="24"/>
          <w:szCs w:val="24"/>
          <w:lang w:val="en-GB" w:eastAsia="de-DE"/>
        </w:rPr>
        <w:tab/>
        <w:t>Khunti K, Danese MD, Kutikova L, Catterick D, Sorio-Vilela F, Gleeson M, Seshasai SRK, Brownrigg J, Ray KK. Association of a Combined Measure of Adherence and Treatment Intensity With Cardiovascular Outcomes in Patients With Atherosclerosis or Other Cardiovascular Risk Factors Treated With Statins and/or Ezetimibe. JAMA network open. 2018;1:</w:t>
      </w:r>
      <w:r w:rsidR="00C70FB5" w:rsidRPr="00C70FB5">
        <w:rPr>
          <w:rFonts w:ascii="Calibri" w:eastAsia="Times New Roman" w:hAnsi="Calibri" w:cs="Calibri"/>
          <w:noProof/>
          <w:sz w:val="24"/>
          <w:szCs w:val="24"/>
          <w:lang w:val="en-GB" w:eastAsia="de-DE"/>
        </w:rPr>
        <w:t>e185554-e185554</w:t>
      </w:r>
      <w:r w:rsidRPr="00B16988">
        <w:rPr>
          <w:rFonts w:ascii="Calibri" w:eastAsia="Times New Roman" w:hAnsi="Calibri" w:cs="Calibri"/>
          <w:noProof/>
          <w:sz w:val="24"/>
          <w:szCs w:val="24"/>
          <w:lang w:val="en-GB" w:eastAsia="de-DE"/>
        </w:rPr>
        <w:t>.</w:t>
      </w:r>
    </w:p>
    <w:p w14:paraId="4DD296A1" w14:textId="51A288B4" w:rsidR="00B16988" w:rsidRPr="00B16988" w:rsidRDefault="00B16988" w:rsidP="00B16988">
      <w:pPr>
        <w:rPr>
          <w:rFonts w:ascii="Calibri" w:eastAsia="Times New Roman" w:hAnsi="Calibri" w:cs="Calibri"/>
          <w:noProof/>
          <w:sz w:val="24"/>
          <w:szCs w:val="24"/>
          <w:lang w:eastAsia="de-DE"/>
        </w:rPr>
      </w:pPr>
      <w:r w:rsidRPr="00B16988">
        <w:rPr>
          <w:rFonts w:ascii="Calibri" w:eastAsia="Times New Roman" w:hAnsi="Calibri" w:cs="Calibri"/>
          <w:noProof/>
          <w:sz w:val="24"/>
          <w:szCs w:val="24"/>
          <w:lang w:val="en-GB" w:eastAsia="de-DE"/>
        </w:rPr>
        <w:t>2.</w:t>
      </w:r>
      <w:r w:rsidRPr="00B16988">
        <w:rPr>
          <w:rFonts w:ascii="Calibri" w:eastAsia="Times New Roman" w:hAnsi="Calibri" w:cs="Calibri"/>
          <w:noProof/>
          <w:sz w:val="24"/>
          <w:szCs w:val="24"/>
          <w:lang w:val="en-GB" w:eastAsia="de-DE"/>
        </w:rPr>
        <w:tab/>
        <w:t xml:space="preserve">Fuller RH, Perel P, Navarro-Ruan T, Nieuwlaat R, Haynes RB, Huffman MD. Improving medication adherence in patients with cardiovascular disease: a systematic review. </w:t>
      </w:r>
      <w:r w:rsidRPr="00B16988">
        <w:rPr>
          <w:rFonts w:ascii="Calibri" w:eastAsia="Times New Roman" w:hAnsi="Calibri" w:cs="Calibri"/>
          <w:noProof/>
          <w:sz w:val="24"/>
          <w:szCs w:val="24"/>
          <w:lang w:eastAsia="de-DE"/>
        </w:rPr>
        <w:t>Heart. 2018;104:1238-</w:t>
      </w:r>
      <w:r>
        <w:rPr>
          <w:rFonts w:ascii="Calibri" w:eastAsia="Times New Roman" w:hAnsi="Calibri" w:cs="Calibri"/>
          <w:noProof/>
          <w:sz w:val="24"/>
          <w:szCs w:val="24"/>
          <w:lang w:eastAsia="de-DE"/>
        </w:rPr>
        <w:t>12</w:t>
      </w:r>
      <w:r w:rsidRPr="00B16988">
        <w:rPr>
          <w:rFonts w:ascii="Calibri" w:eastAsia="Times New Roman" w:hAnsi="Calibri" w:cs="Calibri"/>
          <w:noProof/>
          <w:sz w:val="24"/>
          <w:szCs w:val="24"/>
          <w:lang w:eastAsia="de-DE"/>
        </w:rPr>
        <w:t>43.</w:t>
      </w:r>
    </w:p>
    <w:p w14:paraId="22E98644" w14:textId="42DBEEDF" w:rsidR="00B16988" w:rsidRPr="00B16988" w:rsidRDefault="00B16988" w:rsidP="00B16988">
      <w:pPr>
        <w:rPr>
          <w:rFonts w:ascii="Calibri" w:eastAsia="Times New Roman" w:hAnsi="Calibri" w:cs="Calibri"/>
          <w:noProof/>
          <w:sz w:val="24"/>
          <w:szCs w:val="24"/>
          <w:lang w:val="en-GB" w:eastAsia="de-DE"/>
        </w:rPr>
      </w:pPr>
      <w:r w:rsidRPr="00B16988">
        <w:rPr>
          <w:rFonts w:ascii="Calibri" w:eastAsia="Times New Roman" w:hAnsi="Calibri" w:cs="Calibri"/>
          <w:noProof/>
          <w:sz w:val="24"/>
          <w:szCs w:val="24"/>
          <w:lang w:eastAsia="de-DE"/>
        </w:rPr>
        <w:t>3.</w:t>
      </w:r>
      <w:r w:rsidRPr="00B16988">
        <w:rPr>
          <w:rFonts w:ascii="Calibri" w:eastAsia="Times New Roman" w:hAnsi="Calibri" w:cs="Calibri"/>
          <w:noProof/>
          <w:sz w:val="24"/>
          <w:szCs w:val="24"/>
          <w:lang w:eastAsia="de-DE"/>
        </w:rPr>
        <w:tab/>
        <w:t xml:space="preserve">Ference BA, Ginsberg HN, Graham I, Ray KK, Packard CJ, Bruckert E, Hegele RA, Krauss RM, Raal FJ, Schunkert H, et al. </w:t>
      </w:r>
      <w:r w:rsidRPr="00B16988">
        <w:rPr>
          <w:rFonts w:ascii="Calibri" w:eastAsia="Times New Roman" w:hAnsi="Calibri" w:cs="Calibri"/>
          <w:noProof/>
          <w:sz w:val="24"/>
          <w:szCs w:val="24"/>
          <w:lang w:val="en-GB" w:eastAsia="de-DE"/>
        </w:rPr>
        <w:t>Low-density lipoproteins cause atherosclerotic cardiovascular disease. 1. Evidence from genetic, epidemiologic, and clinical studies. A consensus statement from the European Atherosclerosis Society Consensus Panel. European Heart Journal. 2017;38:2459-</w:t>
      </w:r>
      <w:r>
        <w:rPr>
          <w:rFonts w:ascii="Calibri" w:eastAsia="Times New Roman" w:hAnsi="Calibri" w:cs="Calibri"/>
          <w:noProof/>
          <w:sz w:val="24"/>
          <w:szCs w:val="24"/>
          <w:lang w:val="en-GB" w:eastAsia="de-DE"/>
        </w:rPr>
        <w:t>24</w:t>
      </w:r>
      <w:r w:rsidRPr="00B16988">
        <w:rPr>
          <w:rFonts w:ascii="Calibri" w:eastAsia="Times New Roman" w:hAnsi="Calibri" w:cs="Calibri"/>
          <w:noProof/>
          <w:sz w:val="24"/>
          <w:szCs w:val="24"/>
          <w:lang w:val="en-GB" w:eastAsia="de-DE"/>
        </w:rPr>
        <w:t>72.</w:t>
      </w:r>
    </w:p>
    <w:p w14:paraId="73D0A821" w14:textId="1DB9FCEF" w:rsidR="00B16988" w:rsidRPr="00B16988" w:rsidRDefault="00B16988" w:rsidP="00B16988">
      <w:pPr>
        <w:rPr>
          <w:rFonts w:ascii="Calibri" w:eastAsia="Times New Roman" w:hAnsi="Calibri" w:cs="Calibri"/>
          <w:noProof/>
          <w:sz w:val="24"/>
          <w:szCs w:val="24"/>
          <w:lang w:val="en-GB" w:eastAsia="de-DE"/>
        </w:rPr>
      </w:pPr>
      <w:r w:rsidRPr="00B16988">
        <w:rPr>
          <w:rFonts w:ascii="Calibri" w:eastAsia="Times New Roman" w:hAnsi="Calibri" w:cs="Calibri"/>
          <w:noProof/>
          <w:sz w:val="24"/>
          <w:szCs w:val="24"/>
          <w:lang w:val="en-GB" w:eastAsia="de-DE"/>
        </w:rPr>
        <w:t>4.</w:t>
      </w:r>
      <w:r w:rsidRPr="00B16988">
        <w:rPr>
          <w:rFonts w:ascii="Calibri" w:eastAsia="Times New Roman" w:hAnsi="Calibri" w:cs="Calibri"/>
          <w:noProof/>
          <w:sz w:val="24"/>
          <w:szCs w:val="24"/>
          <w:lang w:val="en-GB" w:eastAsia="de-DE"/>
        </w:rPr>
        <w:tab/>
        <w:t xml:space="preserve"> Farnier M, Colhoun HM, Sasiela WJ, Edelberg JM, Asset G, &amp; Robinson JG. Long-term treatment adherence to the proprotein convertase subtilisin/kexin type 9 inhibitor alirocumab in 6 ODYSSEY Phase III clinical studies with treatment duration of 1 to 2 years. Journal of clinical lipidology. 2017;11, 986-997.</w:t>
      </w:r>
    </w:p>
    <w:p w14:paraId="4B53E5AF" w14:textId="0A4AD05D" w:rsidR="00D02970" w:rsidRPr="001676F0" w:rsidRDefault="00B16988">
      <w:pPr>
        <w:rPr>
          <w:rFonts w:cstheme="minorHAnsi"/>
          <w:lang w:val="en-GB"/>
        </w:rPr>
      </w:pPr>
      <w:r w:rsidRPr="00B16988">
        <w:rPr>
          <w:rFonts w:ascii="Calibri" w:eastAsia="Times New Roman" w:hAnsi="Calibri" w:cs="Calibri"/>
          <w:noProof/>
          <w:sz w:val="24"/>
          <w:szCs w:val="24"/>
          <w:lang w:val="en-GB" w:eastAsia="de-DE"/>
        </w:rPr>
        <w:t>5.</w:t>
      </w:r>
      <w:r w:rsidRPr="00B16988">
        <w:rPr>
          <w:rFonts w:ascii="Calibri" w:eastAsia="Times New Roman" w:hAnsi="Calibri" w:cs="Calibri"/>
          <w:noProof/>
          <w:sz w:val="24"/>
          <w:szCs w:val="24"/>
          <w:lang w:val="en-GB" w:eastAsia="de-DE"/>
        </w:rPr>
        <w:tab/>
        <w:t>Lavecchia A, Cerchia C. Recent advances in developing PCSK9 inhibitors for lipid-lowering therapy. Future Medicinal Chemistry. 2019;11:423-</w:t>
      </w:r>
      <w:r>
        <w:rPr>
          <w:rFonts w:ascii="Calibri" w:eastAsia="Times New Roman" w:hAnsi="Calibri" w:cs="Calibri"/>
          <w:noProof/>
          <w:sz w:val="24"/>
          <w:szCs w:val="24"/>
          <w:lang w:val="en-GB" w:eastAsia="de-DE"/>
        </w:rPr>
        <w:t>4</w:t>
      </w:r>
      <w:r w:rsidRPr="00B16988">
        <w:rPr>
          <w:rFonts w:ascii="Calibri" w:eastAsia="Times New Roman" w:hAnsi="Calibri" w:cs="Calibri"/>
          <w:noProof/>
          <w:sz w:val="24"/>
          <w:szCs w:val="24"/>
          <w:lang w:val="en-GB" w:eastAsia="de-DE"/>
        </w:rPr>
        <w:t>41.</w:t>
      </w:r>
    </w:p>
    <w:sectPr w:rsidR="00D02970" w:rsidRPr="001676F0" w:rsidSect="00D16654">
      <w:footerReference w:type="default" r:id="rId12"/>
      <w:type w:val="continuous"/>
      <w:pgSz w:w="11906" w:h="16838" w:code="9"/>
      <w:pgMar w:top="1440" w:right="1440" w:bottom="1440" w:left="1440" w:header="709" w:footer="709" w:gutter="0"/>
      <w:lnNumType w:countBy="1" w:restart="continuous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2FC6D" w14:textId="77777777" w:rsidR="002E2DF7" w:rsidRDefault="002E2DF7">
      <w:pPr>
        <w:spacing w:after="0" w:line="240" w:lineRule="auto"/>
      </w:pPr>
      <w:r>
        <w:separator/>
      </w:r>
    </w:p>
  </w:endnote>
  <w:endnote w:type="continuationSeparator" w:id="0">
    <w:p w14:paraId="536BBB13" w14:textId="77777777" w:rsidR="002E2DF7" w:rsidRDefault="002E2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8D3D3" w14:textId="77777777" w:rsidR="00AF62F1" w:rsidRDefault="003833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9676308"/>
      <w:docPartObj>
        <w:docPartGallery w:val="Page Numbers (Bottom of Page)"/>
        <w:docPartUnique/>
      </w:docPartObj>
    </w:sdtPr>
    <w:sdtEndPr/>
    <w:sdtContent>
      <w:p w14:paraId="02646A8D" w14:textId="77777777" w:rsidR="00D2713B" w:rsidRDefault="003833C8">
        <w:pPr>
          <w:pStyle w:val="Footer"/>
          <w:jc w:val="right"/>
        </w:pPr>
      </w:p>
    </w:sdtContent>
  </w:sdt>
  <w:p w14:paraId="61585ABE" w14:textId="77777777" w:rsidR="00D2713B" w:rsidRDefault="003833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38645" w14:textId="77777777" w:rsidR="00AF62F1" w:rsidRDefault="003833C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9989834"/>
      <w:docPartObj>
        <w:docPartGallery w:val="Page Numbers (Bottom of Page)"/>
        <w:docPartUnique/>
      </w:docPartObj>
    </w:sdtPr>
    <w:sdtEndPr/>
    <w:sdtContent>
      <w:p w14:paraId="7A6D283C" w14:textId="183A7492" w:rsidR="00D2713B" w:rsidRDefault="00D0297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46FD">
          <w:rPr>
            <w:noProof/>
          </w:rPr>
          <w:t>4</w:t>
        </w:r>
        <w:r>
          <w:fldChar w:fldCharType="end"/>
        </w:r>
      </w:p>
    </w:sdtContent>
  </w:sdt>
  <w:p w14:paraId="48AD8D7E" w14:textId="77777777" w:rsidR="00D2713B" w:rsidRDefault="003833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12872" w14:textId="77777777" w:rsidR="002E2DF7" w:rsidRDefault="002E2DF7">
      <w:pPr>
        <w:spacing w:after="0" w:line="240" w:lineRule="auto"/>
      </w:pPr>
      <w:r>
        <w:separator/>
      </w:r>
    </w:p>
  </w:footnote>
  <w:footnote w:type="continuationSeparator" w:id="0">
    <w:p w14:paraId="79A6C616" w14:textId="77777777" w:rsidR="002E2DF7" w:rsidRDefault="002E2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864E5" w14:textId="77777777" w:rsidR="00AF62F1" w:rsidRDefault="003833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57C79" w14:textId="77777777" w:rsidR="00AF62F1" w:rsidRDefault="003833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A3383" w14:textId="77777777" w:rsidR="00AF62F1" w:rsidRDefault="003833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gQS5maGRmYmJpZGJko6SsGpxcWZ+XkgBUa1ACt10SQsAAAA"/>
  </w:docVars>
  <w:rsids>
    <w:rsidRoot w:val="00D02970"/>
    <w:rsid w:val="00037984"/>
    <w:rsid w:val="000F5FA6"/>
    <w:rsid w:val="001676F0"/>
    <w:rsid w:val="0017324C"/>
    <w:rsid w:val="001B234B"/>
    <w:rsid w:val="002801EB"/>
    <w:rsid w:val="002973FF"/>
    <w:rsid w:val="002D46FD"/>
    <w:rsid w:val="002E2DF7"/>
    <w:rsid w:val="00321C1C"/>
    <w:rsid w:val="003833C8"/>
    <w:rsid w:val="003D39A6"/>
    <w:rsid w:val="004938DE"/>
    <w:rsid w:val="004A7376"/>
    <w:rsid w:val="00550602"/>
    <w:rsid w:val="00564D9C"/>
    <w:rsid w:val="005A6D16"/>
    <w:rsid w:val="00670AEE"/>
    <w:rsid w:val="006B5CBF"/>
    <w:rsid w:val="008D295B"/>
    <w:rsid w:val="00947826"/>
    <w:rsid w:val="00A36995"/>
    <w:rsid w:val="00A61446"/>
    <w:rsid w:val="00A902B7"/>
    <w:rsid w:val="00AD5850"/>
    <w:rsid w:val="00B16988"/>
    <w:rsid w:val="00B42127"/>
    <w:rsid w:val="00B84211"/>
    <w:rsid w:val="00C324D4"/>
    <w:rsid w:val="00C70FB5"/>
    <w:rsid w:val="00D02970"/>
    <w:rsid w:val="00D1769C"/>
    <w:rsid w:val="00DA1AEE"/>
    <w:rsid w:val="00E30BA4"/>
    <w:rsid w:val="00E93895"/>
    <w:rsid w:val="00F22216"/>
    <w:rsid w:val="00F5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925CD"/>
  <w15:chartTrackingRefBased/>
  <w15:docId w15:val="{913222F8-6F16-4250-B06C-D8DC21FC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029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link w:val="paragraphChar"/>
    <w:rsid w:val="00D02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DefaultParagraphFont"/>
    <w:rsid w:val="00D02970"/>
  </w:style>
  <w:style w:type="character" w:customStyle="1" w:styleId="eop">
    <w:name w:val="eop"/>
    <w:basedOn w:val="DefaultParagraphFont"/>
    <w:rsid w:val="00D02970"/>
  </w:style>
  <w:style w:type="character" w:customStyle="1" w:styleId="spellingerror">
    <w:name w:val="spellingerror"/>
    <w:basedOn w:val="DefaultParagraphFont"/>
    <w:rsid w:val="00D02970"/>
  </w:style>
  <w:style w:type="paragraph" w:styleId="Caption">
    <w:name w:val="caption"/>
    <w:basedOn w:val="Normal"/>
    <w:next w:val="Normal"/>
    <w:uiPriority w:val="35"/>
    <w:unhideWhenUsed/>
    <w:qFormat/>
    <w:rsid w:val="00D0297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paragraphChar">
    <w:name w:val="paragraph Char"/>
    <w:basedOn w:val="DefaultParagraphFont"/>
    <w:link w:val="paragraph"/>
    <w:rsid w:val="00D02970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EndNoteBibliography">
    <w:name w:val="EndNote Bibliography"/>
    <w:basedOn w:val="Normal"/>
    <w:link w:val="EndNoteBibliographyChar"/>
    <w:rsid w:val="00D02970"/>
    <w:pPr>
      <w:spacing w:line="240" w:lineRule="auto"/>
    </w:pPr>
    <w:rPr>
      <w:rFonts w:ascii="Calibri" w:eastAsia="Times New Roman" w:hAnsi="Calibri" w:cs="Calibri"/>
      <w:noProof/>
      <w:sz w:val="24"/>
      <w:szCs w:val="24"/>
      <w:lang w:val="en-US" w:eastAsia="de-DE"/>
    </w:rPr>
  </w:style>
  <w:style w:type="character" w:customStyle="1" w:styleId="EndNoteBibliographyChar">
    <w:name w:val="EndNote Bibliography Char"/>
    <w:basedOn w:val="paragraphChar"/>
    <w:link w:val="EndNoteBibliography"/>
    <w:rsid w:val="00D02970"/>
    <w:rPr>
      <w:rFonts w:ascii="Calibri" w:eastAsia="Times New Roman" w:hAnsi="Calibri" w:cs="Calibri"/>
      <w:noProof/>
      <w:sz w:val="24"/>
      <w:szCs w:val="24"/>
      <w:lang w:val="en-US" w:eastAsia="de-DE"/>
    </w:rPr>
  </w:style>
  <w:style w:type="paragraph" w:styleId="Header">
    <w:name w:val="header"/>
    <w:basedOn w:val="Normal"/>
    <w:link w:val="HeaderChar"/>
    <w:uiPriority w:val="99"/>
    <w:unhideWhenUsed/>
    <w:rsid w:val="00D02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970"/>
  </w:style>
  <w:style w:type="paragraph" w:styleId="Footer">
    <w:name w:val="footer"/>
    <w:basedOn w:val="Normal"/>
    <w:link w:val="FooterChar"/>
    <w:uiPriority w:val="99"/>
    <w:unhideWhenUsed/>
    <w:rsid w:val="00D02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970"/>
  </w:style>
  <w:style w:type="character" w:styleId="LineNumber">
    <w:name w:val="line number"/>
    <w:basedOn w:val="DefaultParagraphFont"/>
    <w:uiPriority w:val="99"/>
    <w:semiHidden/>
    <w:unhideWhenUsed/>
    <w:rsid w:val="00D02970"/>
  </w:style>
  <w:style w:type="paragraph" w:styleId="BalloonText">
    <w:name w:val="Balloon Text"/>
    <w:basedOn w:val="Normal"/>
    <w:link w:val="BalloonTextChar"/>
    <w:uiPriority w:val="99"/>
    <w:semiHidden/>
    <w:unhideWhenUsed/>
    <w:rsid w:val="00D02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97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B5C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5C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5C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5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5C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1694</Words>
  <Characters>9658</Characters>
  <Application>Microsoft Office Word</Application>
  <DocSecurity>4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Brandts</dc:creator>
  <cp:keywords/>
  <dc:description/>
  <cp:lastModifiedBy>Landmann, Jennifer E</cp:lastModifiedBy>
  <cp:revision>2</cp:revision>
  <dcterms:created xsi:type="dcterms:W3CDTF">2020-03-06T11:24:00Z</dcterms:created>
  <dcterms:modified xsi:type="dcterms:W3CDTF">2020-03-06T11:24:00Z</dcterms:modified>
</cp:coreProperties>
</file>