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EC9" w:rsidRPr="00F97E3C" w:rsidRDefault="00AB3EC9" w:rsidP="00FF3BDD">
      <w:pPr>
        <w:pStyle w:val="Titolo2"/>
        <w:spacing w:line="360" w:lineRule="auto"/>
      </w:pPr>
      <w:r w:rsidRPr="00F97E3C">
        <w:t>Supporting Information</w:t>
      </w:r>
    </w:p>
    <w:p w:rsidR="00223126" w:rsidRDefault="00AB3EC9">
      <w:pPr>
        <w:pStyle w:val="Titolo3"/>
        <w:spacing w:before="240" w:line="360" w:lineRule="auto"/>
        <w:ind w:left="284" w:right="282"/>
      </w:pPr>
      <w:r w:rsidRPr="00F97E3C">
        <w:t xml:space="preserve">The model </w:t>
      </w:r>
    </w:p>
    <w:p w:rsidR="00223126" w:rsidRDefault="00AB3EC9">
      <w:pPr>
        <w:spacing w:after="0" w:line="480" w:lineRule="auto"/>
        <w:ind w:left="284" w:right="282" w:firstLine="283"/>
      </w:pPr>
      <w:r w:rsidRPr="00F97E3C">
        <w:t xml:space="preserve">We applied the first principles described </w:t>
      </w:r>
      <w:r w:rsidR="00CF0ACD">
        <w:t>in the main text</w:t>
      </w:r>
      <w:r w:rsidRPr="00F97E3C">
        <w:t xml:space="preserve"> within a detailed dynamic, pr</w:t>
      </w:r>
      <w:r w:rsidR="00375A99">
        <w:t>ocesses-based model (3D-CMCC-BGC</w:t>
      </w:r>
      <w:r w:rsidR="003423AE">
        <w:t xml:space="preserve"> v.5.5</w:t>
      </w:r>
      <w:r w:rsidR="007E6704">
        <w:t>,</w:t>
      </w:r>
      <w:r w:rsidRPr="00F97E3C">
        <w:t xml:space="preserve"> </w:t>
      </w:r>
      <w:r w:rsidR="007E6704">
        <w:t xml:space="preserve">Three Dimensional </w:t>
      </w:r>
      <w:r w:rsidR="007E6704" w:rsidRPr="00F97E3C">
        <w:t>–</w:t>
      </w:r>
      <w:r w:rsidR="007E6704">
        <w:t xml:space="preserve"> Coupled Model Carbon Cycle, </w:t>
      </w:r>
      <w:r w:rsidRPr="00F97E3C">
        <w:t xml:space="preserve">full description is given in Collalti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</w:t>
      </w:r>
      <w:r w:rsidR="00C50BC2">
        <w:t xml:space="preserve">2011, </w:t>
      </w:r>
      <w:r w:rsidRPr="00F97E3C">
        <w:t xml:space="preserve">2014, 2016, </w:t>
      </w:r>
      <w:r w:rsidR="003F2353">
        <w:t xml:space="preserve">2017, </w:t>
      </w:r>
      <w:r w:rsidRPr="00F97E3C">
        <w:t>2018</w:t>
      </w:r>
      <w:r w:rsidR="00585A88">
        <w:t>, 2019</w:t>
      </w:r>
      <w:r w:rsidRPr="00F97E3C">
        <w:t xml:space="preserve">; Marconi </w:t>
      </w:r>
      <w:r w:rsidRPr="00F97E3C">
        <w:rPr>
          <w:i/>
          <w:iCs/>
        </w:rPr>
        <w:t>et al</w:t>
      </w:r>
      <w:r w:rsidR="00BF20E9">
        <w:t>.</w:t>
      </w:r>
      <w:r w:rsidRPr="00F97E3C">
        <w:t xml:space="preserve"> 2017). </w:t>
      </w:r>
      <w:r w:rsidR="00C3214A">
        <w:t>Gross primary production</w:t>
      </w:r>
      <w:r w:rsidRPr="00F97E3C">
        <w:t xml:space="preserve"> (</w:t>
      </w:r>
      <w:r w:rsidRPr="00F97E3C">
        <w:rPr>
          <w:i/>
        </w:rPr>
        <w:t>P</w:t>
      </w:r>
      <w:r w:rsidRPr="00F97E3C">
        <w:t xml:space="preserve">) is computed </w:t>
      </w:r>
      <w:r w:rsidR="00C3214A">
        <w:t>using</w:t>
      </w:r>
      <w:r w:rsidRPr="00F97E3C">
        <w:t xml:space="preserve"> the Farquhar–von Caemmerer–Berry (FvCB) biochemical </w:t>
      </w:r>
      <w:r w:rsidR="00C3214A">
        <w:t>model</w:t>
      </w:r>
      <w:r w:rsidRPr="00F97E3C">
        <w:t xml:space="preserve"> (Farquhar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1980) as modified for sun and shaded leaves by de Pury </w:t>
      </w:r>
      <w:r w:rsidRPr="00F97E3C">
        <w:rPr>
          <w:i/>
          <w:iCs/>
        </w:rPr>
        <w:t>&amp;</w:t>
      </w:r>
      <w:r w:rsidRPr="00F97E3C">
        <w:t xml:space="preserve"> Farquhar (1997)</w:t>
      </w:r>
      <w:r w:rsidR="00C3214A">
        <w:t>,</w:t>
      </w:r>
      <w:r w:rsidRPr="00F97E3C">
        <w:t xml:space="preserve"> </w:t>
      </w:r>
      <w:r w:rsidR="00C3214A">
        <w:t>with</w:t>
      </w:r>
      <w:r w:rsidRPr="00F97E3C">
        <w:t xml:space="preserve"> temperature</w:t>
      </w:r>
      <w:r w:rsidR="00C3214A">
        <w:t xml:space="preserve"> </w:t>
      </w:r>
      <w:r w:rsidRPr="00F97E3C">
        <w:t>acclimat</w:t>
      </w:r>
      <w:r w:rsidR="00C3214A">
        <w:t>ion</w:t>
      </w:r>
      <w:r w:rsidRPr="00F97E3C">
        <w:t xml:space="preserve"> as in Kattge </w:t>
      </w:r>
      <w:r w:rsidRPr="00F97E3C">
        <w:rPr>
          <w:i/>
          <w:iCs/>
        </w:rPr>
        <w:t>&amp;</w:t>
      </w:r>
      <w:r w:rsidRPr="00F97E3C">
        <w:t xml:space="preserve"> Knorr (2007). Autotrophic respiration (</w:t>
      </w:r>
      <w:r w:rsidRPr="00F97E3C">
        <w:rPr>
          <w:i/>
        </w:rPr>
        <w:t>R</w:t>
      </w:r>
      <w:r w:rsidRPr="00F97E3C">
        <w:t xml:space="preserve">) is explicitly computed and partitioned into growth (or biosynthesis, </w:t>
      </w:r>
      <w:r w:rsidR="007707BB" w:rsidRPr="00F97E3C">
        <w:rPr>
          <w:i/>
          <w:iCs/>
        </w:rPr>
        <w:t>R</w:t>
      </w:r>
      <w:r w:rsidR="007707BB" w:rsidRPr="007707BB">
        <w:rPr>
          <w:iCs/>
          <w:vertAlign w:val="subscript"/>
        </w:rPr>
        <w:t>G</w:t>
      </w:r>
      <w:r w:rsidRPr="00F97E3C">
        <w:t xml:space="preserve">) and maintenance </w:t>
      </w:r>
      <w:r w:rsidR="00D722A2" w:rsidRPr="00F97E3C">
        <w:t>(</w:t>
      </w:r>
      <w:r w:rsidR="00D722A2" w:rsidRPr="00F97E3C">
        <w:rPr>
          <w:i/>
          <w:iCs/>
        </w:rPr>
        <w:t>R</w:t>
      </w:r>
      <w:r w:rsidR="00D722A2" w:rsidRPr="007707BB">
        <w:rPr>
          <w:iCs/>
          <w:vertAlign w:val="subscript"/>
        </w:rPr>
        <w:t>M</w:t>
      </w:r>
      <w:r w:rsidR="00D722A2" w:rsidRPr="00F97E3C">
        <w:rPr>
          <w:iCs/>
        </w:rPr>
        <w:t>)</w:t>
      </w:r>
      <w:r w:rsidR="00D722A2">
        <w:t xml:space="preserve"> </w:t>
      </w:r>
      <w:r w:rsidRPr="00F97E3C">
        <w:t xml:space="preserve">respiration </w:t>
      </w:r>
      <w:r w:rsidR="00C3214A">
        <w:t xml:space="preserve">components </w:t>
      </w:r>
      <w:r w:rsidR="003F2353">
        <w:t>(McCree’s</w:t>
      </w:r>
      <w:r w:rsidRPr="00F97E3C">
        <w:t xml:space="preserve"> 1970) for each </w:t>
      </w:r>
      <w:r w:rsidR="00333AF6">
        <w:t>carbon (C)</w:t>
      </w:r>
      <w:r w:rsidRPr="00F97E3C">
        <w:t xml:space="preserve"> pool. </w:t>
      </w:r>
      <w:r w:rsidR="00C3214A">
        <w:t>Daily</w:t>
      </w:r>
      <w:r w:rsidRPr="00F97E3C">
        <w:t xml:space="preserve"> net primary producti</w:t>
      </w:r>
      <w:r w:rsidR="00C3214A">
        <w:t>on</w:t>
      </w:r>
      <w:r w:rsidRPr="00F97E3C">
        <w:t xml:space="preserve"> (</w:t>
      </w:r>
      <w:r w:rsidRPr="00F97E3C">
        <w:rPr>
          <w:i/>
        </w:rPr>
        <w:t>P</w:t>
      </w:r>
      <w:r w:rsidRPr="00A16BDA">
        <w:rPr>
          <w:vertAlign w:val="subscript"/>
        </w:rPr>
        <w:t>n</w:t>
      </w:r>
      <w:r w:rsidRPr="00F97E3C">
        <w:t xml:space="preserve">) is </w:t>
      </w:r>
      <w:r w:rsidR="00C3214A">
        <w:t xml:space="preserve">given by </w:t>
      </w:r>
      <w:r w:rsidRPr="00F97E3C">
        <w:rPr>
          <w:i/>
        </w:rPr>
        <w:t>P</w:t>
      </w:r>
      <w:r w:rsidRPr="00F97E3C">
        <w:t xml:space="preserve"> minus </w:t>
      </w:r>
      <w:r w:rsidRPr="00F97E3C">
        <w:rPr>
          <w:i/>
        </w:rPr>
        <w:t>R</w:t>
      </w:r>
      <w:r w:rsidRPr="00F97E3C">
        <w:t xml:space="preserve">. </w:t>
      </w:r>
      <w:r w:rsidR="00C3214A">
        <w:t>D</w:t>
      </w:r>
      <w:r w:rsidRPr="00F97E3C">
        <w:t xml:space="preserve">aily </w:t>
      </w:r>
      <w:r w:rsidR="009C3CCE">
        <w:t xml:space="preserve">structural </w:t>
      </w:r>
      <w:r w:rsidRPr="00F97E3C">
        <w:t>biomass production (</w:t>
      </w:r>
      <w:r w:rsidRPr="00F97E3C">
        <w:rPr>
          <w:i/>
        </w:rPr>
        <w:t>G</w:t>
      </w:r>
      <w:r w:rsidRPr="00F97E3C">
        <w:t xml:space="preserve">) is </w:t>
      </w:r>
      <w:r w:rsidR="00C3214A">
        <w:t>given by</w:t>
      </w:r>
      <w:r w:rsidRPr="00F97E3C">
        <w:t xml:space="preserve"> </w:t>
      </w:r>
      <w:r w:rsidRPr="00F97E3C">
        <w:rPr>
          <w:i/>
        </w:rPr>
        <w:t>P</w:t>
      </w:r>
      <w:r w:rsidRPr="00A16BDA">
        <w:rPr>
          <w:vertAlign w:val="subscript"/>
        </w:rPr>
        <w:t>n</w:t>
      </w:r>
      <w:r w:rsidRPr="00F97E3C">
        <w:t xml:space="preserve"> minus the </w:t>
      </w:r>
      <w:r w:rsidR="00333AF6">
        <w:t>C</w:t>
      </w:r>
      <w:r w:rsidRPr="00F97E3C">
        <w:t xml:space="preserve"> requirement used to fuel </w:t>
      </w:r>
      <w:r w:rsidRPr="00F97E3C">
        <w:rPr>
          <w:i/>
        </w:rPr>
        <w:t>R</w:t>
      </w:r>
      <w:r w:rsidRPr="00F97E3C">
        <w:t xml:space="preserve"> and refill NSC reserve pools (</w:t>
      </w:r>
      <w:r w:rsidRPr="00F97E3C">
        <w:rPr>
          <w:i/>
        </w:rPr>
        <w:t>G</w:t>
      </w:r>
      <w:r w:rsidRPr="00A16BDA">
        <w:rPr>
          <w:vertAlign w:val="subscript"/>
        </w:rPr>
        <w:t>R</w:t>
      </w:r>
      <w:r w:rsidR="009470FA">
        <w:t>)</w:t>
      </w:r>
      <w:r w:rsidRPr="00F97E3C">
        <w:t>.</w:t>
      </w:r>
      <w:r w:rsidR="009C3CCE">
        <w:t xml:space="preserve"> </w:t>
      </w:r>
      <w:r w:rsidR="00A16BDA" w:rsidRPr="00F97E3C">
        <w:rPr>
          <w:i/>
          <w:iCs/>
        </w:rPr>
        <w:t>R</w:t>
      </w:r>
      <w:r w:rsidR="00A16BDA" w:rsidRPr="001E4FF7">
        <w:rPr>
          <w:iCs/>
          <w:vertAlign w:val="subscript"/>
        </w:rPr>
        <w:t>G</w:t>
      </w:r>
      <w:r w:rsidR="00A16BDA" w:rsidRPr="00F97E3C">
        <w:rPr>
          <w:i/>
          <w:iCs/>
          <w:vertAlign w:val="subscript"/>
        </w:rPr>
        <w:t xml:space="preserve"> </w:t>
      </w:r>
      <w:r w:rsidRPr="00F97E3C">
        <w:t>is considered as a fi</w:t>
      </w:r>
      <w:r w:rsidR="003F2353">
        <w:t>xed fraction (</w:t>
      </w:r>
      <w:proofErr w:type="spellStart"/>
      <w:r w:rsidR="002E6A22">
        <w:t>g</w:t>
      </w:r>
      <w:r w:rsidR="002E6A22" w:rsidRPr="002E6A22">
        <w:rPr>
          <w:vertAlign w:val="subscript"/>
        </w:rPr>
        <w:t>R</w:t>
      </w:r>
      <w:proofErr w:type="spellEnd"/>
      <w:r w:rsidR="002E6A22">
        <w:t xml:space="preserve">, </w:t>
      </w:r>
      <w:r w:rsidR="003F2353">
        <w:t>30%</w:t>
      </w:r>
      <w:r w:rsidR="00C3214A">
        <w:t>:</w:t>
      </w:r>
      <w:r w:rsidR="003F2353">
        <w:t xml:space="preserve"> </w:t>
      </w:r>
      <w:proofErr w:type="spellStart"/>
      <w:r w:rsidR="003F2353">
        <w:t>Larcher</w:t>
      </w:r>
      <w:proofErr w:type="spellEnd"/>
      <w:r w:rsidRPr="00F97E3C">
        <w:t xml:space="preserve"> 2003; Damesin </w:t>
      </w:r>
      <w:r w:rsidRPr="00F97E3C">
        <w:rPr>
          <w:i/>
        </w:rPr>
        <w:t>et al</w:t>
      </w:r>
      <w:r w:rsidR="003F2353">
        <w:t>.</w:t>
      </w:r>
      <w:r w:rsidRPr="00F97E3C">
        <w:t xml:space="preserve"> 2002; </w:t>
      </w:r>
      <w:proofErr w:type="spellStart"/>
      <w:r w:rsidRPr="00F97E3C">
        <w:t>Damesin</w:t>
      </w:r>
      <w:proofErr w:type="spellEnd"/>
      <w:r w:rsidRPr="00F97E3C">
        <w:t xml:space="preserve"> 2003; </w:t>
      </w:r>
      <w:proofErr w:type="spellStart"/>
      <w:r w:rsidRPr="00F97E3C">
        <w:t>Marthews</w:t>
      </w:r>
      <w:proofErr w:type="spellEnd"/>
      <w:r w:rsidRPr="00F97E3C">
        <w:t xml:space="preserve">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2012) of new daily assimilates used for structural growth and leaf and fine root production (the allocation and phenological scheme </w:t>
      </w:r>
      <w:r w:rsidR="00C3214A">
        <w:t>are</w:t>
      </w:r>
      <w:r w:rsidRPr="00F97E3C">
        <w:t xml:space="preserve"> described </w:t>
      </w:r>
      <w:r w:rsidR="009C3CCE">
        <w:t>in Box 2</w:t>
      </w:r>
      <w:r w:rsidRPr="00F97E3C">
        <w:t xml:space="preserve">), while </w:t>
      </w:r>
      <w:r w:rsidRPr="00F97E3C">
        <w:rPr>
          <w:i/>
          <w:iCs/>
        </w:rPr>
        <w:t>R</w:t>
      </w:r>
      <w:r w:rsidR="001E4FF7" w:rsidRPr="001E4FF7">
        <w:rPr>
          <w:iCs/>
          <w:vertAlign w:val="subscript"/>
        </w:rPr>
        <w:t>M</w:t>
      </w:r>
      <w:r w:rsidRPr="00F97E3C">
        <w:t xml:space="preserve"> </w:t>
      </w:r>
      <w:r w:rsidR="00C3214A">
        <w:t>is computed using</w:t>
      </w:r>
      <w:r w:rsidRPr="00F97E3C">
        <w:t xml:space="preserve"> an acclimated Q</w:t>
      </w:r>
      <w:r w:rsidRPr="00F97E3C">
        <w:rPr>
          <w:vertAlign w:val="subscript"/>
        </w:rPr>
        <w:t>10</w:t>
      </w:r>
      <w:r w:rsidRPr="00F97E3C">
        <w:t xml:space="preserve"> relationship between ten-day weighted-average temperature (Q</w:t>
      </w:r>
      <w:r w:rsidRPr="00F97E3C">
        <w:rPr>
          <w:vertAlign w:val="subscript"/>
        </w:rPr>
        <w:t>10</w:t>
      </w:r>
      <w:r w:rsidRPr="00F97E3C">
        <w:t xml:space="preserve"> = 3.22 – 0.046</w:t>
      </w:r>
      <w:r w:rsidRPr="00F97E3C">
        <w:rPr>
          <w:rFonts w:cs="Times New Roman"/>
          <w:i/>
        </w:rPr>
        <w:t>T</w:t>
      </w:r>
      <w:r w:rsidRPr="00F97E3C">
        <w:t xml:space="preserve">; for details on acclimation see Tjoelker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2001; Atkin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2003; Smith </w:t>
      </w:r>
      <w:r w:rsidRPr="00F97E3C">
        <w:rPr>
          <w:i/>
          <w:iCs/>
        </w:rPr>
        <w:t>&amp;</w:t>
      </w:r>
      <w:r w:rsidR="003F2353">
        <w:t xml:space="preserve"> Dukes</w:t>
      </w:r>
      <w:r w:rsidRPr="00F97E3C">
        <w:t xml:space="preserve"> 2012; Smith </w:t>
      </w:r>
      <w:r w:rsidRPr="00F97E3C">
        <w:rPr>
          <w:i/>
        </w:rPr>
        <w:t>et al</w:t>
      </w:r>
      <w:r w:rsidR="003F2353">
        <w:t>.</w:t>
      </w:r>
      <w:r w:rsidRPr="00F97E3C">
        <w:t xml:space="preserve"> 2015; Collalti </w:t>
      </w:r>
      <w:r w:rsidRPr="00F97E3C">
        <w:rPr>
          <w:i/>
          <w:iCs/>
        </w:rPr>
        <w:t>et al</w:t>
      </w:r>
      <w:r w:rsidR="003F2353">
        <w:t>.</w:t>
      </w:r>
      <w:r w:rsidR="00CA097A">
        <w:t xml:space="preserve"> 2018</w:t>
      </w:r>
      <w:r w:rsidRPr="00F97E3C">
        <w:t xml:space="preserve">) and </w:t>
      </w:r>
      <w:r w:rsidR="008158E9">
        <w:t xml:space="preserve">the </w:t>
      </w:r>
      <w:r w:rsidR="00333AF6">
        <w:t>nitrogen (</w:t>
      </w:r>
      <w:r w:rsidR="008158E9">
        <w:t>N</w:t>
      </w:r>
      <w:r w:rsidR="00333AF6">
        <w:t>)</w:t>
      </w:r>
      <w:r w:rsidRPr="00F97E3C">
        <w:t xml:space="preserve"> content of the specific live respiring tissues (the base rate of maintenance </w:t>
      </w:r>
      <w:r w:rsidR="008158E9">
        <w:t>i</w:t>
      </w:r>
      <w:r w:rsidRPr="00F97E3C">
        <w:t xml:space="preserve">s the mass of </w:t>
      </w:r>
      <w:r w:rsidR="008158E9">
        <w:t>C</w:t>
      </w:r>
      <w:r w:rsidRPr="00F97E3C">
        <w:t xml:space="preserve"> respired per </w:t>
      </w:r>
      <w:r w:rsidR="008158E9">
        <w:t xml:space="preserve">unit </w:t>
      </w:r>
      <w:r w:rsidRPr="00F97E3C">
        <w:t xml:space="preserve">mass of tissue </w:t>
      </w:r>
      <w:r w:rsidR="008158E9">
        <w:t>N</w:t>
      </w:r>
      <w:r w:rsidRPr="00F97E3C">
        <w:t xml:space="preserve"> content in live mass</w:t>
      </w:r>
      <w:r w:rsidR="005878D6">
        <w:t xml:space="preserve">, </w:t>
      </w:r>
      <w:proofErr w:type="spellStart"/>
      <w:r w:rsidR="005878D6" w:rsidRPr="005878D6">
        <w:rPr>
          <w:i/>
        </w:rPr>
        <w:t>m</w:t>
      </w:r>
      <w:r w:rsidR="005878D6" w:rsidRPr="005878D6">
        <w:rPr>
          <w:vertAlign w:val="subscript"/>
        </w:rPr>
        <w:t>R</w:t>
      </w:r>
      <w:proofErr w:type="spellEnd"/>
      <w:r w:rsidRPr="00F97E3C">
        <w:t xml:space="preserve"> = 0.218 g</w:t>
      </w:r>
      <w:r>
        <w:t xml:space="preserve"> </w:t>
      </w:r>
      <w:r w:rsidRPr="00F97E3C">
        <w:t>C g</w:t>
      </w:r>
      <w:r>
        <w:t xml:space="preserve"> </w:t>
      </w:r>
      <w:r w:rsidRPr="00F97E3C">
        <w:t>N</w:t>
      </w:r>
      <w:r w:rsidR="00415810" w:rsidRPr="0001133E">
        <w:rPr>
          <w:vertAlign w:val="superscript"/>
          <w:lang w:val="en-GB"/>
        </w:rPr>
        <w:t>–</w:t>
      </w:r>
      <w:r w:rsidRPr="00F97E3C">
        <w:rPr>
          <w:vertAlign w:val="superscript"/>
        </w:rPr>
        <w:t>1</w:t>
      </w:r>
      <w:r w:rsidRPr="00F97E3C">
        <w:t xml:space="preserve"> d</w:t>
      </w:r>
      <w:r w:rsidR="00415810" w:rsidRPr="0001133E">
        <w:rPr>
          <w:vertAlign w:val="superscript"/>
          <w:lang w:val="en-GB"/>
        </w:rPr>
        <w:t>–</w:t>
      </w:r>
      <w:r w:rsidRPr="00F97E3C">
        <w:rPr>
          <w:vertAlign w:val="superscript"/>
        </w:rPr>
        <w:t>1</w:t>
      </w:r>
      <w:r w:rsidRPr="00F97E3C">
        <w:t xml:space="preserve">; Ryan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1991; Drake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2011; </w:t>
      </w:r>
      <w:proofErr w:type="spellStart"/>
      <w:r w:rsidRPr="00F97E3C">
        <w:t>Oleson</w:t>
      </w:r>
      <w:proofErr w:type="spellEnd"/>
      <w:r w:rsidRPr="00F97E3C">
        <w:t xml:space="preserve"> </w:t>
      </w:r>
      <w:r w:rsidRPr="00F97E3C">
        <w:rPr>
          <w:i/>
        </w:rPr>
        <w:t>et al</w:t>
      </w:r>
      <w:r w:rsidR="003F2353">
        <w:t>.</w:t>
      </w:r>
      <w:r w:rsidRPr="00F97E3C">
        <w:t xml:space="preserve"> 2013; Collalti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2016, 2018). 3D-CMCC-CNR computes </w:t>
      </w:r>
      <w:r w:rsidR="00A16BDA" w:rsidRPr="00F97E3C">
        <w:rPr>
          <w:i/>
          <w:iCs/>
        </w:rPr>
        <w:t>R</w:t>
      </w:r>
      <w:r w:rsidR="00A16BDA" w:rsidRPr="00A16BDA">
        <w:rPr>
          <w:iCs/>
          <w:vertAlign w:val="subscript"/>
        </w:rPr>
        <w:t>M</w:t>
      </w:r>
      <w:r w:rsidR="00A16BDA" w:rsidRPr="00F97E3C">
        <w:t xml:space="preserve"> </w:t>
      </w:r>
      <w:r w:rsidRPr="00F97E3C">
        <w:t xml:space="preserve">through a </w:t>
      </w:r>
      <w:r w:rsidRPr="008158E9">
        <w:t>mass-based</w:t>
      </w:r>
      <w:r w:rsidRPr="00F97E3C">
        <w:t xml:space="preserve"> approach</w:t>
      </w:r>
      <w:r w:rsidR="008158E9">
        <w:t>,</w:t>
      </w:r>
      <w:r w:rsidRPr="00F97E3C">
        <w:t xml:space="preserve"> </w:t>
      </w:r>
      <w:r w:rsidR="008158E9">
        <w:t xml:space="preserve">so </w:t>
      </w:r>
      <w:r w:rsidRPr="00F97E3C">
        <w:t>increasing live respiring biomass</w:t>
      </w:r>
      <w:r w:rsidR="008158E9">
        <w:t xml:space="preserve"> implies an increase in</w:t>
      </w:r>
      <w:r w:rsidRPr="00F97E3C">
        <w:t xml:space="preserve"> </w:t>
      </w:r>
      <w:r w:rsidR="00A16BDA" w:rsidRPr="00F97E3C">
        <w:rPr>
          <w:i/>
          <w:iCs/>
        </w:rPr>
        <w:t>R</w:t>
      </w:r>
      <w:r w:rsidR="00A16BDA" w:rsidRPr="00A16BDA">
        <w:rPr>
          <w:iCs/>
          <w:vertAlign w:val="subscript"/>
        </w:rPr>
        <w:t>M</w:t>
      </w:r>
      <w:r w:rsidR="008158E9" w:rsidRPr="00F97E3C">
        <w:t xml:space="preserve"> </w:t>
      </w:r>
      <w:r w:rsidRPr="00F97E3C">
        <w:t xml:space="preserve">(Ryan </w:t>
      </w:r>
      <w:r w:rsidRPr="00F97E3C">
        <w:rPr>
          <w:i/>
          <w:iCs/>
        </w:rPr>
        <w:t>et al</w:t>
      </w:r>
      <w:r w:rsidR="003F2353">
        <w:t>. 1996; Cox</w:t>
      </w:r>
      <w:r w:rsidRPr="00F97E3C">
        <w:t xml:space="preserve"> 2001; Ceschia </w:t>
      </w:r>
      <w:r w:rsidRPr="00F97E3C">
        <w:rPr>
          <w:i/>
          <w:iCs/>
        </w:rPr>
        <w:t>et al</w:t>
      </w:r>
      <w:r w:rsidR="003F2353">
        <w:t>.</w:t>
      </w:r>
      <w:r w:rsidRPr="00F97E3C">
        <w:t xml:space="preserve"> 2002). </w:t>
      </w:r>
    </w:p>
    <w:p w:rsidR="00AB3EC9" w:rsidRPr="00F97E3C" w:rsidRDefault="008158E9" w:rsidP="003F2353">
      <w:pPr>
        <w:spacing w:before="0" w:after="0" w:line="480" w:lineRule="auto"/>
        <w:ind w:left="284" w:right="282" w:firstLine="283"/>
      </w:pPr>
      <w:r>
        <w:t>The</w:t>
      </w:r>
      <w:r w:rsidR="00AB3EC9" w:rsidRPr="00F97E3C">
        <w:t xml:space="preserve"> main </w:t>
      </w:r>
      <w:r>
        <w:t>C</w:t>
      </w:r>
      <w:r w:rsidR="00AB3EC9" w:rsidRPr="00F97E3C">
        <w:t xml:space="preserve"> pools comprise functional and structural compartments: woody biomass (that includes stem, branches and coarse roots, i.e. </w:t>
      </w:r>
      <w:proofErr w:type="spellStart"/>
      <w:r w:rsidR="00AB3EC9" w:rsidRPr="00F97E3C">
        <w:t>W</w:t>
      </w:r>
      <w:r w:rsidR="00BF20E9" w:rsidRPr="00BF20E9">
        <w:rPr>
          <w:vertAlign w:val="subscript"/>
        </w:rPr>
        <w:t>tot_</w:t>
      </w:r>
      <w:r w:rsidR="00AB3EC9" w:rsidRPr="00F97E3C">
        <w:rPr>
          <w:vertAlign w:val="subscript"/>
        </w:rPr>
        <w:t>wood</w:t>
      </w:r>
      <w:proofErr w:type="spellEnd"/>
      <w:r w:rsidR="00AB3EC9" w:rsidRPr="00F97E3C">
        <w:t>), leaves, fine roots (i.e. W</w:t>
      </w:r>
      <w:r w:rsidR="00AB3EC9" w:rsidRPr="00F97E3C">
        <w:rPr>
          <w:vertAlign w:val="subscript"/>
        </w:rPr>
        <w:t>green</w:t>
      </w:r>
      <w:r w:rsidR="00AB3EC9" w:rsidRPr="00F97E3C">
        <w:t xml:space="preserve">), and the pool of non-structural carbohydrates (NSC) – that is, the reserve pool – which is not accounted for </w:t>
      </w:r>
      <w:r w:rsidR="00AB3EC9" w:rsidRPr="00F97E3C">
        <w:rPr>
          <w:i/>
          <w:iCs/>
        </w:rPr>
        <w:lastRenderedPageBreak/>
        <w:t>R</w:t>
      </w:r>
      <w:r w:rsidR="00AB3EC9" w:rsidRPr="00F97E3C">
        <w:t xml:space="preserve">. Among the woody compartments the model distinguishes three main </w:t>
      </w:r>
      <w:r>
        <w:t>C</w:t>
      </w:r>
      <w:r w:rsidR="00AB3EC9" w:rsidRPr="00F97E3C">
        <w:t xml:space="preserve"> and </w:t>
      </w:r>
      <w:r>
        <w:t>N</w:t>
      </w:r>
      <w:r w:rsidR="00AB3EC9" w:rsidRPr="00F97E3C">
        <w:t xml:space="preserve"> pools (i.e. 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stem</w:t>
      </w:r>
      <w:proofErr w:type="spellEnd"/>
      <w:r w:rsidR="00AB3EC9" w:rsidRPr="00F97E3C">
        <w:t xml:space="preserve">, 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branch</w:t>
      </w:r>
      <w:proofErr w:type="spellEnd"/>
      <w:r w:rsidR="00AB3EC9" w:rsidRPr="00F97E3C">
        <w:t xml:space="preserve"> and 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coarse_root</w:t>
      </w:r>
      <w:proofErr w:type="spellEnd"/>
      <w:r w:rsidR="00AB3EC9" w:rsidRPr="00F97E3C">
        <w:t xml:space="preserve">). Other </w:t>
      </w:r>
      <w:r>
        <w:t>C</w:t>
      </w:r>
      <w:r w:rsidR="00AB3EC9" w:rsidRPr="00F97E3C">
        <w:t xml:space="preserve"> and </w:t>
      </w:r>
      <w:r>
        <w:t>N</w:t>
      </w:r>
      <w:r w:rsidR="00AB3EC9" w:rsidRPr="00F97E3C">
        <w:t xml:space="preserve"> sub-pools considered</w:t>
      </w:r>
      <w:r>
        <w:t xml:space="preserve"> are</w:t>
      </w:r>
      <w:r w:rsidR="00AB3EC9" w:rsidRPr="00F97E3C">
        <w:t xml:space="preserve"> sapwood (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sapwood</w:t>
      </w:r>
      <w:proofErr w:type="spellEnd"/>
      <w:r w:rsidR="00AB3EC9" w:rsidRPr="00F97E3C">
        <w:t>) and heartwood (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heartwood</w:t>
      </w:r>
      <w:proofErr w:type="spellEnd"/>
      <w:r w:rsidR="00AB3EC9" w:rsidRPr="00F97E3C">
        <w:t>) as well as live (W</w:t>
      </w:r>
      <w:r w:rsidR="00AB3EC9" w:rsidRPr="00F97E3C">
        <w:rPr>
          <w:vertAlign w:val="subscript"/>
        </w:rPr>
        <w:t>live_wood</w:t>
      </w:r>
      <w:r w:rsidR="00AB3EC9" w:rsidRPr="00F97E3C">
        <w:t>) and dead (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dead_wood</w:t>
      </w:r>
      <w:proofErr w:type="spellEnd"/>
      <w:r w:rsidR="00AB3EC9" w:rsidRPr="00F97E3C">
        <w:t>) woody pools (above- and below-ground parts). W</w:t>
      </w:r>
      <w:r w:rsidR="00AB3EC9" w:rsidRPr="00F97E3C">
        <w:rPr>
          <w:vertAlign w:val="subscript"/>
        </w:rPr>
        <w:t>live_wood</w:t>
      </w:r>
      <w:r w:rsidR="00AB3EC9" w:rsidRPr="00F97E3C">
        <w:t xml:space="preserve"> pool is </w:t>
      </w:r>
      <w:r w:rsidR="00067B8F">
        <w:t xml:space="preserve">conceptually </w:t>
      </w:r>
      <w:r w:rsidR="00AB3EC9" w:rsidRPr="00F97E3C">
        <w:t xml:space="preserve">different from 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sapwood</w:t>
      </w:r>
      <w:proofErr w:type="spellEnd"/>
      <w:r w:rsidR="00AB3EC9" w:rsidRPr="00F97E3C">
        <w:t xml:space="preserve"> since it includes only </w:t>
      </w:r>
      <w:r>
        <w:t>live</w:t>
      </w:r>
      <w:r w:rsidR="00AB3EC9" w:rsidRPr="00F97E3C">
        <w:t xml:space="preserve"> cells</w:t>
      </w:r>
      <w:r>
        <w:t>,</w:t>
      </w:r>
      <w:r w:rsidR="00AB3EC9" w:rsidRPr="00F97E3C">
        <w:t xml:space="preserve"> not all </w:t>
      </w:r>
      <w:r>
        <w:t xml:space="preserve">of the </w:t>
      </w:r>
      <w:r w:rsidR="00AB3EC9" w:rsidRPr="00F97E3C">
        <w:t xml:space="preserve">sapwood biomass </w:t>
      </w:r>
      <w:r w:rsidRPr="008158E9">
        <w:t>– it excludes lignin and cellulose</w:t>
      </w:r>
      <w:r>
        <w:t xml:space="preserve">. </w:t>
      </w:r>
      <w:r w:rsidRPr="00F97E3C">
        <w:t>W</w:t>
      </w:r>
      <w:r w:rsidRPr="00F97E3C">
        <w:rPr>
          <w:vertAlign w:val="subscript"/>
        </w:rPr>
        <w:t>live_wood</w:t>
      </w:r>
      <w:r w:rsidR="00AB3EC9" w:rsidRPr="00F97E3C">
        <w:t xml:space="preserve"> is used to </w:t>
      </w:r>
      <w:r>
        <w:t>compute</w:t>
      </w:r>
      <w:r w:rsidR="00AB3EC9" w:rsidRPr="00F97E3C">
        <w:t xml:space="preserve"> respiration, whereas 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sapwood</w:t>
      </w:r>
      <w:proofErr w:type="spellEnd"/>
      <w:r w:rsidR="00AB3EC9" w:rsidRPr="00F97E3C">
        <w:t xml:space="preserve"> is used to </w:t>
      </w:r>
      <w:r>
        <w:t>compute l</w:t>
      </w:r>
      <w:r w:rsidR="00AB3EC9" w:rsidRPr="00F97E3C">
        <w:t xml:space="preserve">eaf </w:t>
      </w:r>
      <w:r>
        <w:t>a</w:t>
      </w:r>
      <w:r w:rsidR="00AB3EC9" w:rsidRPr="00F97E3C">
        <w:t xml:space="preserve">rea </w:t>
      </w:r>
      <w:r>
        <w:t>i</w:t>
      </w:r>
      <w:r w:rsidR="00AB3EC9" w:rsidRPr="00F97E3C">
        <w:t xml:space="preserve">ndex. </w:t>
      </w:r>
      <w:r>
        <w:t>The relation between</w:t>
      </w:r>
      <w:r w:rsidR="00AB3EC9" w:rsidRPr="00F97E3C">
        <w:t xml:space="preserve"> leaf area and sapwood follow</w:t>
      </w:r>
      <w:r>
        <w:t>s</w:t>
      </w:r>
      <w:r w:rsidR="00AB3EC9" w:rsidRPr="00F97E3C">
        <w:t xml:space="preserve"> </w:t>
      </w:r>
      <w:r>
        <w:t>the</w:t>
      </w:r>
      <w:r w:rsidR="00AB3EC9" w:rsidRPr="00F97E3C">
        <w:t xml:space="preserve"> </w:t>
      </w:r>
      <w:r w:rsidR="00F33A89" w:rsidRPr="00F33A89">
        <w:t>pipe model</w:t>
      </w:r>
      <w:r w:rsidR="00AB3EC9" w:rsidRPr="0080585A">
        <w:t xml:space="preserve"> </w:t>
      </w:r>
      <w:r w:rsidR="00AB3EC9" w:rsidRPr="00F97E3C">
        <w:t xml:space="preserve">(Shinozaki </w:t>
      </w:r>
      <w:r w:rsidR="00AB3EC9" w:rsidRPr="00F97E3C">
        <w:rPr>
          <w:i/>
          <w:iCs/>
        </w:rPr>
        <w:t>et al</w:t>
      </w:r>
      <w:r w:rsidR="003F2353">
        <w:t>. 1964; Mäkelä</w:t>
      </w:r>
      <w:r w:rsidR="00AB3EC9" w:rsidRPr="00F97E3C">
        <w:t xml:space="preserve"> 1997). Although the model treats </w:t>
      </w:r>
      <w:proofErr w:type="spellStart"/>
      <w:r w:rsidR="00AB3EC9" w:rsidRPr="00F97E3C">
        <w:t>W</w:t>
      </w:r>
      <w:r w:rsidR="00AB3EC9" w:rsidRPr="00F97E3C">
        <w:rPr>
          <w:vertAlign w:val="subscript"/>
        </w:rPr>
        <w:t>sapwood</w:t>
      </w:r>
      <w:proofErr w:type="spellEnd"/>
      <w:r w:rsidR="00AB3EC9" w:rsidRPr="00F97E3C">
        <w:t xml:space="preserve"> and NSC pools </w:t>
      </w:r>
      <w:r>
        <w:t>separately</w:t>
      </w:r>
      <w:r w:rsidR="00AB3EC9" w:rsidRPr="00F97E3C">
        <w:t xml:space="preserve"> </w:t>
      </w:r>
      <w:r>
        <w:t>they</w:t>
      </w:r>
      <w:r w:rsidR="00AB3EC9" w:rsidRPr="00F97E3C">
        <w:t xml:space="preserve"> </w:t>
      </w:r>
      <w:r w:rsidR="0080585A">
        <w:t xml:space="preserve">are </w:t>
      </w:r>
      <w:r w:rsidR="00AB3EC9" w:rsidRPr="00F97E3C">
        <w:t>inter</w:t>
      </w:r>
      <w:r>
        <w:t>related</w:t>
      </w:r>
      <w:r w:rsidR="00AB3EC9" w:rsidRPr="00F97E3C">
        <w:t xml:space="preserve"> </w:t>
      </w:r>
      <w:r>
        <w:t>via</w:t>
      </w:r>
      <w:r w:rsidR="00AB3EC9" w:rsidRPr="00F97E3C">
        <w:t xml:space="preserve"> the minimum</w:t>
      </w:r>
      <w:r>
        <w:t xml:space="preserve"> </w:t>
      </w:r>
      <w:r w:rsidR="00AB3EC9" w:rsidRPr="00F97E3C">
        <w:t>NSC content</w:t>
      </w:r>
      <w:r>
        <w:t>, which is specified as</w:t>
      </w:r>
      <w:r w:rsidR="00AB3EC9" w:rsidRPr="00F97E3C">
        <w:t xml:space="preserve"> a fraction of sapwood </w:t>
      </w:r>
      <w:r w:rsidR="00CE7DAD">
        <w:t xml:space="preserve">dry </w:t>
      </w:r>
      <w:r w:rsidR="00AB3EC9" w:rsidRPr="00F97E3C">
        <w:t>mass (</w:t>
      </w:r>
      <w:r w:rsidR="00CE7DAD">
        <w:t xml:space="preserve">Hoch </w:t>
      </w:r>
      <w:r w:rsidR="00CE7DAD" w:rsidRPr="00CE7DAD">
        <w:rPr>
          <w:i/>
        </w:rPr>
        <w:t>et al</w:t>
      </w:r>
      <w:r w:rsidR="00CE7DAD">
        <w:t xml:space="preserve">. 2003; </w:t>
      </w:r>
      <w:r w:rsidR="00AB3EC9" w:rsidRPr="00F97E3C">
        <w:t xml:space="preserve">Genet </w:t>
      </w:r>
      <w:r w:rsidR="00AB3EC9" w:rsidRPr="00F97E3C">
        <w:rPr>
          <w:i/>
          <w:iCs/>
        </w:rPr>
        <w:t>et al</w:t>
      </w:r>
      <w:r w:rsidR="003F2353">
        <w:t>.</w:t>
      </w:r>
      <w:r w:rsidR="00AB3EC9" w:rsidRPr="00F97E3C">
        <w:t xml:space="preserve"> 2010; Wiley </w:t>
      </w:r>
      <w:r w:rsidR="00AB3EC9" w:rsidRPr="00F97E3C">
        <w:rPr>
          <w:i/>
        </w:rPr>
        <w:t>et al</w:t>
      </w:r>
      <w:r w:rsidR="003F2353">
        <w:t>.</w:t>
      </w:r>
      <w:r w:rsidR="00AB3EC9" w:rsidRPr="00F97E3C">
        <w:t xml:space="preserve"> 2017). </w:t>
      </w:r>
      <w:r w:rsidR="002A4769">
        <w:t>Newly</w:t>
      </w:r>
      <w:r w:rsidR="00AB3EC9" w:rsidRPr="00F97E3C">
        <w:t xml:space="preserve"> assimilated </w:t>
      </w:r>
      <w:r w:rsidR="002A4769">
        <w:t>C</w:t>
      </w:r>
      <w:r w:rsidR="00AB3EC9" w:rsidRPr="00F97E3C">
        <w:t xml:space="preserve"> that is partitioned to woody compounds is </w:t>
      </w:r>
      <w:r w:rsidR="002A4769">
        <w:t>added to sapwood. N</w:t>
      </w:r>
      <w:r w:rsidR="00AB3EC9" w:rsidRPr="00F97E3C">
        <w:t xml:space="preserve">ew </w:t>
      </w:r>
      <w:proofErr w:type="spellStart"/>
      <w:r w:rsidR="00AB3EC9" w:rsidRPr="00F97E3C">
        <w:t>liv</w:t>
      </w:r>
      <w:r w:rsidR="002A4769">
        <w:t>e</w:t>
      </w:r>
      <w:proofErr w:type="spellEnd"/>
      <w:r w:rsidR="00AB3EC9" w:rsidRPr="00F97E3C">
        <w:t xml:space="preserve"> cells are </w:t>
      </w:r>
      <w:r w:rsidR="002A4769">
        <w:t xml:space="preserve">a </w:t>
      </w:r>
      <w:r w:rsidR="00AB3EC9" w:rsidRPr="00F97E3C">
        <w:t>fraction of new sapwood</w:t>
      </w:r>
      <w:r w:rsidR="002A4769">
        <w:t>, added</w:t>
      </w:r>
      <w:r w:rsidR="00AB3EC9" w:rsidRPr="00F97E3C">
        <w:t xml:space="preserve"> to previous (and remaining) live cells content after turnover. </w:t>
      </w:r>
      <w:r w:rsidR="002A4769">
        <w:t>N</w:t>
      </w:r>
      <w:r w:rsidR="00AB3EC9" w:rsidRPr="00F97E3C">
        <w:t xml:space="preserve"> allocation follows </w:t>
      </w:r>
      <w:r w:rsidR="002A4769">
        <w:t>C allocation according to prescribed</w:t>
      </w:r>
      <w:r w:rsidR="00AB3EC9" w:rsidRPr="00F97E3C">
        <w:t xml:space="preserve"> C:N ratios (</w:t>
      </w:r>
      <w:proofErr w:type="spellStart"/>
      <w:r w:rsidR="00AB3EC9" w:rsidRPr="00F97E3C">
        <w:rPr>
          <w:rFonts w:cs="Times New Roman"/>
          <w:i/>
        </w:rPr>
        <w:t>φ</w:t>
      </w:r>
      <w:r w:rsidR="00AB3EC9" w:rsidRPr="00F97E3C">
        <w:rPr>
          <w:vertAlign w:val="subscript"/>
        </w:rPr>
        <w:t>pool</w:t>
      </w:r>
      <w:proofErr w:type="spellEnd"/>
      <w:r w:rsidR="00AB3EC9" w:rsidRPr="00F97E3C">
        <w:t>), for leaves, fine roots, and woody organs.</w:t>
      </w:r>
    </w:p>
    <w:p w:rsidR="00AB3EC9" w:rsidRPr="00F97E3C" w:rsidRDefault="0080585A" w:rsidP="00333AF6">
      <w:pPr>
        <w:spacing w:before="0" w:after="0" w:line="480" w:lineRule="auto"/>
        <w:ind w:left="284" w:right="282" w:firstLine="425"/>
      </w:pPr>
      <w:r>
        <w:t xml:space="preserve">As </w:t>
      </w:r>
      <w:r w:rsidR="00AB3EC9" w:rsidRPr="00F97E3C">
        <w:t xml:space="preserve">Stockfors </w:t>
      </w:r>
      <w:r w:rsidR="00AB3EC9" w:rsidRPr="00F97E3C">
        <w:rPr>
          <w:i/>
        </w:rPr>
        <w:t>&amp;</w:t>
      </w:r>
      <w:r w:rsidR="00AB3EC9" w:rsidRPr="00F97E3C">
        <w:t xml:space="preserve"> Linder (1998) and Ceschia </w:t>
      </w:r>
      <w:r w:rsidR="00AB3EC9" w:rsidRPr="00F97E3C">
        <w:rPr>
          <w:i/>
        </w:rPr>
        <w:t>et al</w:t>
      </w:r>
      <w:r w:rsidR="00AB3EC9" w:rsidRPr="00F97E3C">
        <w:t xml:space="preserve">. (2002) showed that more than 80% of living cells </w:t>
      </w:r>
      <w:r w:rsidR="002A4769">
        <w:t>are</w:t>
      </w:r>
      <w:r w:rsidR="00AB3EC9" w:rsidRPr="00F97E3C">
        <w:t xml:space="preserve"> situated in the outer wood</w:t>
      </w:r>
      <w:r>
        <w:t>,</w:t>
      </w:r>
      <w:r w:rsidRPr="00F97E3C">
        <w:t xml:space="preserve"> </w:t>
      </w:r>
      <w:r>
        <w:t>t</w:t>
      </w:r>
      <w:r w:rsidR="002A4769">
        <w:t>he</w:t>
      </w:r>
      <w:r w:rsidR="00AB3EC9" w:rsidRPr="00F97E3C">
        <w:t xml:space="preserve"> </w:t>
      </w:r>
      <w:r>
        <w:t xml:space="preserve">amount of </w:t>
      </w:r>
      <w:r w:rsidR="00AB3EC9" w:rsidRPr="00F97E3C">
        <w:t xml:space="preserve">new live respiring tissue in the model </w:t>
      </w:r>
      <w:r>
        <w:t xml:space="preserve">is </w:t>
      </w:r>
      <w:r w:rsidR="00AB3EC9" w:rsidRPr="00F97E3C">
        <w:t>a fixed fraction of the sapwood allocated to each pool</w:t>
      </w:r>
      <w:r>
        <w:t>.</w:t>
      </w:r>
      <w:r w:rsidR="00AB3EC9" w:rsidRPr="00F97E3C">
        <w:t xml:space="preserve"> </w:t>
      </w:r>
      <w:r>
        <w:t>D</w:t>
      </w:r>
      <w:r w:rsidR="00AB3EC9" w:rsidRPr="00F97E3C">
        <w:t xml:space="preserve">eadwood is the remaining proportion which is not longer involved in </w:t>
      </w:r>
      <w:r w:rsidR="002A4769">
        <w:t xml:space="preserve">metabolic processes. The model relates </w:t>
      </w:r>
      <w:r w:rsidR="00AB3EC9" w:rsidRPr="00F97E3C">
        <w:t xml:space="preserve">respiration </w:t>
      </w:r>
      <w:r w:rsidR="002A4769">
        <w:t xml:space="preserve">to the amount of living cellular material </w:t>
      </w:r>
      <w:r w:rsidR="00AB3EC9" w:rsidRPr="00F97E3C">
        <w:t xml:space="preserve">rather than assuming respiration </w:t>
      </w:r>
      <w:r w:rsidR="002A4769">
        <w:t>to be</w:t>
      </w:r>
      <w:r w:rsidR="00AB3EC9" w:rsidRPr="00F97E3C">
        <w:t xml:space="preserve"> related to the overall sapwood mass (see for example LPJ-DGVM, Sitch </w:t>
      </w:r>
      <w:r w:rsidR="00AB3EC9" w:rsidRPr="00F97E3C">
        <w:rPr>
          <w:i/>
        </w:rPr>
        <w:t>et al</w:t>
      </w:r>
      <w:r w:rsidR="003F2353">
        <w:t>.</w:t>
      </w:r>
      <w:r w:rsidR="00AB3EC9" w:rsidRPr="00F97E3C">
        <w:t xml:space="preserve"> 2003; ORCHIDEE, Krinner </w:t>
      </w:r>
      <w:r w:rsidR="00AB3EC9" w:rsidRPr="00F97E3C">
        <w:rPr>
          <w:i/>
        </w:rPr>
        <w:t>et al</w:t>
      </w:r>
      <w:r w:rsidR="003F2353">
        <w:t>.</w:t>
      </w:r>
      <w:r w:rsidR="00AB3EC9" w:rsidRPr="00F97E3C">
        <w:t xml:space="preserve"> 2005) or </w:t>
      </w:r>
      <w:r w:rsidR="002A4769">
        <w:t xml:space="preserve">to total </w:t>
      </w:r>
      <w:r w:rsidR="00AB3EC9" w:rsidRPr="00F97E3C">
        <w:t>wood m</w:t>
      </w:r>
      <w:r w:rsidR="003F2353">
        <w:t xml:space="preserve">ass or volume (Penning de </w:t>
      </w:r>
      <w:proofErr w:type="spellStart"/>
      <w:r w:rsidR="003F2353">
        <w:t>Vries</w:t>
      </w:r>
      <w:proofErr w:type="spellEnd"/>
      <w:r w:rsidR="00AB3EC9" w:rsidRPr="00F97E3C">
        <w:t xml:space="preserve"> 1974, 1975; Thornley </w:t>
      </w:r>
      <w:r w:rsidR="00AB3EC9" w:rsidRPr="00F97E3C">
        <w:rPr>
          <w:i/>
        </w:rPr>
        <w:t>&amp;</w:t>
      </w:r>
      <w:r w:rsidR="003F2353">
        <w:t xml:space="preserve"> Cannell 2000; Gifford</w:t>
      </w:r>
      <w:r w:rsidR="00AB3EC9" w:rsidRPr="00F97E3C">
        <w:t xml:space="preserve"> 2003). </w:t>
      </w:r>
      <w:r w:rsidR="002A4769">
        <w:t xml:space="preserve">The use of </w:t>
      </w:r>
      <w:r>
        <w:t xml:space="preserve">the </w:t>
      </w:r>
      <w:r w:rsidR="002A4769">
        <w:t>living part to simulate respiration</w:t>
      </w:r>
      <w:r w:rsidR="00AB3EC9" w:rsidRPr="00F97E3C">
        <w:t xml:space="preserve"> is also adopted by other vegetation models</w:t>
      </w:r>
      <w:r w:rsidR="002A4769">
        <w:t xml:space="preserve"> </w:t>
      </w:r>
      <w:r w:rsidR="00333AF6">
        <w:t>including</w:t>
      </w:r>
      <w:r w:rsidR="00AB3EC9" w:rsidRPr="00F97E3C">
        <w:t xml:space="preserve"> Biome-BGC (Thornton </w:t>
      </w:r>
      <w:r w:rsidR="00AB3EC9" w:rsidRPr="00F97E3C">
        <w:rPr>
          <w:i/>
        </w:rPr>
        <w:t>et al</w:t>
      </w:r>
      <w:r w:rsidR="003F2353">
        <w:t>.</w:t>
      </w:r>
      <w:r w:rsidR="00AB3EC9" w:rsidRPr="00F97E3C">
        <w:t xml:space="preserve"> 2002), CASTANEA (Dufr</w:t>
      </w:r>
      <w:r w:rsidR="00AB3EC9" w:rsidRPr="00F97E3C">
        <w:rPr>
          <w:rFonts w:cs="Times New Roman"/>
        </w:rPr>
        <w:t>ê</w:t>
      </w:r>
      <w:r w:rsidR="00AB3EC9" w:rsidRPr="00F97E3C">
        <w:t xml:space="preserve">ne </w:t>
      </w:r>
      <w:r w:rsidR="00AB3EC9" w:rsidRPr="00F97E3C">
        <w:rPr>
          <w:i/>
        </w:rPr>
        <w:t>et al</w:t>
      </w:r>
      <w:r w:rsidR="003F2353">
        <w:t>.</w:t>
      </w:r>
      <w:r w:rsidR="00AB3EC9" w:rsidRPr="00F97E3C">
        <w:t xml:space="preserve"> 2005)</w:t>
      </w:r>
      <w:r>
        <w:t xml:space="preserve"> and</w:t>
      </w:r>
      <w:r w:rsidR="00AB3EC9" w:rsidRPr="00F97E3C">
        <w:t xml:space="preserve"> CLM (</w:t>
      </w:r>
      <w:r w:rsidR="0044317D">
        <w:t xml:space="preserve">all versions, </w:t>
      </w:r>
      <w:proofErr w:type="spellStart"/>
      <w:r w:rsidR="00AB3EC9" w:rsidRPr="00F97E3C">
        <w:t>Oleson</w:t>
      </w:r>
      <w:proofErr w:type="spellEnd"/>
      <w:r w:rsidR="00AB3EC9" w:rsidRPr="00F97E3C">
        <w:t xml:space="preserve"> </w:t>
      </w:r>
      <w:r w:rsidR="00AB3EC9" w:rsidRPr="00F97E3C">
        <w:rPr>
          <w:i/>
        </w:rPr>
        <w:t>et al</w:t>
      </w:r>
      <w:r w:rsidR="003F2353">
        <w:t>.</w:t>
      </w:r>
      <w:r w:rsidR="00AB3EC9" w:rsidRPr="00F97E3C">
        <w:t xml:space="preserve"> 2013). </w:t>
      </w:r>
    </w:p>
    <w:p w:rsidR="00AB3EC9" w:rsidRPr="00F97E3C" w:rsidRDefault="00AB3EC9" w:rsidP="00333AF6">
      <w:pPr>
        <w:spacing w:before="0" w:after="0" w:line="480" w:lineRule="auto"/>
        <w:ind w:left="284" w:right="282" w:firstLine="425"/>
      </w:pPr>
      <w:r w:rsidRPr="00F97E3C">
        <w:t>The live respiring wood biomass is initialized at the beginning of simulation as a fixed fraction of sapwood mass (for stem, coars</w:t>
      </w:r>
      <w:r w:rsidR="002A4769">
        <w:t>e root and branch biomass) as in Biome-BGC</w:t>
      </w:r>
      <w:r w:rsidRPr="00F97E3C">
        <w:t xml:space="preserve"> </w:t>
      </w:r>
      <w:r w:rsidR="002A4769">
        <w:t>(</w:t>
      </w:r>
      <w:r w:rsidRPr="00F97E3C">
        <w:t xml:space="preserve">Pietsch </w:t>
      </w:r>
      <w:r w:rsidRPr="00F97E3C">
        <w:rPr>
          <w:i/>
        </w:rPr>
        <w:t>et al</w:t>
      </w:r>
      <w:r w:rsidR="003F2353">
        <w:t>.</w:t>
      </w:r>
      <w:r w:rsidRPr="00F97E3C">
        <w:t xml:space="preserve"> 2005)</w:t>
      </w:r>
      <w:r w:rsidR="002A4769">
        <w:t>. The quantity</w:t>
      </w:r>
      <w:r w:rsidRPr="00F97E3C">
        <w:t xml:space="preserve"> </w:t>
      </w:r>
      <w:r w:rsidR="002A4769">
        <w:t>of living</w:t>
      </w:r>
      <w:r w:rsidRPr="00F97E3C">
        <w:t xml:space="preserve"> cells is considered as a fraction of sapwood </w:t>
      </w:r>
      <w:r w:rsidR="002A4769">
        <w:t xml:space="preserve">mass </w:t>
      </w:r>
      <w:r w:rsidRPr="00F97E3C">
        <w:t>(H</w:t>
      </w:r>
      <w:r w:rsidRPr="00F97E3C">
        <w:rPr>
          <w:rFonts w:cs="Times New Roman"/>
        </w:rPr>
        <w:t>ӧ</w:t>
      </w:r>
      <w:r w:rsidRPr="00F97E3C">
        <w:t>ltt</w:t>
      </w:r>
      <w:r w:rsidRPr="00F97E3C">
        <w:rPr>
          <w:rFonts w:cs="Times New Roman"/>
        </w:rPr>
        <w:t>ӓ</w:t>
      </w:r>
      <w:r w:rsidRPr="00F97E3C">
        <w:t xml:space="preserve"> </w:t>
      </w:r>
      <w:r w:rsidRPr="00F97E3C">
        <w:rPr>
          <w:i/>
        </w:rPr>
        <w:t>&amp;</w:t>
      </w:r>
      <w:r w:rsidR="003F2353">
        <w:t xml:space="preserve"> </w:t>
      </w:r>
      <w:r w:rsidR="003F2353">
        <w:lastRenderedPageBreak/>
        <w:t>Kolari 2009; Pallardy</w:t>
      </w:r>
      <w:r w:rsidRPr="00F97E3C">
        <w:t xml:space="preserve"> 2010). </w:t>
      </w:r>
      <w:r w:rsidR="002A4769">
        <w:t xml:space="preserve">Allometric equations </w:t>
      </w:r>
      <w:r w:rsidRPr="00F97E3C">
        <w:t>with species-specific parameters</w:t>
      </w:r>
      <w:r w:rsidR="002A4769">
        <w:t xml:space="preserve"> convert the initial stem</w:t>
      </w:r>
      <w:r w:rsidRPr="00F97E3C">
        <w:t xml:space="preserve"> cross</w:t>
      </w:r>
      <w:r w:rsidR="002A4769">
        <w:t>-</w:t>
      </w:r>
      <w:r w:rsidRPr="00F97E3C">
        <w:t xml:space="preserve">sectional area and sapwood area </w:t>
      </w:r>
      <w:r w:rsidR="002A4769">
        <w:t>fraction</w:t>
      </w:r>
      <w:r w:rsidRPr="00F97E3C">
        <w:t xml:space="preserve"> to sapwood mass (</w:t>
      </w:r>
      <w:proofErr w:type="spellStart"/>
      <w:r w:rsidRPr="00F97E3C">
        <w:t>Meinzer</w:t>
      </w:r>
      <w:proofErr w:type="spellEnd"/>
      <w:r w:rsidRPr="00F97E3C">
        <w:t xml:space="preserve"> </w:t>
      </w:r>
      <w:r w:rsidRPr="00F97E3C">
        <w:rPr>
          <w:i/>
        </w:rPr>
        <w:t>et al</w:t>
      </w:r>
      <w:r w:rsidR="003F2353">
        <w:t>.</w:t>
      </w:r>
      <w:r w:rsidRPr="00F97E3C">
        <w:t xml:space="preserve"> 2005; </w:t>
      </w:r>
      <w:proofErr w:type="spellStart"/>
      <w:r w:rsidRPr="00F97E3C">
        <w:t>Gebauer</w:t>
      </w:r>
      <w:proofErr w:type="spellEnd"/>
      <w:r w:rsidRPr="00F97E3C">
        <w:t xml:space="preserve"> </w:t>
      </w:r>
      <w:r w:rsidRPr="00F97E3C">
        <w:rPr>
          <w:i/>
        </w:rPr>
        <w:t>et al</w:t>
      </w:r>
      <w:r w:rsidR="003F2353">
        <w:t>.</w:t>
      </w:r>
      <w:r w:rsidRPr="00F97E3C">
        <w:t xml:space="preserve"> 2008). </w:t>
      </w:r>
      <w:r w:rsidR="002A4769">
        <w:t>J</w:t>
      </w:r>
      <w:r w:rsidRPr="00F97E3C">
        <w:t xml:space="preserve">uvenile trees </w:t>
      </w:r>
      <w:r w:rsidR="002A4769">
        <w:t xml:space="preserve">stems </w:t>
      </w:r>
      <w:r w:rsidRPr="00F97E3C">
        <w:t>are</w:t>
      </w:r>
      <w:r w:rsidR="002A4769">
        <w:t xml:space="preserve"> thus</w:t>
      </w:r>
      <w:r w:rsidRPr="00F97E3C">
        <w:t xml:space="preserve"> mostly composed </w:t>
      </w:r>
      <w:r w:rsidR="002A4769">
        <w:t>of</w:t>
      </w:r>
      <w:r w:rsidRPr="00F97E3C">
        <w:t xml:space="preserve"> sapwood mass. The liv</w:t>
      </w:r>
      <w:r w:rsidR="00183C88">
        <w:t xml:space="preserve">e wood turnover rate parameter </w:t>
      </w:r>
      <w:r w:rsidRPr="00F97E3C">
        <w:rPr>
          <w:rFonts w:cs="Times New Roman"/>
          <w:i/>
        </w:rPr>
        <w:t>τ</w:t>
      </w:r>
      <w:r w:rsidRPr="00F97E3C">
        <w:t xml:space="preserve"> controls the daily rate </w:t>
      </w:r>
      <w:r w:rsidR="00183C88">
        <w:t>of live respiring woody biomass</w:t>
      </w:r>
      <w:r w:rsidRPr="00F97E3C">
        <w:t xml:space="preserve"> that moves f</w:t>
      </w:r>
      <w:r w:rsidR="00183C88">
        <w:t xml:space="preserve">rom living to dead </w:t>
      </w:r>
      <w:r w:rsidRPr="00F97E3C">
        <w:t xml:space="preserve">wood materials the year(s) after its formation and is assumed not </w:t>
      </w:r>
      <w:r w:rsidR="00183C88">
        <w:t>to vary</w:t>
      </w:r>
      <w:r w:rsidRPr="00F97E3C">
        <w:t xml:space="preserve"> over time. </w:t>
      </w:r>
    </w:p>
    <w:p w:rsidR="00AB3EC9" w:rsidRDefault="00AB3EC9" w:rsidP="00FF3BDD">
      <w:pPr>
        <w:spacing w:before="0" w:after="0" w:line="360" w:lineRule="auto"/>
        <w:ind w:left="284" w:right="282"/>
      </w:pPr>
    </w:p>
    <w:p w:rsidR="004025C0" w:rsidRDefault="004025C0" w:rsidP="000977FE">
      <w:pPr>
        <w:pStyle w:val="Titolo3"/>
        <w:spacing w:line="360" w:lineRule="auto"/>
        <w:ind w:left="284"/>
      </w:pPr>
      <w:r>
        <w:t>References not cited in the main text</w:t>
      </w:r>
    </w:p>
    <w:p w:rsidR="00223126" w:rsidRPr="007E6704" w:rsidRDefault="00C50BC2">
      <w:pPr>
        <w:pStyle w:val="Bibliografia"/>
        <w:spacing w:after="0" w:line="360" w:lineRule="auto"/>
        <w:ind w:left="567" w:right="282" w:hanging="283"/>
        <w:rPr>
          <w:lang w:val="it-IT"/>
        </w:rPr>
      </w:pPr>
      <w:r w:rsidRPr="007E6704">
        <w:rPr>
          <w:lang w:val="it-IT"/>
        </w:rPr>
        <w:t xml:space="preserve">Collalti A. (2011). </w:t>
      </w:r>
      <w:r w:rsidRPr="007E6704">
        <w:rPr>
          <w:i/>
          <w:lang w:val="it-IT"/>
        </w:rPr>
        <w:t>Sviluppo di un</w:t>
      </w:r>
      <w:bookmarkStart w:id="0" w:name="_GoBack"/>
      <w:bookmarkEnd w:id="0"/>
      <w:r w:rsidRPr="007E6704">
        <w:rPr>
          <w:i/>
          <w:lang w:val="it-IT"/>
        </w:rPr>
        <w:t xml:space="preserve"> modello </w:t>
      </w:r>
      <w:proofErr w:type="spellStart"/>
      <w:r w:rsidRPr="007E6704">
        <w:rPr>
          <w:i/>
          <w:lang w:val="it-IT"/>
        </w:rPr>
        <w:t>ecologico-forestale</w:t>
      </w:r>
      <w:proofErr w:type="spellEnd"/>
      <w:r w:rsidRPr="007E6704">
        <w:rPr>
          <w:i/>
          <w:lang w:val="it-IT"/>
        </w:rPr>
        <w:t xml:space="preserve"> per foreste a struttura complessa</w:t>
      </w:r>
      <w:r w:rsidRPr="007E6704">
        <w:rPr>
          <w:lang w:val="it-IT"/>
        </w:rPr>
        <w:t xml:space="preserve">. </w:t>
      </w:r>
      <w:proofErr w:type="spellStart"/>
      <w:r w:rsidRPr="007E6704">
        <w:rPr>
          <w:lang w:val="it-IT"/>
        </w:rPr>
        <w:t>PhD</w:t>
      </w:r>
      <w:proofErr w:type="spellEnd"/>
      <w:r w:rsidRPr="007E6704">
        <w:rPr>
          <w:lang w:val="it-IT"/>
        </w:rPr>
        <w:t xml:space="preserve"> </w:t>
      </w:r>
      <w:proofErr w:type="spellStart"/>
      <w:r w:rsidRPr="007E6704">
        <w:rPr>
          <w:lang w:val="it-IT"/>
        </w:rPr>
        <w:t>Dissertation</w:t>
      </w:r>
      <w:proofErr w:type="spellEnd"/>
      <w:r w:rsidRPr="007E6704">
        <w:rPr>
          <w:lang w:val="it-IT"/>
        </w:rPr>
        <w:t xml:space="preserve">; </w:t>
      </w:r>
      <w:proofErr w:type="spellStart"/>
      <w:r w:rsidRPr="007E6704">
        <w:rPr>
          <w:lang w:val="it-IT"/>
        </w:rPr>
        <w:t>University</w:t>
      </w:r>
      <w:proofErr w:type="spellEnd"/>
      <w:r w:rsidRPr="007E6704">
        <w:rPr>
          <w:lang w:val="it-IT"/>
        </w:rPr>
        <w:t xml:space="preserve"> </w:t>
      </w:r>
      <w:proofErr w:type="spellStart"/>
      <w:r w:rsidRPr="007E6704">
        <w:rPr>
          <w:lang w:val="it-IT"/>
        </w:rPr>
        <w:t>of</w:t>
      </w:r>
      <w:proofErr w:type="spellEnd"/>
      <w:r w:rsidRPr="007E6704">
        <w:rPr>
          <w:lang w:val="it-IT"/>
        </w:rPr>
        <w:t xml:space="preserve"> Tuscia, Viterbo, Italy.</w:t>
      </w:r>
    </w:p>
    <w:p w:rsidR="00C50BC2" w:rsidRPr="00C50BC2" w:rsidRDefault="00C50BC2" w:rsidP="00C50BC2">
      <w:pPr>
        <w:pStyle w:val="Bibliografia"/>
        <w:spacing w:before="0" w:after="0" w:line="360" w:lineRule="auto"/>
        <w:ind w:left="567" w:right="282" w:hanging="283"/>
        <w:rPr>
          <w:lang w:val="en-GB"/>
        </w:rPr>
      </w:pPr>
      <w:r w:rsidRPr="007E6704">
        <w:rPr>
          <w:lang w:val="it-IT"/>
        </w:rPr>
        <w:t xml:space="preserve">Collalti A., Biondo C., Buttafuoco G., </w:t>
      </w:r>
      <w:r w:rsidRPr="007E6704">
        <w:rPr>
          <w:i/>
          <w:lang w:val="it-IT"/>
        </w:rPr>
        <w:t>et al</w:t>
      </w:r>
      <w:r w:rsidRPr="007E6704">
        <w:rPr>
          <w:lang w:val="it-IT"/>
        </w:rPr>
        <w:t xml:space="preserve">. </w:t>
      </w:r>
      <w:r w:rsidRPr="00C50BC2">
        <w:rPr>
          <w:lang w:val="en-GB"/>
        </w:rPr>
        <w:t>(2017). Simulation, calibration and validation protocols for the 3D-CMCC-CNR-FEM: a case study in the Bonis’ watershed (Calabria, Italy)</w:t>
      </w:r>
      <w:r>
        <w:rPr>
          <w:lang w:val="en-GB"/>
        </w:rPr>
        <w:t xml:space="preserve">. </w:t>
      </w:r>
      <w:r w:rsidRPr="00C50BC2">
        <w:rPr>
          <w:i/>
          <w:lang w:val="en-GB"/>
        </w:rPr>
        <w:t xml:space="preserve">Forest@ </w:t>
      </w:r>
      <w:r w:rsidRPr="007E6704">
        <w:rPr>
          <w:i/>
        </w:rPr>
        <w:t xml:space="preserve">– </w:t>
      </w:r>
      <w:r w:rsidRPr="00C50BC2">
        <w:rPr>
          <w:i/>
          <w:lang w:val="en-GB"/>
        </w:rPr>
        <w:t>Journal of Silviculture and Forest Ecology</w:t>
      </w:r>
      <w:r>
        <w:rPr>
          <w:lang w:val="en-GB"/>
        </w:rPr>
        <w:t>, 14: 247</w:t>
      </w:r>
      <w:r w:rsidRPr="007E6704">
        <w:t>–256.</w:t>
      </w:r>
    </w:p>
    <w:p w:rsidR="00A10B23" w:rsidRPr="00CC694F" w:rsidRDefault="00A10B23" w:rsidP="00FF3BDD">
      <w:pPr>
        <w:pStyle w:val="Paragrafoelenco"/>
        <w:spacing w:before="0" w:after="0" w:line="360" w:lineRule="auto"/>
        <w:ind w:left="567" w:right="282" w:hanging="283"/>
        <w:rPr>
          <w:lang w:val="en-GB"/>
        </w:rPr>
      </w:pPr>
      <w:r w:rsidRPr="00CC694F">
        <w:rPr>
          <w:lang w:val="en-GB"/>
        </w:rPr>
        <w:t>Cox P. (2001). Description of the "TRIFFID" Dynamic Global Vegetation Model. Bracknell, Berkshire, Hadley Centre, Met Office, 1</w:t>
      </w:r>
      <w:r>
        <w:rPr>
          <w:lang w:val="en-GB"/>
        </w:rPr>
        <w:t>–1</w:t>
      </w:r>
      <w:r w:rsidRPr="00CC694F">
        <w:rPr>
          <w:lang w:val="en-GB"/>
        </w:rPr>
        <w:t>6.</w:t>
      </w:r>
    </w:p>
    <w:p w:rsidR="00A10B23" w:rsidRPr="00CC694F" w:rsidRDefault="00A10B23" w:rsidP="00FF3BDD">
      <w:pPr>
        <w:spacing w:before="0" w:after="0" w:line="360" w:lineRule="auto"/>
        <w:ind w:left="567" w:right="282" w:hanging="283"/>
        <w:rPr>
          <w:lang w:val="en-GB"/>
        </w:rPr>
      </w:pPr>
      <w:r w:rsidRPr="00CC694F">
        <w:rPr>
          <w:lang w:val="en-GB"/>
        </w:rPr>
        <w:t>Farquhar G.D., von Caemmerer S., Berry J.A. (1980). A biochemical model of photosynthetic CO</w:t>
      </w:r>
      <w:r w:rsidRPr="00CC694F">
        <w:rPr>
          <w:vertAlign w:val="subscript"/>
          <w:lang w:val="en-GB"/>
        </w:rPr>
        <w:t>2</w:t>
      </w:r>
      <w:r w:rsidR="001E4FF7">
        <w:rPr>
          <w:lang w:val="en-GB"/>
        </w:rPr>
        <w:t xml:space="preserve"> assimilation in leaves of C</w:t>
      </w:r>
      <w:r w:rsidRPr="00CC694F">
        <w:rPr>
          <w:lang w:val="en-GB"/>
        </w:rPr>
        <w:t xml:space="preserve">3 species. </w:t>
      </w:r>
      <w:proofErr w:type="spellStart"/>
      <w:r w:rsidRPr="00CC694F">
        <w:rPr>
          <w:i/>
          <w:lang w:val="en-GB"/>
        </w:rPr>
        <w:t>Planta</w:t>
      </w:r>
      <w:proofErr w:type="spellEnd"/>
      <w:r w:rsidRPr="00CC694F">
        <w:rPr>
          <w:lang w:val="en-GB"/>
        </w:rPr>
        <w:t xml:space="preserve">, </w:t>
      </w:r>
      <w:proofErr w:type="spellStart"/>
      <w:r w:rsidRPr="00CC694F">
        <w:rPr>
          <w:lang w:val="en-GB"/>
        </w:rPr>
        <w:t>doi</w:t>
      </w:r>
      <w:proofErr w:type="spellEnd"/>
      <w:r w:rsidRPr="00CC694F">
        <w:rPr>
          <w:lang w:val="en-GB"/>
        </w:rPr>
        <w:t>: 10.1007/BF00386231.</w:t>
      </w:r>
    </w:p>
    <w:p w:rsidR="00A10B23" w:rsidRPr="00CC694F" w:rsidRDefault="00A10B23" w:rsidP="00FF3BDD">
      <w:pPr>
        <w:spacing w:before="0" w:after="0" w:line="360" w:lineRule="auto"/>
        <w:ind w:left="567" w:right="282" w:hanging="283"/>
        <w:rPr>
          <w:lang w:val="en-GB"/>
        </w:rPr>
      </w:pPr>
      <w:r w:rsidRPr="00CC694F">
        <w:rPr>
          <w:lang w:val="en-GB"/>
        </w:rPr>
        <w:t>H</w:t>
      </w:r>
      <w:r w:rsidRPr="00CC694F">
        <w:rPr>
          <w:rFonts w:cs="Times New Roman"/>
          <w:lang w:val="en-GB"/>
        </w:rPr>
        <w:t>ӧ</w:t>
      </w:r>
      <w:r w:rsidRPr="00CC694F">
        <w:rPr>
          <w:lang w:val="en-GB"/>
        </w:rPr>
        <w:t>ltt</w:t>
      </w:r>
      <w:r w:rsidRPr="00CC694F">
        <w:rPr>
          <w:rFonts w:cs="Times New Roman"/>
          <w:lang w:val="en-GB"/>
        </w:rPr>
        <w:t>ӓ</w:t>
      </w:r>
      <w:r w:rsidRPr="00CC694F">
        <w:rPr>
          <w:lang w:val="en-GB"/>
        </w:rPr>
        <w:t xml:space="preserve"> T., Kolari P. (2009). Interpretation of stem CO</w:t>
      </w:r>
      <w:r w:rsidRPr="00CC694F">
        <w:rPr>
          <w:vertAlign w:val="subscript"/>
          <w:lang w:val="en-GB"/>
        </w:rPr>
        <w:t xml:space="preserve">2 </w:t>
      </w:r>
      <w:r w:rsidRPr="00CC694F">
        <w:rPr>
          <w:lang w:val="en-GB"/>
        </w:rPr>
        <w:t xml:space="preserve">efflux measurements. </w:t>
      </w:r>
      <w:r w:rsidRPr="00CC694F">
        <w:rPr>
          <w:i/>
          <w:lang w:val="en-GB"/>
        </w:rPr>
        <w:t>Tree Physiology</w:t>
      </w:r>
      <w:r w:rsidRPr="00CC694F">
        <w:rPr>
          <w:lang w:val="en-GB"/>
        </w:rPr>
        <w:t>, 29: 1447–1456</w:t>
      </w:r>
    </w:p>
    <w:p w:rsidR="00A10B23" w:rsidRPr="00CC694F" w:rsidRDefault="00A10B23" w:rsidP="00FF3BDD">
      <w:pPr>
        <w:spacing w:before="0" w:after="0" w:line="360" w:lineRule="auto"/>
        <w:ind w:left="567" w:right="282" w:hanging="283"/>
        <w:rPr>
          <w:lang w:val="en-GB"/>
        </w:rPr>
      </w:pPr>
      <w:r w:rsidRPr="00CC694F">
        <w:rPr>
          <w:lang w:val="en-GB"/>
        </w:rPr>
        <w:t>Larcher W. (2003). Physiological Plant Ecology. Berlin Heidelberg: Springer-</w:t>
      </w:r>
      <w:proofErr w:type="spellStart"/>
      <w:r w:rsidRPr="00CC694F">
        <w:rPr>
          <w:lang w:val="en-GB"/>
        </w:rPr>
        <w:t>Verlag</w:t>
      </w:r>
      <w:proofErr w:type="spellEnd"/>
      <w:r w:rsidRPr="00CC694F">
        <w:rPr>
          <w:lang w:val="en-GB"/>
        </w:rPr>
        <w:t xml:space="preserve">. </w:t>
      </w:r>
    </w:p>
    <w:p w:rsidR="004B1134" w:rsidRDefault="004B1134" w:rsidP="00FF3BDD">
      <w:pPr>
        <w:spacing w:before="0" w:after="0" w:line="360" w:lineRule="auto"/>
        <w:ind w:left="567" w:right="282" w:hanging="283"/>
        <w:rPr>
          <w:lang w:val="en-GB"/>
        </w:rPr>
      </w:pPr>
      <w:r w:rsidRPr="00CC694F">
        <w:rPr>
          <w:lang w:val="en-GB"/>
        </w:rPr>
        <w:t xml:space="preserve">Mäkelä A. (1997). A Carbon Balance Model of Growth and Self-Pruning in Trees Based on Structural Relationships. </w:t>
      </w:r>
      <w:r w:rsidRPr="00CC694F">
        <w:rPr>
          <w:i/>
          <w:lang w:val="en-GB"/>
        </w:rPr>
        <w:t>Forest Science</w:t>
      </w:r>
      <w:r w:rsidRPr="00CC694F">
        <w:rPr>
          <w:lang w:val="en-GB"/>
        </w:rPr>
        <w:t>, 43(1): 7–24</w:t>
      </w:r>
      <w:r w:rsidR="0044457E">
        <w:rPr>
          <w:lang w:val="en-GB"/>
        </w:rPr>
        <w:t>.</w:t>
      </w:r>
    </w:p>
    <w:p w:rsidR="0044457E" w:rsidRPr="00CC694F" w:rsidRDefault="0044457E" w:rsidP="00FF3BDD">
      <w:pPr>
        <w:spacing w:before="0" w:after="0" w:line="360" w:lineRule="auto"/>
        <w:ind w:left="567" w:right="282" w:hanging="283"/>
        <w:rPr>
          <w:lang w:val="en-GB"/>
        </w:rPr>
      </w:pPr>
      <w:proofErr w:type="spellStart"/>
      <w:r w:rsidRPr="00CC694F">
        <w:rPr>
          <w:lang w:val="en-GB"/>
        </w:rPr>
        <w:t>Marthews</w:t>
      </w:r>
      <w:proofErr w:type="spellEnd"/>
      <w:r w:rsidRPr="00CC694F">
        <w:rPr>
          <w:lang w:val="en-GB"/>
        </w:rPr>
        <w:t xml:space="preserve"> T.R., Malhi Y., </w:t>
      </w:r>
      <w:r w:rsidRPr="00CC694F">
        <w:rPr>
          <w:i/>
          <w:lang w:val="en-GB"/>
        </w:rPr>
        <w:t>et al</w:t>
      </w:r>
      <w:r w:rsidRPr="00CC694F">
        <w:rPr>
          <w:lang w:val="en-GB"/>
        </w:rPr>
        <w:t xml:space="preserve">. (2012). Simulating forest productivity along a </w:t>
      </w:r>
      <w:proofErr w:type="spellStart"/>
      <w:r w:rsidRPr="00CC694F">
        <w:rPr>
          <w:lang w:val="en-GB"/>
        </w:rPr>
        <w:t>neotropical</w:t>
      </w:r>
      <w:proofErr w:type="spellEnd"/>
      <w:r w:rsidRPr="00CC694F">
        <w:rPr>
          <w:lang w:val="en-GB"/>
        </w:rPr>
        <w:t xml:space="preserve"> </w:t>
      </w:r>
      <w:proofErr w:type="spellStart"/>
      <w:r w:rsidRPr="00CC694F">
        <w:rPr>
          <w:lang w:val="en-GB"/>
        </w:rPr>
        <w:t>elevational</w:t>
      </w:r>
      <w:proofErr w:type="spellEnd"/>
      <w:r w:rsidRPr="00CC694F">
        <w:rPr>
          <w:lang w:val="en-GB"/>
        </w:rPr>
        <w:t xml:space="preserve"> transect: temperature variation and carbon use efficiency. </w:t>
      </w:r>
      <w:r w:rsidRPr="00CC694F">
        <w:rPr>
          <w:i/>
          <w:lang w:val="en-GB"/>
        </w:rPr>
        <w:t>Global Change Biology</w:t>
      </w:r>
      <w:r w:rsidRPr="00CC694F">
        <w:rPr>
          <w:lang w:val="en-GB"/>
        </w:rPr>
        <w:t>, 18: 2882–2989.</w:t>
      </w:r>
    </w:p>
    <w:p w:rsidR="0044457E" w:rsidRPr="00CC694F" w:rsidRDefault="0044457E" w:rsidP="00FF3BDD">
      <w:pPr>
        <w:spacing w:before="0" w:after="0" w:line="360" w:lineRule="auto"/>
        <w:ind w:left="567" w:right="282" w:hanging="283"/>
        <w:rPr>
          <w:lang w:val="en-GB"/>
        </w:rPr>
      </w:pPr>
      <w:proofErr w:type="spellStart"/>
      <w:r w:rsidRPr="00CC694F">
        <w:rPr>
          <w:lang w:val="en-GB"/>
        </w:rPr>
        <w:t>Meinzer</w:t>
      </w:r>
      <w:proofErr w:type="spellEnd"/>
      <w:r w:rsidRPr="00CC694F">
        <w:rPr>
          <w:lang w:val="en-GB"/>
        </w:rPr>
        <w:t xml:space="preserve"> F.C., Bond B.J., Warren J.M., Woodruff D.R. (2005). Does water transport scale universally with tree size? </w:t>
      </w:r>
      <w:r w:rsidRPr="00CC694F">
        <w:rPr>
          <w:i/>
          <w:lang w:val="en-GB"/>
        </w:rPr>
        <w:t>Functional Ecology</w:t>
      </w:r>
      <w:r w:rsidRPr="00CC694F">
        <w:rPr>
          <w:lang w:val="en-GB"/>
        </w:rPr>
        <w:t xml:space="preserve"> 19:558–565.</w:t>
      </w:r>
    </w:p>
    <w:p w:rsidR="004025C0" w:rsidRPr="00CC694F" w:rsidRDefault="004025C0" w:rsidP="00FF3BDD">
      <w:pPr>
        <w:spacing w:before="0" w:after="0" w:line="360" w:lineRule="auto"/>
        <w:ind w:left="567" w:right="282" w:hanging="283"/>
        <w:rPr>
          <w:lang w:val="en-GB"/>
        </w:rPr>
      </w:pPr>
      <w:r w:rsidRPr="00CC694F">
        <w:rPr>
          <w:lang w:val="en-GB"/>
        </w:rPr>
        <w:t xml:space="preserve">Stockfors J., Linder S. (1998). Effect of nitrogen on the seasonal course of growth and maintenance respiration in stems of Norway spruce trees. </w:t>
      </w:r>
      <w:r w:rsidRPr="00CC694F">
        <w:rPr>
          <w:i/>
          <w:lang w:val="en-GB"/>
        </w:rPr>
        <w:t>Tree Physiology,</w:t>
      </w:r>
      <w:r w:rsidRPr="00CC694F">
        <w:rPr>
          <w:lang w:val="en-GB"/>
        </w:rPr>
        <w:t xml:space="preserve"> 18: 155–166.</w:t>
      </w:r>
    </w:p>
    <w:p w:rsidR="0044457E" w:rsidRPr="00CC694F" w:rsidRDefault="0044457E" w:rsidP="00FF3BDD">
      <w:pPr>
        <w:spacing w:before="0" w:after="0" w:line="360" w:lineRule="auto"/>
        <w:ind w:left="567" w:right="282" w:hanging="283"/>
        <w:rPr>
          <w:lang w:val="en-GB"/>
        </w:rPr>
      </w:pPr>
    </w:p>
    <w:p w:rsidR="00A10B23" w:rsidRPr="00CC694F" w:rsidRDefault="00A10B23" w:rsidP="00FF3BDD">
      <w:pPr>
        <w:spacing w:before="0" w:after="0" w:line="360" w:lineRule="auto"/>
        <w:ind w:left="567" w:right="282" w:hanging="283"/>
        <w:rPr>
          <w:lang w:val="en-GB"/>
        </w:rPr>
      </w:pPr>
    </w:p>
    <w:p w:rsidR="00BE3D36" w:rsidRDefault="00BE3D36" w:rsidP="00FF3BDD">
      <w:pPr>
        <w:spacing w:before="0" w:after="0" w:line="360" w:lineRule="auto"/>
        <w:ind w:left="284" w:right="282"/>
      </w:pPr>
    </w:p>
    <w:p w:rsidR="008E76F6" w:rsidRDefault="008E76F6" w:rsidP="00FF3BDD">
      <w:pPr>
        <w:spacing w:before="0" w:after="0" w:line="360" w:lineRule="auto"/>
        <w:ind w:left="284" w:right="282"/>
      </w:pPr>
    </w:p>
    <w:p w:rsidR="008E76F6" w:rsidRDefault="008E76F6" w:rsidP="00FF3BDD">
      <w:pPr>
        <w:spacing w:before="0" w:after="0" w:line="360" w:lineRule="auto"/>
        <w:ind w:left="284" w:right="282"/>
      </w:pPr>
    </w:p>
    <w:p w:rsidR="008E76F6" w:rsidRDefault="008E76F6" w:rsidP="00FF3BDD">
      <w:pPr>
        <w:spacing w:before="0" w:after="0" w:line="360" w:lineRule="auto"/>
        <w:ind w:left="284" w:right="282"/>
      </w:pPr>
    </w:p>
    <w:p w:rsidR="008E76F6" w:rsidRDefault="008E76F6" w:rsidP="00FF3BDD">
      <w:pPr>
        <w:spacing w:before="0" w:after="0" w:line="360" w:lineRule="auto"/>
        <w:ind w:left="284" w:right="282"/>
      </w:pPr>
    </w:p>
    <w:p w:rsidR="008E76F6" w:rsidRDefault="008E76F6" w:rsidP="00FF3BDD">
      <w:pPr>
        <w:spacing w:before="0" w:after="0" w:line="360" w:lineRule="auto"/>
        <w:ind w:left="284" w:right="282"/>
      </w:pPr>
    </w:p>
    <w:p w:rsidR="008E76F6" w:rsidRDefault="008E76F6" w:rsidP="00FF3BDD">
      <w:pPr>
        <w:spacing w:before="0" w:after="0" w:line="360" w:lineRule="auto"/>
        <w:ind w:left="284" w:right="282"/>
        <w:sectPr w:rsidR="008E76F6" w:rsidSect="00492593">
          <w:pgSz w:w="11906" w:h="16838"/>
          <w:pgMar w:top="1417" w:right="1134" w:bottom="1134" w:left="709" w:header="708" w:footer="708" w:gutter="0"/>
          <w:lnNumType w:countBy="1" w:restart="continuous"/>
          <w:cols w:space="708"/>
          <w:docGrid w:linePitch="360"/>
        </w:sectPr>
      </w:pPr>
    </w:p>
    <w:p w:rsidR="00BA18DC" w:rsidRDefault="00492A46" w:rsidP="00FF3BDD">
      <w:pPr>
        <w:keepNext/>
        <w:spacing w:line="360" w:lineRule="auto"/>
      </w:pPr>
      <w:r>
        <w:rPr>
          <w:noProof/>
          <w:lang w:val="it-IT" w:eastAsia="it-IT"/>
        </w:rPr>
        <w:lastRenderedPageBreak/>
        <w:drawing>
          <wp:inline distT="0" distB="0" distL="0" distR="0">
            <wp:extent cx="6120130" cy="2999105"/>
            <wp:effectExtent l="0" t="0" r="0" b="0"/>
            <wp:docPr id="4" name="Immagine 3" descr="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6F6" w:rsidRPr="008E76F6" w:rsidRDefault="008E76F6" w:rsidP="00FF3BDD">
      <w:pPr>
        <w:keepNext/>
        <w:spacing w:line="360" w:lineRule="auto"/>
      </w:pPr>
      <w:r w:rsidRPr="008E76F6">
        <w:rPr>
          <w:b/>
        </w:rPr>
        <w:t xml:space="preserve">Fig. S1 </w:t>
      </w:r>
      <w:r w:rsidRPr="008E76F6">
        <w:t xml:space="preserve">The </w:t>
      </w:r>
      <w:r w:rsidRPr="008E76F6">
        <w:rPr>
          <w:i/>
        </w:rPr>
        <w:t>P</w:t>
      </w:r>
      <w:r w:rsidRPr="008E76F6">
        <w:t xml:space="preserve">, </w:t>
      </w:r>
      <w:r w:rsidRPr="008E76F6">
        <w:rPr>
          <w:i/>
        </w:rPr>
        <w:t>P</w:t>
      </w:r>
      <w:r w:rsidRPr="008E76F6">
        <w:rPr>
          <w:vertAlign w:val="subscript"/>
        </w:rPr>
        <w:t>n</w:t>
      </w:r>
      <w:r w:rsidRPr="008E76F6">
        <w:t xml:space="preserve"> and </w:t>
      </w:r>
      <w:r w:rsidRPr="008E76F6">
        <w:rPr>
          <w:i/>
        </w:rPr>
        <w:t>R</w:t>
      </w:r>
      <w:r w:rsidRPr="008E76F6">
        <w:t xml:space="preserve"> </w:t>
      </w:r>
      <w:r w:rsidR="009470FA">
        <w:t>(</w:t>
      </w:r>
      <w:r w:rsidR="009470FA" w:rsidRPr="002E79A5">
        <w:t>g C m</w:t>
      </w:r>
      <w:r w:rsidR="009470FA" w:rsidRPr="002E79A5">
        <w:rPr>
          <w:vertAlign w:val="superscript"/>
        </w:rPr>
        <w:t>–2</w:t>
      </w:r>
      <w:r w:rsidR="009470FA" w:rsidRPr="002E79A5">
        <w:t xml:space="preserve"> </w:t>
      </w:r>
      <w:r w:rsidR="009470FA">
        <w:t>yr</w:t>
      </w:r>
      <w:r w:rsidR="009470FA" w:rsidRPr="009470FA">
        <w:rPr>
          <w:vertAlign w:val="superscript"/>
        </w:rPr>
        <w:t>–1</w:t>
      </w:r>
      <w:r w:rsidR="009470FA">
        <w:t xml:space="preserve">) </w:t>
      </w:r>
      <w:r w:rsidRPr="009470FA">
        <w:t>patterns</w:t>
      </w:r>
      <w:r w:rsidRPr="008E76F6">
        <w:t xml:space="preserve"> with </w:t>
      </w:r>
      <w:r w:rsidR="000958E5">
        <w:t>stand</w:t>
      </w:r>
      <w:r w:rsidRPr="008E76F6">
        <w:t xml:space="preserve"> age at </w:t>
      </w:r>
      <w:r w:rsidR="00A37CA4">
        <w:t xml:space="preserve">the two bounding extreme </w:t>
      </w:r>
      <w:r w:rsidRPr="008E76F6">
        <w:t>turnover rates (</w:t>
      </w:r>
      <w:r w:rsidRPr="00244718">
        <w:rPr>
          <w:rFonts w:cs="Times New Roman"/>
          <w:i/>
        </w:rPr>
        <w:t>τ</w:t>
      </w:r>
      <w:r w:rsidRPr="00244718">
        <w:rPr>
          <w:i/>
        </w:rPr>
        <w:t xml:space="preserve"> </w:t>
      </w:r>
      <w:r w:rsidRPr="008E76F6">
        <w:t>= 1.0</w:t>
      </w:r>
      <w:r w:rsidR="000958E5">
        <w:t xml:space="preserve"> </w:t>
      </w:r>
      <w:r w:rsidR="000958E5" w:rsidRPr="002E79A5">
        <w:t>yr</w:t>
      </w:r>
      <w:r w:rsidR="000958E5" w:rsidRPr="002E79A5">
        <w:rPr>
          <w:vertAlign w:val="superscript"/>
        </w:rPr>
        <w:t>–1</w:t>
      </w:r>
      <w:r w:rsidRPr="008E76F6">
        <w:t xml:space="preserve">, W98, left panel; </w:t>
      </w:r>
      <w:r w:rsidRPr="00244718">
        <w:rPr>
          <w:rFonts w:cs="Times New Roman"/>
          <w:i/>
        </w:rPr>
        <w:t>τ</w:t>
      </w:r>
      <w:r w:rsidRPr="008E76F6">
        <w:t xml:space="preserve"> = 0.1</w:t>
      </w:r>
      <w:r w:rsidR="000958E5">
        <w:t xml:space="preserve"> </w:t>
      </w:r>
      <w:r w:rsidR="000958E5" w:rsidRPr="002E79A5">
        <w:t>yr</w:t>
      </w:r>
      <w:r w:rsidR="000958E5" w:rsidRPr="002E79A5">
        <w:rPr>
          <w:vertAlign w:val="superscript"/>
        </w:rPr>
        <w:t>–1</w:t>
      </w:r>
      <w:r w:rsidRPr="008E76F6">
        <w:t>, R06, right panel</w:t>
      </w:r>
      <w:r>
        <w:t xml:space="preserve">). Solid lines indicate </w:t>
      </w:r>
      <w:r w:rsidRPr="008E76F6">
        <w:rPr>
          <w:i/>
        </w:rPr>
        <w:t>P</w:t>
      </w:r>
      <w:r w:rsidR="007A2903">
        <w:t>,</w:t>
      </w:r>
      <w:r>
        <w:t xml:space="preserve"> dashed lines indicate </w:t>
      </w:r>
      <w:r w:rsidRPr="008E76F6">
        <w:rPr>
          <w:i/>
        </w:rPr>
        <w:t>R</w:t>
      </w:r>
      <w:r>
        <w:t>, the grey area</w:t>
      </w:r>
      <w:r>
        <w:rPr>
          <w:b/>
        </w:rPr>
        <w:t xml:space="preserve"> </w:t>
      </w:r>
      <w:r w:rsidRPr="008E76F6">
        <w:t xml:space="preserve">is </w:t>
      </w:r>
      <w:r w:rsidRPr="008E76F6">
        <w:rPr>
          <w:i/>
        </w:rPr>
        <w:t>P</w:t>
      </w:r>
      <w:r w:rsidR="00494D2C" w:rsidRPr="00494D2C">
        <w:rPr>
          <w:vertAlign w:val="subscript"/>
        </w:rPr>
        <w:t>n</w:t>
      </w:r>
      <w:r w:rsidRPr="008E76F6">
        <w:t xml:space="preserve"> calculated as </w:t>
      </w:r>
      <w:r w:rsidRPr="008E76F6">
        <w:rPr>
          <w:i/>
        </w:rPr>
        <w:t>P</w:t>
      </w:r>
      <w:r w:rsidRPr="008E76F6">
        <w:t xml:space="preserve"> – </w:t>
      </w:r>
      <w:r w:rsidRPr="008E76F6">
        <w:rPr>
          <w:i/>
        </w:rPr>
        <w:t>R</w:t>
      </w:r>
      <w:r w:rsidRPr="008E76F6">
        <w:t>.</w:t>
      </w:r>
    </w:p>
    <w:p w:rsidR="008E76F6" w:rsidRDefault="00A6038C" w:rsidP="002E79A5">
      <w:pPr>
        <w:pStyle w:val="Didascalia"/>
      </w:pPr>
      <w:r>
        <w:rPr>
          <w:noProof/>
          <w:lang w:val="it-IT" w:eastAsia="it-IT"/>
        </w:rPr>
        <w:drawing>
          <wp:inline distT="0" distB="0" distL="0" distR="0">
            <wp:extent cx="6390005" cy="2151380"/>
            <wp:effectExtent l="19050" t="0" r="0" b="0"/>
            <wp:docPr id="2" name="Immagine 1" descr="test_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_S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8DC" w:rsidRPr="00210181" w:rsidRDefault="00BA18DC" w:rsidP="002E79A5">
      <w:pPr>
        <w:pStyle w:val="Didascalia"/>
      </w:pPr>
      <w:r>
        <w:t>Fig</w:t>
      </w:r>
      <w:r w:rsidR="008E76F6">
        <w:t>.</w:t>
      </w:r>
      <w:r>
        <w:t xml:space="preserve"> S</w:t>
      </w:r>
      <w:r w:rsidR="008E76F6">
        <w:t>2</w:t>
      </w:r>
      <w:r>
        <w:t xml:space="preserve"> </w:t>
      </w:r>
      <w:r w:rsidRPr="002E79A5">
        <w:rPr>
          <w:b w:val="0"/>
        </w:rPr>
        <w:t xml:space="preserve">Model results for </w:t>
      </w:r>
      <w:r w:rsidR="001A5C44">
        <w:rPr>
          <w:b w:val="0"/>
        </w:rPr>
        <w:t xml:space="preserve">annual </w:t>
      </w:r>
      <w:r w:rsidR="00082798">
        <w:rPr>
          <w:b w:val="0"/>
        </w:rPr>
        <w:t>m</w:t>
      </w:r>
      <w:r w:rsidRPr="002E79A5">
        <w:rPr>
          <w:b w:val="0"/>
        </w:rPr>
        <w:t xml:space="preserve">aintenance </w:t>
      </w:r>
      <w:r w:rsidR="001C061D" w:rsidRPr="002E79A5">
        <w:rPr>
          <w:b w:val="0"/>
        </w:rPr>
        <w:t>(</w:t>
      </w:r>
      <w:r w:rsidR="001C061D" w:rsidRPr="002E79A5">
        <w:rPr>
          <w:b w:val="0"/>
          <w:i/>
        </w:rPr>
        <w:t>R</w:t>
      </w:r>
      <w:r w:rsidR="001C061D" w:rsidRPr="002E79A5">
        <w:rPr>
          <w:b w:val="0"/>
          <w:vertAlign w:val="subscript"/>
        </w:rPr>
        <w:t>M</w:t>
      </w:r>
      <w:r w:rsidR="001C061D" w:rsidRPr="002E79A5">
        <w:rPr>
          <w:b w:val="0"/>
        </w:rPr>
        <w:t xml:space="preserve">) </w:t>
      </w:r>
      <w:r w:rsidRPr="002E79A5">
        <w:rPr>
          <w:b w:val="0"/>
        </w:rPr>
        <w:t>v</w:t>
      </w:r>
      <w:r w:rsidR="001C061D" w:rsidRPr="002E79A5">
        <w:rPr>
          <w:b w:val="0"/>
        </w:rPr>
        <w:t>s.</w:t>
      </w:r>
      <w:r w:rsidRPr="002E79A5">
        <w:rPr>
          <w:b w:val="0"/>
        </w:rPr>
        <w:t xml:space="preserve"> </w:t>
      </w:r>
      <w:r w:rsidR="00082798">
        <w:rPr>
          <w:b w:val="0"/>
        </w:rPr>
        <w:t>a</w:t>
      </w:r>
      <w:r w:rsidRPr="002E79A5">
        <w:rPr>
          <w:b w:val="0"/>
        </w:rPr>
        <w:t xml:space="preserve">utotrophic reparation </w:t>
      </w:r>
      <w:r w:rsidR="001C061D" w:rsidRPr="002E79A5">
        <w:rPr>
          <w:b w:val="0"/>
        </w:rPr>
        <w:t>(</w:t>
      </w:r>
      <w:r w:rsidR="001C061D" w:rsidRPr="002E79A5">
        <w:rPr>
          <w:b w:val="0"/>
          <w:i/>
        </w:rPr>
        <w:t>R</w:t>
      </w:r>
      <w:r w:rsidR="001C061D" w:rsidRPr="002E79A5">
        <w:rPr>
          <w:b w:val="0"/>
        </w:rPr>
        <w:t xml:space="preserve">) </w:t>
      </w:r>
      <w:r w:rsidRPr="002E79A5">
        <w:rPr>
          <w:b w:val="0"/>
        </w:rPr>
        <w:t>ratio (in percentage) (colo</w:t>
      </w:r>
      <w:r w:rsidR="0005042D" w:rsidRPr="002E79A5">
        <w:rPr>
          <w:b w:val="0"/>
        </w:rPr>
        <w:t>u</w:t>
      </w:r>
      <w:r w:rsidRPr="002E79A5">
        <w:rPr>
          <w:b w:val="0"/>
        </w:rPr>
        <w:t xml:space="preserve">red lines) </w:t>
      </w:r>
      <w:r w:rsidR="001C061D" w:rsidRPr="002E79A5">
        <w:rPr>
          <w:b w:val="0"/>
        </w:rPr>
        <w:t>at</w:t>
      </w:r>
      <w:r w:rsidRPr="002E79A5">
        <w:rPr>
          <w:b w:val="0"/>
        </w:rPr>
        <w:t xml:space="preserve"> varying </w:t>
      </w:r>
      <w:r w:rsidRPr="002E79A5">
        <w:rPr>
          <w:rFonts w:cs="Times New Roman"/>
          <w:b w:val="0"/>
          <w:i/>
        </w:rPr>
        <w:t>τ</w:t>
      </w:r>
      <w:r w:rsidR="001C061D" w:rsidRPr="002E79A5">
        <w:rPr>
          <w:rFonts w:cs="Times New Roman"/>
          <w:b w:val="0"/>
        </w:rPr>
        <w:t xml:space="preserve"> parameter</w:t>
      </w:r>
      <w:r w:rsidR="00E72FD5" w:rsidRPr="002E79A5">
        <w:rPr>
          <w:b w:val="0"/>
        </w:rPr>
        <w:t xml:space="preserve"> from 1</w:t>
      </w:r>
      <w:r w:rsidR="00244718">
        <w:rPr>
          <w:b w:val="0"/>
        </w:rPr>
        <w:t>.0</w:t>
      </w:r>
      <w:r w:rsidR="00E72FD5" w:rsidRPr="002E79A5">
        <w:rPr>
          <w:b w:val="0"/>
        </w:rPr>
        <w:t xml:space="preserve"> </w:t>
      </w:r>
      <w:r w:rsidR="000958E5" w:rsidRPr="002E79A5">
        <w:rPr>
          <w:b w:val="0"/>
        </w:rPr>
        <w:t>yr</w:t>
      </w:r>
      <w:r w:rsidR="000958E5" w:rsidRPr="002E79A5">
        <w:rPr>
          <w:b w:val="0"/>
          <w:vertAlign w:val="superscript"/>
        </w:rPr>
        <w:t>–1</w:t>
      </w:r>
      <w:r w:rsidR="000958E5" w:rsidRPr="002E79A5">
        <w:rPr>
          <w:b w:val="0"/>
        </w:rPr>
        <w:t xml:space="preserve"> </w:t>
      </w:r>
      <w:r w:rsidR="00E72FD5" w:rsidRPr="002E79A5">
        <w:rPr>
          <w:b w:val="0"/>
        </w:rPr>
        <w:t>(W98) to 0.1 yr</w:t>
      </w:r>
      <w:r w:rsidR="00E72FD5" w:rsidRPr="002E79A5">
        <w:rPr>
          <w:b w:val="0"/>
          <w:vertAlign w:val="superscript"/>
        </w:rPr>
        <w:t>–1</w:t>
      </w:r>
      <w:r w:rsidR="00E72FD5" w:rsidRPr="002E79A5">
        <w:rPr>
          <w:b w:val="0"/>
        </w:rPr>
        <w:t xml:space="preserve"> (R06)</w:t>
      </w:r>
      <w:r w:rsidRPr="002E79A5">
        <w:rPr>
          <w:b w:val="0"/>
        </w:rPr>
        <w:t>. The beginning of simulations correspond</w:t>
      </w:r>
      <w:r w:rsidR="00A16BDA" w:rsidRPr="002E79A5">
        <w:rPr>
          <w:b w:val="0"/>
        </w:rPr>
        <w:t>s</w:t>
      </w:r>
      <w:r w:rsidRPr="002E79A5">
        <w:rPr>
          <w:b w:val="0"/>
        </w:rPr>
        <w:t xml:space="preserve"> to 1950 (stand age </w:t>
      </w:r>
      <w:r w:rsidR="00DD65D3">
        <w:rPr>
          <w:rFonts w:cs="Times New Roman"/>
          <w:b w:val="0"/>
        </w:rPr>
        <w:t>30</w:t>
      </w:r>
      <w:r w:rsidR="000958E5">
        <w:rPr>
          <w:rFonts w:cs="Times New Roman"/>
          <w:b w:val="0"/>
        </w:rPr>
        <w:t xml:space="preserve"> </w:t>
      </w:r>
      <w:r w:rsidRPr="002E79A5">
        <w:rPr>
          <w:b w:val="0"/>
        </w:rPr>
        <w:t>years</w:t>
      </w:r>
      <w:r w:rsidR="000958E5">
        <w:rPr>
          <w:b w:val="0"/>
        </w:rPr>
        <w:t xml:space="preserve"> </w:t>
      </w:r>
      <w:r w:rsidRPr="002E79A5">
        <w:rPr>
          <w:b w:val="0"/>
        </w:rPr>
        <w:t>old) while the end of simulations correspond</w:t>
      </w:r>
      <w:r w:rsidR="00A16BDA" w:rsidRPr="002E79A5">
        <w:rPr>
          <w:b w:val="0"/>
        </w:rPr>
        <w:t>s</w:t>
      </w:r>
      <w:r w:rsidRPr="002E79A5">
        <w:rPr>
          <w:b w:val="0"/>
        </w:rPr>
        <w:t xml:space="preserve"> to 2100 (stand age 1</w:t>
      </w:r>
      <w:r w:rsidR="00DD65D3">
        <w:rPr>
          <w:b w:val="0"/>
        </w:rPr>
        <w:t>80</w:t>
      </w:r>
      <w:r w:rsidR="000958E5">
        <w:rPr>
          <w:b w:val="0"/>
        </w:rPr>
        <w:t xml:space="preserve"> </w:t>
      </w:r>
      <w:r w:rsidRPr="002E79A5">
        <w:rPr>
          <w:b w:val="0"/>
        </w:rPr>
        <w:t>years</w:t>
      </w:r>
      <w:r w:rsidR="000958E5">
        <w:rPr>
          <w:b w:val="0"/>
        </w:rPr>
        <w:t xml:space="preserve"> </w:t>
      </w:r>
      <w:r w:rsidRPr="002E79A5">
        <w:rPr>
          <w:b w:val="0"/>
        </w:rPr>
        <w:t>old).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79"/>
      </w:tblGrid>
      <w:tr w:rsidR="00AB3EC9" w:rsidRPr="00F97E3C" w:rsidTr="0044457E">
        <w:tc>
          <w:tcPr>
            <w:tcW w:w="9778" w:type="dxa"/>
          </w:tcPr>
          <w:tbl>
            <w:tblPr>
              <w:tblStyle w:val="Grigliatabella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779"/>
            </w:tblGrid>
            <w:tr w:rsidR="00A6038C" w:rsidTr="00A6038C">
              <w:tc>
                <w:tcPr>
                  <w:tcW w:w="9547" w:type="dxa"/>
                </w:tcPr>
                <w:p w:rsidR="00A6038C" w:rsidRDefault="00A6038C" w:rsidP="00A6038C">
                  <w:pPr>
                    <w:spacing w:before="0" w:line="360" w:lineRule="auto"/>
                    <w:ind w:right="282"/>
                    <w:jc w:val="center"/>
                  </w:pPr>
                  <w:r>
                    <w:rPr>
                      <w:noProof/>
                      <w:lang w:val="it-IT" w:eastAsia="it-IT"/>
                    </w:rPr>
                    <w:lastRenderedPageBreak/>
                    <w:drawing>
                      <wp:inline distT="0" distB="0" distL="0" distR="0">
                        <wp:extent cx="6087248" cy="1941372"/>
                        <wp:effectExtent l="19050" t="0" r="8752" b="0"/>
                        <wp:docPr id="1" name="Immagine 0" descr="test_S3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est_S3a.jpg"/>
                                <pic:cNvPicPr/>
                              </pic:nvPicPr>
                              <pic:blipFill>
                                <a:blip r:embed="rId7" cstate="print"/>
                                <a:srcRect b="7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87248" cy="19413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6038C" w:rsidTr="00A6038C">
              <w:tc>
                <w:tcPr>
                  <w:tcW w:w="9547" w:type="dxa"/>
                </w:tcPr>
                <w:p w:rsidR="00A6038C" w:rsidRDefault="00A6038C" w:rsidP="00FF3BDD">
                  <w:pPr>
                    <w:spacing w:before="0" w:line="360" w:lineRule="auto"/>
                    <w:ind w:right="282"/>
                  </w:pPr>
                  <w:r>
                    <w:rPr>
                      <w:noProof/>
                      <w:lang w:val="it-IT" w:eastAsia="it-IT"/>
                    </w:rPr>
                    <w:drawing>
                      <wp:inline distT="0" distB="0" distL="0" distR="0">
                        <wp:extent cx="6087248" cy="2202512"/>
                        <wp:effectExtent l="19050" t="0" r="8752" b="0"/>
                        <wp:docPr id="5" name="Immagine 4" descr="test_S3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est_S3b.jpg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1596" cy="2204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B3EC9" w:rsidRPr="00F97E3C" w:rsidRDefault="00AB3EC9" w:rsidP="00FF3BDD">
            <w:pPr>
              <w:spacing w:before="0" w:line="360" w:lineRule="auto"/>
              <w:ind w:left="284" w:right="282"/>
            </w:pPr>
          </w:p>
        </w:tc>
      </w:tr>
    </w:tbl>
    <w:p w:rsidR="002E79A5" w:rsidRDefault="00AB3EC9" w:rsidP="006958FF">
      <w:pPr>
        <w:pStyle w:val="Didascalia"/>
      </w:pPr>
      <w:r w:rsidRPr="00F97E3C">
        <w:t xml:space="preserve">Fig. </w:t>
      </w:r>
      <w:r w:rsidR="00BA18DC" w:rsidRPr="00F97E3C">
        <w:t>S</w:t>
      </w:r>
      <w:r w:rsidR="008E76F6">
        <w:t>3</w:t>
      </w:r>
      <w:r w:rsidR="00BA18DC" w:rsidRPr="00F97E3C">
        <w:t xml:space="preserve"> </w:t>
      </w:r>
      <w:r w:rsidR="00F029AC" w:rsidRPr="00F029AC">
        <w:rPr>
          <w:b w:val="0"/>
        </w:rPr>
        <w:t xml:space="preserve">(a) </w:t>
      </w:r>
      <w:r w:rsidRPr="002E79A5">
        <w:rPr>
          <w:b w:val="0"/>
        </w:rPr>
        <w:t>Non-structural carbon mass (NSC, g C m</w:t>
      </w:r>
      <w:r w:rsidR="002B1983" w:rsidRPr="002E79A5">
        <w:rPr>
          <w:b w:val="0"/>
          <w:vertAlign w:val="superscript"/>
        </w:rPr>
        <w:t>–</w:t>
      </w:r>
      <w:r w:rsidRPr="002E79A5">
        <w:rPr>
          <w:b w:val="0"/>
          <w:vertAlign w:val="superscript"/>
        </w:rPr>
        <w:t>2</w:t>
      </w:r>
      <w:r w:rsidRPr="002E79A5">
        <w:rPr>
          <w:b w:val="0"/>
        </w:rPr>
        <w:t xml:space="preserve"> of ground area) </w:t>
      </w:r>
      <w:r w:rsidR="00F029AC">
        <w:rPr>
          <w:b w:val="0"/>
        </w:rPr>
        <w:t xml:space="preserve">and (b) NSC </w:t>
      </w:r>
      <w:r w:rsidR="004F616B">
        <w:rPr>
          <w:b w:val="0"/>
        </w:rPr>
        <w:t xml:space="preserve">(net) </w:t>
      </w:r>
      <w:r w:rsidR="00F029AC">
        <w:rPr>
          <w:b w:val="0"/>
        </w:rPr>
        <w:t xml:space="preserve">flux </w:t>
      </w:r>
      <w:r w:rsidR="00F029AC" w:rsidRPr="002E79A5">
        <w:rPr>
          <w:b w:val="0"/>
        </w:rPr>
        <w:t>(g C m</w:t>
      </w:r>
      <w:r w:rsidR="00F029AC" w:rsidRPr="002E79A5">
        <w:rPr>
          <w:b w:val="0"/>
          <w:vertAlign w:val="superscript"/>
        </w:rPr>
        <w:t>–2</w:t>
      </w:r>
      <w:r w:rsidR="00F029AC" w:rsidRPr="002E79A5">
        <w:rPr>
          <w:b w:val="0"/>
        </w:rPr>
        <w:t xml:space="preserve"> of ground area</w:t>
      </w:r>
      <w:r w:rsidR="00F029AC">
        <w:rPr>
          <w:b w:val="0"/>
        </w:rPr>
        <w:t xml:space="preserve"> yr</w:t>
      </w:r>
      <w:r w:rsidR="00F029AC" w:rsidRPr="002E79A5">
        <w:rPr>
          <w:b w:val="0"/>
          <w:vertAlign w:val="superscript"/>
        </w:rPr>
        <w:t>–</w:t>
      </w:r>
      <w:r w:rsidR="00F029AC">
        <w:rPr>
          <w:b w:val="0"/>
          <w:vertAlign w:val="superscript"/>
        </w:rPr>
        <w:t>1</w:t>
      </w:r>
      <w:r w:rsidR="00F029AC" w:rsidRPr="002E79A5">
        <w:rPr>
          <w:b w:val="0"/>
        </w:rPr>
        <w:t xml:space="preserve">) </w:t>
      </w:r>
      <w:r w:rsidRPr="002E79A5">
        <w:rPr>
          <w:b w:val="0"/>
        </w:rPr>
        <w:t>(colo</w:t>
      </w:r>
      <w:r w:rsidR="00F029AC">
        <w:rPr>
          <w:b w:val="0"/>
        </w:rPr>
        <w:t>u</w:t>
      </w:r>
      <w:r w:rsidRPr="002E79A5">
        <w:rPr>
          <w:b w:val="0"/>
        </w:rPr>
        <w:t xml:space="preserve">red lines) trends and interannual variability at varying </w:t>
      </w:r>
      <w:r w:rsidRPr="002E79A5">
        <w:rPr>
          <w:rFonts w:cs="Times New Roman"/>
          <w:b w:val="0"/>
          <w:i/>
        </w:rPr>
        <w:t>τ</w:t>
      </w:r>
      <w:r w:rsidRPr="002E79A5">
        <w:rPr>
          <w:b w:val="0"/>
        </w:rPr>
        <w:t xml:space="preserve"> parameter</w:t>
      </w:r>
      <w:r w:rsidR="00E72FD5" w:rsidRPr="002E79A5">
        <w:rPr>
          <w:b w:val="0"/>
        </w:rPr>
        <w:t xml:space="preserve"> from 1</w:t>
      </w:r>
      <w:r w:rsidR="00244718">
        <w:rPr>
          <w:b w:val="0"/>
        </w:rPr>
        <w:t>.0</w:t>
      </w:r>
      <w:r w:rsidR="000958E5">
        <w:rPr>
          <w:b w:val="0"/>
        </w:rPr>
        <w:t xml:space="preserve"> </w:t>
      </w:r>
      <w:r w:rsidR="000958E5" w:rsidRPr="002E79A5">
        <w:rPr>
          <w:b w:val="0"/>
        </w:rPr>
        <w:t>yr</w:t>
      </w:r>
      <w:r w:rsidR="000958E5" w:rsidRPr="002E79A5">
        <w:rPr>
          <w:b w:val="0"/>
          <w:vertAlign w:val="superscript"/>
        </w:rPr>
        <w:t>–1</w:t>
      </w:r>
      <w:r w:rsidR="000958E5" w:rsidRPr="002E79A5">
        <w:rPr>
          <w:b w:val="0"/>
        </w:rPr>
        <w:t xml:space="preserve"> </w:t>
      </w:r>
      <w:r w:rsidR="00E72FD5" w:rsidRPr="002E79A5">
        <w:rPr>
          <w:b w:val="0"/>
        </w:rPr>
        <w:t>(W98) to 0.1 yr</w:t>
      </w:r>
      <w:r w:rsidR="00E72FD5" w:rsidRPr="002E79A5">
        <w:rPr>
          <w:b w:val="0"/>
          <w:vertAlign w:val="superscript"/>
        </w:rPr>
        <w:t>–1</w:t>
      </w:r>
      <w:r w:rsidR="00E72FD5" w:rsidRPr="002E79A5">
        <w:rPr>
          <w:b w:val="0"/>
        </w:rPr>
        <w:t xml:space="preserve"> (R06)</w:t>
      </w:r>
      <w:r w:rsidRPr="002E79A5">
        <w:rPr>
          <w:b w:val="0"/>
        </w:rPr>
        <w:t xml:space="preserve">. The beginning of simulations corresponds to year 1950 </w:t>
      </w:r>
      <w:r w:rsidR="00210181" w:rsidRPr="002E79A5">
        <w:rPr>
          <w:b w:val="0"/>
        </w:rPr>
        <w:t xml:space="preserve">(stand age </w:t>
      </w:r>
      <w:r w:rsidR="00DD65D3">
        <w:rPr>
          <w:b w:val="0"/>
        </w:rPr>
        <w:t>30</w:t>
      </w:r>
      <w:r w:rsidR="000958E5">
        <w:rPr>
          <w:b w:val="0"/>
        </w:rPr>
        <w:t xml:space="preserve"> </w:t>
      </w:r>
      <w:r w:rsidR="00210181" w:rsidRPr="002E79A5">
        <w:rPr>
          <w:b w:val="0"/>
        </w:rPr>
        <w:t>years</w:t>
      </w:r>
      <w:r w:rsidR="000958E5">
        <w:rPr>
          <w:b w:val="0"/>
        </w:rPr>
        <w:t xml:space="preserve"> </w:t>
      </w:r>
      <w:r w:rsidR="00210181" w:rsidRPr="002E79A5">
        <w:rPr>
          <w:b w:val="0"/>
        </w:rPr>
        <w:t xml:space="preserve">old) </w:t>
      </w:r>
      <w:r w:rsidRPr="002E79A5">
        <w:rPr>
          <w:b w:val="0"/>
        </w:rPr>
        <w:t>while the end of simulations corresponds to year 2100</w:t>
      </w:r>
      <w:r w:rsidR="00210181" w:rsidRPr="002E79A5">
        <w:rPr>
          <w:b w:val="0"/>
        </w:rPr>
        <w:t xml:space="preserve"> (stand age 1</w:t>
      </w:r>
      <w:r w:rsidR="00DD65D3">
        <w:rPr>
          <w:b w:val="0"/>
        </w:rPr>
        <w:t>80</w:t>
      </w:r>
      <w:r w:rsidR="000958E5">
        <w:rPr>
          <w:b w:val="0"/>
        </w:rPr>
        <w:t xml:space="preserve"> </w:t>
      </w:r>
      <w:r w:rsidR="00210181" w:rsidRPr="002E79A5">
        <w:rPr>
          <w:b w:val="0"/>
        </w:rPr>
        <w:t>years</w:t>
      </w:r>
      <w:r w:rsidR="000958E5">
        <w:rPr>
          <w:b w:val="0"/>
        </w:rPr>
        <w:t xml:space="preserve"> </w:t>
      </w:r>
      <w:r w:rsidR="00210181" w:rsidRPr="002E79A5">
        <w:rPr>
          <w:b w:val="0"/>
        </w:rPr>
        <w:t>old)</w:t>
      </w:r>
      <w:r w:rsidRPr="002E79A5">
        <w:rPr>
          <w:b w:val="0"/>
        </w:rPr>
        <w:t>.</w:t>
      </w:r>
    </w:p>
    <w:p w:rsidR="002E79A5" w:rsidRDefault="002E79A5" w:rsidP="00561E38">
      <w:pPr>
        <w:sectPr w:rsidR="002E79A5" w:rsidSect="00492593">
          <w:pgSz w:w="11906" w:h="16838"/>
          <w:pgMar w:top="1417" w:right="1134" w:bottom="1134" w:left="709" w:header="708" w:footer="708" w:gutter="0"/>
          <w:cols w:space="708"/>
          <w:docGrid w:linePitch="360"/>
        </w:sectPr>
      </w:pPr>
    </w:p>
    <w:p w:rsidR="00561E38" w:rsidRPr="007E6704" w:rsidRDefault="002A08AD" w:rsidP="002E79A5">
      <w:pPr>
        <w:pStyle w:val="Didascalia"/>
        <w:rPr>
          <w:noProof/>
          <w:lang w:val="en-US" w:eastAsia="it-IT"/>
        </w:rPr>
      </w:pPr>
      <w:r w:rsidRPr="005815F4">
        <w:lastRenderedPageBreak/>
        <w:t xml:space="preserve">Table </w:t>
      </w:r>
      <w:r>
        <w:t>S1</w:t>
      </w:r>
      <w:r w:rsidRPr="005815F4">
        <w:t xml:space="preserve"> </w:t>
      </w:r>
      <w:r w:rsidRPr="002E79A5">
        <w:rPr>
          <w:b w:val="0"/>
        </w:rPr>
        <w:t>Scaling exponents (</w:t>
      </w:r>
      <w:r w:rsidRPr="002E79A5">
        <w:rPr>
          <w:b w:val="0"/>
          <w:i/>
        </w:rPr>
        <w:t>b</w:t>
      </w:r>
      <w:r w:rsidRPr="002E79A5">
        <w:rPr>
          <w:b w:val="0"/>
        </w:rPr>
        <w:t xml:space="preserve">) for annual </w:t>
      </w:r>
      <w:r w:rsidR="00492593">
        <w:rPr>
          <w:b w:val="0"/>
        </w:rPr>
        <w:t>a</w:t>
      </w:r>
      <w:r w:rsidRPr="002E79A5">
        <w:rPr>
          <w:b w:val="0"/>
        </w:rPr>
        <w:t xml:space="preserve">utotrophic </w:t>
      </w:r>
      <w:r w:rsidR="00492593">
        <w:rPr>
          <w:b w:val="0"/>
        </w:rPr>
        <w:t>r</w:t>
      </w:r>
      <w:r w:rsidRPr="002E79A5">
        <w:rPr>
          <w:b w:val="0"/>
        </w:rPr>
        <w:t xml:space="preserve">espiration </w:t>
      </w:r>
      <w:r>
        <w:rPr>
          <w:b w:val="0"/>
        </w:rPr>
        <w:t>(</w:t>
      </w:r>
      <w:r w:rsidRPr="004819D1">
        <w:rPr>
          <w:b w:val="0"/>
          <w:i/>
        </w:rPr>
        <w:t>R</w:t>
      </w:r>
      <w:r>
        <w:rPr>
          <w:b w:val="0"/>
        </w:rPr>
        <w:t xml:space="preserve">) </w:t>
      </w:r>
      <w:r w:rsidRPr="002E79A5">
        <w:rPr>
          <w:b w:val="0"/>
        </w:rPr>
        <w:t xml:space="preserve">against </w:t>
      </w:r>
      <w:r>
        <w:rPr>
          <w:b w:val="0"/>
        </w:rPr>
        <w:t xml:space="preserve">live and whole-plant C and N biomass </w:t>
      </w:r>
      <w:r w:rsidRPr="002E79A5">
        <w:rPr>
          <w:b w:val="0"/>
        </w:rPr>
        <w:t>at varying live wood turnover rates (τ yr</w:t>
      </w:r>
      <w:r w:rsidRPr="002E79A5">
        <w:rPr>
          <w:b w:val="0"/>
          <w:vertAlign w:val="superscript"/>
        </w:rPr>
        <w:t>–1</w:t>
      </w:r>
      <w:r w:rsidRPr="002E79A5">
        <w:rPr>
          <w:b w:val="0"/>
        </w:rPr>
        <w:t xml:space="preserve">) (with ** </w:t>
      </w:r>
      <w:r w:rsidRPr="002E79A5">
        <w:rPr>
          <w:b w:val="0"/>
          <w:i/>
        </w:rPr>
        <w:t>n</w:t>
      </w:r>
      <w:r w:rsidRPr="002E79A5">
        <w:rPr>
          <w:b w:val="0"/>
        </w:rPr>
        <w:t xml:space="preserve"> = 117, * </w:t>
      </w:r>
      <w:r w:rsidRPr="002E79A5">
        <w:rPr>
          <w:b w:val="0"/>
          <w:i/>
        </w:rPr>
        <w:t>n</w:t>
      </w:r>
      <w:r w:rsidRPr="002E79A5">
        <w:rPr>
          <w:b w:val="0"/>
        </w:rPr>
        <w:t xml:space="preserve"> = 149, otherwise </w:t>
      </w:r>
      <w:r w:rsidRPr="002E79A5">
        <w:rPr>
          <w:b w:val="0"/>
          <w:i/>
        </w:rPr>
        <w:t>n</w:t>
      </w:r>
      <w:r w:rsidRPr="002E79A5">
        <w:rPr>
          <w:b w:val="0"/>
        </w:rPr>
        <w:t xml:space="preserve"> = 150</w:t>
      </w:r>
      <w:r>
        <w:rPr>
          <w:b w:val="0"/>
        </w:rPr>
        <w:t xml:space="preserve">; </w:t>
      </w:r>
      <w:r w:rsidR="006958FF">
        <w:rPr>
          <w:b w:val="0"/>
        </w:rPr>
        <w:t>‘</w:t>
      </w:r>
      <w:r w:rsidRPr="004819D1">
        <w:rPr>
          <w:b w:val="0"/>
          <w:i/>
        </w:rPr>
        <w:t>n</w:t>
      </w:r>
      <w:r w:rsidR="006958FF">
        <w:rPr>
          <w:b w:val="0"/>
          <w:i/>
        </w:rPr>
        <w:t>’</w:t>
      </w:r>
      <w:r>
        <w:rPr>
          <w:b w:val="0"/>
        </w:rPr>
        <w:t xml:space="preserve"> represents years of simulation</w:t>
      </w:r>
      <w:r w:rsidRPr="002E79A5">
        <w:rPr>
          <w:b w:val="0"/>
        </w:rPr>
        <w:t>).</w:t>
      </w:r>
    </w:p>
    <w:tbl>
      <w:tblPr>
        <w:tblW w:w="9189" w:type="dxa"/>
        <w:jc w:val="center"/>
        <w:tblCellMar>
          <w:left w:w="70" w:type="dxa"/>
          <w:right w:w="70" w:type="dxa"/>
        </w:tblCellMar>
        <w:tblLook w:val="04A0"/>
      </w:tblPr>
      <w:tblGrid>
        <w:gridCol w:w="865"/>
        <w:gridCol w:w="836"/>
        <w:gridCol w:w="850"/>
        <w:gridCol w:w="851"/>
        <w:gridCol w:w="791"/>
        <w:gridCol w:w="169"/>
        <w:gridCol w:w="575"/>
        <w:gridCol w:w="385"/>
        <w:gridCol w:w="575"/>
        <w:gridCol w:w="385"/>
        <w:gridCol w:w="356"/>
        <w:gridCol w:w="604"/>
        <w:gridCol w:w="246"/>
        <w:gridCol w:w="714"/>
        <w:gridCol w:w="176"/>
        <w:gridCol w:w="784"/>
        <w:gridCol w:w="27"/>
      </w:tblGrid>
      <w:tr w:rsidR="00492593" w:rsidRPr="00492593" w:rsidTr="00250C1C">
        <w:trPr>
          <w:gridAfter w:val="1"/>
          <w:wAfter w:w="27" w:type="dxa"/>
          <w:trHeight w:val="315"/>
          <w:jc w:val="center"/>
        </w:trPr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</w:tr>
      <w:tr w:rsidR="00492593" w:rsidRPr="00492593" w:rsidTr="00250C1C">
        <w:trPr>
          <w:trHeight w:val="315"/>
          <w:jc w:val="center"/>
        </w:trPr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7E6704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eastAsia="it-IT"/>
              </w:rPr>
            </w:pPr>
            <w:r w:rsidRPr="007E6704">
              <w:rPr>
                <w:rFonts w:eastAsia="Times New Roman" w:cs="Times New Roman"/>
                <w:color w:val="000000"/>
                <w:sz w:val="22"/>
                <w:lang w:eastAsia="it-IT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i/>
                <w:color w:val="000000"/>
                <w:sz w:val="22"/>
                <w:lang w:val="it-IT" w:eastAsia="it-IT"/>
              </w:rPr>
              <w:t>τ</w:t>
            </w: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 xml:space="preserve"> = 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i/>
                <w:color w:val="000000"/>
                <w:sz w:val="22"/>
                <w:lang w:val="it-IT" w:eastAsia="it-IT"/>
              </w:rPr>
              <w:t>τ</w:t>
            </w: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 xml:space="preserve"> = 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i/>
                <w:color w:val="000000"/>
                <w:sz w:val="22"/>
                <w:lang w:val="it-IT" w:eastAsia="it-IT"/>
              </w:rPr>
              <w:t>τ</w:t>
            </w: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 xml:space="preserve"> = 0.3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i/>
                <w:color w:val="000000"/>
                <w:sz w:val="22"/>
                <w:lang w:val="it-IT" w:eastAsia="it-IT"/>
              </w:rPr>
              <w:t>τ</w:t>
            </w: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 xml:space="preserve"> = 0.4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i/>
                <w:color w:val="000000"/>
                <w:sz w:val="22"/>
                <w:lang w:val="it-IT" w:eastAsia="it-IT"/>
              </w:rPr>
              <w:t>τ</w:t>
            </w: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 xml:space="preserve"> = 0.5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i/>
                <w:color w:val="000000"/>
                <w:sz w:val="22"/>
                <w:lang w:val="it-IT" w:eastAsia="it-IT"/>
              </w:rPr>
              <w:t>τ</w:t>
            </w: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 xml:space="preserve"> = 0.6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τ = 0.7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τ = 0.8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τ = 0.9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τ = 1.0</w:t>
            </w:r>
          </w:p>
        </w:tc>
      </w:tr>
      <w:tr w:rsidR="00492593" w:rsidRPr="00492593" w:rsidTr="00250C1C">
        <w:trPr>
          <w:trHeight w:val="300"/>
          <w:jc w:val="center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Live C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0.79**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0.80*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0.77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0.99</w:t>
            </w:r>
          </w:p>
        </w:tc>
      </w:tr>
      <w:tr w:rsidR="00492593" w:rsidRPr="00492593" w:rsidTr="00250C1C">
        <w:trPr>
          <w:trHeight w:val="300"/>
          <w:jc w:val="center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Total C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0.74**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0.72*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0.68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0.63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0.59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0.53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0.40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0.32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0.19</w:t>
            </w:r>
          </w:p>
        </w:tc>
      </w:tr>
      <w:tr w:rsidR="00492593" w:rsidRPr="00492593" w:rsidTr="00250C1C">
        <w:trPr>
          <w:trHeight w:val="300"/>
          <w:jc w:val="center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Live N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0.86**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0.86*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0.85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0.84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0.90</w:t>
            </w:r>
          </w:p>
        </w:tc>
      </w:tr>
      <w:tr w:rsidR="00492593" w:rsidRPr="00492593" w:rsidTr="00250C1C">
        <w:trPr>
          <w:trHeight w:val="315"/>
          <w:jc w:val="center"/>
        </w:trPr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Total N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0.82**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0.81*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0.76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0.68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0.63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0.55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0.45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250C1C" w:rsidRDefault="00492593" w:rsidP="00492593">
            <w:pPr>
              <w:spacing w:before="0" w:after="0" w:line="240" w:lineRule="auto"/>
              <w:jc w:val="center"/>
              <w:rPr>
                <w:rFonts w:eastAsia="Times New Roman" w:cs="Times New Roman"/>
                <w:color w:val="000000"/>
                <w:lang w:val="it-IT" w:eastAsia="it-IT"/>
              </w:rPr>
            </w:pPr>
            <w:r w:rsidRPr="00250C1C">
              <w:rPr>
                <w:rFonts w:eastAsia="Times New Roman" w:cs="Times New Roman"/>
                <w:color w:val="000000"/>
                <w:sz w:val="22"/>
                <w:lang w:val="it-IT" w:eastAsia="it-IT"/>
              </w:rPr>
              <w:t>0.27</w:t>
            </w:r>
          </w:p>
        </w:tc>
      </w:tr>
      <w:tr w:rsidR="00492593" w:rsidRPr="00492593" w:rsidTr="00250C1C">
        <w:trPr>
          <w:gridAfter w:val="1"/>
          <w:wAfter w:w="27" w:type="dxa"/>
          <w:trHeight w:val="300"/>
          <w:jc w:val="center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593" w:rsidRPr="00492593" w:rsidRDefault="00492593" w:rsidP="00492593">
            <w:pPr>
              <w:spacing w:before="0" w:after="0" w:line="240" w:lineRule="auto"/>
              <w:jc w:val="left"/>
              <w:rPr>
                <w:rFonts w:eastAsia="Times New Roman" w:cs="Times New Roman"/>
                <w:color w:val="000000"/>
                <w:lang w:val="it-IT" w:eastAsia="it-IT"/>
              </w:rPr>
            </w:pPr>
          </w:p>
        </w:tc>
      </w:tr>
    </w:tbl>
    <w:p w:rsidR="00492593" w:rsidRPr="00492593" w:rsidRDefault="00492593" w:rsidP="00492593">
      <w:pPr>
        <w:rPr>
          <w:lang w:val="it-IT" w:eastAsia="it-IT"/>
        </w:rPr>
      </w:pPr>
    </w:p>
    <w:p w:rsidR="00561E38" w:rsidRPr="00561E38" w:rsidRDefault="00561E38" w:rsidP="002E79A5"/>
    <w:p w:rsidR="008E4DBA" w:rsidRDefault="008E4DBA" w:rsidP="002E79A5"/>
    <w:p w:rsidR="008E4DBA" w:rsidRDefault="008E4DBA" w:rsidP="002E79A5"/>
    <w:p w:rsidR="008E4DBA" w:rsidRDefault="008E4DBA" w:rsidP="002E79A5"/>
    <w:p w:rsidR="008E4DBA" w:rsidRDefault="008E4DBA" w:rsidP="008E4DBA">
      <w:pPr>
        <w:spacing w:line="360" w:lineRule="auto"/>
      </w:pPr>
    </w:p>
    <w:sectPr w:rsidR="008E4DBA" w:rsidSect="00492593">
      <w:pgSz w:w="11906" w:h="16838"/>
      <w:pgMar w:top="1417" w:right="113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/>
  <w:defaultTabStop w:val="708"/>
  <w:hyphenationZone w:val="283"/>
  <w:characterSpacingControl w:val="doNotCompress"/>
  <w:compat/>
  <w:rsids>
    <w:rsidRoot w:val="00AB3EC9"/>
    <w:rsid w:val="00002609"/>
    <w:rsid w:val="0002480C"/>
    <w:rsid w:val="000276F1"/>
    <w:rsid w:val="0005042D"/>
    <w:rsid w:val="00067B8F"/>
    <w:rsid w:val="00082798"/>
    <w:rsid w:val="000958E5"/>
    <w:rsid w:val="000977FE"/>
    <w:rsid w:val="000A0E6F"/>
    <w:rsid w:val="000B0F3A"/>
    <w:rsid w:val="000B4360"/>
    <w:rsid w:val="00106AA7"/>
    <w:rsid w:val="00131891"/>
    <w:rsid w:val="00150273"/>
    <w:rsid w:val="00151046"/>
    <w:rsid w:val="00183760"/>
    <w:rsid w:val="00183C88"/>
    <w:rsid w:val="001A5C44"/>
    <w:rsid w:val="001C061D"/>
    <w:rsid w:val="001D5225"/>
    <w:rsid w:val="001E0774"/>
    <w:rsid w:val="001E4FF7"/>
    <w:rsid w:val="001F194F"/>
    <w:rsid w:val="001F40DE"/>
    <w:rsid w:val="00210181"/>
    <w:rsid w:val="00223126"/>
    <w:rsid w:val="00244718"/>
    <w:rsid w:val="00250C1C"/>
    <w:rsid w:val="00256DF8"/>
    <w:rsid w:val="002674AF"/>
    <w:rsid w:val="00275B44"/>
    <w:rsid w:val="002A08AD"/>
    <w:rsid w:val="002A4769"/>
    <w:rsid w:val="002A6B7F"/>
    <w:rsid w:val="002B1983"/>
    <w:rsid w:val="002B518E"/>
    <w:rsid w:val="002C1063"/>
    <w:rsid w:val="002E6A22"/>
    <w:rsid w:val="002E79A5"/>
    <w:rsid w:val="00327C13"/>
    <w:rsid w:val="00333446"/>
    <w:rsid w:val="00333AF6"/>
    <w:rsid w:val="003423AE"/>
    <w:rsid w:val="00372F13"/>
    <w:rsid w:val="00375A99"/>
    <w:rsid w:val="0038189C"/>
    <w:rsid w:val="00391111"/>
    <w:rsid w:val="003B0DE1"/>
    <w:rsid w:val="003F2353"/>
    <w:rsid w:val="003F4364"/>
    <w:rsid w:val="003F5E54"/>
    <w:rsid w:val="004025C0"/>
    <w:rsid w:val="004056EB"/>
    <w:rsid w:val="00413EEC"/>
    <w:rsid w:val="00415810"/>
    <w:rsid w:val="0044317D"/>
    <w:rsid w:val="004434F0"/>
    <w:rsid w:val="0044457E"/>
    <w:rsid w:val="004702EB"/>
    <w:rsid w:val="0047610A"/>
    <w:rsid w:val="004819D1"/>
    <w:rsid w:val="00492593"/>
    <w:rsid w:val="00492A46"/>
    <w:rsid w:val="00494D2C"/>
    <w:rsid w:val="004A11BD"/>
    <w:rsid w:val="004B1134"/>
    <w:rsid w:val="004B5E97"/>
    <w:rsid w:val="004F616B"/>
    <w:rsid w:val="00502958"/>
    <w:rsid w:val="00561E38"/>
    <w:rsid w:val="0057372D"/>
    <w:rsid w:val="00585A88"/>
    <w:rsid w:val="005878D6"/>
    <w:rsid w:val="005C7CE7"/>
    <w:rsid w:val="00605896"/>
    <w:rsid w:val="00653193"/>
    <w:rsid w:val="0066022A"/>
    <w:rsid w:val="00687C2E"/>
    <w:rsid w:val="006958FF"/>
    <w:rsid w:val="00697181"/>
    <w:rsid w:val="00720649"/>
    <w:rsid w:val="00743502"/>
    <w:rsid w:val="0076281D"/>
    <w:rsid w:val="007707BB"/>
    <w:rsid w:val="00771C1E"/>
    <w:rsid w:val="00773879"/>
    <w:rsid w:val="007749B9"/>
    <w:rsid w:val="007A2903"/>
    <w:rsid w:val="007B2E81"/>
    <w:rsid w:val="007D22F6"/>
    <w:rsid w:val="007E0346"/>
    <w:rsid w:val="007E521A"/>
    <w:rsid w:val="007E6704"/>
    <w:rsid w:val="007E7AF0"/>
    <w:rsid w:val="0080585A"/>
    <w:rsid w:val="008158E9"/>
    <w:rsid w:val="00817B7F"/>
    <w:rsid w:val="00835A85"/>
    <w:rsid w:val="008438FE"/>
    <w:rsid w:val="00846363"/>
    <w:rsid w:val="008E4DBA"/>
    <w:rsid w:val="008E76F6"/>
    <w:rsid w:val="009179B0"/>
    <w:rsid w:val="009470FA"/>
    <w:rsid w:val="00975380"/>
    <w:rsid w:val="00975A0A"/>
    <w:rsid w:val="009B69E0"/>
    <w:rsid w:val="009C03EF"/>
    <w:rsid w:val="009C3CCE"/>
    <w:rsid w:val="009F34E5"/>
    <w:rsid w:val="00A10B23"/>
    <w:rsid w:val="00A119AB"/>
    <w:rsid w:val="00A16BDA"/>
    <w:rsid w:val="00A3443A"/>
    <w:rsid w:val="00A37CA4"/>
    <w:rsid w:val="00A55864"/>
    <w:rsid w:val="00A6038C"/>
    <w:rsid w:val="00A73552"/>
    <w:rsid w:val="00AA0618"/>
    <w:rsid w:val="00AB3EC9"/>
    <w:rsid w:val="00AC7E9B"/>
    <w:rsid w:val="00AD7820"/>
    <w:rsid w:val="00AF0A93"/>
    <w:rsid w:val="00B119BA"/>
    <w:rsid w:val="00B12D56"/>
    <w:rsid w:val="00B44B60"/>
    <w:rsid w:val="00B52A72"/>
    <w:rsid w:val="00B550A5"/>
    <w:rsid w:val="00B61A87"/>
    <w:rsid w:val="00B63AB0"/>
    <w:rsid w:val="00BA18DC"/>
    <w:rsid w:val="00BA5C96"/>
    <w:rsid w:val="00BE3D36"/>
    <w:rsid w:val="00BF20E9"/>
    <w:rsid w:val="00C1654D"/>
    <w:rsid w:val="00C3214A"/>
    <w:rsid w:val="00C50BC2"/>
    <w:rsid w:val="00C631BC"/>
    <w:rsid w:val="00C749DB"/>
    <w:rsid w:val="00C75C43"/>
    <w:rsid w:val="00C824A0"/>
    <w:rsid w:val="00CA097A"/>
    <w:rsid w:val="00CE7DAD"/>
    <w:rsid w:val="00CF0ACD"/>
    <w:rsid w:val="00D31C28"/>
    <w:rsid w:val="00D325E8"/>
    <w:rsid w:val="00D63228"/>
    <w:rsid w:val="00D722A2"/>
    <w:rsid w:val="00DC219D"/>
    <w:rsid w:val="00DD65D3"/>
    <w:rsid w:val="00DE0DA0"/>
    <w:rsid w:val="00DF3D54"/>
    <w:rsid w:val="00DF7C70"/>
    <w:rsid w:val="00E03029"/>
    <w:rsid w:val="00E72FD5"/>
    <w:rsid w:val="00E8020E"/>
    <w:rsid w:val="00E8758A"/>
    <w:rsid w:val="00EA2A8D"/>
    <w:rsid w:val="00EB07BC"/>
    <w:rsid w:val="00EC688C"/>
    <w:rsid w:val="00ED4AFD"/>
    <w:rsid w:val="00ED575C"/>
    <w:rsid w:val="00F029AC"/>
    <w:rsid w:val="00F254FF"/>
    <w:rsid w:val="00F26AD2"/>
    <w:rsid w:val="00F33A89"/>
    <w:rsid w:val="00F53DC4"/>
    <w:rsid w:val="00F75626"/>
    <w:rsid w:val="00F84E41"/>
    <w:rsid w:val="00FC0602"/>
    <w:rsid w:val="00FC6E9F"/>
    <w:rsid w:val="00FF3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EC9"/>
    <w:pPr>
      <w:spacing w:before="240" w:after="440"/>
      <w:jc w:val="both"/>
    </w:pPr>
    <w:rPr>
      <w:rFonts w:ascii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4A11B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AB3EC9"/>
    <w:pPr>
      <w:keepNext/>
      <w:keepLines/>
      <w:spacing w:before="200" w:after="0"/>
      <w:ind w:left="284" w:right="282"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B3EC9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B3EC9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val="en-US"/>
    </w:rPr>
  </w:style>
  <w:style w:type="paragraph" w:styleId="Didascalia">
    <w:name w:val="caption"/>
    <w:basedOn w:val="Normale"/>
    <w:next w:val="Normale"/>
    <w:autoRedefine/>
    <w:uiPriority w:val="35"/>
    <w:unhideWhenUsed/>
    <w:qFormat/>
    <w:rsid w:val="002E79A5"/>
    <w:pPr>
      <w:keepNext/>
      <w:spacing w:line="480" w:lineRule="auto"/>
      <w:ind w:left="284"/>
    </w:pPr>
    <w:rPr>
      <w:b/>
      <w:bCs/>
      <w:szCs w:val="24"/>
      <w:lang w:val="en-GB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A11BD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B3EC9"/>
    <w:rPr>
      <w:rFonts w:ascii="Times New Roman" w:eastAsiaTheme="majorEastAsia" w:hAnsi="Times New Roman" w:cstheme="majorBidi"/>
      <w:b/>
      <w:bCs/>
      <w:sz w:val="24"/>
      <w:lang w:val="en-US"/>
    </w:rPr>
  </w:style>
  <w:style w:type="table" w:styleId="Grigliatabella">
    <w:name w:val="Table Grid"/>
    <w:basedOn w:val="Tabellanormale"/>
    <w:uiPriority w:val="59"/>
    <w:rsid w:val="00AB3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AB3EC9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AB3EC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AB3EC9"/>
    <w:rPr>
      <w:rFonts w:ascii="Tahoma" w:hAnsi="Tahoma" w:cs="Tahoma"/>
      <w:sz w:val="16"/>
      <w:szCs w:val="16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EC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EC9"/>
    <w:rPr>
      <w:rFonts w:ascii="Tahoma" w:hAnsi="Tahoma" w:cs="Tahoma"/>
      <w:sz w:val="16"/>
      <w:szCs w:val="16"/>
      <w:lang w:val="en-US"/>
    </w:rPr>
  </w:style>
  <w:style w:type="paragraph" w:styleId="Paragrafoelenco">
    <w:name w:val="List Paragraph"/>
    <w:basedOn w:val="Normale"/>
    <w:qFormat/>
    <w:rsid w:val="00A10B23"/>
    <w:pPr>
      <w:ind w:left="720"/>
      <w:contextualSpacing/>
    </w:pPr>
  </w:style>
  <w:style w:type="paragraph" w:styleId="Bibliografia">
    <w:name w:val="Bibliography"/>
    <w:basedOn w:val="Normale"/>
    <w:next w:val="Normale"/>
    <w:uiPriority w:val="37"/>
    <w:unhideWhenUsed/>
    <w:rsid w:val="00C50B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821BE-C7E5-48CB-985E-B3294C659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alessio</dc:creator>
  <cp:lastModifiedBy>alessio</cp:lastModifiedBy>
  <cp:revision>2</cp:revision>
  <dcterms:created xsi:type="dcterms:W3CDTF">2019-10-01T13:08:00Z</dcterms:created>
  <dcterms:modified xsi:type="dcterms:W3CDTF">2019-10-01T13:08:00Z</dcterms:modified>
</cp:coreProperties>
</file>