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3A4D" w:rsidRDefault="006D3A4D" w:rsidP="00EA2D34">
      <w:pPr>
        <w:rPr>
          <w:b/>
        </w:rPr>
      </w:pPr>
      <w:r>
        <w:rPr>
          <w:b/>
        </w:rPr>
        <w:t>Current Opinion Manuscript</w:t>
      </w:r>
    </w:p>
    <w:p w:rsidR="005B5D79" w:rsidRDefault="00264098" w:rsidP="00EA2D34">
      <w:proofErr w:type="gramStart"/>
      <w:r w:rsidRPr="00264098">
        <w:rPr>
          <w:b/>
        </w:rPr>
        <w:t>e-health</w:t>
      </w:r>
      <w:proofErr w:type="gramEnd"/>
      <w:r w:rsidR="00EA2D34">
        <w:rPr>
          <w:b/>
        </w:rPr>
        <w:t xml:space="preserve">: a position statement of the European Society of Cardiology. </w:t>
      </w:r>
    </w:p>
    <w:p w:rsidR="0034485A" w:rsidRDefault="00EA2D34">
      <w:r w:rsidRPr="00CF3537">
        <w:rPr>
          <w:lang w:val="nl-NL"/>
        </w:rPr>
        <w:t xml:space="preserve">Martin </w:t>
      </w:r>
      <w:r w:rsidR="0034485A" w:rsidRPr="00CF3537">
        <w:rPr>
          <w:lang w:val="nl-NL"/>
        </w:rPr>
        <w:t xml:space="preserve">R Cowie, Jeroen Bax,  Nico Bruining, John GF Cleland, </w:t>
      </w:r>
      <w:r w:rsidR="00CC14D5" w:rsidRPr="00CF3537">
        <w:rPr>
          <w:lang w:val="nl-NL"/>
        </w:rPr>
        <w:t>Fr</w:t>
      </w:r>
      <w:r w:rsidR="00CA63DD">
        <w:rPr>
          <w:lang w:val="nl-NL"/>
        </w:rPr>
        <w:t>i</w:t>
      </w:r>
      <w:r w:rsidR="00CC14D5" w:rsidRPr="00CF3537">
        <w:rPr>
          <w:lang w:val="nl-NL"/>
        </w:rPr>
        <w:t>edrich Koe</w:t>
      </w:r>
      <w:r w:rsidR="00CA63DD">
        <w:rPr>
          <w:lang w:val="nl-NL"/>
        </w:rPr>
        <w:t>h</w:t>
      </w:r>
      <w:r w:rsidR="00CC14D5" w:rsidRPr="00CF3537">
        <w:rPr>
          <w:lang w:val="nl-NL"/>
        </w:rPr>
        <w:t xml:space="preserve">ler, </w:t>
      </w:r>
      <w:r w:rsidR="0034485A" w:rsidRPr="00CF3537">
        <w:rPr>
          <w:lang w:val="nl-NL"/>
        </w:rPr>
        <w:t xml:space="preserve">Marek Malik, </w:t>
      </w:r>
      <w:r w:rsidRPr="00CF3537">
        <w:rPr>
          <w:lang w:val="nl-NL"/>
        </w:rPr>
        <w:t xml:space="preserve">Fausto Pinto,  </w:t>
      </w:r>
      <w:r w:rsidR="0034485A" w:rsidRPr="00CF3537">
        <w:rPr>
          <w:lang w:val="nl-NL"/>
        </w:rPr>
        <w:t>E van de</w:t>
      </w:r>
      <w:r w:rsidR="002428F3">
        <w:rPr>
          <w:lang w:val="nl-NL"/>
        </w:rPr>
        <w:t>r</w:t>
      </w:r>
      <w:r w:rsidR="0034485A" w:rsidRPr="00CF3537">
        <w:rPr>
          <w:lang w:val="nl-NL"/>
        </w:rPr>
        <w:t xml:space="preserve"> Velde, Panos Vard</w:t>
      </w:r>
      <w:r w:rsidR="002428F3">
        <w:rPr>
          <w:lang w:val="nl-NL"/>
        </w:rPr>
        <w:t>a</w:t>
      </w:r>
      <w:r w:rsidR="0034485A" w:rsidRPr="00CF3537">
        <w:rPr>
          <w:lang w:val="nl-NL"/>
        </w:rPr>
        <w:t>s.</w:t>
      </w:r>
      <w:r w:rsidR="00237B1D" w:rsidRPr="00CF3537">
        <w:rPr>
          <w:lang w:val="nl-NL"/>
        </w:rPr>
        <w:t xml:space="preserve"> </w:t>
      </w:r>
    </w:p>
    <w:p w:rsidR="00264098" w:rsidRDefault="002428F3">
      <w:pPr>
        <w:rPr>
          <w:b/>
        </w:rPr>
      </w:pPr>
      <w:r>
        <w:rPr>
          <w:b/>
        </w:rPr>
        <w:t>Abstract</w:t>
      </w:r>
      <w:r w:rsidR="00362E3C">
        <w:rPr>
          <w:b/>
        </w:rPr>
        <w:t xml:space="preserve"> (85 words)</w:t>
      </w:r>
    </w:p>
    <w:p w:rsidR="002428F3" w:rsidRDefault="002428F3" w:rsidP="002428F3">
      <w:proofErr w:type="gramStart"/>
      <w:r w:rsidRPr="003D52E1">
        <w:t>e-Health</w:t>
      </w:r>
      <w:proofErr w:type="gramEnd"/>
      <w:r w:rsidRPr="003D52E1">
        <w:t xml:space="preserve"> is a broad term encompassing the use of information and communication technologies (ICT) in the support of health and health-related activity, including healthcare services, health surveillance, as well as education and research. This paper presents the position statement of the Board of the European Society of Cardiology, outlining the vision of the society in playing a pro-active role in all aspects of e-health, helping to develop, assess, and implement effective ICT innovation in the support of cardiovascular health and health-related activities across Europe.  </w:t>
      </w:r>
    </w:p>
    <w:p w:rsidR="0034485A" w:rsidRPr="00E57D9E" w:rsidRDefault="00EA2D34">
      <w:pPr>
        <w:rPr>
          <w:b/>
        </w:rPr>
      </w:pPr>
      <w:r>
        <w:rPr>
          <w:b/>
        </w:rPr>
        <w:t>Background</w:t>
      </w:r>
      <w:r w:rsidR="00362E3C">
        <w:rPr>
          <w:b/>
        </w:rPr>
        <w:t xml:space="preserve"> (2601 words)</w:t>
      </w:r>
    </w:p>
    <w:p w:rsidR="00FB4E2A" w:rsidRDefault="00FB4E2A">
      <w:r>
        <w:t xml:space="preserve">e-Health is a broad term encompassing the use of information and communication technologies </w:t>
      </w:r>
      <w:r w:rsidR="00237B1D">
        <w:t xml:space="preserve">(ICT) </w:t>
      </w:r>
      <w:r>
        <w:t xml:space="preserve">in the support of health and health-related activity, including healthcare </w:t>
      </w:r>
      <w:r w:rsidR="006A5C5B">
        <w:t>services</w:t>
      </w:r>
      <w:r>
        <w:t xml:space="preserve">, health surveillance, </w:t>
      </w:r>
      <w:r w:rsidR="00265726">
        <w:t>as well as</w:t>
      </w:r>
      <w:r>
        <w:t xml:space="preserve"> education</w:t>
      </w:r>
      <w:r w:rsidR="006A5C5B">
        <w:t>, knowledge and research</w:t>
      </w:r>
      <w:r>
        <w:t>.</w:t>
      </w:r>
      <w:r w:rsidRPr="005541FF">
        <w:rPr>
          <w:vertAlign w:val="superscript"/>
        </w:rPr>
        <w:t>1</w:t>
      </w:r>
      <w:r>
        <w:t xml:space="preserve"> It can be subdivided into several domains,</w:t>
      </w:r>
      <w:r w:rsidR="0031029B">
        <w:t xml:space="preserve"> involving healthcare administration and support</w:t>
      </w:r>
      <w:r>
        <w:t xml:space="preserve"> </w:t>
      </w:r>
      <w:r w:rsidR="0031029B">
        <w:t xml:space="preserve"> or health care delivery, </w:t>
      </w:r>
      <w:r>
        <w:t>including:</w:t>
      </w:r>
      <w:r w:rsidR="00316065">
        <w:rPr>
          <w:vertAlign w:val="superscript"/>
        </w:rPr>
        <w:t>2</w:t>
      </w:r>
    </w:p>
    <w:p w:rsidR="00FB4E2A" w:rsidRDefault="00FB4E2A" w:rsidP="00FB4E2A">
      <w:pPr>
        <w:pStyle w:val="ListParagraph"/>
        <w:numPr>
          <w:ilvl w:val="0"/>
          <w:numId w:val="1"/>
        </w:numPr>
      </w:pPr>
      <w:r>
        <w:t xml:space="preserve">Telemedicine and </w:t>
      </w:r>
      <w:proofErr w:type="spellStart"/>
      <w:r>
        <w:t>telecare</w:t>
      </w:r>
      <w:proofErr w:type="spellEnd"/>
      <w:r>
        <w:t xml:space="preserve"> (including disease management services, remote patient monitoring, </w:t>
      </w:r>
      <w:proofErr w:type="spellStart"/>
      <w:r>
        <w:t>teleconsultations</w:t>
      </w:r>
      <w:proofErr w:type="spellEnd"/>
      <w:r>
        <w:t>, homecare)</w:t>
      </w:r>
      <w:r w:rsidR="00316065" w:rsidRPr="00316065">
        <w:rPr>
          <w:vertAlign w:val="superscript"/>
        </w:rPr>
        <w:t>3</w:t>
      </w:r>
    </w:p>
    <w:p w:rsidR="00FB4E2A" w:rsidRDefault="00FB4E2A" w:rsidP="00FB4E2A">
      <w:pPr>
        <w:pStyle w:val="ListParagraph"/>
        <w:numPr>
          <w:ilvl w:val="0"/>
          <w:numId w:val="1"/>
        </w:numPr>
      </w:pPr>
      <w:r>
        <w:t>Clinical information systems (electronic medical records</w:t>
      </w:r>
      <w:r w:rsidR="00C23A6E">
        <w:t>,</w:t>
      </w:r>
      <w:r>
        <w:t xml:space="preserve"> decision support</w:t>
      </w:r>
      <w:r w:rsidR="00C23A6E">
        <w:t xml:space="preserve"> </w:t>
      </w:r>
      <w:r w:rsidR="00C23A6E" w:rsidRPr="00C23A6E">
        <w:rPr>
          <w:highlight w:val="yellow"/>
        </w:rPr>
        <w:t>and monitoring of clinical and institutional practice</w:t>
      </w:r>
      <w:r>
        <w:t>)</w:t>
      </w:r>
    </w:p>
    <w:p w:rsidR="00FB4E2A" w:rsidRDefault="00FB4E2A" w:rsidP="00FB4E2A">
      <w:pPr>
        <w:pStyle w:val="ListParagraph"/>
        <w:numPr>
          <w:ilvl w:val="0"/>
          <w:numId w:val="1"/>
        </w:numPr>
      </w:pPr>
      <w:r>
        <w:t>Integrated regional and national information networks and associated e-referrals and e-prescribing</w:t>
      </w:r>
    </w:p>
    <w:p w:rsidR="00FB4E2A" w:rsidRDefault="005541FF" w:rsidP="00FB4E2A">
      <w:pPr>
        <w:pStyle w:val="ListParagraph"/>
        <w:numPr>
          <w:ilvl w:val="0"/>
          <w:numId w:val="1"/>
        </w:numPr>
      </w:pPr>
      <w:r>
        <w:t xml:space="preserve">Disease registries and other non-clinical systems used for education, public health, </w:t>
      </w:r>
      <w:r w:rsidR="00C23A6E" w:rsidRPr="00C23A6E">
        <w:rPr>
          <w:highlight w:val="yellow"/>
        </w:rPr>
        <w:t>patient/disease related behavior</w:t>
      </w:r>
      <w:r w:rsidR="00C23A6E">
        <w:t xml:space="preserve"> </w:t>
      </w:r>
      <w:r>
        <w:t>and healthcare management</w:t>
      </w:r>
      <w:r w:rsidR="00C23A6E">
        <w:t xml:space="preserve"> </w:t>
      </w:r>
    </w:p>
    <w:p w:rsidR="005541FF" w:rsidRDefault="00540550" w:rsidP="00FB4E2A">
      <w:pPr>
        <w:pStyle w:val="ListParagraph"/>
        <w:numPr>
          <w:ilvl w:val="0"/>
          <w:numId w:val="1"/>
        </w:numPr>
      </w:pPr>
      <w:r>
        <w:t>‘Mobile’ health [m-health</w:t>
      </w:r>
      <w:r w:rsidR="006C61C4">
        <w:t>]</w:t>
      </w:r>
      <w:r w:rsidR="00F03F20" w:rsidRPr="00F03F20">
        <w:t xml:space="preserve"> </w:t>
      </w:r>
      <w:r w:rsidR="00F03F20">
        <w:t>including mobile applications (‘Apps’)</w:t>
      </w:r>
      <w:r w:rsidR="006C61C4">
        <w:t>:</w:t>
      </w:r>
      <w:r w:rsidR="00646A72">
        <w:t xml:space="preserve"> medical and public health practice supported by</w:t>
      </w:r>
      <w:r>
        <w:t xml:space="preserve"> mobile technologies delivering health information, screening patients, monitoring physiological signs, providing direct care and patient education</w:t>
      </w:r>
      <w:r w:rsidR="00316065">
        <w:t xml:space="preserve"> (sometimes considered part of telemedicine,</w:t>
      </w:r>
      <w:r w:rsidR="00316065" w:rsidRPr="00316065">
        <w:rPr>
          <w:vertAlign w:val="superscript"/>
        </w:rPr>
        <w:t>3</w:t>
      </w:r>
      <w:r w:rsidR="00316065">
        <w:t xml:space="preserve"> but increasingly less </w:t>
      </w:r>
      <w:proofErr w:type="spellStart"/>
      <w:r w:rsidR="00316065">
        <w:t>medicalised</w:t>
      </w:r>
      <w:proofErr w:type="spellEnd"/>
      <w:r w:rsidR="00316065">
        <w:t>)</w:t>
      </w:r>
      <w:r w:rsidR="005541FF">
        <w:t xml:space="preserve"> </w:t>
      </w:r>
    </w:p>
    <w:p w:rsidR="00540550" w:rsidRPr="006D3A4D" w:rsidRDefault="00540550" w:rsidP="00FB4E2A">
      <w:pPr>
        <w:pStyle w:val="ListParagraph"/>
        <w:numPr>
          <w:ilvl w:val="0"/>
          <w:numId w:val="1"/>
        </w:numPr>
        <w:rPr>
          <w:highlight w:val="yellow"/>
        </w:rPr>
      </w:pPr>
      <w:r>
        <w:t>‘</w:t>
      </w:r>
      <w:proofErr w:type="spellStart"/>
      <w:r>
        <w:t>Personalised</w:t>
      </w:r>
      <w:proofErr w:type="spellEnd"/>
      <w:r>
        <w:t>’ health [p-health]</w:t>
      </w:r>
      <w:r w:rsidR="006C61C4">
        <w:t xml:space="preserve">: </w:t>
      </w:r>
      <w:r>
        <w:t xml:space="preserve"> wearable</w:t>
      </w:r>
      <w:r w:rsidR="00AA42F8">
        <w:t xml:space="preserve"> or implantable</w:t>
      </w:r>
      <w:r>
        <w:t xml:space="preserve"> micro</w:t>
      </w:r>
      <w:r w:rsidR="00AA42F8">
        <w:t>-</w:t>
      </w:r>
      <w:r>
        <w:t xml:space="preserve"> and </w:t>
      </w:r>
      <w:proofErr w:type="spellStart"/>
      <w:r>
        <w:t>nano</w:t>
      </w:r>
      <w:proofErr w:type="spellEnd"/>
      <w:r>
        <w:t xml:space="preserve">-technologies with sensors </w:t>
      </w:r>
      <w:r w:rsidR="006D3A4D">
        <w:t>and/</w:t>
      </w:r>
      <w:r>
        <w:t xml:space="preserve">or </w:t>
      </w:r>
      <w:r w:rsidR="006D3A4D" w:rsidRPr="006D3A4D">
        <w:rPr>
          <w:highlight w:val="yellow"/>
        </w:rPr>
        <w:t>therapy delivery devices</w:t>
      </w:r>
      <w:r>
        <w:t xml:space="preserve"> to help facilitate health and social care decision making and delivery</w:t>
      </w:r>
      <w:r w:rsidR="006D3A4D">
        <w:t xml:space="preserve"> </w:t>
      </w:r>
      <w:r w:rsidR="006D3A4D" w:rsidRPr="006D3A4D">
        <w:rPr>
          <w:highlight w:val="yellow"/>
        </w:rPr>
        <w:t xml:space="preserve">(including </w:t>
      </w:r>
      <w:r w:rsidR="006D3A4D">
        <w:rPr>
          <w:highlight w:val="yellow"/>
        </w:rPr>
        <w:t xml:space="preserve">fall detectors, </w:t>
      </w:r>
      <w:r w:rsidR="006D3A4D" w:rsidRPr="006D3A4D">
        <w:rPr>
          <w:highlight w:val="yellow"/>
        </w:rPr>
        <w:t>implantable insulin pumps, defibrillator vests etc).</w:t>
      </w:r>
    </w:p>
    <w:p w:rsidR="00EA2D34" w:rsidRDefault="00EA2D34" w:rsidP="00FB4E2A">
      <w:pPr>
        <w:pStyle w:val="ListParagraph"/>
        <w:numPr>
          <w:ilvl w:val="0"/>
          <w:numId w:val="1"/>
        </w:numPr>
      </w:pPr>
      <w:r>
        <w:t xml:space="preserve">‘Big Data’ – large-scale integration and analysis of </w:t>
      </w:r>
      <w:proofErr w:type="spellStart"/>
      <w:r>
        <w:t>heterogenous</w:t>
      </w:r>
      <w:proofErr w:type="spellEnd"/>
      <w:r>
        <w:t xml:space="preserve"> data sources, usually of high volume (amount of data), velocity (speed of data in and out) and variety (range of data types and source)</w:t>
      </w:r>
      <w:r w:rsidR="003711AD" w:rsidRPr="003711AD">
        <w:rPr>
          <w:vertAlign w:val="superscript"/>
        </w:rPr>
        <w:t>4</w:t>
      </w:r>
      <w:r>
        <w:t xml:space="preserve">, </w:t>
      </w:r>
      <w:r w:rsidR="003711AD">
        <w:t xml:space="preserve">ideally </w:t>
      </w:r>
      <w:r>
        <w:t xml:space="preserve"> linked at </w:t>
      </w:r>
      <w:r w:rsidR="003711AD">
        <w:t xml:space="preserve">the </w:t>
      </w:r>
      <w:r>
        <w:t xml:space="preserve">individual person level to provide </w:t>
      </w:r>
      <w:r w:rsidR="003711AD">
        <w:t>a more holistic view of a patient/individual and shed light on social and environmental factors that may influence health.</w:t>
      </w:r>
      <w:r w:rsidR="003711AD" w:rsidRPr="003711AD">
        <w:rPr>
          <w:vertAlign w:val="superscript"/>
        </w:rPr>
        <w:t>5</w:t>
      </w:r>
    </w:p>
    <w:p w:rsidR="00237B1D" w:rsidRDefault="005541FF" w:rsidP="005541FF">
      <w:proofErr w:type="gramStart"/>
      <w:r>
        <w:t>e-health</w:t>
      </w:r>
      <w:proofErr w:type="gramEnd"/>
      <w:r>
        <w:t xml:space="preserve"> </w:t>
      </w:r>
      <w:r w:rsidR="003711AD">
        <w:t>has the potential to</w:t>
      </w:r>
      <w:r>
        <w:t xml:space="preserve"> provide innovate solutions to health issues, and is often viewed by politicians as a</w:t>
      </w:r>
      <w:r w:rsidR="00237B1D">
        <w:t xml:space="preserve"> key </w:t>
      </w:r>
      <w:r w:rsidR="00540550">
        <w:t>‘</w:t>
      </w:r>
      <w:r w:rsidR="00237B1D">
        <w:t>enabling</w:t>
      </w:r>
      <w:r w:rsidR="00540550">
        <w:t>’</w:t>
      </w:r>
      <w:r w:rsidR="00237B1D">
        <w:t xml:space="preserve"> technology</w:t>
      </w:r>
      <w:r>
        <w:t xml:space="preserve"> to improv</w:t>
      </w:r>
      <w:r w:rsidR="00237B1D">
        <w:t>e</w:t>
      </w:r>
      <w:r>
        <w:t xml:space="preserve"> care and the experience of care for the </w:t>
      </w:r>
      <w:r>
        <w:lastRenderedPageBreak/>
        <w:t>increasing number of individuals living with chronic conditions</w:t>
      </w:r>
      <w:r w:rsidR="00237B1D">
        <w:t>, particularly</w:t>
      </w:r>
      <w:r>
        <w:t xml:space="preserve"> at a time of constrained healthcare funding and workforce. </w:t>
      </w:r>
    </w:p>
    <w:p w:rsidR="00AC6B67" w:rsidRDefault="00AC6B67" w:rsidP="00AC6B67">
      <w:r>
        <w:t xml:space="preserve">Behind all of this stands the individual/citizen/patient/customer, </w:t>
      </w:r>
      <w:proofErr w:type="gramStart"/>
      <w:r>
        <w:t>who</w:t>
      </w:r>
      <w:proofErr w:type="gramEnd"/>
      <w:r>
        <w:t xml:space="preserve"> is increasingly familiar with ICT and expects to find it supporting modern healthcare delivery, helping to deliver more </w:t>
      </w:r>
      <w:proofErr w:type="spellStart"/>
      <w:r>
        <w:t>personalised</w:t>
      </w:r>
      <w:proofErr w:type="spellEnd"/>
      <w:r>
        <w:t xml:space="preserve"> and person-</w:t>
      </w:r>
      <w:proofErr w:type="spellStart"/>
      <w:r>
        <w:t>centred</w:t>
      </w:r>
      <w:proofErr w:type="spellEnd"/>
      <w:r>
        <w:t xml:space="preserve"> care at the right time and in the right place. Often they are disappointed that healthcare appears to lag behind nearly every other aspect of human </w:t>
      </w:r>
      <w:proofErr w:type="spellStart"/>
      <w:r>
        <w:t>endeavour</w:t>
      </w:r>
      <w:proofErr w:type="spellEnd"/>
      <w:r>
        <w:t xml:space="preserve"> in terms of using modern ICT to support their decision making and lifestyle choices. </w:t>
      </w:r>
    </w:p>
    <w:p w:rsidR="00237B1D" w:rsidRDefault="005541FF" w:rsidP="005541FF">
      <w:r>
        <w:t xml:space="preserve">In theory, technological innovation </w:t>
      </w:r>
      <w:r w:rsidR="00AA42F8">
        <w:t>should bring</w:t>
      </w:r>
      <w:r w:rsidR="00237B1D">
        <w:t xml:space="preserve"> </w:t>
      </w:r>
      <w:r>
        <w:t xml:space="preserve">better </w:t>
      </w:r>
      <w:r w:rsidR="00237B1D">
        <w:t>inter</w:t>
      </w:r>
      <w:r w:rsidR="00AA42F8">
        <w:t>-</w:t>
      </w:r>
      <w:r w:rsidR="00237B1D">
        <w:t xml:space="preserve">professional </w:t>
      </w:r>
      <w:r>
        <w:t>co-oper</w:t>
      </w:r>
      <w:r w:rsidR="00237B1D">
        <w:t>ation</w:t>
      </w:r>
      <w:r>
        <w:t>, information sharing, decision support, and flexibility to the healthcare system. However, there are important societal and professional issues that often reduce the impact of such innovation, including legal, ethical and data protection issues. Healthcare professionals are</w:t>
      </w:r>
      <w:r w:rsidR="00237B1D">
        <w:t>,</w:t>
      </w:r>
      <w:r>
        <w:t xml:space="preserve"> at times</w:t>
      </w:r>
      <w:r w:rsidR="00237B1D">
        <w:t>,</w:t>
      </w:r>
      <w:r>
        <w:t xml:space="preserve"> resistant to such innovation, particularly if the technologies are seen to be ‘solutions seeking a problem’ and where the evidence for </w:t>
      </w:r>
      <w:r w:rsidR="00237B1D">
        <w:t xml:space="preserve">the impact on </w:t>
      </w:r>
      <w:r>
        <w:t xml:space="preserve">quality </w:t>
      </w:r>
      <w:r w:rsidR="00237B1D">
        <w:t xml:space="preserve">(or experience) </w:t>
      </w:r>
      <w:r>
        <w:t xml:space="preserve">of care is seen as less than robust. </w:t>
      </w:r>
      <w:r w:rsidR="00237B1D">
        <w:t>Indeed, e</w:t>
      </w:r>
      <w:r>
        <w:t>nsuring proper integration of new technologies into the healthcare system is at times difficult</w:t>
      </w:r>
      <w:r w:rsidR="00237B1D">
        <w:t>,</w:t>
      </w:r>
      <w:r>
        <w:t xml:space="preserve"> </w:t>
      </w:r>
      <w:r w:rsidR="00237B1D">
        <w:t>requiring</w:t>
      </w:r>
      <w:r>
        <w:t xml:space="preserve"> process redesign or ‘disruption</w:t>
      </w:r>
      <w:r w:rsidR="00AA42F8">
        <w:t>’</w:t>
      </w:r>
      <w:r>
        <w:t>.</w:t>
      </w:r>
      <w:r w:rsidR="00F03F20">
        <w:t xml:space="preserve"> </w:t>
      </w:r>
      <w:proofErr w:type="gramStart"/>
      <w:r w:rsidR="003711AD" w:rsidRPr="003711AD">
        <w:rPr>
          <w:vertAlign w:val="superscript"/>
        </w:rPr>
        <w:t>6</w:t>
      </w:r>
      <w:r w:rsidR="00F03F20">
        <w:t xml:space="preserve"> </w:t>
      </w:r>
      <w:r>
        <w:t xml:space="preserve"> In</w:t>
      </w:r>
      <w:proofErr w:type="gramEnd"/>
      <w:r>
        <w:t xml:space="preserve"> addition, regulatory bodies, reimbursement authorities</w:t>
      </w:r>
      <w:r w:rsidR="00237B1D">
        <w:t>,</w:t>
      </w:r>
      <w:r>
        <w:t xml:space="preserve">  and national and </w:t>
      </w:r>
      <w:r w:rsidR="00E83CCB">
        <w:t xml:space="preserve">international political bodies often find it difficult to react quickly enough, or consistently, to </w:t>
      </w:r>
      <w:r w:rsidR="00237B1D">
        <w:t>this</w:t>
      </w:r>
      <w:r w:rsidR="00E83CCB">
        <w:t xml:space="preserve"> rapidly changing area</w:t>
      </w:r>
      <w:r w:rsidR="00F03F20">
        <w:t>.</w:t>
      </w:r>
    </w:p>
    <w:p w:rsidR="00237B1D" w:rsidRDefault="00237B1D" w:rsidP="005541FF">
      <w:r>
        <w:t>The European Union</w:t>
      </w:r>
      <w:r w:rsidR="00444E5E">
        <w:t xml:space="preserve"> has an e-health action plan for 2012-2020</w:t>
      </w:r>
      <w:r w:rsidR="00DC65EB">
        <w:t>, which state</w:t>
      </w:r>
      <w:r w:rsidR="00AA42F8">
        <w:t>s</w:t>
      </w:r>
      <w:r w:rsidR="00444E5E">
        <w:t xml:space="preserve"> that the promise of ICT to increase efficiency, improve quality of life and unlock innovation in health markets remains largely unfulfilled</w:t>
      </w:r>
      <w:r>
        <w:t>.</w:t>
      </w:r>
      <w:r w:rsidR="003711AD">
        <w:rPr>
          <w:vertAlign w:val="superscript"/>
        </w:rPr>
        <w:t>7</w:t>
      </w:r>
      <w:r w:rsidR="00444E5E">
        <w:t xml:space="preserve"> Initiatives such as large scale pilot projects (e.g. </w:t>
      </w:r>
      <w:proofErr w:type="spellStart"/>
      <w:r w:rsidR="00444E5E">
        <w:t>epSOS</w:t>
      </w:r>
      <w:proofErr w:type="spellEnd"/>
      <w:r w:rsidR="00646A72">
        <w:t xml:space="preserve"> [European patients smart open services]</w:t>
      </w:r>
      <w:r w:rsidR="00444E5E">
        <w:t>), the 2011 Directive on the Application of Patients’ Rights in Cross Border Healthcare, a</w:t>
      </w:r>
      <w:r w:rsidR="00DC65EB">
        <w:t>nd</w:t>
      </w:r>
      <w:r w:rsidR="00444E5E">
        <w:t xml:space="preserve"> the establishment of an e-health network, have made some difference but the Action Plan identified several barriers to widespread adoption of e-health throughout the EU, including:</w:t>
      </w:r>
    </w:p>
    <w:p w:rsidR="00444E5E" w:rsidRDefault="00444E5E" w:rsidP="00444E5E">
      <w:pPr>
        <w:pStyle w:val="ListParagraph"/>
        <w:numPr>
          <w:ilvl w:val="0"/>
          <w:numId w:val="3"/>
        </w:numPr>
      </w:pPr>
      <w:r>
        <w:t>Lack of awareness of, and confidence in, e-health solutions</w:t>
      </w:r>
    </w:p>
    <w:p w:rsidR="00444E5E" w:rsidRDefault="00444E5E" w:rsidP="00444E5E">
      <w:pPr>
        <w:pStyle w:val="ListParagraph"/>
        <w:numPr>
          <w:ilvl w:val="0"/>
          <w:numId w:val="3"/>
        </w:numPr>
      </w:pPr>
      <w:r>
        <w:t>Lack of inter-operability between e-health solutions</w:t>
      </w:r>
    </w:p>
    <w:p w:rsidR="00444E5E" w:rsidRDefault="00444E5E" w:rsidP="00444E5E">
      <w:pPr>
        <w:pStyle w:val="ListParagraph"/>
        <w:numPr>
          <w:ilvl w:val="0"/>
          <w:numId w:val="3"/>
        </w:numPr>
      </w:pPr>
      <w:r>
        <w:t>Limited large scale evidence of the cost-effectiveness of e-health tools and services</w:t>
      </w:r>
    </w:p>
    <w:p w:rsidR="00444E5E" w:rsidRPr="00172E15" w:rsidRDefault="00444E5E" w:rsidP="00444E5E">
      <w:pPr>
        <w:pStyle w:val="ListParagraph"/>
        <w:numPr>
          <w:ilvl w:val="0"/>
          <w:numId w:val="3"/>
        </w:numPr>
        <w:rPr>
          <w:highlight w:val="yellow"/>
        </w:rPr>
      </w:pPr>
      <w:r>
        <w:t xml:space="preserve">Lack of legal clarity for health and wellbeing mobile applications and the lack of transparency regarding the </w:t>
      </w:r>
      <w:proofErr w:type="spellStart"/>
      <w:r>
        <w:t>utilisation</w:t>
      </w:r>
      <w:proofErr w:type="spellEnd"/>
      <w:r>
        <w:t xml:space="preserve"> of data collected by such applications</w:t>
      </w:r>
      <w:r w:rsidR="00172E15">
        <w:t xml:space="preserve">, </w:t>
      </w:r>
      <w:r w:rsidR="00172E15" w:rsidRPr="00172E15">
        <w:rPr>
          <w:highlight w:val="yellow"/>
        </w:rPr>
        <w:t>including data that crosses international boundaries</w:t>
      </w:r>
    </w:p>
    <w:p w:rsidR="00444E5E" w:rsidRDefault="00444E5E" w:rsidP="00444E5E">
      <w:pPr>
        <w:pStyle w:val="ListParagraph"/>
        <w:numPr>
          <w:ilvl w:val="0"/>
          <w:numId w:val="3"/>
        </w:numPr>
      </w:pPr>
      <w:r>
        <w:t>Inadequate, or fragmented, legal frameworks including the lack of reimbursement schemes for e-health services</w:t>
      </w:r>
    </w:p>
    <w:p w:rsidR="00444E5E" w:rsidRDefault="00444E5E" w:rsidP="00444E5E">
      <w:pPr>
        <w:pStyle w:val="ListParagraph"/>
        <w:numPr>
          <w:ilvl w:val="0"/>
          <w:numId w:val="3"/>
        </w:numPr>
      </w:pPr>
      <w:r>
        <w:t>Regional differences in accessing ICT services, with limited access in deprived areas</w:t>
      </w:r>
    </w:p>
    <w:p w:rsidR="003711AD" w:rsidRPr="003711AD" w:rsidRDefault="003711AD" w:rsidP="005541FF">
      <w:pPr>
        <w:rPr>
          <w:b/>
        </w:rPr>
      </w:pPr>
      <w:r w:rsidRPr="003711AD">
        <w:rPr>
          <w:b/>
        </w:rPr>
        <w:t>Aims</w:t>
      </w:r>
    </w:p>
    <w:p w:rsidR="00DC65EB" w:rsidRDefault="00237B1D" w:rsidP="005541FF">
      <w:r>
        <w:t>The European Society of Cardiology, a</w:t>
      </w:r>
      <w:r w:rsidR="00E83CCB">
        <w:t xml:space="preserve">s one of the world’s largest professional bodies, is involved with e-health on many different levels. </w:t>
      </w:r>
      <w:r>
        <w:t>Every day, its</w:t>
      </w:r>
      <w:r w:rsidR="00E83CCB">
        <w:t xml:space="preserve"> members deal with the </w:t>
      </w:r>
      <w:r>
        <w:t xml:space="preserve">changes in practice that </w:t>
      </w:r>
      <w:r w:rsidR="00E83CCB">
        <w:t xml:space="preserve">innovation in </w:t>
      </w:r>
      <w:r>
        <w:t>ICT</w:t>
      </w:r>
      <w:r w:rsidR="00E83CCB">
        <w:t xml:space="preserve"> bring</w:t>
      </w:r>
      <w:r>
        <w:t xml:space="preserve">, </w:t>
      </w:r>
      <w:r w:rsidR="00E83CCB">
        <w:t xml:space="preserve"> </w:t>
      </w:r>
      <w:r>
        <w:t xml:space="preserve">including but not limited to </w:t>
      </w:r>
      <w:r w:rsidR="00E83CCB">
        <w:t xml:space="preserve">electronic medical records, e-referrals or e-prescribing, </w:t>
      </w:r>
      <w:proofErr w:type="spellStart"/>
      <w:r w:rsidR="00E83CCB">
        <w:t>teleconsultation</w:t>
      </w:r>
      <w:proofErr w:type="spellEnd"/>
      <w:r w:rsidR="00E83CCB">
        <w:t xml:space="preserve"> and </w:t>
      </w:r>
      <w:proofErr w:type="spellStart"/>
      <w:r w:rsidR="00E83CCB">
        <w:t>telemonitoring</w:t>
      </w:r>
      <w:proofErr w:type="spellEnd"/>
      <w:r w:rsidR="00E83CCB">
        <w:t xml:space="preserve">. The Society uses electronic collection of data in its </w:t>
      </w:r>
      <w:proofErr w:type="spellStart"/>
      <w:r w:rsidR="00E83CCB">
        <w:t>programme</w:t>
      </w:r>
      <w:proofErr w:type="spellEnd"/>
      <w:r w:rsidR="00E83CCB">
        <w:t xml:space="preserve"> of disease and practice registries</w:t>
      </w:r>
      <w:r w:rsidR="00F03F20">
        <w:t xml:space="preserve">, the </w:t>
      </w:r>
      <w:proofErr w:type="spellStart"/>
      <w:r w:rsidR="00F03F20">
        <w:t>EuroObservational</w:t>
      </w:r>
      <w:proofErr w:type="spellEnd"/>
      <w:r w:rsidR="00F03F20">
        <w:t xml:space="preserve"> Research Programme</w:t>
      </w:r>
      <w:r w:rsidR="00E83CCB">
        <w:t xml:space="preserve">, and is involved in pan-European research projects on semantic interoperability of information and decision support systems. </w:t>
      </w:r>
    </w:p>
    <w:p w:rsidR="003711AD" w:rsidRDefault="003711AD" w:rsidP="005541FF">
      <w:r>
        <w:lastRenderedPageBreak/>
        <w:t xml:space="preserve">This document has been prepared to reflect the current position of the </w:t>
      </w:r>
      <w:r w:rsidR="002F4348">
        <w:t xml:space="preserve">ESC on e-health. It aims to highlight the key aspects of e-health that relate to cardiovascular health and the delivery of healthcare to individuals with, or at risk, of cardiovascular disease. This document originated in discussions between Board members of the ESC (including its Executive Officers), members of the Working Group on e-cardiology, and members of the cardiovascular roundtable that took place during a workshop in Brussels on 9 April 2014. </w:t>
      </w:r>
    </w:p>
    <w:p w:rsidR="00E83CCB" w:rsidRDefault="00DC65EB" w:rsidP="005541FF">
      <w:r>
        <w:t>The ESC</w:t>
      </w:r>
      <w:r w:rsidR="001E034B">
        <w:t xml:space="preserve"> views e-health as a </w:t>
      </w:r>
      <w:r>
        <w:t xml:space="preserve">vital </w:t>
      </w:r>
      <w:r w:rsidR="001E034B">
        <w:t xml:space="preserve">means of achieving its </w:t>
      </w:r>
      <w:r w:rsidR="00540550">
        <w:t>mission of reducing the burden of cardiovascular disease in Europe</w:t>
      </w:r>
      <w:r w:rsidR="001E034B">
        <w:t xml:space="preserve">. </w:t>
      </w:r>
      <w:r>
        <w:t>It wishes to play a pro-active, rather than reactive, role as a major stakeholder in the development of e-health. This position statement</w:t>
      </w:r>
      <w:r w:rsidR="001E034B">
        <w:t xml:space="preserve"> outlines </w:t>
      </w:r>
      <w:r w:rsidR="00540550">
        <w:t xml:space="preserve">the </w:t>
      </w:r>
      <w:r w:rsidR="001E034B">
        <w:t xml:space="preserve">medium term ‘roadmap’ of how it will </w:t>
      </w:r>
      <w:proofErr w:type="spellStart"/>
      <w:r w:rsidR="005A6E17">
        <w:t>mobilise</w:t>
      </w:r>
      <w:proofErr w:type="spellEnd"/>
      <w:r w:rsidR="005A6E17">
        <w:t xml:space="preserve"> it’s </w:t>
      </w:r>
      <w:r w:rsidR="00C16B84">
        <w:t xml:space="preserve">members and </w:t>
      </w:r>
      <w:r w:rsidR="005A6E17">
        <w:t xml:space="preserve">Constituent Bodies (National Cardiac Societies, </w:t>
      </w:r>
      <w:proofErr w:type="spellStart"/>
      <w:r w:rsidR="005A6E17">
        <w:t>Speciality</w:t>
      </w:r>
      <w:proofErr w:type="spellEnd"/>
      <w:r w:rsidR="005A6E17">
        <w:t xml:space="preserve"> Associations, Working Groups and Councils) and </w:t>
      </w:r>
      <w:r w:rsidR="001E034B">
        <w:t>seek to achieve broad and meaningful engagement</w:t>
      </w:r>
      <w:r>
        <w:t xml:space="preserve"> </w:t>
      </w:r>
      <w:r w:rsidR="005A6E17">
        <w:t xml:space="preserve">and consensus with </w:t>
      </w:r>
      <w:r>
        <w:t>stakeholders</w:t>
      </w:r>
      <w:r w:rsidR="00540550">
        <w:t>,</w:t>
      </w:r>
      <w:r w:rsidR="001E034B">
        <w:t xml:space="preserve"> </w:t>
      </w:r>
      <w:proofErr w:type="spellStart"/>
      <w:r>
        <w:t>recognising</w:t>
      </w:r>
      <w:proofErr w:type="spellEnd"/>
      <w:r>
        <w:t xml:space="preserve"> </w:t>
      </w:r>
      <w:r w:rsidR="001E034B">
        <w:t xml:space="preserve">the challenges and opportunities that the development of ICT will bring. </w:t>
      </w:r>
      <w:r w:rsidR="00172E15" w:rsidRPr="00172E15">
        <w:rPr>
          <w:highlight w:val="yellow"/>
        </w:rPr>
        <w:t>No individual cardiologist or clinical department can develop the appropriate expertise to tackle the numerous issues that surround e-health, but the ESC can support the cardiologist as he or she tackles these issues in day-to-day practice.</w:t>
      </w:r>
      <w:r w:rsidR="00172E15">
        <w:t xml:space="preserve"> </w:t>
      </w:r>
    </w:p>
    <w:p w:rsidR="00FB4E2A" w:rsidRPr="00646A72" w:rsidRDefault="002F4348">
      <w:pPr>
        <w:rPr>
          <w:b/>
        </w:rPr>
      </w:pPr>
      <w:r>
        <w:rPr>
          <w:b/>
        </w:rPr>
        <w:t xml:space="preserve">The ESC </w:t>
      </w:r>
      <w:r w:rsidR="00646A72" w:rsidRPr="00646A72">
        <w:rPr>
          <w:b/>
        </w:rPr>
        <w:t>Vision</w:t>
      </w:r>
    </w:p>
    <w:p w:rsidR="00646A72" w:rsidRDefault="00646A72">
      <w:r>
        <w:t>The vision of th</w:t>
      </w:r>
      <w:r w:rsidR="002F4348">
        <w:t xml:space="preserve">e ESC is </w:t>
      </w:r>
      <w:r>
        <w:t>to play a pro-active role in all aspects of the e-health agenda, helping to develop</w:t>
      </w:r>
      <w:r w:rsidR="002F4348">
        <w:t xml:space="preserve">, assess, </w:t>
      </w:r>
      <w:r>
        <w:t xml:space="preserve">and implement effective ICT innovations in the support of cardiovascular health and health-related activity across Europe. </w:t>
      </w:r>
    </w:p>
    <w:p w:rsidR="00533996" w:rsidRDefault="00533996">
      <w:r>
        <w:rPr>
          <w:b/>
        </w:rPr>
        <w:t>The Action Plan</w:t>
      </w:r>
    </w:p>
    <w:p w:rsidR="00533996" w:rsidRDefault="00533996" w:rsidP="00533996">
      <w:pPr>
        <w:pStyle w:val="ListParagraph"/>
        <w:numPr>
          <w:ilvl w:val="0"/>
          <w:numId w:val="4"/>
        </w:numPr>
      </w:pPr>
      <w:r>
        <w:t>To facilitate wider implementation of e-health, where appropriate</w:t>
      </w:r>
    </w:p>
    <w:p w:rsidR="00533996" w:rsidRDefault="00533996" w:rsidP="00533996">
      <w:pPr>
        <w:pStyle w:val="ListParagraph"/>
        <w:numPr>
          <w:ilvl w:val="0"/>
          <w:numId w:val="4"/>
        </w:numPr>
      </w:pPr>
      <w:r>
        <w:t>To educate and train its members in the appropriate use of e-health, including all s</w:t>
      </w:r>
      <w:r w:rsidR="00CF5B33">
        <w:t>even</w:t>
      </w:r>
      <w:r>
        <w:t xml:space="preserve"> domains listed in the introduction to this Paper</w:t>
      </w:r>
    </w:p>
    <w:p w:rsidR="00533996" w:rsidRDefault="00533996" w:rsidP="00533996">
      <w:pPr>
        <w:pStyle w:val="ListParagraph"/>
        <w:numPr>
          <w:ilvl w:val="0"/>
          <w:numId w:val="4"/>
        </w:numPr>
      </w:pPr>
      <w:r>
        <w:t xml:space="preserve">To play an active role in </w:t>
      </w:r>
      <w:r w:rsidR="00264098">
        <w:t xml:space="preserve">discussions regarding </w:t>
      </w:r>
      <w:r>
        <w:t>regulation and quality control of ICT technologies as they relate to cardiovascular disease in Europe</w:t>
      </w:r>
      <w:r w:rsidR="00CF5B33">
        <w:t>, including (where appropriate) setting benchmark quality standards for relevant technologies</w:t>
      </w:r>
      <w:r>
        <w:t xml:space="preserve"> </w:t>
      </w:r>
    </w:p>
    <w:p w:rsidR="00533996" w:rsidRDefault="00533996" w:rsidP="00533996">
      <w:pPr>
        <w:pStyle w:val="ListParagraph"/>
        <w:numPr>
          <w:ilvl w:val="0"/>
          <w:numId w:val="4"/>
        </w:numPr>
      </w:pPr>
      <w:r>
        <w:t>To play an active role in the societal and political discussions regarding data security and confidentiality issues, particularly with regard to its members working in countries with different legal constraints</w:t>
      </w:r>
      <w:r w:rsidR="00172E15">
        <w:t xml:space="preserve">. This includes appropriate patient access to data, and what actions  </w:t>
      </w:r>
    </w:p>
    <w:p w:rsidR="00CF5B33" w:rsidRPr="00172E15" w:rsidRDefault="00533996" w:rsidP="00533996">
      <w:pPr>
        <w:pStyle w:val="ListParagraph"/>
        <w:numPr>
          <w:ilvl w:val="0"/>
          <w:numId w:val="4"/>
        </w:numPr>
        <w:rPr>
          <w:highlight w:val="yellow"/>
        </w:rPr>
      </w:pPr>
      <w:r>
        <w:t xml:space="preserve">To support research into the development, </w:t>
      </w:r>
      <w:r w:rsidR="00264098">
        <w:t>evaluation</w:t>
      </w:r>
      <w:r>
        <w:t>, and implement</w:t>
      </w:r>
      <w:r w:rsidR="00F940E3">
        <w:t>at</w:t>
      </w:r>
      <w:r>
        <w:t>ion of e-health technologies and innovation, with an emphasis on establishing the clinical and cost-effectiveness of such innovation</w:t>
      </w:r>
      <w:r w:rsidR="00172E15">
        <w:t xml:space="preserve">. </w:t>
      </w:r>
      <w:r w:rsidR="00172E15" w:rsidRPr="00172E15">
        <w:rPr>
          <w:highlight w:val="yellow"/>
        </w:rPr>
        <w:t>The actions patients take in response to data collected and particularly where this action is not supervised by a physician or healthcare professional requires particular scrutiny.</w:t>
      </w:r>
    </w:p>
    <w:p w:rsidR="00264098" w:rsidRPr="0094458D" w:rsidRDefault="00533996" w:rsidP="00533996">
      <w:pPr>
        <w:pStyle w:val="ListParagraph"/>
        <w:numPr>
          <w:ilvl w:val="0"/>
          <w:numId w:val="4"/>
        </w:numPr>
        <w:rPr>
          <w:highlight w:val="yellow"/>
        </w:rPr>
      </w:pPr>
      <w:r>
        <w:t xml:space="preserve">To promote policy dialogue related to e-health at local, national and international level with all relevant stakeholders, including government, </w:t>
      </w:r>
      <w:r w:rsidR="00264098">
        <w:t>regulators, pay</w:t>
      </w:r>
      <w:r w:rsidR="003F248C">
        <w:t>e</w:t>
      </w:r>
      <w:r w:rsidR="00264098">
        <w:t xml:space="preserve">rs, </w:t>
      </w:r>
      <w:r>
        <w:t>professional bodies, citizens, patients, health care professionals, and industry</w:t>
      </w:r>
      <w:r w:rsidR="0094458D">
        <w:t xml:space="preserve">. </w:t>
      </w:r>
      <w:r w:rsidR="0094458D" w:rsidRPr="0094458D">
        <w:rPr>
          <w:highlight w:val="yellow"/>
        </w:rPr>
        <w:t>Reimbursement issues often delay the implementation of e-health solutions, even where the evidence base for clinical and cost-effectiveness/sustainability is secure.</w:t>
      </w:r>
    </w:p>
    <w:p w:rsidR="00CF5B33" w:rsidRDefault="00CF5B33" w:rsidP="00533996">
      <w:pPr>
        <w:pStyle w:val="ListParagraph"/>
        <w:numPr>
          <w:ilvl w:val="0"/>
          <w:numId w:val="4"/>
        </w:numPr>
      </w:pPr>
      <w:r>
        <w:lastRenderedPageBreak/>
        <w:t xml:space="preserve">To provide a resource for citizens in the member countries to </w:t>
      </w:r>
      <w:r w:rsidR="00BA6D28">
        <w:t xml:space="preserve">assist </w:t>
      </w:r>
      <w:r>
        <w:t xml:space="preserve">them </w:t>
      </w:r>
      <w:r w:rsidR="00BA6D28">
        <w:t>in assessing</w:t>
      </w:r>
      <w:r>
        <w:t xml:space="preserve"> the potential benefit and any associated risks of e-health applications in cardiovascular disease prevention, diagnosis and treatment.</w:t>
      </w:r>
    </w:p>
    <w:p w:rsidR="00056336" w:rsidRDefault="00056336">
      <w:pPr>
        <w:rPr>
          <w:b/>
        </w:rPr>
      </w:pPr>
      <w:r>
        <w:rPr>
          <w:b/>
        </w:rPr>
        <w:t>Specific issues</w:t>
      </w:r>
    </w:p>
    <w:p w:rsidR="00056336" w:rsidRDefault="00056336">
      <w:pPr>
        <w:rPr>
          <w:b/>
        </w:rPr>
      </w:pPr>
      <w:proofErr w:type="gramStart"/>
      <w:r>
        <w:rPr>
          <w:b/>
        </w:rPr>
        <w:t>m-health</w:t>
      </w:r>
      <w:proofErr w:type="gramEnd"/>
      <w:r>
        <w:rPr>
          <w:b/>
        </w:rPr>
        <w:t xml:space="preserve"> and p-health</w:t>
      </w:r>
    </w:p>
    <w:p w:rsidR="00056336" w:rsidRPr="00111E6F" w:rsidRDefault="00056336">
      <w:pPr>
        <w:rPr>
          <w:color w:val="FF0000"/>
        </w:rPr>
      </w:pPr>
      <w:r>
        <w:t>The EU recently issued a consultation document (Green Paper) on m-health.</w:t>
      </w:r>
      <w:r w:rsidR="00E0284C" w:rsidRPr="00E0284C">
        <w:rPr>
          <w:vertAlign w:val="superscript"/>
        </w:rPr>
        <w:t>8</w:t>
      </w:r>
      <w:r w:rsidR="00E0284C">
        <w:t xml:space="preserve"> </w:t>
      </w:r>
      <w:r>
        <w:t xml:space="preserve"> It highlighted the pace of change –with nearly 100 000 </w:t>
      </w:r>
      <w:proofErr w:type="spellStart"/>
      <w:r>
        <w:t>mHealth</w:t>
      </w:r>
      <w:proofErr w:type="spellEnd"/>
      <w:r>
        <w:t xml:space="preserve"> Apps already available across multiple platforms, and the top 20 free sports, fitness and health Apps having been downloaded more than 230 million times. It estimated that by 2017, more than 3 billion people worldwide will own a </w:t>
      </w:r>
      <w:proofErr w:type="spellStart"/>
      <w:r>
        <w:t>smartphone</w:t>
      </w:r>
      <w:proofErr w:type="spellEnd"/>
      <w:r>
        <w:t xml:space="preserve"> and half of them will be using m-health Apps. </w:t>
      </w:r>
      <w:r w:rsidR="00245FE2">
        <w:t xml:space="preserve">Currently, there are no clear rules on the difference between a medical device </w:t>
      </w:r>
      <w:r w:rsidR="00111E6F" w:rsidRPr="00111E6F">
        <w:rPr>
          <w:highlight w:val="yellow"/>
        </w:rPr>
        <w:t>(diagnostic or therapeutic)</w:t>
      </w:r>
      <w:r w:rsidR="00111E6F">
        <w:t xml:space="preserve"> </w:t>
      </w:r>
      <w:r w:rsidR="00245FE2">
        <w:t xml:space="preserve">and a ‘lifestyle and wellbeing </w:t>
      </w:r>
      <w:proofErr w:type="gramStart"/>
      <w:r w:rsidR="00245FE2">
        <w:t>‘ App</w:t>
      </w:r>
      <w:proofErr w:type="gramEnd"/>
      <w:r w:rsidR="00245FE2">
        <w:t xml:space="preserve">. It is unclear as to whether there are risks associated with health Apps, and what liability developers or service providers might have. More broadly, there are concerns about use of the data, the lack of stakeholder awareness of the legal requirements applicable to Apps, and the lack of interoperability between available solutions. Health care professionals are also uncertain of the value of such m-health technologies, do not know how to assess available ‘solutions’, and are reluctant to integrate such systems into their decision making. Lack of clarity on data protection issues, confidentiality and legal liability are often raised as reasons for lack of implementation. </w:t>
      </w:r>
      <w:r w:rsidR="00245FE2" w:rsidRPr="00111E6F">
        <w:rPr>
          <w:color w:val="FF0000"/>
        </w:rPr>
        <w:t xml:space="preserve">In addition, lack of reimbursement for new technologies, and the time taken for decision making using such information, is another barrier to appropriate implementation. </w:t>
      </w:r>
    </w:p>
    <w:p w:rsidR="00245FE2" w:rsidRDefault="00245FE2">
      <w:r>
        <w:t xml:space="preserve">There is no global approach to regulation of these new technologies – with clear </w:t>
      </w:r>
      <w:proofErr w:type="gramStart"/>
      <w:r>
        <w:t>differences  between</w:t>
      </w:r>
      <w:proofErr w:type="gramEnd"/>
      <w:r>
        <w:t xml:space="preserve"> the FDA and </w:t>
      </w:r>
      <w:r w:rsidR="0031029B">
        <w:t xml:space="preserve">various </w:t>
      </w:r>
      <w:r>
        <w:t xml:space="preserve"> EU</w:t>
      </w:r>
      <w:r w:rsidR="0031029B">
        <w:t xml:space="preserve"> agencies</w:t>
      </w:r>
      <w:r>
        <w:t xml:space="preserve">. Additionally, professional </w:t>
      </w:r>
      <w:proofErr w:type="spellStart"/>
      <w:r>
        <w:t>organisations</w:t>
      </w:r>
      <w:proofErr w:type="spellEnd"/>
      <w:r>
        <w:t xml:space="preserve"> have largely ignored this rapidly expanding aspect of health and lifestyle decision making. </w:t>
      </w:r>
    </w:p>
    <w:p w:rsidR="00E0284C" w:rsidRDefault="00E0284C">
      <w:r>
        <w:t xml:space="preserve">Similar issues arise with wearable technologies, including bracelets or watches that can collect physiological data and integrate it with other information </w:t>
      </w:r>
      <w:proofErr w:type="gramStart"/>
      <w:r>
        <w:t>systems,</w:t>
      </w:r>
      <w:proofErr w:type="gramEnd"/>
      <w:r>
        <w:t xml:space="preserve"> and in theory at least help promote health and healthy lifestyle choices, but also assist in monitoring of exercise prescriptions and rehabilitation </w:t>
      </w:r>
      <w:proofErr w:type="spellStart"/>
      <w:r>
        <w:t>programmes</w:t>
      </w:r>
      <w:proofErr w:type="spellEnd"/>
      <w:r>
        <w:t>. Sensor technologies can now be incorporated into nearly any daily household or wearable item, and have the potential to assist in health monitoring and prevention</w:t>
      </w:r>
      <w:r w:rsidR="002B7B7C">
        <w:t>.</w:t>
      </w:r>
      <w:r>
        <w:t xml:space="preserve"> </w:t>
      </w:r>
    </w:p>
    <w:p w:rsidR="00E0284C" w:rsidRDefault="00E0284C">
      <w:r>
        <w:t>Those developing new m-health or p-health technologies need not have any medical input</w:t>
      </w:r>
      <w:r w:rsidR="00A41905">
        <w:t xml:space="preserve"> to their development </w:t>
      </w:r>
      <w:proofErr w:type="spellStart"/>
      <w:r w:rsidR="00A41905">
        <w:t>programmes</w:t>
      </w:r>
      <w:proofErr w:type="spellEnd"/>
      <w:r w:rsidR="00A41905">
        <w:t xml:space="preserve">, and thus may provide sub-optimal (or perhaps even harmful) ‘solutions’ that patients or citizens may assume are of proven benefit. There is some consumer protection from unsubstantiated </w:t>
      </w:r>
      <w:r w:rsidR="002B7B7C">
        <w:t xml:space="preserve">claims of </w:t>
      </w:r>
      <w:r w:rsidR="00A41905">
        <w:t xml:space="preserve">health benefit, but many examples exist where the consumer may be misled into purchasing a technology with less benefit than advertised. </w:t>
      </w:r>
      <w:r w:rsidR="00172E15" w:rsidRPr="00172E15">
        <w:rPr>
          <w:highlight w:val="yellow"/>
        </w:rPr>
        <w:t>The boundaries between a ‘patient’ and a ‘consumer’ have becoming increasingly blurred, as has the responsibilities of the healthcare team.</w:t>
      </w:r>
    </w:p>
    <w:p w:rsidR="00A41905" w:rsidRDefault="00A41905">
      <w:r>
        <w:t xml:space="preserve">The ESC is enthusiastic about its role as a key stakeholder in the development of ICT solutions and will seek to actively engage at all levels in this field. Closer working between all stakeholders – consumer and patient </w:t>
      </w:r>
      <w:proofErr w:type="spellStart"/>
      <w:r>
        <w:t>organisations</w:t>
      </w:r>
      <w:proofErr w:type="spellEnd"/>
      <w:r>
        <w:t xml:space="preserve">, health professionals and health </w:t>
      </w:r>
      <w:proofErr w:type="spellStart"/>
      <w:r>
        <w:t>organisations</w:t>
      </w:r>
      <w:proofErr w:type="spellEnd"/>
      <w:r>
        <w:t xml:space="preserve">, public authorities, App developers, telecommunication service providers, mobile device manufacturers and </w:t>
      </w:r>
      <w:r>
        <w:lastRenderedPageBreak/>
        <w:t xml:space="preserve">others – should </w:t>
      </w:r>
      <w:proofErr w:type="spellStart"/>
      <w:r>
        <w:t>optimise</w:t>
      </w:r>
      <w:proofErr w:type="spellEnd"/>
      <w:r>
        <w:t xml:space="preserve"> the appropriate development and implementation of new solutions to health and health care needs.</w:t>
      </w:r>
    </w:p>
    <w:p w:rsidR="00A41905" w:rsidRPr="00A41905" w:rsidRDefault="00A41905">
      <w:pPr>
        <w:rPr>
          <w:b/>
        </w:rPr>
      </w:pPr>
      <w:r w:rsidRPr="00A41905">
        <w:rPr>
          <w:b/>
        </w:rPr>
        <w:t>Political advocacy</w:t>
      </w:r>
    </w:p>
    <w:p w:rsidR="00A41905" w:rsidRPr="00245FE2" w:rsidRDefault="00A41905">
      <w:r>
        <w:t>The potential for e-health to transform health and healthcare has been clearly stated by political bodies, including the European Commission</w:t>
      </w:r>
      <w:r w:rsidR="002B7B7C">
        <w:t>.</w:t>
      </w:r>
      <w:r w:rsidR="002B7B7C" w:rsidRPr="002B7B7C">
        <w:rPr>
          <w:vertAlign w:val="superscript"/>
        </w:rPr>
        <w:t>7</w:t>
      </w:r>
      <w:r>
        <w:t xml:space="preserve"> A previous Commission Vice-President, </w:t>
      </w:r>
      <w:proofErr w:type="spellStart"/>
      <w:r>
        <w:t>Neelie</w:t>
      </w:r>
      <w:proofErr w:type="spellEnd"/>
      <w:r>
        <w:t xml:space="preserve"> </w:t>
      </w:r>
      <w:proofErr w:type="spellStart"/>
      <w:r>
        <w:t>Kroes</w:t>
      </w:r>
      <w:proofErr w:type="spellEnd"/>
      <w:r>
        <w:t xml:space="preserve">, is on record as stating that ‘m-health will reduce costly visits to hospitals, help citizens take charge of their own health and wellbeing, and move towards prevention rather than cure’. It is therefore vital that the ESC, representing </w:t>
      </w:r>
      <w:r w:rsidR="00896746" w:rsidRPr="00896746">
        <w:t>more than 80 000 cardiology professionals across Europe and the Mediterranean</w:t>
      </w:r>
      <w:r w:rsidR="00AC6B67">
        <w:t>,</w:t>
      </w:r>
      <w:r>
        <w:t xml:space="preserve"> engages with advocacy on e-health and provides a valuable source of advice and testing for such systems. </w:t>
      </w:r>
    </w:p>
    <w:p w:rsidR="00A41905" w:rsidRPr="00A41905" w:rsidRDefault="00A41905">
      <w:pPr>
        <w:rPr>
          <w:b/>
        </w:rPr>
      </w:pPr>
      <w:r w:rsidRPr="00A41905">
        <w:rPr>
          <w:b/>
        </w:rPr>
        <w:t>Key ESC deliverables</w:t>
      </w:r>
      <w:r w:rsidR="007B651D">
        <w:rPr>
          <w:b/>
        </w:rPr>
        <w:t xml:space="preserve"> in e-health</w:t>
      </w:r>
    </w:p>
    <w:p w:rsidR="00265726" w:rsidRDefault="00A41905">
      <w:pPr>
        <w:spacing w:before="240" w:after="0" w:line="240" w:lineRule="auto"/>
      </w:pPr>
      <w:r>
        <w:t xml:space="preserve">The ESC delivers its vision largely through investment in </w:t>
      </w:r>
      <w:r w:rsidR="007B651D">
        <w:t xml:space="preserve">research, </w:t>
      </w:r>
      <w:r>
        <w:t xml:space="preserve">training and education. Increasingly it also collects data on healthcare performance and variation across its geographical area, and is involved in advocacy at all levels on issues related to cardiovascular health and disease. </w:t>
      </w:r>
    </w:p>
    <w:p w:rsidR="00265726" w:rsidRDefault="00265726">
      <w:pPr>
        <w:spacing w:before="240" w:after="0" w:line="240" w:lineRule="auto"/>
      </w:pPr>
      <w:r w:rsidRPr="005B004D">
        <w:rPr>
          <w:i/>
        </w:rPr>
        <w:t>Education and training</w:t>
      </w:r>
    </w:p>
    <w:p w:rsidR="00B50437" w:rsidRDefault="00896746">
      <w:pPr>
        <w:spacing w:before="240" w:after="0" w:line="240" w:lineRule="auto"/>
      </w:pPr>
      <w:r w:rsidRPr="00896746">
        <w:t xml:space="preserve">Education is at the core of the ESC mission to reduce the burden of cardiovascular disease in Europe.  ESC’s vision, in terms of medical education, is to improve cardiovascular outcomes. To reach this goal all educational activities are based on sound scientific content. </w:t>
      </w:r>
    </w:p>
    <w:p w:rsidR="008042E4" w:rsidRDefault="008042E4" w:rsidP="00B25F1A"/>
    <w:p w:rsidR="005B004D" w:rsidRDefault="005B004D" w:rsidP="00B25F1A">
      <w:r>
        <w:t xml:space="preserve">Through its </w:t>
      </w:r>
      <w:r w:rsidR="00B25F1A">
        <w:t xml:space="preserve">annual ESC </w:t>
      </w:r>
      <w:r w:rsidR="00AC6B67">
        <w:t>Congress and</w:t>
      </w:r>
      <w:r>
        <w:t xml:space="preserve"> the meetings of its constituent </w:t>
      </w:r>
      <w:proofErr w:type="spellStart"/>
      <w:r>
        <w:t>organisations</w:t>
      </w:r>
      <w:proofErr w:type="spellEnd"/>
      <w:r>
        <w:t xml:space="preserve">, it will seek to ensure all relevant aspects of e-health are included in the </w:t>
      </w:r>
      <w:proofErr w:type="spellStart"/>
      <w:r>
        <w:t>programmes</w:t>
      </w:r>
      <w:proofErr w:type="spellEnd"/>
      <w:r>
        <w:t xml:space="preserve"> in the form of lectures, workshops, seminars and ‘hands on’ sessions. It will also seek to engage with relevant stakeholders for such meetings, including those providing ICT solutions (including App developers and telecommunication/mobile device companies). </w:t>
      </w:r>
    </w:p>
    <w:p w:rsidR="005B004D" w:rsidRDefault="005B004D">
      <w:r>
        <w:t xml:space="preserve">Through updating of its curriculum and syllabus, it will ensure e-health is a key component of the knowledge and skills acquired by its members in practice. Such information will be included in its textbooks, courses, and e-learning platforms. </w:t>
      </w:r>
    </w:p>
    <w:p w:rsidR="005B004D" w:rsidRDefault="005B004D">
      <w:r>
        <w:t xml:space="preserve">Issues of patient confidentiality, data protection, and liability will be an integral part of the education and training on e-health. </w:t>
      </w:r>
    </w:p>
    <w:p w:rsidR="005B004D" w:rsidRDefault="005B004D">
      <w:r>
        <w:t xml:space="preserve">The ESC will take the lead on ensuring e-health is a key component of educational events. </w:t>
      </w:r>
    </w:p>
    <w:p w:rsidR="002B7B7C" w:rsidRDefault="005B004D">
      <w:r>
        <w:t xml:space="preserve">The ESC will also seek to work with other professional </w:t>
      </w:r>
      <w:proofErr w:type="spellStart"/>
      <w:r>
        <w:t>organisations</w:t>
      </w:r>
      <w:proofErr w:type="spellEnd"/>
      <w:r>
        <w:t xml:space="preserve"> to ensure access to all relevant skills and knowledge in the area of e-health. </w:t>
      </w:r>
    </w:p>
    <w:p w:rsidR="005B004D" w:rsidRDefault="005B004D">
      <w:r>
        <w:rPr>
          <w:i/>
        </w:rPr>
        <w:t>Regulation and Quality Control</w:t>
      </w:r>
    </w:p>
    <w:p w:rsidR="00111E6F" w:rsidRDefault="005B004D">
      <w:r>
        <w:t>Although not moving to endorseme</w:t>
      </w:r>
      <w:bookmarkStart w:id="0" w:name="_GoBack"/>
      <w:bookmarkEnd w:id="0"/>
      <w:r>
        <w:t xml:space="preserve">nt of particular e-health solutions, the ESC will explore methods to enable its members and citizens of its represented countries </w:t>
      </w:r>
      <w:r w:rsidR="002B7B7C">
        <w:t>to</w:t>
      </w:r>
      <w:r>
        <w:t xml:space="preserve"> gain access to appropriate assessments of new ICT solutions. This may include reviews of technologies, including Apps, by its </w:t>
      </w:r>
      <w:r>
        <w:lastRenderedPageBreak/>
        <w:t xml:space="preserve">members. In addition, it will seek to benchmark standards for the assessment of the healthcare impact of ICT solutions, and of data handling and processing. </w:t>
      </w:r>
    </w:p>
    <w:p w:rsidR="002F72E9" w:rsidRPr="002F72E9" w:rsidRDefault="002F72E9">
      <w:pPr>
        <w:rPr>
          <w:i/>
        </w:rPr>
      </w:pPr>
      <w:r w:rsidRPr="002F72E9">
        <w:rPr>
          <w:i/>
        </w:rPr>
        <w:t>Legal and Ethical Issues</w:t>
      </w:r>
    </w:p>
    <w:p w:rsidR="002F72E9" w:rsidRDefault="002F72E9">
      <w:r>
        <w:t>The ESC will seek to engage in active dialogue with all relevant stakeholders on the challenging are</w:t>
      </w:r>
      <w:r w:rsidR="002B7B7C">
        <w:t>a</w:t>
      </w:r>
      <w:r>
        <w:t xml:space="preserve"> of data security, confidentiality and legal liability related to e-health</w:t>
      </w:r>
      <w:r w:rsidR="00111E6F">
        <w:t>.</w:t>
      </w:r>
      <w:r>
        <w:t xml:space="preserve"> The </w:t>
      </w:r>
      <w:r w:rsidR="00B25F1A">
        <w:t xml:space="preserve">56 </w:t>
      </w:r>
      <w:r w:rsidR="002B7B7C">
        <w:t xml:space="preserve">national </w:t>
      </w:r>
      <w:r w:rsidR="00B25F1A">
        <w:t xml:space="preserve">member </w:t>
      </w:r>
      <w:r w:rsidR="002B7B7C">
        <w:t xml:space="preserve">societies </w:t>
      </w:r>
      <w:r>
        <w:t xml:space="preserve">will be supported in such work by the ESC, particularly as the data and legal issues </w:t>
      </w:r>
      <w:r w:rsidR="002B7B7C">
        <w:t>often vary markedly between countries.</w:t>
      </w:r>
    </w:p>
    <w:p w:rsidR="002F72E9" w:rsidRDefault="002F72E9">
      <w:r>
        <w:rPr>
          <w:i/>
        </w:rPr>
        <w:t>Research and Development</w:t>
      </w:r>
    </w:p>
    <w:p w:rsidR="002F72E9" w:rsidRDefault="002F72E9">
      <w:r>
        <w:t xml:space="preserve">As the ESC becomes more involved in commissioning research, it will seek to include e-health as part of its core research activities. In addition, it will support and encourage its members to become more involved in research in this area </w:t>
      </w:r>
      <w:r w:rsidR="002B7B7C">
        <w:t xml:space="preserve">e.g. </w:t>
      </w:r>
      <w:r>
        <w:t xml:space="preserve">development of solutions, inter-operability, data standards, user and professional interfaces, data linkage, information processing, and assessment of health and healthcare impact and value for money. </w:t>
      </w:r>
      <w:r w:rsidR="002B7B7C">
        <w:t>Other f</w:t>
      </w:r>
      <w:r>
        <w:t>unding bodies for such research include the European Commission, national governments, medical charities, and industry.</w:t>
      </w:r>
    </w:p>
    <w:p w:rsidR="002F72E9" w:rsidRDefault="002F72E9">
      <w:r>
        <w:rPr>
          <w:i/>
        </w:rPr>
        <w:t>Advocacy</w:t>
      </w:r>
    </w:p>
    <w:p w:rsidR="002B7B7C" w:rsidRDefault="002F72E9" w:rsidP="002B7B7C">
      <w:r>
        <w:t xml:space="preserve">The ESC will seek to engage pro-actively with the relevant stakeholders in e-health, including those with or at risk of cardiovascular disease, healthcare professionals, national professional </w:t>
      </w:r>
      <w:proofErr w:type="spellStart"/>
      <w:r>
        <w:t>organisations</w:t>
      </w:r>
      <w:proofErr w:type="spellEnd"/>
      <w:r>
        <w:t xml:space="preserve">, European professional and patient </w:t>
      </w:r>
      <w:proofErr w:type="spellStart"/>
      <w:r>
        <w:t>organisations</w:t>
      </w:r>
      <w:proofErr w:type="spellEnd"/>
      <w:r>
        <w:t xml:space="preserve">, the European Commission, and those developing e-health solutions.  It will also take part in policy development in this area with the relevant </w:t>
      </w:r>
      <w:proofErr w:type="spellStart"/>
      <w:r>
        <w:t>organisations</w:t>
      </w:r>
      <w:proofErr w:type="spellEnd"/>
      <w:r>
        <w:t>, both professional and political.</w:t>
      </w:r>
      <w:r w:rsidR="002B7B7C">
        <w:t xml:space="preserve"> </w:t>
      </w:r>
    </w:p>
    <w:p w:rsidR="008042E4" w:rsidRPr="0094458D" w:rsidRDefault="008042E4" w:rsidP="002B7B7C">
      <w:pPr>
        <w:rPr>
          <w:highlight w:val="yellow"/>
        </w:rPr>
      </w:pPr>
      <w:r w:rsidRPr="0094458D">
        <w:rPr>
          <w:highlight w:val="yellow"/>
        </w:rPr>
        <w:t>In support of the above action plan, the ESC will seek to:</w:t>
      </w:r>
    </w:p>
    <w:p w:rsidR="00896746" w:rsidRPr="0094458D" w:rsidRDefault="00896746" w:rsidP="0044525E">
      <w:pPr>
        <w:numPr>
          <w:ilvl w:val="1"/>
          <w:numId w:val="6"/>
        </w:numPr>
        <w:rPr>
          <w:highlight w:val="yellow"/>
        </w:rPr>
      </w:pPr>
      <w:r w:rsidRPr="0094458D">
        <w:rPr>
          <w:bCs/>
          <w:highlight w:val="yellow"/>
        </w:rPr>
        <w:t>Develop a Glossary</w:t>
      </w:r>
      <w:r w:rsidRPr="0094458D">
        <w:rPr>
          <w:highlight w:val="yellow"/>
        </w:rPr>
        <w:t xml:space="preserve"> of </w:t>
      </w:r>
      <w:proofErr w:type="spellStart"/>
      <w:r w:rsidRPr="0094458D">
        <w:rPr>
          <w:highlight w:val="yellow"/>
        </w:rPr>
        <w:t>eHealth</w:t>
      </w:r>
      <w:proofErr w:type="spellEnd"/>
      <w:r w:rsidRPr="0094458D">
        <w:rPr>
          <w:highlight w:val="yellow"/>
        </w:rPr>
        <w:t xml:space="preserve"> terms </w:t>
      </w:r>
    </w:p>
    <w:p w:rsidR="00896746" w:rsidRPr="0094458D" w:rsidRDefault="008042E4" w:rsidP="0044525E">
      <w:pPr>
        <w:numPr>
          <w:ilvl w:val="1"/>
          <w:numId w:val="6"/>
        </w:numPr>
        <w:rPr>
          <w:highlight w:val="yellow"/>
        </w:rPr>
      </w:pPr>
      <w:r w:rsidRPr="0094458D">
        <w:rPr>
          <w:bCs/>
          <w:highlight w:val="yellow"/>
        </w:rPr>
        <w:t>Publish a p</w:t>
      </w:r>
      <w:r w:rsidR="00896746" w:rsidRPr="0094458D">
        <w:rPr>
          <w:bCs/>
          <w:highlight w:val="yellow"/>
        </w:rPr>
        <w:t>osition paper</w:t>
      </w:r>
      <w:r w:rsidR="00896746" w:rsidRPr="0094458D">
        <w:rPr>
          <w:highlight w:val="yellow"/>
        </w:rPr>
        <w:t xml:space="preserve"> as a basis for educational efforts and </w:t>
      </w:r>
      <w:r w:rsidRPr="0094458D">
        <w:rPr>
          <w:highlight w:val="yellow"/>
        </w:rPr>
        <w:t xml:space="preserve">to </w:t>
      </w:r>
      <w:r w:rsidR="00896746" w:rsidRPr="0094458D">
        <w:rPr>
          <w:highlight w:val="yellow"/>
        </w:rPr>
        <w:t>encourag</w:t>
      </w:r>
      <w:r w:rsidRPr="0094458D">
        <w:rPr>
          <w:highlight w:val="yellow"/>
        </w:rPr>
        <w:t>e</w:t>
      </w:r>
      <w:r w:rsidR="00896746" w:rsidRPr="0094458D">
        <w:rPr>
          <w:highlight w:val="yellow"/>
        </w:rPr>
        <w:t xml:space="preserve"> forward momentum </w:t>
      </w:r>
    </w:p>
    <w:p w:rsidR="00896746" w:rsidRPr="0094458D" w:rsidRDefault="00896746" w:rsidP="0044525E">
      <w:pPr>
        <w:numPr>
          <w:ilvl w:val="1"/>
          <w:numId w:val="6"/>
        </w:numPr>
        <w:rPr>
          <w:highlight w:val="yellow"/>
        </w:rPr>
      </w:pPr>
      <w:r w:rsidRPr="0094458D">
        <w:rPr>
          <w:bCs/>
          <w:highlight w:val="yellow"/>
        </w:rPr>
        <w:t>Map</w:t>
      </w:r>
      <w:r w:rsidRPr="0094458D">
        <w:rPr>
          <w:highlight w:val="yellow"/>
        </w:rPr>
        <w:t xml:space="preserve"> existing e-Health (pilot) projects</w:t>
      </w:r>
      <w:r w:rsidR="008042E4" w:rsidRPr="0094458D">
        <w:rPr>
          <w:highlight w:val="yellow"/>
        </w:rPr>
        <w:t xml:space="preserve"> in cardiovascular disease and its prevention</w:t>
      </w:r>
      <w:r w:rsidRPr="0094458D">
        <w:rPr>
          <w:highlight w:val="yellow"/>
        </w:rPr>
        <w:t xml:space="preserve"> </w:t>
      </w:r>
    </w:p>
    <w:p w:rsidR="002E5AA0" w:rsidRPr="0094458D" w:rsidRDefault="002E5AA0" w:rsidP="0044525E">
      <w:pPr>
        <w:numPr>
          <w:ilvl w:val="1"/>
          <w:numId w:val="6"/>
        </w:numPr>
        <w:rPr>
          <w:b/>
          <w:highlight w:val="yellow"/>
        </w:rPr>
      </w:pPr>
      <w:proofErr w:type="spellStart"/>
      <w:r w:rsidRPr="0094458D">
        <w:rPr>
          <w:highlight w:val="yellow"/>
        </w:rPr>
        <w:t>Organis</w:t>
      </w:r>
      <w:r w:rsidR="008042E4" w:rsidRPr="0094458D">
        <w:rPr>
          <w:highlight w:val="yellow"/>
        </w:rPr>
        <w:t>e</w:t>
      </w:r>
      <w:proofErr w:type="spellEnd"/>
      <w:r w:rsidRPr="0094458D">
        <w:rPr>
          <w:highlight w:val="yellow"/>
        </w:rPr>
        <w:t xml:space="preserve"> a summit </w:t>
      </w:r>
      <w:r w:rsidR="008042E4" w:rsidRPr="0094458D">
        <w:rPr>
          <w:highlight w:val="yellow"/>
        </w:rPr>
        <w:t xml:space="preserve">to </w:t>
      </w:r>
      <w:r w:rsidRPr="0094458D">
        <w:rPr>
          <w:highlight w:val="yellow"/>
        </w:rPr>
        <w:t xml:space="preserve">bring together consumer and patient </w:t>
      </w:r>
      <w:proofErr w:type="spellStart"/>
      <w:r w:rsidRPr="0094458D">
        <w:rPr>
          <w:highlight w:val="yellow"/>
        </w:rPr>
        <w:t>organisations</w:t>
      </w:r>
      <w:proofErr w:type="spellEnd"/>
      <w:r w:rsidRPr="0094458D">
        <w:rPr>
          <w:highlight w:val="yellow"/>
        </w:rPr>
        <w:t xml:space="preserve">, health professionals and health </w:t>
      </w:r>
      <w:proofErr w:type="spellStart"/>
      <w:r w:rsidRPr="0094458D">
        <w:rPr>
          <w:highlight w:val="yellow"/>
        </w:rPr>
        <w:t>organisations</w:t>
      </w:r>
      <w:proofErr w:type="spellEnd"/>
      <w:r w:rsidRPr="0094458D">
        <w:rPr>
          <w:highlight w:val="yellow"/>
        </w:rPr>
        <w:t xml:space="preserve">, public authorities, App developers, telecommunication service providers, </w:t>
      </w:r>
      <w:r w:rsidR="008042E4" w:rsidRPr="0094458D">
        <w:rPr>
          <w:highlight w:val="yellow"/>
        </w:rPr>
        <w:t xml:space="preserve">and </w:t>
      </w:r>
      <w:r w:rsidRPr="0094458D">
        <w:rPr>
          <w:highlight w:val="yellow"/>
        </w:rPr>
        <w:t xml:space="preserve">mobile device manufacturers </w:t>
      </w:r>
      <w:r w:rsidR="008042E4" w:rsidRPr="0094458D">
        <w:rPr>
          <w:highlight w:val="yellow"/>
        </w:rPr>
        <w:t xml:space="preserve">with </w:t>
      </w:r>
      <w:r w:rsidRPr="0094458D">
        <w:rPr>
          <w:highlight w:val="yellow"/>
        </w:rPr>
        <w:t xml:space="preserve">the </w:t>
      </w:r>
      <w:r w:rsidR="008A1318" w:rsidRPr="0094458D">
        <w:rPr>
          <w:highlight w:val="yellow"/>
        </w:rPr>
        <w:t>ultimate</w:t>
      </w:r>
      <w:r w:rsidRPr="0094458D">
        <w:rPr>
          <w:highlight w:val="yellow"/>
        </w:rPr>
        <w:t xml:space="preserve"> objective to</w:t>
      </w:r>
      <w:r w:rsidR="008042E4" w:rsidRPr="0094458D">
        <w:rPr>
          <w:highlight w:val="yellow"/>
        </w:rPr>
        <w:t xml:space="preserve"> develop a roadmap related to</w:t>
      </w:r>
      <w:r w:rsidR="008A1318" w:rsidRPr="0094458D">
        <w:rPr>
          <w:highlight w:val="yellow"/>
        </w:rPr>
        <w:t xml:space="preserve">: </w:t>
      </w:r>
    </w:p>
    <w:p w:rsidR="00896746" w:rsidRPr="0094458D" w:rsidRDefault="008042E4" w:rsidP="00AC6B67">
      <w:pPr>
        <w:pStyle w:val="ListParagraph"/>
        <w:numPr>
          <w:ilvl w:val="0"/>
          <w:numId w:val="9"/>
        </w:numPr>
        <w:rPr>
          <w:highlight w:val="yellow"/>
        </w:rPr>
      </w:pPr>
      <w:r w:rsidRPr="0094458D">
        <w:rPr>
          <w:highlight w:val="yellow"/>
        </w:rPr>
        <w:t>the development of evaluation</w:t>
      </w:r>
      <w:r w:rsidR="00896746" w:rsidRPr="0094458D">
        <w:rPr>
          <w:bCs/>
          <w:highlight w:val="yellow"/>
        </w:rPr>
        <w:t xml:space="preserve"> standards/criteria </w:t>
      </w:r>
      <w:r w:rsidR="00896746" w:rsidRPr="0094458D">
        <w:rPr>
          <w:highlight w:val="yellow"/>
        </w:rPr>
        <w:t xml:space="preserve">for electronic tools </w:t>
      </w:r>
    </w:p>
    <w:p w:rsidR="00896746" w:rsidRPr="0094458D" w:rsidRDefault="008042E4" w:rsidP="00AC6B67">
      <w:pPr>
        <w:pStyle w:val="ListParagraph"/>
        <w:numPr>
          <w:ilvl w:val="0"/>
          <w:numId w:val="9"/>
        </w:numPr>
        <w:rPr>
          <w:highlight w:val="yellow"/>
        </w:rPr>
      </w:pPr>
      <w:r w:rsidRPr="0094458D">
        <w:rPr>
          <w:bCs/>
          <w:highlight w:val="yellow"/>
        </w:rPr>
        <w:t xml:space="preserve">closer collaboration with </w:t>
      </w:r>
      <w:r w:rsidR="00896746" w:rsidRPr="0094458D">
        <w:rPr>
          <w:highlight w:val="yellow"/>
        </w:rPr>
        <w:t>innovative IT companies on existing ESC activities (</w:t>
      </w:r>
      <w:r w:rsidRPr="0094458D">
        <w:rPr>
          <w:highlight w:val="yellow"/>
        </w:rPr>
        <w:t xml:space="preserve">such as </w:t>
      </w:r>
      <w:r w:rsidR="00896746" w:rsidRPr="0094458D">
        <w:rPr>
          <w:highlight w:val="yellow"/>
        </w:rPr>
        <w:t>Congresses)</w:t>
      </w:r>
      <w:r w:rsidRPr="0094458D">
        <w:rPr>
          <w:highlight w:val="yellow"/>
        </w:rPr>
        <w:t xml:space="preserve"> and</w:t>
      </w:r>
      <w:r w:rsidR="00896746" w:rsidRPr="0094458D">
        <w:rPr>
          <w:highlight w:val="yellow"/>
        </w:rPr>
        <w:t xml:space="preserve"> </w:t>
      </w:r>
      <w:r w:rsidR="0094458D">
        <w:rPr>
          <w:highlight w:val="yellow"/>
        </w:rPr>
        <w:t xml:space="preserve">the exploration of </w:t>
      </w:r>
      <w:r w:rsidR="00896746" w:rsidRPr="0094458D">
        <w:rPr>
          <w:highlight w:val="yellow"/>
        </w:rPr>
        <w:t xml:space="preserve">new activities </w:t>
      </w:r>
    </w:p>
    <w:p w:rsidR="00896746" w:rsidRPr="0094458D" w:rsidRDefault="008042E4" w:rsidP="00AC6B67">
      <w:pPr>
        <w:pStyle w:val="ListParagraph"/>
        <w:numPr>
          <w:ilvl w:val="0"/>
          <w:numId w:val="9"/>
        </w:numPr>
        <w:rPr>
          <w:highlight w:val="yellow"/>
        </w:rPr>
      </w:pPr>
      <w:r w:rsidRPr="0094458D">
        <w:rPr>
          <w:highlight w:val="yellow"/>
        </w:rPr>
        <w:t xml:space="preserve">the development and dissemination of </w:t>
      </w:r>
      <w:r w:rsidR="00896746" w:rsidRPr="0094458D">
        <w:rPr>
          <w:highlight w:val="yellow"/>
        </w:rPr>
        <w:t xml:space="preserve">guidelines for </w:t>
      </w:r>
      <w:r w:rsidRPr="0094458D">
        <w:rPr>
          <w:highlight w:val="yellow"/>
        </w:rPr>
        <w:t xml:space="preserve">the </w:t>
      </w:r>
      <w:r w:rsidR="00896746" w:rsidRPr="0094458D">
        <w:rPr>
          <w:bCs/>
          <w:highlight w:val="yellow"/>
        </w:rPr>
        <w:t>design</w:t>
      </w:r>
      <w:r w:rsidR="00896746" w:rsidRPr="0094458D">
        <w:rPr>
          <w:highlight w:val="yellow"/>
        </w:rPr>
        <w:t xml:space="preserve"> of e-health trials, including appropriate endpoints </w:t>
      </w:r>
    </w:p>
    <w:p w:rsidR="00896746" w:rsidRPr="0094458D" w:rsidRDefault="008042E4" w:rsidP="00AC6B67">
      <w:pPr>
        <w:pStyle w:val="ListParagraph"/>
        <w:numPr>
          <w:ilvl w:val="0"/>
          <w:numId w:val="9"/>
        </w:numPr>
        <w:rPr>
          <w:highlight w:val="yellow"/>
        </w:rPr>
      </w:pPr>
      <w:r w:rsidRPr="0094458D">
        <w:rPr>
          <w:highlight w:val="yellow"/>
        </w:rPr>
        <w:t xml:space="preserve">the development of </w:t>
      </w:r>
      <w:r w:rsidR="00896746" w:rsidRPr="0094458D">
        <w:rPr>
          <w:highlight w:val="yellow"/>
        </w:rPr>
        <w:t xml:space="preserve">guidelines on </w:t>
      </w:r>
      <w:r w:rsidRPr="0094458D">
        <w:rPr>
          <w:highlight w:val="yellow"/>
        </w:rPr>
        <w:t xml:space="preserve">the </w:t>
      </w:r>
      <w:r w:rsidR="00896746" w:rsidRPr="0094458D">
        <w:rPr>
          <w:highlight w:val="yellow"/>
        </w:rPr>
        <w:t xml:space="preserve">proper </w:t>
      </w:r>
      <w:r w:rsidR="00896746" w:rsidRPr="0094458D">
        <w:rPr>
          <w:bCs/>
          <w:highlight w:val="yellow"/>
        </w:rPr>
        <w:t>conduct</w:t>
      </w:r>
      <w:r w:rsidR="00896746" w:rsidRPr="0094458D">
        <w:rPr>
          <w:highlight w:val="yellow"/>
        </w:rPr>
        <w:t xml:space="preserve"> of e-health studies and implementation of e-health (code of ethics, standards, professional involvement)</w:t>
      </w:r>
    </w:p>
    <w:p w:rsidR="008042E4" w:rsidRPr="0094458D" w:rsidRDefault="008042E4" w:rsidP="00AC6B67">
      <w:pPr>
        <w:pStyle w:val="ListParagraph"/>
        <w:numPr>
          <w:ilvl w:val="0"/>
          <w:numId w:val="9"/>
        </w:numPr>
        <w:rPr>
          <w:highlight w:val="yellow"/>
        </w:rPr>
      </w:pPr>
      <w:r w:rsidRPr="0094458D">
        <w:rPr>
          <w:highlight w:val="yellow"/>
        </w:rPr>
        <w:lastRenderedPageBreak/>
        <w:t>supporting appropriate reimbursement discussions and decisions, thereby facilitating implementation of sustainable evidence-based e-health solutions</w:t>
      </w:r>
    </w:p>
    <w:p w:rsidR="00896746" w:rsidRPr="0094458D" w:rsidRDefault="00896746" w:rsidP="00AC6B67">
      <w:pPr>
        <w:numPr>
          <w:ilvl w:val="0"/>
          <w:numId w:val="8"/>
        </w:numPr>
        <w:rPr>
          <w:highlight w:val="yellow"/>
        </w:rPr>
      </w:pPr>
      <w:r w:rsidRPr="0094458D">
        <w:rPr>
          <w:highlight w:val="yellow"/>
        </w:rPr>
        <w:t>Ensure e-Health clinical trials and other assessments appropriately examine clinical and cost-effecti</w:t>
      </w:r>
      <w:r w:rsidR="002E5AA0" w:rsidRPr="0094458D">
        <w:rPr>
          <w:highlight w:val="yellow"/>
        </w:rPr>
        <w:t xml:space="preserve">veness, and </w:t>
      </w:r>
      <w:r w:rsidR="00111E6F" w:rsidRPr="0094458D">
        <w:rPr>
          <w:highlight w:val="yellow"/>
        </w:rPr>
        <w:t xml:space="preserve">include the </w:t>
      </w:r>
      <w:r w:rsidR="002E5AA0" w:rsidRPr="0094458D">
        <w:rPr>
          <w:highlight w:val="yellow"/>
        </w:rPr>
        <w:t>patient perspective</w:t>
      </w:r>
    </w:p>
    <w:p w:rsidR="0044525E" w:rsidRPr="0044525E" w:rsidRDefault="0044525E">
      <w:pPr>
        <w:rPr>
          <w:b/>
        </w:rPr>
      </w:pPr>
    </w:p>
    <w:p w:rsidR="002F72E9" w:rsidRDefault="00894346">
      <w:r>
        <w:rPr>
          <w:b/>
        </w:rPr>
        <w:t>Timeline</w:t>
      </w:r>
    </w:p>
    <w:p w:rsidR="00894346" w:rsidRPr="00894346" w:rsidRDefault="00894346">
      <w:r>
        <w:t xml:space="preserve">The ESC will work to achieve these objectives from this point onwards, but will review progress </w:t>
      </w:r>
      <w:r w:rsidR="002B7B7C">
        <w:t>at least annually.</w:t>
      </w:r>
      <w:r>
        <w:t xml:space="preserve"> The e-health agenda moves very rapidly, and it is important that the ESC is flexible enough to adapt to this changing agenda.</w:t>
      </w:r>
      <w:r w:rsidR="00362E3C">
        <w:t xml:space="preserve"> </w:t>
      </w:r>
    </w:p>
    <w:p w:rsidR="0034485A" w:rsidRDefault="0034485A"/>
    <w:p w:rsidR="00362E3C" w:rsidRDefault="00362E3C">
      <w:pPr>
        <w:rPr>
          <w:b/>
        </w:rPr>
      </w:pPr>
      <w:r>
        <w:rPr>
          <w:b/>
        </w:rPr>
        <w:br w:type="page"/>
      </w:r>
    </w:p>
    <w:p w:rsidR="0034485A" w:rsidRPr="00E57D9E" w:rsidRDefault="0034485A">
      <w:pPr>
        <w:rPr>
          <w:b/>
        </w:rPr>
      </w:pPr>
      <w:r w:rsidRPr="00E57D9E">
        <w:rPr>
          <w:b/>
        </w:rPr>
        <w:lastRenderedPageBreak/>
        <w:t>References</w:t>
      </w:r>
    </w:p>
    <w:p w:rsidR="00316065" w:rsidRPr="00316065" w:rsidRDefault="00540550" w:rsidP="00316065">
      <w:pPr>
        <w:pStyle w:val="ListParagraph"/>
        <w:numPr>
          <w:ilvl w:val="0"/>
          <w:numId w:val="2"/>
        </w:numPr>
      </w:pPr>
      <w:r w:rsidRPr="00316065">
        <w:t>World Health Organization Resolution WHA58.28</w:t>
      </w:r>
      <w:r w:rsidR="001C6ADF" w:rsidRPr="00316065">
        <w:t xml:space="preserve"> on e-health</w:t>
      </w:r>
      <w:r w:rsidRPr="00316065">
        <w:t>.</w:t>
      </w:r>
      <w:r w:rsidR="001C6ADF" w:rsidRPr="00316065">
        <w:t xml:space="preserve"> 58</w:t>
      </w:r>
      <w:r w:rsidR="001C6ADF" w:rsidRPr="00316065">
        <w:rPr>
          <w:vertAlign w:val="superscript"/>
        </w:rPr>
        <w:t>th</w:t>
      </w:r>
      <w:r w:rsidR="001C6ADF" w:rsidRPr="00316065">
        <w:t xml:space="preserve"> World Health Assembly, Geneva, Switzerland, 2005.</w:t>
      </w:r>
      <w:r w:rsidRPr="00316065">
        <w:t xml:space="preserve"> </w:t>
      </w:r>
      <w:hyperlink r:id="rId8" w:history="1">
        <w:r w:rsidR="006A5C5B" w:rsidRPr="00316065">
          <w:t xml:space="preserve"> </w:t>
        </w:r>
      </w:hyperlink>
      <w:r w:rsidR="001C6ADF" w:rsidRPr="00316065">
        <w:t xml:space="preserve"> </w:t>
      </w:r>
      <w:hyperlink r:id="rId9" w:history="1">
        <w:r w:rsidR="001C6ADF" w:rsidRPr="00316065">
          <w:rPr>
            <w:rStyle w:val="Hyperlink"/>
          </w:rPr>
          <w:t>http://extranet.who.int/iris/bitstream/10665/20378/1/WHA58_28-en.pdf?ua=1</w:t>
        </w:r>
      </w:hyperlink>
      <w:r w:rsidR="001C6ADF" w:rsidRPr="00316065">
        <w:t xml:space="preserve"> </w:t>
      </w:r>
      <w:r w:rsidRPr="00316065">
        <w:t xml:space="preserve">  (1 June 2016)</w:t>
      </w:r>
      <w:r w:rsidR="00316065" w:rsidRPr="00316065">
        <w:t xml:space="preserve"> </w:t>
      </w:r>
    </w:p>
    <w:p w:rsidR="0034485A" w:rsidRPr="00316065" w:rsidRDefault="00316065" w:rsidP="00540550">
      <w:pPr>
        <w:pStyle w:val="ListParagraph"/>
        <w:numPr>
          <w:ilvl w:val="0"/>
          <w:numId w:val="2"/>
        </w:numPr>
      </w:pPr>
      <w:r w:rsidRPr="00316065">
        <w:t xml:space="preserve">Cowie MR, Chronaki CE, Vardas P. E-health innovation: time for engagement with the cardiology community. </w:t>
      </w:r>
      <w:proofErr w:type="spellStart"/>
      <w:r w:rsidRPr="00316065">
        <w:t>Eur</w:t>
      </w:r>
      <w:proofErr w:type="spellEnd"/>
      <w:r w:rsidRPr="00316065">
        <w:t xml:space="preserve"> Heart J 2013; 34: 1864 – 68. </w:t>
      </w:r>
    </w:p>
    <w:p w:rsidR="00540550" w:rsidRDefault="005F50FF" w:rsidP="00540550">
      <w:pPr>
        <w:pStyle w:val="ListParagraph"/>
        <w:numPr>
          <w:ilvl w:val="0"/>
          <w:numId w:val="2"/>
        </w:numPr>
      </w:pPr>
      <w:r w:rsidRPr="00316065">
        <w:t xml:space="preserve">COCIR Telemedicine toolkit for a better deployment and use of </w:t>
      </w:r>
      <w:proofErr w:type="spellStart"/>
      <w:r w:rsidRPr="00316065">
        <w:t>Telehealth</w:t>
      </w:r>
      <w:proofErr w:type="spellEnd"/>
      <w:r w:rsidRPr="00316065">
        <w:t xml:space="preserve">. March 2010. </w:t>
      </w:r>
      <w:hyperlink r:id="rId10" w:history="1">
        <w:r w:rsidR="00316065" w:rsidRPr="00316065">
          <w:rPr>
            <w:rStyle w:val="Hyperlink"/>
          </w:rPr>
          <w:t>http://www.cocir.org/site/fileadmin/Publications_2011/telemedicine_toolkit_link2.pdf</w:t>
        </w:r>
      </w:hyperlink>
      <w:r w:rsidR="00316065" w:rsidRPr="00316065">
        <w:t xml:space="preserve">  </w:t>
      </w:r>
      <w:r w:rsidRPr="00316065">
        <w:t>(1 June 2016)</w:t>
      </w:r>
    </w:p>
    <w:p w:rsidR="003711AD" w:rsidRDefault="003711AD" w:rsidP="00540550">
      <w:pPr>
        <w:pStyle w:val="ListParagraph"/>
        <w:numPr>
          <w:ilvl w:val="0"/>
          <w:numId w:val="2"/>
        </w:numPr>
      </w:pPr>
      <w:r>
        <w:t xml:space="preserve">Laney D. 3D data management: controlling data volume, velocity and variety. Meta Group, 6 February 2001. Available at: </w:t>
      </w:r>
      <w:hyperlink r:id="rId11" w:history="1">
        <w:r w:rsidRPr="00361CAC">
          <w:rPr>
            <w:rStyle w:val="Hyperlink"/>
          </w:rPr>
          <w:t>http://blogs.gartner.com/doug-laney/files/2012/01/ad949-3D-Data-Management-Controlling-Data-Volume-Velocity-and-Variety.pdf (</w:t>
        </w:r>
        <w:r w:rsidRPr="003711AD">
          <w:rPr>
            <w:rStyle w:val="Hyperlink"/>
            <w:color w:val="auto"/>
          </w:rPr>
          <w:t>21</w:t>
        </w:r>
      </w:hyperlink>
      <w:r>
        <w:t xml:space="preserve"> September 2014).</w:t>
      </w:r>
    </w:p>
    <w:p w:rsidR="003711AD" w:rsidRPr="00316065" w:rsidRDefault="003711AD" w:rsidP="00540550">
      <w:pPr>
        <w:pStyle w:val="ListParagraph"/>
        <w:numPr>
          <w:ilvl w:val="0"/>
          <w:numId w:val="2"/>
        </w:numPr>
      </w:pPr>
      <w:r>
        <w:t xml:space="preserve">Weber GM, </w:t>
      </w:r>
      <w:proofErr w:type="spellStart"/>
      <w:r>
        <w:t>Mandl</w:t>
      </w:r>
      <w:proofErr w:type="spellEnd"/>
      <w:r>
        <w:t xml:space="preserve"> KD, </w:t>
      </w:r>
      <w:proofErr w:type="spellStart"/>
      <w:r>
        <w:t>Kohane</w:t>
      </w:r>
      <w:proofErr w:type="spellEnd"/>
      <w:r>
        <w:t xml:space="preserve"> IS. Finding the missing link for big biomedical data. </w:t>
      </w:r>
      <w:proofErr w:type="gramStart"/>
      <w:r>
        <w:t>JAMA  -</w:t>
      </w:r>
      <w:proofErr w:type="gramEnd"/>
      <w:r>
        <w:t xml:space="preserve"> published on line 22 May 2014. </w:t>
      </w:r>
    </w:p>
    <w:p w:rsidR="006A5C5B" w:rsidRDefault="006A5C5B" w:rsidP="00540550">
      <w:pPr>
        <w:pStyle w:val="ListParagraph"/>
        <w:numPr>
          <w:ilvl w:val="0"/>
          <w:numId w:val="2"/>
        </w:numPr>
      </w:pPr>
      <w:r>
        <w:t>Bower JL and Christensen, CM. Disruptive technologies: catching the wave. Harvard Business review, Jan-Feb 1995.</w:t>
      </w:r>
    </w:p>
    <w:p w:rsidR="00F03F20" w:rsidRDefault="00F03F20" w:rsidP="00540550">
      <w:pPr>
        <w:pStyle w:val="ListParagraph"/>
        <w:numPr>
          <w:ilvl w:val="0"/>
          <w:numId w:val="2"/>
        </w:numPr>
      </w:pPr>
      <w:r>
        <w:t xml:space="preserve">European Commission. </w:t>
      </w:r>
      <w:proofErr w:type="spellStart"/>
      <w:proofErr w:type="gramStart"/>
      <w:r>
        <w:t>eHealth</w:t>
      </w:r>
      <w:proofErr w:type="spellEnd"/>
      <w:proofErr w:type="gramEnd"/>
      <w:r>
        <w:t xml:space="preserve"> Action Plan 2012-2020 – Innovative healthcare for the 21</w:t>
      </w:r>
      <w:r w:rsidRPr="00F03F20">
        <w:rPr>
          <w:vertAlign w:val="superscript"/>
        </w:rPr>
        <w:t>st</w:t>
      </w:r>
      <w:r>
        <w:t xml:space="preserve"> Century. Communication from the Commission of the European Parliament, </w:t>
      </w:r>
      <w:proofErr w:type="gramStart"/>
      <w:r>
        <w:t>The</w:t>
      </w:r>
      <w:proofErr w:type="gramEnd"/>
      <w:r>
        <w:t xml:space="preserve"> Council, The European Economic and Social Committee, and the Committee of the Regions. Brussels, 6 December 2012. </w:t>
      </w:r>
      <w:hyperlink r:id="rId12" w:history="1">
        <w:r w:rsidR="00F814BC" w:rsidRPr="00F22D88">
          <w:rPr>
            <w:rStyle w:val="Hyperlink"/>
          </w:rPr>
          <w:t>http://ec.europa.eu/information_society/newsroom/cf/dae/document.cfm?doc_id=4188</w:t>
        </w:r>
      </w:hyperlink>
      <w:r w:rsidR="00F814BC">
        <w:t xml:space="preserve"> (1 June 2014)</w:t>
      </w:r>
    </w:p>
    <w:p w:rsidR="009F1EAE" w:rsidRPr="009F1DB8" w:rsidRDefault="009F1DB8" w:rsidP="009F1EAE">
      <w:pPr>
        <w:pStyle w:val="ListParagraph"/>
        <w:numPr>
          <w:ilvl w:val="0"/>
          <w:numId w:val="2"/>
        </w:numPr>
        <w:rPr>
          <w:highlight w:val="yellow"/>
        </w:rPr>
      </w:pPr>
      <w:r w:rsidRPr="009F1DB8">
        <w:rPr>
          <w:highlight w:val="yellow"/>
        </w:rPr>
        <w:t xml:space="preserve">European Commission. Green paper on mobile health (“m-health”). Published Brussels, 10 April 2014. Available at: </w:t>
      </w:r>
      <w:hyperlink r:id="rId13" w:history="1">
        <w:r w:rsidRPr="009F1DB8">
          <w:rPr>
            <w:rStyle w:val="Hyperlink"/>
            <w:highlight w:val="yellow"/>
          </w:rPr>
          <w:t>https://ec.europa.eu/digital-agenda/en/news/green-paper-mobile-health-mhealth</w:t>
        </w:r>
      </w:hyperlink>
      <w:r w:rsidRPr="009F1DB8">
        <w:rPr>
          <w:highlight w:val="yellow"/>
        </w:rPr>
        <w:t xml:space="preserve"> (last accessed 24 June 2015).</w:t>
      </w:r>
    </w:p>
    <w:sectPr w:rsidR="009F1EAE" w:rsidRPr="009F1DB8" w:rsidSect="005B5D79">
      <w:footerReference w:type="default" r:id="rId14"/>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83572" w:rsidRDefault="00D83572" w:rsidP="00AC6B67">
      <w:pPr>
        <w:spacing w:after="0" w:line="240" w:lineRule="auto"/>
      </w:pPr>
      <w:r>
        <w:separator/>
      </w:r>
    </w:p>
  </w:endnote>
  <w:endnote w:type="continuationSeparator" w:id="0">
    <w:p w:rsidR="00D83572" w:rsidRDefault="00D83572" w:rsidP="00AC6B6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6B67" w:rsidRDefault="00AC6B6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83572" w:rsidRDefault="00D83572" w:rsidP="00AC6B67">
      <w:pPr>
        <w:spacing w:after="0" w:line="240" w:lineRule="auto"/>
      </w:pPr>
      <w:r>
        <w:separator/>
      </w:r>
    </w:p>
  </w:footnote>
  <w:footnote w:type="continuationSeparator" w:id="0">
    <w:p w:rsidR="00D83572" w:rsidRDefault="00D83572" w:rsidP="00AC6B6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1E2628"/>
    <w:multiLevelType w:val="hybridMultilevel"/>
    <w:tmpl w:val="3272CDA8"/>
    <w:lvl w:ilvl="0" w:tplc="5D2249D6">
      <w:start w:val="1"/>
      <w:numFmt w:val="bullet"/>
      <w:lvlText w:val="•"/>
      <w:lvlJc w:val="left"/>
      <w:pPr>
        <w:tabs>
          <w:tab w:val="num" w:pos="720"/>
        </w:tabs>
        <w:ind w:left="720" w:hanging="360"/>
      </w:pPr>
      <w:rPr>
        <w:rFonts w:ascii="Arial" w:hAnsi="Arial" w:hint="default"/>
      </w:rPr>
    </w:lvl>
    <w:lvl w:ilvl="1" w:tplc="FA7851C4">
      <w:start w:val="1"/>
      <w:numFmt w:val="bullet"/>
      <w:lvlText w:val="•"/>
      <w:lvlJc w:val="left"/>
      <w:pPr>
        <w:tabs>
          <w:tab w:val="num" w:pos="1440"/>
        </w:tabs>
        <w:ind w:left="1440" w:hanging="360"/>
      </w:pPr>
      <w:rPr>
        <w:rFonts w:ascii="Arial" w:hAnsi="Arial" w:hint="default"/>
      </w:rPr>
    </w:lvl>
    <w:lvl w:ilvl="2" w:tplc="2C08AC3C" w:tentative="1">
      <w:start w:val="1"/>
      <w:numFmt w:val="bullet"/>
      <w:lvlText w:val="•"/>
      <w:lvlJc w:val="left"/>
      <w:pPr>
        <w:tabs>
          <w:tab w:val="num" w:pos="2160"/>
        </w:tabs>
        <w:ind w:left="2160" w:hanging="360"/>
      </w:pPr>
      <w:rPr>
        <w:rFonts w:ascii="Arial" w:hAnsi="Arial" w:hint="default"/>
      </w:rPr>
    </w:lvl>
    <w:lvl w:ilvl="3" w:tplc="20A25A84" w:tentative="1">
      <w:start w:val="1"/>
      <w:numFmt w:val="bullet"/>
      <w:lvlText w:val="•"/>
      <w:lvlJc w:val="left"/>
      <w:pPr>
        <w:tabs>
          <w:tab w:val="num" w:pos="2880"/>
        </w:tabs>
        <w:ind w:left="2880" w:hanging="360"/>
      </w:pPr>
      <w:rPr>
        <w:rFonts w:ascii="Arial" w:hAnsi="Arial" w:hint="default"/>
      </w:rPr>
    </w:lvl>
    <w:lvl w:ilvl="4" w:tplc="F272B430" w:tentative="1">
      <w:start w:val="1"/>
      <w:numFmt w:val="bullet"/>
      <w:lvlText w:val="•"/>
      <w:lvlJc w:val="left"/>
      <w:pPr>
        <w:tabs>
          <w:tab w:val="num" w:pos="3600"/>
        </w:tabs>
        <w:ind w:left="3600" w:hanging="360"/>
      </w:pPr>
      <w:rPr>
        <w:rFonts w:ascii="Arial" w:hAnsi="Arial" w:hint="default"/>
      </w:rPr>
    </w:lvl>
    <w:lvl w:ilvl="5" w:tplc="05780DFE" w:tentative="1">
      <w:start w:val="1"/>
      <w:numFmt w:val="bullet"/>
      <w:lvlText w:val="•"/>
      <w:lvlJc w:val="left"/>
      <w:pPr>
        <w:tabs>
          <w:tab w:val="num" w:pos="4320"/>
        </w:tabs>
        <w:ind w:left="4320" w:hanging="360"/>
      </w:pPr>
      <w:rPr>
        <w:rFonts w:ascii="Arial" w:hAnsi="Arial" w:hint="default"/>
      </w:rPr>
    </w:lvl>
    <w:lvl w:ilvl="6" w:tplc="0750D2E0" w:tentative="1">
      <w:start w:val="1"/>
      <w:numFmt w:val="bullet"/>
      <w:lvlText w:val="•"/>
      <w:lvlJc w:val="left"/>
      <w:pPr>
        <w:tabs>
          <w:tab w:val="num" w:pos="5040"/>
        </w:tabs>
        <w:ind w:left="5040" w:hanging="360"/>
      </w:pPr>
      <w:rPr>
        <w:rFonts w:ascii="Arial" w:hAnsi="Arial" w:hint="default"/>
      </w:rPr>
    </w:lvl>
    <w:lvl w:ilvl="7" w:tplc="7AFEF982" w:tentative="1">
      <w:start w:val="1"/>
      <w:numFmt w:val="bullet"/>
      <w:lvlText w:val="•"/>
      <w:lvlJc w:val="left"/>
      <w:pPr>
        <w:tabs>
          <w:tab w:val="num" w:pos="5760"/>
        </w:tabs>
        <w:ind w:left="5760" w:hanging="360"/>
      </w:pPr>
      <w:rPr>
        <w:rFonts w:ascii="Arial" w:hAnsi="Arial" w:hint="default"/>
      </w:rPr>
    </w:lvl>
    <w:lvl w:ilvl="8" w:tplc="8CFC1910" w:tentative="1">
      <w:start w:val="1"/>
      <w:numFmt w:val="bullet"/>
      <w:lvlText w:val="•"/>
      <w:lvlJc w:val="left"/>
      <w:pPr>
        <w:tabs>
          <w:tab w:val="num" w:pos="6480"/>
        </w:tabs>
        <w:ind w:left="6480" w:hanging="360"/>
      </w:pPr>
      <w:rPr>
        <w:rFonts w:ascii="Arial" w:hAnsi="Arial" w:hint="default"/>
      </w:rPr>
    </w:lvl>
  </w:abstractNum>
  <w:abstractNum w:abstractNumId="1">
    <w:nsid w:val="17FD6E35"/>
    <w:multiLevelType w:val="hybridMultilevel"/>
    <w:tmpl w:val="29CCD67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313D3E31"/>
    <w:multiLevelType w:val="hybridMultilevel"/>
    <w:tmpl w:val="2BE421FA"/>
    <w:lvl w:ilvl="0" w:tplc="44C25894">
      <w:start w:val="1"/>
      <w:numFmt w:val="bullet"/>
      <w:lvlText w:val="•"/>
      <w:lvlJc w:val="left"/>
      <w:pPr>
        <w:tabs>
          <w:tab w:val="num" w:pos="1800"/>
        </w:tabs>
        <w:ind w:left="1800" w:hanging="360"/>
      </w:pPr>
      <w:rPr>
        <w:rFonts w:ascii="Arial" w:hAnsi="Arial" w:hint="default"/>
      </w:rPr>
    </w:lvl>
    <w:lvl w:ilvl="1" w:tplc="C0BC7A76">
      <w:start w:val="1337"/>
      <w:numFmt w:val="bullet"/>
      <w:lvlText w:val="•"/>
      <w:lvlJc w:val="left"/>
      <w:pPr>
        <w:tabs>
          <w:tab w:val="num" w:pos="2520"/>
        </w:tabs>
        <w:ind w:left="2520" w:hanging="360"/>
      </w:pPr>
      <w:rPr>
        <w:rFonts w:ascii="Arial" w:hAnsi="Arial" w:hint="default"/>
      </w:rPr>
    </w:lvl>
    <w:lvl w:ilvl="2" w:tplc="040C000F">
      <w:start w:val="1"/>
      <w:numFmt w:val="decimal"/>
      <w:lvlText w:val="%3."/>
      <w:lvlJc w:val="left"/>
      <w:pPr>
        <w:tabs>
          <w:tab w:val="num" w:pos="3240"/>
        </w:tabs>
        <w:ind w:left="3240" w:hanging="360"/>
      </w:pPr>
      <w:rPr>
        <w:rFonts w:hint="default"/>
      </w:rPr>
    </w:lvl>
    <w:lvl w:ilvl="3" w:tplc="896A19F4" w:tentative="1">
      <w:start w:val="1"/>
      <w:numFmt w:val="bullet"/>
      <w:lvlText w:val="•"/>
      <w:lvlJc w:val="left"/>
      <w:pPr>
        <w:tabs>
          <w:tab w:val="num" w:pos="3960"/>
        </w:tabs>
        <w:ind w:left="3960" w:hanging="360"/>
      </w:pPr>
      <w:rPr>
        <w:rFonts w:ascii="Arial" w:hAnsi="Arial" w:hint="default"/>
      </w:rPr>
    </w:lvl>
    <w:lvl w:ilvl="4" w:tplc="F26CE04E" w:tentative="1">
      <w:start w:val="1"/>
      <w:numFmt w:val="bullet"/>
      <w:lvlText w:val="•"/>
      <w:lvlJc w:val="left"/>
      <w:pPr>
        <w:tabs>
          <w:tab w:val="num" w:pos="4680"/>
        </w:tabs>
        <w:ind w:left="4680" w:hanging="360"/>
      </w:pPr>
      <w:rPr>
        <w:rFonts w:ascii="Arial" w:hAnsi="Arial" w:hint="default"/>
      </w:rPr>
    </w:lvl>
    <w:lvl w:ilvl="5" w:tplc="A9301542" w:tentative="1">
      <w:start w:val="1"/>
      <w:numFmt w:val="bullet"/>
      <w:lvlText w:val="•"/>
      <w:lvlJc w:val="left"/>
      <w:pPr>
        <w:tabs>
          <w:tab w:val="num" w:pos="5400"/>
        </w:tabs>
        <w:ind w:left="5400" w:hanging="360"/>
      </w:pPr>
      <w:rPr>
        <w:rFonts w:ascii="Arial" w:hAnsi="Arial" w:hint="default"/>
      </w:rPr>
    </w:lvl>
    <w:lvl w:ilvl="6" w:tplc="D97E2F2C" w:tentative="1">
      <w:start w:val="1"/>
      <w:numFmt w:val="bullet"/>
      <w:lvlText w:val="•"/>
      <w:lvlJc w:val="left"/>
      <w:pPr>
        <w:tabs>
          <w:tab w:val="num" w:pos="6120"/>
        </w:tabs>
        <w:ind w:left="6120" w:hanging="360"/>
      </w:pPr>
      <w:rPr>
        <w:rFonts w:ascii="Arial" w:hAnsi="Arial" w:hint="default"/>
      </w:rPr>
    </w:lvl>
    <w:lvl w:ilvl="7" w:tplc="29B68272" w:tentative="1">
      <w:start w:val="1"/>
      <w:numFmt w:val="bullet"/>
      <w:lvlText w:val="•"/>
      <w:lvlJc w:val="left"/>
      <w:pPr>
        <w:tabs>
          <w:tab w:val="num" w:pos="6840"/>
        </w:tabs>
        <w:ind w:left="6840" w:hanging="360"/>
      </w:pPr>
      <w:rPr>
        <w:rFonts w:ascii="Arial" w:hAnsi="Arial" w:hint="default"/>
      </w:rPr>
    </w:lvl>
    <w:lvl w:ilvl="8" w:tplc="C00AC376" w:tentative="1">
      <w:start w:val="1"/>
      <w:numFmt w:val="bullet"/>
      <w:lvlText w:val="•"/>
      <w:lvlJc w:val="left"/>
      <w:pPr>
        <w:tabs>
          <w:tab w:val="num" w:pos="7560"/>
        </w:tabs>
        <w:ind w:left="7560" w:hanging="360"/>
      </w:pPr>
      <w:rPr>
        <w:rFonts w:ascii="Arial" w:hAnsi="Arial" w:hint="default"/>
      </w:rPr>
    </w:lvl>
  </w:abstractNum>
  <w:abstractNum w:abstractNumId="3">
    <w:nsid w:val="33755CA3"/>
    <w:multiLevelType w:val="hybridMultilevel"/>
    <w:tmpl w:val="53147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5CD305C"/>
    <w:multiLevelType w:val="hybridMultilevel"/>
    <w:tmpl w:val="F02209FC"/>
    <w:lvl w:ilvl="0" w:tplc="44C25894">
      <w:start w:val="1"/>
      <w:numFmt w:val="bullet"/>
      <w:lvlText w:val="•"/>
      <w:lvlJc w:val="left"/>
      <w:pPr>
        <w:tabs>
          <w:tab w:val="num" w:pos="720"/>
        </w:tabs>
        <w:ind w:left="720" w:hanging="360"/>
      </w:pPr>
      <w:rPr>
        <w:rFonts w:ascii="Arial" w:hAnsi="Arial" w:hint="default"/>
      </w:rPr>
    </w:lvl>
    <w:lvl w:ilvl="1" w:tplc="C0BC7A76">
      <w:start w:val="1337"/>
      <w:numFmt w:val="bullet"/>
      <w:lvlText w:val="•"/>
      <w:lvlJc w:val="left"/>
      <w:pPr>
        <w:tabs>
          <w:tab w:val="num" w:pos="1440"/>
        </w:tabs>
        <w:ind w:left="1440" w:hanging="360"/>
      </w:pPr>
      <w:rPr>
        <w:rFonts w:ascii="Arial" w:hAnsi="Arial" w:hint="default"/>
      </w:rPr>
    </w:lvl>
    <w:lvl w:ilvl="2" w:tplc="61A45BBA">
      <w:start w:val="1"/>
      <w:numFmt w:val="bullet"/>
      <w:lvlText w:val="•"/>
      <w:lvlJc w:val="left"/>
      <w:pPr>
        <w:tabs>
          <w:tab w:val="num" w:pos="2160"/>
        </w:tabs>
        <w:ind w:left="2160" w:hanging="360"/>
      </w:pPr>
      <w:rPr>
        <w:rFonts w:ascii="Arial" w:hAnsi="Arial" w:hint="default"/>
      </w:rPr>
    </w:lvl>
    <w:lvl w:ilvl="3" w:tplc="896A19F4" w:tentative="1">
      <w:start w:val="1"/>
      <w:numFmt w:val="bullet"/>
      <w:lvlText w:val="•"/>
      <w:lvlJc w:val="left"/>
      <w:pPr>
        <w:tabs>
          <w:tab w:val="num" w:pos="2880"/>
        </w:tabs>
        <w:ind w:left="2880" w:hanging="360"/>
      </w:pPr>
      <w:rPr>
        <w:rFonts w:ascii="Arial" w:hAnsi="Arial" w:hint="default"/>
      </w:rPr>
    </w:lvl>
    <w:lvl w:ilvl="4" w:tplc="F26CE04E" w:tentative="1">
      <w:start w:val="1"/>
      <w:numFmt w:val="bullet"/>
      <w:lvlText w:val="•"/>
      <w:lvlJc w:val="left"/>
      <w:pPr>
        <w:tabs>
          <w:tab w:val="num" w:pos="3600"/>
        </w:tabs>
        <w:ind w:left="3600" w:hanging="360"/>
      </w:pPr>
      <w:rPr>
        <w:rFonts w:ascii="Arial" w:hAnsi="Arial" w:hint="default"/>
      </w:rPr>
    </w:lvl>
    <w:lvl w:ilvl="5" w:tplc="A9301542" w:tentative="1">
      <w:start w:val="1"/>
      <w:numFmt w:val="bullet"/>
      <w:lvlText w:val="•"/>
      <w:lvlJc w:val="left"/>
      <w:pPr>
        <w:tabs>
          <w:tab w:val="num" w:pos="4320"/>
        </w:tabs>
        <w:ind w:left="4320" w:hanging="360"/>
      </w:pPr>
      <w:rPr>
        <w:rFonts w:ascii="Arial" w:hAnsi="Arial" w:hint="default"/>
      </w:rPr>
    </w:lvl>
    <w:lvl w:ilvl="6" w:tplc="D97E2F2C" w:tentative="1">
      <w:start w:val="1"/>
      <w:numFmt w:val="bullet"/>
      <w:lvlText w:val="•"/>
      <w:lvlJc w:val="left"/>
      <w:pPr>
        <w:tabs>
          <w:tab w:val="num" w:pos="5040"/>
        </w:tabs>
        <w:ind w:left="5040" w:hanging="360"/>
      </w:pPr>
      <w:rPr>
        <w:rFonts w:ascii="Arial" w:hAnsi="Arial" w:hint="default"/>
      </w:rPr>
    </w:lvl>
    <w:lvl w:ilvl="7" w:tplc="29B68272" w:tentative="1">
      <w:start w:val="1"/>
      <w:numFmt w:val="bullet"/>
      <w:lvlText w:val="•"/>
      <w:lvlJc w:val="left"/>
      <w:pPr>
        <w:tabs>
          <w:tab w:val="num" w:pos="5760"/>
        </w:tabs>
        <w:ind w:left="5760" w:hanging="360"/>
      </w:pPr>
      <w:rPr>
        <w:rFonts w:ascii="Arial" w:hAnsi="Arial" w:hint="default"/>
      </w:rPr>
    </w:lvl>
    <w:lvl w:ilvl="8" w:tplc="C00AC376" w:tentative="1">
      <w:start w:val="1"/>
      <w:numFmt w:val="bullet"/>
      <w:lvlText w:val="•"/>
      <w:lvlJc w:val="left"/>
      <w:pPr>
        <w:tabs>
          <w:tab w:val="num" w:pos="6480"/>
        </w:tabs>
        <w:ind w:left="6480" w:hanging="360"/>
      </w:pPr>
      <w:rPr>
        <w:rFonts w:ascii="Arial" w:hAnsi="Arial" w:hint="default"/>
      </w:rPr>
    </w:lvl>
  </w:abstractNum>
  <w:abstractNum w:abstractNumId="5">
    <w:nsid w:val="4E07223C"/>
    <w:multiLevelType w:val="hybridMultilevel"/>
    <w:tmpl w:val="39D640E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692E493E"/>
    <w:multiLevelType w:val="hybridMultilevel"/>
    <w:tmpl w:val="39141426"/>
    <w:lvl w:ilvl="0" w:tplc="0809000F">
      <w:start w:val="1"/>
      <w:numFmt w:val="decimal"/>
      <w:lvlText w:val="%1."/>
      <w:lvlJc w:val="left"/>
      <w:pPr>
        <w:ind w:left="2520" w:hanging="360"/>
      </w:p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7">
    <w:nsid w:val="73357697"/>
    <w:multiLevelType w:val="hybridMultilevel"/>
    <w:tmpl w:val="B3766E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7F745BEF"/>
    <w:multiLevelType w:val="hybridMultilevel"/>
    <w:tmpl w:val="38FC70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8"/>
  </w:num>
  <w:num w:numId="3">
    <w:abstractNumId w:val="3"/>
  </w:num>
  <w:num w:numId="4">
    <w:abstractNumId w:val="7"/>
  </w:num>
  <w:num w:numId="5">
    <w:abstractNumId w:val="5"/>
  </w:num>
  <w:num w:numId="6">
    <w:abstractNumId w:val="4"/>
  </w:num>
  <w:num w:numId="7">
    <w:abstractNumId w:val="0"/>
  </w:num>
  <w:num w:numId="8">
    <w:abstractNumId w:val="2"/>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20"/>
  <w:hyphenationZone w:val="425"/>
  <w:characterSpacingControl w:val="doNotCompress"/>
  <w:footnotePr>
    <w:footnote w:id="-1"/>
    <w:footnote w:id="0"/>
  </w:footnotePr>
  <w:endnotePr>
    <w:endnote w:id="-1"/>
    <w:endnote w:id="0"/>
  </w:endnotePr>
  <w:compat>
    <w:useFELayout/>
  </w:compat>
  <w:rsids>
    <w:rsidRoot w:val="0034485A"/>
    <w:rsid w:val="00024AE7"/>
    <w:rsid w:val="00056336"/>
    <w:rsid w:val="00066F31"/>
    <w:rsid w:val="000A13E9"/>
    <w:rsid w:val="00111E6F"/>
    <w:rsid w:val="001435DB"/>
    <w:rsid w:val="00172E15"/>
    <w:rsid w:val="001C6ADF"/>
    <w:rsid w:val="001E034B"/>
    <w:rsid w:val="0020283D"/>
    <w:rsid w:val="00237B1D"/>
    <w:rsid w:val="002428F3"/>
    <w:rsid w:val="00245FE2"/>
    <w:rsid w:val="00264098"/>
    <w:rsid w:val="00265674"/>
    <w:rsid w:val="00265726"/>
    <w:rsid w:val="002B7B7C"/>
    <w:rsid w:val="002E5AA0"/>
    <w:rsid w:val="002F4348"/>
    <w:rsid w:val="002F72E9"/>
    <w:rsid w:val="0031029B"/>
    <w:rsid w:val="00316065"/>
    <w:rsid w:val="003339D3"/>
    <w:rsid w:val="0034485A"/>
    <w:rsid w:val="00362E3C"/>
    <w:rsid w:val="003711AD"/>
    <w:rsid w:val="00375274"/>
    <w:rsid w:val="003D6D95"/>
    <w:rsid w:val="003F248C"/>
    <w:rsid w:val="00436770"/>
    <w:rsid w:val="00444E5E"/>
    <w:rsid w:val="0044525E"/>
    <w:rsid w:val="004E4DB2"/>
    <w:rsid w:val="00533996"/>
    <w:rsid w:val="00540550"/>
    <w:rsid w:val="005541FF"/>
    <w:rsid w:val="005855FD"/>
    <w:rsid w:val="005A6E17"/>
    <w:rsid w:val="005B004D"/>
    <w:rsid w:val="005B5D79"/>
    <w:rsid w:val="005F50FF"/>
    <w:rsid w:val="006366F4"/>
    <w:rsid w:val="00646A72"/>
    <w:rsid w:val="006A5C5B"/>
    <w:rsid w:val="006C61C4"/>
    <w:rsid w:val="006D3A4D"/>
    <w:rsid w:val="006F3410"/>
    <w:rsid w:val="007416C5"/>
    <w:rsid w:val="007B651D"/>
    <w:rsid w:val="008042E4"/>
    <w:rsid w:val="00882828"/>
    <w:rsid w:val="00894346"/>
    <w:rsid w:val="00896746"/>
    <w:rsid w:val="008A1318"/>
    <w:rsid w:val="0094458D"/>
    <w:rsid w:val="009F1DB8"/>
    <w:rsid w:val="009F1EAE"/>
    <w:rsid w:val="00A20129"/>
    <w:rsid w:val="00A41905"/>
    <w:rsid w:val="00A678F8"/>
    <w:rsid w:val="00AA42F8"/>
    <w:rsid w:val="00AC6B67"/>
    <w:rsid w:val="00AF6D1C"/>
    <w:rsid w:val="00B25F1A"/>
    <w:rsid w:val="00B50437"/>
    <w:rsid w:val="00B55F11"/>
    <w:rsid w:val="00BA6D28"/>
    <w:rsid w:val="00C16B84"/>
    <w:rsid w:val="00C23A6E"/>
    <w:rsid w:val="00CA4377"/>
    <w:rsid w:val="00CA63DD"/>
    <w:rsid w:val="00CC14D5"/>
    <w:rsid w:val="00CF3537"/>
    <w:rsid w:val="00CF5B33"/>
    <w:rsid w:val="00D73E64"/>
    <w:rsid w:val="00D83572"/>
    <w:rsid w:val="00DC65EB"/>
    <w:rsid w:val="00E0284C"/>
    <w:rsid w:val="00E04CEB"/>
    <w:rsid w:val="00E220D7"/>
    <w:rsid w:val="00E43E20"/>
    <w:rsid w:val="00E57837"/>
    <w:rsid w:val="00E57D9E"/>
    <w:rsid w:val="00E83CCB"/>
    <w:rsid w:val="00EA2D34"/>
    <w:rsid w:val="00F03F20"/>
    <w:rsid w:val="00F115C8"/>
    <w:rsid w:val="00F814BC"/>
    <w:rsid w:val="00F83A78"/>
    <w:rsid w:val="00F92471"/>
    <w:rsid w:val="00F940E3"/>
    <w:rsid w:val="00FB4E2A"/>
    <w:rsid w:val="00FD279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5F1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4E2A"/>
    <w:pPr>
      <w:ind w:left="720"/>
      <w:contextualSpacing/>
    </w:pPr>
  </w:style>
  <w:style w:type="character" w:styleId="Hyperlink">
    <w:name w:val="Hyperlink"/>
    <w:basedOn w:val="DefaultParagraphFont"/>
    <w:uiPriority w:val="99"/>
    <w:unhideWhenUsed/>
    <w:rsid w:val="00540550"/>
    <w:rPr>
      <w:color w:val="0000FF" w:themeColor="hyperlink"/>
      <w:u w:val="single"/>
    </w:rPr>
  </w:style>
  <w:style w:type="character" w:styleId="FollowedHyperlink">
    <w:name w:val="FollowedHyperlink"/>
    <w:basedOn w:val="DefaultParagraphFont"/>
    <w:uiPriority w:val="99"/>
    <w:semiHidden/>
    <w:unhideWhenUsed/>
    <w:rsid w:val="000A13E9"/>
    <w:rPr>
      <w:color w:val="800080" w:themeColor="followedHyperlink"/>
      <w:u w:val="single"/>
    </w:rPr>
  </w:style>
  <w:style w:type="character" w:styleId="CommentReference">
    <w:name w:val="annotation reference"/>
    <w:basedOn w:val="DefaultParagraphFont"/>
    <w:uiPriority w:val="99"/>
    <w:semiHidden/>
    <w:unhideWhenUsed/>
    <w:rsid w:val="002B7B7C"/>
    <w:rPr>
      <w:sz w:val="16"/>
      <w:szCs w:val="16"/>
    </w:rPr>
  </w:style>
  <w:style w:type="paragraph" w:styleId="CommentText">
    <w:name w:val="annotation text"/>
    <w:basedOn w:val="Normal"/>
    <w:link w:val="CommentTextChar"/>
    <w:uiPriority w:val="99"/>
    <w:semiHidden/>
    <w:unhideWhenUsed/>
    <w:rsid w:val="002B7B7C"/>
    <w:pPr>
      <w:spacing w:line="240" w:lineRule="auto"/>
    </w:pPr>
    <w:rPr>
      <w:sz w:val="20"/>
      <w:szCs w:val="20"/>
    </w:rPr>
  </w:style>
  <w:style w:type="character" w:customStyle="1" w:styleId="CommentTextChar">
    <w:name w:val="Comment Text Char"/>
    <w:basedOn w:val="DefaultParagraphFont"/>
    <w:link w:val="CommentText"/>
    <w:uiPriority w:val="99"/>
    <w:semiHidden/>
    <w:rsid w:val="002B7B7C"/>
    <w:rPr>
      <w:sz w:val="20"/>
      <w:szCs w:val="20"/>
    </w:rPr>
  </w:style>
  <w:style w:type="paragraph" w:styleId="CommentSubject">
    <w:name w:val="annotation subject"/>
    <w:basedOn w:val="CommentText"/>
    <w:next w:val="CommentText"/>
    <w:link w:val="CommentSubjectChar"/>
    <w:uiPriority w:val="99"/>
    <w:semiHidden/>
    <w:unhideWhenUsed/>
    <w:rsid w:val="002B7B7C"/>
    <w:rPr>
      <w:b/>
      <w:bCs/>
    </w:rPr>
  </w:style>
  <w:style w:type="character" w:customStyle="1" w:styleId="CommentSubjectChar">
    <w:name w:val="Comment Subject Char"/>
    <w:basedOn w:val="CommentTextChar"/>
    <w:link w:val="CommentSubject"/>
    <w:uiPriority w:val="99"/>
    <w:semiHidden/>
    <w:rsid w:val="002B7B7C"/>
    <w:rPr>
      <w:b/>
      <w:bCs/>
      <w:sz w:val="20"/>
      <w:szCs w:val="20"/>
    </w:rPr>
  </w:style>
  <w:style w:type="paragraph" w:styleId="BalloonText">
    <w:name w:val="Balloon Text"/>
    <w:basedOn w:val="Normal"/>
    <w:link w:val="BalloonTextChar"/>
    <w:uiPriority w:val="99"/>
    <w:semiHidden/>
    <w:unhideWhenUsed/>
    <w:rsid w:val="002B7B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7B7C"/>
    <w:rPr>
      <w:rFonts w:ascii="Tahoma" w:hAnsi="Tahoma" w:cs="Tahoma"/>
      <w:sz w:val="16"/>
      <w:szCs w:val="16"/>
    </w:rPr>
  </w:style>
  <w:style w:type="paragraph" w:customStyle="1" w:styleId="Default">
    <w:name w:val="Default"/>
    <w:rsid w:val="00B25F1A"/>
    <w:pPr>
      <w:autoSpaceDE w:val="0"/>
      <w:autoSpaceDN w:val="0"/>
      <w:adjustRightInd w:val="0"/>
      <w:spacing w:after="0" w:line="240" w:lineRule="auto"/>
    </w:pPr>
    <w:rPr>
      <w:rFonts w:ascii="Verdana" w:eastAsia="Times New Roman" w:hAnsi="Verdana" w:cs="Verdana"/>
      <w:color w:val="000000"/>
      <w:sz w:val="24"/>
      <w:szCs w:val="24"/>
      <w:lang w:val="fr-FR" w:eastAsia="fr-FR"/>
    </w:rPr>
  </w:style>
  <w:style w:type="paragraph" w:styleId="Header">
    <w:name w:val="header"/>
    <w:basedOn w:val="Normal"/>
    <w:link w:val="HeaderChar"/>
    <w:uiPriority w:val="99"/>
    <w:unhideWhenUsed/>
    <w:rsid w:val="00AC6B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6B67"/>
  </w:style>
  <w:style w:type="paragraph" w:styleId="Footer">
    <w:name w:val="footer"/>
    <w:basedOn w:val="Normal"/>
    <w:link w:val="FooterChar"/>
    <w:uiPriority w:val="99"/>
    <w:unhideWhenUsed/>
    <w:rsid w:val="00AC6B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6B67"/>
  </w:style>
  <w:style w:type="paragraph" w:styleId="NoSpacing">
    <w:name w:val="No Spacing"/>
    <w:link w:val="NoSpacingChar"/>
    <w:uiPriority w:val="1"/>
    <w:qFormat/>
    <w:rsid w:val="00AC6B67"/>
    <w:pPr>
      <w:spacing w:after="0" w:line="240" w:lineRule="auto"/>
    </w:pPr>
  </w:style>
  <w:style w:type="character" w:customStyle="1" w:styleId="NoSpacingChar">
    <w:name w:val="No Spacing Char"/>
    <w:basedOn w:val="DefaultParagraphFont"/>
    <w:link w:val="NoSpacing"/>
    <w:uiPriority w:val="1"/>
    <w:rsid w:val="00AC6B67"/>
    <w:rPr>
      <w:rFonts w:eastAsiaTheme="minorEastAsia"/>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4E2A"/>
    <w:pPr>
      <w:ind w:left="720"/>
      <w:contextualSpacing/>
    </w:pPr>
  </w:style>
  <w:style w:type="character" w:styleId="Hyperlink">
    <w:name w:val="Hyperlink"/>
    <w:basedOn w:val="DefaultParagraphFont"/>
    <w:uiPriority w:val="99"/>
    <w:unhideWhenUsed/>
    <w:rsid w:val="00540550"/>
    <w:rPr>
      <w:color w:val="0000FF" w:themeColor="hyperlink"/>
      <w:u w:val="single"/>
    </w:rPr>
  </w:style>
  <w:style w:type="character" w:styleId="FollowedHyperlink">
    <w:name w:val="FollowedHyperlink"/>
    <w:basedOn w:val="DefaultParagraphFont"/>
    <w:uiPriority w:val="99"/>
    <w:semiHidden/>
    <w:unhideWhenUsed/>
    <w:rsid w:val="000A13E9"/>
    <w:rPr>
      <w:color w:val="800080" w:themeColor="followedHyperlink"/>
      <w:u w:val="single"/>
    </w:rPr>
  </w:style>
  <w:style w:type="character" w:styleId="CommentReference">
    <w:name w:val="annotation reference"/>
    <w:basedOn w:val="DefaultParagraphFont"/>
    <w:uiPriority w:val="99"/>
    <w:semiHidden/>
    <w:unhideWhenUsed/>
    <w:rsid w:val="002B7B7C"/>
    <w:rPr>
      <w:sz w:val="16"/>
      <w:szCs w:val="16"/>
    </w:rPr>
  </w:style>
  <w:style w:type="paragraph" w:styleId="CommentText">
    <w:name w:val="annotation text"/>
    <w:basedOn w:val="Normal"/>
    <w:link w:val="CommentTextChar"/>
    <w:uiPriority w:val="99"/>
    <w:semiHidden/>
    <w:unhideWhenUsed/>
    <w:rsid w:val="002B7B7C"/>
    <w:pPr>
      <w:spacing w:line="240" w:lineRule="auto"/>
    </w:pPr>
    <w:rPr>
      <w:sz w:val="20"/>
      <w:szCs w:val="20"/>
    </w:rPr>
  </w:style>
  <w:style w:type="character" w:customStyle="1" w:styleId="CommentTextChar">
    <w:name w:val="Comment Text Char"/>
    <w:basedOn w:val="DefaultParagraphFont"/>
    <w:link w:val="CommentText"/>
    <w:uiPriority w:val="99"/>
    <w:semiHidden/>
    <w:rsid w:val="002B7B7C"/>
    <w:rPr>
      <w:sz w:val="20"/>
      <w:szCs w:val="20"/>
    </w:rPr>
  </w:style>
  <w:style w:type="paragraph" w:styleId="CommentSubject">
    <w:name w:val="annotation subject"/>
    <w:basedOn w:val="CommentText"/>
    <w:next w:val="CommentText"/>
    <w:link w:val="CommentSubjectChar"/>
    <w:uiPriority w:val="99"/>
    <w:semiHidden/>
    <w:unhideWhenUsed/>
    <w:rsid w:val="002B7B7C"/>
    <w:rPr>
      <w:b/>
      <w:bCs/>
    </w:rPr>
  </w:style>
  <w:style w:type="character" w:customStyle="1" w:styleId="CommentSubjectChar">
    <w:name w:val="Comment Subject Char"/>
    <w:basedOn w:val="CommentTextChar"/>
    <w:link w:val="CommentSubject"/>
    <w:uiPriority w:val="99"/>
    <w:semiHidden/>
    <w:rsid w:val="002B7B7C"/>
    <w:rPr>
      <w:b/>
      <w:bCs/>
      <w:sz w:val="20"/>
      <w:szCs w:val="20"/>
    </w:rPr>
  </w:style>
  <w:style w:type="paragraph" w:styleId="BalloonText">
    <w:name w:val="Balloon Text"/>
    <w:basedOn w:val="Normal"/>
    <w:link w:val="BalloonTextChar"/>
    <w:uiPriority w:val="99"/>
    <w:semiHidden/>
    <w:unhideWhenUsed/>
    <w:rsid w:val="002B7B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7B7C"/>
    <w:rPr>
      <w:rFonts w:ascii="Tahoma" w:hAnsi="Tahoma" w:cs="Tahoma"/>
      <w:sz w:val="16"/>
      <w:szCs w:val="16"/>
    </w:rPr>
  </w:style>
  <w:style w:type="paragraph" w:customStyle="1" w:styleId="Default">
    <w:name w:val="Default"/>
    <w:rsid w:val="00B25F1A"/>
    <w:pPr>
      <w:autoSpaceDE w:val="0"/>
      <w:autoSpaceDN w:val="0"/>
      <w:adjustRightInd w:val="0"/>
      <w:spacing w:after="0" w:line="240" w:lineRule="auto"/>
    </w:pPr>
    <w:rPr>
      <w:rFonts w:ascii="Verdana" w:eastAsia="Times New Roman" w:hAnsi="Verdana" w:cs="Verdana"/>
      <w:color w:val="000000"/>
      <w:sz w:val="24"/>
      <w:szCs w:val="24"/>
      <w:lang w:val="fr-FR" w:eastAsia="fr-FR"/>
    </w:rPr>
  </w:style>
  <w:style w:type="paragraph" w:styleId="Header">
    <w:name w:val="header"/>
    <w:basedOn w:val="Normal"/>
    <w:link w:val="HeaderChar"/>
    <w:uiPriority w:val="99"/>
    <w:unhideWhenUsed/>
    <w:rsid w:val="00AC6B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6B67"/>
  </w:style>
  <w:style w:type="paragraph" w:styleId="Footer">
    <w:name w:val="footer"/>
    <w:basedOn w:val="Normal"/>
    <w:link w:val="FooterChar"/>
    <w:uiPriority w:val="99"/>
    <w:unhideWhenUsed/>
    <w:rsid w:val="00AC6B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6B67"/>
  </w:style>
  <w:style w:type="paragraph" w:styleId="NoSpacing">
    <w:name w:val="No Spacing"/>
    <w:link w:val="NoSpacingChar"/>
    <w:uiPriority w:val="1"/>
    <w:qFormat/>
    <w:rsid w:val="00AC6B67"/>
    <w:pPr>
      <w:spacing w:after="0" w:line="240" w:lineRule="auto"/>
    </w:pPr>
  </w:style>
  <w:style w:type="character" w:customStyle="1" w:styleId="NoSpacingChar">
    <w:name w:val="No Spacing Char"/>
    <w:basedOn w:val="DefaultParagraphFont"/>
    <w:link w:val="NoSpacing"/>
    <w:uiPriority w:val="1"/>
    <w:rsid w:val="00AC6B67"/>
    <w:rPr>
      <w:rFonts w:eastAsiaTheme="minorEastAsia"/>
      <w:lang w:val="en-US"/>
    </w:rPr>
  </w:style>
</w:styles>
</file>

<file path=word/webSettings.xml><?xml version="1.0" encoding="utf-8"?>
<w:webSettings xmlns:r="http://schemas.openxmlformats.org/officeDocument/2006/relationships" xmlns:w="http://schemas.openxmlformats.org/wordprocessingml/2006/main">
  <w:divs>
    <w:div w:id="1190676926">
      <w:bodyDiv w:val="1"/>
      <w:marLeft w:val="0"/>
      <w:marRight w:val="0"/>
      <w:marTop w:val="0"/>
      <w:marBottom w:val="0"/>
      <w:divBdr>
        <w:top w:val="none" w:sz="0" w:space="0" w:color="auto"/>
        <w:left w:val="none" w:sz="0" w:space="0" w:color="auto"/>
        <w:bottom w:val="none" w:sz="0" w:space="0" w:color="auto"/>
        <w:right w:val="none" w:sz="0" w:space="0" w:color="auto"/>
      </w:divBdr>
      <w:divsChild>
        <w:div w:id="30033175">
          <w:marLeft w:val="418"/>
          <w:marRight w:val="0"/>
          <w:marTop w:val="86"/>
          <w:marBottom w:val="120"/>
          <w:divBdr>
            <w:top w:val="none" w:sz="0" w:space="0" w:color="auto"/>
            <w:left w:val="none" w:sz="0" w:space="0" w:color="auto"/>
            <w:bottom w:val="none" w:sz="0" w:space="0" w:color="auto"/>
            <w:right w:val="none" w:sz="0" w:space="0" w:color="auto"/>
          </w:divBdr>
        </w:div>
        <w:div w:id="539318296">
          <w:marLeft w:val="418"/>
          <w:marRight w:val="0"/>
          <w:marTop w:val="86"/>
          <w:marBottom w:val="120"/>
          <w:divBdr>
            <w:top w:val="none" w:sz="0" w:space="0" w:color="auto"/>
            <w:left w:val="none" w:sz="0" w:space="0" w:color="auto"/>
            <w:bottom w:val="none" w:sz="0" w:space="0" w:color="auto"/>
            <w:right w:val="none" w:sz="0" w:space="0" w:color="auto"/>
          </w:divBdr>
        </w:div>
        <w:div w:id="633217979">
          <w:marLeft w:val="835"/>
          <w:marRight w:val="0"/>
          <w:marTop w:val="77"/>
          <w:marBottom w:val="0"/>
          <w:divBdr>
            <w:top w:val="none" w:sz="0" w:space="0" w:color="auto"/>
            <w:left w:val="none" w:sz="0" w:space="0" w:color="auto"/>
            <w:bottom w:val="none" w:sz="0" w:space="0" w:color="auto"/>
            <w:right w:val="none" w:sz="0" w:space="0" w:color="auto"/>
          </w:divBdr>
        </w:div>
        <w:div w:id="1038090892">
          <w:marLeft w:val="835"/>
          <w:marRight w:val="0"/>
          <w:marTop w:val="77"/>
          <w:marBottom w:val="0"/>
          <w:divBdr>
            <w:top w:val="none" w:sz="0" w:space="0" w:color="auto"/>
            <w:left w:val="none" w:sz="0" w:space="0" w:color="auto"/>
            <w:bottom w:val="none" w:sz="0" w:space="0" w:color="auto"/>
            <w:right w:val="none" w:sz="0" w:space="0" w:color="auto"/>
          </w:divBdr>
        </w:div>
        <w:div w:id="1186554140">
          <w:marLeft w:val="835"/>
          <w:marRight w:val="0"/>
          <w:marTop w:val="77"/>
          <w:marBottom w:val="0"/>
          <w:divBdr>
            <w:top w:val="none" w:sz="0" w:space="0" w:color="auto"/>
            <w:left w:val="none" w:sz="0" w:space="0" w:color="auto"/>
            <w:bottom w:val="none" w:sz="0" w:space="0" w:color="auto"/>
            <w:right w:val="none" w:sz="0" w:space="0" w:color="auto"/>
          </w:divBdr>
        </w:div>
        <w:div w:id="262081036">
          <w:marLeft w:val="835"/>
          <w:marRight w:val="0"/>
          <w:marTop w:val="77"/>
          <w:marBottom w:val="0"/>
          <w:divBdr>
            <w:top w:val="none" w:sz="0" w:space="0" w:color="auto"/>
            <w:left w:val="none" w:sz="0" w:space="0" w:color="auto"/>
            <w:bottom w:val="none" w:sz="0" w:space="0" w:color="auto"/>
            <w:right w:val="none" w:sz="0" w:space="0" w:color="auto"/>
          </w:divBdr>
        </w:div>
        <w:div w:id="1807970076">
          <w:marLeft w:val="835"/>
          <w:marRight w:val="0"/>
          <w:marTop w:val="77"/>
          <w:marBottom w:val="0"/>
          <w:divBdr>
            <w:top w:val="none" w:sz="0" w:space="0" w:color="auto"/>
            <w:left w:val="none" w:sz="0" w:space="0" w:color="auto"/>
            <w:bottom w:val="none" w:sz="0" w:space="0" w:color="auto"/>
            <w:right w:val="none" w:sz="0" w:space="0" w:color="auto"/>
          </w:divBdr>
        </w:div>
        <w:div w:id="996223300">
          <w:marLeft w:val="835"/>
          <w:marRight w:val="0"/>
          <w:marTop w:val="77"/>
          <w:marBottom w:val="0"/>
          <w:divBdr>
            <w:top w:val="none" w:sz="0" w:space="0" w:color="auto"/>
            <w:left w:val="none" w:sz="0" w:space="0" w:color="auto"/>
            <w:bottom w:val="none" w:sz="0" w:space="0" w:color="auto"/>
            <w:right w:val="none" w:sz="0" w:space="0" w:color="auto"/>
          </w:divBdr>
        </w:div>
        <w:div w:id="499390235">
          <w:marLeft w:val="418"/>
          <w:marRight w:val="0"/>
          <w:marTop w:val="86"/>
          <w:marBottom w:val="120"/>
          <w:divBdr>
            <w:top w:val="none" w:sz="0" w:space="0" w:color="auto"/>
            <w:left w:val="none" w:sz="0" w:space="0" w:color="auto"/>
            <w:bottom w:val="none" w:sz="0" w:space="0" w:color="auto"/>
            <w:right w:val="none" w:sz="0" w:space="0" w:color="auto"/>
          </w:divBdr>
        </w:div>
        <w:div w:id="2119371588">
          <w:marLeft w:val="835"/>
          <w:marRight w:val="0"/>
          <w:marTop w:val="77"/>
          <w:marBottom w:val="0"/>
          <w:divBdr>
            <w:top w:val="none" w:sz="0" w:space="0" w:color="auto"/>
            <w:left w:val="none" w:sz="0" w:space="0" w:color="auto"/>
            <w:bottom w:val="none" w:sz="0" w:space="0" w:color="auto"/>
            <w:right w:val="none" w:sz="0" w:space="0" w:color="auto"/>
          </w:divBdr>
        </w:div>
      </w:divsChild>
    </w:div>
    <w:div w:id="1236474591">
      <w:bodyDiv w:val="1"/>
      <w:marLeft w:val="0"/>
      <w:marRight w:val="0"/>
      <w:marTop w:val="0"/>
      <w:marBottom w:val="0"/>
      <w:divBdr>
        <w:top w:val="none" w:sz="0" w:space="0" w:color="auto"/>
        <w:left w:val="none" w:sz="0" w:space="0" w:color="auto"/>
        <w:bottom w:val="none" w:sz="0" w:space="0" w:color="auto"/>
        <w:right w:val="none" w:sz="0" w:space="0" w:color="auto"/>
      </w:divBdr>
      <w:divsChild>
        <w:div w:id="1817455396">
          <w:marLeft w:val="835"/>
          <w:marRight w:val="0"/>
          <w:marTop w:val="77"/>
          <w:marBottom w:val="0"/>
          <w:divBdr>
            <w:top w:val="none" w:sz="0" w:space="0" w:color="auto"/>
            <w:left w:val="none" w:sz="0" w:space="0" w:color="auto"/>
            <w:bottom w:val="none" w:sz="0" w:space="0" w:color="auto"/>
            <w:right w:val="none" w:sz="0" w:space="0" w:color="auto"/>
          </w:divBdr>
        </w:div>
        <w:div w:id="412506316">
          <w:marLeft w:val="835"/>
          <w:marRight w:val="0"/>
          <w:marTop w:val="77"/>
          <w:marBottom w:val="120"/>
          <w:divBdr>
            <w:top w:val="none" w:sz="0" w:space="0" w:color="auto"/>
            <w:left w:val="none" w:sz="0" w:space="0" w:color="auto"/>
            <w:bottom w:val="none" w:sz="0" w:space="0" w:color="auto"/>
            <w:right w:val="none" w:sz="0" w:space="0" w:color="auto"/>
          </w:divBdr>
        </w:div>
        <w:div w:id="558246747">
          <w:marLeft w:val="835"/>
          <w:marRight w:val="0"/>
          <w:marTop w:val="77"/>
          <w:marBottom w:val="0"/>
          <w:divBdr>
            <w:top w:val="none" w:sz="0" w:space="0" w:color="auto"/>
            <w:left w:val="none" w:sz="0" w:space="0" w:color="auto"/>
            <w:bottom w:val="none" w:sz="0" w:space="0" w:color="auto"/>
            <w:right w:val="none" w:sz="0" w:space="0" w:color="auto"/>
          </w:divBdr>
        </w:div>
      </w:divsChild>
    </w:div>
    <w:div w:id="1483697352">
      <w:bodyDiv w:val="1"/>
      <w:marLeft w:val="0"/>
      <w:marRight w:val="0"/>
      <w:marTop w:val="0"/>
      <w:marBottom w:val="0"/>
      <w:divBdr>
        <w:top w:val="none" w:sz="0" w:space="0" w:color="auto"/>
        <w:left w:val="none" w:sz="0" w:space="0" w:color="auto"/>
        <w:bottom w:val="none" w:sz="0" w:space="0" w:color="auto"/>
        <w:right w:val="none" w:sz="0" w:space="0" w:color="auto"/>
      </w:divBdr>
      <w:divsChild>
        <w:div w:id="1581521447">
          <w:marLeft w:val="0"/>
          <w:marRight w:val="0"/>
          <w:marTop w:val="0"/>
          <w:marBottom w:val="0"/>
          <w:divBdr>
            <w:top w:val="none" w:sz="0" w:space="0" w:color="auto"/>
            <w:left w:val="none" w:sz="0" w:space="0" w:color="auto"/>
            <w:bottom w:val="none" w:sz="0" w:space="0" w:color="auto"/>
            <w:right w:val="none" w:sz="0" w:space="0" w:color="auto"/>
          </w:divBdr>
          <w:divsChild>
            <w:div w:id="617838229">
              <w:marLeft w:val="630"/>
              <w:marRight w:val="630"/>
              <w:marTop w:val="0"/>
              <w:marBottom w:val="0"/>
              <w:divBdr>
                <w:top w:val="none" w:sz="0" w:space="0" w:color="auto"/>
                <w:left w:val="none" w:sz="0" w:space="0" w:color="auto"/>
                <w:bottom w:val="none" w:sz="0" w:space="0" w:color="auto"/>
                <w:right w:val="none" w:sz="0" w:space="0" w:color="auto"/>
              </w:divBdr>
              <w:divsChild>
                <w:div w:id="1264924563">
                  <w:marLeft w:val="3600"/>
                  <w:marRight w:val="0"/>
                  <w:marTop w:val="0"/>
                  <w:marBottom w:val="0"/>
                  <w:divBdr>
                    <w:top w:val="none" w:sz="0" w:space="0" w:color="auto"/>
                    <w:left w:val="none" w:sz="0" w:space="0" w:color="auto"/>
                    <w:bottom w:val="none" w:sz="0" w:space="0" w:color="auto"/>
                    <w:right w:val="none" w:sz="0" w:space="0" w:color="auto"/>
                  </w:divBdr>
                  <w:divsChild>
                    <w:div w:id="326399229">
                      <w:blockQuote w:val="1"/>
                      <w:marLeft w:val="360"/>
                      <w:marRight w:val="720"/>
                      <w:marTop w:val="100"/>
                      <w:marBottom w:val="210"/>
                      <w:divBdr>
                        <w:top w:val="single" w:sz="12" w:space="5" w:color="25A7D9"/>
                        <w:left w:val="single" w:sz="12" w:space="9" w:color="25A7D9"/>
                        <w:bottom w:val="single" w:sz="12" w:space="6" w:color="25A7D9"/>
                        <w:right w:val="single" w:sz="12" w:space="9" w:color="25A7D9"/>
                      </w:divBdr>
                      <w:divsChild>
                        <w:div w:id="728381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06498246">
      <w:bodyDiv w:val="1"/>
      <w:marLeft w:val="0"/>
      <w:marRight w:val="0"/>
      <w:marTop w:val="0"/>
      <w:marBottom w:val="0"/>
      <w:divBdr>
        <w:top w:val="none" w:sz="0" w:space="0" w:color="auto"/>
        <w:left w:val="none" w:sz="0" w:space="0" w:color="auto"/>
        <w:bottom w:val="none" w:sz="0" w:space="0" w:color="auto"/>
        <w:right w:val="none" w:sz="0" w:space="0" w:color="auto"/>
      </w:divBdr>
    </w:div>
    <w:div w:id="1769428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aaps.who.int/gb/ebwha/pdf_files/WHA58/WHA58_28-en.pdf%20%20" TargetMode="External"/><Relationship Id="rId13" Type="http://schemas.openxmlformats.org/officeDocument/2006/relationships/hyperlink" Target="https://ec.europa.eu/digital-agenda/en/news/green-paper-mobile-health-mhealth"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ec.europa.eu/information_society/newsroom/cf/dae/document.cfm?doc_id=4188"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blogs.gartner.com/doug-laney/files/2012/01/ad949-3D-Data-Management-Controlling-Data-Volume-Velocity-and-Variety.pdf%20(21"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cocir.org/site/fileadmin/Publications_2011/telemedicine_toolkit_link2.pdf" TargetMode="External"/><Relationship Id="rId19"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yperlink" Target="http://extranet.who.int/iris/bitstream/10665/20378/1/WHA58_28-en.pdf?ua=1"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C155DA5-01AE-4FD1-BF2E-DA0FC56F9A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8</Pages>
  <Words>3144</Words>
  <Characters>17923</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Imperial College</Company>
  <LinksUpToDate>false</LinksUpToDate>
  <CharactersWithSpaces>21025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mrchl</dc:creator>
  <cp:lastModifiedBy>mrchl</cp:lastModifiedBy>
  <cp:revision>8</cp:revision>
  <cp:lastPrinted>2015-02-14T15:58:00Z</cp:lastPrinted>
  <dcterms:created xsi:type="dcterms:W3CDTF">2015-02-14T15:48:00Z</dcterms:created>
  <dcterms:modified xsi:type="dcterms:W3CDTF">2015-06-24T15:21:00Z</dcterms:modified>
</cp:coreProperties>
</file>