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2B400C" w14:textId="77777777" w:rsidR="00474D86" w:rsidRPr="005B3E97" w:rsidRDefault="00474D86" w:rsidP="00A816C7">
      <w:pPr>
        <w:jc w:val="both"/>
        <w:rPr>
          <w:rFonts w:ascii="Arial" w:hAnsi="Arial" w:cs="Arial"/>
          <w:b/>
          <w:sz w:val="22"/>
          <w:szCs w:val="22"/>
        </w:rPr>
      </w:pPr>
      <w:r>
        <w:rPr>
          <w:rFonts w:ascii="Arial" w:hAnsi="Arial" w:cs="Arial"/>
          <w:b/>
          <w:sz w:val="22"/>
          <w:szCs w:val="22"/>
        </w:rPr>
        <w:t>M</w:t>
      </w:r>
      <w:r w:rsidRPr="005B3E97">
        <w:rPr>
          <w:rFonts w:ascii="Arial" w:hAnsi="Arial" w:cs="Arial"/>
          <w:b/>
          <w:sz w:val="22"/>
          <w:szCs w:val="22"/>
        </w:rPr>
        <w:t>agnitude</w:t>
      </w:r>
      <w:r>
        <w:rPr>
          <w:rFonts w:ascii="Arial" w:hAnsi="Arial" w:cs="Arial"/>
          <w:b/>
          <w:sz w:val="22"/>
          <w:szCs w:val="22"/>
        </w:rPr>
        <w:t>, demographics</w:t>
      </w:r>
      <w:r w:rsidRPr="005B3E97">
        <w:rPr>
          <w:rFonts w:ascii="Arial" w:hAnsi="Arial" w:cs="Arial"/>
          <w:b/>
          <w:sz w:val="22"/>
          <w:szCs w:val="22"/>
        </w:rPr>
        <w:t xml:space="preserve"> and dynamics of </w:t>
      </w:r>
      <w:r>
        <w:rPr>
          <w:rFonts w:ascii="Arial" w:hAnsi="Arial" w:cs="Arial"/>
          <w:b/>
          <w:sz w:val="22"/>
          <w:szCs w:val="22"/>
        </w:rPr>
        <w:t>the impact of</w:t>
      </w:r>
      <w:r w:rsidRPr="005B3E97">
        <w:rPr>
          <w:rFonts w:ascii="Arial" w:hAnsi="Arial" w:cs="Arial"/>
          <w:b/>
          <w:sz w:val="22"/>
          <w:szCs w:val="22"/>
        </w:rPr>
        <w:t xml:space="preserve"> the first </w:t>
      </w:r>
      <w:r>
        <w:rPr>
          <w:rFonts w:ascii="Arial" w:hAnsi="Arial" w:cs="Arial"/>
          <w:b/>
          <w:sz w:val="22"/>
          <w:szCs w:val="22"/>
        </w:rPr>
        <w:t>phase</w:t>
      </w:r>
      <w:r w:rsidRPr="005B3E97">
        <w:rPr>
          <w:rFonts w:ascii="Arial" w:hAnsi="Arial" w:cs="Arial"/>
          <w:b/>
          <w:sz w:val="22"/>
          <w:szCs w:val="22"/>
        </w:rPr>
        <w:t xml:space="preserve"> of the Covid-19 pandemic </w:t>
      </w:r>
      <w:r>
        <w:rPr>
          <w:rFonts w:ascii="Arial" w:hAnsi="Arial" w:cs="Arial"/>
          <w:b/>
          <w:sz w:val="22"/>
          <w:szCs w:val="22"/>
        </w:rPr>
        <w:t>on all-cause mortality</w:t>
      </w:r>
      <w:r w:rsidRPr="005B3E97">
        <w:rPr>
          <w:rFonts w:ascii="Arial" w:hAnsi="Arial" w:cs="Arial"/>
          <w:b/>
          <w:sz w:val="22"/>
          <w:szCs w:val="22"/>
        </w:rPr>
        <w:t xml:space="preserve"> in </w:t>
      </w:r>
      <w:r>
        <w:rPr>
          <w:rFonts w:ascii="Arial" w:hAnsi="Arial" w:cs="Arial"/>
          <w:b/>
          <w:sz w:val="22"/>
          <w:szCs w:val="22"/>
        </w:rPr>
        <w:t>21</w:t>
      </w:r>
      <w:r w:rsidRPr="005B3E97">
        <w:rPr>
          <w:rFonts w:ascii="Arial" w:hAnsi="Arial" w:cs="Arial"/>
          <w:b/>
          <w:sz w:val="22"/>
          <w:szCs w:val="22"/>
        </w:rPr>
        <w:t xml:space="preserve"> industrialised countries</w:t>
      </w:r>
      <w:r>
        <w:rPr>
          <w:rFonts w:ascii="Arial" w:hAnsi="Arial" w:cs="Arial"/>
          <w:b/>
          <w:sz w:val="22"/>
          <w:szCs w:val="22"/>
        </w:rPr>
        <w:t xml:space="preserve"> </w:t>
      </w:r>
    </w:p>
    <w:p w14:paraId="0E44E9CC" w14:textId="77777777" w:rsidR="00474D86" w:rsidRPr="005B3E97" w:rsidRDefault="00474D86" w:rsidP="00A816C7">
      <w:pPr>
        <w:jc w:val="both"/>
        <w:rPr>
          <w:rFonts w:ascii="Arial" w:hAnsi="Arial" w:cs="Arial"/>
          <w:sz w:val="22"/>
          <w:szCs w:val="22"/>
        </w:rPr>
      </w:pPr>
    </w:p>
    <w:p w14:paraId="04C9FDFF" w14:textId="77777777" w:rsidR="00474D86" w:rsidRPr="005B3E97" w:rsidRDefault="00474D86" w:rsidP="00A816C7">
      <w:pPr>
        <w:jc w:val="both"/>
        <w:rPr>
          <w:rFonts w:ascii="Arial" w:hAnsi="Arial" w:cs="Arial"/>
          <w:sz w:val="22"/>
          <w:szCs w:val="22"/>
        </w:rPr>
      </w:pPr>
      <w:r w:rsidRPr="005B3E97">
        <w:rPr>
          <w:rFonts w:ascii="Arial" w:hAnsi="Arial" w:cs="Arial"/>
          <w:sz w:val="22"/>
          <w:szCs w:val="22"/>
        </w:rPr>
        <w:t>Vasilis Kontis</w:t>
      </w:r>
      <w:r w:rsidRPr="005B3E97">
        <w:rPr>
          <w:rFonts w:ascii="Arial" w:hAnsi="Arial" w:cs="Arial"/>
          <w:sz w:val="22"/>
          <w:szCs w:val="22"/>
          <w:vertAlign w:val="superscript"/>
        </w:rPr>
        <w:t>1</w:t>
      </w:r>
      <w:r w:rsidRPr="005B3E97">
        <w:rPr>
          <w:rFonts w:ascii="Arial" w:hAnsi="Arial" w:cs="Arial"/>
          <w:sz w:val="22"/>
          <w:szCs w:val="22"/>
        </w:rPr>
        <w:t>, James E Bennett</w:t>
      </w:r>
      <w:r w:rsidRPr="005B3E97">
        <w:rPr>
          <w:rFonts w:ascii="Arial" w:hAnsi="Arial" w:cs="Arial"/>
          <w:sz w:val="22"/>
          <w:szCs w:val="22"/>
          <w:vertAlign w:val="superscript"/>
        </w:rPr>
        <w:t>1</w:t>
      </w:r>
      <w:r w:rsidRPr="005B3E97">
        <w:rPr>
          <w:rFonts w:ascii="Arial" w:hAnsi="Arial" w:cs="Arial"/>
          <w:sz w:val="22"/>
          <w:szCs w:val="22"/>
        </w:rPr>
        <w:t xml:space="preserve">, </w:t>
      </w:r>
      <w:r w:rsidRPr="00D15A6A">
        <w:rPr>
          <w:rFonts w:ascii="Arial" w:hAnsi="Arial" w:cs="Arial"/>
          <w:sz w:val="22"/>
          <w:szCs w:val="22"/>
        </w:rPr>
        <w:t>Theo Rashid</w:t>
      </w:r>
      <w:r w:rsidRPr="00D15A6A">
        <w:rPr>
          <w:rFonts w:ascii="Arial" w:hAnsi="Arial" w:cs="Arial"/>
          <w:sz w:val="22"/>
          <w:szCs w:val="22"/>
          <w:vertAlign w:val="superscript"/>
        </w:rPr>
        <w:t>1</w:t>
      </w:r>
      <w:r w:rsidRPr="00D15A6A">
        <w:rPr>
          <w:rFonts w:ascii="Arial" w:hAnsi="Arial" w:cs="Arial"/>
          <w:sz w:val="22"/>
          <w:szCs w:val="22"/>
        </w:rPr>
        <w:t>, Robbie M Parks</w:t>
      </w:r>
      <w:r w:rsidRPr="00D15A6A">
        <w:rPr>
          <w:rFonts w:ascii="Arial" w:hAnsi="Arial" w:cs="Arial"/>
          <w:sz w:val="22"/>
          <w:szCs w:val="22"/>
          <w:vertAlign w:val="superscript"/>
        </w:rPr>
        <w:t>2</w:t>
      </w:r>
      <w:r>
        <w:rPr>
          <w:rFonts w:ascii="Arial" w:hAnsi="Arial" w:cs="Arial"/>
          <w:sz w:val="22"/>
          <w:szCs w:val="22"/>
          <w:vertAlign w:val="superscript"/>
        </w:rPr>
        <w:t>,3</w:t>
      </w:r>
      <w:r w:rsidRPr="00D15A6A">
        <w:rPr>
          <w:rFonts w:ascii="Arial" w:hAnsi="Arial" w:cs="Arial"/>
          <w:sz w:val="22"/>
          <w:szCs w:val="22"/>
        </w:rPr>
        <w:t>, Jonathan Pearson-Stuttard</w:t>
      </w:r>
      <w:r w:rsidRPr="00D15A6A">
        <w:rPr>
          <w:rFonts w:ascii="Arial" w:hAnsi="Arial" w:cs="Arial"/>
          <w:sz w:val="22"/>
          <w:szCs w:val="22"/>
          <w:vertAlign w:val="superscript"/>
        </w:rPr>
        <w:t>1</w:t>
      </w:r>
      <w:r w:rsidRPr="00D15A6A">
        <w:rPr>
          <w:rFonts w:ascii="Arial" w:hAnsi="Arial" w:cs="Arial"/>
          <w:sz w:val="22"/>
          <w:szCs w:val="22"/>
        </w:rPr>
        <w:t>, Michel Guillot</w:t>
      </w:r>
      <w:r>
        <w:rPr>
          <w:rFonts w:ascii="Arial" w:hAnsi="Arial" w:cs="Arial"/>
          <w:sz w:val="22"/>
          <w:szCs w:val="22"/>
          <w:vertAlign w:val="superscript"/>
        </w:rPr>
        <w:t>4</w:t>
      </w:r>
      <w:r w:rsidRPr="00D15A6A">
        <w:rPr>
          <w:rFonts w:ascii="Arial" w:hAnsi="Arial" w:cs="Arial"/>
          <w:sz w:val="22"/>
          <w:szCs w:val="22"/>
          <w:vertAlign w:val="superscript"/>
        </w:rPr>
        <w:t>,</w:t>
      </w:r>
      <w:r>
        <w:rPr>
          <w:rFonts w:ascii="Arial" w:hAnsi="Arial" w:cs="Arial"/>
          <w:sz w:val="22"/>
          <w:szCs w:val="22"/>
          <w:vertAlign w:val="superscript"/>
        </w:rPr>
        <w:t>5</w:t>
      </w:r>
      <w:r w:rsidRPr="00D15A6A">
        <w:rPr>
          <w:rFonts w:ascii="Arial" w:hAnsi="Arial" w:cs="Arial"/>
          <w:sz w:val="22"/>
          <w:szCs w:val="22"/>
        </w:rPr>
        <w:t>, Perviz Asaria</w:t>
      </w:r>
      <w:r w:rsidRPr="00D15A6A">
        <w:rPr>
          <w:rFonts w:ascii="Arial" w:hAnsi="Arial" w:cs="Arial"/>
          <w:sz w:val="22"/>
          <w:szCs w:val="22"/>
          <w:vertAlign w:val="superscript"/>
        </w:rPr>
        <w:t>1</w:t>
      </w:r>
      <w:r w:rsidRPr="00D15A6A">
        <w:rPr>
          <w:rFonts w:ascii="Arial" w:hAnsi="Arial" w:cs="Arial"/>
          <w:sz w:val="22"/>
          <w:szCs w:val="22"/>
        </w:rPr>
        <w:t>, Bin Zhou</w:t>
      </w:r>
      <w:r w:rsidRPr="00D15A6A">
        <w:rPr>
          <w:rFonts w:ascii="Arial" w:hAnsi="Arial" w:cs="Arial"/>
          <w:sz w:val="22"/>
          <w:szCs w:val="22"/>
          <w:vertAlign w:val="superscript"/>
        </w:rPr>
        <w:t>1</w:t>
      </w:r>
      <w:r w:rsidRPr="00D15A6A">
        <w:rPr>
          <w:rFonts w:ascii="Arial" w:hAnsi="Arial" w:cs="Arial"/>
          <w:sz w:val="22"/>
          <w:szCs w:val="22"/>
        </w:rPr>
        <w:t>, Marco Battaglini</w:t>
      </w:r>
      <w:r>
        <w:rPr>
          <w:rFonts w:ascii="Arial" w:hAnsi="Arial" w:cs="Arial"/>
          <w:sz w:val="22"/>
          <w:szCs w:val="22"/>
          <w:vertAlign w:val="superscript"/>
        </w:rPr>
        <w:t>6</w:t>
      </w:r>
      <w:r w:rsidRPr="00D15A6A">
        <w:rPr>
          <w:rFonts w:ascii="Arial" w:hAnsi="Arial" w:cs="Arial"/>
          <w:sz w:val="22"/>
          <w:szCs w:val="22"/>
        </w:rPr>
        <w:t xml:space="preserve">, Gianni </w:t>
      </w:r>
      <w:r w:rsidRPr="000262BF">
        <w:rPr>
          <w:rFonts w:ascii="Arial" w:hAnsi="Arial" w:cs="Arial"/>
          <w:sz w:val="22"/>
          <w:szCs w:val="22"/>
        </w:rPr>
        <w:t>Corsetti</w:t>
      </w:r>
      <w:r>
        <w:rPr>
          <w:rFonts w:ascii="Arial" w:hAnsi="Arial" w:cs="Arial"/>
          <w:sz w:val="22"/>
          <w:szCs w:val="22"/>
          <w:vertAlign w:val="superscript"/>
        </w:rPr>
        <w:t>6</w:t>
      </w:r>
      <w:r w:rsidRPr="000262BF">
        <w:rPr>
          <w:rFonts w:ascii="Arial" w:hAnsi="Arial" w:cs="Arial"/>
          <w:sz w:val="22"/>
          <w:szCs w:val="22"/>
        </w:rPr>
        <w:t xml:space="preserve">, </w:t>
      </w:r>
      <w:r>
        <w:rPr>
          <w:rFonts w:ascii="Arial" w:hAnsi="Arial" w:cs="Arial"/>
          <w:sz w:val="22"/>
          <w:szCs w:val="22"/>
        </w:rPr>
        <w:t>Martin McKee</w:t>
      </w:r>
      <w:r>
        <w:rPr>
          <w:rFonts w:ascii="Arial" w:hAnsi="Arial" w:cs="Arial"/>
          <w:sz w:val="22"/>
          <w:szCs w:val="22"/>
          <w:vertAlign w:val="superscript"/>
        </w:rPr>
        <w:t>7</w:t>
      </w:r>
      <w:r>
        <w:rPr>
          <w:rFonts w:ascii="Arial" w:hAnsi="Arial" w:cs="Arial"/>
          <w:sz w:val="22"/>
          <w:szCs w:val="22"/>
        </w:rPr>
        <w:t xml:space="preserve">, </w:t>
      </w:r>
      <w:r w:rsidRPr="000262BF">
        <w:rPr>
          <w:rFonts w:ascii="Arial" w:hAnsi="Arial" w:cs="Arial"/>
          <w:sz w:val="22"/>
          <w:szCs w:val="22"/>
        </w:rPr>
        <w:t>Mariachiara</w:t>
      </w:r>
      <w:r w:rsidRPr="005B3E97">
        <w:rPr>
          <w:rFonts w:ascii="Arial" w:hAnsi="Arial" w:cs="Arial"/>
          <w:sz w:val="22"/>
          <w:szCs w:val="22"/>
        </w:rPr>
        <w:t xml:space="preserve"> Di </w:t>
      </w:r>
      <w:r w:rsidRPr="000262BF">
        <w:rPr>
          <w:rFonts w:ascii="Arial" w:hAnsi="Arial" w:cs="Arial"/>
          <w:sz w:val="22"/>
          <w:szCs w:val="22"/>
        </w:rPr>
        <w:t>Cesare</w:t>
      </w:r>
      <w:r w:rsidRPr="000262BF">
        <w:rPr>
          <w:rFonts w:ascii="Arial" w:hAnsi="Arial" w:cs="Arial"/>
          <w:sz w:val="22"/>
          <w:szCs w:val="22"/>
          <w:vertAlign w:val="superscript"/>
        </w:rPr>
        <w:t>1,</w:t>
      </w:r>
      <w:r>
        <w:rPr>
          <w:rFonts w:ascii="Arial" w:hAnsi="Arial" w:cs="Arial"/>
          <w:sz w:val="22"/>
          <w:szCs w:val="22"/>
          <w:vertAlign w:val="superscript"/>
        </w:rPr>
        <w:t>8</w:t>
      </w:r>
      <w:r w:rsidRPr="000262BF">
        <w:rPr>
          <w:rFonts w:ascii="Arial" w:hAnsi="Arial" w:cs="Arial"/>
          <w:sz w:val="22"/>
          <w:szCs w:val="22"/>
        </w:rPr>
        <w:t>, Colin D Mathers</w:t>
      </w:r>
      <w:r>
        <w:rPr>
          <w:rFonts w:ascii="Arial" w:hAnsi="Arial" w:cs="Arial"/>
          <w:sz w:val="22"/>
          <w:szCs w:val="22"/>
          <w:vertAlign w:val="superscript"/>
        </w:rPr>
        <w:t>9</w:t>
      </w:r>
      <w:r w:rsidRPr="000262BF">
        <w:rPr>
          <w:rFonts w:ascii="Arial" w:hAnsi="Arial" w:cs="Arial"/>
          <w:sz w:val="22"/>
          <w:szCs w:val="22"/>
        </w:rPr>
        <w:t>, Majid Ezzati</w:t>
      </w:r>
      <w:r w:rsidRPr="000262BF">
        <w:rPr>
          <w:rFonts w:ascii="Arial" w:hAnsi="Arial" w:cs="Arial"/>
          <w:sz w:val="22"/>
          <w:szCs w:val="22"/>
          <w:vertAlign w:val="superscript"/>
        </w:rPr>
        <w:t>1</w:t>
      </w:r>
      <w:r>
        <w:rPr>
          <w:rFonts w:ascii="Arial" w:hAnsi="Arial" w:cs="Arial"/>
          <w:sz w:val="22"/>
          <w:szCs w:val="22"/>
          <w:vertAlign w:val="superscript"/>
        </w:rPr>
        <w:t>,10</w:t>
      </w:r>
    </w:p>
    <w:p w14:paraId="5421CCAB" w14:textId="77777777" w:rsidR="00474D86" w:rsidRPr="005B3E97" w:rsidRDefault="00474D86" w:rsidP="00A816C7">
      <w:pPr>
        <w:jc w:val="both"/>
        <w:rPr>
          <w:rFonts w:ascii="Arial" w:hAnsi="Arial" w:cs="Arial"/>
          <w:sz w:val="22"/>
          <w:szCs w:val="22"/>
        </w:rPr>
      </w:pPr>
    </w:p>
    <w:p w14:paraId="2FB59C55" w14:textId="77777777" w:rsidR="00474D86" w:rsidRPr="005B3E97" w:rsidRDefault="00474D86" w:rsidP="00A816C7">
      <w:pPr>
        <w:jc w:val="both"/>
        <w:rPr>
          <w:rFonts w:ascii="Arial" w:hAnsi="Arial" w:cs="Arial"/>
          <w:sz w:val="22"/>
          <w:szCs w:val="22"/>
        </w:rPr>
      </w:pPr>
      <w:r w:rsidRPr="005B3E97">
        <w:rPr>
          <w:rFonts w:ascii="Arial" w:hAnsi="Arial" w:cs="Arial"/>
          <w:sz w:val="22"/>
          <w:szCs w:val="22"/>
        </w:rPr>
        <w:t>1 MRC Centre for Environment and Health, School of Public Health, Imperial College London, London, UK</w:t>
      </w:r>
    </w:p>
    <w:p w14:paraId="653B250B" w14:textId="77777777" w:rsidR="00474D86" w:rsidRDefault="00474D86" w:rsidP="00A816C7">
      <w:pPr>
        <w:jc w:val="both"/>
        <w:rPr>
          <w:rFonts w:ascii="Arial" w:hAnsi="Arial" w:cs="Arial"/>
          <w:sz w:val="22"/>
          <w:szCs w:val="22"/>
        </w:rPr>
      </w:pPr>
      <w:r w:rsidRPr="005B3E97">
        <w:rPr>
          <w:rFonts w:ascii="Arial" w:hAnsi="Arial" w:cs="Arial"/>
          <w:sz w:val="22"/>
          <w:szCs w:val="22"/>
        </w:rPr>
        <w:t>2 The Earth Institute, Columbia University, New York, NY, USA</w:t>
      </w:r>
    </w:p>
    <w:p w14:paraId="290911BB" w14:textId="77777777" w:rsidR="00474D86" w:rsidRPr="005B3E97" w:rsidRDefault="00474D86" w:rsidP="00A816C7">
      <w:pPr>
        <w:jc w:val="both"/>
        <w:rPr>
          <w:rFonts w:ascii="Arial" w:hAnsi="Arial" w:cs="Arial"/>
          <w:sz w:val="22"/>
          <w:szCs w:val="22"/>
        </w:rPr>
      </w:pPr>
      <w:r>
        <w:rPr>
          <w:rFonts w:ascii="Arial" w:hAnsi="Arial" w:cs="Arial"/>
          <w:sz w:val="22"/>
          <w:szCs w:val="22"/>
        </w:rPr>
        <w:t xml:space="preserve">3 </w:t>
      </w:r>
      <w:r w:rsidRPr="00B35C3D">
        <w:rPr>
          <w:rFonts w:ascii="Arial" w:hAnsi="Arial" w:cs="Arial"/>
          <w:sz w:val="22"/>
          <w:szCs w:val="22"/>
        </w:rPr>
        <w:t>Department of Environmental Health Sciences, Mailman School of Public Health, Columbia University, New York, NY, USA</w:t>
      </w:r>
    </w:p>
    <w:p w14:paraId="5BF9FAA3" w14:textId="77777777" w:rsidR="00474D86" w:rsidRPr="005B3E97" w:rsidRDefault="00474D86" w:rsidP="00A816C7">
      <w:pPr>
        <w:jc w:val="both"/>
        <w:rPr>
          <w:rFonts w:ascii="Arial" w:hAnsi="Arial" w:cs="Arial"/>
          <w:sz w:val="22"/>
          <w:szCs w:val="22"/>
        </w:rPr>
      </w:pPr>
      <w:r>
        <w:rPr>
          <w:rFonts w:ascii="Arial" w:hAnsi="Arial" w:cs="Arial"/>
          <w:sz w:val="22"/>
          <w:szCs w:val="22"/>
        </w:rPr>
        <w:t>4</w:t>
      </w:r>
      <w:r w:rsidRPr="005B3E97">
        <w:rPr>
          <w:rFonts w:ascii="Arial" w:hAnsi="Arial" w:cs="Arial"/>
          <w:sz w:val="22"/>
          <w:szCs w:val="22"/>
        </w:rPr>
        <w:t xml:space="preserve"> Population Studies </w:t>
      </w:r>
      <w:proofErr w:type="spellStart"/>
      <w:r w:rsidRPr="005B3E97">
        <w:rPr>
          <w:rFonts w:ascii="Arial" w:hAnsi="Arial" w:cs="Arial"/>
          <w:sz w:val="22"/>
          <w:szCs w:val="22"/>
        </w:rPr>
        <w:t>Center</w:t>
      </w:r>
      <w:proofErr w:type="spellEnd"/>
      <w:r w:rsidRPr="005B3E97">
        <w:rPr>
          <w:rFonts w:ascii="Arial" w:hAnsi="Arial" w:cs="Arial"/>
          <w:sz w:val="22"/>
          <w:szCs w:val="22"/>
        </w:rPr>
        <w:t>, Department of Sociology, University of Pennsylvania, Philadelphia, PA, USA</w:t>
      </w:r>
    </w:p>
    <w:p w14:paraId="201138E7" w14:textId="77777777" w:rsidR="00474D86" w:rsidRPr="000262BF" w:rsidRDefault="00474D86" w:rsidP="00A816C7">
      <w:pPr>
        <w:jc w:val="both"/>
        <w:rPr>
          <w:rFonts w:ascii="Arial" w:hAnsi="Arial" w:cs="Arial"/>
          <w:sz w:val="22"/>
          <w:szCs w:val="22"/>
        </w:rPr>
      </w:pPr>
      <w:r>
        <w:rPr>
          <w:rFonts w:ascii="Arial" w:hAnsi="Arial" w:cs="Arial"/>
          <w:sz w:val="22"/>
          <w:szCs w:val="22"/>
        </w:rPr>
        <w:t>5</w:t>
      </w:r>
      <w:r w:rsidRPr="000262BF">
        <w:rPr>
          <w:rFonts w:ascii="Arial" w:hAnsi="Arial" w:cs="Arial"/>
          <w:sz w:val="22"/>
          <w:szCs w:val="22"/>
        </w:rPr>
        <w:t xml:space="preserve"> French Institute for Demographic Studies (INED), Paris, France</w:t>
      </w:r>
    </w:p>
    <w:p w14:paraId="4FC0A8CB" w14:textId="77777777" w:rsidR="00474D86" w:rsidRPr="000262BF" w:rsidRDefault="00474D86" w:rsidP="00A816C7">
      <w:pPr>
        <w:jc w:val="both"/>
        <w:rPr>
          <w:rFonts w:ascii="Arial" w:hAnsi="Arial" w:cs="Arial"/>
          <w:sz w:val="22"/>
          <w:szCs w:val="22"/>
        </w:rPr>
      </w:pPr>
      <w:r>
        <w:rPr>
          <w:rFonts w:ascii="Arial" w:hAnsi="Arial" w:cs="Arial"/>
          <w:sz w:val="22"/>
          <w:szCs w:val="22"/>
        </w:rPr>
        <w:t>6</w:t>
      </w:r>
      <w:r w:rsidRPr="000262BF">
        <w:rPr>
          <w:rFonts w:ascii="Arial" w:hAnsi="Arial" w:cs="Arial"/>
          <w:sz w:val="22"/>
          <w:szCs w:val="22"/>
        </w:rPr>
        <w:t xml:space="preserve"> Directorate for Social Statistics and Population Census</w:t>
      </w:r>
      <w:r>
        <w:rPr>
          <w:rFonts w:ascii="Arial" w:hAnsi="Arial" w:cs="Arial"/>
          <w:sz w:val="22"/>
          <w:szCs w:val="22"/>
        </w:rPr>
        <w:t>,</w:t>
      </w:r>
      <w:r w:rsidRPr="003E08C9">
        <w:t xml:space="preserve"> </w:t>
      </w:r>
      <w:r w:rsidRPr="003E08C9">
        <w:rPr>
          <w:rFonts w:ascii="Arial" w:hAnsi="Arial" w:cs="Arial"/>
          <w:sz w:val="22"/>
          <w:szCs w:val="22"/>
        </w:rPr>
        <w:t>Italian National Institute of Statistics</w:t>
      </w:r>
      <w:r>
        <w:rPr>
          <w:rFonts w:ascii="Arial" w:hAnsi="Arial" w:cs="Arial"/>
          <w:sz w:val="22"/>
          <w:szCs w:val="22"/>
        </w:rPr>
        <w:t xml:space="preserve"> (</w:t>
      </w:r>
      <w:proofErr w:type="spellStart"/>
      <w:r>
        <w:rPr>
          <w:rFonts w:ascii="Arial" w:hAnsi="Arial" w:cs="Arial"/>
          <w:sz w:val="22"/>
          <w:szCs w:val="22"/>
        </w:rPr>
        <w:t>Istat</w:t>
      </w:r>
      <w:proofErr w:type="spellEnd"/>
      <w:r>
        <w:rPr>
          <w:rFonts w:ascii="Arial" w:hAnsi="Arial" w:cs="Arial"/>
          <w:sz w:val="22"/>
          <w:szCs w:val="22"/>
        </w:rPr>
        <w:t>), Rome, Italy</w:t>
      </w:r>
      <w:r w:rsidRPr="000262BF">
        <w:rPr>
          <w:rFonts w:ascii="Arial" w:hAnsi="Arial" w:cs="Arial"/>
          <w:sz w:val="22"/>
          <w:szCs w:val="22"/>
        </w:rPr>
        <w:t xml:space="preserve"> </w:t>
      </w:r>
    </w:p>
    <w:p w14:paraId="2D185A66" w14:textId="77777777" w:rsidR="00474D86" w:rsidRDefault="00474D86" w:rsidP="00A816C7">
      <w:pPr>
        <w:jc w:val="both"/>
        <w:rPr>
          <w:rFonts w:ascii="Arial" w:hAnsi="Arial" w:cs="Arial"/>
          <w:sz w:val="22"/>
          <w:szCs w:val="22"/>
        </w:rPr>
      </w:pPr>
      <w:r>
        <w:rPr>
          <w:rFonts w:ascii="Arial" w:hAnsi="Arial" w:cs="Arial"/>
          <w:sz w:val="22"/>
          <w:szCs w:val="22"/>
        </w:rPr>
        <w:t>7</w:t>
      </w:r>
      <w:r w:rsidRPr="000262BF">
        <w:rPr>
          <w:rFonts w:ascii="Arial" w:hAnsi="Arial" w:cs="Arial"/>
          <w:sz w:val="22"/>
          <w:szCs w:val="22"/>
        </w:rPr>
        <w:t xml:space="preserve"> </w:t>
      </w:r>
      <w:r w:rsidRPr="00E0521E">
        <w:rPr>
          <w:rFonts w:ascii="Arial" w:hAnsi="Arial" w:cs="Arial"/>
          <w:sz w:val="22"/>
          <w:szCs w:val="22"/>
        </w:rPr>
        <w:t>Department of Health Services Research and Policy</w:t>
      </w:r>
      <w:r>
        <w:rPr>
          <w:rFonts w:ascii="Arial" w:hAnsi="Arial" w:cs="Arial"/>
          <w:sz w:val="22"/>
          <w:szCs w:val="22"/>
        </w:rPr>
        <w:t>, London School of Hygiene &amp; Tropical Medicine</w:t>
      </w:r>
      <w:r w:rsidRPr="005B3E97">
        <w:rPr>
          <w:rFonts w:ascii="Arial" w:hAnsi="Arial" w:cs="Arial"/>
          <w:sz w:val="22"/>
          <w:szCs w:val="22"/>
        </w:rPr>
        <w:t>, London, UK</w:t>
      </w:r>
    </w:p>
    <w:p w14:paraId="1A50CF0D" w14:textId="77777777" w:rsidR="00474D86" w:rsidRPr="005B3E97" w:rsidRDefault="00474D86" w:rsidP="00A816C7">
      <w:pPr>
        <w:jc w:val="both"/>
        <w:rPr>
          <w:rFonts w:ascii="Arial" w:hAnsi="Arial" w:cs="Arial"/>
          <w:sz w:val="22"/>
          <w:szCs w:val="22"/>
        </w:rPr>
      </w:pPr>
      <w:r>
        <w:rPr>
          <w:rFonts w:ascii="Arial" w:hAnsi="Arial" w:cs="Arial"/>
          <w:sz w:val="22"/>
          <w:szCs w:val="22"/>
        </w:rPr>
        <w:t xml:space="preserve">8 </w:t>
      </w:r>
      <w:r w:rsidRPr="005B3E97">
        <w:rPr>
          <w:rFonts w:ascii="Arial" w:hAnsi="Arial" w:cs="Arial"/>
          <w:sz w:val="22"/>
          <w:szCs w:val="22"/>
        </w:rPr>
        <w:t>Department of Natural Sciences, Middlesex University London, London, UK</w:t>
      </w:r>
    </w:p>
    <w:p w14:paraId="2923F0F4" w14:textId="77777777" w:rsidR="00474D86" w:rsidRDefault="00474D86" w:rsidP="00A816C7">
      <w:pPr>
        <w:jc w:val="both"/>
        <w:rPr>
          <w:rFonts w:ascii="Arial" w:hAnsi="Arial" w:cs="Arial"/>
          <w:sz w:val="22"/>
          <w:szCs w:val="22"/>
        </w:rPr>
      </w:pPr>
      <w:r>
        <w:rPr>
          <w:rFonts w:ascii="Arial" w:hAnsi="Arial" w:cs="Arial"/>
          <w:sz w:val="22"/>
          <w:szCs w:val="22"/>
        </w:rPr>
        <w:t>9 Independent Researcher, Geneva, Switzerland</w:t>
      </w:r>
    </w:p>
    <w:p w14:paraId="62DF8233" w14:textId="77777777" w:rsidR="00474D86" w:rsidRDefault="00474D86" w:rsidP="00A816C7">
      <w:pPr>
        <w:jc w:val="both"/>
        <w:rPr>
          <w:rFonts w:ascii="Arial" w:hAnsi="Arial" w:cs="Arial"/>
          <w:sz w:val="22"/>
          <w:szCs w:val="22"/>
        </w:rPr>
      </w:pPr>
      <w:r>
        <w:rPr>
          <w:rFonts w:ascii="Arial" w:hAnsi="Arial" w:cs="Arial"/>
          <w:sz w:val="22"/>
          <w:szCs w:val="22"/>
        </w:rPr>
        <w:t>10 Regional Institute for Population Studies, University of Ghana, Legon, Ghana</w:t>
      </w:r>
    </w:p>
    <w:p w14:paraId="3392DC42" w14:textId="77777777" w:rsidR="00474D86" w:rsidRPr="005B3E97" w:rsidRDefault="00474D86" w:rsidP="00580F14">
      <w:pPr>
        <w:spacing w:line="480" w:lineRule="auto"/>
        <w:jc w:val="both"/>
        <w:rPr>
          <w:rFonts w:ascii="Arial" w:hAnsi="Arial" w:cs="Arial"/>
          <w:sz w:val="22"/>
          <w:szCs w:val="22"/>
        </w:rPr>
      </w:pPr>
    </w:p>
    <w:p w14:paraId="2418A1E0" w14:textId="77777777" w:rsidR="00474D86" w:rsidRPr="005B3E97" w:rsidRDefault="00474D86" w:rsidP="00CD6FE3">
      <w:pPr>
        <w:spacing w:line="480" w:lineRule="auto"/>
        <w:ind w:left="720" w:hanging="720"/>
        <w:jc w:val="both"/>
        <w:rPr>
          <w:rFonts w:ascii="Arial" w:hAnsi="Arial" w:cs="Arial"/>
          <w:sz w:val="22"/>
          <w:szCs w:val="22"/>
        </w:rPr>
      </w:pPr>
      <w:r w:rsidRPr="005B3E97">
        <w:rPr>
          <w:rFonts w:ascii="Arial" w:hAnsi="Arial" w:cs="Arial"/>
          <w:sz w:val="22"/>
          <w:szCs w:val="22"/>
        </w:rPr>
        <w:br w:type="page"/>
      </w:r>
    </w:p>
    <w:p w14:paraId="6006D64E" w14:textId="77777777" w:rsidR="00474D86" w:rsidRPr="00F65D04" w:rsidRDefault="00474D86" w:rsidP="00DD367E">
      <w:pPr>
        <w:spacing w:line="480" w:lineRule="auto"/>
        <w:jc w:val="both"/>
        <w:rPr>
          <w:rFonts w:ascii="Arial" w:hAnsi="Arial" w:cs="Arial"/>
          <w:b/>
          <w:bCs/>
          <w:color w:val="000000"/>
          <w:sz w:val="22"/>
          <w:szCs w:val="22"/>
        </w:rPr>
      </w:pPr>
      <w:r w:rsidRPr="00284C81">
        <w:rPr>
          <w:rFonts w:ascii="Arial" w:hAnsi="Arial" w:cs="Arial"/>
          <w:b/>
          <w:bCs/>
          <w:sz w:val="22"/>
          <w:szCs w:val="22"/>
        </w:rPr>
        <w:lastRenderedPageBreak/>
        <w:t>The Covid-19 pandemic affects mortality directly through infection as well as through changes in the social,</w:t>
      </w:r>
      <w:r>
        <w:rPr>
          <w:rFonts w:ascii="Arial" w:hAnsi="Arial" w:cs="Arial"/>
          <w:b/>
          <w:bCs/>
          <w:sz w:val="22"/>
          <w:szCs w:val="22"/>
        </w:rPr>
        <w:t xml:space="preserve"> economic,</w:t>
      </w:r>
      <w:r w:rsidRPr="00284C81">
        <w:rPr>
          <w:rFonts w:ascii="Arial" w:hAnsi="Arial" w:cs="Arial"/>
          <w:b/>
          <w:bCs/>
          <w:sz w:val="22"/>
          <w:szCs w:val="22"/>
        </w:rPr>
        <w:t xml:space="preserve"> environmental and healthcare determinants of health</w:t>
      </w:r>
      <w:r w:rsidRPr="001831EE">
        <w:rPr>
          <w:rFonts w:ascii="Arial" w:hAnsi="Arial" w:cs="Arial"/>
          <w:b/>
          <w:bCs/>
          <w:noProof/>
          <w:color w:val="000000"/>
          <w:sz w:val="22"/>
          <w:szCs w:val="22"/>
          <w:vertAlign w:val="superscript"/>
        </w:rPr>
        <w:t>1</w:t>
      </w:r>
      <w:r>
        <w:rPr>
          <w:rFonts w:ascii="Arial" w:hAnsi="Arial" w:cs="Arial"/>
          <w:b/>
          <w:bCs/>
          <w:color w:val="000000"/>
          <w:sz w:val="22"/>
          <w:szCs w:val="22"/>
        </w:rPr>
        <w:t>.</w:t>
      </w:r>
      <w:r w:rsidRPr="00284C81">
        <w:rPr>
          <w:rFonts w:ascii="Arial" w:hAnsi="Arial" w:cs="Arial"/>
          <w:b/>
          <w:bCs/>
          <w:color w:val="000000"/>
          <w:sz w:val="22"/>
          <w:szCs w:val="22"/>
        </w:rPr>
        <w:t xml:space="preserve"> </w:t>
      </w:r>
      <w:r>
        <w:rPr>
          <w:rFonts w:ascii="Arial" w:hAnsi="Arial" w:cs="Arial"/>
          <w:b/>
          <w:bCs/>
          <w:sz w:val="22"/>
          <w:szCs w:val="22"/>
        </w:rPr>
        <w:t>W</w:t>
      </w:r>
      <w:r w:rsidRPr="00284C81">
        <w:rPr>
          <w:rFonts w:ascii="Arial" w:hAnsi="Arial" w:cs="Arial"/>
          <w:b/>
          <w:bCs/>
          <w:sz w:val="22"/>
          <w:szCs w:val="22"/>
        </w:rPr>
        <w:t>e applied an ensemble of 16 Bayesian probabilistic models to vital statistics data to estimate the impacts of the pandemic</w:t>
      </w:r>
      <w:r w:rsidRPr="00B93C5A">
        <w:rPr>
          <w:rFonts w:ascii="Arial" w:hAnsi="Arial" w:cs="Arial"/>
          <w:b/>
          <w:bCs/>
          <w:sz w:val="22"/>
          <w:szCs w:val="22"/>
        </w:rPr>
        <w:t xml:space="preserve"> </w:t>
      </w:r>
      <w:r w:rsidRPr="00284C81">
        <w:rPr>
          <w:rFonts w:ascii="Arial" w:hAnsi="Arial" w:cs="Arial"/>
          <w:b/>
          <w:bCs/>
          <w:sz w:val="22"/>
          <w:szCs w:val="22"/>
        </w:rPr>
        <w:t xml:space="preserve">on all-cause mortality for </w:t>
      </w:r>
      <w:r>
        <w:rPr>
          <w:rFonts w:ascii="Arial" w:hAnsi="Arial" w:cs="Arial"/>
          <w:b/>
          <w:bCs/>
          <w:sz w:val="22"/>
          <w:szCs w:val="22"/>
        </w:rPr>
        <w:t>21</w:t>
      </w:r>
      <w:r w:rsidRPr="00284C81">
        <w:rPr>
          <w:rFonts w:ascii="Arial" w:hAnsi="Arial" w:cs="Arial"/>
          <w:b/>
          <w:bCs/>
          <w:sz w:val="22"/>
          <w:szCs w:val="22"/>
        </w:rPr>
        <w:t xml:space="preserve"> industrialised countries. </w:t>
      </w:r>
      <w:r w:rsidRPr="00284C81">
        <w:rPr>
          <w:rFonts w:ascii="Arial" w:hAnsi="Arial" w:cs="Arial"/>
          <w:b/>
          <w:bCs/>
          <w:color w:val="000000"/>
          <w:sz w:val="22"/>
          <w:szCs w:val="22"/>
        </w:rPr>
        <w:t xml:space="preserve">From mid-February through the end of May 2020, </w:t>
      </w:r>
      <w:r w:rsidRPr="00D65599">
        <w:rPr>
          <w:rFonts w:ascii="Arial" w:hAnsi="Arial" w:cs="Arial"/>
          <w:b/>
          <w:bCs/>
          <w:color w:val="000000"/>
          <w:sz w:val="22"/>
          <w:szCs w:val="22"/>
        </w:rPr>
        <w:t>206,000</w:t>
      </w:r>
      <w:r w:rsidRPr="00284C81">
        <w:rPr>
          <w:rFonts w:ascii="Arial" w:hAnsi="Arial" w:cs="Arial"/>
          <w:b/>
          <w:bCs/>
          <w:color w:val="000000"/>
          <w:sz w:val="22"/>
          <w:szCs w:val="22"/>
        </w:rPr>
        <w:t xml:space="preserve"> (95% credible interval </w:t>
      </w:r>
      <w:r w:rsidRPr="00D65599">
        <w:rPr>
          <w:rFonts w:ascii="Arial" w:hAnsi="Arial" w:cs="Arial"/>
          <w:b/>
          <w:bCs/>
          <w:color w:val="000000"/>
          <w:sz w:val="22"/>
          <w:szCs w:val="22"/>
        </w:rPr>
        <w:t>178,100-231,000</w:t>
      </w:r>
      <w:r w:rsidRPr="00284C81">
        <w:rPr>
          <w:rFonts w:ascii="Arial" w:hAnsi="Arial" w:cs="Arial"/>
          <w:b/>
          <w:bCs/>
          <w:color w:val="000000"/>
          <w:sz w:val="22"/>
          <w:szCs w:val="22"/>
        </w:rPr>
        <w:t xml:space="preserve">) more people died in these </w:t>
      </w:r>
      <w:r>
        <w:rPr>
          <w:rFonts w:ascii="Arial" w:hAnsi="Arial" w:cs="Arial"/>
          <w:b/>
          <w:bCs/>
          <w:color w:val="000000"/>
          <w:sz w:val="22"/>
          <w:szCs w:val="22"/>
        </w:rPr>
        <w:t>21</w:t>
      </w:r>
      <w:r w:rsidRPr="00284C81">
        <w:rPr>
          <w:rFonts w:ascii="Arial" w:hAnsi="Arial" w:cs="Arial"/>
          <w:b/>
          <w:bCs/>
          <w:color w:val="000000"/>
          <w:sz w:val="22"/>
          <w:szCs w:val="22"/>
        </w:rPr>
        <w:t xml:space="preserve"> countries than would have had the pandemic not taken place. </w:t>
      </w:r>
      <w:r>
        <w:rPr>
          <w:rFonts w:ascii="Arial" w:hAnsi="Arial" w:cs="Arial"/>
          <w:b/>
          <w:bCs/>
          <w:color w:val="000000"/>
          <w:sz w:val="22"/>
          <w:szCs w:val="22"/>
        </w:rPr>
        <w:t>T</w:t>
      </w:r>
      <w:r w:rsidRPr="00284C81">
        <w:rPr>
          <w:rFonts w:ascii="Arial" w:hAnsi="Arial" w:cs="Arial"/>
          <w:b/>
          <w:bCs/>
          <w:color w:val="000000"/>
          <w:sz w:val="22"/>
          <w:szCs w:val="22"/>
        </w:rPr>
        <w:t xml:space="preserve">he total number of </w:t>
      </w:r>
      <w:r>
        <w:rPr>
          <w:rFonts w:ascii="Arial" w:hAnsi="Arial" w:cs="Arial"/>
          <w:b/>
          <w:bCs/>
          <w:color w:val="000000"/>
          <w:sz w:val="22"/>
          <w:szCs w:val="22"/>
        </w:rPr>
        <w:t xml:space="preserve">excess </w:t>
      </w:r>
      <w:r w:rsidRPr="00284C81">
        <w:rPr>
          <w:rFonts w:ascii="Arial" w:hAnsi="Arial" w:cs="Arial"/>
          <w:b/>
          <w:bCs/>
          <w:color w:val="000000"/>
          <w:sz w:val="22"/>
          <w:szCs w:val="22"/>
        </w:rPr>
        <w:t xml:space="preserve">deaths, </w:t>
      </w:r>
      <w:r>
        <w:rPr>
          <w:rFonts w:ascii="Arial" w:hAnsi="Arial" w:cs="Arial"/>
          <w:b/>
          <w:bCs/>
          <w:color w:val="000000"/>
          <w:sz w:val="22"/>
          <w:szCs w:val="22"/>
        </w:rPr>
        <w:t xml:space="preserve">excess </w:t>
      </w:r>
      <w:r w:rsidRPr="00284C81">
        <w:rPr>
          <w:rFonts w:ascii="Arial" w:hAnsi="Arial" w:cs="Arial"/>
          <w:b/>
          <w:bCs/>
          <w:color w:val="000000"/>
          <w:sz w:val="22"/>
          <w:szCs w:val="22"/>
        </w:rPr>
        <w:t xml:space="preserve">deaths per 100,000 people, and relative increase in deaths were similar between men and women in most countries. </w:t>
      </w:r>
      <w:r w:rsidRPr="00284C81">
        <w:rPr>
          <w:rFonts w:ascii="Arial" w:hAnsi="Arial" w:cs="Arial"/>
          <w:b/>
          <w:bCs/>
          <w:sz w:val="22"/>
          <w:szCs w:val="22"/>
        </w:rPr>
        <w:t xml:space="preserve"> After accounting for population</w:t>
      </w:r>
      <w:r>
        <w:rPr>
          <w:rFonts w:ascii="Arial" w:hAnsi="Arial" w:cs="Arial"/>
          <w:b/>
          <w:bCs/>
          <w:sz w:val="22"/>
          <w:szCs w:val="22"/>
        </w:rPr>
        <w:t xml:space="preserve"> size</w:t>
      </w:r>
      <w:r w:rsidRPr="00284C81">
        <w:rPr>
          <w:rFonts w:ascii="Arial" w:hAnsi="Arial" w:cs="Arial"/>
          <w:b/>
          <w:bCs/>
          <w:sz w:val="22"/>
          <w:szCs w:val="22"/>
        </w:rPr>
        <w:t xml:space="preserve">, England and Wales and Spain experienced the highest death toll, </w:t>
      </w:r>
      <w:r>
        <w:rPr>
          <w:rFonts w:ascii="Arial" w:hAnsi="Arial" w:cs="Arial"/>
          <w:b/>
          <w:bCs/>
          <w:sz w:val="22"/>
          <w:szCs w:val="22"/>
        </w:rPr>
        <w:t>~</w:t>
      </w:r>
      <w:r w:rsidRPr="00284C81">
        <w:rPr>
          <w:rFonts w:ascii="Arial" w:hAnsi="Arial" w:cs="Arial"/>
          <w:b/>
          <w:bCs/>
          <w:sz w:val="22"/>
          <w:szCs w:val="22"/>
        </w:rPr>
        <w:t xml:space="preserve">100 </w:t>
      </w:r>
      <w:r>
        <w:rPr>
          <w:rFonts w:ascii="Arial" w:hAnsi="Arial" w:cs="Arial"/>
          <w:b/>
          <w:bCs/>
          <w:sz w:val="22"/>
          <w:szCs w:val="22"/>
        </w:rPr>
        <w:t xml:space="preserve">excess </w:t>
      </w:r>
      <w:r w:rsidRPr="00284C81">
        <w:rPr>
          <w:rFonts w:ascii="Arial" w:hAnsi="Arial" w:cs="Arial"/>
          <w:b/>
          <w:bCs/>
          <w:sz w:val="22"/>
          <w:szCs w:val="22"/>
        </w:rPr>
        <w:t>deaths per 100,000 people</w:t>
      </w:r>
      <w:r>
        <w:rPr>
          <w:rFonts w:ascii="Arial" w:hAnsi="Arial" w:cs="Arial"/>
          <w:b/>
          <w:bCs/>
          <w:sz w:val="22"/>
          <w:szCs w:val="22"/>
        </w:rPr>
        <w:t>;</w:t>
      </w:r>
      <w:r w:rsidRPr="00284C81">
        <w:rPr>
          <w:rFonts w:ascii="Arial" w:hAnsi="Arial" w:cs="Arial"/>
          <w:b/>
          <w:bCs/>
          <w:sz w:val="22"/>
          <w:szCs w:val="22"/>
        </w:rPr>
        <w:t xml:space="preserve"> </w:t>
      </w:r>
      <w:r>
        <w:rPr>
          <w:rFonts w:ascii="Arial" w:hAnsi="Arial" w:cs="Arial"/>
          <w:b/>
          <w:bCs/>
          <w:sz w:val="22"/>
          <w:szCs w:val="22"/>
        </w:rPr>
        <w:t>they also had the largest</w:t>
      </w:r>
      <w:r w:rsidRPr="00284C81">
        <w:rPr>
          <w:rFonts w:ascii="Arial" w:hAnsi="Arial" w:cs="Arial"/>
          <w:b/>
          <w:bCs/>
          <w:sz w:val="22"/>
          <w:szCs w:val="22"/>
        </w:rPr>
        <w:t xml:space="preserve"> relative increase in deaths (</w:t>
      </w:r>
      <w:r>
        <w:rPr>
          <w:rFonts w:ascii="Arial" w:hAnsi="Arial" w:cs="Arial"/>
          <w:b/>
          <w:bCs/>
          <w:sz w:val="22"/>
          <w:szCs w:val="22"/>
        </w:rPr>
        <w:t>37</w:t>
      </w:r>
      <w:r w:rsidRPr="00284C81">
        <w:rPr>
          <w:rFonts w:ascii="Arial" w:hAnsi="Arial" w:cs="Arial"/>
          <w:b/>
          <w:bCs/>
          <w:sz w:val="22"/>
          <w:szCs w:val="22"/>
        </w:rPr>
        <w:t xml:space="preserve">% </w:t>
      </w:r>
      <w:r>
        <w:rPr>
          <w:rFonts w:ascii="Arial" w:hAnsi="Arial" w:cs="Arial"/>
          <w:b/>
          <w:bCs/>
          <w:sz w:val="22"/>
          <w:szCs w:val="22"/>
        </w:rPr>
        <w:t xml:space="preserve">(95% credible interval </w:t>
      </w:r>
      <w:r w:rsidRPr="00284C81">
        <w:rPr>
          <w:rFonts w:ascii="Arial" w:hAnsi="Arial" w:cs="Arial"/>
          <w:b/>
          <w:bCs/>
          <w:sz w:val="22"/>
          <w:szCs w:val="22"/>
        </w:rPr>
        <w:t>30-</w:t>
      </w:r>
      <w:r>
        <w:rPr>
          <w:rFonts w:ascii="Arial" w:hAnsi="Arial" w:cs="Arial"/>
          <w:b/>
          <w:bCs/>
          <w:sz w:val="22"/>
          <w:szCs w:val="22"/>
        </w:rPr>
        <w:t>44)</w:t>
      </w:r>
      <w:r w:rsidRPr="00284C81">
        <w:rPr>
          <w:rFonts w:ascii="Arial" w:hAnsi="Arial" w:cs="Arial"/>
          <w:b/>
          <w:bCs/>
          <w:sz w:val="22"/>
          <w:szCs w:val="22"/>
        </w:rPr>
        <w:t xml:space="preserve"> in England and Wales</w:t>
      </w:r>
      <w:r>
        <w:rPr>
          <w:rFonts w:ascii="Arial" w:hAnsi="Arial" w:cs="Arial"/>
          <w:b/>
          <w:bCs/>
          <w:sz w:val="22"/>
          <w:szCs w:val="22"/>
        </w:rPr>
        <w:t>; 38</w:t>
      </w:r>
      <w:r w:rsidRPr="00284C81">
        <w:rPr>
          <w:rFonts w:ascii="Arial" w:hAnsi="Arial" w:cs="Arial"/>
          <w:b/>
          <w:bCs/>
          <w:sz w:val="22"/>
          <w:szCs w:val="22"/>
        </w:rPr>
        <w:t xml:space="preserve">% </w:t>
      </w:r>
      <w:r>
        <w:rPr>
          <w:rFonts w:ascii="Arial" w:hAnsi="Arial" w:cs="Arial"/>
          <w:b/>
          <w:bCs/>
          <w:sz w:val="22"/>
          <w:szCs w:val="22"/>
        </w:rPr>
        <w:t>(31-45)</w:t>
      </w:r>
      <w:r w:rsidRPr="00284C81">
        <w:rPr>
          <w:rFonts w:ascii="Arial" w:hAnsi="Arial" w:cs="Arial"/>
          <w:b/>
          <w:bCs/>
          <w:sz w:val="22"/>
          <w:szCs w:val="22"/>
        </w:rPr>
        <w:t xml:space="preserve"> in Spain). Bulgaria</w:t>
      </w:r>
      <w:r>
        <w:rPr>
          <w:rFonts w:ascii="Arial" w:hAnsi="Arial" w:cs="Arial"/>
          <w:b/>
          <w:bCs/>
          <w:sz w:val="22"/>
          <w:szCs w:val="22"/>
        </w:rPr>
        <w:t xml:space="preserve">, </w:t>
      </w:r>
      <w:r w:rsidRPr="00284C81">
        <w:rPr>
          <w:rFonts w:ascii="Arial" w:hAnsi="Arial" w:cs="Arial"/>
          <w:b/>
          <w:bCs/>
          <w:sz w:val="22"/>
          <w:szCs w:val="22"/>
        </w:rPr>
        <w:t xml:space="preserve">New Zealand, </w:t>
      </w:r>
      <w:r>
        <w:rPr>
          <w:rFonts w:ascii="Arial" w:hAnsi="Arial" w:cs="Arial"/>
          <w:b/>
          <w:bCs/>
          <w:sz w:val="22"/>
          <w:szCs w:val="22"/>
        </w:rPr>
        <w:t xml:space="preserve">Slovakia, Australia, Czechia, </w:t>
      </w:r>
      <w:r w:rsidRPr="00284C81">
        <w:rPr>
          <w:rFonts w:ascii="Arial" w:hAnsi="Arial" w:cs="Arial"/>
          <w:b/>
          <w:bCs/>
          <w:sz w:val="22"/>
          <w:szCs w:val="22"/>
        </w:rPr>
        <w:t>Hungary</w:t>
      </w:r>
      <w:r>
        <w:rPr>
          <w:rFonts w:ascii="Arial" w:hAnsi="Arial" w:cs="Arial"/>
          <w:b/>
          <w:bCs/>
          <w:sz w:val="22"/>
          <w:szCs w:val="22"/>
        </w:rPr>
        <w:t xml:space="preserve">, Poland, Norway, Denmark and </w:t>
      </w:r>
      <w:r w:rsidRPr="00284C81">
        <w:rPr>
          <w:rFonts w:ascii="Arial" w:hAnsi="Arial" w:cs="Arial"/>
          <w:b/>
          <w:bCs/>
          <w:sz w:val="22"/>
          <w:szCs w:val="22"/>
        </w:rPr>
        <w:t>Finland</w:t>
      </w:r>
      <w:r w:rsidRPr="006C2628">
        <w:rPr>
          <w:rFonts w:ascii="Arial" w:hAnsi="Arial" w:cs="Arial"/>
          <w:b/>
          <w:bCs/>
          <w:sz w:val="22"/>
          <w:szCs w:val="22"/>
        </w:rPr>
        <w:t xml:space="preserve"> experienced changes in deaths that ranged from possible slight declines to increases of no more than 5%</w:t>
      </w:r>
      <w:r>
        <w:rPr>
          <w:rFonts w:ascii="Arial" w:hAnsi="Arial" w:cs="Arial"/>
          <w:b/>
          <w:bCs/>
          <w:sz w:val="22"/>
          <w:szCs w:val="22"/>
        </w:rPr>
        <w:t xml:space="preserve"> in either sex</w:t>
      </w:r>
      <w:r w:rsidRPr="006C2628">
        <w:rPr>
          <w:rFonts w:ascii="Arial" w:hAnsi="Arial" w:cs="Arial"/>
          <w:b/>
          <w:bCs/>
          <w:sz w:val="22"/>
          <w:szCs w:val="22"/>
        </w:rPr>
        <w:t xml:space="preserve">. </w:t>
      </w:r>
      <w:r w:rsidRPr="00284C81">
        <w:rPr>
          <w:rFonts w:ascii="Arial" w:hAnsi="Arial" w:cs="Arial"/>
          <w:b/>
          <w:bCs/>
          <w:color w:val="000000"/>
          <w:sz w:val="22"/>
          <w:szCs w:val="22"/>
        </w:rPr>
        <w:t xml:space="preserve">The heterogeneous magnitude and character of the excess deaths due to the Covid-19 pandemic reflect differences in how well countries </w:t>
      </w:r>
      <w:r>
        <w:rPr>
          <w:rFonts w:ascii="Arial" w:hAnsi="Arial" w:cs="Arial"/>
          <w:b/>
          <w:bCs/>
          <w:color w:val="000000"/>
          <w:sz w:val="22"/>
          <w:szCs w:val="22"/>
        </w:rPr>
        <w:t xml:space="preserve">have </w:t>
      </w:r>
      <w:r w:rsidRPr="00284C81">
        <w:rPr>
          <w:rFonts w:ascii="Arial" w:hAnsi="Arial" w:cs="Arial"/>
          <w:b/>
          <w:bCs/>
          <w:color w:val="000000"/>
          <w:sz w:val="22"/>
          <w:szCs w:val="22"/>
        </w:rPr>
        <w:t>managed the pandemic and the resilience and preparedness of the health and social care system.</w:t>
      </w:r>
    </w:p>
    <w:p w14:paraId="01585691" w14:textId="77777777" w:rsidR="00474D86" w:rsidRPr="005B3E97" w:rsidRDefault="00474D86" w:rsidP="00580F14">
      <w:pPr>
        <w:spacing w:line="480" w:lineRule="auto"/>
        <w:jc w:val="both"/>
        <w:rPr>
          <w:rFonts w:ascii="Arial" w:hAnsi="Arial" w:cs="Arial"/>
          <w:sz w:val="22"/>
          <w:szCs w:val="22"/>
        </w:rPr>
      </w:pPr>
    </w:p>
    <w:p w14:paraId="34FD9F31" w14:textId="77777777" w:rsidR="00474D86" w:rsidRPr="005B3E97" w:rsidRDefault="00474D86">
      <w:pPr>
        <w:rPr>
          <w:rFonts w:ascii="Arial" w:hAnsi="Arial" w:cs="Arial"/>
          <w:sz w:val="22"/>
          <w:szCs w:val="22"/>
        </w:rPr>
      </w:pPr>
      <w:r w:rsidRPr="005B3E97">
        <w:rPr>
          <w:rFonts w:ascii="Arial" w:hAnsi="Arial" w:cs="Arial"/>
          <w:sz w:val="22"/>
          <w:szCs w:val="22"/>
        </w:rPr>
        <w:br w:type="page"/>
      </w:r>
    </w:p>
    <w:p w14:paraId="00D0DC38" w14:textId="77777777" w:rsidR="00474D86" w:rsidRPr="00C17BFC" w:rsidRDefault="00474D86" w:rsidP="002251C4">
      <w:pPr>
        <w:spacing w:line="480" w:lineRule="auto"/>
        <w:jc w:val="both"/>
        <w:rPr>
          <w:rFonts w:ascii="Arial" w:hAnsi="Arial" w:cs="Arial"/>
          <w:color w:val="000000"/>
          <w:sz w:val="22"/>
          <w:szCs w:val="22"/>
        </w:rPr>
      </w:pPr>
      <w:r w:rsidRPr="005B3E97">
        <w:rPr>
          <w:rFonts w:ascii="Arial" w:hAnsi="Arial" w:cs="Arial"/>
          <w:color w:val="000000"/>
          <w:sz w:val="22"/>
          <w:szCs w:val="22"/>
        </w:rPr>
        <w:lastRenderedPageBreak/>
        <w:t xml:space="preserve">Covid-19 </w:t>
      </w:r>
      <w:r>
        <w:rPr>
          <w:rFonts w:ascii="Arial" w:hAnsi="Arial" w:cs="Arial"/>
          <w:color w:val="000000"/>
          <w:sz w:val="22"/>
          <w:szCs w:val="22"/>
        </w:rPr>
        <w:t xml:space="preserve">infection has been the direct cause of </w:t>
      </w:r>
      <w:r w:rsidRPr="005B3E97">
        <w:rPr>
          <w:rFonts w:ascii="Arial" w:hAnsi="Arial" w:cs="Arial"/>
          <w:color w:val="000000"/>
          <w:sz w:val="22"/>
          <w:szCs w:val="22"/>
        </w:rPr>
        <w:t xml:space="preserve">hundreds of thousands of deaths </w:t>
      </w:r>
      <w:r>
        <w:rPr>
          <w:rFonts w:ascii="Arial" w:hAnsi="Arial" w:cs="Arial"/>
          <w:color w:val="000000"/>
          <w:sz w:val="22"/>
          <w:szCs w:val="22"/>
        </w:rPr>
        <w:t xml:space="preserve">but the indirect effects of the pandemic and responses to it, acting through </w:t>
      </w:r>
      <w:r w:rsidRPr="005B3E97">
        <w:rPr>
          <w:rFonts w:ascii="Arial" w:hAnsi="Arial" w:cs="Arial"/>
          <w:color w:val="000000"/>
          <w:sz w:val="22"/>
          <w:szCs w:val="22"/>
        </w:rPr>
        <w:t xml:space="preserve">social, economic, environmental and healthcare </w:t>
      </w:r>
      <w:r>
        <w:rPr>
          <w:rFonts w:ascii="Arial" w:hAnsi="Arial" w:cs="Arial"/>
          <w:color w:val="000000"/>
          <w:sz w:val="22"/>
          <w:szCs w:val="22"/>
        </w:rPr>
        <w:t>pathways, can also be substantial</w:t>
      </w:r>
      <w:r w:rsidRPr="001831EE">
        <w:rPr>
          <w:rFonts w:ascii="Arial" w:hAnsi="Arial" w:cs="Arial"/>
          <w:noProof/>
          <w:color w:val="000000"/>
          <w:sz w:val="22"/>
          <w:szCs w:val="22"/>
          <w:vertAlign w:val="superscript"/>
        </w:rPr>
        <w:t>1</w:t>
      </w:r>
      <w:r>
        <w:rPr>
          <w:rFonts w:ascii="Arial" w:hAnsi="Arial" w:cs="Arial"/>
          <w:color w:val="000000"/>
          <w:sz w:val="22"/>
          <w:szCs w:val="22"/>
        </w:rPr>
        <w:t xml:space="preserve">. The latter include denied or </w:t>
      </w:r>
      <w:r w:rsidRPr="005B3E97">
        <w:rPr>
          <w:rFonts w:ascii="Arial" w:hAnsi="Arial" w:cs="Arial"/>
          <w:color w:val="000000"/>
          <w:sz w:val="22"/>
          <w:szCs w:val="22"/>
        </w:rPr>
        <w:t>delayed disease prevention and medical procedures for acute and chronic c</w:t>
      </w:r>
      <w:r>
        <w:rPr>
          <w:rFonts w:ascii="Arial" w:hAnsi="Arial" w:cs="Arial"/>
          <w:color w:val="000000"/>
          <w:sz w:val="22"/>
          <w:szCs w:val="22"/>
        </w:rPr>
        <w:t>onditions</w:t>
      </w:r>
      <w:r w:rsidRPr="005B3E97">
        <w:rPr>
          <w:rFonts w:ascii="Arial" w:hAnsi="Arial" w:cs="Arial"/>
          <w:color w:val="000000"/>
          <w:sz w:val="22"/>
          <w:szCs w:val="22"/>
        </w:rPr>
        <w:t>; loss of job</w:t>
      </w:r>
      <w:r>
        <w:rPr>
          <w:rFonts w:ascii="Arial" w:hAnsi="Arial" w:cs="Arial"/>
          <w:color w:val="000000"/>
          <w:sz w:val="22"/>
          <w:szCs w:val="22"/>
        </w:rPr>
        <w:t>s</w:t>
      </w:r>
      <w:r w:rsidRPr="005B3E97">
        <w:rPr>
          <w:rFonts w:ascii="Arial" w:hAnsi="Arial" w:cs="Arial"/>
          <w:color w:val="000000"/>
          <w:sz w:val="22"/>
          <w:szCs w:val="22"/>
        </w:rPr>
        <w:t xml:space="preserve"> and income; disruption of social networks; </w:t>
      </w:r>
      <w:r>
        <w:rPr>
          <w:rFonts w:ascii="Arial" w:hAnsi="Arial" w:cs="Arial"/>
          <w:color w:val="000000"/>
          <w:sz w:val="22"/>
          <w:szCs w:val="22"/>
        </w:rPr>
        <w:t xml:space="preserve">increases </w:t>
      </w:r>
      <w:r w:rsidRPr="005B3E97">
        <w:rPr>
          <w:rFonts w:ascii="Arial" w:hAnsi="Arial" w:cs="Arial"/>
          <w:color w:val="000000"/>
          <w:sz w:val="22"/>
          <w:szCs w:val="22"/>
        </w:rPr>
        <w:t>in crime</w:t>
      </w:r>
      <w:r>
        <w:rPr>
          <w:rFonts w:ascii="Arial" w:hAnsi="Arial" w:cs="Arial"/>
          <w:color w:val="000000"/>
          <w:sz w:val="22"/>
          <w:szCs w:val="22"/>
        </w:rPr>
        <w:t>, especially domestic abuse,</w:t>
      </w:r>
      <w:r w:rsidRPr="005B3E97">
        <w:rPr>
          <w:rFonts w:ascii="Arial" w:hAnsi="Arial" w:cs="Arial"/>
          <w:color w:val="000000"/>
          <w:sz w:val="22"/>
          <w:szCs w:val="22"/>
        </w:rPr>
        <w:t xml:space="preserve"> and self-harm; changes in quantity and quality of food, and the use of tobacco, alcohol and other drugs; and changes in road traffic</w:t>
      </w:r>
      <w:r>
        <w:rPr>
          <w:rFonts w:ascii="Arial" w:hAnsi="Arial" w:cs="Arial"/>
          <w:color w:val="000000"/>
          <w:sz w:val="22"/>
          <w:szCs w:val="22"/>
        </w:rPr>
        <w:t xml:space="preserve"> crashes, other</w:t>
      </w:r>
      <w:r w:rsidRPr="005B3E97">
        <w:rPr>
          <w:rFonts w:ascii="Arial" w:hAnsi="Arial" w:cs="Arial"/>
          <w:color w:val="000000"/>
          <w:sz w:val="22"/>
          <w:szCs w:val="22"/>
        </w:rPr>
        <w:t xml:space="preserve"> injuries and air pollution</w:t>
      </w:r>
      <w:r>
        <w:rPr>
          <w:rFonts w:ascii="Arial" w:hAnsi="Arial" w:cs="Arial"/>
          <w:color w:val="000000"/>
          <w:sz w:val="22"/>
          <w:szCs w:val="22"/>
        </w:rPr>
        <w:t xml:space="preserve"> resulting from changes in </w:t>
      </w:r>
      <w:r w:rsidRPr="005B3E97">
        <w:rPr>
          <w:rFonts w:ascii="Arial" w:hAnsi="Arial" w:cs="Arial"/>
          <w:color w:val="000000"/>
          <w:sz w:val="22"/>
          <w:szCs w:val="22"/>
        </w:rPr>
        <w:t>mobility and transport</w:t>
      </w:r>
      <w:r>
        <w:rPr>
          <w:rFonts w:ascii="Arial" w:hAnsi="Arial" w:cs="Arial"/>
          <w:color w:val="000000"/>
          <w:sz w:val="22"/>
          <w:szCs w:val="22"/>
        </w:rPr>
        <w:t>ation</w:t>
      </w:r>
      <w:r w:rsidRPr="005B3E97">
        <w:rPr>
          <w:rFonts w:ascii="Arial" w:hAnsi="Arial" w:cs="Arial"/>
          <w:color w:val="000000"/>
          <w:sz w:val="22"/>
          <w:szCs w:val="22"/>
        </w:rPr>
        <w:t xml:space="preserve">. How these </w:t>
      </w:r>
      <w:r>
        <w:rPr>
          <w:rFonts w:ascii="Arial" w:hAnsi="Arial" w:cs="Arial"/>
          <w:color w:val="000000"/>
          <w:sz w:val="22"/>
          <w:szCs w:val="22"/>
        </w:rPr>
        <w:t>developments</w:t>
      </w:r>
      <w:r w:rsidRPr="005B3E97">
        <w:rPr>
          <w:rFonts w:ascii="Arial" w:hAnsi="Arial" w:cs="Arial"/>
          <w:color w:val="000000"/>
          <w:sz w:val="22"/>
          <w:szCs w:val="22"/>
        </w:rPr>
        <w:t xml:space="preserve"> impact mortality varies across countries</w:t>
      </w:r>
      <w:r w:rsidRPr="002251C4">
        <w:rPr>
          <w:rFonts w:ascii="Arial" w:hAnsi="Arial" w:cs="Arial"/>
          <w:color w:val="000000"/>
          <w:sz w:val="22"/>
          <w:szCs w:val="22"/>
        </w:rPr>
        <w:t xml:space="preserve"> </w:t>
      </w:r>
      <w:r>
        <w:rPr>
          <w:rFonts w:ascii="Arial" w:hAnsi="Arial" w:cs="Arial"/>
          <w:color w:val="000000"/>
          <w:sz w:val="22"/>
          <w:szCs w:val="22"/>
        </w:rPr>
        <w:t xml:space="preserve">reflecting the sociodemographic characteristics of the population, </w:t>
      </w:r>
      <w:r w:rsidRPr="005B3E97">
        <w:rPr>
          <w:rFonts w:ascii="Arial" w:hAnsi="Arial" w:cs="Arial"/>
          <w:color w:val="000000"/>
          <w:sz w:val="22"/>
          <w:szCs w:val="22"/>
        </w:rPr>
        <w:t>the extent and timing of the epidemic</w:t>
      </w:r>
      <w:r>
        <w:rPr>
          <w:rFonts w:ascii="Arial" w:hAnsi="Arial" w:cs="Arial"/>
          <w:color w:val="000000"/>
          <w:sz w:val="22"/>
          <w:szCs w:val="22"/>
        </w:rPr>
        <w:t xml:space="preserve"> and the response</w:t>
      </w:r>
      <w:r w:rsidRPr="005B3E97">
        <w:rPr>
          <w:rFonts w:ascii="Arial" w:hAnsi="Arial" w:cs="Arial"/>
          <w:color w:val="000000"/>
          <w:sz w:val="22"/>
          <w:szCs w:val="22"/>
        </w:rPr>
        <w:t xml:space="preserve">, </w:t>
      </w:r>
      <w:r>
        <w:rPr>
          <w:rFonts w:ascii="Arial" w:hAnsi="Arial" w:cs="Arial"/>
          <w:color w:val="000000"/>
          <w:sz w:val="22"/>
          <w:szCs w:val="22"/>
        </w:rPr>
        <w:t xml:space="preserve">the overall health status of the population, </w:t>
      </w:r>
      <w:r w:rsidRPr="005B3E97">
        <w:rPr>
          <w:rFonts w:ascii="Arial" w:hAnsi="Arial" w:cs="Arial"/>
          <w:color w:val="000000"/>
          <w:sz w:val="22"/>
          <w:szCs w:val="22"/>
        </w:rPr>
        <w:t>th</w:t>
      </w:r>
      <w:r>
        <w:rPr>
          <w:rFonts w:ascii="Arial" w:hAnsi="Arial" w:cs="Arial"/>
          <w:color w:val="000000"/>
          <w:sz w:val="22"/>
          <w:szCs w:val="22"/>
        </w:rPr>
        <w:t>e</w:t>
      </w:r>
      <w:r w:rsidRPr="005B3E97">
        <w:rPr>
          <w:rFonts w:ascii="Arial" w:hAnsi="Arial" w:cs="Arial"/>
          <w:color w:val="000000"/>
          <w:sz w:val="22"/>
          <w:szCs w:val="22"/>
        </w:rPr>
        <w:t xml:space="preserve"> resilience and agility of the health and social care system, </w:t>
      </w:r>
      <w:r>
        <w:rPr>
          <w:rFonts w:ascii="Arial" w:hAnsi="Arial" w:cs="Arial"/>
          <w:color w:val="000000"/>
          <w:sz w:val="22"/>
          <w:szCs w:val="22"/>
        </w:rPr>
        <w:t>and the performance of social and economic safety nets</w:t>
      </w:r>
      <w:r w:rsidRPr="005B3E97">
        <w:rPr>
          <w:rFonts w:ascii="Arial" w:hAnsi="Arial" w:cs="Arial"/>
          <w:color w:val="000000"/>
          <w:sz w:val="22"/>
          <w:szCs w:val="22"/>
        </w:rPr>
        <w:t>.</w:t>
      </w:r>
      <w:r w:rsidRPr="00061DF9">
        <w:rPr>
          <w:rFonts w:ascii="Arial" w:hAnsi="Arial" w:cs="Arial"/>
          <w:color w:val="000000"/>
          <w:sz w:val="22"/>
          <w:szCs w:val="22"/>
        </w:rPr>
        <w:t xml:space="preserve"> </w:t>
      </w:r>
      <w:r w:rsidRPr="005B3E97">
        <w:rPr>
          <w:rFonts w:ascii="Arial" w:hAnsi="Arial" w:cs="Arial"/>
          <w:color w:val="000000"/>
          <w:sz w:val="22"/>
          <w:szCs w:val="22"/>
        </w:rPr>
        <w:t xml:space="preserve">An understanding of the </w:t>
      </w:r>
      <w:r>
        <w:rPr>
          <w:rFonts w:ascii="Arial" w:hAnsi="Arial" w:cs="Arial"/>
          <w:color w:val="000000"/>
          <w:sz w:val="22"/>
          <w:szCs w:val="22"/>
        </w:rPr>
        <w:t xml:space="preserve">total impact on </w:t>
      </w:r>
      <w:r w:rsidRPr="005B3E97">
        <w:rPr>
          <w:rFonts w:ascii="Arial" w:hAnsi="Arial" w:cs="Arial"/>
          <w:color w:val="000000"/>
          <w:sz w:val="22"/>
          <w:szCs w:val="22"/>
        </w:rPr>
        <w:t xml:space="preserve">mortality is needed to understand the </w:t>
      </w:r>
      <w:r>
        <w:rPr>
          <w:rFonts w:ascii="Arial" w:hAnsi="Arial" w:cs="Arial"/>
          <w:color w:val="000000"/>
          <w:sz w:val="22"/>
          <w:szCs w:val="22"/>
        </w:rPr>
        <w:t xml:space="preserve">true </w:t>
      </w:r>
      <w:r w:rsidRPr="005B3E97">
        <w:rPr>
          <w:rFonts w:ascii="Arial" w:hAnsi="Arial" w:cs="Arial"/>
          <w:color w:val="000000"/>
          <w:sz w:val="22"/>
          <w:szCs w:val="22"/>
        </w:rPr>
        <w:t>public health impacts of the pandemic</w:t>
      </w:r>
      <w:r>
        <w:rPr>
          <w:rFonts w:ascii="Arial" w:hAnsi="Arial" w:cs="Arial"/>
          <w:color w:val="000000"/>
          <w:sz w:val="22"/>
          <w:szCs w:val="22"/>
        </w:rPr>
        <w:t xml:space="preserve"> and the policy response</w:t>
      </w:r>
      <w:r w:rsidRPr="005B3E97">
        <w:rPr>
          <w:rFonts w:ascii="Arial" w:hAnsi="Arial" w:cs="Arial"/>
          <w:color w:val="000000"/>
          <w:sz w:val="22"/>
          <w:szCs w:val="22"/>
        </w:rPr>
        <w:t xml:space="preserve">. Comparative </w:t>
      </w:r>
      <w:r>
        <w:rPr>
          <w:rFonts w:ascii="Arial" w:hAnsi="Arial" w:cs="Arial"/>
          <w:color w:val="000000"/>
          <w:sz w:val="22"/>
          <w:szCs w:val="22"/>
        </w:rPr>
        <w:t xml:space="preserve">multi-country </w:t>
      </w:r>
      <w:r w:rsidRPr="005B3E97">
        <w:rPr>
          <w:rFonts w:ascii="Arial" w:hAnsi="Arial" w:cs="Arial"/>
          <w:color w:val="000000"/>
          <w:sz w:val="22"/>
          <w:szCs w:val="22"/>
        </w:rPr>
        <w:t>analyses</w:t>
      </w:r>
      <w:r w:rsidRPr="001831EE">
        <w:rPr>
          <w:rFonts w:ascii="Arial" w:hAnsi="Arial" w:cs="Arial"/>
          <w:noProof/>
          <w:sz w:val="22"/>
          <w:szCs w:val="22"/>
          <w:vertAlign w:val="superscript"/>
        </w:rPr>
        <w:t>2</w:t>
      </w:r>
      <w:r w:rsidRPr="005B3E97">
        <w:rPr>
          <w:rFonts w:ascii="Arial" w:hAnsi="Arial" w:cs="Arial"/>
          <w:sz w:val="22"/>
          <w:szCs w:val="22"/>
        </w:rPr>
        <w:t xml:space="preserve"> </w:t>
      </w:r>
      <w:r>
        <w:rPr>
          <w:rFonts w:ascii="Arial" w:hAnsi="Arial" w:cs="Arial"/>
          <w:sz w:val="22"/>
          <w:szCs w:val="22"/>
        </w:rPr>
        <w:t xml:space="preserve">offer insights into how responses can be made more effective and timely, and how </w:t>
      </w:r>
      <w:r w:rsidRPr="005B3E97">
        <w:rPr>
          <w:rFonts w:ascii="Arial" w:hAnsi="Arial" w:cs="Arial"/>
          <w:sz w:val="22"/>
          <w:szCs w:val="22"/>
        </w:rPr>
        <w:t>health and social care system</w:t>
      </w:r>
      <w:r>
        <w:rPr>
          <w:rFonts w:ascii="Arial" w:hAnsi="Arial" w:cs="Arial"/>
          <w:sz w:val="22"/>
          <w:szCs w:val="22"/>
        </w:rPr>
        <w:t xml:space="preserve">s may be made more resilient. </w:t>
      </w:r>
      <w:r w:rsidRPr="005B3E97">
        <w:rPr>
          <w:rFonts w:ascii="Arial" w:hAnsi="Arial" w:cs="Arial"/>
          <w:sz w:val="22"/>
          <w:szCs w:val="22"/>
        </w:rPr>
        <w:t xml:space="preserve">However, </w:t>
      </w:r>
      <w:r>
        <w:rPr>
          <w:rFonts w:ascii="Arial" w:hAnsi="Arial" w:cs="Arial"/>
          <w:sz w:val="22"/>
          <w:szCs w:val="22"/>
        </w:rPr>
        <w:t>some politicians reject country benchmarking</w:t>
      </w:r>
      <w:r w:rsidRPr="005B3E97">
        <w:rPr>
          <w:rFonts w:ascii="Arial" w:hAnsi="Arial" w:cs="Arial"/>
          <w:sz w:val="22"/>
          <w:szCs w:val="22"/>
        </w:rPr>
        <w:t xml:space="preserve"> </w:t>
      </w:r>
      <w:r>
        <w:rPr>
          <w:rFonts w:ascii="Arial" w:hAnsi="Arial" w:cs="Arial"/>
          <w:sz w:val="22"/>
          <w:szCs w:val="22"/>
        </w:rPr>
        <w:t>based on the argument</w:t>
      </w:r>
      <w:r w:rsidRPr="005B3E97">
        <w:rPr>
          <w:rFonts w:ascii="Arial" w:hAnsi="Arial" w:cs="Arial"/>
          <w:sz w:val="22"/>
          <w:szCs w:val="22"/>
        </w:rPr>
        <w:t xml:space="preserve"> that the data, methodology and </w:t>
      </w:r>
      <w:r>
        <w:rPr>
          <w:rFonts w:ascii="Arial" w:hAnsi="Arial" w:cs="Arial"/>
          <w:sz w:val="22"/>
          <w:szCs w:val="22"/>
        </w:rPr>
        <w:t>timing of the analysis</w:t>
      </w:r>
      <w:r w:rsidRPr="005B3E97">
        <w:rPr>
          <w:rFonts w:ascii="Arial" w:hAnsi="Arial" w:cs="Arial"/>
          <w:sz w:val="22"/>
          <w:szCs w:val="22"/>
        </w:rPr>
        <w:t xml:space="preserve"> </w:t>
      </w:r>
      <w:r>
        <w:rPr>
          <w:rFonts w:ascii="Arial" w:hAnsi="Arial" w:cs="Arial"/>
          <w:sz w:val="22"/>
          <w:szCs w:val="22"/>
        </w:rPr>
        <w:t>are</w:t>
      </w:r>
      <w:r w:rsidRPr="005B3E97">
        <w:rPr>
          <w:rFonts w:ascii="Arial" w:hAnsi="Arial" w:cs="Arial"/>
          <w:sz w:val="22"/>
          <w:szCs w:val="22"/>
        </w:rPr>
        <w:t xml:space="preserve"> not comparable</w:t>
      </w:r>
      <w:r>
        <w:rPr>
          <w:rFonts w:ascii="Arial" w:hAnsi="Arial" w:cs="Arial"/>
          <w:sz w:val="22"/>
          <w:szCs w:val="22"/>
        </w:rPr>
        <w:t xml:space="preserve"> across countries</w:t>
      </w:r>
      <w:r w:rsidRPr="005B3E97">
        <w:rPr>
          <w:rFonts w:ascii="Arial" w:hAnsi="Arial" w:cs="Arial"/>
          <w:sz w:val="22"/>
          <w:szCs w:val="22"/>
        </w:rPr>
        <w:t>.</w:t>
      </w:r>
      <w:r w:rsidRPr="001831EE">
        <w:rPr>
          <w:rFonts w:ascii="Arial" w:hAnsi="Arial" w:cs="Arial"/>
          <w:noProof/>
          <w:sz w:val="22"/>
          <w:szCs w:val="22"/>
          <w:vertAlign w:val="superscript"/>
        </w:rPr>
        <w:t>3</w:t>
      </w:r>
      <w:r w:rsidRPr="005B3E97">
        <w:rPr>
          <w:rFonts w:ascii="Arial" w:hAnsi="Arial" w:cs="Arial"/>
          <w:sz w:val="22"/>
          <w:szCs w:val="22"/>
        </w:rPr>
        <w:t xml:space="preserve"> </w:t>
      </w:r>
      <w:r w:rsidRPr="005B3E97">
        <w:rPr>
          <w:rFonts w:ascii="Arial" w:hAnsi="Arial" w:cs="Arial"/>
          <w:color w:val="000000"/>
          <w:sz w:val="22"/>
          <w:szCs w:val="22"/>
        </w:rPr>
        <w:t>Here, we developed</w:t>
      </w:r>
      <w:r>
        <w:rPr>
          <w:rFonts w:ascii="Arial" w:hAnsi="Arial" w:cs="Arial"/>
          <w:color w:val="000000"/>
          <w:sz w:val="22"/>
          <w:szCs w:val="22"/>
        </w:rPr>
        <w:t xml:space="preserve"> and applied</w:t>
      </w:r>
      <w:r w:rsidRPr="005B3E97">
        <w:rPr>
          <w:rFonts w:ascii="Arial" w:hAnsi="Arial" w:cs="Arial"/>
          <w:color w:val="000000"/>
          <w:sz w:val="22"/>
          <w:szCs w:val="22"/>
        </w:rPr>
        <w:t xml:space="preserve"> </w:t>
      </w:r>
      <w:r>
        <w:rPr>
          <w:rFonts w:ascii="Arial" w:hAnsi="Arial" w:cs="Arial"/>
          <w:color w:val="000000"/>
          <w:sz w:val="22"/>
          <w:szCs w:val="22"/>
        </w:rPr>
        <w:t xml:space="preserve">a </w:t>
      </w:r>
      <w:r w:rsidRPr="005B3E97">
        <w:rPr>
          <w:rFonts w:ascii="Arial" w:hAnsi="Arial" w:cs="Arial"/>
          <w:color w:val="000000"/>
          <w:sz w:val="22"/>
          <w:szCs w:val="22"/>
        </w:rPr>
        <w:t xml:space="preserve">probabilistic </w:t>
      </w:r>
      <w:r w:rsidRPr="00F8370C">
        <w:rPr>
          <w:rFonts w:ascii="Arial" w:hAnsi="Arial" w:cs="Arial"/>
          <w:color w:val="000000"/>
          <w:sz w:val="22"/>
          <w:szCs w:val="22"/>
        </w:rPr>
        <w:t xml:space="preserve">model averaging approach, </w:t>
      </w:r>
      <w:r>
        <w:rPr>
          <w:rFonts w:ascii="Arial" w:hAnsi="Arial" w:cs="Arial"/>
          <w:color w:val="000000"/>
          <w:sz w:val="22"/>
          <w:szCs w:val="22"/>
        </w:rPr>
        <w:t>using</w:t>
      </w:r>
      <w:r w:rsidRPr="00F8370C">
        <w:rPr>
          <w:rFonts w:ascii="Arial" w:hAnsi="Arial" w:cs="Arial"/>
          <w:color w:val="000000"/>
          <w:sz w:val="22"/>
          <w:szCs w:val="22"/>
        </w:rPr>
        <w:t xml:space="preserve"> an ensemble of 16 Bayesian models,</w:t>
      </w:r>
      <w:r w:rsidRPr="005B3E97">
        <w:rPr>
          <w:rFonts w:ascii="Arial" w:hAnsi="Arial" w:cs="Arial"/>
          <w:color w:val="000000"/>
          <w:sz w:val="22"/>
          <w:szCs w:val="22"/>
        </w:rPr>
        <w:t xml:space="preserve"> for comparable quantification of the weekly mortality impacts of the </w:t>
      </w:r>
      <w:r w:rsidRPr="005B3E97">
        <w:rPr>
          <w:rFonts w:ascii="Arial" w:hAnsi="Arial" w:cs="Arial"/>
          <w:sz w:val="22"/>
          <w:szCs w:val="22"/>
        </w:rPr>
        <w:t xml:space="preserve">first </w:t>
      </w:r>
      <w:r>
        <w:rPr>
          <w:rFonts w:ascii="Arial" w:hAnsi="Arial" w:cs="Arial"/>
          <w:sz w:val="22"/>
          <w:szCs w:val="22"/>
        </w:rPr>
        <w:t>phase</w:t>
      </w:r>
      <w:r w:rsidRPr="005B3E97">
        <w:rPr>
          <w:rFonts w:ascii="Arial" w:hAnsi="Arial" w:cs="Arial"/>
          <w:sz w:val="22"/>
          <w:szCs w:val="22"/>
        </w:rPr>
        <w:t xml:space="preserve"> of the </w:t>
      </w:r>
      <w:r w:rsidRPr="005B3E97">
        <w:rPr>
          <w:rFonts w:ascii="Arial" w:hAnsi="Arial" w:cs="Arial"/>
          <w:color w:val="000000"/>
          <w:sz w:val="22"/>
          <w:szCs w:val="22"/>
        </w:rPr>
        <w:t>Covid-19 pandemic</w:t>
      </w:r>
      <w:r>
        <w:rPr>
          <w:rFonts w:ascii="Arial" w:hAnsi="Arial" w:cs="Arial"/>
          <w:color w:val="000000"/>
          <w:sz w:val="22"/>
          <w:szCs w:val="22"/>
        </w:rPr>
        <w:t xml:space="preserve"> in</w:t>
      </w:r>
      <w:r w:rsidRPr="005B3E97">
        <w:rPr>
          <w:rFonts w:ascii="Arial" w:hAnsi="Arial" w:cs="Arial"/>
          <w:color w:val="000000"/>
          <w:sz w:val="22"/>
          <w:szCs w:val="22"/>
        </w:rPr>
        <w:t xml:space="preserve"> </w:t>
      </w:r>
      <w:r>
        <w:rPr>
          <w:rFonts w:ascii="Arial" w:hAnsi="Arial" w:cs="Arial"/>
          <w:color w:val="000000"/>
          <w:sz w:val="22"/>
          <w:szCs w:val="22"/>
        </w:rPr>
        <w:t>19</w:t>
      </w:r>
      <w:r w:rsidRPr="005B3E97">
        <w:rPr>
          <w:rFonts w:ascii="Arial" w:hAnsi="Arial" w:cs="Arial"/>
          <w:color w:val="000000"/>
          <w:sz w:val="22"/>
          <w:szCs w:val="22"/>
        </w:rPr>
        <w:t xml:space="preserve"> industrialised countries in central and western Europe plus </w:t>
      </w:r>
      <w:r>
        <w:rPr>
          <w:rFonts w:ascii="Arial" w:hAnsi="Arial" w:cs="Arial"/>
          <w:color w:val="000000"/>
          <w:sz w:val="22"/>
          <w:szCs w:val="22"/>
        </w:rPr>
        <w:t xml:space="preserve">Australia and </w:t>
      </w:r>
      <w:r w:rsidRPr="005B3E97">
        <w:rPr>
          <w:rFonts w:ascii="Arial" w:hAnsi="Arial" w:cs="Arial"/>
          <w:color w:val="000000"/>
          <w:sz w:val="22"/>
          <w:szCs w:val="22"/>
        </w:rPr>
        <w:t xml:space="preserve">New </w:t>
      </w:r>
      <w:r w:rsidRPr="00C17BFC">
        <w:rPr>
          <w:rFonts w:ascii="Arial" w:hAnsi="Arial" w:cs="Arial"/>
          <w:color w:val="000000"/>
          <w:sz w:val="22"/>
          <w:szCs w:val="22"/>
        </w:rPr>
        <w:t>Zealand.</w:t>
      </w:r>
      <w:r w:rsidRPr="00C17BFC">
        <w:rPr>
          <w:rFonts w:ascii="Arial" w:hAnsi="Arial" w:cs="Arial"/>
          <w:sz w:val="22"/>
          <w:szCs w:val="22"/>
        </w:rPr>
        <w:t xml:space="preserve"> The models accounted for factors that affect death rates including seasonality, temperature, and public holidays, as well as for medium-long-term secular trends and the dependency of death rates in each week on those in preceding week(s).</w:t>
      </w:r>
    </w:p>
    <w:p w14:paraId="679CFEE9" w14:textId="77777777" w:rsidR="00474D86" w:rsidRPr="00C17BFC" w:rsidRDefault="00474D86" w:rsidP="00580F14">
      <w:pPr>
        <w:spacing w:line="480" w:lineRule="auto"/>
        <w:jc w:val="both"/>
        <w:rPr>
          <w:rFonts w:ascii="Arial" w:hAnsi="Arial" w:cs="Arial"/>
          <w:color w:val="000000"/>
          <w:sz w:val="22"/>
          <w:szCs w:val="22"/>
        </w:rPr>
      </w:pPr>
    </w:p>
    <w:p w14:paraId="0CEC1970" w14:textId="77777777" w:rsidR="00474D86" w:rsidRPr="005B3E97" w:rsidRDefault="00474D86" w:rsidP="00580F14">
      <w:pPr>
        <w:spacing w:line="480" w:lineRule="auto"/>
        <w:jc w:val="both"/>
        <w:rPr>
          <w:rFonts w:ascii="Arial" w:hAnsi="Arial" w:cs="Arial"/>
          <w:i/>
          <w:iCs/>
          <w:color w:val="000000"/>
          <w:sz w:val="22"/>
          <w:szCs w:val="22"/>
        </w:rPr>
      </w:pPr>
      <w:r w:rsidRPr="005B3E97">
        <w:rPr>
          <w:rFonts w:ascii="Arial" w:hAnsi="Arial" w:cs="Arial"/>
          <w:i/>
          <w:iCs/>
          <w:color w:val="000000"/>
          <w:sz w:val="22"/>
          <w:szCs w:val="22"/>
        </w:rPr>
        <w:t>Magnitude of excess deaths</w:t>
      </w:r>
    </w:p>
    <w:p w14:paraId="58988A6B" w14:textId="77777777" w:rsidR="00474D86" w:rsidRPr="005B3E97" w:rsidRDefault="00474D86" w:rsidP="00580F14">
      <w:pPr>
        <w:spacing w:line="480" w:lineRule="auto"/>
        <w:jc w:val="both"/>
        <w:rPr>
          <w:rFonts w:ascii="Arial" w:hAnsi="Arial" w:cs="Arial"/>
          <w:color w:val="000000"/>
          <w:sz w:val="22"/>
          <w:szCs w:val="22"/>
        </w:rPr>
      </w:pPr>
      <w:r>
        <w:rPr>
          <w:rFonts w:ascii="Arial" w:hAnsi="Arial" w:cs="Arial"/>
          <w:color w:val="000000"/>
          <w:sz w:val="22"/>
          <w:szCs w:val="22"/>
        </w:rPr>
        <w:t xml:space="preserve">Deaths in all these countries were at the levels that would be expected in the absence of the pandemic through the month of February but started to diverge to higher levels at various times in March in some (Fig. 1). </w:t>
      </w:r>
      <w:r w:rsidRPr="005B3E97">
        <w:rPr>
          <w:rFonts w:ascii="Arial" w:hAnsi="Arial" w:cs="Arial"/>
          <w:color w:val="000000"/>
          <w:sz w:val="22"/>
          <w:szCs w:val="22"/>
        </w:rPr>
        <w:t xml:space="preserve">From mid-February through the end of May 2020, an </w:t>
      </w:r>
      <w:r w:rsidRPr="005B3E97">
        <w:rPr>
          <w:rFonts w:ascii="Arial" w:hAnsi="Arial" w:cs="Arial"/>
          <w:color w:val="000000"/>
          <w:sz w:val="22"/>
          <w:szCs w:val="22"/>
        </w:rPr>
        <w:lastRenderedPageBreak/>
        <w:t xml:space="preserve">estimated </w:t>
      </w:r>
      <w:r w:rsidRPr="00F24060">
        <w:rPr>
          <w:rFonts w:ascii="Arial" w:hAnsi="Arial" w:cs="Arial"/>
          <w:color w:val="000000"/>
          <w:sz w:val="22"/>
          <w:szCs w:val="22"/>
        </w:rPr>
        <w:t>206,000</w:t>
      </w:r>
      <w:r w:rsidRPr="002C2E5A">
        <w:rPr>
          <w:rFonts w:ascii="Arial" w:hAnsi="Arial" w:cs="Arial"/>
          <w:color w:val="000000"/>
          <w:sz w:val="22"/>
          <w:szCs w:val="22"/>
        </w:rPr>
        <w:t xml:space="preserve"> </w:t>
      </w:r>
      <w:r w:rsidRPr="005B3E97">
        <w:rPr>
          <w:rFonts w:ascii="Arial" w:hAnsi="Arial" w:cs="Arial"/>
          <w:color w:val="000000"/>
          <w:sz w:val="22"/>
          <w:szCs w:val="22"/>
        </w:rPr>
        <w:t xml:space="preserve">(95% credible interval </w:t>
      </w:r>
      <w:r w:rsidRPr="00F24060">
        <w:rPr>
          <w:rFonts w:ascii="Arial" w:hAnsi="Arial" w:cs="Arial"/>
          <w:color w:val="000000"/>
          <w:sz w:val="22"/>
          <w:szCs w:val="22"/>
        </w:rPr>
        <w:t>178,100-231,000</w:t>
      </w:r>
      <w:r w:rsidRPr="005B3E97">
        <w:rPr>
          <w:rFonts w:ascii="Arial" w:hAnsi="Arial" w:cs="Arial"/>
          <w:color w:val="000000"/>
          <w:sz w:val="22"/>
          <w:szCs w:val="22"/>
        </w:rPr>
        <w:t xml:space="preserve">) more people died in these </w:t>
      </w:r>
      <w:r>
        <w:rPr>
          <w:rFonts w:ascii="Arial" w:hAnsi="Arial" w:cs="Arial"/>
          <w:color w:val="000000"/>
          <w:sz w:val="22"/>
          <w:szCs w:val="22"/>
        </w:rPr>
        <w:t>21</w:t>
      </w:r>
      <w:r w:rsidRPr="005B3E97">
        <w:rPr>
          <w:rFonts w:ascii="Arial" w:hAnsi="Arial" w:cs="Arial"/>
          <w:color w:val="000000"/>
          <w:sz w:val="22"/>
          <w:szCs w:val="22"/>
        </w:rPr>
        <w:t xml:space="preserve"> countries than would have </w:t>
      </w:r>
      <w:r>
        <w:rPr>
          <w:rFonts w:ascii="Arial" w:hAnsi="Arial" w:cs="Arial"/>
          <w:color w:val="000000"/>
          <w:sz w:val="22"/>
          <w:szCs w:val="22"/>
        </w:rPr>
        <w:t xml:space="preserve">been expected </w:t>
      </w:r>
      <w:r w:rsidRPr="005B3E97">
        <w:rPr>
          <w:rFonts w:ascii="Arial" w:hAnsi="Arial" w:cs="Arial"/>
          <w:color w:val="000000"/>
          <w:sz w:val="22"/>
          <w:szCs w:val="22"/>
        </w:rPr>
        <w:t>had the pandemic not taken place.</w:t>
      </w:r>
      <w:bookmarkStart w:id="0" w:name="_Hlk42958655"/>
      <w:r w:rsidRPr="005B3E97">
        <w:rPr>
          <w:rFonts w:ascii="Arial" w:hAnsi="Arial" w:cs="Arial"/>
          <w:color w:val="000000"/>
          <w:sz w:val="22"/>
          <w:szCs w:val="22"/>
        </w:rPr>
        <w:t xml:space="preserve"> </w:t>
      </w:r>
      <w:bookmarkStart w:id="1" w:name="_Hlk44583359"/>
      <w:r>
        <w:rPr>
          <w:rFonts w:ascii="Arial" w:hAnsi="Arial" w:cs="Arial"/>
          <w:color w:val="000000"/>
          <w:sz w:val="22"/>
          <w:szCs w:val="22"/>
        </w:rPr>
        <w:t>This number is larger than the number of deaths from lung cancer in these countries in an entire year, and 2.5 times the number of deaths from diabetes or breast cancer in an entire year.</w:t>
      </w:r>
      <w:r w:rsidRPr="001831EE">
        <w:rPr>
          <w:rFonts w:ascii="Arial" w:hAnsi="Arial" w:cs="Arial"/>
          <w:noProof/>
          <w:color w:val="000000"/>
          <w:sz w:val="22"/>
          <w:szCs w:val="22"/>
          <w:vertAlign w:val="superscript"/>
        </w:rPr>
        <w:t>4</w:t>
      </w:r>
      <w:r>
        <w:rPr>
          <w:rFonts w:ascii="Arial" w:hAnsi="Arial" w:cs="Arial"/>
          <w:color w:val="000000"/>
          <w:sz w:val="22"/>
          <w:szCs w:val="22"/>
        </w:rPr>
        <w:t xml:space="preserve"> </w:t>
      </w:r>
      <w:bookmarkEnd w:id="1"/>
      <w:r>
        <w:rPr>
          <w:rFonts w:ascii="Arial" w:hAnsi="Arial" w:cs="Arial"/>
          <w:color w:val="000000"/>
          <w:sz w:val="22"/>
          <w:szCs w:val="22"/>
        </w:rPr>
        <w:t xml:space="preserve">Of these deaths, </w:t>
      </w:r>
      <w:r w:rsidRPr="00F24060">
        <w:rPr>
          <w:rFonts w:ascii="Arial" w:hAnsi="Arial" w:cs="Arial"/>
          <w:color w:val="000000"/>
          <w:sz w:val="22"/>
          <w:szCs w:val="22"/>
        </w:rPr>
        <w:t>105,800 (90,400-119,000)</w:t>
      </w:r>
      <w:r w:rsidRPr="005B3E97">
        <w:rPr>
          <w:rFonts w:ascii="Arial" w:hAnsi="Arial" w:cs="Arial"/>
          <w:color w:val="000000"/>
          <w:sz w:val="22"/>
          <w:szCs w:val="22"/>
        </w:rPr>
        <w:t xml:space="preserve"> were in men and</w:t>
      </w:r>
      <w:r>
        <w:rPr>
          <w:rFonts w:ascii="Arial" w:hAnsi="Arial" w:cs="Arial"/>
          <w:color w:val="000000"/>
          <w:sz w:val="22"/>
          <w:szCs w:val="22"/>
        </w:rPr>
        <w:t xml:space="preserve"> </w:t>
      </w:r>
      <w:r w:rsidRPr="00F24060">
        <w:rPr>
          <w:rFonts w:ascii="Arial" w:hAnsi="Arial" w:cs="Arial"/>
          <w:color w:val="000000"/>
          <w:sz w:val="22"/>
          <w:szCs w:val="22"/>
        </w:rPr>
        <w:t>100,000 (82,000-117,500)</w:t>
      </w:r>
      <w:r w:rsidRPr="005B3E97">
        <w:rPr>
          <w:rFonts w:ascii="Arial" w:hAnsi="Arial" w:cs="Arial"/>
          <w:color w:val="000000"/>
          <w:sz w:val="22"/>
          <w:szCs w:val="22"/>
        </w:rPr>
        <w:t xml:space="preserve"> in women</w:t>
      </w:r>
      <w:r>
        <w:rPr>
          <w:rFonts w:ascii="Arial" w:hAnsi="Arial" w:cs="Arial"/>
          <w:color w:val="000000"/>
          <w:sz w:val="22"/>
          <w:szCs w:val="22"/>
        </w:rPr>
        <w:t xml:space="preserve"> </w:t>
      </w:r>
      <w:r w:rsidRPr="005B3E97">
        <w:rPr>
          <w:rFonts w:ascii="Arial" w:hAnsi="Arial" w:cs="Arial"/>
          <w:color w:val="000000"/>
          <w:sz w:val="22"/>
          <w:szCs w:val="22"/>
        </w:rPr>
        <w:t xml:space="preserve">(Extended Data Table </w:t>
      </w:r>
      <w:r>
        <w:rPr>
          <w:rFonts w:ascii="Arial" w:hAnsi="Arial" w:cs="Arial"/>
          <w:color w:val="000000"/>
          <w:sz w:val="22"/>
          <w:szCs w:val="22"/>
        </w:rPr>
        <w:t>1</w:t>
      </w:r>
      <w:r w:rsidRPr="005B3E97">
        <w:rPr>
          <w:rFonts w:ascii="Arial" w:hAnsi="Arial" w:cs="Arial"/>
          <w:color w:val="000000"/>
          <w:sz w:val="22"/>
          <w:szCs w:val="22"/>
        </w:rPr>
        <w:t xml:space="preserve">). In relative terms, this amounts to a </w:t>
      </w:r>
      <w:r w:rsidRPr="00F24060">
        <w:rPr>
          <w:rFonts w:ascii="Arial" w:hAnsi="Arial" w:cs="Arial"/>
          <w:color w:val="000000"/>
          <w:sz w:val="22"/>
          <w:szCs w:val="22"/>
        </w:rPr>
        <w:t>15</w:t>
      </w:r>
      <w:r>
        <w:rPr>
          <w:rFonts w:ascii="Arial" w:hAnsi="Arial" w:cs="Arial"/>
          <w:color w:val="000000"/>
          <w:sz w:val="22"/>
          <w:szCs w:val="22"/>
        </w:rPr>
        <w:t>%</w:t>
      </w:r>
      <w:r w:rsidRPr="00F24060">
        <w:rPr>
          <w:rFonts w:ascii="Arial" w:hAnsi="Arial" w:cs="Arial"/>
          <w:color w:val="000000"/>
          <w:sz w:val="22"/>
          <w:szCs w:val="22"/>
        </w:rPr>
        <w:t xml:space="preserve"> (13-17)</w:t>
      </w:r>
      <w:r w:rsidRPr="005B3E97">
        <w:rPr>
          <w:rFonts w:ascii="Arial" w:hAnsi="Arial" w:cs="Arial"/>
          <w:color w:val="000000"/>
          <w:sz w:val="22"/>
          <w:szCs w:val="22"/>
        </w:rPr>
        <w:t xml:space="preserve"> increase in deaths over this period in these countries </w:t>
      </w:r>
      <w:r>
        <w:rPr>
          <w:rFonts w:ascii="Arial" w:hAnsi="Arial" w:cs="Arial"/>
          <w:color w:val="000000"/>
          <w:sz w:val="22"/>
          <w:szCs w:val="22"/>
        </w:rPr>
        <w:t xml:space="preserve">combined. </w:t>
      </w:r>
      <w:r w:rsidRPr="005B3E97">
        <w:rPr>
          <w:rFonts w:ascii="Arial" w:hAnsi="Arial" w:cs="Arial"/>
          <w:color w:val="000000"/>
          <w:sz w:val="22"/>
          <w:szCs w:val="22"/>
        </w:rPr>
        <w:t xml:space="preserve">Italy, Spain and England and Wales accounted for </w:t>
      </w:r>
      <w:r>
        <w:rPr>
          <w:rFonts w:ascii="Arial" w:hAnsi="Arial" w:cs="Arial"/>
          <w:color w:val="000000"/>
          <w:sz w:val="22"/>
          <w:szCs w:val="22"/>
        </w:rPr>
        <w:t>24</w:t>
      </w:r>
      <w:r w:rsidRPr="005B3E97">
        <w:rPr>
          <w:rFonts w:ascii="Arial" w:hAnsi="Arial" w:cs="Arial"/>
          <w:color w:val="000000"/>
          <w:sz w:val="22"/>
          <w:szCs w:val="22"/>
        </w:rPr>
        <w:t xml:space="preserve">%, </w:t>
      </w:r>
      <w:r>
        <w:rPr>
          <w:rFonts w:ascii="Arial" w:hAnsi="Arial" w:cs="Arial"/>
          <w:color w:val="000000"/>
          <w:sz w:val="22"/>
          <w:szCs w:val="22"/>
        </w:rPr>
        <w:t>22</w:t>
      </w:r>
      <w:r w:rsidRPr="005B3E97">
        <w:rPr>
          <w:rFonts w:ascii="Arial" w:hAnsi="Arial" w:cs="Arial"/>
          <w:color w:val="000000"/>
          <w:sz w:val="22"/>
          <w:szCs w:val="22"/>
        </w:rPr>
        <w:t xml:space="preserve">% and </w:t>
      </w:r>
      <w:r>
        <w:rPr>
          <w:rFonts w:ascii="Arial" w:hAnsi="Arial" w:cs="Arial"/>
          <w:color w:val="000000"/>
          <w:sz w:val="22"/>
          <w:szCs w:val="22"/>
        </w:rPr>
        <w:t>28</w:t>
      </w:r>
      <w:r w:rsidRPr="005B3E97">
        <w:rPr>
          <w:rFonts w:ascii="Arial" w:hAnsi="Arial" w:cs="Arial"/>
          <w:color w:val="000000"/>
          <w:sz w:val="22"/>
          <w:szCs w:val="22"/>
        </w:rPr>
        <w:t>% of these excess deaths, respectively.</w:t>
      </w:r>
    </w:p>
    <w:p w14:paraId="6F031591" w14:textId="77777777" w:rsidR="00474D86" w:rsidRDefault="00474D86" w:rsidP="00580F14">
      <w:pPr>
        <w:spacing w:line="480" w:lineRule="auto"/>
        <w:jc w:val="both"/>
        <w:rPr>
          <w:rFonts w:ascii="Arial" w:hAnsi="Arial" w:cs="Arial"/>
          <w:color w:val="000000"/>
          <w:sz w:val="22"/>
          <w:szCs w:val="22"/>
        </w:rPr>
      </w:pPr>
    </w:p>
    <w:p w14:paraId="645F4EB0" w14:textId="77777777" w:rsidR="00474D86" w:rsidRPr="005B3E97" w:rsidRDefault="00474D86" w:rsidP="005E33CD">
      <w:pPr>
        <w:spacing w:line="480" w:lineRule="auto"/>
        <w:jc w:val="both"/>
        <w:rPr>
          <w:rFonts w:ascii="Arial" w:hAnsi="Arial" w:cs="Arial"/>
          <w:color w:val="000000"/>
          <w:sz w:val="22"/>
          <w:szCs w:val="22"/>
        </w:rPr>
      </w:pPr>
      <w:r>
        <w:rPr>
          <w:rFonts w:ascii="Arial" w:hAnsi="Arial" w:cs="Arial"/>
          <w:sz w:val="22"/>
          <w:szCs w:val="22"/>
        </w:rPr>
        <w:t>We report the p</w:t>
      </w:r>
      <w:r w:rsidRPr="004C6151">
        <w:rPr>
          <w:rFonts w:ascii="Arial" w:hAnsi="Arial" w:cs="Arial"/>
          <w:sz w:val="22"/>
          <w:szCs w:val="22"/>
        </w:rPr>
        <w:t>osterior probability</w:t>
      </w:r>
      <w:r>
        <w:rPr>
          <w:rFonts w:ascii="Arial" w:hAnsi="Arial" w:cs="Arial"/>
          <w:sz w:val="22"/>
          <w:szCs w:val="22"/>
        </w:rPr>
        <w:t xml:space="preserve"> that the observed change in deaths represents an </w:t>
      </w:r>
      <w:r w:rsidRPr="004C6151">
        <w:rPr>
          <w:rFonts w:ascii="Arial" w:hAnsi="Arial" w:cs="Arial"/>
          <w:sz w:val="22"/>
          <w:szCs w:val="22"/>
        </w:rPr>
        <w:t>increas</w:t>
      </w:r>
      <w:r>
        <w:rPr>
          <w:rFonts w:ascii="Arial" w:hAnsi="Arial" w:cs="Arial"/>
          <w:sz w:val="22"/>
          <w:szCs w:val="22"/>
        </w:rPr>
        <w:t xml:space="preserve">e </w:t>
      </w:r>
      <w:r w:rsidRPr="004C6151">
        <w:rPr>
          <w:rFonts w:ascii="Arial" w:hAnsi="Arial" w:cs="Arial"/>
          <w:sz w:val="22"/>
          <w:szCs w:val="22"/>
        </w:rPr>
        <w:t>or</w:t>
      </w:r>
      <w:r>
        <w:rPr>
          <w:rFonts w:ascii="Arial" w:hAnsi="Arial" w:cs="Arial"/>
          <w:sz w:val="22"/>
          <w:szCs w:val="22"/>
        </w:rPr>
        <w:t xml:space="preserve"> </w:t>
      </w:r>
      <w:r w:rsidRPr="004C6151">
        <w:rPr>
          <w:rFonts w:ascii="Arial" w:hAnsi="Arial" w:cs="Arial"/>
          <w:sz w:val="22"/>
          <w:szCs w:val="22"/>
        </w:rPr>
        <w:t>decreas</w:t>
      </w:r>
      <w:r>
        <w:rPr>
          <w:rFonts w:ascii="Arial" w:hAnsi="Arial" w:cs="Arial"/>
          <w:sz w:val="22"/>
          <w:szCs w:val="22"/>
        </w:rPr>
        <w:t>e in deaths, compared to what would be expected if the pandemic had not occurred. Posterior probability represents the inherent uncertainty in how many deaths would have occurred in the absence of the pandemic. I</w:t>
      </w:r>
      <w:r w:rsidRPr="004C6151">
        <w:rPr>
          <w:rFonts w:ascii="Arial" w:hAnsi="Arial" w:cs="Arial"/>
          <w:sz w:val="22"/>
          <w:szCs w:val="22"/>
        </w:rPr>
        <w:t>n a country</w:t>
      </w:r>
      <w:r>
        <w:rPr>
          <w:rFonts w:ascii="Arial" w:hAnsi="Arial" w:cs="Arial"/>
          <w:sz w:val="22"/>
          <w:szCs w:val="22"/>
        </w:rPr>
        <w:t xml:space="preserve"> and week</w:t>
      </w:r>
      <w:r w:rsidRPr="004C6151">
        <w:rPr>
          <w:rFonts w:ascii="Arial" w:hAnsi="Arial" w:cs="Arial"/>
          <w:sz w:val="22"/>
          <w:szCs w:val="22"/>
        </w:rPr>
        <w:t xml:space="preserve"> in which </w:t>
      </w:r>
      <w:r>
        <w:rPr>
          <w:rFonts w:ascii="Arial" w:hAnsi="Arial" w:cs="Arial"/>
          <w:sz w:val="22"/>
          <w:szCs w:val="22"/>
        </w:rPr>
        <w:t xml:space="preserve">the actual number of deaths is the same as the posterior median of the number expected in a no-pandemic counterfactual, </w:t>
      </w:r>
      <w:r w:rsidRPr="004C6151">
        <w:rPr>
          <w:rFonts w:ascii="Arial" w:hAnsi="Arial" w:cs="Arial"/>
          <w:sz w:val="22"/>
          <w:szCs w:val="22"/>
        </w:rPr>
        <w:t xml:space="preserve">an increase </w:t>
      </w:r>
      <w:r>
        <w:rPr>
          <w:rFonts w:ascii="Arial" w:hAnsi="Arial" w:cs="Arial"/>
          <w:sz w:val="22"/>
          <w:szCs w:val="22"/>
        </w:rPr>
        <w:t xml:space="preserve">in deaths </w:t>
      </w:r>
      <w:r w:rsidRPr="004C6151">
        <w:rPr>
          <w:rFonts w:ascii="Arial" w:hAnsi="Arial" w:cs="Arial"/>
          <w:sz w:val="22"/>
          <w:szCs w:val="22"/>
        </w:rPr>
        <w:t>is statistically</w:t>
      </w:r>
      <w:r>
        <w:rPr>
          <w:rFonts w:ascii="Arial" w:hAnsi="Arial" w:cs="Arial"/>
          <w:sz w:val="22"/>
          <w:szCs w:val="22"/>
        </w:rPr>
        <w:t xml:space="preserve"> </w:t>
      </w:r>
      <w:r w:rsidRPr="004C6151">
        <w:rPr>
          <w:rFonts w:ascii="Arial" w:hAnsi="Arial" w:cs="Arial"/>
          <w:sz w:val="22"/>
          <w:szCs w:val="22"/>
        </w:rPr>
        <w:t>indistinguishable from a decrease</w:t>
      </w:r>
      <w:r>
        <w:rPr>
          <w:rFonts w:ascii="Arial" w:hAnsi="Arial" w:cs="Arial"/>
          <w:sz w:val="22"/>
          <w:szCs w:val="22"/>
        </w:rPr>
        <w:t>; in such a situation there is a 50% posterior probability of an increase and 50% posterior probability of a decrease. Where the entire posterior distribution of the number of deaths expected without the pandemic is smaller than the actual number of deaths, there is a ~100% posterior probability of an increase and a ~0% posterior probability of a decrease, and vice versa. For most countries, the posterior distribution of the</w:t>
      </w:r>
      <w:r w:rsidRPr="00D62A69">
        <w:rPr>
          <w:rFonts w:ascii="Arial" w:hAnsi="Arial" w:cs="Arial"/>
          <w:sz w:val="22"/>
          <w:szCs w:val="22"/>
        </w:rPr>
        <w:t xml:space="preserve"> </w:t>
      </w:r>
      <w:r>
        <w:rPr>
          <w:rFonts w:ascii="Arial" w:hAnsi="Arial" w:cs="Arial"/>
          <w:sz w:val="22"/>
          <w:szCs w:val="22"/>
        </w:rPr>
        <w:t>number of deaths expected without the pandemic covers the observed number but there is asymmetry in terms of whether much of the distribution is smaller or larger than the observed number. In such cases, there would be uneven posterior probabilities of an increase versus decrease in deaths with the two summing to 100% (e.g., 80% and 20%). P</w:t>
      </w:r>
      <w:r w:rsidRPr="004C6151">
        <w:rPr>
          <w:rFonts w:ascii="Arial" w:hAnsi="Arial" w:cs="Arial"/>
          <w:sz w:val="22"/>
          <w:szCs w:val="22"/>
        </w:rPr>
        <w:t>osterior</w:t>
      </w:r>
      <w:r>
        <w:rPr>
          <w:rFonts w:ascii="Arial" w:hAnsi="Arial" w:cs="Arial"/>
          <w:sz w:val="22"/>
          <w:szCs w:val="22"/>
        </w:rPr>
        <w:t xml:space="preserve"> </w:t>
      </w:r>
      <w:r w:rsidRPr="004C6151">
        <w:rPr>
          <w:rFonts w:ascii="Arial" w:hAnsi="Arial" w:cs="Arial"/>
          <w:sz w:val="22"/>
          <w:szCs w:val="22"/>
        </w:rPr>
        <w:t>probabilit</w:t>
      </w:r>
      <w:r>
        <w:rPr>
          <w:rFonts w:ascii="Arial" w:hAnsi="Arial" w:cs="Arial"/>
          <w:sz w:val="22"/>
          <w:szCs w:val="22"/>
        </w:rPr>
        <w:t>ies more distant</w:t>
      </w:r>
      <w:r w:rsidRPr="004C6151">
        <w:rPr>
          <w:rFonts w:ascii="Arial" w:hAnsi="Arial" w:cs="Arial"/>
          <w:sz w:val="22"/>
          <w:szCs w:val="22"/>
        </w:rPr>
        <w:t xml:space="preserve"> </w:t>
      </w:r>
      <w:r>
        <w:rPr>
          <w:rFonts w:ascii="Arial" w:hAnsi="Arial" w:cs="Arial"/>
          <w:sz w:val="22"/>
          <w:szCs w:val="22"/>
        </w:rPr>
        <w:t xml:space="preserve">from 50%, towards either 0% or 100%, </w:t>
      </w:r>
      <w:r w:rsidRPr="004C6151">
        <w:rPr>
          <w:rFonts w:ascii="Arial" w:hAnsi="Arial" w:cs="Arial"/>
          <w:sz w:val="22"/>
          <w:szCs w:val="22"/>
        </w:rPr>
        <w:t>indicate more certainty.</w:t>
      </w:r>
      <w:r>
        <w:rPr>
          <w:rFonts w:ascii="Arial" w:hAnsi="Arial" w:cs="Arial"/>
          <w:sz w:val="22"/>
          <w:szCs w:val="22"/>
        </w:rPr>
        <w:t xml:space="preserve"> </w:t>
      </w:r>
      <w:r w:rsidRPr="005B3E97">
        <w:rPr>
          <w:rFonts w:ascii="Arial" w:hAnsi="Arial" w:cs="Arial"/>
          <w:sz w:val="22"/>
          <w:szCs w:val="22"/>
        </w:rPr>
        <w:t xml:space="preserve">The posterior probability that </w:t>
      </w:r>
      <w:r>
        <w:rPr>
          <w:rFonts w:ascii="Arial" w:hAnsi="Arial" w:cs="Arial"/>
          <w:sz w:val="22"/>
          <w:szCs w:val="22"/>
        </w:rPr>
        <w:t xml:space="preserve">there was </w:t>
      </w:r>
      <w:r w:rsidRPr="005B3E97">
        <w:rPr>
          <w:rFonts w:ascii="Arial" w:hAnsi="Arial" w:cs="Arial"/>
          <w:sz w:val="22"/>
          <w:szCs w:val="22"/>
        </w:rPr>
        <w:t xml:space="preserve">a rise in deaths </w:t>
      </w:r>
      <w:r>
        <w:rPr>
          <w:rFonts w:ascii="Arial" w:hAnsi="Arial" w:cs="Arial"/>
          <w:sz w:val="22"/>
          <w:szCs w:val="22"/>
        </w:rPr>
        <w:t xml:space="preserve">over the entire first phase of the pandemic </w:t>
      </w:r>
      <w:r w:rsidRPr="005B3E97">
        <w:rPr>
          <w:rFonts w:ascii="Arial" w:hAnsi="Arial" w:cs="Arial"/>
          <w:sz w:val="22"/>
          <w:szCs w:val="22"/>
        </w:rPr>
        <w:t xml:space="preserve">was </w:t>
      </w:r>
      <w:r>
        <w:rPr>
          <w:rFonts w:ascii="Arial" w:hAnsi="Arial" w:cs="Arial"/>
          <w:sz w:val="22"/>
          <w:szCs w:val="22"/>
        </w:rPr>
        <w:t xml:space="preserve">&lt;50% (i.e., a decline in deaths is more likely than an increase) </w:t>
      </w:r>
      <w:r w:rsidRPr="005B3E97">
        <w:rPr>
          <w:rFonts w:ascii="Arial" w:hAnsi="Arial" w:cs="Arial"/>
          <w:sz w:val="22"/>
          <w:szCs w:val="22"/>
        </w:rPr>
        <w:t>for both sexes in Bulgaria</w:t>
      </w:r>
      <w:r>
        <w:rPr>
          <w:rFonts w:ascii="Arial" w:hAnsi="Arial" w:cs="Arial"/>
          <w:sz w:val="22"/>
          <w:szCs w:val="22"/>
        </w:rPr>
        <w:t xml:space="preserve">, </w:t>
      </w:r>
      <w:r w:rsidRPr="005B3E97">
        <w:rPr>
          <w:rFonts w:ascii="Arial" w:hAnsi="Arial" w:cs="Arial"/>
          <w:sz w:val="22"/>
          <w:szCs w:val="22"/>
        </w:rPr>
        <w:t>New Zealand</w:t>
      </w:r>
      <w:r>
        <w:rPr>
          <w:rFonts w:ascii="Arial" w:hAnsi="Arial" w:cs="Arial"/>
          <w:sz w:val="22"/>
          <w:szCs w:val="22"/>
        </w:rPr>
        <w:t xml:space="preserve">, Australia, Slovakia, Czechia and </w:t>
      </w:r>
      <w:r w:rsidRPr="005B3E97">
        <w:rPr>
          <w:rFonts w:ascii="Arial" w:hAnsi="Arial" w:cs="Arial"/>
          <w:sz w:val="22"/>
          <w:szCs w:val="22"/>
        </w:rPr>
        <w:t>Hungary</w:t>
      </w:r>
      <w:r>
        <w:rPr>
          <w:rFonts w:ascii="Arial" w:hAnsi="Arial" w:cs="Arial"/>
          <w:sz w:val="22"/>
          <w:szCs w:val="22"/>
        </w:rPr>
        <w:t>, and for women in Poland</w:t>
      </w:r>
      <w:r w:rsidRPr="005B3E97">
        <w:rPr>
          <w:rFonts w:ascii="Arial" w:hAnsi="Arial" w:cs="Arial"/>
          <w:sz w:val="22"/>
          <w:szCs w:val="22"/>
        </w:rPr>
        <w:t xml:space="preserve">; </w:t>
      </w:r>
      <w:r w:rsidRPr="001074F4">
        <w:rPr>
          <w:rFonts w:ascii="Arial" w:hAnsi="Arial" w:cs="Arial"/>
          <w:sz w:val="22"/>
          <w:szCs w:val="22"/>
        </w:rPr>
        <w:t xml:space="preserve">50-75% for women in </w:t>
      </w:r>
      <w:r>
        <w:rPr>
          <w:rFonts w:ascii="Arial" w:hAnsi="Arial" w:cs="Arial"/>
          <w:sz w:val="22"/>
          <w:szCs w:val="22"/>
        </w:rPr>
        <w:t xml:space="preserve">Norway and Austria and men in </w:t>
      </w:r>
      <w:r>
        <w:rPr>
          <w:rFonts w:ascii="Arial" w:hAnsi="Arial" w:cs="Arial"/>
          <w:sz w:val="22"/>
          <w:szCs w:val="22"/>
        </w:rPr>
        <w:lastRenderedPageBreak/>
        <w:t>Poland</w:t>
      </w:r>
      <w:r w:rsidRPr="001074F4">
        <w:rPr>
          <w:rFonts w:ascii="Arial" w:hAnsi="Arial" w:cs="Arial"/>
          <w:sz w:val="22"/>
          <w:szCs w:val="22"/>
        </w:rPr>
        <w:t>;</w:t>
      </w:r>
      <w:r>
        <w:rPr>
          <w:rFonts w:ascii="Arial" w:hAnsi="Arial" w:cs="Arial"/>
          <w:sz w:val="22"/>
          <w:szCs w:val="22"/>
        </w:rPr>
        <w:t xml:space="preserve"> 75-90% for men and women in Denmark and Finland, men in Norway and women in Switzerland; 90-99% for men and women in Portugal, and men in Austria; </w:t>
      </w:r>
      <w:r w:rsidRPr="005B3E97">
        <w:rPr>
          <w:rFonts w:ascii="Arial" w:hAnsi="Arial" w:cs="Arial"/>
          <w:sz w:val="22"/>
          <w:szCs w:val="22"/>
        </w:rPr>
        <w:t xml:space="preserve">and &gt;99% for </w:t>
      </w:r>
      <w:r>
        <w:rPr>
          <w:rFonts w:ascii="Arial" w:hAnsi="Arial" w:cs="Arial"/>
          <w:sz w:val="22"/>
          <w:szCs w:val="22"/>
        </w:rPr>
        <w:t xml:space="preserve">men in Switzerland and for </w:t>
      </w:r>
      <w:r w:rsidRPr="005B3E97">
        <w:rPr>
          <w:rFonts w:ascii="Arial" w:hAnsi="Arial" w:cs="Arial"/>
          <w:sz w:val="22"/>
          <w:szCs w:val="22"/>
        </w:rPr>
        <w:t xml:space="preserve">both sexes in </w:t>
      </w:r>
      <w:r>
        <w:rPr>
          <w:rFonts w:ascii="Arial" w:hAnsi="Arial" w:cs="Arial"/>
          <w:sz w:val="22"/>
          <w:szCs w:val="22"/>
        </w:rPr>
        <w:t xml:space="preserve">the Netherlands, </w:t>
      </w:r>
      <w:r w:rsidRPr="005B3E97">
        <w:rPr>
          <w:rFonts w:ascii="Arial" w:hAnsi="Arial" w:cs="Arial"/>
          <w:sz w:val="22"/>
          <w:szCs w:val="22"/>
        </w:rPr>
        <w:t xml:space="preserve">France, Sweden, Belgium, Italy, </w:t>
      </w:r>
      <w:r>
        <w:rPr>
          <w:rFonts w:ascii="Arial" w:hAnsi="Arial" w:cs="Arial"/>
          <w:sz w:val="22"/>
          <w:szCs w:val="22"/>
        </w:rPr>
        <w:t xml:space="preserve">Scotland, </w:t>
      </w:r>
      <w:r w:rsidRPr="005B3E97">
        <w:rPr>
          <w:rFonts w:ascii="Arial" w:hAnsi="Arial" w:cs="Arial"/>
          <w:sz w:val="22"/>
          <w:szCs w:val="22"/>
        </w:rPr>
        <w:t>Spain and England and Wales</w:t>
      </w:r>
      <w:r>
        <w:rPr>
          <w:rFonts w:ascii="Arial" w:hAnsi="Arial" w:cs="Arial"/>
          <w:sz w:val="22"/>
          <w:szCs w:val="22"/>
        </w:rPr>
        <w:t xml:space="preserve"> (Fig. 2)</w:t>
      </w:r>
      <w:r w:rsidRPr="005B3E97">
        <w:rPr>
          <w:rFonts w:ascii="Arial" w:hAnsi="Arial" w:cs="Arial"/>
          <w:sz w:val="22"/>
          <w:szCs w:val="22"/>
        </w:rPr>
        <w:t>.</w:t>
      </w:r>
      <w:bookmarkEnd w:id="0"/>
      <w:r>
        <w:rPr>
          <w:rFonts w:ascii="Arial" w:hAnsi="Arial" w:cs="Arial"/>
          <w:color w:val="000000"/>
          <w:sz w:val="22"/>
          <w:szCs w:val="22"/>
        </w:rPr>
        <w:t xml:space="preserve"> </w:t>
      </w:r>
      <w:r w:rsidRPr="005B3E97">
        <w:rPr>
          <w:rFonts w:ascii="Arial" w:hAnsi="Arial" w:cs="Arial"/>
          <w:color w:val="000000"/>
          <w:sz w:val="22"/>
          <w:szCs w:val="22"/>
        </w:rPr>
        <w:t xml:space="preserve">In countries </w:t>
      </w:r>
      <w:r>
        <w:rPr>
          <w:rFonts w:ascii="Arial" w:hAnsi="Arial" w:cs="Arial"/>
          <w:color w:val="000000"/>
          <w:sz w:val="22"/>
          <w:szCs w:val="22"/>
        </w:rPr>
        <w:t xml:space="preserve">and sexes </w:t>
      </w:r>
      <w:r w:rsidRPr="005B3E97">
        <w:rPr>
          <w:rFonts w:ascii="Arial" w:hAnsi="Arial" w:cs="Arial"/>
          <w:color w:val="000000"/>
          <w:sz w:val="22"/>
          <w:szCs w:val="22"/>
        </w:rPr>
        <w:t xml:space="preserve">where mortality increased relative to the no-pandemic </w:t>
      </w:r>
      <w:r>
        <w:rPr>
          <w:rFonts w:ascii="Arial" w:hAnsi="Arial" w:cs="Arial"/>
          <w:sz w:val="22"/>
          <w:szCs w:val="22"/>
        </w:rPr>
        <w:t>counterfactual</w:t>
      </w:r>
      <w:r>
        <w:rPr>
          <w:rFonts w:ascii="Arial" w:hAnsi="Arial" w:cs="Arial"/>
          <w:color w:val="000000"/>
          <w:sz w:val="22"/>
          <w:szCs w:val="22"/>
        </w:rPr>
        <w:t xml:space="preserve"> with a posterior probability of at least 90%</w:t>
      </w:r>
      <w:r w:rsidRPr="005B3E97">
        <w:rPr>
          <w:rFonts w:ascii="Arial" w:hAnsi="Arial" w:cs="Arial"/>
          <w:color w:val="000000"/>
          <w:sz w:val="22"/>
          <w:szCs w:val="22"/>
        </w:rPr>
        <w:t xml:space="preserve">, the number of excess deaths per 100,000 </w:t>
      </w:r>
      <w:r>
        <w:rPr>
          <w:rFonts w:ascii="Arial" w:hAnsi="Arial" w:cs="Arial"/>
          <w:color w:val="000000"/>
          <w:sz w:val="22"/>
          <w:szCs w:val="22"/>
        </w:rPr>
        <w:t>people</w:t>
      </w:r>
      <w:r w:rsidRPr="005B3E97">
        <w:rPr>
          <w:rFonts w:ascii="Arial" w:hAnsi="Arial" w:cs="Arial"/>
          <w:color w:val="000000"/>
          <w:sz w:val="22"/>
          <w:szCs w:val="22"/>
        </w:rPr>
        <w:t xml:space="preserve"> was lowest in Austria (</w:t>
      </w:r>
      <w:r w:rsidRPr="00410A79">
        <w:rPr>
          <w:rFonts w:ascii="Arial" w:hAnsi="Arial" w:cs="Arial"/>
          <w:color w:val="000000"/>
          <w:sz w:val="22"/>
          <w:szCs w:val="22"/>
        </w:rPr>
        <w:t>14.3</w:t>
      </w:r>
      <w:r>
        <w:rPr>
          <w:rFonts w:ascii="Arial" w:hAnsi="Arial" w:cs="Arial"/>
          <w:color w:val="000000"/>
          <w:sz w:val="22"/>
          <w:szCs w:val="22"/>
        </w:rPr>
        <w:t>,</w:t>
      </w:r>
      <w:r w:rsidRPr="00410A79">
        <w:rPr>
          <w:rFonts w:ascii="Arial" w:hAnsi="Arial" w:cs="Arial"/>
          <w:color w:val="000000"/>
          <w:sz w:val="22"/>
          <w:szCs w:val="22"/>
        </w:rPr>
        <w:t xml:space="preserve"> -1.3</w:t>
      </w:r>
      <w:r>
        <w:rPr>
          <w:rFonts w:ascii="Arial" w:hAnsi="Arial" w:cs="Arial"/>
          <w:color w:val="000000"/>
          <w:sz w:val="22"/>
          <w:szCs w:val="22"/>
        </w:rPr>
        <w:t xml:space="preserve"> to </w:t>
      </w:r>
      <w:r w:rsidRPr="00410A79">
        <w:rPr>
          <w:rFonts w:ascii="Arial" w:hAnsi="Arial" w:cs="Arial"/>
          <w:color w:val="000000"/>
          <w:sz w:val="22"/>
          <w:szCs w:val="22"/>
        </w:rPr>
        <w:t>29.4</w:t>
      </w:r>
      <w:r w:rsidRPr="005B3E97">
        <w:rPr>
          <w:rFonts w:ascii="Arial" w:hAnsi="Arial" w:cs="Arial"/>
          <w:color w:val="000000"/>
          <w:sz w:val="22"/>
          <w:szCs w:val="22"/>
        </w:rPr>
        <w:t>)</w:t>
      </w:r>
      <w:r>
        <w:rPr>
          <w:rFonts w:ascii="Arial" w:hAnsi="Arial" w:cs="Arial"/>
          <w:color w:val="000000"/>
          <w:sz w:val="22"/>
          <w:szCs w:val="22"/>
        </w:rPr>
        <w:t>,</w:t>
      </w:r>
      <w:r w:rsidRPr="005B3E97">
        <w:rPr>
          <w:rFonts w:ascii="Arial" w:hAnsi="Arial" w:cs="Arial"/>
          <w:color w:val="000000"/>
          <w:sz w:val="22"/>
          <w:szCs w:val="22"/>
        </w:rPr>
        <w:t xml:space="preserve"> Switzerland (</w:t>
      </w:r>
      <w:r w:rsidRPr="00410A79">
        <w:rPr>
          <w:rFonts w:ascii="Arial" w:hAnsi="Arial" w:cs="Arial"/>
          <w:color w:val="000000"/>
          <w:sz w:val="22"/>
          <w:szCs w:val="22"/>
        </w:rPr>
        <w:t>21.9</w:t>
      </w:r>
      <w:r>
        <w:rPr>
          <w:rFonts w:ascii="Arial" w:hAnsi="Arial" w:cs="Arial"/>
          <w:color w:val="000000"/>
          <w:sz w:val="22"/>
          <w:szCs w:val="22"/>
        </w:rPr>
        <w:t xml:space="preserve">, </w:t>
      </w:r>
      <w:r w:rsidRPr="00410A79">
        <w:rPr>
          <w:rFonts w:ascii="Arial" w:hAnsi="Arial" w:cs="Arial"/>
          <w:color w:val="000000"/>
          <w:sz w:val="22"/>
          <w:szCs w:val="22"/>
        </w:rPr>
        <w:t>7.6</w:t>
      </w:r>
      <w:r>
        <w:rPr>
          <w:rFonts w:ascii="Arial" w:hAnsi="Arial" w:cs="Arial"/>
          <w:color w:val="000000"/>
          <w:sz w:val="22"/>
          <w:szCs w:val="22"/>
        </w:rPr>
        <w:t>-</w:t>
      </w:r>
      <w:r w:rsidRPr="00410A79">
        <w:rPr>
          <w:rFonts w:ascii="Arial" w:hAnsi="Arial" w:cs="Arial"/>
          <w:color w:val="000000"/>
          <w:sz w:val="22"/>
          <w:szCs w:val="22"/>
        </w:rPr>
        <w:t>34.9</w:t>
      </w:r>
      <w:r w:rsidRPr="005B3E97">
        <w:rPr>
          <w:rFonts w:ascii="Arial" w:hAnsi="Arial" w:cs="Arial"/>
          <w:color w:val="000000"/>
          <w:sz w:val="22"/>
          <w:szCs w:val="22"/>
        </w:rPr>
        <w:t xml:space="preserve">) </w:t>
      </w:r>
      <w:r>
        <w:rPr>
          <w:rFonts w:ascii="Arial" w:hAnsi="Arial" w:cs="Arial"/>
          <w:color w:val="000000"/>
          <w:sz w:val="22"/>
          <w:szCs w:val="22"/>
        </w:rPr>
        <w:t>and Portugal (</w:t>
      </w:r>
      <w:r w:rsidRPr="00410A79">
        <w:rPr>
          <w:rFonts w:ascii="Arial" w:hAnsi="Arial" w:cs="Arial"/>
          <w:color w:val="000000"/>
          <w:sz w:val="22"/>
          <w:szCs w:val="22"/>
        </w:rPr>
        <w:t>27.4</w:t>
      </w:r>
      <w:r>
        <w:rPr>
          <w:rFonts w:ascii="Arial" w:hAnsi="Arial" w:cs="Arial"/>
          <w:color w:val="000000"/>
          <w:sz w:val="22"/>
          <w:szCs w:val="22"/>
        </w:rPr>
        <w:t xml:space="preserve">, </w:t>
      </w:r>
      <w:r w:rsidRPr="00410A79">
        <w:rPr>
          <w:rFonts w:ascii="Arial" w:hAnsi="Arial" w:cs="Arial"/>
          <w:color w:val="000000"/>
          <w:sz w:val="22"/>
          <w:szCs w:val="22"/>
        </w:rPr>
        <w:t>3.6</w:t>
      </w:r>
      <w:r>
        <w:rPr>
          <w:rFonts w:ascii="Arial" w:hAnsi="Arial" w:cs="Arial"/>
          <w:color w:val="000000"/>
          <w:sz w:val="22"/>
          <w:szCs w:val="22"/>
        </w:rPr>
        <w:t>-</w:t>
      </w:r>
      <w:r w:rsidRPr="00410A79">
        <w:rPr>
          <w:rFonts w:ascii="Arial" w:hAnsi="Arial" w:cs="Arial"/>
          <w:color w:val="000000"/>
          <w:sz w:val="22"/>
          <w:szCs w:val="22"/>
        </w:rPr>
        <w:t>49.6</w:t>
      </w:r>
      <w:r>
        <w:rPr>
          <w:rFonts w:ascii="Arial" w:hAnsi="Arial" w:cs="Arial"/>
          <w:color w:val="000000"/>
          <w:sz w:val="22"/>
          <w:szCs w:val="22"/>
        </w:rPr>
        <w:t xml:space="preserve">) </w:t>
      </w:r>
      <w:r w:rsidRPr="005B3E97">
        <w:rPr>
          <w:rFonts w:ascii="Arial" w:hAnsi="Arial" w:cs="Arial"/>
          <w:color w:val="000000"/>
          <w:sz w:val="22"/>
          <w:szCs w:val="22"/>
        </w:rPr>
        <w:t>for men</w:t>
      </w:r>
      <w:r>
        <w:rPr>
          <w:rFonts w:ascii="Arial" w:hAnsi="Arial" w:cs="Arial"/>
          <w:color w:val="000000"/>
          <w:sz w:val="22"/>
          <w:szCs w:val="22"/>
        </w:rPr>
        <w:t>,</w:t>
      </w:r>
      <w:r w:rsidRPr="005B3E97">
        <w:rPr>
          <w:rFonts w:ascii="Arial" w:hAnsi="Arial" w:cs="Arial"/>
          <w:color w:val="000000"/>
          <w:sz w:val="22"/>
          <w:szCs w:val="22"/>
        </w:rPr>
        <w:t xml:space="preserve"> and in Portugal for women (</w:t>
      </w:r>
      <w:r w:rsidRPr="001C3F3A">
        <w:rPr>
          <w:rFonts w:ascii="Arial" w:hAnsi="Arial" w:cs="Arial"/>
          <w:color w:val="000000"/>
          <w:sz w:val="22"/>
          <w:szCs w:val="22"/>
        </w:rPr>
        <w:t>28.7, 2.1-54.2</w:t>
      </w:r>
      <w:r w:rsidRPr="005B3E97">
        <w:rPr>
          <w:rFonts w:ascii="Arial" w:hAnsi="Arial" w:cs="Arial"/>
          <w:color w:val="000000"/>
          <w:sz w:val="22"/>
          <w:szCs w:val="22"/>
        </w:rPr>
        <w:t xml:space="preserve">) (Fig. </w:t>
      </w:r>
      <w:r>
        <w:rPr>
          <w:rFonts w:ascii="Arial" w:hAnsi="Arial" w:cs="Arial"/>
          <w:color w:val="000000"/>
          <w:sz w:val="22"/>
          <w:szCs w:val="22"/>
        </w:rPr>
        <w:t>2</w:t>
      </w:r>
      <w:r w:rsidRPr="005B3E97">
        <w:rPr>
          <w:rFonts w:ascii="Arial" w:hAnsi="Arial" w:cs="Arial"/>
          <w:color w:val="000000"/>
          <w:sz w:val="22"/>
          <w:szCs w:val="22"/>
        </w:rPr>
        <w:t>). It was highest in Spain and England and Wales, with posterior median estimate</w:t>
      </w:r>
      <w:r>
        <w:rPr>
          <w:rFonts w:ascii="Arial" w:hAnsi="Arial" w:cs="Arial"/>
          <w:color w:val="000000"/>
          <w:sz w:val="22"/>
          <w:szCs w:val="22"/>
        </w:rPr>
        <w:t>s for the two sexes ranging from 90 to 102</w:t>
      </w:r>
      <w:r w:rsidRPr="005B3E97">
        <w:rPr>
          <w:rFonts w:ascii="Arial" w:hAnsi="Arial" w:cs="Arial"/>
          <w:color w:val="000000"/>
          <w:sz w:val="22"/>
          <w:szCs w:val="22"/>
        </w:rPr>
        <w:t xml:space="preserve"> </w:t>
      </w:r>
      <w:r>
        <w:rPr>
          <w:rFonts w:ascii="Arial" w:hAnsi="Arial" w:cs="Arial"/>
          <w:color w:val="000000"/>
          <w:sz w:val="22"/>
          <w:szCs w:val="22"/>
        </w:rPr>
        <w:t xml:space="preserve">per </w:t>
      </w:r>
      <w:r w:rsidRPr="005B3E97">
        <w:rPr>
          <w:rFonts w:ascii="Arial" w:hAnsi="Arial" w:cs="Arial"/>
          <w:color w:val="000000"/>
          <w:sz w:val="22"/>
          <w:szCs w:val="22"/>
        </w:rPr>
        <w:t>100,000 population. The posterior median increase was also &gt;50 per 100,000 people in Sweden, Belgium</w:t>
      </w:r>
      <w:r>
        <w:rPr>
          <w:rFonts w:ascii="Arial" w:hAnsi="Arial" w:cs="Arial"/>
          <w:color w:val="000000"/>
          <w:sz w:val="22"/>
          <w:szCs w:val="22"/>
        </w:rPr>
        <w:t xml:space="preserve">, </w:t>
      </w:r>
      <w:r w:rsidRPr="005B3E97">
        <w:rPr>
          <w:rFonts w:ascii="Arial" w:hAnsi="Arial" w:cs="Arial"/>
          <w:color w:val="000000"/>
          <w:sz w:val="22"/>
          <w:szCs w:val="22"/>
        </w:rPr>
        <w:t>Italy</w:t>
      </w:r>
      <w:r>
        <w:rPr>
          <w:rFonts w:ascii="Arial" w:hAnsi="Arial" w:cs="Arial"/>
          <w:color w:val="000000"/>
          <w:sz w:val="22"/>
          <w:szCs w:val="22"/>
        </w:rPr>
        <w:t xml:space="preserve"> and Scotland</w:t>
      </w:r>
      <w:r w:rsidRPr="005B3E97">
        <w:rPr>
          <w:rFonts w:ascii="Arial" w:hAnsi="Arial" w:cs="Arial"/>
          <w:color w:val="000000"/>
          <w:sz w:val="22"/>
          <w:szCs w:val="22"/>
        </w:rPr>
        <w:t>. Relative increase</w:t>
      </w:r>
      <w:r>
        <w:rPr>
          <w:rFonts w:ascii="Arial" w:hAnsi="Arial" w:cs="Arial"/>
          <w:color w:val="000000"/>
          <w:sz w:val="22"/>
          <w:szCs w:val="22"/>
        </w:rPr>
        <w:t>s</w:t>
      </w:r>
      <w:r w:rsidRPr="005B3E97">
        <w:rPr>
          <w:rFonts w:ascii="Arial" w:hAnsi="Arial" w:cs="Arial"/>
          <w:color w:val="000000"/>
          <w:sz w:val="22"/>
          <w:szCs w:val="22"/>
        </w:rPr>
        <w:t xml:space="preserve"> in deaths, compared to what would be expected in the absence of </w:t>
      </w:r>
      <w:r>
        <w:rPr>
          <w:rFonts w:ascii="Arial" w:hAnsi="Arial" w:cs="Arial"/>
          <w:color w:val="000000"/>
          <w:sz w:val="22"/>
          <w:szCs w:val="22"/>
        </w:rPr>
        <w:t xml:space="preserve">the </w:t>
      </w:r>
      <w:r w:rsidRPr="005B3E97">
        <w:rPr>
          <w:rFonts w:ascii="Arial" w:hAnsi="Arial" w:cs="Arial"/>
          <w:color w:val="000000"/>
          <w:sz w:val="22"/>
          <w:szCs w:val="22"/>
        </w:rPr>
        <w:t xml:space="preserve">pandemic, ranged from </w:t>
      </w:r>
      <w:r w:rsidRPr="00410A79">
        <w:rPr>
          <w:rFonts w:ascii="Arial" w:hAnsi="Arial" w:cs="Arial"/>
          <w:color w:val="000000"/>
          <w:sz w:val="22"/>
          <w:szCs w:val="22"/>
        </w:rPr>
        <w:t>≤</w:t>
      </w:r>
      <w:r w:rsidRPr="005B3E97">
        <w:rPr>
          <w:rFonts w:ascii="Arial" w:hAnsi="Arial" w:cs="Arial"/>
          <w:color w:val="000000"/>
          <w:sz w:val="22"/>
          <w:szCs w:val="22"/>
        </w:rPr>
        <w:t xml:space="preserve">10% in Austrian, Swiss and Portuguese men and Portuguese women to one </w:t>
      </w:r>
      <w:r>
        <w:rPr>
          <w:rFonts w:ascii="Arial" w:hAnsi="Arial" w:cs="Arial"/>
          <w:color w:val="000000"/>
          <w:sz w:val="22"/>
          <w:szCs w:val="22"/>
        </w:rPr>
        <w:t>quarter or more</w:t>
      </w:r>
      <w:r w:rsidRPr="005B3E97">
        <w:rPr>
          <w:rFonts w:ascii="Arial" w:hAnsi="Arial" w:cs="Arial"/>
          <w:color w:val="000000"/>
          <w:sz w:val="22"/>
          <w:szCs w:val="22"/>
        </w:rPr>
        <w:t xml:space="preserve"> </w:t>
      </w:r>
      <w:r>
        <w:rPr>
          <w:rFonts w:ascii="Arial" w:hAnsi="Arial" w:cs="Arial"/>
          <w:color w:val="000000"/>
          <w:sz w:val="22"/>
          <w:szCs w:val="22"/>
        </w:rPr>
        <w:t>in</w:t>
      </w:r>
      <w:r w:rsidRPr="005B3E97">
        <w:rPr>
          <w:rFonts w:ascii="Arial" w:hAnsi="Arial" w:cs="Arial"/>
          <w:color w:val="000000"/>
          <w:sz w:val="22"/>
          <w:szCs w:val="22"/>
        </w:rPr>
        <w:t xml:space="preserve"> </w:t>
      </w:r>
      <w:r>
        <w:rPr>
          <w:rFonts w:ascii="Arial" w:hAnsi="Arial" w:cs="Arial"/>
          <w:color w:val="000000"/>
          <w:sz w:val="22"/>
          <w:szCs w:val="22"/>
        </w:rPr>
        <w:t xml:space="preserve">Belgium, </w:t>
      </w:r>
      <w:r w:rsidRPr="005B3E97">
        <w:rPr>
          <w:rFonts w:ascii="Arial" w:hAnsi="Arial" w:cs="Arial"/>
          <w:color w:val="000000"/>
          <w:sz w:val="22"/>
          <w:szCs w:val="22"/>
        </w:rPr>
        <w:t xml:space="preserve">Italy, </w:t>
      </w:r>
      <w:r>
        <w:rPr>
          <w:rFonts w:ascii="Arial" w:hAnsi="Arial" w:cs="Arial"/>
          <w:color w:val="000000"/>
          <w:sz w:val="22"/>
          <w:szCs w:val="22"/>
        </w:rPr>
        <w:t xml:space="preserve">Scotland, </w:t>
      </w:r>
      <w:r w:rsidRPr="005B3E97">
        <w:rPr>
          <w:rFonts w:ascii="Arial" w:hAnsi="Arial" w:cs="Arial"/>
          <w:color w:val="000000"/>
          <w:sz w:val="22"/>
          <w:szCs w:val="22"/>
        </w:rPr>
        <w:t>Spain and England and Wales</w:t>
      </w:r>
      <w:r>
        <w:rPr>
          <w:rFonts w:ascii="Arial" w:hAnsi="Arial" w:cs="Arial"/>
          <w:color w:val="000000"/>
          <w:sz w:val="22"/>
          <w:szCs w:val="22"/>
        </w:rPr>
        <w:t xml:space="preserve"> (Fig. 3)</w:t>
      </w:r>
      <w:r w:rsidRPr="005B3E97">
        <w:rPr>
          <w:rFonts w:ascii="Arial" w:hAnsi="Arial" w:cs="Arial"/>
          <w:color w:val="000000"/>
          <w:sz w:val="22"/>
          <w:szCs w:val="22"/>
        </w:rPr>
        <w:t xml:space="preserve">. </w:t>
      </w:r>
      <w:r>
        <w:rPr>
          <w:rFonts w:ascii="Arial" w:hAnsi="Arial" w:cs="Arial"/>
          <w:color w:val="000000"/>
          <w:sz w:val="22"/>
          <w:szCs w:val="22"/>
        </w:rPr>
        <w:t>The largest rise in mortality for men was most likely to be in England and Wales (63% posterior probability of having the largest percent increase, and 55% of having the largest number of deaths per 100,000 people) followed by Spain; for women, Spain was most likely to have experienced the</w:t>
      </w:r>
      <w:r w:rsidRPr="00071898">
        <w:rPr>
          <w:rFonts w:ascii="Arial" w:hAnsi="Arial" w:cs="Arial"/>
          <w:color w:val="000000"/>
          <w:sz w:val="22"/>
          <w:szCs w:val="22"/>
        </w:rPr>
        <w:t xml:space="preserve"> </w:t>
      </w:r>
      <w:r>
        <w:rPr>
          <w:rFonts w:ascii="Arial" w:hAnsi="Arial" w:cs="Arial"/>
          <w:color w:val="000000"/>
          <w:sz w:val="22"/>
          <w:szCs w:val="22"/>
        </w:rPr>
        <w:t>largest rise in mortality (61% posterior probability of having the largest percent increase and 51% of having the largest number of deaths per 100,000 people) followed by England and Wales.</w:t>
      </w:r>
    </w:p>
    <w:p w14:paraId="375AAF3F" w14:textId="77777777" w:rsidR="00474D86" w:rsidRPr="005B3E97" w:rsidRDefault="00474D86" w:rsidP="000B7195">
      <w:pPr>
        <w:spacing w:line="480" w:lineRule="auto"/>
        <w:jc w:val="both"/>
        <w:rPr>
          <w:rFonts w:ascii="Arial" w:hAnsi="Arial" w:cs="Arial"/>
          <w:color w:val="000000"/>
          <w:sz w:val="22"/>
          <w:szCs w:val="22"/>
        </w:rPr>
      </w:pPr>
    </w:p>
    <w:p w14:paraId="2D01E0A6" w14:textId="77777777" w:rsidR="00474D86" w:rsidRDefault="00474D86" w:rsidP="001168DF">
      <w:pPr>
        <w:spacing w:line="480" w:lineRule="auto"/>
        <w:jc w:val="both"/>
        <w:rPr>
          <w:rFonts w:ascii="Arial" w:hAnsi="Arial" w:cs="Arial"/>
          <w:color w:val="000000"/>
          <w:sz w:val="22"/>
          <w:szCs w:val="22"/>
        </w:rPr>
      </w:pPr>
      <w:r>
        <w:rPr>
          <w:rFonts w:ascii="Arial" w:hAnsi="Arial" w:cs="Arial"/>
          <w:color w:val="000000"/>
          <w:sz w:val="22"/>
          <w:szCs w:val="22"/>
        </w:rPr>
        <w:t xml:space="preserve">Taken across all countries, the number of excess deaths from all causes was 23% higher than the number of deaths assigned to Covid-19 as underlying cause of death (Extended Data Table 1). The difference between all-cause excess and Covid-19 deaths was </w:t>
      </w:r>
      <w:r w:rsidRPr="00E63229">
        <w:rPr>
          <w:rFonts w:ascii="Arial" w:hAnsi="Arial" w:cs="Arial"/>
          <w:color w:val="000000"/>
          <w:sz w:val="22"/>
          <w:szCs w:val="22"/>
        </w:rPr>
        <w:t>largest in Spain</w:t>
      </w:r>
      <w:r>
        <w:rPr>
          <w:rFonts w:ascii="Arial" w:hAnsi="Arial" w:cs="Arial"/>
          <w:color w:val="000000"/>
          <w:sz w:val="22"/>
          <w:szCs w:val="22"/>
        </w:rPr>
        <w:t xml:space="preserve"> and Italy, where all-cause excess deaths were 69% and 46%, respectively, higher than deaths assigned to Covid-19. This difference may be due to a combination of undetected </w:t>
      </w:r>
      <w:r w:rsidRPr="001168DF">
        <w:rPr>
          <w:rFonts w:ascii="Arial" w:hAnsi="Arial" w:cs="Arial"/>
          <w:color w:val="000000"/>
          <w:sz w:val="22"/>
          <w:szCs w:val="22"/>
        </w:rPr>
        <w:t>infections,</w:t>
      </w:r>
      <w:r w:rsidRPr="001831EE">
        <w:rPr>
          <w:rFonts w:ascii="Arial" w:hAnsi="Arial" w:cs="Arial"/>
          <w:noProof/>
          <w:color w:val="000000"/>
          <w:sz w:val="22"/>
          <w:szCs w:val="22"/>
          <w:vertAlign w:val="superscript"/>
        </w:rPr>
        <w:t>5,6</w:t>
      </w:r>
      <w:r>
        <w:rPr>
          <w:rFonts w:ascii="Arial" w:hAnsi="Arial" w:cs="Arial"/>
          <w:color w:val="000000"/>
          <w:sz w:val="22"/>
          <w:szCs w:val="22"/>
        </w:rPr>
        <w:t>, whether deaths from “suspected infections” (i.e., based on clinical symptoms) are assigned to Covid-19 or not</w:t>
      </w:r>
      <w:r w:rsidRPr="001831EE">
        <w:rPr>
          <w:rFonts w:ascii="Arial" w:hAnsi="Arial" w:cs="Arial"/>
          <w:noProof/>
          <w:color w:val="000000"/>
          <w:sz w:val="22"/>
          <w:szCs w:val="22"/>
          <w:vertAlign w:val="superscript"/>
        </w:rPr>
        <w:t>7</w:t>
      </w:r>
      <w:r>
        <w:rPr>
          <w:rFonts w:ascii="Arial" w:hAnsi="Arial" w:cs="Arial"/>
          <w:color w:val="000000"/>
          <w:sz w:val="22"/>
          <w:szCs w:val="22"/>
        </w:rPr>
        <w:t>, and some increase in mortality</w:t>
      </w:r>
      <w:r w:rsidRPr="001168DF">
        <w:rPr>
          <w:rFonts w:ascii="Arial" w:hAnsi="Arial" w:cs="Arial"/>
          <w:color w:val="000000"/>
          <w:sz w:val="22"/>
          <w:szCs w:val="22"/>
        </w:rPr>
        <w:t xml:space="preserve"> from other diseases due to reductions in acute and chronic care</w:t>
      </w:r>
      <w:r w:rsidRPr="001831EE">
        <w:rPr>
          <w:rFonts w:ascii="Arial" w:hAnsi="Arial" w:cs="Arial"/>
          <w:noProof/>
          <w:color w:val="000000"/>
          <w:sz w:val="22"/>
          <w:szCs w:val="22"/>
          <w:vertAlign w:val="superscript"/>
        </w:rPr>
        <w:t>8-14</w:t>
      </w:r>
      <w:r>
        <w:rPr>
          <w:rFonts w:ascii="Arial" w:hAnsi="Arial" w:cs="Arial"/>
          <w:color w:val="000000"/>
          <w:sz w:val="22"/>
          <w:szCs w:val="22"/>
        </w:rPr>
        <w:t xml:space="preserve">. In contrast to Italy and Spain, the overall (all-cause) number of </w:t>
      </w:r>
      <w:r>
        <w:rPr>
          <w:rFonts w:ascii="Arial" w:hAnsi="Arial" w:cs="Arial"/>
          <w:color w:val="000000"/>
          <w:sz w:val="22"/>
          <w:szCs w:val="22"/>
        </w:rPr>
        <w:lastRenderedPageBreak/>
        <w:t xml:space="preserve">excess deaths was smaller than deaths assigned to Covid-19 in France, Belgium and Switzerland. This situation may arise because some countries have assigned any death in an infected person or even suspected of infection to </w:t>
      </w:r>
      <w:proofErr w:type="spellStart"/>
      <w:r>
        <w:rPr>
          <w:rFonts w:ascii="Arial" w:hAnsi="Arial" w:cs="Arial"/>
          <w:color w:val="000000"/>
          <w:sz w:val="22"/>
          <w:szCs w:val="22"/>
        </w:rPr>
        <w:t>Covid</w:t>
      </w:r>
      <w:proofErr w:type="spellEnd"/>
      <w:r>
        <w:rPr>
          <w:rFonts w:ascii="Arial" w:hAnsi="Arial" w:cs="Arial"/>
          <w:color w:val="000000"/>
          <w:sz w:val="22"/>
          <w:szCs w:val="22"/>
        </w:rPr>
        <w:t xml:space="preserve"> together with some </w:t>
      </w:r>
      <w:proofErr w:type="spellStart"/>
      <w:r>
        <w:rPr>
          <w:rFonts w:ascii="Arial" w:hAnsi="Arial" w:cs="Arial"/>
          <w:color w:val="000000"/>
          <w:sz w:val="22"/>
          <w:szCs w:val="22"/>
        </w:rPr>
        <w:t>Covid</w:t>
      </w:r>
      <w:proofErr w:type="spellEnd"/>
      <w:r>
        <w:rPr>
          <w:rFonts w:ascii="Arial" w:hAnsi="Arial" w:cs="Arial"/>
          <w:color w:val="000000"/>
          <w:sz w:val="22"/>
          <w:szCs w:val="22"/>
        </w:rPr>
        <w:t xml:space="preserve"> deaths being in patients with multiple existing chronic conditions that already have a high risk of dying</w:t>
      </w:r>
      <w:r w:rsidRPr="001831EE">
        <w:rPr>
          <w:rFonts w:ascii="Arial" w:hAnsi="Arial" w:cs="Arial"/>
          <w:noProof/>
          <w:color w:val="000000"/>
          <w:sz w:val="22"/>
          <w:szCs w:val="22"/>
          <w:vertAlign w:val="superscript"/>
        </w:rPr>
        <w:t>7,15-17</w:t>
      </w:r>
      <w:r>
        <w:rPr>
          <w:rFonts w:ascii="Arial" w:hAnsi="Arial" w:cs="Arial"/>
          <w:color w:val="000000"/>
          <w:sz w:val="22"/>
          <w:szCs w:val="22"/>
        </w:rPr>
        <w:t xml:space="preserve">. Finally, there may have been a reduction in deaths from </w:t>
      </w:r>
      <w:r w:rsidRPr="009B03E9">
        <w:rPr>
          <w:rFonts w:ascii="Arial" w:hAnsi="Arial" w:cs="Arial"/>
          <w:color w:val="000000"/>
          <w:sz w:val="22"/>
          <w:szCs w:val="22"/>
        </w:rPr>
        <w:t>influenza and other respiratory infections</w:t>
      </w:r>
      <w:r>
        <w:rPr>
          <w:rFonts w:ascii="Arial" w:hAnsi="Arial" w:cs="Arial"/>
          <w:color w:val="000000"/>
          <w:sz w:val="22"/>
          <w:szCs w:val="22"/>
        </w:rPr>
        <w:t xml:space="preserve"> with reduced contact among people</w:t>
      </w:r>
      <w:r w:rsidRPr="001831EE">
        <w:rPr>
          <w:rFonts w:ascii="Arial" w:hAnsi="Arial" w:cs="Arial"/>
          <w:noProof/>
          <w:color w:val="000000"/>
          <w:sz w:val="22"/>
          <w:szCs w:val="22"/>
          <w:vertAlign w:val="superscript"/>
        </w:rPr>
        <w:t>18,19</w:t>
      </w:r>
      <w:r>
        <w:rPr>
          <w:rFonts w:ascii="Arial" w:hAnsi="Arial" w:cs="Arial"/>
          <w:color w:val="000000"/>
          <w:sz w:val="22"/>
          <w:szCs w:val="22"/>
        </w:rPr>
        <w:t xml:space="preserve"> and traffic injuries, falls and violence as people spent more time at home.</w:t>
      </w:r>
      <w:r w:rsidRPr="001831EE">
        <w:rPr>
          <w:rFonts w:ascii="Arial" w:hAnsi="Arial" w:cs="Arial"/>
          <w:noProof/>
          <w:color w:val="000000"/>
          <w:sz w:val="22"/>
          <w:szCs w:val="22"/>
          <w:vertAlign w:val="superscript"/>
        </w:rPr>
        <w:t>20</w:t>
      </w:r>
      <w:r>
        <w:rPr>
          <w:rFonts w:ascii="Arial" w:hAnsi="Arial" w:cs="Arial"/>
          <w:color w:val="000000"/>
          <w:sz w:val="22"/>
          <w:szCs w:val="22"/>
        </w:rPr>
        <w:t xml:space="preserve"> As a result of these difference, while France and Spain have reported similar numbers of Covid-19 deaths, all-cause mortality increased by twice as much in Spain as in France. These variations show the importance of using all-cause mortality to capture the true death toll due to the pandemic.</w:t>
      </w:r>
    </w:p>
    <w:p w14:paraId="3C141533" w14:textId="77777777" w:rsidR="00474D86" w:rsidRPr="005B3E97" w:rsidRDefault="00474D86" w:rsidP="001168DF">
      <w:pPr>
        <w:spacing w:line="480" w:lineRule="auto"/>
        <w:jc w:val="both"/>
        <w:rPr>
          <w:rFonts w:ascii="Arial" w:hAnsi="Arial" w:cs="Arial"/>
          <w:color w:val="000000"/>
          <w:sz w:val="22"/>
          <w:szCs w:val="22"/>
        </w:rPr>
      </w:pPr>
    </w:p>
    <w:p w14:paraId="697E17A6" w14:textId="77777777" w:rsidR="00474D86" w:rsidRPr="005B3E97" w:rsidRDefault="00474D86" w:rsidP="002710AC">
      <w:pPr>
        <w:spacing w:line="480" w:lineRule="auto"/>
        <w:jc w:val="both"/>
        <w:rPr>
          <w:rFonts w:ascii="Arial" w:hAnsi="Arial" w:cs="Arial"/>
          <w:i/>
          <w:iCs/>
          <w:color w:val="000000"/>
          <w:sz w:val="22"/>
          <w:szCs w:val="22"/>
        </w:rPr>
      </w:pPr>
      <w:r>
        <w:rPr>
          <w:rFonts w:ascii="Arial" w:hAnsi="Arial" w:cs="Arial"/>
          <w:i/>
          <w:iCs/>
          <w:color w:val="000000"/>
          <w:sz w:val="22"/>
          <w:szCs w:val="22"/>
        </w:rPr>
        <w:t>Timing</w:t>
      </w:r>
      <w:r w:rsidRPr="005B3E97">
        <w:rPr>
          <w:rFonts w:ascii="Arial" w:hAnsi="Arial" w:cs="Arial"/>
          <w:i/>
          <w:iCs/>
          <w:color w:val="000000"/>
          <w:sz w:val="22"/>
          <w:szCs w:val="22"/>
        </w:rPr>
        <w:t xml:space="preserve"> of excess deaths</w:t>
      </w:r>
    </w:p>
    <w:p w14:paraId="255E1825" w14:textId="77777777" w:rsidR="00474D86" w:rsidRPr="005B3E97" w:rsidRDefault="00474D86" w:rsidP="001E50ED">
      <w:pPr>
        <w:spacing w:line="480" w:lineRule="auto"/>
        <w:jc w:val="both"/>
        <w:rPr>
          <w:rFonts w:ascii="Arial" w:hAnsi="Arial" w:cs="Arial"/>
          <w:color w:val="000000"/>
          <w:sz w:val="22"/>
          <w:szCs w:val="22"/>
        </w:rPr>
      </w:pPr>
      <w:r w:rsidRPr="005B3E97">
        <w:rPr>
          <w:rFonts w:ascii="Arial" w:hAnsi="Arial" w:cs="Arial"/>
          <w:color w:val="000000"/>
          <w:sz w:val="22"/>
          <w:szCs w:val="22"/>
        </w:rPr>
        <w:t>Italian men were the first group to experience a rise in mortality</w:t>
      </w:r>
      <w:r>
        <w:rPr>
          <w:rFonts w:ascii="Arial" w:hAnsi="Arial" w:cs="Arial"/>
          <w:color w:val="000000"/>
          <w:sz w:val="22"/>
          <w:szCs w:val="22"/>
        </w:rPr>
        <w:t>, with the</w:t>
      </w:r>
      <w:r w:rsidRPr="005B3E97">
        <w:rPr>
          <w:rFonts w:ascii="Arial" w:hAnsi="Arial" w:cs="Arial"/>
          <w:color w:val="000000"/>
          <w:sz w:val="22"/>
          <w:szCs w:val="22"/>
        </w:rPr>
        <w:t xml:space="preserve"> 1</w:t>
      </w:r>
      <w:r w:rsidRPr="005B3E97">
        <w:rPr>
          <w:rFonts w:ascii="Arial" w:hAnsi="Arial" w:cs="Arial"/>
          <w:color w:val="000000"/>
          <w:sz w:val="22"/>
          <w:szCs w:val="22"/>
          <w:vertAlign w:val="superscript"/>
        </w:rPr>
        <w:t>st</w:t>
      </w:r>
      <w:r w:rsidRPr="005B3E97">
        <w:rPr>
          <w:rFonts w:ascii="Arial" w:hAnsi="Arial" w:cs="Arial"/>
          <w:color w:val="000000"/>
          <w:sz w:val="22"/>
          <w:szCs w:val="22"/>
        </w:rPr>
        <w:t xml:space="preserve"> week of March 2020</w:t>
      </w:r>
      <w:r>
        <w:rPr>
          <w:rFonts w:ascii="Arial" w:hAnsi="Arial" w:cs="Arial"/>
          <w:color w:val="000000"/>
          <w:sz w:val="22"/>
          <w:szCs w:val="22"/>
        </w:rPr>
        <w:t xml:space="preserve"> the earliest week in which</w:t>
      </w:r>
      <w:r w:rsidRPr="005B3E97">
        <w:rPr>
          <w:rFonts w:ascii="Arial" w:hAnsi="Arial" w:cs="Arial"/>
          <w:color w:val="000000"/>
          <w:sz w:val="22"/>
          <w:szCs w:val="22"/>
        </w:rPr>
        <w:t xml:space="preserve"> </w:t>
      </w:r>
      <w:r>
        <w:rPr>
          <w:rFonts w:ascii="Arial" w:hAnsi="Arial" w:cs="Arial"/>
          <w:color w:val="000000"/>
          <w:sz w:val="22"/>
          <w:szCs w:val="22"/>
        </w:rPr>
        <w:t xml:space="preserve">the </w:t>
      </w:r>
      <w:r w:rsidRPr="005B3E97">
        <w:rPr>
          <w:rFonts w:ascii="Arial" w:hAnsi="Arial" w:cs="Arial"/>
          <w:color w:val="000000"/>
          <w:sz w:val="22"/>
          <w:szCs w:val="22"/>
        </w:rPr>
        <w:t>posterior probability of</w:t>
      </w:r>
      <w:r>
        <w:rPr>
          <w:rFonts w:ascii="Arial" w:hAnsi="Arial" w:cs="Arial"/>
          <w:color w:val="000000"/>
          <w:sz w:val="22"/>
          <w:szCs w:val="22"/>
        </w:rPr>
        <w:t xml:space="preserve"> an increase in deaths was</w:t>
      </w:r>
      <w:r w:rsidRPr="005B3E97">
        <w:rPr>
          <w:rFonts w:ascii="Arial" w:hAnsi="Arial" w:cs="Arial"/>
          <w:color w:val="000000"/>
          <w:sz w:val="22"/>
          <w:szCs w:val="22"/>
        </w:rPr>
        <w:t xml:space="preserve"> </w:t>
      </w:r>
      <w:r>
        <w:rPr>
          <w:rFonts w:ascii="Arial" w:hAnsi="Arial" w:cs="Arial"/>
          <w:color w:val="000000"/>
          <w:sz w:val="22"/>
          <w:szCs w:val="22"/>
        </w:rPr>
        <w:t>&gt;</w:t>
      </w:r>
      <w:r w:rsidRPr="005B3E97">
        <w:rPr>
          <w:rFonts w:ascii="Arial" w:hAnsi="Arial" w:cs="Arial"/>
          <w:color w:val="000000"/>
          <w:sz w:val="22"/>
          <w:szCs w:val="22"/>
        </w:rPr>
        <w:t>90%</w:t>
      </w:r>
      <w:r>
        <w:rPr>
          <w:rFonts w:ascii="Arial" w:hAnsi="Arial" w:cs="Arial"/>
          <w:color w:val="000000"/>
          <w:sz w:val="22"/>
          <w:szCs w:val="22"/>
        </w:rPr>
        <w:t>.</w:t>
      </w:r>
      <w:r w:rsidRPr="005B3E97">
        <w:rPr>
          <w:rFonts w:ascii="Arial" w:hAnsi="Arial" w:cs="Arial"/>
          <w:color w:val="000000"/>
          <w:sz w:val="22"/>
          <w:szCs w:val="22"/>
        </w:rPr>
        <w:t xml:space="preserve"> </w:t>
      </w:r>
      <w:r>
        <w:rPr>
          <w:rFonts w:ascii="Arial" w:hAnsi="Arial" w:cs="Arial"/>
          <w:color w:val="000000"/>
          <w:sz w:val="22"/>
          <w:szCs w:val="22"/>
        </w:rPr>
        <w:t xml:space="preserve">This was </w:t>
      </w:r>
      <w:r w:rsidRPr="005B3E97">
        <w:rPr>
          <w:rFonts w:ascii="Arial" w:hAnsi="Arial" w:cs="Arial"/>
          <w:color w:val="000000"/>
          <w:sz w:val="22"/>
          <w:szCs w:val="22"/>
        </w:rPr>
        <w:t>followed by Italian women and Spanish men in the subsequent week</w:t>
      </w:r>
      <w:r>
        <w:rPr>
          <w:rFonts w:ascii="Arial" w:hAnsi="Arial" w:cs="Arial"/>
          <w:color w:val="000000"/>
          <w:sz w:val="22"/>
          <w:szCs w:val="22"/>
        </w:rPr>
        <w:t xml:space="preserve"> (Fig. 4)</w:t>
      </w:r>
      <w:r w:rsidRPr="005B3E97">
        <w:rPr>
          <w:rFonts w:ascii="Arial" w:hAnsi="Arial" w:cs="Arial"/>
          <w:color w:val="000000"/>
          <w:sz w:val="22"/>
          <w:szCs w:val="22"/>
        </w:rPr>
        <w:t xml:space="preserve">. Deaths in some countries with </w:t>
      </w:r>
      <w:r>
        <w:rPr>
          <w:rFonts w:ascii="Arial" w:hAnsi="Arial" w:cs="Arial"/>
          <w:color w:val="000000"/>
          <w:sz w:val="22"/>
          <w:szCs w:val="22"/>
        </w:rPr>
        <w:t>large</w:t>
      </w:r>
      <w:r w:rsidRPr="005B3E97">
        <w:rPr>
          <w:rFonts w:ascii="Arial" w:hAnsi="Arial" w:cs="Arial"/>
          <w:color w:val="000000"/>
          <w:sz w:val="22"/>
          <w:szCs w:val="22"/>
        </w:rPr>
        <w:t xml:space="preserve"> early mortality returned to levels that would be expected in the absence of the pandemic in April, e.g., </w:t>
      </w:r>
      <w:r>
        <w:rPr>
          <w:rFonts w:ascii="Arial" w:hAnsi="Arial" w:cs="Arial"/>
          <w:color w:val="000000"/>
          <w:sz w:val="22"/>
          <w:szCs w:val="22"/>
        </w:rPr>
        <w:t xml:space="preserve">in </w:t>
      </w:r>
      <w:r w:rsidRPr="005B3E97">
        <w:rPr>
          <w:rFonts w:ascii="Arial" w:hAnsi="Arial" w:cs="Arial"/>
          <w:color w:val="000000"/>
          <w:sz w:val="22"/>
          <w:szCs w:val="22"/>
        </w:rPr>
        <w:t xml:space="preserve">France followed by Spain. </w:t>
      </w:r>
      <w:r>
        <w:rPr>
          <w:rFonts w:ascii="Arial" w:hAnsi="Arial" w:cs="Arial"/>
          <w:color w:val="000000"/>
          <w:sz w:val="22"/>
          <w:szCs w:val="22"/>
        </w:rPr>
        <w:t>D</w:t>
      </w:r>
      <w:r w:rsidRPr="005B3E97">
        <w:rPr>
          <w:rFonts w:ascii="Arial" w:hAnsi="Arial" w:cs="Arial"/>
          <w:color w:val="000000"/>
          <w:sz w:val="22"/>
          <w:szCs w:val="22"/>
        </w:rPr>
        <w:t>eaths remained above the levels expected in the absence of the pandemic in England and Wales and Sweden for most</w:t>
      </w:r>
      <w:r>
        <w:rPr>
          <w:rFonts w:ascii="Arial" w:hAnsi="Arial" w:cs="Arial"/>
          <w:color w:val="000000"/>
          <w:sz w:val="22"/>
          <w:szCs w:val="22"/>
        </w:rPr>
        <w:t>/all</w:t>
      </w:r>
      <w:r w:rsidRPr="005B3E97">
        <w:rPr>
          <w:rFonts w:ascii="Arial" w:hAnsi="Arial" w:cs="Arial"/>
          <w:color w:val="000000"/>
          <w:sz w:val="22"/>
          <w:szCs w:val="22"/>
        </w:rPr>
        <w:t xml:space="preserve"> of May </w:t>
      </w:r>
      <w:r>
        <w:rPr>
          <w:rFonts w:ascii="Arial" w:hAnsi="Arial" w:cs="Arial"/>
          <w:color w:val="000000"/>
          <w:sz w:val="22"/>
          <w:szCs w:val="22"/>
        </w:rPr>
        <w:t>which resulted in</w:t>
      </w:r>
      <w:r w:rsidRPr="005B3E97">
        <w:rPr>
          <w:rFonts w:ascii="Arial" w:hAnsi="Arial" w:cs="Arial"/>
          <w:color w:val="000000"/>
          <w:sz w:val="22"/>
          <w:szCs w:val="22"/>
        </w:rPr>
        <w:t xml:space="preserve"> longer period</w:t>
      </w:r>
      <w:r>
        <w:rPr>
          <w:rFonts w:ascii="Arial" w:hAnsi="Arial" w:cs="Arial"/>
          <w:color w:val="000000"/>
          <w:sz w:val="22"/>
          <w:szCs w:val="22"/>
        </w:rPr>
        <w:t>s</w:t>
      </w:r>
      <w:r w:rsidRPr="005B3E97">
        <w:rPr>
          <w:rFonts w:ascii="Arial" w:hAnsi="Arial" w:cs="Arial"/>
          <w:color w:val="000000"/>
          <w:sz w:val="22"/>
          <w:szCs w:val="22"/>
        </w:rPr>
        <w:t xml:space="preserve"> of adverse impact. As a result,</w:t>
      </w:r>
      <w:r>
        <w:rPr>
          <w:rFonts w:ascii="Arial" w:hAnsi="Arial" w:cs="Arial"/>
          <w:color w:val="000000"/>
          <w:sz w:val="22"/>
          <w:szCs w:val="22"/>
        </w:rPr>
        <w:t xml:space="preserve"> in countries and sexes where the posterior probability of an increase in deaths was &gt;90%,</w:t>
      </w:r>
      <w:r w:rsidRPr="005B3E97">
        <w:rPr>
          <w:rFonts w:ascii="Arial" w:hAnsi="Arial" w:cs="Arial"/>
          <w:color w:val="000000"/>
          <w:sz w:val="22"/>
          <w:szCs w:val="22"/>
        </w:rPr>
        <w:t xml:space="preserve"> the </w:t>
      </w:r>
      <w:r>
        <w:rPr>
          <w:rFonts w:ascii="Arial" w:hAnsi="Arial" w:cs="Arial"/>
          <w:color w:val="000000"/>
          <w:sz w:val="22"/>
          <w:szCs w:val="22"/>
        </w:rPr>
        <w:t>period of time</w:t>
      </w:r>
      <w:r w:rsidRPr="005B3E97">
        <w:rPr>
          <w:rFonts w:ascii="Arial" w:hAnsi="Arial" w:cs="Arial"/>
          <w:color w:val="000000"/>
          <w:sz w:val="22"/>
          <w:szCs w:val="22"/>
        </w:rPr>
        <w:t xml:space="preserve"> when deaths were higher than would be expected in the absence of the pandemic </w:t>
      </w:r>
      <w:r>
        <w:rPr>
          <w:rFonts w:ascii="Arial" w:hAnsi="Arial" w:cs="Arial"/>
          <w:color w:val="000000"/>
          <w:sz w:val="22"/>
          <w:szCs w:val="22"/>
        </w:rPr>
        <w:t xml:space="preserve">ranged from five weeks in Austrian men to 9-10 weeks in men and women </w:t>
      </w:r>
      <w:r w:rsidRPr="005B3E97">
        <w:rPr>
          <w:rFonts w:ascii="Arial" w:hAnsi="Arial" w:cs="Arial"/>
          <w:color w:val="000000"/>
          <w:sz w:val="22"/>
          <w:szCs w:val="22"/>
        </w:rPr>
        <w:t>in England and Wales</w:t>
      </w:r>
      <w:r w:rsidRPr="00BB0377">
        <w:rPr>
          <w:rFonts w:ascii="Arial" w:hAnsi="Arial" w:cs="Arial"/>
          <w:color w:val="000000"/>
          <w:sz w:val="22"/>
          <w:szCs w:val="22"/>
        </w:rPr>
        <w:t xml:space="preserve"> </w:t>
      </w:r>
      <w:r w:rsidRPr="005B3E97">
        <w:rPr>
          <w:rFonts w:ascii="Arial" w:hAnsi="Arial" w:cs="Arial"/>
          <w:color w:val="000000"/>
          <w:sz w:val="22"/>
          <w:szCs w:val="22"/>
        </w:rPr>
        <w:t>and</w:t>
      </w:r>
      <w:r w:rsidRPr="00BB0377">
        <w:rPr>
          <w:rFonts w:ascii="Arial" w:hAnsi="Arial" w:cs="Arial"/>
          <w:color w:val="000000"/>
          <w:sz w:val="22"/>
          <w:szCs w:val="22"/>
        </w:rPr>
        <w:t xml:space="preserve"> </w:t>
      </w:r>
      <w:r w:rsidRPr="005B3E97">
        <w:rPr>
          <w:rFonts w:ascii="Arial" w:hAnsi="Arial" w:cs="Arial"/>
          <w:color w:val="000000"/>
          <w:sz w:val="22"/>
          <w:szCs w:val="22"/>
        </w:rPr>
        <w:t>Sweden</w:t>
      </w:r>
      <w:r>
        <w:rPr>
          <w:rFonts w:ascii="Arial" w:hAnsi="Arial" w:cs="Arial"/>
          <w:color w:val="000000"/>
          <w:sz w:val="22"/>
          <w:szCs w:val="22"/>
        </w:rPr>
        <w:t>, and men in Italy</w:t>
      </w:r>
      <w:r w:rsidRPr="005B3E97">
        <w:rPr>
          <w:rFonts w:ascii="Arial" w:hAnsi="Arial" w:cs="Arial"/>
          <w:color w:val="000000"/>
          <w:sz w:val="22"/>
          <w:szCs w:val="22"/>
        </w:rPr>
        <w:t xml:space="preserve">. </w:t>
      </w:r>
    </w:p>
    <w:p w14:paraId="25D0F8F1" w14:textId="77777777" w:rsidR="00474D86" w:rsidRPr="005B3E97" w:rsidRDefault="00474D86" w:rsidP="001E50ED">
      <w:pPr>
        <w:spacing w:line="480" w:lineRule="auto"/>
        <w:jc w:val="both"/>
        <w:rPr>
          <w:rFonts w:ascii="Arial" w:hAnsi="Arial" w:cs="Arial"/>
          <w:color w:val="000000"/>
          <w:sz w:val="22"/>
          <w:szCs w:val="22"/>
        </w:rPr>
      </w:pPr>
    </w:p>
    <w:p w14:paraId="5CEB038D" w14:textId="77777777" w:rsidR="00474D86" w:rsidRPr="005B3E97" w:rsidRDefault="00474D86" w:rsidP="001E50ED">
      <w:pPr>
        <w:spacing w:line="480" w:lineRule="auto"/>
        <w:jc w:val="both"/>
        <w:rPr>
          <w:rFonts w:ascii="Arial" w:hAnsi="Arial" w:cs="Arial"/>
          <w:sz w:val="22"/>
          <w:szCs w:val="22"/>
        </w:rPr>
      </w:pPr>
      <w:r w:rsidRPr="005B3E97">
        <w:rPr>
          <w:rFonts w:ascii="Arial" w:hAnsi="Arial" w:cs="Arial"/>
          <w:color w:val="000000"/>
          <w:sz w:val="22"/>
          <w:szCs w:val="22"/>
        </w:rPr>
        <w:t xml:space="preserve">The large adverse impact of the pandemic in England and Wales and to some extent </w:t>
      </w:r>
      <w:r>
        <w:rPr>
          <w:rFonts w:ascii="Arial" w:hAnsi="Arial" w:cs="Arial"/>
          <w:color w:val="000000"/>
          <w:sz w:val="22"/>
          <w:szCs w:val="22"/>
        </w:rPr>
        <w:t xml:space="preserve">in </w:t>
      </w:r>
      <w:r w:rsidRPr="005B3E97">
        <w:rPr>
          <w:rFonts w:ascii="Arial" w:hAnsi="Arial" w:cs="Arial"/>
          <w:color w:val="000000"/>
          <w:sz w:val="22"/>
          <w:szCs w:val="22"/>
        </w:rPr>
        <w:t xml:space="preserve">Spain is a consequence of both having long durations and large weekly rises, with a &gt; 90% posterior probability that </w:t>
      </w:r>
      <w:r>
        <w:rPr>
          <w:rFonts w:ascii="Arial" w:hAnsi="Arial" w:cs="Arial"/>
          <w:color w:val="000000"/>
          <w:sz w:val="22"/>
          <w:szCs w:val="22"/>
        </w:rPr>
        <w:t>in</w:t>
      </w:r>
      <w:r w:rsidRPr="005B3E97">
        <w:rPr>
          <w:rFonts w:ascii="Arial" w:hAnsi="Arial" w:cs="Arial"/>
          <w:color w:val="000000"/>
          <w:sz w:val="22"/>
          <w:szCs w:val="22"/>
        </w:rPr>
        <w:t xml:space="preserve"> </w:t>
      </w:r>
      <w:r>
        <w:rPr>
          <w:rFonts w:ascii="Arial" w:hAnsi="Arial" w:cs="Arial"/>
          <w:color w:val="000000"/>
          <w:sz w:val="22"/>
          <w:szCs w:val="22"/>
        </w:rPr>
        <w:t>some</w:t>
      </w:r>
      <w:r w:rsidRPr="005B3E97">
        <w:rPr>
          <w:rFonts w:ascii="Arial" w:hAnsi="Arial" w:cs="Arial"/>
          <w:color w:val="000000"/>
          <w:sz w:val="22"/>
          <w:szCs w:val="22"/>
        </w:rPr>
        <w:t xml:space="preserve"> weeks deaths in men and women in Spain and men in England and Wales more than doubled. In contrast, Portugal, Switzerland, and </w:t>
      </w:r>
      <w:r>
        <w:rPr>
          <w:rFonts w:ascii="Arial" w:hAnsi="Arial" w:cs="Arial"/>
          <w:color w:val="000000"/>
          <w:sz w:val="22"/>
          <w:szCs w:val="22"/>
        </w:rPr>
        <w:t>possibly</w:t>
      </w:r>
      <w:r w:rsidRPr="005B3E97">
        <w:rPr>
          <w:rFonts w:ascii="Arial" w:hAnsi="Arial" w:cs="Arial"/>
          <w:color w:val="000000"/>
          <w:sz w:val="22"/>
          <w:szCs w:val="22"/>
        </w:rPr>
        <w:t xml:space="preserve"> France had smaller </w:t>
      </w:r>
      <w:r w:rsidRPr="005B3E97">
        <w:rPr>
          <w:rFonts w:ascii="Arial" w:hAnsi="Arial" w:cs="Arial"/>
          <w:color w:val="000000"/>
          <w:sz w:val="22"/>
          <w:szCs w:val="22"/>
        </w:rPr>
        <w:lastRenderedPageBreak/>
        <w:t xml:space="preserve">weekly rises, and for fewer weeks, and hence had overall increases between one quarter and one half of those in England and Wales and Spain. Sweden </w:t>
      </w:r>
      <w:r w:rsidRPr="00EB4DD0">
        <w:rPr>
          <w:rFonts w:ascii="Arial" w:hAnsi="Arial" w:cs="Arial"/>
          <w:color w:val="000000"/>
          <w:sz w:val="22"/>
          <w:szCs w:val="22"/>
        </w:rPr>
        <w:t>had the longest duration</w:t>
      </w:r>
      <w:r w:rsidRPr="005B3E97">
        <w:rPr>
          <w:rFonts w:ascii="Arial" w:hAnsi="Arial" w:cs="Arial"/>
          <w:color w:val="000000"/>
          <w:sz w:val="22"/>
          <w:szCs w:val="22"/>
        </w:rPr>
        <w:t xml:space="preserve"> of excess deaths, </w:t>
      </w:r>
      <w:r>
        <w:rPr>
          <w:rFonts w:ascii="Arial" w:hAnsi="Arial" w:cs="Arial"/>
          <w:color w:val="000000"/>
          <w:sz w:val="22"/>
          <w:szCs w:val="22"/>
        </w:rPr>
        <w:t xml:space="preserve">but </w:t>
      </w:r>
      <w:r w:rsidRPr="005B3E97">
        <w:rPr>
          <w:rFonts w:ascii="Arial" w:hAnsi="Arial" w:cs="Arial"/>
          <w:color w:val="000000"/>
          <w:sz w:val="22"/>
          <w:szCs w:val="22"/>
        </w:rPr>
        <w:t xml:space="preserve">had smaller weekly increases </w:t>
      </w:r>
      <w:r>
        <w:rPr>
          <w:rFonts w:ascii="Arial" w:hAnsi="Arial" w:cs="Arial"/>
          <w:color w:val="000000"/>
          <w:sz w:val="22"/>
          <w:szCs w:val="22"/>
        </w:rPr>
        <w:t>in deaths than countries like England and Wales, Spain, Scotland, Italy and Belgium</w:t>
      </w:r>
      <w:r w:rsidRPr="005B3E97">
        <w:rPr>
          <w:rFonts w:ascii="Arial" w:hAnsi="Arial" w:cs="Arial"/>
          <w:color w:val="000000"/>
          <w:sz w:val="22"/>
          <w:szCs w:val="22"/>
        </w:rPr>
        <w:t>. As a result, the overall mortality toll in Sweden, in terms of relative increase and deaths per 100,000 people, fell between those of low-moderate-impact countries (e.g., Portugal, Switzerland) and places with extreme toll</w:t>
      </w:r>
      <w:r>
        <w:rPr>
          <w:rFonts w:ascii="Arial" w:hAnsi="Arial" w:cs="Arial"/>
          <w:color w:val="000000"/>
          <w:sz w:val="22"/>
          <w:szCs w:val="22"/>
        </w:rPr>
        <w:t>s</w:t>
      </w:r>
      <w:r w:rsidRPr="005B3E97">
        <w:rPr>
          <w:rFonts w:ascii="Arial" w:hAnsi="Arial" w:cs="Arial"/>
          <w:color w:val="000000"/>
          <w:sz w:val="22"/>
          <w:szCs w:val="22"/>
        </w:rPr>
        <w:t xml:space="preserve"> (e.g., Spain and England and Wales). </w:t>
      </w:r>
    </w:p>
    <w:p w14:paraId="3EF4156F" w14:textId="77777777" w:rsidR="00474D86" w:rsidRPr="005B3E97" w:rsidRDefault="00474D86" w:rsidP="001E50ED">
      <w:pPr>
        <w:spacing w:line="480" w:lineRule="auto"/>
        <w:jc w:val="both"/>
        <w:rPr>
          <w:rFonts w:ascii="Arial" w:hAnsi="Arial" w:cs="Arial"/>
          <w:color w:val="000000"/>
          <w:sz w:val="22"/>
          <w:szCs w:val="22"/>
        </w:rPr>
      </w:pPr>
    </w:p>
    <w:p w14:paraId="34E71BAA" w14:textId="77777777" w:rsidR="00474D86" w:rsidRPr="005B3E97" w:rsidRDefault="00474D86" w:rsidP="00271B7C">
      <w:pPr>
        <w:spacing w:line="480" w:lineRule="auto"/>
        <w:jc w:val="both"/>
        <w:rPr>
          <w:rFonts w:ascii="Arial" w:hAnsi="Arial" w:cs="Arial"/>
          <w:i/>
          <w:iCs/>
          <w:color w:val="000000"/>
          <w:sz w:val="22"/>
          <w:szCs w:val="22"/>
        </w:rPr>
      </w:pPr>
      <w:r w:rsidRPr="005B3E97">
        <w:rPr>
          <w:rFonts w:ascii="Arial" w:hAnsi="Arial" w:cs="Arial"/>
          <w:i/>
          <w:iCs/>
          <w:color w:val="000000"/>
          <w:sz w:val="22"/>
          <w:szCs w:val="22"/>
        </w:rPr>
        <w:t xml:space="preserve">Demographic distribution of excess deaths </w:t>
      </w:r>
    </w:p>
    <w:p w14:paraId="211D2885" w14:textId="77777777" w:rsidR="00474D86" w:rsidRDefault="00474D86" w:rsidP="005100F7">
      <w:pPr>
        <w:spacing w:line="480" w:lineRule="auto"/>
        <w:jc w:val="both"/>
        <w:rPr>
          <w:rFonts w:ascii="Arial" w:hAnsi="Arial" w:cs="Arial"/>
          <w:sz w:val="22"/>
          <w:szCs w:val="22"/>
        </w:rPr>
      </w:pPr>
      <w:r>
        <w:rPr>
          <w:rFonts w:ascii="Arial" w:hAnsi="Arial" w:cs="Arial"/>
          <w:color w:val="000000"/>
          <w:sz w:val="22"/>
          <w:szCs w:val="22"/>
        </w:rPr>
        <w:t>Although it is widely quoted that more men die from Covid-19 infection,</w:t>
      </w:r>
      <w:r w:rsidRPr="001831EE">
        <w:rPr>
          <w:rFonts w:ascii="Arial" w:hAnsi="Arial" w:cs="Arial"/>
          <w:noProof/>
          <w:color w:val="000000"/>
          <w:sz w:val="22"/>
          <w:szCs w:val="22"/>
          <w:vertAlign w:val="superscript"/>
        </w:rPr>
        <w:t>21-24</w:t>
      </w:r>
      <w:r>
        <w:rPr>
          <w:rFonts w:ascii="Arial" w:hAnsi="Arial" w:cs="Arial"/>
          <w:color w:val="000000"/>
          <w:sz w:val="22"/>
          <w:szCs w:val="22"/>
        </w:rPr>
        <w:t xml:space="preserve"> the number of excess deaths for all causes, excess deaths per 100,000 people, and relative increase in deaths were similar between men and women in most countries</w:t>
      </w:r>
      <w:r w:rsidRPr="005B3E97">
        <w:rPr>
          <w:rFonts w:ascii="Arial" w:hAnsi="Arial" w:cs="Arial"/>
          <w:color w:val="000000"/>
          <w:sz w:val="22"/>
          <w:szCs w:val="22"/>
        </w:rPr>
        <w:t xml:space="preserve"> (Fig. </w:t>
      </w:r>
      <w:r>
        <w:rPr>
          <w:rFonts w:ascii="Arial" w:hAnsi="Arial" w:cs="Arial"/>
          <w:color w:val="000000"/>
          <w:sz w:val="22"/>
          <w:szCs w:val="22"/>
        </w:rPr>
        <w:t>4</w:t>
      </w:r>
      <w:r w:rsidRPr="005B3E97">
        <w:rPr>
          <w:rFonts w:ascii="Arial" w:hAnsi="Arial" w:cs="Arial"/>
          <w:color w:val="000000"/>
          <w:sz w:val="22"/>
          <w:szCs w:val="22"/>
        </w:rPr>
        <w:t xml:space="preserve">). </w:t>
      </w:r>
      <w:r>
        <w:rPr>
          <w:rFonts w:ascii="Arial" w:hAnsi="Arial" w:cs="Arial"/>
          <w:color w:val="000000"/>
          <w:sz w:val="22"/>
          <w:szCs w:val="22"/>
        </w:rPr>
        <w:t xml:space="preserve">In all 21 countries together, </w:t>
      </w:r>
      <w:r w:rsidRPr="005048EA">
        <w:rPr>
          <w:rFonts w:ascii="Arial" w:hAnsi="Arial" w:cs="Arial"/>
          <w:color w:val="000000"/>
          <w:sz w:val="22"/>
          <w:szCs w:val="22"/>
        </w:rPr>
        <w:t>105,800 (90,400-119,000)</w:t>
      </w:r>
      <w:r w:rsidRPr="00060470" w:rsidDel="00191C2A">
        <w:rPr>
          <w:rFonts w:ascii="Arial" w:hAnsi="Arial" w:cs="Arial"/>
          <w:color w:val="000000"/>
          <w:sz w:val="22"/>
          <w:szCs w:val="22"/>
        </w:rPr>
        <w:t xml:space="preserve"> </w:t>
      </w:r>
      <w:r>
        <w:rPr>
          <w:rFonts w:ascii="Arial" w:hAnsi="Arial" w:cs="Arial"/>
          <w:color w:val="000000"/>
          <w:sz w:val="22"/>
          <w:szCs w:val="22"/>
        </w:rPr>
        <w:t>men died from any cause of death as a result of the pandemic compared to</w:t>
      </w:r>
      <w:r w:rsidRPr="00195988">
        <w:rPr>
          <w:rFonts w:ascii="Arial" w:hAnsi="Arial" w:cs="Arial"/>
          <w:color w:val="000000"/>
          <w:sz w:val="22"/>
          <w:szCs w:val="22"/>
        </w:rPr>
        <w:t xml:space="preserve"> </w:t>
      </w:r>
      <w:r w:rsidRPr="005048EA">
        <w:rPr>
          <w:rFonts w:ascii="Arial" w:hAnsi="Arial" w:cs="Arial"/>
          <w:color w:val="000000"/>
          <w:sz w:val="22"/>
          <w:szCs w:val="22"/>
        </w:rPr>
        <w:t>100,000 (82,000-117,500)</w:t>
      </w:r>
      <w:r w:rsidRPr="005B3E97">
        <w:rPr>
          <w:rFonts w:ascii="Arial" w:hAnsi="Arial" w:cs="Arial"/>
          <w:color w:val="000000"/>
          <w:sz w:val="22"/>
          <w:szCs w:val="22"/>
        </w:rPr>
        <w:t xml:space="preserve"> women</w:t>
      </w:r>
      <w:r>
        <w:rPr>
          <w:rFonts w:ascii="Arial" w:hAnsi="Arial" w:cs="Arial"/>
          <w:color w:val="000000"/>
          <w:sz w:val="22"/>
          <w:szCs w:val="22"/>
        </w:rPr>
        <w:t>. Further, in many countries t</w:t>
      </w:r>
      <w:r w:rsidRPr="005B3E97">
        <w:rPr>
          <w:rFonts w:ascii="Arial" w:hAnsi="Arial" w:cs="Arial"/>
          <w:color w:val="000000"/>
          <w:sz w:val="22"/>
          <w:szCs w:val="22"/>
        </w:rPr>
        <w:t xml:space="preserve">he balance of excess deaths changed from male-dominated early in the pandemic to </w:t>
      </w:r>
      <w:r>
        <w:rPr>
          <w:rFonts w:ascii="Arial" w:hAnsi="Arial" w:cs="Arial"/>
          <w:color w:val="000000"/>
          <w:sz w:val="22"/>
          <w:szCs w:val="22"/>
        </w:rPr>
        <w:t xml:space="preserve">being equal (e.g., England and Wales) or </w:t>
      </w:r>
      <w:r w:rsidRPr="005B3E97">
        <w:rPr>
          <w:rFonts w:ascii="Arial" w:hAnsi="Arial" w:cs="Arial"/>
          <w:color w:val="000000"/>
          <w:sz w:val="22"/>
          <w:szCs w:val="22"/>
        </w:rPr>
        <w:t>female-dominated</w:t>
      </w:r>
      <w:r>
        <w:rPr>
          <w:rFonts w:ascii="Arial" w:hAnsi="Arial" w:cs="Arial"/>
          <w:color w:val="000000"/>
          <w:sz w:val="22"/>
          <w:szCs w:val="22"/>
        </w:rPr>
        <w:t xml:space="preserve"> (e.g., Italy, Spain and France) later on</w:t>
      </w:r>
      <w:r w:rsidRPr="005B3E97">
        <w:rPr>
          <w:rFonts w:ascii="Arial" w:hAnsi="Arial" w:cs="Arial"/>
          <w:color w:val="000000"/>
          <w:sz w:val="22"/>
          <w:szCs w:val="22"/>
        </w:rPr>
        <w:t>.</w:t>
      </w:r>
    </w:p>
    <w:p w14:paraId="76A82F09" w14:textId="77777777" w:rsidR="00474D86" w:rsidRPr="005B3E97" w:rsidRDefault="00474D86" w:rsidP="00981D6E">
      <w:pPr>
        <w:spacing w:line="480" w:lineRule="auto"/>
        <w:jc w:val="both"/>
        <w:rPr>
          <w:rFonts w:ascii="Arial" w:hAnsi="Arial" w:cs="Arial"/>
          <w:color w:val="000000"/>
          <w:sz w:val="22"/>
          <w:szCs w:val="22"/>
        </w:rPr>
      </w:pPr>
    </w:p>
    <w:p w14:paraId="2D21595E" w14:textId="77777777" w:rsidR="00474D86" w:rsidRPr="005B3E97" w:rsidRDefault="00474D86" w:rsidP="002654C4">
      <w:pPr>
        <w:spacing w:line="480" w:lineRule="auto"/>
        <w:jc w:val="both"/>
        <w:rPr>
          <w:rFonts w:ascii="Arial" w:hAnsi="Arial" w:cs="Arial"/>
          <w:color w:val="000000"/>
          <w:sz w:val="22"/>
          <w:szCs w:val="22"/>
        </w:rPr>
      </w:pPr>
      <w:r>
        <w:rPr>
          <w:rFonts w:ascii="Arial" w:hAnsi="Arial" w:cs="Arial"/>
          <w:color w:val="000000"/>
          <w:sz w:val="22"/>
          <w:szCs w:val="22"/>
        </w:rPr>
        <w:t>When considered in terms of relative increase in deaths, m</w:t>
      </w:r>
      <w:r w:rsidRPr="005B3E97">
        <w:rPr>
          <w:rFonts w:ascii="Arial" w:hAnsi="Arial" w:cs="Arial"/>
          <w:color w:val="000000"/>
          <w:sz w:val="22"/>
          <w:szCs w:val="22"/>
        </w:rPr>
        <w:t>ale disadvantage was largest in the Netherlands (</w:t>
      </w:r>
      <w:r w:rsidRPr="00D62BD7">
        <w:rPr>
          <w:rFonts w:ascii="Arial" w:hAnsi="Arial" w:cs="Arial"/>
          <w:color w:val="000000"/>
          <w:sz w:val="22"/>
          <w:szCs w:val="22"/>
        </w:rPr>
        <w:t>24</w:t>
      </w:r>
      <w:r>
        <w:rPr>
          <w:rFonts w:ascii="Arial" w:hAnsi="Arial" w:cs="Arial"/>
          <w:color w:val="000000"/>
          <w:sz w:val="22"/>
          <w:szCs w:val="22"/>
        </w:rPr>
        <w:t>% (</w:t>
      </w:r>
      <w:r w:rsidRPr="00D62BD7">
        <w:rPr>
          <w:rFonts w:ascii="Arial" w:hAnsi="Arial" w:cs="Arial"/>
          <w:color w:val="000000"/>
          <w:sz w:val="22"/>
          <w:szCs w:val="22"/>
        </w:rPr>
        <w:t>16</w:t>
      </w:r>
      <w:r>
        <w:rPr>
          <w:rFonts w:ascii="Arial" w:hAnsi="Arial" w:cs="Arial"/>
          <w:color w:val="000000"/>
          <w:sz w:val="22"/>
          <w:szCs w:val="22"/>
        </w:rPr>
        <w:t>-31)</w:t>
      </w:r>
      <w:r w:rsidRPr="005B3E97">
        <w:rPr>
          <w:rFonts w:ascii="Arial" w:hAnsi="Arial" w:cs="Arial"/>
          <w:color w:val="000000"/>
          <w:sz w:val="22"/>
          <w:szCs w:val="22"/>
        </w:rPr>
        <w:t xml:space="preserve"> increase in male deaths compared to </w:t>
      </w:r>
      <w:r>
        <w:rPr>
          <w:rFonts w:ascii="Arial" w:hAnsi="Arial" w:cs="Arial"/>
          <w:color w:val="000000"/>
          <w:sz w:val="22"/>
          <w:szCs w:val="22"/>
        </w:rPr>
        <w:t>15</w:t>
      </w:r>
      <w:r w:rsidRPr="00D62BD7">
        <w:rPr>
          <w:rFonts w:ascii="Arial" w:hAnsi="Arial" w:cs="Arial"/>
          <w:color w:val="000000"/>
          <w:sz w:val="22"/>
          <w:szCs w:val="22"/>
        </w:rPr>
        <w:t>%</w:t>
      </w:r>
      <w:r>
        <w:rPr>
          <w:rFonts w:ascii="Arial" w:hAnsi="Arial" w:cs="Arial"/>
          <w:color w:val="000000"/>
          <w:sz w:val="22"/>
          <w:szCs w:val="22"/>
        </w:rPr>
        <w:t xml:space="preserve"> (7-24)</w:t>
      </w:r>
      <w:r w:rsidRPr="005B3E97">
        <w:rPr>
          <w:rFonts w:ascii="Arial" w:hAnsi="Arial" w:cs="Arial"/>
          <w:color w:val="000000"/>
          <w:sz w:val="22"/>
          <w:szCs w:val="22"/>
        </w:rPr>
        <w:t xml:space="preserve"> in female deaths) and Switzerland (</w:t>
      </w:r>
      <w:r>
        <w:rPr>
          <w:rFonts w:ascii="Arial" w:hAnsi="Arial" w:cs="Arial"/>
          <w:color w:val="000000"/>
          <w:sz w:val="22"/>
          <w:szCs w:val="22"/>
        </w:rPr>
        <w:t>10</w:t>
      </w:r>
      <w:r w:rsidRPr="005B3E97">
        <w:rPr>
          <w:rFonts w:ascii="Arial" w:hAnsi="Arial" w:cs="Arial"/>
          <w:color w:val="000000"/>
          <w:sz w:val="22"/>
          <w:szCs w:val="22"/>
        </w:rPr>
        <w:t>% (</w:t>
      </w:r>
      <w:r>
        <w:rPr>
          <w:rFonts w:ascii="Arial" w:hAnsi="Arial" w:cs="Arial"/>
          <w:color w:val="000000"/>
          <w:sz w:val="22"/>
          <w:szCs w:val="22"/>
        </w:rPr>
        <w:t>3-17</w:t>
      </w:r>
      <w:r w:rsidRPr="005B3E97">
        <w:rPr>
          <w:rFonts w:ascii="Arial" w:hAnsi="Arial" w:cs="Arial"/>
          <w:color w:val="000000"/>
          <w:sz w:val="22"/>
          <w:szCs w:val="22"/>
        </w:rPr>
        <w:t xml:space="preserve">) increase in males; </w:t>
      </w:r>
      <w:r>
        <w:rPr>
          <w:rFonts w:ascii="Arial" w:hAnsi="Arial" w:cs="Arial"/>
          <w:color w:val="000000"/>
          <w:sz w:val="22"/>
          <w:szCs w:val="22"/>
        </w:rPr>
        <w:t>5</w:t>
      </w:r>
      <w:r w:rsidRPr="005B3E97">
        <w:rPr>
          <w:rFonts w:ascii="Arial" w:hAnsi="Arial" w:cs="Arial"/>
          <w:color w:val="000000"/>
          <w:sz w:val="22"/>
          <w:szCs w:val="22"/>
        </w:rPr>
        <w:t>% (</w:t>
      </w:r>
      <w:r>
        <w:rPr>
          <w:rFonts w:ascii="Arial" w:hAnsi="Arial" w:cs="Arial"/>
          <w:color w:val="000000"/>
          <w:sz w:val="22"/>
          <w:szCs w:val="22"/>
        </w:rPr>
        <w:t>-3</w:t>
      </w:r>
      <w:r w:rsidRPr="005B3E97">
        <w:rPr>
          <w:rFonts w:ascii="Arial" w:hAnsi="Arial" w:cs="Arial"/>
          <w:color w:val="000000"/>
          <w:sz w:val="22"/>
          <w:szCs w:val="22"/>
        </w:rPr>
        <w:t>-</w:t>
      </w:r>
      <w:r>
        <w:rPr>
          <w:rFonts w:ascii="Arial" w:hAnsi="Arial" w:cs="Arial"/>
          <w:color w:val="000000"/>
          <w:sz w:val="22"/>
          <w:szCs w:val="22"/>
        </w:rPr>
        <w:t>13</w:t>
      </w:r>
      <w:r w:rsidRPr="005B3E97">
        <w:rPr>
          <w:rFonts w:ascii="Arial" w:hAnsi="Arial" w:cs="Arial"/>
          <w:color w:val="000000"/>
          <w:sz w:val="22"/>
          <w:szCs w:val="22"/>
        </w:rPr>
        <w:t>) in females). In contrast, in Belgium (</w:t>
      </w:r>
      <w:r>
        <w:rPr>
          <w:rFonts w:ascii="Arial" w:hAnsi="Arial" w:cs="Arial"/>
          <w:color w:val="000000"/>
          <w:sz w:val="22"/>
          <w:szCs w:val="22"/>
        </w:rPr>
        <w:t>25</w:t>
      </w:r>
      <w:r w:rsidRPr="005B3E97">
        <w:rPr>
          <w:rFonts w:ascii="Arial" w:hAnsi="Arial" w:cs="Arial"/>
          <w:color w:val="000000"/>
          <w:sz w:val="22"/>
          <w:szCs w:val="22"/>
        </w:rPr>
        <w:t>% (</w:t>
      </w:r>
      <w:r>
        <w:rPr>
          <w:rFonts w:ascii="Arial" w:hAnsi="Arial" w:cs="Arial"/>
          <w:color w:val="000000"/>
          <w:sz w:val="22"/>
          <w:szCs w:val="22"/>
        </w:rPr>
        <w:t>16-34</w:t>
      </w:r>
      <w:r w:rsidRPr="005B3E97">
        <w:rPr>
          <w:rFonts w:ascii="Arial" w:hAnsi="Arial" w:cs="Arial"/>
          <w:color w:val="000000"/>
          <w:sz w:val="22"/>
          <w:szCs w:val="22"/>
        </w:rPr>
        <w:t xml:space="preserve">) increase in males; </w:t>
      </w:r>
      <w:r>
        <w:rPr>
          <w:rFonts w:ascii="Arial" w:hAnsi="Arial" w:cs="Arial"/>
          <w:color w:val="000000"/>
          <w:sz w:val="22"/>
          <w:szCs w:val="22"/>
        </w:rPr>
        <w:t>29</w:t>
      </w:r>
      <w:r w:rsidRPr="005B3E97">
        <w:rPr>
          <w:rFonts w:ascii="Arial" w:hAnsi="Arial" w:cs="Arial"/>
          <w:color w:val="000000"/>
          <w:sz w:val="22"/>
          <w:szCs w:val="22"/>
        </w:rPr>
        <w:t>% (</w:t>
      </w:r>
      <w:r>
        <w:rPr>
          <w:rFonts w:ascii="Arial" w:hAnsi="Arial" w:cs="Arial"/>
          <w:color w:val="000000"/>
          <w:sz w:val="22"/>
          <w:szCs w:val="22"/>
        </w:rPr>
        <w:t>18</w:t>
      </w:r>
      <w:r w:rsidRPr="005B3E97">
        <w:rPr>
          <w:rFonts w:ascii="Arial" w:hAnsi="Arial" w:cs="Arial"/>
          <w:color w:val="000000"/>
          <w:sz w:val="22"/>
          <w:szCs w:val="22"/>
        </w:rPr>
        <w:t>-</w:t>
      </w:r>
      <w:r>
        <w:rPr>
          <w:rFonts w:ascii="Arial" w:hAnsi="Arial" w:cs="Arial"/>
          <w:color w:val="000000"/>
          <w:sz w:val="22"/>
          <w:szCs w:val="22"/>
        </w:rPr>
        <w:t>40</w:t>
      </w:r>
      <w:r w:rsidRPr="005B3E97">
        <w:rPr>
          <w:rFonts w:ascii="Arial" w:hAnsi="Arial" w:cs="Arial"/>
          <w:color w:val="000000"/>
          <w:sz w:val="22"/>
          <w:szCs w:val="22"/>
        </w:rPr>
        <w:t>) in females) and Spain (</w:t>
      </w:r>
      <w:r>
        <w:rPr>
          <w:rFonts w:ascii="Arial" w:hAnsi="Arial" w:cs="Arial"/>
          <w:color w:val="000000"/>
          <w:sz w:val="22"/>
          <w:szCs w:val="22"/>
        </w:rPr>
        <w:t>37</w:t>
      </w:r>
      <w:r w:rsidRPr="005B3E97">
        <w:rPr>
          <w:rFonts w:ascii="Arial" w:hAnsi="Arial" w:cs="Arial"/>
          <w:color w:val="000000"/>
          <w:sz w:val="22"/>
          <w:szCs w:val="22"/>
        </w:rPr>
        <w:t>% (</w:t>
      </w:r>
      <w:r>
        <w:rPr>
          <w:rFonts w:ascii="Arial" w:hAnsi="Arial" w:cs="Arial"/>
          <w:color w:val="000000"/>
          <w:sz w:val="22"/>
          <w:szCs w:val="22"/>
        </w:rPr>
        <w:t>29-45</w:t>
      </w:r>
      <w:r w:rsidRPr="005B3E97">
        <w:rPr>
          <w:rFonts w:ascii="Arial" w:hAnsi="Arial" w:cs="Arial"/>
          <w:color w:val="000000"/>
          <w:sz w:val="22"/>
          <w:szCs w:val="22"/>
        </w:rPr>
        <w:t xml:space="preserve">) increase in males; </w:t>
      </w:r>
      <w:r>
        <w:rPr>
          <w:rFonts w:ascii="Arial" w:hAnsi="Arial" w:cs="Arial"/>
          <w:color w:val="000000"/>
          <w:sz w:val="22"/>
          <w:szCs w:val="22"/>
        </w:rPr>
        <w:t>39</w:t>
      </w:r>
      <w:r w:rsidRPr="005B3E97">
        <w:rPr>
          <w:rFonts w:ascii="Arial" w:hAnsi="Arial" w:cs="Arial"/>
          <w:color w:val="000000"/>
          <w:sz w:val="22"/>
          <w:szCs w:val="22"/>
        </w:rPr>
        <w:t>% (</w:t>
      </w:r>
      <w:r>
        <w:rPr>
          <w:rFonts w:ascii="Arial" w:hAnsi="Arial" w:cs="Arial"/>
          <w:color w:val="000000"/>
          <w:sz w:val="22"/>
          <w:szCs w:val="22"/>
        </w:rPr>
        <w:t>29-50</w:t>
      </w:r>
      <w:r w:rsidRPr="005B3E97">
        <w:rPr>
          <w:rFonts w:ascii="Arial" w:hAnsi="Arial" w:cs="Arial"/>
          <w:color w:val="000000"/>
          <w:sz w:val="22"/>
          <w:szCs w:val="22"/>
        </w:rPr>
        <w:t xml:space="preserve">) in females) there </w:t>
      </w:r>
      <w:r>
        <w:rPr>
          <w:rFonts w:ascii="Arial" w:hAnsi="Arial" w:cs="Arial"/>
          <w:color w:val="000000"/>
          <w:sz w:val="22"/>
          <w:szCs w:val="22"/>
        </w:rPr>
        <w:t xml:space="preserve">was </w:t>
      </w:r>
      <w:r w:rsidRPr="005B3E97">
        <w:rPr>
          <w:rFonts w:ascii="Arial" w:hAnsi="Arial" w:cs="Arial"/>
          <w:color w:val="000000"/>
          <w:sz w:val="22"/>
          <w:szCs w:val="22"/>
        </w:rPr>
        <w:t xml:space="preserve">a slight female disadvantage in </w:t>
      </w:r>
      <w:r>
        <w:rPr>
          <w:rFonts w:ascii="Arial" w:hAnsi="Arial" w:cs="Arial"/>
          <w:color w:val="000000"/>
          <w:sz w:val="22"/>
          <w:szCs w:val="22"/>
        </w:rPr>
        <w:t xml:space="preserve">total mortality </w:t>
      </w:r>
      <w:r w:rsidRPr="005B3E97">
        <w:rPr>
          <w:rFonts w:ascii="Arial" w:hAnsi="Arial" w:cs="Arial"/>
          <w:color w:val="000000"/>
          <w:sz w:val="22"/>
          <w:szCs w:val="22"/>
        </w:rPr>
        <w:t xml:space="preserve">impacts. </w:t>
      </w:r>
      <w:r>
        <w:rPr>
          <w:rFonts w:ascii="Arial" w:hAnsi="Arial" w:cs="Arial"/>
          <w:color w:val="000000"/>
          <w:sz w:val="22"/>
          <w:szCs w:val="22"/>
        </w:rPr>
        <w:t>A</w:t>
      </w:r>
      <w:r w:rsidRPr="005B3E97">
        <w:rPr>
          <w:rFonts w:ascii="Arial" w:hAnsi="Arial" w:cs="Arial"/>
          <w:color w:val="000000"/>
          <w:sz w:val="22"/>
          <w:szCs w:val="22"/>
        </w:rPr>
        <w:t xml:space="preserve"> male disadvantage in pandemic-related excess deaths was more pronounced before 65 years of age, whereas in older ages the relative impacts were similar </w:t>
      </w:r>
      <w:r>
        <w:rPr>
          <w:rFonts w:ascii="Arial" w:hAnsi="Arial" w:cs="Arial"/>
          <w:color w:val="000000"/>
          <w:sz w:val="22"/>
          <w:szCs w:val="22"/>
        </w:rPr>
        <w:t>in</w:t>
      </w:r>
      <w:r w:rsidRPr="005B3E97">
        <w:rPr>
          <w:rFonts w:ascii="Arial" w:hAnsi="Arial" w:cs="Arial"/>
          <w:color w:val="000000"/>
          <w:sz w:val="22"/>
          <w:szCs w:val="22"/>
        </w:rPr>
        <w:t xml:space="preserve"> men and women (</w:t>
      </w:r>
      <w:r>
        <w:rPr>
          <w:rFonts w:ascii="Arial" w:hAnsi="Arial" w:cs="Arial"/>
          <w:color w:val="000000"/>
          <w:sz w:val="22"/>
          <w:szCs w:val="22"/>
        </w:rPr>
        <w:t>Fig. 5</w:t>
      </w:r>
      <w:r w:rsidRPr="005B3E97">
        <w:rPr>
          <w:rFonts w:ascii="Arial" w:hAnsi="Arial" w:cs="Arial"/>
          <w:color w:val="000000"/>
          <w:sz w:val="22"/>
          <w:szCs w:val="22"/>
        </w:rPr>
        <w:t xml:space="preserve">). For example, the pandemic led to an estimated </w:t>
      </w:r>
      <w:r>
        <w:rPr>
          <w:rFonts w:ascii="Arial" w:hAnsi="Arial" w:cs="Arial"/>
          <w:color w:val="000000"/>
          <w:sz w:val="22"/>
          <w:szCs w:val="22"/>
        </w:rPr>
        <w:t>19</w:t>
      </w:r>
      <w:r w:rsidRPr="005B3E97">
        <w:rPr>
          <w:rFonts w:ascii="Arial" w:hAnsi="Arial" w:cs="Arial"/>
          <w:color w:val="000000"/>
          <w:sz w:val="22"/>
          <w:szCs w:val="22"/>
        </w:rPr>
        <w:t>% (</w:t>
      </w:r>
      <w:r>
        <w:rPr>
          <w:rFonts w:ascii="Arial" w:hAnsi="Arial" w:cs="Arial"/>
          <w:color w:val="000000"/>
          <w:sz w:val="22"/>
          <w:szCs w:val="22"/>
        </w:rPr>
        <w:t>9-29</w:t>
      </w:r>
      <w:r w:rsidRPr="005B3E97">
        <w:rPr>
          <w:rFonts w:ascii="Arial" w:hAnsi="Arial" w:cs="Arial"/>
          <w:color w:val="000000"/>
          <w:sz w:val="22"/>
          <w:szCs w:val="22"/>
        </w:rPr>
        <w:t xml:space="preserve">) increase in deaths in males younger than 65 years compared to </w:t>
      </w:r>
      <w:r>
        <w:rPr>
          <w:rFonts w:ascii="Arial" w:hAnsi="Arial" w:cs="Arial"/>
          <w:color w:val="000000"/>
          <w:sz w:val="22"/>
          <w:szCs w:val="22"/>
        </w:rPr>
        <w:t>2</w:t>
      </w:r>
      <w:r w:rsidRPr="005B3E97">
        <w:rPr>
          <w:rFonts w:ascii="Arial" w:hAnsi="Arial" w:cs="Arial"/>
          <w:color w:val="000000"/>
          <w:sz w:val="22"/>
          <w:szCs w:val="22"/>
        </w:rPr>
        <w:t>% (</w:t>
      </w:r>
      <w:r>
        <w:rPr>
          <w:rFonts w:ascii="Arial" w:hAnsi="Arial" w:cs="Arial"/>
          <w:color w:val="000000"/>
          <w:sz w:val="22"/>
          <w:szCs w:val="22"/>
        </w:rPr>
        <w:t>-7</w:t>
      </w:r>
      <w:r w:rsidRPr="005B3E97">
        <w:rPr>
          <w:rFonts w:ascii="Arial" w:hAnsi="Arial" w:cs="Arial"/>
          <w:color w:val="000000"/>
          <w:sz w:val="22"/>
          <w:szCs w:val="22"/>
        </w:rPr>
        <w:t>-</w:t>
      </w:r>
      <w:r>
        <w:rPr>
          <w:rFonts w:ascii="Arial" w:hAnsi="Arial" w:cs="Arial"/>
          <w:color w:val="000000"/>
          <w:sz w:val="22"/>
          <w:szCs w:val="22"/>
        </w:rPr>
        <w:t>10</w:t>
      </w:r>
      <w:r w:rsidRPr="005B3E97">
        <w:rPr>
          <w:rFonts w:ascii="Arial" w:hAnsi="Arial" w:cs="Arial"/>
          <w:color w:val="000000"/>
          <w:sz w:val="22"/>
          <w:szCs w:val="22"/>
        </w:rPr>
        <w:t>) in females</w:t>
      </w:r>
      <w:r>
        <w:rPr>
          <w:rFonts w:ascii="Arial" w:hAnsi="Arial" w:cs="Arial"/>
          <w:color w:val="000000"/>
          <w:sz w:val="22"/>
          <w:szCs w:val="22"/>
        </w:rPr>
        <w:t xml:space="preserve"> of the same age</w:t>
      </w:r>
      <w:r w:rsidRPr="005B3E97">
        <w:rPr>
          <w:rFonts w:ascii="Arial" w:hAnsi="Arial" w:cs="Arial"/>
          <w:color w:val="000000"/>
          <w:sz w:val="22"/>
          <w:szCs w:val="22"/>
        </w:rPr>
        <w:t xml:space="preserve"> in Sweden; </w:t>
      </w:r>
      <w:r>
        <w:rPr>
          <w:rFonts w:ascii="Arial" w:hAnsi="Arial" w:cs="Arial"/>
          <w:color w:val="000000"/>
          <w:sz w:val="22"/>
          <w:szCs w:val="22"/>
        </w:rPr>
        <w:t>15</w:t>
      </w:r>
      <w:r w:rsidRPr="005B3E97">
        <w:rPr>
          <w:rFonts w:ascii="Arial" w:hAnsi="Arial" w:cs="Arial"/>
          <w:color w:val="000000"/>
          <w:sz w:val="22"/>
          <w:szCs w:val="22"/>
        </w:rPr>
        <w:t>% (</w:t>
      </w:r>
      <w:r>
        <w:rPr>
          <w:rFonts w:ascii="Arial" w:hAnsi="Arial" w:cs="Arial"/>
          <w:color w:val="000000"/>
          <w:sz w:val="22"/>
          <w:szCs w:val="22"/>
        </w:rPr>
        <w:t>8-22</w:t>
      </w:r>
      <w:r w:rsidRPr="005B3E97">
        <w:rPr>
          <w:rFonts w:ascii="Arial" w:hAnsi="Arial" w:cs="Arial"/>
          <w:color w:val="000000"/>
          <w:sz w:val="22"/>
          <w:szCs w:val="22"/>
        </w:rPr>
        <w:t xml:space="preserve">) and </w:t>
      </w:r>
      <w:r>
        <w:rPr>
          <w:rFonts w:ascii="Arial" w:hAnsi="Arial" w:cs="Arial"/>
          <w:color w:val="000000"/>
          <w:sz w:val="22"/>
          <w:szCs w:val="22"/>
        </w:rPr>
        <w:t>9</w:t>
      </w:r>
      <w:r w:rsidRPr="005B3E97">
        <w:rPr>
          <w:rFonts w:ascii="Arial" w:hAnsi="Arial" w:cs="Arial"/>
          <w:color w:val="000000"/>
          <w:sz w:val="22"/>
          <w:szCs w:val="22"/>
        </w:rPr>
        <w:t>% (</w:t>
      </w:r>
      <w:r>
        <w:rPr>
          <w:rFonts w:ascii="Arial" w:hAnsi="Arial" w:cs="Arial"/>
          <w:color w:val="000000"/>
          <w:sz w:val="22"/>
          <w:szCs w:val="22"/>
        </w:rPr>
        <w:t>3-15</w:t>
      </w:r>
      <w:r w:rsidRPr="005B3E97">
        <w:rPr>
          <w:rFonts w:ascii="Arial" w:hAnsi="Arial" w:cs="Arial"/>
          <w:color w:val="000000"/>
          <w:sz w:val="22"/>
          <w:szCs w:val="22"/>
        </w:rPr>
        <w:t xml:space="preserve">) in Italy; and </w:t>
      </w:r>
      <w:r>
        <w:rPr>
          <w:rFonts w:ascii="Arial" w:hAnsi="Arial" w:cs="Arial"/>
          <w:color w:val="000000"/>
          <w:sz w:val="22"/>
          <w:szCs w:val="22"/>
        </w:rPr>
        <w:t>11</w:t>
      </w:r>
      <w:r w:rsidRPr="005B3E97">
        <w:rPr>
          <w:rFonts w:ascii="Arial" w:hAnsi="Arial" w:cs="Arial"/>
          <w:color w:val="000000"/>
          <w:sz w:val="22"/>
          <w:szCs w:val="22"/>
        </w:rPr>
        <w:t>% (</w:t>
      </w:r>
      <w:r>
        <w:rPr>
          <w:rFonts w:ascii="Arial" w:hAnsi="Arial" w:cs="Arial"/>
          <w:color w:val="000000"/>
          <w:sz w:val="22"/>
          <w:szCs w:val="22"/>
        </w:rPr>
        <w:t>5-17</w:t>
      </w:r>
      <w:r w:rsidRPr="005B3E97">
        <w:rPr>
          <w:rFonts w:ascii="Arial" w:hAnsi="Arial" w:cs="Arial"/>
          <w:color w:val="000000"/>
          <w:sz w:val="22"/>
          <w:szCs w:val="22"/>
        </w:rPr>
        <w:t xml:space="preserve">) and </w:t>
      </w:r>
      <w:r>
        <w:rPr>
          <w:rFonts w:ascii="Arial" w:hAnsi="Arial" w:cs="Arial"/>
          <w:color w:val="000000"/>
          <w:sz w:val="22"/>
          <w:szCs w:val="22"/>
        </w:rPr>
        <w:t>-2</w:t>
      </w:r>
      <w:r w:rsidRPr="005B3E97">
        <w:rPr>
          <w:rFonts w:ascii="Arial" w:hAnsi="Arial" w:cs="Arial"/>
          <w:color w:val="000000"/>
          <w:sz w:val="22"/>
          <w:szCs w:val="22"/>
        </w:rPr>
        <w:t>% (</w:t>
      </w:r>
      <w:r>
        <w:rPr>
          <w:rFonts w:ascii="Arial" w:hAnsi="Arial" w:cs="Arial"/>
          <w:color w:val="000000"/>
          <w:sz w:val="22"/>
          <w:szCs w:val="22"/>
        </w:rPr>
        <w:t>-8-4</w:t>
      </w:r>
      <w:r w:rsidRPr="005B3E97">
        <w:rPr>
          <w:rFonts w:ascii="Arial" w:hAnsi="Arial" w:cs="Arial"/>
          <w:color w:val="000000"/>
          <w:sz w:val="22"/>
          <w:szCs w:val="22"/>
        </w:rPr>
        <w:t>) in the Netherlands.</w:t>
      </w:r>
    </w:p>
    <w:p w14:paraId="736E309B" w14:textId="77777777" w:rsidR="00474D86" w:rsidRDefault="00474D86" w:rsidP="002654C4">
      <w:pPr>
        <w:spacing w:line="480" w:lineRule="auto"/>
        <w:jc w:val="both"/>
        <w:rPr>
          <w:rFonts w:ascii="Arial" w:hAnsi="Arial" w:cs="Arial"/>
          <w:color w:val="000000"/>
          <w:sz w:val="22"/>
          <w:szCs w:val="22"/>
        </w:rPr>
      </w:pPr>
    </w:p>
    <w:p w14:paraId="654B92C2" w14:textId="77777777" w:rsidR="00474D86" w:rsidRPr="005B3E97" w:rsidRDefault="00474D86" w:rsidP="002654C4">
      <w:pPr>
        <w:spacing w:line="480" w:lineRule="auto"/>
        <w:jc w:val="both"/>
        <w:rPr>
          <w:rFonts w:ascii="Arial" w:hAnsi="Arial" w:cs="Arial"/>
          <w:color w:val="000000"/>
          <w:sz w:val="22"/>
          <w:szCs w:val="22"/>
        </w:rPr>
      </w:pPr>
      <w:r w:rsidRPr="005B3E97">
        <w:rPr>
          <w:rFonts w:ascii="Arial" w:hAnsi="Arial" w:cs="Arial"/>
          <w:color w:val="000000"/>
          <w:sz w:val="22"/>
          <w:szCs w:val="22"/>
        </w:rPr>
        <w:t>I</w:t>
      </w:r>
      <w:r>
        <w:rPr>
          <w:rFonts w:ascii="Arial" w:hAnsi="Arial" w:cs="Arial"/>
          <w:color w:val="000000"/>
          <w:sz w:val="22"/>
          <w:szCs w:val="22"/>
        </w:rPr>
        <w:t>n a</w:t>
      </w:r>
      <w:r w:rsidRPr="005B3E97">
        <w:rPr>
          <w:rFonts w:ascii="Arial" w:hAnsi="Arial" w:cs="Arial"/>
          <w:color w:val="000000"/>
          <w:sz w:val="22"/>
          <w:szCs w:val="22"/>
        </w:rPr>
        <w:t xml:space="preserve">bsolute terms, the total mortality toll of the pandemic was overwhelmingly in those aged 65 years and older, who experienced </w:t>
      </w:r>
      <w:r>
        <w:rPr>
          <w:rFonts w:ascii="Arial" w:hAnsi="Arial" w:cs="Arial"/>
          <w:color w:val="000000"/>
          <w:sz w:val="22"/>
          <w:szCs w:val="22"/>
        </w:rPr>
        <w:t>94</w:t>
      </w:r>
      <w:r w:rsidRPr="005B3E97">
        <w:rPr>
          <w:rFonts w:ascii="Arial" w:hAnsi="Arial" w:cs="Arial"/>
          <w:color w:val="000000"/>
          <w:sz w:val="22"/>
          <w:szCs w:val="22"/>
        </w:rPr>
        <w:t xml:space="preserve">% of all excess deaths. In relative terms, older people were </w:t>
      </w:r>
      <w:r>
        <w:rPr>
          <w:rFonts w:ascii="Arial" w:hAnsi="Arial" w:cs="Arial"/>
          <w:color w:val="000000"/>
          <w:sz w:val="22"/>
          <w:szCs w:val="22"/>
        </w:rPr>
        <w:t xml:space="preserve">also </w:t>
      </w:r>
      <w:r w:rsidRPr="005B3E97">
        <w:rPr>
          <w:rFonts w:ascii="Arial" w:hAnsi="Arial" w:cs="Arial"/>
          <w:color w:val="000000"/>
          <w:sz w:val="22"/>
          <w:szCs w:val="22"/>
        </w:rPr>
        <w:t xml:space="preserve">impacted more, with mortality in these ages being </w:t>
      </w:r>
      <w:r>
        <w:rPr>
          <w:rFonts w:ascii="Arial" w:hAnsi="Arial" w:cs="Arial"/>
          <w:color w:val="000000"/>
          <w:sz w:val="22"/>
          <w:szCs w:val="22"/>
        </w:rPr>
        <w:t>~</w:t>
      </w:r>
      <w:r w:rsidRPr="005B3E97">
        <w:rPr>
          <w:rFonts w:ascii="Arial" w:hAnsi="Arial" w:cs="Arial"/>
          <w:color w:val="000000"/>
          <w:sz w:val="22"/>
          <w:szCs w:val="22"/>
        </w:rPr>
        <w:t xml:space="preserve">40% higher than it would </w:t>
      </w:r>
      <w:r>
        <w:rPr>
          <w:rFonts w:ascii="Arial" w:hAnsi="Arial" w:cs="Arial"/>
          <w:color w:val="000000"/>
          <w:sz w:val="22"/>
          <w:szCs w:val="22"/>
        </w:rPr>
        <w:t xml:space="preserve">have </w:t>
      </w:r>
      <w:r w:rsidRPr="005B3E97">
        <w:rPr>
          <w:rFonts w:ascii="Arial" w:hAnsi="Arial" w:cs="Arial"/>
          <w:color w:val="000000"/>
          <w:sz w:val="22"/>
          <w:szCs w:val="22"/>
        </w:rPr>
        <w:t>be</w:t>
      </w:r>
      <w:r>
        <w:rPr>
          <w:rFonts w:ascii="Arial" w:hAnsi="Arial" w:cs="Arial"/>
          <w:color w:val="000000"/>
          <w:sz w:val="22"/>
          <w:szCs w:val="22"/>
        </w:rPr>
        <w:t>en</w:t>
      </w:r>
      <w:r w:rsidRPr="005B3E97">
        <w:rPr>
          <w:rFonts w:ascii="Arial" w:hAnsi="Arial" w:cs="Arial"/>
          <w:color w:val="000000"/>
          <w:sz w:val="22"/>
          <w:szCs w:val="22"/>
        </w:rPr>
        <w:t xml:space="preserve"> in the absence of the pandemic in Spain and England and Wales, and </w:t>
      </w:r>
      <w:r>
        <w:rPr>
          <w:rFonts w:ascii="Arial" w:hAnsi="Arial" w:cs="Arial"/>
          <w:color w:val="000000"/>
          <w:sz w:val="22"/>
          <w:szCs w:val="22"/>
        </w:rPr>
        <w:t>~30%</w:t>
      </w:r>
      <w:r w:rsidRPr="005B3E97">
        <w:rPr>
          <w:rFonts w:ascii="Arial" w:hAnsi="Arial" w:cs="Arial"/>
          <w:color w:val="000000"/>
          <w:sz w:val="22"/>
          <w:szCs w:val="22"/>
        </w:rPr>
        <w:t xml:space="preserve"> in Belgium</w:t>
      </w:r>
      <w:r>
        <w:rPr>
          <w:rFonts w:ascii="Arial" w:hAnsi="Arial" w:cs="Arial"/>
          <w:color w:val="000000"/>
          <w:sz w:val="22"/>
          <w:szCs w:val="22"/>
        </w:rPr>
        <w:t>, Scotland</w:t>
      </w:r>
      <w:r w:rsidRPr="005B3E97">
        <w:rPr>
          <w:rFonts w:ascii="Arial" w:hAnsi="Arial" w:cs="Arial"/>
          <w:color w:val="000000"/>
          <w:sz w:val="22"/>
          <w:szCs w:val="22"/>
        </w:rPr>
        <w:t xml:space="preserve"> and Italy. The largest impact on those younger than 65 years was in England </w:t>
      </w:r>
      <w:r>
        <w:rPr>
          <w:rFonts w:ascii="Arial" w:hAnsi="Arial" w:cs="Arial"/>
          <w:color w:val="000000"/>
          <w:sz w:val="22"/>
          <w:szCs w:val="22"/>
        </w:rPr>
        <w:t>and</w:t>
      </w:r>
      <w:r w:rsidRPr="005B3E97">
        <w:rPr>
          <w:rFonts w:ascii="Arial" w:hAnsi="Arial" w:cs="Arial"/>
          <w:color w:val="000000"/>
          <w:sz w:val="22"/>
          <w:szCs w:val="22"/>
        </w:rPr>
        <w:t xml:space="preserve"> Wales, </w:t>
      </w:r>
      <w:r>
        <w:rPr>
          <w:rFonts w:ascii="Arial" w:hAnsi="Arial" w:cs="Arial"/>
          <w:color w:val="000000"/>
          <w:sz w:val="22"/>
          <w:szCs w:val="22"/>
        </w:rPr>
        <w:t>26</w:t>
      </w:r>
      <w:r w:rsidRPr="005B3E97">
        <w:rPr>
          <w:rFonts w:ascii="Arial" w:hAnsi="Arial" w:cs="Arial"/>
          <w:color w:val="000000"/>
          <w:sz w:val="22"/>
          <w:szCs w:val="22"/>
        </w:rPr>
        <w:t>% (</w:t>
      </w:r>
      <w:r>
        <w:rPr>
          <w:rFonts w:ascii="Arial" w:hAnsi="Arial" w:cs="Arial"/>
          <w:color w:val="000000"/>
          <w:sz w:val="22"/>
          <w:szCs w:val="22"/>
        </w:rPr>
        <w:t>20</w:t>
      </w:r>
      <w:r w:rsidRPr="005B3E97">
        <w:rPr>
          <w:rFonts w:ascii="Arial" w:hAnsi="Arial" w:cs="Arial"/>
          <w:color w:val="000000"/>
          <w:sz w:val="22"/>
          <w:szCs w:val="22"/>
        </w:rPr>
        <w:t>-</w:t>
      </w:r>
      <w:r>
        <w:rPr>
          <w:rFonts w:ascii="Arial" w:hAnsi="Arial" w:cs="Arial"/>
          <w:color w:val="000000"/>
          <w:sz w:val="22"/>
          <w:szCs w:val="22"/>
        </w:rPr>
        <w:t>32</w:t>
      </w:r>
      <w:r w:rsidRPr="005B3E97">
        <w:rPr>
          <w:rFonts w:ascii="Arial" w:hAnsi="Arial" w:cs="Arial"/>
          <w:color w:val="000000"/>
          <w:sz w:val="22"/>
          <w:szCs w:val="22"/>
        </w:rPr>
        <w:t xml:space="preserve">) for males and </w:t>
      </w:r>
      <w:r>
        <w:rPr>
          <w:rFonts w:ascii="Arial" w:hAnsi="Arial" w:cs="Arial"/>
          <w:color w:val="000000"/>
          <w:sz w:val="22"/>
          <w:szCs w:val="22"/>
        </w:rPr>
        <w:t>22</w:t>
      </w:r>
      <w:r w:rsidRPr="005B3E97">
        <w:rPr>
          <w:rFonts w:ascii="Arial" w:hAnsi="Arial" w:cs="Arial"/>
          <w:color w:val="000000"/>
          <w:sz w:val="22"/>
          <w:szCs w:val="22"/>
        </w:rPr>
        <w:t>% (</w:t>
      </w:r>
      <w:r>
        <w:rPr>
          <w:rFonts w:ascii="Arial" w:hAnsi="Arial" w:cs="Arial"/>
          <w:color w:val="000000"/>
          <w:sz w:val="22"/>
          <w:szCs w:val="22"/>
        </w:rPr>
        <w:t>17</w:t>
      </w:r>
      <w:r w:rsidRPr="005B3E97">
        <w:rPr>
          <w:rFonts w:ascii="Arial" w:hAnsi="Arial" w:cs="Arial"/>
          <w:color w:val="000000"/>
          <w:sz w:val="22"/>
          <w:szCs w:val="22"/>
        </w:rPr>
        <w:t>-</w:t>
      </w:r>
      <w:r>
        <w:rPr>
          <w:rFonts w:ascii="Arial" w:hAnsi="Arial" w:cs="Arial"/>
          <w:color w:val="000000"/>
          <w:sz w:val="22"/>
          <w:szCs w:val="22"/>
        </w:rPr>
        <w:t>28</w:t>
      </w:r>
      <w:r w:rsidRPr="005B3E97">
        <w:rPr>
          <w:rFonts w:ascii="Arial" w:hAnsi="Arial" w:cs="Arial"/>
          <w:color w:val="000000"/>
          <w:sz w:val="22"/>
          <w:szCs w:val="22"/>
        </w:rPr>
        <w:t xml:space="preserve">) for females, followed by </w:t>
      </w:r>
      <w:r>
        <w:rPr>
          <w:rFonts w:ascii="Arial" w:hAnsi="Arial" w:cs="Arial"/>
          <w:color w:val="000000"/>
          <w:sz w:val="22"/>
          <w:szCs w:val="22"/>
        </w:rPr>
        <w:t xml:space="preserve">Scotland, Spain, Sweden and </w:t>
      </w:r>
      <w:r w:rsidRPr="005B3E97">
        <w:rPr>
          <w:rFonts w:ascii="Arial" w:hAnsi="Arial" w:cs="Arial"/>
          <w:color w:val="000000"/>
          <w:sz w:val="22"/>
          <w:szCs w:val="22"/>
        </w:rPr>
        <w:t xml:space="preserve">Italy. In </w:t>
      </w:r>
      <w:r>
        <w:rPr>
          <w:rFonts w:ascii="Arial" w:hAnsi="Arial" w:cs="Arial"/>
          <w:color w:val="000000"/>
          <w:sz w:val="22"/>
          <w:szCs w:val="22"/>
        </w:rPr>
        <w:t>men and women in</w:t>
      </w:r>
      <w:r w:rsidRPr="005B3E97">
        <w:rPr>
          <w:rFonts w:ascii="Arial" w:hAnsi="Arial" w:cs="Arial"/>
          <w:color w:val="000000"/>
          <w:sz w:val="22"/>
          <w:szCs w:val="22"/>
        </w:rPr>
        <w:t xml:space="preserve"> New Zealand,</w:t>
      </w:r>
      <w:r>
        <w:rPr>
          <w:rFonts w:ascii="Arial" w:hAnsi="Arial" w:cs="Arial"/>
          <w:color w:val="000000"/>
          <w:sz w:val="22"/>
          <w:szCs w:val="22"/>
        </w:rPr>
        <w:t xml:space="preserve"> and men in</w:t>
      </w:r>
      <w:r w:rsidRPr="005B3E97">
        <w:rPr>
          <w:rFonts w:ascii="Arial" w:hAnsi="Arial" w:cs="Arial"/>
          <w:color w:val="000000"/>
          <w:sz w:val="22"/>
          <w:szCs w:val="22"/>
        </w:rPr>
        <w:t xml:space="preserve"> Denmark</w:t>
      </w:r>
      <w:r>
        <w:rPr>
          <w:rFonts w:ascii="Arial" w:hAnsi="Arial" w:cs="Arial"/>
          <w:color w:val="000000"/>
          <w:sz w:val="22"/>
          <w:szCs w:val="22"/>
        </w:rPr>
        <w:t xml:space="preserve"> and Slovakia</w:t>
      </w:r>
      <w:r w:rsidRPr="005B3E97">
        <w:rPr>
          <w:rFonts w:ascii="Arial" w:hAnsi="Arial" w:cs="Arial"/>
          <w:color w:val="000000"/>
          <w:sz w:val="22"/>
          <w:szCs w:val="22"/>
        </w:rPr>
        <w:t xml:space="preserve">, there may have been a slight decline in deaths in men aged &lt;65 years as a result of the pandemic, with posterior probabilities of the observed declines being true declines </w:t>
      </w:r>
      <w:r>
        <w:rPr>
          <w:rFonts w:ascii="Arial" w:hAnsi="Arial" w:cs="Arial"/>
          <w:color w:val="000000"/>
          <w:sz w:val="22"/>
          <w:szCs w:val="22"/>
        </w:rPr>
        <w:t>&gt;90%</w:t>
      </w:r>
      <w:r w:rsidRPr="005B3E97">
        <w:rPr>
          <w:rFonts w:ascii="Arial" w:hAnsi="Arial" w:cs="Arial"/>
          <w:color w:val="000000"/>
          <w:sz w:val="22"/>
          <w:szCs w:val="22"/>
        </w:rPr>
        <w:t xml:space="preserve">. </w:t>
      </w:r>
      <w:r>
        <w:rPr>
          <w:rFonts w:ascii="Arial" w:hAnsi="Arial" w:cs="Arial"/>
          <w:color w:val="000000"/>
          <w:sz w:val="22"/>
          <w:szCs w:val="22"/>
        </w:rPr>
        <w:t>In these ages,</w:t>
      </w:r>
      <w:r w:rsidRPr="005B3E97">
        <w:rPr>
          <w:rFonts w:ascii="Arial" w:hAnsi="Arial" w:cs="Arial"/>
          <w:color w:val="000000"/>
          <w:sz w:val="22"/>
          <w:szCs w:val="22"/>
        </w:rPr>
        <w:t xml:space="preserve"> injuries are an important cause of death</w:t>
      </w:r>
      <w:r>
        <w:rPr>
          <w:rFonts w:ascii="Arial" w:hAnsi="Arial" w:cs="Arial"/>
          <w:color w:val="000000"/>
          <w:sz w:val="22"/>
          <w:szCs w:val="22"/>
        </w:rPr>
        <w:t xml:space="preserve"> especially for men. For example, men younger than 65 years in New Zealand, the only group with a 99% posterior probability of a decline in total mortality, have a higher share of all deaths that are from injuries than in other countries in this analysis</w:t>
      </w:r>
      <w:r w:rsidRPr="001831EE">
        <w:rPr>
          <w:rFonts w:ascii="Arial" w:hAnsi="Arial" w:cs="Arial"/>
          <w:noProof/>
          <w:color w:val="000000"/>
          <w:sz w:val="22"/>
          <w:szCs w:val="22"/>
          <w:vertAlign w:val="superscript"/>
        </w:rPr>
        <w:t>4</w:t>
      </w:r>
      <w:r>
        <w:rPr>
          <w:rFonts w:ascii="Arial" w:hAnsi="Arial" w:cs="Arial"/>
          <w:color w:val="000000"/>
          <w:sz w:val="22"/>
          <w:szCs w:val="22"/>
        </w:rPr>
        <w:t xml:space="preserve">. </w:t>
      </w:r>
    </w:p>
    <w:p w14:paraId="1F49FE69" w14:textId="77777777" w:rsidR="00474D86" w:rsidRPr="005B3E97" w:rsidRDefault="00474D86" w:rsidP="002654C4">
      <w:pPr>
        <w:spacing w:line="480" w:lineRule="auto"/>
        <w:jc w:val="both"/>
        <w:rPr>
          <w:rFonts w:ascii="Arial" w:hAnsi="Arial" w:cs="Arial"/>
          <w:color w:val="000000"/>
          <w:sz w:val="22"/>
          <w:szCs w:val="22"/>
        </w:rPr>
      </w:pPr>
    </w:p>
    <w:p w14:paraId="74B1C521" w14:textId="77777777" w:rsidR="00474D86" w:rsidRPr="00B05119" w:rsidRDefault="00474D86" w:rsidP="000C2605">
      <w:pPr>
        <w:spacing w:line="480" w:lineRule="auto"/>
        <w:jc w:val="both"/>
        <w:rPr>
          <w:rFonts w:ascii="Arial" w:hAnsi="Arial" w:cs="Arial"/>
          <w:i/>
          <w:iCs/>
          <w:sz w:val="22"/>
          <w:szCs w:val="22"/>
        </w:rPr>
      </w:pPr>
      <w:r w:rsidRPr="00B05119">
        <w:rPr>
          <w:rFonts w:ascii="Arial" w:hAnsi="Arial" w:cs="Arial"/>
          <w:i/>
          <w:iCs/>
          <w:sz w:val="22"/>
          <w:szCs w:val="22"/>
        </w:rPr>
        <w:t>Strengths and limitations</w:t>
      </w:r>
    </w:p>
    <w:p w14:paraId="62E46BA9" w14:textId="77777777" w:rsidR="00474D86" w:rsidRPr="001A6707" w:rsidRDefault="00474D86" w:rsidP="000C2605">
      <w:pPr>
        <w:spacing w:line="480" w:lineRule="auto"/>
        <w:jc w:val="both"/>
        <w:rPr>
          <w:rFonts w:ascii="Arial" w:hAnsi="Arial" w:cs="Arial"/>
          <w:sz w:val="22"/>
          <w:szCs w:val="22"/>
        </w:rPr>
      </w:pPr>
      <w:r w:rsidRPr="001A6707">
        <w:rPr>
          <w:rFonts w:ascii="Arial" w:hAnsi="Arial" w:cs="Arial"/>
          <w:sz w:val="22"/>
          <w:szCs w:val="22"/>
        </w:rPr>
        <w:t>The main strength of our work is the development and application of a method to systematically</w:t>
      </w:r>
      <w:r>
        <w:rPr>
          <w:rFonts w:ascii="Arial" w:hAnsi="Arial" w:cs="Arial"/>
          <w:sz w:val="22"/>
          <w:szCs w:val="22"/>
        </w:rPr>
        <w:t xml:space="preserve"> and</w:t>
      </w:r>
      <w:r w:rsidRPr="001A6707">
        <w:rPr>
          <w:rFonts w:ascii="Arial" w:hAnsi="Arial" w:cs="Arial"/>
          <w:sz w:val="22"/>
          <w:szCs w:val="22"/>
        </w:rPr>
        <w:t xml:space="preserve"> consistently use time-series data from 2010 to early 2020 to estimate how many deaths would be expected in the absence of pandemic. The models incorporated important features of mortality, including seasonality of death rates, how mortality in one week may depend on previous week(s) and the seasonally-variable role of temperature. This </w:t>
      </w:r>
      <w:r>
        <w:rPr>
          <w:rFonts w:ascii="Arial" w:hAnsi="Arial" w:cs="Arial"/>
          <w:sz w:val="22"/>
          <w:szCs w:val="22"/>
        </w:rPr>
        <w:t xml:space="preserve">methodology </w:t>
      </w:r>
      <w:r w:rsidRPr="001A6707">
        <w:rPr>
          <w:rFonts w:ascii="Arial" w:hAnsi="Arial" w:cs="Arial"/>
          <w:sz w:val="22"/>
          <w:szCs w:val="22"/>
        </w:rPr>
        <w:t xml:space="preserve">not only allows more robust estimation of the total impacts of the pandemic, but also enables comparisons of excess deaths across countries on a real-time basis. The use of a modelling framework, as we have done, allowed us to make estimates by age group and sex, which, because of smaller numbers of deaths, </w:t>
      </w:r>
      <w:r>
        <w:rPr>
          <w:rFonts w:ascii="Arial" w:hAnsi="Arial" w:cs="Arial"/>
          <w:sz w:val="22"/>
          <w:szCs w:val="22"/>
        </w:rPr>
        <w:t>may</w:t>
      </w:r>
      <w:r w:rsidRPr="001A6707">
        <w:rPr>
          <w:rFonts w:ascii="Arial" w:hAnsi="Arial" w:cs="Arial"/>
          <w:sz w:val="22"/>
          <w:szCs w:val="22"/>
        </w:rPr>
        <w:t xml:space="preserve"> not be possible (or at least stable) otherwise. By modelling death rates, rather than simply the number of deaths as is done in most other analyses, we account for changes in population size and age structure. We used </w:t>
      </w:r>
      <w:r w:rsidRPr="001A6707">
        <w:rPr>
          <w:rFonts w:ascii="Arial" w:hAnsi="Arial" w:cs="Arial"/>
          <w:sz w:val="22"/>
          <w:szCs w:val="22"/>
        </w:rPr>
        <w:lastRenderedPageBreak/>
        <w:t xml:space="preserve">an ensemble of models which typically leads to more robust projections and </w:t>
      </w:r>
      <w:r>
        <w:rPr>
          <w:rFonts w:ascii="Arial" w:hAnsi="Arial" w:cs="Arial"/>
          <w:sz w:val="22"/>
          <w:szCs w:val="22"/>
        </w:rPr>
        <w:t>better accounts for bo</w:t>
      </w:r>
      <w:r w:rsidRPr="001A6707">
        <w:rPr>
          <w:rFonts w:ascii="Arial" w:hAnsi="Arial" w:cs="Arial"/>
          <w:sz w:val="22"/>
          <w:szCs w:val="22"/>
        </w:rPr>
        <w:t>th the uncertainty associated with each individual model and that of model choice</w:t>
      </w:r>
      <w:r>
        <w:rPr>
          <w:rFonts w:ascii="Arial" w:hAnsi="Arial" w:cs="Arial"/>
          <w:sz w:val="22"/>
          <w:szCs w:val="22"/>
        </w:rPr>
        <w:t>.</w:t>
      </w:r>
    </w:p>
    <w:p w14:paraId="70032927" w14:textId="77777777" w:rsidR="00474D86" w:rsidRPr="001A6707" w:rsidRDefault="00474D86" w:rsidP="000C2605">
      <w:pPr>
        <w:spacing w:line="480" w:lineRule="auto"/>
        <w:jc w:val="both"/>
        <w:rPr>
          <w:rFonts w:ascii="Arial" w:hAnsi="Arial" w:cs="Arial"/>
          <w:sz w:val="22"/>
          <w:szCs w:val="22"/>
        </w:rPr>
      </w:pPr>
    </w:p>
    <w:p w14:paraId="444EB98D" w14:textId="77777777" w:rsidR="00474D86" w:rsidRPr="005B3E97" w:rsidRDefault="00474D86" w:rsidP="000C2605">
      <w:pPr>
        <w:spacing w:line="480" w:lineRule="auto"/>
        <w:jc w:val="both"/>
        <w:rPr>
          <w:rFonts w:ascii="Arial" w:hAnsi="Arial" w:cs="Arial"/>
          <w:sz w:val="22"/>
          <w:szCs w:val="22"/>
        </w:rPr>
      </w:pPr>
      <w:r>
        <w:rPr>
          <w:rFonts w:ascii="Arial" w:hAnsi="Arial" w:cs="Arial"/>
          <w:sz w:val="22"/>
          <w:szCs w:val="22"/>
        </w:rPr>
        <w:t>A</w:t>
      </w:r>
      <w:r w:rsidRPr="001A6707">
        <w:rPr>
          <w:rFonts w:ascii="Arial" w:hAnsi="Arial" w:cs="Arial"/>
          <w:sz w:val="22"/>
          <w:szCs w:val="22"/>
        </w:rPr>
        <w:t xml:space="preserve"> limitation of our work is that we did not have data on underlying cause of death. Having a breakdown of deaths by underlying cause will help develop cause-specific models and understand which causes have exceeded or fallen below the levels expected. We also could not access age-specific and/or sex-specific data for a number of other countries. Nor did we have data on total mortality by socio-demographic status to understand inequalities in the impacts of the pandemic beyond deaths assigned to Covid-19 as the underlying cause of death. Releasing these data will allow more granular analysis of the impacts of the pandemic, which can in turn inform resource allocation and a more targeted approach to mitigating both the direct and indirect effects of</w:t>
      </w:r>
      <w:r>
        <w:rPr>
          <w:rFonts w:ascii="Arial" w:hAnsi="Arial" w:cs="Arial"/>
          <w:sz w:val="22"/>
          <w:szCs w:val="22"/>
        </w:rPr>
        <w:t xml:space="preserve"> the</w:t>
      </w:r>
      <w:r w:rsidRPr="001A6707">
        <w:rPr>
          <w:rFonts w:ascii="Arial" w:hAnsi="Arial" w:cs="Arial"/>
          <w:sz w:val="22"/>
          <w:szCs w:val="22"/>
        </w:rPr>
        <w:t xml:space="preserve"> Covid-19 pandemic. </w:t>
      </w:r>
      <w:r>
        <w:rPr>
          <w:rFonts w:ascii="Arial" w:hAnsi="Arial" w:cs="Arial"/>
          <w:sz w:val="22"/>
          <w:szCs w:val="22"/>
        </w:rPr>
        <w:t xml:space="preserve">Finally, </w:t>
      </w:r>
      <w:r w:rsidRPr="00732D93">
        <w:rPr>
          <w:rFonts w:ascii="Arial" w:hAnsi="Arial" w:cs="Arial"/>
          <w:sz w:val="22"/>
          <w:szCs w:val="22"/>
        </w:rPr>
        <w:t>we are not yet in a position to provide an overall</w:t>
      </w:r>
      <w:r>
        <w:rPr>
          <w:rFonts w:ascii="Arial" w:hAnsi="Arial" w:cs="Arial"/>
          <w:sz w:val="22"/>
          <w:szCs w:val="22"/>
        </w:rPr>
        <w:t xml:space="preserve"> unified</w:t>
      </w:r>
      <w:r w:rsidRPr="00732D93">
        <w:rPr>
          <w:rFonts w:ascii="Arial" w:hAnsi="Arial" w:cs="Arial"/>
          <w:sz w:val="22"/>
          <w:szCs w:val="22"/>
        </w:rPr>
        <w:t xml:space="preserve"> explanation for the observed differences among countries</w:t>
      </w:r>
      <w:r>
        <w:rPr>
          <w:rFonts w:ascii="Arial" w:hAnsi="Arial" w:cs="Arial"/>
          <w:sz w:val="22"/>
          <w:szCs w:val="22"/>
        </w:rPr>
        <w:t>, if such a task is ever possible</w:t>
      </w:r>
      <w:r w:rsidRPr="001831EE">
        <w:rPr>
          <w:rFonts w:ascii="Arial" w:hAnsi="Arial" w:cs="Arial"/>
          <w:noProof/>
          <w:sz w:val="22"/>
          <w:szCs w:val="22"/>
          <w:vertAlign w:val="superscript"/>
        </w:rPr>
        <w:t>25</w:t>
      </w:r>
      <w:r w:rsidRPr="00732D93">
        <w:rPr>
          <w:rFonts w:ascii="Arial" w:hAnsi="Arial" w:cs="Arial"/>
          <w:sz w:val="22"/>
          <w:szCs w:val="22"/>
        </w:rPr>
        <w:t xml:space="preserve">. </w:t>
      </w:r>
      <w:r>
        <w:rPr>
          <w:rFonts w:ascii="Arial" w:hAnsi="Arial" w:cs="Arial"/>
          <w:sz w:val="22"/>
          <w:szCs w:val="22"/>
        </w:rPr>
        <w:t xml:space="preserve">Rather, </w:t>
      </w:r>
      <w:r w:rsidRPr="00732D93">
        <w:rPr>
          <w:rFonts w:ascii="Arial" w:hAnsi="Arial" w:cs="Arial"/>
          <w:sz w:val="22"/>
          <w:szCs w:val="22"/>
        </w:rPr>
        <w:t xml:space="preserve">the </w:t>
      </w:r>
      <w:r>
        <w:rPr>
          <w:rFonts w:ascii="Arial" w:hAnsi="Arial" w:cs="Arial"/>
          <w:sz w:val="22"/>
          <w:szCs w:val="22"/>
        </w:rPr>
        <w:t>reasons</w:t>
      </w:r>
      <w:r w:rsidRPr="00732D93">
        <w:rPr>
          <w:rFonts w:ascii="Arial" w:hAnsi="Arial" w:cs="Arial"/>
          <w:sz w:val="22"/>
          <w:szCs w:val="22"/>
        </w:rPr>
        <w:t xml:space="preserve"> are likely to lie i</w:t>
      </w:r>
      <w:r>
        <w:rPr>
          <w:rFonts w:ascii="Arial" w:hAnsi="Arial" w:cs="Arial"/>
          <w:sz w:val="22"/>
          <w:szCs w:val="22"/>
        </w:rPr>
        <w:t>n complex interactions of the social, economic, environmental and health system features of each country,</w:t>
      </w:r>
      <w:r w:rsidRPr="00732D93">
        <w:rPr>
          <w:rFonts w:ascii="Arial" w:hAnsi="Arial" w:cs="Arial"/>
          <w:sz w:val="22"/>
          <w:szCs w:val="22"/>
        </w:rPr>
        <w:t xml:space="preserve"> </w:t>
      </w:r>
      <w:r>
        <w:rPr>
          <w:rFonts w:ascii="Arial" w:hAnsi="Arial" w:cs="Arial"/>
          <w:sz w:val="22"/>
          <w:szCs w:val="22"/>
        </w:rPr>
        <w:t xml:space="preserve">and specific </w:t>
      </w:r>
      <w:r w:rsidRPr="00732D93">
        <w:rPr>
          <w:rFonts w:ascii="Arial" w:hAnsi="Arial" w:cs="Arial"/>
          <w:sz w:val="22"/>
          <w:szCs w:val="22"/>
        </w:rPr>
        <w:t>events</w:t>
      </w:r>
      <w:r>
        <w:rPr>
          <w:rFonts w:ascii="Arial" w:hAnsi="Arial" w:cs="Arial"/>
          <w:sz w:val="22"/>
          <w:szCs w:val="22"/>
        </w:rPr>
        <w:t xml:space="preserve"> </w:t>
      </w:r>
      <w:r w:rsidRPr="00732D93">
        <w:rPr>
          <w:rFonts w:ascii="Arial" w:hAnsi="Arial" w:cs="Arial"/>
          <w:sz w:val="22"/>
          <w:szCs w:val="22"/>
        </w:rPr>
        <w:t>and responses</w:t>
      </w:r>
      <w:r>
        <w:rPr>
          <w:rFonts w:ascii="Arial" w:hAnsi="Arial" w:cs="Arial"/>
          <w:sz w:val="22"/>
          <w:szCs w:val="22"/>
        </w:rPr>
        <w:t xml:space="preserve"> that promote or suppress transmission</w:t>
      </w:r>
      <w:r w:rsidRPr="00732D93">
        <w:rPr>
          <w:rFonts w:ascii="Arial" w:hAnsi="Arial" w:cs="Arial"/>
          <w:sz w:val="22"/>
          <w:szCs w:val="22"/>
        </w:rPr>
        <w:t>.</w:t>
      </w:r>
      <w:r>
        <w:rPr>
          <w:rFonts w:ascii="Arial" w:hAnsi="Arial" w:cs="Arial"/>
          <w:sz w:val="22"/>
          <w:szCs w:val="22"/>
        </w:rPr>
        <w:t xml:space="preserve"> We discuss some of these below.</w:t>
      </w:r>
    </w:p>
    <w:p w14:paraId="1B311DC8" w14:textId="77777777" w:rsidR="00474D86" w:rsidRPr="005B3E97" w:rsidRDefault="00474D86" w:rsidP="000C2605">
      <w:pPr>
        <w:spacing w:line="480" w:lineRule="auto"/>
        <w:jc w:val="both"/>
        <w:rPr>
          <w:rFonts w:ascii="Arial" w:hAnsi="Arial" w:cs="Arial"/>
          <w:sz w:val="22"/>
          <w:szCs w:val="22"/>
        </w:rPr>
      </w:pPr>
    </w:p>
    <w:p w14:paraId="4650470A" w14:textId="77777777" w:rsidR="00474D86" w:rsidRPr="005B3E97" w:rsidRDefault="00474D86" w:rsidP="00FD2092">
      <w:pPr>
        <w:spacing w:line="480" w:lineRule="auto"/>
        <w:jc w:val="both"/>
        <w:rPr>
          <w:rFonts w:ascii="Arial" w:hAnsi="Arial" w:cs="Arial"/>
          <w:i/>
          <w:iCs/>
          <w:color w:val="000000"/>
          <w:sz w:val="22"/>
          <w:szCs w:val="22"/>
        </w:rPr>
      </w:pPr>
      <w:r w:rsidRPr="005B3E97">
        <w:rPr>
          <w:rFonts w:ascii="Arial" w:hAnsi="Arial" w:cs="Arial"/>
          <w:i/>
          <w:iCs/>
          <w:color w:val="000000"/>
          <w:sz w:val="22"/>
          <w:szCs w:val="22"/>
        </w:rPr>
        <w:t>Lessons from heterogen</w:t>
      </w:r>
      <w:r>
        <w:rPr>
          <w:rFonts w:ascii="Arial" w:hAnsi="Arial" w:cs="Arial"/>
          <w:i/>
          <w:iCs/>
          <w:color w:val="000000"/>
          <w:sz w:val="22"/>
          <w:szCs w:val="22"/>
        </w:rPr>
        <w:t>e</w:t>
      </w:r>
      <w:r w:rsidRPr="005B3E97">
        <w:rPr>
          <w:rFonts w:ascii="Arial" w:hAnsi="Arial" w:cs="Arial"/>
          <w:i/>
          <w:iCs/>
          <w:color w:val="000000"/>
          <w:sz w:val="22"/>
          <w:szCs w:val="22"/>
        </w:rPr>
        <w:t>ous mortality impacts</w:t>
      </w:r>
    </w:p>
    <w:p w14:paraId="10C22C1E" w14:textId="77777777" w:rsidR="00474D86" w:rsidRDefault="00474D86" w:rsidP="00FD2092">
      <w:pPr>
        <w:spacing w:line="480" w:lineRule="auto"/>
        <w:jc w:val="both"/>
        <w:rPr>
          <w:rFonts w:ascii="Arial" w:hAnsi="Arial" w:cs="Arial"/>
          <w:color w:val="000000"/>
          <w:sz w:val="22"/>
          <w:szCs w:val="22"/>
        </w:rPr>
      </w:pPr>
      <w:r>
        <w:rPr>
          <w:rFonts w:ascii="Arial" w:hAnsi="Arial" w:cs="Arial"/>
          <w:color w:val="000000"/>
          <w:sz w:val="22"/>
          <w:szCs w:val="22"/>
        </w:rPr>
        <w:t xml:space="preserve">With our consistent and comparable analysis, we </w:t>
      </w:r>
      <w:r w:rsidRPr="005B3E97">
        <w:rPr>
          <w:rFonts w:ascii="Arial" w:hAnsi="Arial" w:cs="Arial"/>
          <w:color w:val="000000"/>
          <w:sz w:val="22"/>
          <w:szCs w:val="22"/>
        </w:rPr>
        <w:t>ha</w:t>
      </w:r>
      <w:r>
        <w:rPr>
          <w:rFonts w:ascii="Arial" w:hAnsi="Arial" w:cs="Arial"/>
          <w:color w:val="000000"/>
          <w:sz w:val="22"/>
          <w:szCs w:val="22"/>
        </w:rPr>
        <w:t>ve</w:t>
      </w:r>
      <w:r w:rsidRPr="005B3E97">
        <w:rPr>
          <w:rFonts w:ascii="Arial" w:hAnsi="Arial" w:cs="Arial"/>
          <w:color w:val="000000"/>
          <w:sz w:val="22"/>
          <w:szCs w:val="22"/>
        </w:rPr>
        <w:t xml:space="preserve"> identified four groups of countries</w:t>
      </w:r>
      <w:r w:rsidRPr="00AD4C89">
        <w:rPr>
          <w:rFonts w:ascii="Arial" w:hAnsi="Arial" w:cs="Arial"/>
          <w:color w:val="000000"/>
          <w:sz w:val="22"/>
          <w:szCs w:val="22"/>
        </w:rPr>
        <w:t xml:space="preserve"> </w:t>
      </w:r>
      <w:r>
        <w:rPr>
          <w:rFonts w:ascii="Arial" w:hAnsi="Arial" w:cs="Arial"/>
          <w:color w:val="000000"/>
          <w:sz w:val="22"/>
          <w:szCs w:val="22"/>
        </w:rPr>
        <w:t>in terms of the</w:t>
      </w:r>
      <w:r w:rsidRPr="005B3E97">
        <w:rPr>
          <w:rFonts w:ascii="Arial" w:hAnsi="Arial" w:cs="Arial"/>
          <w:color w:val="000000"/>
          <w:sz w:val="22"/>
          <w:szCs w:val="22"/>
        </w:rPr>
        <w:t xml:space="preserve"> </w:t>
      </w:r>
      <w:r>
        <w:rPr>
          <w:rFonts w:ascii="Arial" w:hAnsi="Arial" w:cs="Arial"/>
          <w:color w:val="000000"/>
          <w:sz w:val="22"/>
          <w:szCs w:val="22"/>
        </w:rPr>
        <w:t>o</w:t>
      </w:r>
      <w:r w:rsidRPr="005B3E97">
        <w:rPr>
          <w:rFonts w:ascii="Arial" w:hAnsi="Arial" w:cs="Arial"/>
          <w:color w:val="000000"/>
          <w:sz w:val="22"/>
          <w:szCs w:val="22"/>
        </w:rPr>
        <w:t xml:space="preserve">verall death toll of the first </w:t>
      </w:r>
      <w:r>
        <w:rPr>
          <w:rFonts w:ascii="Arial" w:hAnsi="Arial" w:cs="Arial"/>
          <w:color w:val="000000"/>
          <w:sz w:val="22"/>
          <w:szCs w:val="22"/>
        </w:rPr>
        <w:t>phase</w:t>
      </w:r>
      <w:r w:rsidRPr="005B3E97">
        <w:rPr>
          <w:rFonts w:ascii="Arial" w:hAnsi="Arial" w:cs="Arial"/>
          <w:color w:val="000000"/>
          <w:sz w:val="22"/>
          <w:szCs w:val="22"/>
        </w:rPr>
        <w:t xml:space="preserve"> of the Covid-19 pandemic: the first are those that have avoided a </w:t>
      </w:r>
      <w:r>
        <w:rPr>
          <w:rFonts w:ascii="Arial" w:hAnsi="Arial" w:cs="Arial"/>
          <w:color w:val="000000"/>
          <w:sz w:val="22"/>
          <w:szCs w:val="22"/>
        </w:rPr>
        <w:t xml:space="preserve">detectable </w:t>
      </w:r>
      <w:r w:rsidRPr="005B3E97">
        <w:rPr>
          <w:rFonts w:ascii="Arial" w:hAnsi="Arial" w:cs="Arial"/>
          <w:color w:val="000000"/>
          <w:sz w:val="22"/>
          <w:szCs w:val="22"/>
        </w:rPr>
        <w:t>rise</w:t>
      </w:r>
      <w:r>
        <w:rPr>
          <w:rFonts w:ascii="Arial" w:hAnsi="Arial" w:cs="Arial"/>
          <w:color w:val="000000"/>
          <w:sz w:val="22"/>
          <w:szCs w:val="22"/>
        </w:rPr>
        <w:t xml:space="preserve"> (with a posterior probability of at least 90%)</w:t>
      </w:r>
      <w:r w:rsidRPr="005B3E97">
        <w:rPr>
          <w:rFonts w:ascii="Arial" w:hAnsi="Arial" w:cs="Arial"/>
          <w:color w:val="000000"/>
          <w:sz w:val="22"/>
          <w:szCs w:val="22"/>
        </w:rPr>
        <w:t xml:space="preserve"> in </w:t>
      </w:r>
      <w:r>
        <w:rPr>
          <w:rFonts w:ascii="Arial" w:hAnsi="Arial" w:cs="Arial"/>
          <w:color w:val="000000"/>
          <w:sz w:val="22"/>
          <w:szCs w:val="22"/>
        </w:rPr>
        <w:t>all-cause mortality</w:t>
      </w:r>
      <w:r w:rsidRPr="005B3E97">
        <w:rPr>
          <w:rFonts w:ascii="Arial" w:hAnsi="Arial" w:cs="Arial"/>
          <w:color w:val="000000"/>
          <w:sz w:val="22"/>
          <w:szCs w:val="22"/>
        </w:rPr>
        <w:t xml:space="preserve">, and include </w:t>
      </w:r>
      <w:r w:rsidRPr="000140F2">
        <w:rPr>
          <w:rFonts w:ascii="Arial" w:hAnsi="Arial" w:cs="Arial"/>
          <w:color w:val="000000"/>
          <w:sz w:val="22"/>
          <w:szCs w:val="22"/>
        </w:rPr>
        <w:t>Bulgaria, New Zealand, Slovakia, Australia, Czechia, Hungary, Poland, Norway, Denmark and Finland</w:t>
      </w:r>
      <w:r>
        <w:rPr>
          <w:rFonts w:ascii="Arial" w:hAnsi="Arial" w:cs="Arial"/>
          <w:color w:val="000000"/>
          <w:sz w:val="22"/>
          <w:szCs w:val="22"/>
        </w:rPr>
        <w:t xml:space="preserve">. </w:t>
      </w:r>
      <w:r w:rsidRPr="005B3E97">
        <w:rPr>
          <w:rFonts w:ascii="Arial" w:hAnsi="Arial" w:cs="Arial"/>
          <w:color w:val="000000"/>
          <w:sz w:val="22"/>
          <w:szCs w:val="22"/>
        </w:rPr>
        <w:t xml:space="preserve">The second and third groups of countries experienced </w:t>
      </w:r>
      <w:r>
        <w:rPr>
          <w:rFonts w:ascii="Arial" w:hAnsi="Arial" w:cs="Arial"/>
          <w:color w:val="000000"/>
          <w:sz w:val="22"/>
          <w:szCs w:val="22"/>
        </w:rPr>
        <w:t xml:space="preserve">a </w:t>
      </w:r>
      <w:r w:rsidRPr="005B3E97">
        <w:rPr>
          <w:rFonts w:ascii="Arial" w:hAnsi="Arial" w:cs="Arial"/>
          <w:color w:val="000000"/>
          <w:sz w:val="22"/>
          <w:szCs w:val="22"/>
        </w:rPr>
        <w:t>low-m</w:t>
      </w:r>
      <w:r>
        <w:rPr>
          <w:rFonts w:ascii="Arial" w:hAnsi="Arial" w:cs="Arial"/>
          <w:color w:val="000000"/>
          <w:sz w:val="22"/>
          <w:szCs w:val="22"/>
        </w:rPr>
        <w:t>edium</w:t>
      </w:r>
      <w:r w:rsidRPr="005B3E97">
        <w:rPr>
          <w:rFonts w:ascii="Arial" w:hAnsi="Arial" w:cs="Arial"/>
          <w:color w:val="000000"/>
          <w:sz w:val="22"/>
          <w:szCs w:val="22"/>
        </w:rPr>
        <w:t xml:space="preserve"> impact of the pandemic on overall deaths and include Austria, Switzerland</w:t>
      </w:r>
      <w:r>
        <w:rPr>
          <w:rFonts w:ascii="Arial" w:hAnsi="Arial" w:cs="Arial"/>
          <w:color w:val="000000"/>
          <w:sz w:val="22"/>
          <w:szCs w:val="22"/>
        </w:rPr>
        <w:t xml:space="preserve"> and</w:t>
      </w:r>
      <w:r w:rsidRPr="005B3E97">
        <w:rPr>
          <w:rFonts w:ascii="Arial" w:hAnsi="Arial" w:cs="Arial"/>
          <w:color w:val="000000"/>
          <w:sz w:val="22"/>
          <w:szCs w:val="22"/>
        </w:rPr>
        <w:t xml:space="preserve"> Portugal</w:t>
      </w:r>
      <w:r>
        <w:rPr>
          <w:rFonts w:ascii="Arial" w:hAnsi="Arial" w:cs="Arial"/>
          <w:color w:val="000000"/>
          <w:sz w:val="22"/>
          <w:szCs w:val="22"/>
        </w:rPr>
        <w:t xml:space="preserve"> (low impact) and</w:t>
      </w:r>
      <w:r w:rsidRPr="005B3E97">
        <w:rPr>
          <w:rFonts w:ascii="Arial" w:hAnsi="Arial" w:cs="Arial"/>
          <w:color w:val="000000"/>
          <w:sz w:val="22"/>
          <w:szCs w:val="22"/>
        </w:rPr>
        <w:t xml:space="preserve"> France, the Netherlands and Sweden</w:t>
      </w:r>
      <w:r>
        <w:rPr>
          <w:rFonts w:ascii="Arial" w:hAnsi="Arial" w:cs="Arial"/>
          <w:color w:val="000000"/>
          <w:sz w:val="22"/>
          <w:szCs w:val="22"/>
        </w:rPr>
        <w:t xml:space="preserve"> (medium impact)</w:t>
      </w:r>
      <w:r w:rsidRPr="005B3E97">
        <w:rPr>
          <w:rFonts w:ascii="Arial" w:hAnsi="Arial" w:cs="Arial"/>
          <w:color w:val="000000"/>
          <w:sz w:val="22"/>
          <w:szCs w:val="22"/>
        </w:rPr>
        <w:t>. The fourth group</w:t>
      </w:r>
      <w:r>
        <w:rPr>
          <w:rFonts w:ascii="Arial" w:hAnsi="Arial" w:cs="Arial"/>
          <w:color w:val="000000"/>
          <w:sz w:val="22"/>
          <w:szCs w:val="22"/>
        </w:rPr>
        <w:t>, which experienced the highest mortality toll,</w:t>
      </w:r>
      <w:r w:rsidRPr="005B3E97">
        <w:rPr>
          <w:rFonts w:ascii="Arial" w:hAnsi="Arial" w:cs="Arial"/>
          <w:color w:val="000000"/>
          <w:sz w:val="22"/>
          <w:szCs w:val="22"/>
        </w:rPr>
        <w:t xml:space="preserve"> consist</w:t>
      </w:r>
      <w:r>
        <w:rPr>
          <w:rFonts w:ascii="Arial" w:hAnsi="Arial" w:cs="Arial"/>
          <w:color w:val="000000"/>
          <w:sz w:val="22"/>
          <w:szCs w:val="22"/>
        </w:rPr>
        <w:t>s</w:t>
      </w:r>
      <w:r w:rsidRPr="005B3E97">
        <w:rPr>
          <w:rFonts w:ascii="Arial" w:hAnsi="Arial" w:cs="Arial"/>
          <w:color w:val="000000"/>
          <w:sz w:val="22"/>
          <w:szCs w:val="22"/>
        </w:rPr>
        <w:t xml:space="preserve"> of </w:t>
      </w:r>
      <w:r>
        <w:rPr>
          <w:rFonts w:ascii="Arial" w:hAnsi="Arial" w:cs="Arial"/>
          <w:color w:val="000000"/>
          <w:sz w:val="22"/>
          <w:szCs w:val="22"/>
        </w:rPr>
        <w:t xml:space="preserve">Belgium, </w:t>
      </w:r>
      <w:r w:rsidRPr="005B3E97">
        <w:rPr>
          <w:rFonts w:ascii="Arial" w:hAnsi="Arial" w:cs="Arial"/>
          <w:color w:val="000000"/>
          <w:sz w:val="22"/>
          <w:szCs w:val="22"/>
        </w:rPr>
        <w:t xml:space="preserve">Italy, </w:t>
      </w:r>
      <w:r>
        <w:rPr>
          <w:rFonts w:ascii="Arial" w:hAnsi="Arial" w:cs="Arial"/>
          <w:color w:val="000000"/>
          <w:sz w:val="22"/>
          <w:szCs w:val="22"/>
        </w:rPr>
        <w:t xml:space="preserve">Scotland, </w:t>
      </w:r>
      <w:r w:rsidRPr="005B3E97">
        <w:rPr>
          <w:rFonts w:ascii="Arial" w:hAnsi="Arial" w:cs="Arial"/>
          <w:color w:val="000000"/>
          <w:sz w:val="22"/>
          <w:szCs w:val="22"/>
        </w:rPr>
        <w:t>Spain and England and Wales</w:t>
      </w:r>
      <w:r>
        <w:rPr>
          <w:rFonts w:ascii="Arial" w:hAnsi="Arial" w:cs="Arial"/>
          <w:color w:val="000000"/>
          <w:sz w:val="22"/>
          <w:szCs w:val="22"/>
        </w:rPr>
        <w:t>.</w:t>
      </w:r>
    </w:p>
    <w:p w14:paraId="04233A71" w14:textId="77777777" w:rsidR="00474D86" w:rsidRDefault="00474D86" w:rsidP="00FD2092">
      <w:pPr>
        <w:spacing w:line="480" w:lineRule="auto"/>
        <w:jc w:val="both"/>
        <w:rPr>
          <w:rFonts w:ascii="Arial" w:hAnsi="Arial" w:cs="Arial"/>
          <w:color w:val="000000"/>
          <w:sz w:val="22"/>
          <w:szCs w:val="22"/>
        </w:rPr>
      </w:pPr>
    </w:p>
    <w:p w14:paraId="5685B5B9" w14:textId="77777777" w:rsidR="00474D86" w:rsidRDefault="00474D86" w:rsidP="00986578">
      <w:pPr>
        <w:spacing w:line="480" w:lineRule="auto"/>
        <w:jc w:val="both"/>
        <w:rPr>
          <w:rFonts w:ascii="Arial" w:hAnsi="Arial" w:cs="Arial"/>
          <w:color w:val="000000"/>
          <w:sz w:val="22"/>
          <w:szCs w:val="22"/>
        </w:rPr>
      </w:pPr>
      <w:r>
        <w:rPr>
          <w:rFonts w:ascii="Arial" w:hAnsi="Arial" w:cs="Arial"/>
          <w:color w:val="000000"/>
          <w:sz w:val="22"/>
          <w:szCs w:val="22"/>
        </w:rPr>
        <w:t>The total death toll for the first phase of the Covid-19 pandemic in a country is affected by three key groups of determinants and the social and political factors that shape them</w:t>
      </w:r>
      <w:r w:rsidRPr="001831EE">
        <w:rPr>
          <w:rFonts w:ascii="Arial" w:hAnsi="Arial" w:cs="Arial"/>
          <w:noProof/>
          <w:color w:val="000000"/>
          <w:sz w:val="22"/>
          <w:szCs w:val="22"/>
          <w:vertAlign w:val="superscript"/>
        </w:rPr>
        <w:t>26</w:t>
      </w:r>
      <w:r>
        <w:rPr>
          <w:rFonts w:ascii="Arial" w:hAnsi="Arial" w:cs="Arial"/>
          <w:color w:val="000000"/>
          <w:sz w:val="22"/>
          <w:szCs w:val="22"/>
        </w:rPr>
        <w:t xml:space="preserve">: the baseline characteristics of the population and communities they live in, the response policies that affect mortality positively by interrupting transmission and negatively by isolation and denial of essential services, and </w:t>
      </w:r>
      <w:r w:rsidRPr="004829D6">
        <w:rPr>
          <w:rFonts w:ascii="Arial" w:hAnsi="Arial" w:cs="Arial"/>
          <w:color w:val="000000"/>
          <w:sz w:val="22"/>
          <w:szCs w:val="22"/>
        </w:rPr>
        <w:t xml:space="preserve">the </w:t>
      </w:r>
      <w:r w:rsidRPr="004829D6">
        <w:rPr>
          <w:rFonts w:ascii="Arial" w:hAnsi="Arial" w:cs="Arial"/>
          <w:color w:val="000000" w:themeColor="text1"/>
          <w:sz w:val="22"/>
          <w:szCs w:val="22"/>
        </w:rPr>
        <w:t>preparedness</w:t>
      </w:r>
      <w:r>
        <w:rPr>
          <w:rFonts w:ascii="Arial" w:hAnsi="Arial" w:cs="Arial"/>
          <w:color w:val="000000" w:themeColor="text1"/>
          <w:sz w:val="22"/>
          <w:szCs w:val="22"/>
        </w:rPr>
        <w:t>,</w:t>
      </w:r>
      <w:r w:rsidRPr="004829D6">
        <w:rPr>
          <w:rFonts w:ascii="Arial" w:hAnsi="Arial" w:cs="Arial"/>
          <w:color w:val="000000" w:themeColor="text1"/>
          <w:sz w:val="22"/>
          <w:szCs w:val="22"/>
        </w:rPr>
        <w:t xml:space="preserve"> resilience</w:t>
      </w:r>
      <w:r>
        <w:rPr>
          <w:rFonts w:ascii="Arial" w:hAnsi="Arial" w:cs="Arial"/>
          <w:color w:val="000000" w:themeColor="text1"/>
          <w:sz w:val="22"/>
          <w:szCs w:val="22"/>
        </w:rPr>
        <w:t xml:space="preserve"> and agility of the public health and</w:t>
      </w:r>
      <w:r w:rsidRPr="004829D6">
        <w:rPr>
          <w:rFonts w:ascii="Arial" w:hAnsi="Arial" w:cs="Arial"/>
          <w:color w:val="000000" w:themeColor="text1"/>
          <w:sz w:val="22"/>
          <w:szCs w:val="22"/>
        </w:rPr>
        <w:t xml:space="preserve"> </w:t>
      </w:r>
      <w:r>
        <w:rPr>
          <w:rFonts w:ascii="Arial" w:hAnsi="Arial" w:cs="Arial"/>
          <w:color w:val="000000"/>
          <w:sz w:val="22"/>
          <w:szCs w:val="22"/>
        </w:rPr>
        <w:t>health and social care system. Information on some relevant characteristics in presented in Extended Data Table 4.</w:t>
      </w:r>
    </w:p>
    <w:p w14:paraId="62996EA5" w14:textId="77777777" w:rsidR="00474D86" w:rsidRDefault="00474D86" w:rsidP="00986578">
      <w:pPr>
        <w:spacing w:line="480" w:lineRule="auto"/>
        <w:jc w:val="both"/>
        <w:rPr>
          <w:rFonts w:ascii="Arial" w:hAnsi="Arial" w:cs="Arial"/>
          <w:color w:val="000000"/>
          <w:sz w:val="22"/>
          <w:szCs w:val="22"/>
        </w:rPr>
      </w:pPr>
    </w:p>
    <w:p w14:paraId="3336941F" w14:textId="77777777" w:rsidR="00474D86" w:rsidRPr="00B753B6" w:rsidRDefault="00474D86" w:rsidP="00986578">
      <w:pPr>
        <w:spacing w:line="480" w:lineRule="auto"/>
        <w:jc w:val="both"/>
        <w:rPr>
          <w:rFonts w:ascii="Arial" w:hAnsi="Arial" w:cs="Arial"/>
          <w:color w:val="000000"/>
          <w:sz w:val="22"/>
          <w:szCs w:val="22"/>
        </w:rPr>
      </w:pPr>
      <w:r>
        <w:rPr>
          <w:rFonts w:ascii="Arial" w:hAnsi="Arial" w:cs="Arial"/>
          <w:color w:val="000000"/>
          <w:sz w:val="22"/>
          <w:szCs w:val="22"/>
        </w:rPr>
        <w:t xml:space="preserve">The first group of determinants are contextual characteristics of individuals and communities that make them vulnerable or resilient to the spread and health consequences of infection and to the adverse consequences of restrictions. These include baseline demography and health, social networks and inequalities, employment status and occupation, and environmental features such as transport and housing. </w:t>
      </w:r>
      <w:r w:rsidRPr="000D790A">
        <w:rPr>
          <w:rFonts w:ascii="Arial" w:hAnsi="Arial" w:cs="Arial"/>
          <w:color w:val="000000" w:themeColor="text1"/>
          <w:sz w:val="22"/>
          <w:szCs w:val="22"/>
        </w:rPr>
        <w:t xml:space="preserve">The risk of death from Covid-19 increases with age, social and material deprivation, and in the presence of long-term conditions such </w:t>
      </w:r>
      <w:r>
        <w:rPr>
          <w:rFonts w:ascii="Arial" w:hAnsi="Arial" w:cs="Arial"/>
          <w:color w:val="000000" w:themeColor="text1"/>
          <w:sz w:val="22"/>
          <w:szCs w:val="22"/>
        </w:rPr>
        <w:t xml:space="preserve">as obesity, </w:t>
      </w:r>
      <w:r w:rsidRPr="000D790A">
        <w:rPr>
          <w:rFonts w:ascii="Arial" w:hAnsi="Arial" w:cs="Arial"/>
          <w:color w:val="000000" w:themeColor="text1"/>
          <w:sz w:val="22"/>
          <w:szCs w:val="22"/>
        </w:rPr>
        <w:t xml:space="preserve">diabetes and </w:t>
      </w:r>
      <w:r>
        <w:rPr>
          <w:rFonts w:ascii="Arial" w:hAnsi="Arial" w:cs="Arial"/>
          <w:color w:val="000000" w:themeColor="text1"/>
          <w:sz w:val="22"/>
          <w:szCs w:val="22"/>
        </w:rPr>
        <w:t xml:space="preserve">vascular and </w:t>
      </w:r>
      <w:r w:rsidRPr="000D790A">
        <w:rPr>
          <w:rFonts w:ascii="Arial" w:hAnsi="Arial" w:cs="Arial"/>
          <w:color w:val="000000" w:themeColor="text1"/>
          <w:sz w:val="22"/>
          <w:szCs w:val="22"/>
        </w:rPr>
        <w:t>kidney disease</w:t>
      </w:r>
      <w:r>
        <w:rPr>
          <w:rFonts w:ascii="Arial" w:hAnsi="Arial" w:cs="Arial"/>
          <w:color w:val="000000" w:themeColor="text1"/>
          <w:sz w:val="22"/>
          <w:szCs w:val="22"/>
        </w:rPr>
        <w:t>s</w:t>
      </w:r>
      <w:r w:rsidRPr="000D790A">
        <w:rPr>
          <w:rFonts w:ascii="Arial" w:hAnsi="Arial" w:cs="Arial"/>
          <w:color w:val="000000" w:themeColor="text1"/>
          <w:sz w:val="22"/>
          <w:szCs w:val="22"/>
        </w:rPr>
        <w:t xml:space="preserve">. Most countries in our analysis have an aging population and </w:t>
      </w:r>
      <w:r>
        <w:rPr>
          <w:rFonts w:ascii="Arial" w:hAnsi="Arial" w:cs="Arial"/>
          <w:color w:val="000000" w:themeColor="text1"/>
          <w:sz w:val="22"/>
          <w:szCs w:val="22"/>
        </w:rPr>
        <w:t>n</w:t>
      </w:r>
      <w:r w:rsidRPr="000D790A">
        <w:rPr>
          <w:rFonts w:ascii="Arial" w:hAnsi="Arial" w:cs="Arial"/>
          <w:color w:val="000000" w:themeColor="text1"/>
          <w:sz w:val="22"/>
          <w:szCs w:val="22"/>
        </w:rPr>
        <w:t xml:space="preserve">one stands out as </w:t>
      </w:r>
      <w:r>
        <w:rPr>
          <w:rFonts w:ascii="Arial" w:hAnsi="Arial" w:cs="Arial"/>
          <w:color w:val="000000" w:themeColor="text1"/>
          <w:sz w:val="22"/>
          <w:szCs w:val="22"/>
        </w:rPr>
        <w:t>particularly</w:t>
      </w:r>
      <w:r w:rsidRPr="000D790A">
        <w:rPr>
          <w:rFonts w:ascii="Arial" w:hAnsi="Arial" w:cs="Arial"/>
          <w:color w:val="000000" w:themeColor="text1"/>
          <w:sz w:val="22"/>
          <w:szCs w:val="22"/>
        </w:rPr>
        <w:t xml:space="preserve"> older or younger than others. </w:t>
      </w:r>
      <w:r>
        <w:rPr>
          <w:rFonts w:ascii="Arial" w:hAnsi="Arial" w:cs="Arial"/>
          <w:color w:val="000000" w:themeColor="text1"/>
          <w:sz w:val="22"/>
          <w:szCs w:val="22"/>
        </w:rPr>
        <w:t xml:space="preserve">For example, the share of population who are 65+ years ranges from 16% in Australia and New Zealand to 23% in Italy, but this share barely correlated with excess mortality (correlation coefficient 0.25) (Extended Data Table 4). </w:t>
      </w:r>
      <w:r w:rsidRPr="000D790A">
        <w:rPr>
          <w:rFonts w:ascii="Arial" w:hAnsi="Arial" w:cs="Arial"/>
          <w:color w:val="000000" w:themeColor="text1"/>
          <w:sz w:val="22"/>
          <w:szCs w:val="22"/>
        </w:rPr>
        <w:t xml:space="preserve">Obesity </w:t>
      </w:r>
      <w:r>
        <w:rPr>
          <w:rFonts w:ascii="Arial" w:hAnsi="Arial" w:cs="Arial"/>
          <w:color w:val="000000" w:themeColor="text1"/>
          <w:sz w:val="22"/>
          <w:szCs w:val="22"/>
        </w:rPr>
        <w:t>is</w:t>
      </w:r>
      <w:r w:rsidRPr="000D790A">
        <w:rPr>
          <w:rFonts w:ascii="Arial" w:hAnsi="Arial" w:cs="Arial"/>
          <w:color w:val="000000" w:themeColor="text1"/>
          <w:sz w:val="22"/>
          <w:szCs w:val="22"/>
        </w:rPr>
        <w:t xml:space="preserve"> higher</w:t>
      </w:r>
      <w:r>
        <w:rPr>
          <w:rFonts w:ascii="Arial" w:hAnsi="Arial" w:cs="Arial"/>
          <w:color w:val="000000" w:themeColor="text1"/>
          <w:sz w:val="22"/>
          <w:szCs w:val="22"/>
        </w:rPr>
        <w:t xml:space="preserve"> </w:t>
      </w:r>
      <w:r w:rsidRPr="000D790A">
        <w:rPr>
          <w:rFonts w:ascii="Arial" w:hAnsi="Arial" w:cs="Arial"/>
          <w:color w:val="000000" w:themeColor="text1"/>
          <w:sz w:val="22"/>
          <w:szCs w:val="22"/>
        </w:rPr>
        <w:t>in the UK, which experienced one of the highest impacts, than in other European countries in our analysis.</w:t>
      </w:r>
      <w:r w:rsidRPr="001831EE">
        <w:rPr>
          <w:rFonts w:ascii="Arial" w:hAnsi="Arial" w:cs="Arial"/>
          <w:noProof/>
          <w:color w:val="000000" w:themeColor="text1"/>
          <w:sz w:val="22"/>
          <w:szCs w:val="22"/>
          <w:vertAlign w:val="superscript"/>
        </w:rPr>
        <w:t>27-29</w:t>
      </w:r>
      <w:r w:rsidRPr="000D790A">
        <w:rPr>
          <w:rFonts w:ascii="Arial" w:hAnsi="Arial" w:cs="Arial"/>
          <w:color w:val="000000" w:themeColor="text1"/>
          <w:sz w:val="22"/>
          <w:szCs w:val="22"/>
        </w:rPr>
        <w:t xml:space="preserve"> But New Zealand</w:t>
      </w:r>
      <w:r>
        <w:rPr>
          <w:rFonts w:ascii="Arial" w:hAnsi="Arial" w:cs="Arial"/>
          <w:color w:val="000000" w:themeColor="text1"/>
          <w:sz w:val="22"/>
          <w:szCs w:val="22"/>
        </w:rPr>
        <w:t xml:space="preserve"> and Australia</w:t>
      </w:r>
      <w:r w:rsidRPr="000D790A">
        <w:rPr>
          <w:rFonts w:ascii="Arial" w:hAnsi="Arial" w:cs="Arial"/>
          <w:color w:val="000000" w:themeColor="text1"/>
          <w:sz w:val="22"/>
          <w:szCs w:val="22"/>
        </w:rPr>
        <w:t>, which had no detectable excess deaths, ha</w:t>
      </w:r>
      <w:r>
        <w:rPr>
          <w:rFonts w:ascii="Arial" w:hAnsi="Arial" w:cs="Arial"/>
          <w:color w:val="000000" w:themeColor="text1"/>
          <w:sz w:val="22"/>
          <w:szCs w:val="22"/>
        </w:rPr>
        <w:t>ve</w:t>
      </w:r>
      <w:r w:rsidRPr="000D790A">
        <w:rPr>
          <w:rFonts w:ascii="Arial" w:hAnsi="Arial" w:cs="Arial"/>
          <w:color w:val="000000" w:themeColor="text1"/>
          <w:sz w:val="22"/>
          <w:szCs w:val="22"/>
        </w:rPr>
        <w:t xml:space="preserve"> </w:t>
      </w:r>
      <w:r>
        <w:rPr>
          <w:rFonts w:ascii="Arial" w:hAnsi="Arial" w:cs="Arial"/>
          <w:color w:val="000000" w:themeColor="text1"/>
          <w:sz w:val="22"/>
          <w:szCs w:val="22"/>
        </w:rPr>
        <w:t xml:space="preserve">an </w:t>
      </w:r>
      <w:r w:rsidRPr="000D790A">
        <w:rPr>
          <w:rFonts w:ascii="Arial" w:hAnsi="Arial" w:cs="Arial"/>
          <w:color w:val="000000" w:themeColor="text1"/>
          <w:sz w:val="22"/>
          <w:szCs w:val="22"/>
        </w:rPr>
        <w:t xml:space="preserve">even higher prevalence </w:t>
      </w:r>
      <w:r>
        <w:rPr>
          <w:rFonts w:ascii="Arial" w:hAnsi="Arial" w:cs="Arial"/>
          <w:color w:val="000000" w:themeColor="text1"/>
          <w:sz w:val="22"/>
          <w:szCs w:val="22"/>
        </w:rPr>
        <w:t xml:space="preserve">of obesity </w:t>
      </w:r>
      <w:r w:rsidRPr="000D790A">
        <w:rPr>
          <w:rFonts w:ascii="Arial" w:hAnsi="Arial" w:cs="Arial"/>
          <w:color w:val="000000" w:themeColor="text1"/>
          <w:sz w:val="22"/>
          <w:szCs w:val="22"/>
        </w:rPr>
        <w:t>than the UK whereas Belgium, Italy and Spain</w:t>
      </w:r>
      <w:r>
        <w:rPr>
          <w:rFonts w:ascii="Arial" w:hAnsi="Arial" w:cs="Arial"/>
          <w:color w:val="000000" w:themeColor="text1"/>
          <w:sz w:val="22"/>
          <w:szCs w:val="22"/>
        </w:rPr>
        <w:t>, which</w:t>
      </w:r>
      <w:r w:rsidRPr="000D790A">
        <w:rPr>
          <w:rFonts w:ascii="Arial" w:hAnsi="Arial" w:cs="Arial"/>
          <w:color w:val="000000" w:themeColor="text1"/>
          <w:sz w:val="22"/>
          <w:szCs w:val="22"/>
        </w:rPr>
        <w:t xml:space="preserve"> have lower prevalence</w:t>
      </w:r>
      <w:r>
        <w:rPr>
          <w:rFonts w:ascii="Arial" w:hAnsi="Arial" w:cs="Arial"/>
          <w:color w:val="000000" w:themeColor="text1"/>
          <w:sz w:val="22"/>
          <w:szCs w:val="22"/>
        </w:rPr>
        <w:t>, also experienced large impacts</w:t>
      </w:r>
      <w:r w:rsidRPr="000D790A">
        <w:rPr>
          <w:rFonts w:ascii="Arial" w:hAnsi="Arial" w:cs="Arial"/>
          <w:color w:val="000000" w:themeColor="text1"/>
          <w:sz w:val="22"/>
          <w:szCs w:val="22"/>
        </w:rPr>
        <w:t>.</w:t>
      </w:r>
      <w:r>
        <w:rPr>
          <w:rFonts w:ascii="Arial" w:hAnsi="Arial" w:cs="Arial"/>
          <w:color w:val="000000" w:themeColor="text1"/>
          <w:sz w:val="22"/>
          <w:szCs w:val="22"/>
        </w:rPr>
        <w:t xml:space="preserve"> </w:t>
      </w:r>
      <w:r w:rsidRPr="00B50501">
        <w:rPr>
          <w:rFonts w:ascii="Arial" w:hAnsi="Arial" w:cs="Arial"/>
          <w:color w:val="000000" w:themeColor="text1"/>
          <w:sz w:val="22"/>
          <w:szCs w:val="22"/>
        </w:rPr>
        <w:t>Similarly, although reported multi-morbidity varies across Europe,</w:t>
      </w:r>
      <w:r w:rsidRPr="001831EE">
        <w:rPr>
          <w:rFonts w:ascii="Arial" w:hAnsi="Arial" w:cs="Arial"/>
          <w:noProof/>
          <w:color w:val="000000" w:themeColor="text1"/>
          <w:sz w:val="22"/>
          <w:szCs w:val="22"/>
          <w:vertAlign w:val="superscript"/>
        </w:rPr>
        <w:t>30</w:t>
      </w:r>
      <w:r w:rsidRPr="00B50501">
        <w:rPr>
          <w:rFonts w:ascii="Arial" w:hAnsi="Arial" w:cs="Arial"/>
          <w:color w:val="000000" w:themeColor="text1"/>
          <w:sz w:val="22"/>
          <w:szCs w:val="22"/>
        </w:rPr>
        <w:t xml:space="preserve"> </w:t>
      </w:r>
      <w:r>
        <w:rPr>
          <w:rFonts w:ascii="Arial" w:hAnsi="Arial" w:cs="Arial"/>
          <w:color w:val="000000" w:themeColor="text1"/>
          <w:sz w:val="22"/>
          <w:szCs w:val="22"/>
        </w:rPr>
        <w:t>these are</w:t>
      </w:r>
      <w:r w:rsidRPr="00B50501">
        <w:rPr>
          <w:rFonts w:ascii="Arial" w:hAnsi="Arial" w:cs="Arial"/>
          <w:color w:val="000000" w:themeColor="text1"/>
          <w:sz w:val="22"/>
          <w:szCs w:val="22"/>
        </w:rPr>
        <w:t xml:space="preserve"> not correlated with excess mortality</w:t>
      </w:r>
      <w:r>
        <w:rPr>
          <w:rFonts w:ascii="Arial" w:hAnsi="Arial" w:cs="Arial"/>
          <w:color w:val="000000" w:themeColor="text1"/>
          <w:sz w:val="22"/>
          <w:szCs w:val="22"/>
        </w:rPr>
        <w:t>:</w:t>
      </w:r>
      <w:r w:rsidRPr="00B50501">
        <w:rPr>
          <w:rFonts w:ascii="Arial" w:hAnsi="Arial" w:cs="Arial"/>
          <w:color w:val="000000" w:themeColor="text1"/>
          <w:sz w:val="22"/>
          <w:szCs w:val="22"/>
        </w:rPr>
        <w:t xml:space="preserve"> Sweden and Denmark</w:t>
      </w:r>
      <w:r>
        <w:rPr>
          <w:rFonts w:ascii="Arial" w:hAnsi="Arial" w:cs="Arial"/>
          <w:color w:val="000000" w:themeColor="text1"/>
          <w:sz w:val="22"/>
          <w:szCs w:val="22"/>
        </w:rPr>
        <w:t xml:space="preserve">, which had different magnitude of excess deaths, </w:t>
      </w:r>
      <w:r w:rsidRPr="00B50501">
        <w:rPr>
          <w:rFonts w:ascii="Arial" w:hAnsi="Arial" w:cs="Arial"/>
          <w:color w:val="000000" w:themeColor="text1"/>
          <w:sz w:val="22"/>
          <w:szCs w:val="22"/>
        </w:rPr>
        <w:t>hav</w:t>
      </w:r>
      <w:r>
        <w:rPr>
          <w:rFonts w:ascii="Arial" w:hAnsi="Arial" w:cs="Arial"/>
          <w:color w:val="000000" w:themeColor="text1"/>
          <w:sz w:val="22"/>
          <w:szCs w:val="22"/>
        </w:rPr>
        <w:t>e</w:t>
      </w:r>
      <w:r w:rsidRPr="00B50501">
        <w:rPr>
          <w:rFonts w:ascii="Arial" w:hAnsi="Arial" w:cs="Arial"/>
          <w:color w:val="000000" w:themeColor="text1"/>
          <w:sz w:val="22"/>
          <w:szCs w:val="22"/>
        </w:rPr>
        <w:t xml:space="preserve"> </w:t>
      </w:r>
      <w:r>
        <w:rPr>
          <w:rFonts w:ascii="Arial" w:hAnsi="Arial" w:cs="Arial"/>
          <w:color w:val="000000" w:themeColor="text1"/>
          <w:sz w:val="22"/>
          <w:szCs w:val="22"/>
        </w:rPr>
        <w:t>low</w:t>
      </w:r>
      <w:r w:rsidRPr="00B50501">
        <w:rPr>
          <w:rFonts w:ascii="Arial" w:hAnsi="Arial" w:cs="Arial"/>
          <w:color w:val="000000" w:themeColor="text1"/>
          <w:sz w:val="22"/>
          <w:szCs w:val="22"/>
        </w:rPr>
        <w:t xml:space="preserve"> levels of multi-morbidity</w:t>
      </w:r>
      <w:r>
        <w:rPr>
          <w:rFonts w:ascii="Arial" w:hAnsi="Arial" w:cs="Arial"/>
          <w:color w:val="000000" w:themeColor="text1"/>
          <w:sz w:val="22"/>
          <w:szCs w:val="22"/>
        </w:rPr>
        <w:t>;</w:t>
      </w:r>
      <w:r w:rsidRPr="00B50501">
        <w:rPr>
          <w:rFonts w:ascii="Arial" w:hAnsi="Arial" w:cs="Arial"/>
          <w:color w:val="000000" w:themeColor="text1"/>
          <w:sz w:val="22"/>
          <w:szCs w:val="22"/>
        </w:rPr>
        <w:t xml:space="preserve"> Hungary</w:t>
      </w:r>
      <w:r>
        <w:rPr>
          <w:rFonts w:ascii="Arial" w:hAnsi="Arial" w:cs="Arial"/>
          <w:color w:val="000000" w:themeColor="text1"/>
          <w:sz w:val="22"/>
          <w:szCs w:val="22"/>
        </w:rPr>
        <w:t>, Spain and Italy, which also span the entire range of excess mortality,</w:t>
      </w:r>
      <w:r w:rsidRPr="00B50501">
        <w:rPr>
          <w:rFonts w:ascii="Arial" w:hAnsi="Arial" w:cs="Arial"/>
          <w:color w:val="000000" w:themeColor="text1"/>
          <w:sz w:val="22"/>
          <w:szCs w:val="22"/>
        </w:rPr>
        <w:t xml:space="preserve"> </w:t>
      </w:r>
      <w:r>
        <w:rPr>
          <w:rFonts w:ascii="Arial" w:hAnsi="Arial" w:cs="Arial"/>
          <w:color w:val="000000" w:themeColor="text1"/>
          <w:sz w:val="22"/>
          <w:szCs w:val="22"/>
        </w:rPr>
        <w:t xml:space="preserve">have </w:t>
      </w:r>
      <w:r w:rsidRPr="00B50501">
        <w:rPr>
          <w:rFonts w:ascii="Arial" w:hAnsi="Arial" w:cs="Arial"/>
          <w:color w:val="000000" w:themeColor="text1"/>
          <w:sz w:val="22"/>
          <w:szCs w:val="22"/>
        </w:rPr>
        <w:t>some of the highest.</w:t>
      </w:r>
      <w:r>
        <w:rPr>
          <w:rFonts w:ascii="Arial" w:hAnsi="Arial" w:cs="Arial"/>
          <w:color w:val="000000" w:themeColor="text1"/>
          <w:sz w:val="22"/>
          <w:szCs w:val="22"/>
        </w:rPr>
        <w:t xml:space="preserve"> Finally, although the UK has higher relative poverty than countries like Norway, Denmark and Finland,</w:t>
      </w:r>
      <w:r w:rsidRPr="001831EE">
        <w:rPr>
          <w:rFonts w:ascii="Arial" w:hAnsi="Arial" w:cs="Arial"/>
          <w:noProof/>
          <w:color w:val="000000" w:themeColor="text1"/>
          <w:sz w:val="22"/>
          <w:szCs w:val="22"/>
          <w:vertAlign w:val="superscript"/>
        </w:rPr>
        <w:t>31</w:t>
      </w:r>
      <w:r>
        <w:rPr>
          <w:rFonts w:ascii="Arial" w:hAnsi="Arial" w:cs="Arial"/>
          <w:color w:val="000000" w:themeColor="text1"/>
          <w:sz w:val="22"/>
          <w:szCs w:val="22"/>
        </w:rPr>
        <w:t xml:space="preserve"> excess deaths </w:t>
      </w:r>
      <w:r>
        <w:rPr>
          <w:rFonts w:ascii="Arial" w:hAnsi="Arial" w:cs="Arial"/>
          <w:color w:val="000000" w:themeColor="text1"/>
          <w:sz w:val="22"/>
          <w:szCs w:val="22"/>
        </w:rPr>
        <w:lastRenderedPageBreak/>
        <w:t xml:space="preserve">were higher in Sweden (similar relative poverty to Denmark and Finland) than in New Zealand (similar relative poverty to the UK). </w:t>
      </w:r>
      <w:r w:rsidRPr="00284976">
        <w:rPr>
          <w:rFonts w:ascii="Arial" w:hAnsi="Arial" w:cs="Arial"/>
          <w:color w:val="000000" w:themeColor="text1"/>
          <w:sz w:val="22"/>
          <w:szCs w:val="22"/>
        </w:rPr>
        <w:t>These findings suggest that these contextual factors</w:t>
      </w:r>
      <w:r>
        <w:rPr>
          <w:rFonts w:ascii="Arial" w:hAnsi="Arial" w:cs="Arial"/>
          <w:color w:val="000000" w:themeColor="text1"/>
          <w:sz w:val="22"/>
          <w:szCs w:val="22"/>
        </w:rPr>
        <w:t>, although important,</w:t>
      </w:r>
      <w:r w:rsidRPr="00284976">
        <w:rPr>
          <w:rFonts w:ascii="Arial" w:hAnsi="Arial" w:cs="Arial"/>
          <w:color w:val="000000" w:themeColor="text1"/>
          <w:sz w:val="22"/>
          <w:szCs w:val="22"/>
        </w:rPr>
        <w:t xml:space="preserve"> are individually insufficient to lead to the massive cross-country variation in mortality observed here.</w:t>
      </w:r>
      <w:r>
        <w:rPr>
          <w:rFonts w:ascii="Arial" w:hAnsi="Arial" w:cs="Arial"/>
          <w:color w:val="000000" w:themeColor="text1"/>
          <w:sz w:val="22"/>
          <w:szCs w:val="22"/>
        </w:rPr>
        <w:t xml:space="preserve"> </w:t>
      </w:r>
      <w:r w:rsidRPr="00284976">
        <w:rPr>
          <w:rFonts w:ascii="Arial" w:hAnsi="Arial" w:cs="Arial"/>
          <w:color w:val="000000" w:themeColor="text1"/>
          <w:sz w:val="22"/>
          <w:szCs w:val="22"/>
        </w:rPr>
        <w:t xml:space="preserve">Other important population characteristics lack consistent data across countries and hence remain unexplored. For example, in some countries, regional outbreaks have started among low-wage workers in poor working conditions, such as garment factories and food processing plants. The role of overcrowded social housing complexes and public transportation (and more generally </w:t>
      </w:r>
      <w:r>
        <w:rPr>
          <w:rFonts w:ascii="Arial" w:hAnsi="Arial" w:cs="Arial"/>
          <w:color w:val="000000" w:themeColor="text1"/>
          <w:sz w:val="22"/>
          <w:szCs w:val="22"/>
        </w:rPr>
        <w:t xml:space="preserve">frequency, routes </w:t>
      </w:r>
      <w:r w:rsidRPr="00284976">
        <w:rPr>
          <w:rFonts w:ascii="Arial" w:hAnsi="Arial" w:cs="Arial"/>
          <w:color w:val="000000" w:themeColor="text1"/>
          <w:sz w:val="22"/>
          <w:szCs w:val="22"/>
        </w:rPr>
        <w:t>and means of mobility) in the extent and geographical distribution of transmission is also unknown.</w:t>
      </w:r>
      <w:r w:rsidRPr="001831EE">
        <w:rPr>
          <w:rFonts w:ascii="Arial" w:hAnsi="Arial" w:cs="Arial"/>
          <w:noProof/>
          <w:color w:val="000000" w:themeColor="text1"/>
          <w:sz w:val="22"/>
          <w:szCs w:val="22"/>
          <w:vertAlign w:val="superscript"/>
        </w:rPr>
        <w:t>32</w:t>
      </w:r>
      <w:r w:rsidRPr="00284976">
        <w:rPr>
          <w:rFonts w:ascii="Arial" w:hAnsi="Arial" w:cs="Arial"/>
          <w:color w:val="000000" w:themeColor="text1"/>
          <w:sz w:val="22"/>
          <w:szCs w:val="22"/>
        </w:rPr>
        <w:t xml:space="preserve">. </w:t>
      </w:r>
    </w:p>
    <w:p w14:paraId="4FDD3D7B" w14:textId="77777777" w:rsidR="00474D86" w:rsidRPr="007C2734" w:rsidRDefault="00474D86" w:rsidP="00D23BD8">
      <w:pPr>
        <w:spacing w:line="480" w:lineRule="auto"/>
        <w:jc w:val="both"/>
        <w:rPr>
          <w:rFonts w:ascii="Arial" w:hAnsi="Arial" w:cs="Arial"/>
          <w:color w:val="000000" w:themeColor="text1"/>
          <w:sz w:val="22"/>
          <w:szCs w:val="22"/>
        </w:rPr>
      </w:pPr>
    </w:p>
    <w:p w14:paraId="758C77D0" w14:textId="77777777" w:rsidR="00474D86" w:rsidRPr="00E928DD" w:rsidRDefault="00474D86" w:rsidP="0016497F">
      <w:pPr>
        <w:spacing w:line="480" w:lineRule="auto"/>
        <w:jc w:val="both"/>
        <w:rPr>
          <w:rFonts w:ascii="Arial" w:hAnsi="Arial" w:cs="Arial"/>
          <w:color w:val="000000" w:themeColor="text1"/>
          <w:sz w:val="22"/>
          <w:szCs w:val="22"/>
        </w:rPr>
      </w:pPr>
      <w:r>
        <w:rPr>
          <w:rFonts w:ascii="Arial" w:hAnsi="Arial" w:cs="Arial"/>
          <w:color w:val="000000"/>
          <w:sz w:val="22"/>
          <w:szCs w:val="22"/>
        </w:rPr>
        <w:t xml:space="preserve">The second determinant of mortality toll of the pandemic is the policy and public health response which </w:t>
      </w:r>
      <w:r w:rsidRPr="00A8603C">
        <w:rPr>
          <w:rFonts w:ascii="Arial" w:hAnsi="Arial" w:cs="Arial"/>
          <w:color w:val="000000"/>
          <w:sz w:val="22"/>
          <w:szCs w:val="22"/>
        </w:rPr>
        <w:t xml:space="preserve">has </w:t>
      </w:r>
      <w:r w:rsidRPr="00A8603C">
        <w:rPr>
          <w:rFonts w:ascii="Arial" w:hAnsi="Arial" w:cs="Arial"/>
          <w:color w:val="000000" w:themeColor="text1"/>
          <w:sz w:val="22"/>
          <w:szCs w:val="22"/>
        </w:rPr>
        <w:t xml:space="preserve">varied </w:t>
      </w:r>
      <w:r>
        <w:rPr>
          <w:rFonts w:ascii="Arial" w:hAnsi="Arial" w:cs="Arial"/>
          <w:color w:val="000000" w:themeColor="text1"/>
          <w:sz w:val="22"/>
          <w:szCs w:val="22"/>
        </w:rPr>
        <w:t>vastly across countries</w:t>
      </w:r>
      <w:r w:rsidRPr="00B932E3">
        <w:rPr>
          <w:rFonts w:ascii="Arial" w:hAnsi="Arial" w:cs="Arial"/>
          <w:color w:val="000000"/>
          <w:sz w:val="22"/>
          <w:szCs w:val="22"/>
        </w:rPr>
        <w:t xml:space="preserve"> </w:t>
      </w:r>
      <w:r>
        <w:rPr>
          <w:rFonts w:ascii="Arial" w:hAnsi="Arial" w:cs="Arial"/>
          <w:color w:val="000000"/>
          <w:sz w:val="22"/>
          <w:szCs w:val="22"/>
        </w:rPr>
        <w:t xml:space="preserve">in </w:t>
      </w:r>
      <w:r w:rsidRPr="00A8603C">
        <w:rPr>
          <w:rFonts w:ascii="Arial" w:hAnsi="Arial" w:cs="Arial"/>
          <w:color w:val="000000"/>
          <w:sz w:val="22"/>
          <w:szCs w:val="22"/>
        </w:rPr>
        <w:t>timing</w:t>
      </w:r>
      <w:r>
        <w:rPr>
          <w:rFonts w:ascii="Arial" w:hAnsi="Arial" w:cs="Arial"/>
          <w:color w:val="000000"/>
          <w:sz w:val="22"/>
          <w:szCs w:val="22"/>
        </w:rPr>
        <w:t>, character and extent</w:t>
      </w:r>
      <w:r w:rsidRPr="00694CC5">
        <w:rPr>
          <w:rFonts w:ascii="Arial" w:hAnsi="Arial" w:cs="Arial"/>
          <w:color w:val="000000"/>
          <w:sz w:val="22"/>
          <w:szCs w:val="22"/>
        </w:rPr>
        <w:t>.</w:t>
      </w:r>
      <w:bookmarkStart w:id="2" w:name="_Hlk44604705"/>
      <w:r w:rsidRPr="001831EE">
        <w:rPr>
          <w:rFonts w:ascii="Arial" w:hAnsi="Arial" w:cs="Arial"/>
          <w:noProof/>
          <w:color w:val="000000"/>
          <w:sz w:val="22"/>
          <w:szCs w:val="22"/>
          <w:vertAlign w:val="superscript"/>
        </w:rPr>
        <w:t>33</w:t>
      </w:r>
      <w:r w:rsidRPr="00694CC5">
        <w:rPr>
          <w:rFonts w:ascii="Arial" w:hAnsi="Arial" w:cs="Arial"/>
          <w:color w:val="000000"/>
          <w:sz w:val="22"/>
          <w:szCs w:val="22"/>
        </w:rPr>
        <w:t xml:space="preserve"> </w:t>
      </w:r>
      <w:bookmarkEnd w:id="2"/>
      <w:r>
        <w:rPr>
          <w:rFonts w:ascii="Arial" w:hAnsi="Arial" w:cs="Arial"/>
          <w:color w:val="000000" w:themeColor="text1"/>
          <w:sz w:val="22"/>
          <w:szCs w:val="22"/>
        </w:rPr>
        <w:t>The timing of lockdown in relation to when initial infections occurred</w:t>
      </w:r>
      <w:r w:rsidRPr="001831EE">
        <w:rPr>
          <w:rFonts w:ascii="Arial" w:hAnsi="Arial" w:cs="Arial"/>
          <w:noProof/>
          <w:color w:val="000000" w:themeColor="text1"/>
          <w:sz w:val="22"/>
          <w:szCs w:val="22"/>
          <w:vertAlign w:val="superscript"/>
        </w:rPr>
        <w:t>34</w:t>
      </w:r>
      <w:r>
        <w:rPr>
          <w:rFonts w:ascii="Arial" w:hAnsi="Arial" w:cs="Arial"/>
          <w:color w:val="000000" w:themeColor="text1"/>
          <w:sz w:val="22"/>
          <w:szCs w:val="22"/>
        </w:rPr>
        <w:t xml:space="preserve"> affects the peak number of people who are infected, which drives both the number of deaths from Covid-19 and the pressure on the healthcare system that displaces routine care for other diseases. The stringency of the lockdown, together with the extent and effectiveness of testing, contract tracing and isolation, determines how long it takes for the number of cases to return to low absolute levels, and can therefore account for some of the variations in the intensity and duration of excess deaths observed here (Extended Data Table 4).</w:t>
      </w:r>
      <w:r w:rsidRPr="00A8603C">
        <w:rPr>
          <w:rFonts w:ascii="Arial" w:hAnsi="Arial" w:cs="Arial"/>
          <w:color w:val="000000" w:themeColor="text1"/>
          <w:sz w:val="22"/>
          <w:szCs w:val="22"/>
        </w:rPr>
        <w:t xml:space="preserve"> </w:t>
      </w:r>
      <w:r>
        <w:rPr>
          <w:rFonts w:ascii="Arial" w:hAnsi="Arial" w:cs="Arial"/>
          <w:color w:val="000000" w:themeColor="text1"/>
          <w:sz w:val="22"/>
          <w:szCs w:val="22"/>
        </w:rPr>
        <w:t>Among the countries analysed here, New Zealand, Hungary, Norway and Finland acted early in terms of putting in place various movement restrictions or lockdown</w:t>
      </w:r>
      <w:r w:rsidRPr="001831EE">
        <w:rPr>
          <w:rFonts w:ascii="Arial" w:hAnsi="Arial" w:cs="Arial"/>
          <w:noProof/>
          <w:color w:val="000000"/>
          <w:sz w:val="22"/>
          <w:szCs w:val="22"/>
          <w:vertAlign w:val="superscript"/>
        </w:rPr>
        <w:t>33,35</w:t>
      </w:r>
      <w:r>
        <w:rPr>
          <w:rFonts w:ascii="Arial" w:hAnsi="Arial" w:cs="Arial"/>
          <w:color w:val="000000" w:themeColor="text1"/>
          <w:sz w:val="22"/>
          <w:szCs w:val="22"/>
        </w:rPr>
        <w:t xml:space="preserve"> and kept the number of cases to such low levels that they could identify and isolate cases and their contacts through their existing public health system. Austria and Denmark experienced an early rise in the number of cases but enacted lockdowns soon after and used widespread and effective testing, tracing and isolation to contain the epidemic and its mortality impact.</w:t>
      </w:r>
      <w:r w:rsidRPr="00C503F4">
        <w:t xml:space="preserve"> </w:t>
      </w:r>
      <w:r>
        <w:rPr>
          <w:rFonts w:ascii="Arial" w:hAnsi="Arial" w:cs="Arial"/>
          <w:color w:val="000000" w:themeColor="text1"/>
          <w:sz w:val="22"/>
          <w:szCs w:val="22"/>
        </w:rPr>
        <w:t>At the other extreme, Italy, which was the initial European epicentre of the pandemic, Spain, the Netherlands, France and the UK, put</w:t>
      </w:r>
      <w:r w:rsidRPr="00AA1CF3">
        <w:rPr>
          <w:rFonts w:ascii="Arial" w:hAnsi="Arial" w:cs="Arial"/>
          <w:color w:val="000000" w:themeColor="text1"/>
          <w:sz w:val="22"/>
          <w:szCs w:val="22"/>
        </w:rPr>
        <w:t xml:space="preserve"> </w:t>
      </w:r>
      <w:r>
        <w:rPr>
          <w:rFonts w:ascii="Arial" w:hAnsi="Arial" w:cs="Arial"/>
          <w:color w:val="000000" w:themeColor="text1"/>
          <w:sz w:val="22"/>
          <w:szCs w:val="22"/>
        </w:rPr>
        <w:t xml:space="preserve">lockdown measures in place only after the number of cases and deaths had risen to levels that the epidemic continued for weeks. </w:t>
      </w:r>
      <w:r w:rsidRPr="00754128">
        <w:rPr>
          <w:rFonts w:ascii="Arial" w:hAnsi="Arial" w:cs="Arial"/>
          <w:color w:val="000000" w:themeColor="text1"/>
          <w:sz w:val="22"/>
          <w:szCs w:val="22"/>
        </w:rPr>
        <w:t xml:space="preserve">For example, </w:t>
      </w:r>
      <w:r>
        <w:rPr>
          <w:rFonts w:ascii="Arial" w:hAnsi="Arial" w:cs="Arial"/>
          <w:color w:val="000000" w:themeColor="text1"/>
          <w:sz w:val="22"/>
          <w:szCs w:val="22"/>
        </w:rPr>
        <w:t xml:space="preserve">the UK, Spain, Italy, France and the Netherlands introduced a lockdown </w:t>
      </w:r>
      <w:r>
        <w:rPr>
          <w:rFonts w:ascii="Arial" w:hAnsi="Arial" w:cs="Arial"/>
          <w:color w:val="000000" w:themeColor="text1"/>
          <w:sz w:val="22"/>
          <w:szCs w:val="22"/>
        </w:rPr>
        <w:lastRenderedPageBreak/>
        <w:t>after a larger number of cases had been detected, and after a longer period since the first few Covid-19 deaths occurred, than New Zealand and other countries in Europe such as Denmark (Extended Data Table 4)</w:t>
      </w:r>
      <w:r>
        <w:rPr>
          <w:rFonts w:ascii="Arial" w:hAnsi="Arial" w:cs="Arial"/>
          <w:color w:val="000000"/>
          <w:sz w:val="22"/>
          <w:szCs w:val="22"/>
        </w:rPr>
        <w:t xml:space="preserve"> </w:t>
      </w:r>
      <w:r w:rsidRPr="001831EE">
        <w:rPr>
          <w:rFonts w:ascii="Arial" w:hAnsi="Arial" w:cs="Arial"/>
          <w:noProof/>
          <w:color w:val="000000"/>
          <w:sz w:val="22"/>
          <w:szCs w:val="22"/>
          <w:vertAlign w:val="superscript"/>
        </w:rPr>
        <w:t>33,34,36</w:t>
      </w:r>
      <w:r>
        <w:rPr>
          <w:rFonts w:ascii="Arial" w:hAnsi="Arial" w:cs="Arial"/>
          <w:color w:val="000000" w:themeColor="text1"/>
          <w:sz w:val="22"/>
          <w:szCs w:val="22"/>
        </w:rPr>
        <w:t>. Once in place, the lockdown was more stringent in Spain, Italy and France than in the UK and Belgium.</w:t>
      </w:r>
      <w:r w:rsidRPr="001831EE">
        <w:rPr>
          <w:rFonts w:ascii="Arial" w:hAnsi="Arial" w:cs="Arial"/>
          <w:noProof/>
          <w:color w:val="000000" w:themeColor="text1"/>
          <w:sz w:val="22"/>
          <w:szCs w:val="22"/>
          <w:vertAlign w:val="superscript"/>
        </w:rPr>
        <w:t>36</w:t>
      </w:r>
      <w:r>
        <w:rPr>
          <w:rFonts w:ascii="Arial" w:hAnsi="Arial" w:cs="Arial"/>
          <w:color w:val="000000" w:themeColor="text1"/>
          <w:sz w:val="22"/>
          <w:szCs w:val="22"/>
        </w:rPr>
        <w:t xml:space="preserve"> E</w:t>
      </w:r>
      <w:r w:rsidRPr="000F7692">
        <w:rPr>
          <w:rFonts w:ascii="Arial" w:hAnsi="Arial" w:cs="Arial"/>
          <w:color w:val="000000" w:themeColor="text1"/>
          <w:sz w:val="22"/>
          <w:szCs w:val="22"/>
        </w:rPr>
        <w:t>xtensive (and at the extreme universal) testing,</w:t>
      </w:r>
      <w:r>
        <w:rPr>
          <w:rFonts w:ascii="Arial" w:hAnsi="Arial" w:cs="Arial"/>
          <w:color w:val="000000" w:themeColor="text1"/>
          <w:sz w:val="22"/>
          <w:szCs w:val="22"/>
        </w:rPr>
        <w:t xml:space="preserve"> and effective</w:t>
      </w:r>
      <w:r w:rsidRPr="000F7692">
        <w:rPr>
          <w:rFonts w:ascii="Arial" w:hAnsi="Arial" w:cs="Arial"/>
          <w:color w:val="000000" w:themeColor="text1"/>
          <w:sz w:val="22"/>
          <w:szCs w:val="22"/>
        </w:rPr>
        <w:t xml:space="preserve"> contact tracing and isolation of cases and their contacts can </w:t>
      </w:r>
      <w:r>
        <w:rPr>
          <w:rFonts w:ascii="Arial" w:hAnsi="Arial" w:cs="Arial"/>
          <w:color w:val="000000" w:themeColor="text1"/>
          <w:sz w:val="22"/>
          <w:szCs w:val="22"/>
        </w:rPr>
        <w:t xml:space="preserve">also </w:t>
      </w:r>
      <w:r w:rsidRPr="000F7692">
        <w:rPr>
          <w:rFonts w:ascii="Arial" w:hAnsi="Arial" w:cs="Arial"/>
          <w:color w:val="000000" w:themeColor="text1"/>
          <w:sz w:val="22"/>
          <w:szCs w:val="22"/>
        </w:rPr>
        <w:t xml:space="preserve">minimise transmission even without </w:t>
      </w:r>
      <w:r>
        <w:rPr>
          <w:rFonts w:ascii="Arial" w:hAnsi="Arial" w:cs="Arial"/>
          <w:color w:val="000000" w:themeColor="text1"/>
          <w:sz w:val="22"/>
          <w:szCs w:val="22"/>
        </w:rPr>
        <w:t xml:space="preserve">a </w:t>
      </w:r>
      <w:r w:rsidRPr="000F7692">
        <w:rPr>
          <w:rFonts w:ascii="Arial" w:hAnsi="Arial" w:cs="Arial"/>
          <w:color w:val="000000" w:themeColor="text1"/>
          <w:sz w:val="22"/>
          <w:szCs w:val="22"/>
        </w:rPr>
        <w:t>lockdown</w:t>
      </w:r>
      <w:r w:rsidRPr="001831EE">
        <w:rPr>
          <w:rFonts w:ascii="Arial" w:hAnsi="Arial" w:cs="Arial"/>
          <w:noProof/>
          <w:color w:val="000000" w:themeColor="text1"/>
          <w:sz w:val="22"/>
          <w:szCs w:val="22"/>
          <w:vertAlign w:val="superscript"/>
        </w:rPr>
        <w:t>37</w:t>
      </w:r>
      <w:r w:rsidRPr="000F7692">
        <w:rPr>
          <w:rFonts w:ascii="Arial" w:hAnsi="Arial" w:cs="Arial"/>
          <w:color w:val="000000" w:themeColor="text1"/>
          <w:sz w:val="22"/>
          <w:szCs w:val="22"/>
        </w:rPr>
        <w:t xml:space="preserve">. </w:t>
      </w:r>
      <w:r>
        <w:rPr>
          <w:rFonts w:ascii="Arial" w:hAnsi="Arial" w:cs="Arial"/>
          <w:color w:val="000000" w:themeColor="text1"/>
          <w:sz w:val="22"/>
          <w:szCs w:val="22"/>
        </w:rPr>
        <w:t>Countries also varied in how extensively they conducted community testing, contact tracing and isolation of cases and their contacts at each stage of the pandemic, with Austria, Denmark, Finland, New Zealand and Norway introducing extensive and effective systems and Belgium, Spain, France and the UK being more limited in community testing and/or contact tracing for many months</w:t>
      </w:r>
      <w:r w:rsidRPr="001831EE">
        <w:rPr>
          <w:rFonts w:ascii="Arial" w:hAnsi="Arial" w:cs="Arial"/>
          <w:noProof/>
          <w:color w:val="000000"/>
          <w:sz w:val="22"/>
          <w:szCs w:val="22"/>
          <w:vertAlign w:val="superscript"/>
        </w:rPr>
        <w:t>33</w:t>
      </w:r>
      <w:r>
        <w:rPr>
          <w:rFonts w:ascii="Arial" w:hAnsi="Arial" w:cs="Arial"/>
          <w:color w:val="000000" w:themeColor="text1"/>
          <w:sz w:val="22"/>
          <w:szCs w:val="22"/>
        </w:rPr>
        <w:t xml:space="preserve">. </w:t>
      </w:r>
    </w:p>
    <w:p w14:paraId="28DD687D" w14:textId="77777777" w:rsidR="00474D86" w:rsidRDefault="00474D86" w:rsidP="00C415F9">
      <w:pPr>
        <w:spacing w:line="480" w:lineRule="auto"/>
        <w:jc w:val="both"/>
        <w:rPr>
          <w:rFonts w:ascii="Arial" w:hAnsi="Arial" w:cs="Arial"/>
          <w:color w:val="000000"/>
          <w:sz w:val="22"/>
          <w:szCs w:val="22"/>
        </w:rPr>
      </w:pPr>
    </w:p>
    <w:p w14:paraId="50FE5C0D" w14:textId="77777777" w:rsidR="00474D86" w:rsidRDefault="00474D86" w:rsidP="00FD2092">
      <w:pPr>
        <w:spacing w:line="480" w:lineRule="auto"/>
        <w:jc w:val="both"/>
        <w:rPr>
          <w:rFonts w:ascii="Arial" w:hAnsi="Arial" w:cs="Arial"/>
          <w:color w:val="000000" w:themeColor="text1"/>
          <w:sz w:val="22"/>
          <w:szCs w:val="22"/>
          <w:highlight w:val="yellow"/>
        </w:rPr>
      </w:pPr>
      <w:r>
        <w:rPr>
          <w:rFonts w:ascii="Arial" w:hAnsi="Arial" w:cs="Arial"/>
          <w:color w:val="000000"/>
          <w:sz w:val="22"/>
          <w:szCs w:val="22"/>
        </w:rPr>
        <w:t>Third</w:t>
      </w:r>
      <w:r w:rsidRPr="004829D6">
        <w:rPr>
          <w:rFonts w:ascii="Arial" w:hAnsi="Arial" w:cs="Arial"/>
          <w:color w:val="000000"/>
          <w:sz w:val="22"/>
          <w:szCs w:val="22"/>
        </w:rPr>
        <w:t xml:space="preserve">, the </w:t>
      </w:r>
      <w:r w:rsidRPr="004829D6">
        <w:rPr>
          <w:rFonts w:ascii="Arial" w:hAnsi="Arial" w:cs="Arial"/>
          <w:color w:val="000000" w:themeColor="text1"/>
          <w:sz w:val="22"/>
          <w:szCs w:val="22"/>
        </w:rPr>
        <w:t xml:space="preserve">preparedness and resilience of the </w:t>
      </w:r>
      <w:r>
        <w:rPr>
          <w:rFonts w:ascii="Arial" w:hAnsi="Arial" w:cs="Arial"/>
          <w:color w:val="000000" w:themeColor="text1"/>
          <w:sz w:val="22"/>
          <w:szCs w:val="22"/>
        </w:rPr>
        <w:t xml:space="preserve">public health infrastructure </w:t>
      </w:r>
      <w:r>
        <w:rPr>
          <w:rFonts w:ascii="Arial" w:hAnsi="Arial" w:cs="Arial"/>
          <w:color w:val="000000"/>
          <w:sz w:val="22"/>
          <w:szCs w:val="22"/>
        </w:rPr>
        <w:t xml:space="preserve">not only </w:t>
      </w:r>
      <w:r w:rsidRPr="004829D6">
        <w:rPr>
          <w:rFonts w:ascii="Arial" w:hAnsi="Arial" w:cs="Arial"/>
          <w:color w:val="000000" w:themeColor="text1"/>
          <w:sz w:val="22"/>
          <w:szCs w:val="22"/>
        </w:rPr>
        <w:t>influence</w:t>
      </w:r>
      <w:r w:rsidRPr="004829D6">
        <w:rPr>
          <w:rFonts w:ascii="Arial" w:hAnsi="Arial" w:cs="Arial"/>
          <w:color w:val="000000"/>
          <w:sz w:val="22"/>
          <w:szCs w:val="22"/>
        </w:rPr>
        <w:t xml:space="preserve"> </w:t>
      </w:r>
      <w:r>
        <w:rPr>
          <w:rFonts w:ascii="Arial" w:hAnsi="Arial" w:cs="Arial"/>
          <w:color w:val="000000"/>
          <w:sz w:val="22"/>
          <w:szCs w:val="22"/>
        </w:rPr>
        <w:t xml:space="preserve">how well the spread of infection is controlled, </w:t>
      </w:r>
      <w:r>
        <w:rPr>
          <w:rFonts w:ascii="Arial" w:hAnsi="Arial" w:cs="Arial"/>
          <w:color w:val="000000" w:themeColor="text1"/>
          <w:sz w:val="22"/>
          <w:szCs w:val="22"/>
        </w:rPr>
        <w:t xml:space="preserve">but also influence the choice of policy, as decision makers assess what they think is possible with existing capacity. </w:t>
      </w:r>
      <w:r>
        <w:rPr>
          <w:rFonts w:ascii="Arial" w:hAnsi="Arial" w:cs="Arial"/>
          <w:color w:val="121212"/>
          <w:sz w:val="22"/>
          <w:szCs w:val="22"/>
          <w:shd w:val="clear" w:color="auto" w:fill="FFFFFF"/>
        </w:rPr>
        <w:t xml:space="preserve">Denmark and Austria (as well as Germany for which data were not available for our analysis) were able to scale up testing rapidly because they had extensive and well-coordinated laboratory networks and public health infrastructure in place. Some central European countries had existing contact tracing infrastructure, a legacy of their more recent experience with infectious diseases such as tuberculosis. Others had more limited capacity, such as New Zealand’s contract tracing system, but were able to scale it up rapidly based on the existing public health structures. </w:t>
      </w:r>
      <w:bookmarkStart w:id="3" w:name="_Hlk46171363"/>
      <w:r w:rsidRPr="00CC3D3D">
        <w:rPr>
          <w:rFonts w:ascii="Arial" w:hAnsi="Arial" w:cs="Arial"/>
          <w:color w:val="121212"/>
          <w:sz w:val="22"/>
          <w:szCs w:val="22"/>
          <w:shd w:val="clear" w:color="auto" w:fill="FFFFFF"/>
        </w:rPr>
        <w:t xml:space="preserve">In contrast, </w:t>
      </w:r>
      <w:r>
        <w:rPr>
          <w:rFonts w:ascii="Arial" w:hAnsi="Arial" w:cs="Arial"/>
          <w:color w:val="121212"/>
          <w:sz w:val="22"/>
          <w:szCs w:val="22"/>
          <w:shd w:val="clear" w:color="auto" w:fill="FFFFFF"/>
        </w:rPr>
        <w:t>the UK and</w:t>
      </w:r>
      <w:r w:rsidRPr="00CC3D3D">
        <w:rPr>
          <w:rFonts w:ascii="Arial" w:hAnsi="Arial" w:cs="Arial"/>
          <w:color w:val="121212"/>
          <w:sz w:val="22"/>
          <w:szCs w:val="22"/>
          <w:shd w:val="clear" w:color="auto" w:fill="FFFFFF"/>
        </w:rPr>
        <w:t xml:space="preserve"> Spain had </w:t>
      </w:r>
      <w:r>
        <w:rPr>
          <w:rFonts w:ascii="Arial" w:hAnsi="Arial" w:cs="Arial"/>
          <w:color w:val="121212"/>
          <w:sz w:val="22"/>
          <w:szCs w:val="22"/>
          <w:shd w:val="clear" w:color="auto" w:fill="FFFFFF"/>
        </w:rPr>
        <w:t>less</w:t>
      </w:r>
      <w:r w:rsidRPr="00CC3D3D">
        <w:rPr>
          <w:rFonts w:ascii="Arial" w:hAnsi="Arial" w:cs="Arial"/>
          <w:color w:val="121212"/>
          <w:sz w:val="22"/>
          <w:szCs w:val="22"/>
          <w:shd w:val="clear" w:color="auto" w:fill="FFFFFF"/>
        </w:rPr>
        <w:t xml:space="preserve"> testing capacity</w:t>
      </w:r>
      <w:r>
        <w:rPr>
          <w:rFonts w:ascii="Arial" w:hAnsi="Arial" w:cs="Arial"/>
          <w:color w:val="121212"/>
          <w:sz w:val="22"/>
          <w:szCs w:val="22"/>
          <w:shd w:val="clear" w:color="auto" w:fill="FFFFFF"/>
        </w:rPr>
        <w:t xml:space="preserve"> (or ability to utilise capacity in non-governmental labs early in the epidemic)</w:t>
      </w:r>
      <w:r w:rsidRPr="00CC3D3D">
        <w:rPr>
          <w:rFonts w:ascii="Arial" w:hAnsi="Arial" w:cs="Arial"/>
          <w:color w:val="121212"/>
          <w:sz w:val="22"/>
          <w:szCs w:val="22"/>
          <w:shd w:val="clear" w:color="auto" w:fill="FFFFFF"/>
        </w:rPr>
        <w:t xml:space="preserve"> and weaker contact tracing and isolation system</w:t>
      </w:r>
      <w:r>
        <w:rPr>
          <w:rFonts w:ascii="Arial" w:hAnsi="Arial" w:cs="Arial"/>
          <w:color w:val="121212"/>
          <w:sz w:val="22"/>
          <w:szCs w:val="22"/>
          <w:shd w:val="clear" w:color="auto" w:fill="FFFFFF"/>
        </w:rPr>
        <w:t xml:space="preserve">s, especially </w:t>
      </w:r>
      <w:r w:rsidRPr="00CC3D3D">
        <w:rPr>
          <w:rFonts w:ascii="Arial" w:hAnsi="Arial" w:cs="Arial"/>
          <w:color w:val="121212"/>
          <w:sz w:val="22"/>
          <w:szCs w:val="22"/>
          <w:shd w:val="clear" w:color="auto" w:fill="FFFFFF"/>
        </w:rPr>
        <w:t>early in the</w:t>
      </w:r>
      <w:r>
        <w:rPr>
          <w:rFonts w:ascii="Arial" w:hAnsi="Arial" w:cs="Arial"/>
          <w:color w:val="121212"/>
          <w:sz w:val="22"/>
          <w:szCs w:val="22"/>
          <w:shd w:val="clear" w:color="auto" w:fill="FFFFFF"/>
        </w:rPr>
        <w:t xml:space="preserve"> pandemic</w:t>
      </w:r>
      <w:r w:rsidRPr="00CC3D3D">
        <w:rPr>
          <w:rFonts w:ascii="Arial" w:hAnsi="Arial" w:cs="Arial"/>
          <w:color w:val="121212"/>
          <w:sz w:val="22"/>
          <w:szCs w:val="22"/>
          <w:shd w:val="clear" w:color="auto" w:fill="FFFFFF"/>
        </w:rPr>
        <w:t>, with largely fragmented strategies and information flow</w:t>
      </w:r>
      <w:r w:rsidRPr="001831EE">
        <w:rPr>
          <w:rFonts w:ascii="Arial" w:hAnsi="Arial" w:cs="Arial"/>
          <w:noProof/>
          <w:color w:val="121212"/>
          <w:sz w:val="22"/>
          <w:szCs w:val="22"/>
          <w:shd w:val="clear" w:color="auto" w:fill="FFFFFF"/>
          <w:vertAlign w:val="superscript"/>
        </w:rPr>
        <w:t>38</w:t>
      </w:r>
      <w:r>
        <w:rPr>
          <w:rFonts w:ascii="Arial" w:hAnsi="Arial" w:cs="Arial"/>
          <w:color w:val="121212"/>
          <w:sz w:val="22"/>
          <w:szCs w:val="22"/>
          <w:shd w:val="clear" w:color="auto" w:fill="FFFFFF"/>
        </w:rPr>
        <w:t xml:space="preserve">. </w:t>
      </w:r>
      <w:bookmarkEnd w:id="3"/>
      <w:r>
        <w:rPr>
          <w:rFonts w:ascii="Arial" w:hAnsi="Arial" w:cs="Arial"/>
          <w:color w:val="121212"/>
          <w:sz w:val="22"/>
          <w:szCs w:val="22"/>
          <w:shd w:val="clear" w:color="auto" w:fill="FFFFFF"/>
        </w:rPr>
        <w:t xml:space="preserve">Countries also varied substantially in terms of how their health care system continued to provide </w:t>
      </w:r>
      <w:r>
        <w:rPr>
          <w:rFonts w:ascii="Arial" w:hAnsi="Arial" w:cs="Arial"/>
          <w:color w:val="000000" w:themeColor="text1"/>
          <w:sz w:val="22"/>
          <w:szCs w:val="22"/>
        </w:rPr>
        <w:t xml:space="preserve">life-saving services: those countries that had less capacity and were less able to rapidly enhance capacity, partly related to uneven </w:t>
      </w:r>
      <w:r>
        <w:rPr>
          <w:rFonts w:ascii="Arial" w:hAnsi="Arial" w:cs="Arial"/>
          <w:color w:val="000000" w:themeColor="text1"/>
          <w:sz w:val="22"/>
          <w:szCs w:val="22"/>
          <w:shd w:val="clear" w:color="auto" w:fill="FFFFFF"/>
        </w:rPr>
        <w:t>health and social care spending, responded less effectively to health care needs. Notably, per capita spending is lower in the UK, Italy and Spain than in Austria, Norway, Sweden and Denmark</w:t>
      </w:r>
      <w:r w:rsidRPr="001831EE">
        <w:rPr>
          <w:rFonts w:ascii="Arial" w:hAnsi="Arial" w:cs="Arial"/>
          <w:noProof/>
          <w:color w:val="000000" w:themeColor="text1"/>
          <w:sz w:val="22"/>
          <w:szCs w:val="22"/>
          <w:shd w:val="clear" w:color="auto" w:fill="FFFFFF"/>
          <w:vertAlign w:val="superscript"/>
        </w:rPr>
        <w:t>39</w:t>
      </w:r>
      <w:r>
        <w:rPr>
          <w:rFonts w:ascii="Arial" w:hAnsi="Arial" w:cs="Arial"/>
          <w:color w:val="000000" w:themeColor="text1"/>
          <w:sz w:val="22"/>
          <w:szCs w:val="22"/>
          <w:shd w:val="clear" w:color="auto" w:fill="FFFFFF"/>
        </w:rPr>
        <w:t xml:space="preserve">. A visible impact of financing variation </w:t>
      </w:r>
      <w:r>
        <w:rPr>
          <w:rFonts w:ascii="Arial" w:hAnsi="Arial" w:cs="Arial"/>
          <w:color w:val="000000" w:themeColor="text1"/>
          <w:sz w:val="22"/>
          <w:szCs w:val="22"/>
          <w:shd w:val="clear" w:color="auto" w:fill="FFFFFF"/>
        </w:rPr>
        <w:lastRenderedPageBreak/>
        <w:t>is on the number of hospital beds, which on a per-capita basis in Austria is nearly three times that of the UK</w:t>
      </w:r>
      <w:r w:rsidRPr="001831EE">
        <w:rPr>
          <w:rFonts w:ascii="Arial" w:hAnsi="Arial" w:cs="Arial"/>
          <w:noProof/>
          <w:color w:val="000000" w:themeColor="text1"/>
          <w:sz w:val="22"/>
          <w:szCs w:val="22"/>
          <w:shd w:val="clear" w:color="auto" w:fill="FFFFFF"/>
          <w:vertAlign w:val="superscript"/>
        </w:rPr>
        <w:t>40</w:t>
      </w:r>
      <w:r>
        <w:rPr>
          <w:rFonts w:ascii="Arial" w:hAnsi="Arial" w:cs="Arial"/>
          <w:color w:val="000000" w:themeColor="text1"/>
          <w:sz w:val="22"/>
          <w:szCs w:val="22"/>
          <w:shd w:val="clear" w:color="auto" w:fill="FFFFFF"/>
        </w:rPr>
        <w:t>. Where hospital beds (and more specifically intensive care beds) are more limited, e.g., in the UK, Spain and Hungary</w:t>
      </w:r>
      <w:r w:rsidRPr="001831EE">
        <w:rPr>
          <w:rFonts w:ascii="Arial" w:hAnsi="Arial" w:cs="Arial"/>
          <w:noProof/>
          <w:color w:val="000000" w:themeColor="text1"/>
          <w:sz w:val="22"/>
          <w:szCs w:val="22"/>
          <w:shd w:val="clear" w:color="auto" w:fill="FFFFFF"/>
          <w:vertAlign w:val="superscript"/>
        </w:rPr>
        <w:t>41</w:t>
      </w:r>
      <w:r>
        <w:rPr>
          <w:rFonts w:ascii="Arial" w:hAnsi="Arial" w:cs="Arial"/>
          <w:color w:val="000000" w:themeColor="text1"/>
          <w:sz w:val="22"/>
          <w:szCs w:val="22"/>
          <w:shd w:val="clear" w:color="auto" w:fill="FFFFFF"/>
        </w:rPr>
        <w:t xml:space="preserve">, concerns about breeching capacity may have led to delaying admission of Covid-19 and other patients until their health </w:t>
      </w:r>
      <w:r w:rsidRPr="005A737C">
        <w:rPr>
          <w:rFonts w:ascii="Arial" w:hAnsi="Arial" w:cs="Arial"/>
          <w:color w:val="000000" w:themeColor="text1"/>
          <w:sz w:val="22"/>
          <w:szCs w:val="22"/>
          <w:shd w:val="clear" w:color="auto" w:fill="FFFFFF"/>
        </w:rPr>
        <w:t>deteriorate</w:t>
      </w:r>
      <w:r>
        <w:rPr>
          <w:rFonts w:ascii="Arial" w:hAnsi="Arial" w:cs="Arial"/>
          <w:color w:val="000000" w:themeColor="text1"/>
          <w:sz w:val="22"/>
          <w:szCs w:val="22"/>
          <w:shd w:val="clear" w:color="auto" w:fill="FFFFFF"/>
        </w:rPr>
        <w:t xml:space="preserve">d, and to </w:t>
      </w:r>
      <w:r w:rsidRPr="005A737C">
        <w:rPr>
          <w:rFonts w:ascii="Arial" w:hAnsi="Arial" w:cs="Arial"/>
          <w:color w:val="000000" w:themeColor="text1"/>
          <w:sz w:val="22"/>
          <w:szCs w:val="22"/>
          <w:shd w:val="clear" w:color="auto" w:fill="FFFFFF"/>
        </w:rPr>
        <w:t>early discharge</w:t>
      </w:r>
      <w:r>
        <w:rPr>
          <w:rFonts w:ascii="Arial" w:hAnsi="Arial" w:cs="Arial"/>
          <w:color w:val="000000" w:themeColor="text1"/>
          <w:sz w:val="22"/>
          <w:szCs w:val="22"/>
          <w:shd w:val="clear" w:color="auto" w:fill="FFFFFF"/>
        </w:rPr>
        <w:t xml:space="preserve"> of patients</w:t>
      </w:r>
      <w:r w:rsidRPr="005A737C">
        <w:rPr>
          <w:rFonts w:ascii="Arial" w:hAnsi="Arial" w:cs="Arial"/>
          <w:color w:val="000000" w:themeColor="text1"/>
          <w:sz w:val="22"/>
          <w:szCs w:val="22"/>
          <w:shd w:val="clear" w:color="auto" w:fill="FFFFFF"/>
        </w:rPr>
        <w:t xml:space="preserve"> to </w:t>
      </w:r>
      <w:r>
        <w:rPr>
          <w:rFonts w:ascii="Arial" w:hAnsi="Arial" w:cs="Arial"/>
          <w:color w:val="000000" w:themeColor="text1"/>
          <w:sz w:val="22"/>
          <w:szCs w:val="22"/>
          <w:shd w:val="clear" w:color="auto" w:fill="FFFFFF"/>
        </w:rPr>
        <w:t>long-term care facilities (</w:t>
      </w:r>
      <w:r w:rsidRPr="005A737C">
        <w:rPr>
          <w:rFonts w:ascii="Arial" w:hAnsi="Arial" w:cs="Arial"/>
          <w:color w:val="000000" w:themeColor="text1"/>
          <w:sz w:val="22"/>
          <w:szCs w:val="22"/>
          <w:shd w:val="clear" w:color="auto" w:fill="FFFFFF"/>
        </w:rPr>
        <w:t>care homes</w:t>
      </w:r>
      <w:r>
        <w:rPr>
          <w:rFonts w:ascii="Arial" w:hAnsi="Arial" w:cs="Arial"/>
          <w:color w:val="000000" w:themeColor="text1"/>
          <w:sz w:val="22"/>
          <w:szCs w:val="22"/>
          <w:shd w:val="clear" w:color="auto" w:fill="FFFFFF"/>
        </w:rPr>
        <w:t>) often without systematic testing</w:t>
      </w:r>
      <w:r w:rsidRPr="005A737C">
        <w:rPr>
          <w:rFonts w:ascii="Arial" w:hAnsi="Arial" w:cs="Arial"/>
          <w:color w:val="000000" w:themeColor="text1"/>
          <w:sz w:val="22"/>
          <w:szCs w:val="22"/>
          <w:shd w:val="clear" w:color="auto" w:fill="FFFFFF"/>
        </w:rPr>
        <w:t>.</w:t>
      </w:r>
      <w:r>
        <w:rPr>
          <w:rFonts w:ascii="Arial" w:hAnsi="Arial" w:cs="Arial"/>
          <w:color w:val="000000" w:themeColor="text1"/>
          <w:sz w:val="22"/>
          <w:szCs w:val="22"/>
          <w:shd w:val="clear" w:color="auto" w:fill="FFFFFF"/>
        </w:rPr>
        <w:t xml:space="preserve"> T</w:t>
      </w:r>
      <w:r>
        <w:rPr>
          <w:rFonts w:ascii="Arial" w:hAnsi="Arial" w:cs="Arial"/>
          <w:color w:val="121212"/>
          <w:sz w:val="22"/>
          <w:szCs w:val="22"/>
          <w:shd w:val="clear" w:color="auto" w:fill="FFFFFF"/>
        </w:rPr>
        <w:t xml:space="preserve">he </w:t>
      </w:r>
      <w:r w:rsidRPr="00C51CA8">
        <w:rPr>
          <w:rFonts w:ascii="Arial" w:hAnsi="Arial" w:cs="Arial"/>
          <w:color w:val="000000" w:themeColor="text1"/>
          <w:sz w:val="22"/>
          <w:szCs w:val="22"/>
        </w:rPr>
        <w:t xml:space="preserve">spread of infection </w:t>
      </w:r>
      <w:r>
        <w:rPr>
          <w:rFonts w:ascii="Arial" w:hAnsi="Arial" w:cs="Arial"/>
          <w:color w:val="000000" w:themeColor="text1"/>
          <w:sz w:val="22"/>
          <w:szCs w:val="22"/>
        </w:rPr>
        <w:t>within and between</w:t>
      </w:r>
      <w:r w:rsidRPr="00C51CA8">
        <w:rPr>
          <w:rFonts w:ascii="Arial" w:hAnsi="Arial" w:cs="Arial"/>
          <w:color w:val="000000" w:themeColor="text1"/>
          <w:sz w:val="22"/>
          <w:szCs w:val="22"/>
        </w:rPr>
        <w:t xml:space="preserve"> hospitals</w:t>
      </w:r>
      <w:r>
        <w:rPr>
          <w:rFonts w:ascii="Arial" w:hAnsi="Arial" w:cs="Arial"/>
          <w:color w:val="000000" w:themeColor="text1"/>
          <w:sz w:val="22"/>
          <w:szCs w:val="22"/>
        </w:rPr>
        <w:t xml:space="preserve"> and</w:t>
      </w:r>
      <w:r w:rsidRPr="00C51CA8">
        <w:rPr>
          <w:rFonts w:ascii="Arial" w:hAnsi="Arial" w:cs="Arial"/>
          <w:color w:val="000000" w:themeColor="text1"/>
          <w:sz w:val="22"/>
          <w:szCs w:val="22"/>
        </w:rPr>
        <w:t xml:space="preserve"> care homes</w:t>
      </w:r>
      <w:r>
        <w:rPr>
          <w:rFonts w:ascii="Arial" w:hAnsi="Arial" w:cs="Arial"/>
          <w:color w:val="000000" w:themeColor="text1"/>
          <w:sz w:val="22"/>
          <w:szCs w:val="22"/>
        </w:rPr>
        <w:t>, and between them</w:t>
      </w:r>
      <w:r w:rsidRPr="00C51CA8">
        <w:rPr>
          <w:rFonts w:ascii="Arial" w:hAnsi="Arial" w:cs="Arial"/>
          <w:color w:val="000000" w:themeColor="text1"/>
          <w:sz w:val="22"/>
          <w:szCs w:val="22"/>
        </w:rPr>
        <w:t xml:space="preserve"> and community</w:t>
      </w:r>
      <w:r>
        <w:rPr>
          <w:rFonts w:ascii="Arial" w:hAnsi="Arial" w:cs="Arial"/>
          <w:color w:val="000000" w:themeColor="text1"/>
          <w:sz w:val="22"/>
          <w:szCs w:val="22"/>
        </w:rPr>
        <w:t>, is itself an important determinant of infections and deaths in both the general population and vulnerable groups</w:t>
      </w:r>
      <w:r w:rsidRPr="001831EE">
        <w:rPr>
          <w:rFonts w:ascii="Arial" w:hAnsi="Arial" w:cs="Arial"/>
          <w:noProof/>
          <w:color w:val="000000" w:themeColor="text1"/>
          <w:sz w:val="22"/>
          <w:szCs w:val="22"/>
          <w:vertAlign w:val="superscript"/>
        </w:rPr>
        <w:t>42,43</w:t>
      </w:r>
      <w:r>
        <w:rPr>
          <w:rFonts w:ascii="Arial" w:hAnsi="Arial" w:cs="Arial"/>
          <w:color w:val="000000" w:themeColor="text1"/>
          <w:sz w:val="22"/>
          <w:szCs w:val="22"/>
        </w:rPr>
        <w:t xml:space="preserve">. </w:t>
      </w:r>
      <w:r>
        <w:rPr>
          <w:rFonts w:ascii="Arial" w:hAnsi="Arial" w:cs="Arial"/>
          <w:color w:val="000000" w:themeColor="text1"/>
          <w:sz w:val="22"/>
          <w:szCs w:val="22"/>
          <w:shd w:val="clear" w:color="auto" w:fill="FFFFFF"/>
        </w:rPr>
        <w:t>Where infection rates were high and care homes were not appropriately safeguarded, namely in Spain, the UK, Belgium, Italy, France and Sweden, a large number of care home residents died from confirmed or probable Covid-19 infection</w:t>
      </w:r>
      <w:r w:rsidRPr="001831EE">
        <w:rPr>
          <w:rFonts w:ascii="Arial" w:hAnsi="Arial" w:cs="Arial"/>
          <w:noProof/>
          <w:color w:val="000000" w:themeColor="text1"/>
          <w:sz w:val="22"/>
          <w:szCs w:val="22"/>
          <w:shd w:val="clear" w:color="auto" w:fill="FFFFFF"/>
          <w:vertAlign w:val="superscript"/>
        </w:rPr>
        <w:t>42</w:t>
      </w:r>
      <w:r>
        <w:rPr>
          <w:rFonts w:ascii="Arial" w:hAnsi="Arial" w:cs="Arial"/>
          <w:color w:val="000000" w:themeColor="text1"/>
          <w:sz w:val="22"/>
          <w:szCs w:val="22"/>
          <w:shd w:val="clear" w:color="auto" w:fill="FFFFFF"/>
        </w:rPr>
        <w:t>. The initial seeding through discharge of infected patients to care homes was compounded by lack of testing and protective equipment for staff and residents and, especially in privately run care homes, regular movement of (temporary) staff across facilities</w:t>
      </w:r>
      <w:r w:rsidRPr="001831EE">
        <w:rPr>
          <w:rFonts w:ascii="Arial" w:hAnsi="Arial" w:cs="Arial"/>
          <w:noProof/>
          <w:color w:val="000000" w:themeColor="text1"/>
          <w:sz w:val="22"/>
          <w:szCs w:val="22"/>
          <w:shd w:val="clear" w:color="auto" w:fill="FFFFFF"/>
          <w:vertAlign w:val="superscript"/>
        </w:rPr>
        <w:t>44</w:t>
      </w:r>
      <w:r>
        <w:rPr>
          <w:rFonts w:ascii="Arial" w:hAnsi="Arial" w:cs="Arial"/>
          <w:color w:val="000000" w:themeColor="text1"/>
          <w:sz w:val="22"/>
          <w:szCs w:val="22"/>
          <w:shd w:val="clear" w:color="auto" w:fill="FFFFFF"/>
        </w:rPr>
        <w:t xml:space="preserve">. Finally, some of the variations in excess deaths may be due to variation in community-based and primary care which affected preventive and pre-hospital care for Covid-19 patients as well as for other conditions. </w:t>
      </w:r>
    </w:p>
    <w:p w14:paraId="491E33FE" w14:textId="77777777" w:rsidR="00474D86" w:rsidRDefault="00474D86" w:rsidP="00FD2092">
      <w:pPr>
        <w:spacing w:line="480" w:lineRule="auto"/>
        <w:jc w:val="both"/>
        <w:rPr>
          <w:rFonts w:ascii="Arial" w:hAnsi="Arial" w:cs="Arial"/>
          <w:color w:val="000000" w:themeColor="text1"/>
          <w:sz w:val="22"/>
          <w:szCs w:val="22"/>
          <w:highlight w:val="yellow"/>
        </w:rPr>
      </w:pPr>
    </w:p>
    <w:p w14:paraId="26BD65E0" w14:textId="77777777" w:rsidR="00474D86" w:rsidRPr="005B3E97" w:rsidRDefault="00474D86" w:rsidP="00345F73">
      <w:pPr>
        <w:spacing w:line="480" w:lineRule="auto"/>
        <w:jc w:val="both"/>
        <w:rPr>
          <w:rFonts w:ascii="Arial" w:hAnsi="Arial" w:cs="Arial"/>
          <w:color w:val="000000"/>
          <w:sz w:val="22"/>
          <w:szCs w:val="22"/>
        </w:rPr>
      </w:pPr>
      <w:r>
        <w:rPr>
          <w:rFonts w:ascii="Arial" w:hAnsi="Arial" w:cs="Arial"/>
          <w:color w:val="000000"/>
          <w:sz w:val="22"/>
          <w:szCs w:val="22"/>
        </w:rPr>
        <w:t>Although our results demonstrate that countries with timely lockdown had smaller numbers of excess deaths in the first phase of the epidemic, lockdowns have adverse short- and long-term health, psychosocial and economic impacts</w:t>
      </w:r>
      <w:r w:rsidRPr="001831EE">
        <w:rPr>
          <w:rFonts w:ascii="Arial" w:hAnsi="Arial" w:cs="Arial"/>
          <w:noProof/>
          <w:color w:val="000000"/>
          <w:sz w:val="22"/>
          <w:szCs w:val="22"/>
          <w:vertAlign w:val="superscript"/>
        </w:rPr>
        <w:t>45-47</w:t>
      </w:r>
      <w:r>
        <w:rPr>
          <w:rFonts w:ascii="Arial" w:hAnsi="Arial" w:cs="Arial"/>
          <w:color w:val="000000"/>
          <w:sz w:val="22"/>
          <w:szCs w:val="22"/>
        </w:rPr>
        <w:t xml:space="preserve">. They may become needed, as a mechanism of last resort, as the number of cases increases, but they also require effective surveillance and agile operational systems, with sufficient geographical granularity to limit restrictions to as small an area as possible. Lockdowns, especially nationwide ones, can be avoided or be less stringent if countries can put in place </w:t>
      </w:r>
      <w:r w:rsidRPr="00345F73">
        <w:rPr>
          <w:rFonts w:ascii="Arial" w:hAnsi="Arial" w:cs="Arial"/>
          <w:color w:val="000000"/>
          <w:sz w:val="22"/>
          <w:szCs w:val="22"/>
        </w:rPr>
        <w:t>comprehensive</w:t>
      </w:r>
      <w:r>
        <w:rPr>
          <w:rFonts w:ascii="Arial" w:hAnsi="Arial" w:cs="Arial"/>
          <w:color w:val="000000"/>
          <w:sz w:val="22"/>
          <w:szCs w:val="22"/>
        </w:rPr>
        <w:t xml:space="preserve"> (and in the extreme universal) and effective</w:t>
      </w:r>
      <w:r w:rsidRPr="00345F73">
        <w:rPr>
          <w:rFonts w:ascii="Arial" w:hAnsi="Arial" w:cs="Arial"/>
          <w:color w:val="000000"/>
          <w:sz w:val="22"/>
          <w:szCs w:val="22"/>
        </w:rPr>
        <w:t xml:space="preserve"> test</w:t>
      </w:r>
      <w:r>
        <w:rPr>
          <w:rFonts w:ascii="Arial" w:hAnsi="Arial" w:cs="Arial"/>
          <w:color w:val="000000"/>
          <w:sz w:val="22"/>
          <w:szCs w:val="22"/>
        </w:rPr>
        <w:t>ing</w:t>
      </w:r>
      <w:r w:rsidRPr="00345F73">
        <w:rPr>
          <w:rFonts w:ascii="Arial" w:hAnsi="Arial" w:cs="Arial"/>
          <w:color w:val="000000"/>
          <w:sz w:val="22"/>
          <w:szCs w:val="22"/>
        </w:rPr>
        <w:t xml:space="preserve"> and trac</w:t>
      </w:r>
      <w:r>
        <w:rPr>
          <w:rFonts w:ascii="Arial" w:hAnsi="Arial" w:cs="Arial"/>
          <w:color w:val="000000"/>
          <w:sz w:val="22"/>
          <w:szCs w:val="22"/>
        </w:rPr>
        <w:t>ing</w:t>
      </w:r>
      <w:r w:rsidRPr="00345F73">
        <w:rPr>
          <w:rFonts w:ascii="Arial" w:hAnsi="Arial" w:cs="Arial"/>
          <w:color w:val="000000"/>
          <w:sz w:val="22"/>
          <w:szCs w:val="22"/>
        </w:rPr>
        <w:t xml:space="preserve"> systems</w:t>
      </w:r>
      <w:r>
        <w:rPr>
          <w:rFonts w:ascii="Arial" w:hAnsi="Arial" w:cs="Arial"/>
          <w:color w:val="000000"/>
          <w:sz w:val="22"/>
          <w:szCs w:val="22"/>
        </w:rPr>
        <w:t xml:space="preserve">, with timely provision of information to individuals and public health bodies, while creating a sense of trust and responsibility, and putting in place economic and social support for those in need, that increase participation in testing, contact tracing and adherence to isolation advice. In addition to controlling </w:t>
      </w:r>
      <w:r>
        <w:rPr>
          <w:rFonts w:ascii="Arial" w:hAnsi="Arial" w:cs="Arial"/>
          <w:color w:val="000000"/>
          <w:sz w:val="22"/>
          <w:szCs w:val="22"/>
        </w:rPr>
        <w:lastRenderedPageBreak/>
        <w:t>transmission, there is a need for integrated care pathways at the community and facility level that manage both milder Covid-19 infections and allow other acute and chronic conditions to be rapidly and appropriately triaged and cared for in community as well as in health and long-term care facilities. For some countries, this may involve a re-allocation and re-direction of care resources and for others, where there has been chronic underinvestment in health and social care, the more challenging task of rebuilding public health and health and social care systems that serve their entire population.</w:t>
      </w:r>
    </w:p>
    <w:p w14:paraId="4AFA0A9B" w14:textId="1A83DA05" w:rsidR="002F4D63" w:rsidRDefault="002F4D63">
      <w:pPr>
        <w:rPr>
          <w:rFonts w:ascii="Arial" w:hAnsi="Arial" w:cs="Arial"/>
          <w:color w:val="000000"/>
          <w:sz w:val="22"/>
          <w:szCs w:val="22"/>
        </w:rPr>
      </w:pPr>
      <w:r>
        <w:rPr>
          <w:rFonts w:ascii="Arial" w:hAnsi="Arial" w:cs="Arial"/>
          <w:color w:val="000000"/>
          <w:sz w:val="22"/>
          <w:szCs w:val="22"/>
        </w:rPr>
        <w:br w:type="page"/>
      </w:r>
    </w:p>
    <w:p w14:paraId="4F4FB148" w14:textId="2471ADA1" w:rsidR="00474D86" w:rsidRPr="002F4D63" w:rsidRDefault="002F4D63" w:rsidP="00A1249B">
      <w:pPr>
        <w:spacing w:line="480" w:lineRule="auto"/>
        <w:jc w:val="both"/>
        <w:rPr>
          <w:rFonts w:ascii="Arial" w:hAnsi="Arial" w:cs="Arial"/>
          <w:b/>
          <w:bCs/>
          <w:color w:val="000000"/>
          <w:sz w:val="22"/>
          <w:szCs w:val="22"/>
        </w:rPr>
      </w:pPr>
      <w:r w:rsidRPr="002F4D63">
        <w:rPr>
          <w:rFonts w:ascii="Arial" w:hAnsi="Arial" w:cs="Arial"/>
          <w:b/>
          <w:bCs/>
          <w:color w:val="000000"/>
          <w:sz w:val="22"/>
          <w:szCs w:val="22"/>
        </w:rPr>
        <w:lastRenderedPageBreak/>
        <w:t>References</w:t>
      </w:r>
    </w:p>
    <w:p w14:paraId="00701A1C"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w:t>
      </w:r>
      <w:r w:rsidRPr="001831EE">
        <w:rPr>
          <w:rFonts w:ascii="Arial" w:hAnsi="Arial" w:cs="Arial"/>
        </w:rPr>
        <w:tab/>
        <w:t xml:space="preserve">Douglas, M., Katikireddi, S.V., Taulbut, M., McKee, M. &amp; McCartney, G. Mitigating the wider health effects of covid-19 pandemic response. </w:t>
      </w:r>
      <w:r w:rsidRPr="001831EE">
        <w:rPr>
          <w:rFonts w:ascii="Arial" w:hAnsi="Arial" w:cs="Arial"/>
          <w:i/>
        </w:rPr>
        <w:t>BMJ</w:t>
      </w:r>
      <w:r w:rsidRPr="001831EE">
        <w:rPr>
          <w:rFonts w:ascii="Arial" w:hAnsi="Arial" w:cs="Arial"/>
        </w:rPr>
        <w:t xml:space="preserve"> </w:t>
      </w:r>
      <w:r w:rsidRPr="001831EE">
        <w:rPr>
          <w:rFonts w:ascii="Arial" w:hAnsi="Arial" w:cs="Arial"/>
          <w:b/>
        </w:rPr>
        <w:t>369</w:t>
      </w:r>
      <w:r w:rsidRPr="001831EE">
        <w:rPr>
          <w:rFonts w:ascii="Arial" w:hAnsi="Arial" w:cs="Arial"/>
        </w:rPr>
        <w:t>, m1557 (2020).</w:t>
      </w:r>
    </w:p>
    <w:p w14:paraId="67A654F3"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w:t>
      </w:r>
      <w:r w:rsidRPr="001831EE">
        <w:rPr>
          <w:rFonts w:ascii="Arial" w:hAnsi="Arial" w:cs="Arial"/>
        </w:rPr>
        <w:tab/>
        <w:t xml:space="preserve">Pearce, N., Lawlor, D.A. &amp; Brickley, E.B. Comparisons between countries are essential for the control of COVID-19. </w:t>
      </w:r>
      <w:r w:rsidRPr="001831EE">
        <w:rPr>
          <w:rFonts w:ascii="Arial" w:hAnsi="Arial" w:cs="Arial"/>
          <w:i/>
        </w:rPr>
        <w:t>International Journal of Epidemiology</w:t>
      </w:r>
      <w:r w:rsidRPr="001831EE">
        <w:rPr>
          <w:rFonts w:ascii="Arial" w:hAnsi="Arial" w:cs="Arial"/>
        </w:rPr>
        <w:t xml:space="preserve"> (2020).</w:t>
      </w:r>
    </w:p>
    <w:p w14:paraId="7315D1A1"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w:t>
      </w:r>
      <w:r w:rsidRPr="001831EE">
        <w:rPr>
          <w:rFonts w:ascii="Arial" w:hAnsi="Arial" w:cs="Arial"/>
        </w:rPr>
        <w:tab/>
        <w:t xml:space="preserve">Merrick, R. Coronavirus: Boris Johnson's claim it is 'too early' to draw global death toll comparisons mocked by Keir Starmer. in </w:t>
      </w:r>
      <w:r w:rsidRPr="001831EE">
        <w:rPr>
          <w:rFonts w:ascii="Arial" w:hAnsi="Arial" w:cs="Arial"/>
          <w:i/>
        </w:rPr>
        <w:t>The Independent</w:t>
      </w:r>
      <w:r w:rsidRPr="001831EE">
        <w:rPr>
          <w:rFonts w:ascii="Arial" w:hAnsi="Arial" w:cs="Arial"/>
        </w:rPr>
        <w:t xml:space="preserve"> (2020).</w:t>
      </w:r>
    </w:p>
    <w:p w14:paraId="2718139D"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w:t>
      </w:r>
      <w:r w:rsidRPr="001831EE">
        <w:rPr>
          <w:rFonts w:ascii="Arial" w:hAnsi="Arial" w:cs="Arial"/>
        </w:rPr>
        <w:tab/>
        <w:t xml:space="preserve">World Health Organization. </w:t>
      </w:r>
      <w:r w:rsidRPr="001831EE">
        <w:rPr>
          <w:rFonts w:ascii="Arial" w:hAnsi="Arial" w:cs="Arial"/>
          <w:i/>
        </w:rPr>
        <w:t>Global Health Estimates: Deaths by Cause, Age, Sex and Country, 2000-2016</w:t>
      </w:r>
      <w:r w:rsidRPr="001831EE">
        <w:rPr>
          <w:rFonts w:ascii="Arial" w:hAnsi="Arial" w:cs="Arial"/>
        </w:rPr>
        <w:t>, (WHO, Geneva, 2018).</w:t>
      </w:r>
    </w:p>
    <w:p w14:paraId="61B526E7"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5.</w:t>
      </w:r>
      <w:r w:rsidRPr="001831EE">
        <w:rPr>
          <w:rFonts w:ascii="Arial" w:hAnsi="Arial" w:cs="Arial"/>
        </w:rPr>
        <w:tab/>
        <w:t xml:space="preserve">Fuller, T. &amp; Baker, M. Coronavirus Death in California Came Weeks Before First Known U.S. Death. in </w:t>
      </w:r>
      <w:r w:rsidRPr="001831EE">
        <w:rPr>
          <w:rFonts w:ascii="Arial" w:hAnsi="Arial" w:cs="Arial"/>
          <w:i/>
        </w:rPr>
        <w:t>The New York Times</w:t>
      </w:r>
      <w:r w:rsidRPr="001831EE">
        <w:rPr>
          <w:rFonts w:ascii="Arial" w:hAnsi="Arial" w:cs="Arial"/>
        </w:rPr>
        <w:t xml:space="preserve"> (2020).</w:t>
      </w:r>
    </w:p>
    <w:p w14:paraId="7DA266F2"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6.</w:t>
      </w:r>
      <w:r w:rsidRPr="001831EE">
        <w:rPr>
          <w:rFonts w:ascii="Arial" w:hAnsi="Arial" w:cs="Arial"/>
        </w:rPr>
        <w:tab/>
        <w:t xml:space="preserve">Perraudin, F. Coronavirus involved in quarter of care home residents' deaths in England and Wales in </w:t>
      </w:r>
      <w:r w:rsidRPr="001831EE">
        <w:rPr>
          <w:rFonts w:ascii="Arial" w:hAnsi="Arial" w:cs="Arial"/>
          <w:i/>
        </w:rPr>
        <w:t>The Guardian</w:t>
      </w:r>
      <w:r w:rsidRPr="001831EE">
        <w:rPr>
          <w:rFonts w:ascii="Arial" w:hAnsi="Arial" w:cs="Arial"/>
        </w:rPr>
        <w:t xml:space="preserve"> (2020).</w:t>
      </w:r>
    </w:p>
    <w:p w14:paraId="5A545BDB"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7.</w:t>
      </w:r>
      <w:r w:rsidRPr="001831EE">
        <w:rPr>
          <w:rFonts w:ascii="Arial" w:hAnsi="Arial" w:cs="Arial"/>
        </w:rPr>
        <w:tab/>
        <w:t xml:space="preserve">Schultz, T. Belgium's coronavirus (over)counting controversy. in </w:t>
      </w:r>
      <w:r w:rsidRPr="001831EE">
        <w:rPr>
          <w:rFonts w:ascii="Arial" w:hAnsi="Arial" w:cs="Arial"/>
          <w:i/>
        </w:rPr>
        <w:t>DW</w:t>
      </w:r>
      <w:r w:rsidRPr="001831EE">
        <w:rPr>
          <w:rFonts w:ascii="Arial" w:hAnsi="Arial" w:cs="Arial"/>
        </w:rPr>
        <w:t xml:space="preserve"> (2020).</w:t>
      </w:r>
    </w:p>
    <w:p w14:paraId="7154C9D5"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8.</w:t>
      </w:r>
      <w:r w:rsidRPr="001831EE">
        <w:rPr>
          <w:rFonts w:ascii="Arial" w:hAnsi="Arial" w:cs="Arial"/>
        </w:rPr>
        <w:tab/>
        <w:t xml:space="preserve">Campbell, D. &amp; Bannock, C. Coronavirus crisis could lead to 18,000 more cancer deaths, experts warn. in </w:t>
      </w:r>
      <w:r w:rsidRPr="001831EE">
        <w:rPr>
          <w:rFonts w:ascii="Arial" w:hAnsi="Arial" w:cs="Arial"/>
          <w:i/>
        </w:rPr>
        <w:t>The Guardian</w:t>
      </w:r>
      <w:r w:rsidRPr="001831EE">
        <w:rPr>
          <w:rFonts w:ascii="Arial" w:hAnsi="Arial" w:cs="Arial"/>
        </w:rPr>
        <w:t xml:space="preserve"> (2020).</w:t>
      </w:r>
    </w:p>
    <w:p w14:paraId="5CCFD215"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9.</w:t>
      </w:r>
      <w:r w:rsidRPr="001831EE">
        <w:rPr>
          <w:rFonts w:ascii="Arial" w:hAnsi="Arial" w:cs="Arial"/>
        </w:rPr>
        <w:tab/>
        <w:t xml:space="preserve">Sample, I. More than 2m operations cancelled as NHS fights Covid-19. in </w:t>
      </w:r>
      <w:r w:rsidRPr="001831EE">
        <w:rPr>
          <w:rFonts w:ascii="Arial" w:hAnsi="Arial" w:cs="Arial"/>
          <w:i/>
        </w:rPr>
        <w:t>The Guardian</w:t>
      </w:r>
      <w:r w:rsidRPr="001831EE">
        <w:rPr>
          <w:rFonts w:ascii="Arial" w:hAnsi="Arial" w:cs="Arial"/>
        </w:rPr>
        <w:t xml:space="preserve"> (2020).</w:t>
      </w:r>
    </w:p>
    <w:p w14:paraId="2BBB6A70"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10.</w:t>
      </w:r>
      <w:r w:rsidRPr="001831EE">
        <w:rPr>
          <w:rFonts w:ascii="Arial" w:hAnsi="Arial" w:cs="Arial"/>
        </w:rPr>
        <w:tab/>
        <w:t xml:space="preserve">Hiom, S. How coronavirus is impacting cancer services in the UK. in </w:t>
      </w:r>
      <w:r w:rsidRPr="001831EE">
        <w:rPr>
          <w:rFonts w:ascii="Arial" w:hAnsi="Arial" w:cs="Arial"/>
          <w:i/>
        </w:rPr>
        <w:t>Science blog</w:t>
      </w:r>
      <w:r w:rsidRPr="001831EE">
        <w:rPr>
          <w:rFonts w:ascii="Arial" w:hAnsi="Arial" w:cs="Arial"/>
        </w:rPr>
        <w:t xml:space="preserve"> (ed. UK, C.R.) (Cancer Research UK, 2020).</w:t>
      </w:r>
    </w:p>
    <w:p w14:paraId="4FEF195D"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11.</w:t>
      </w:r>
      <w:r w:rsidRPr="001831EE">
        <w:rPr>
          <w:rFonts w:ascii="Arial" w:hAnsi="Arial" w:cs="Arial"/>
        </w:rPr>
        <w:tab/>
        <w:t xml:space="preserve">Bernstein, L. &amp; Sellers, F.S. Patients with heart attacks, strokes and even appendicitis vanish from hospitals. in </w:t>
      </w:r>
      <w:r w:rsidRPr="001831EE">
        <w:rPr>
          <w:rFonts w:ascii="Arial" w:hAnsi="Arial" w:cs="Arial"/>
          <w:i/>
        </w:rPr>
        <w:t>The Washington Post</w:t>
      </w:r>
      <w:r w:rsidRPr="001831EE">
        <w:rPr>
          <w:rFonts w:ascii="Arial" w:hAnsi="Arial" w:cs="Arial"/>
        </w:rPr>
        <w:t xml:space="preserve"> (2020).</w:t>
      </w:r>
    </w:p>
    <w:p w14:paraId="22ACD3FD"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12.</w:t>
      </w:r>
      <w:r w:rsidRPr="001831EE">
        <w:rPr>
          <w:rFonts w:ascii="Arial" w:hAnsi="Arial" w:cs="Arial"/>
        </w:rPr>
        <w:tab/>
        <w:t xml:space="preserve">Pell, M.B. &amp; Lesser, B. COVID’s Other Casualties. in </w:t>
      </w:r>
      <w:r w:rsidRPr="001831EE">
        <w:rPr>
          <w:rFonts w:ascii="Arial" w:hAnsi="Arial" w:cs="Arial"/>
          <w:i/>
        </w:rPr>
        <w:t>Reuters Investigates</w:t>
      </w:r>
      <w:r w:rsidRPr="001831EE">
        <w:rPr>
          <w:rFonts w:ascii="Arial" w:hAnsi="Arial" w:cs="Arial"/>
        </w:rPr>
        <w:t xml:space="preserve"> (2020).</w:t>
      </w:r>
    </w:p>
    <w:p w14:paraId="5B4D4429"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13.</w:t>
      </w:r>
      <w:r w:rsidRPr="001831EE">
        <w:rPr>
          <w:rFonts w:ascii="Arial" w:hAnsi="Arial" w:cs="Arial"/>
        </w:rPr>
        <w:tab/>
        <w:t xml:space="preserve">Kansagra, A.P., Goyal, M.S., Hamilton, S. &amp; Albers, G.W. Collateral Effect of Covid-19 on Stroke Evaluation in the United States. </w:t>
      </w:r>
      <w:r w:rsidRPr="001831EE">
        <w:rPr>
          <w:rFonts w:ascii="Arial" w:hAnsi="Arial" w:cs="Arial"/>
          <w:i/>
        </w:rPr>
        <w:t>The New England journal of medicine</w:t>
      </w:r>
      <w:r w:rsidRPr="001831EE">
        <w:rPr>
          <w:rFonts w:ascii="Arial" w:hAnsi="Arial" w:cs="Arial"/>
        </w:rPr>
        <w:t xml:space="preserve"> (2020).</w:t>
      </w:r>
    </w:p>
    <w:p w14:paraId="3E3CBC06"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14.</w:t>
      </w:r>
      <w:r w:rsidRPr="001831EE">
        <w:rPr>
          <w:rFonts w:ascii="Arial" w:hAnsi="Arial" w:cs="Arial"/>
        </w:rPr>
        <w:tab/>
        <w:t>Gaudino, M.</w:t>
      </w:r>
      <w:r w:rsidRPr="001831EE">
        <w:rPr>
          <w:rFonts w:ascii="Arial" w:hAnsi="Arial" w:cs="Arial"/>
          <w:i/>
        </w:rPr>
        <w:t>, et al.</w:t>
      </w:r>
      <w:r w:rsidRPr="001831EE">
        <w:rPr>
          <w:rFonts w:ascii="Arial" w:hAnsi="Arial" w:cs="Arial"/>
        </w:rPr>
        <w:t xml:space="preserve"> Response of Cardiac Surgery Units to COVID-19: An Internationally-Based Quantitative Survey. </w:t>
      </w:r>
      <w:r w:rsidRPr="001831EE">
        <w:rPr>
          <w:rFonts w:ascii="Arial" w:hAnsi="Arial" w:cs="Arial"/>
          <w:i/>
        </w:rPr>
        <w:t>Circulation</w:t>
      </w:r>
      <w:r w:rsidRPr="001831EE">
        <w:rPr>
          <w:rFonts w:ascii="Arial" w:hAnsi="Arial" w:cs="Arial"/>
        </w:rPr>
        <w:t xml:space="preserve"> </w:t>
      </w:r>
      <w:r w:rsidRPr="001831EE">
        <w:rPr>
          <w:rFonts w:ascii="Arial" w:hAnsi="Arial" w:cs="Arial"/>
          <w:b/>
        </w:rPr>
        <w:t>0</w:t>
      </w:r>
      <w:r w:rsidRPr="001831EE">
        <w:rPr>
          <w:rFonts w:ascii="Arial" w:hAnsi="Arial" w:cs="Arial"/>
        </w:rPr>
        <w:t>(2020).</w:t>
      </w:r>
    </w:p>
    <w:p w14:paraId="3B0617EF"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15.</w:t>
      </w:r>
      <w:r w:rsidRPr="001831EE">
        <w:rPr>
          <w:rFonts w:ascii="Arial" w:hAnsi="Arial" w:cs="Arial"/>
        </w:rPr>
        <w:tab/>
        <w:t xml:space="preserve">Guillot, M. &amp; Khlat, M. Épidémie de Covid-19 : quel impact sur l’espérance de vie en France ? in </w:t>
      </w:r>
      <w:r w:rsidRPr="001831EE">
        <w:rPr>
          <w:rFonts w:ascii="Arial" w:hAnsi="Arial" w:cs="Arial"/>
          <w:i/>
        </w:rPr>
        <w:t>The Conversation</w:t>
      </w:r>
      <w:r w:rsidRPr="001831EE">
        <w:rPr>
          <w:rFonts w:ascii="Arial" w:hAnsi="Arial" w:cs="Arial"/>
        </w:rPr>
        <w:t xml:space="preserve"> (2020).</w:t>
      </w:r>
    </w:p>
    <w:p w14:paraId="73D0F8EC"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16.</w:t>
      </w:r>
      <w:r w:rsidRPr="001831EE">
        <w:rPr>
          <w:rFonts w:ascii="Arial" w:hAnsi="Arial" w:cs="Arial"/>
        </w:rPr>
        <w:tab/>
        <w:t>Karanikolos, M. &amp; McKee, M. How comparable is COVID-19 mortality across countries?  (Covid-19 Health System Response Monitor, 2020).</w:t>
      </w:r>
    </w:p>
    <w:p w14:paraId="32EA726B"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17.</w:t>
      </w:r>
      <w:r w:rsidRPr="001831EE">
        <w:rPr>
          <w:rFonts w:ascii="Arial" w:hAnsi="Arial" w:cs="Arial"/>
        </w:rPr>
        <w:tab/>
        <w:t>Newton, J. Behind the headlines: Counting COVID-19 deaths.  (ed. England, P.H.) (2020).</w:t>
      </w:r>
    </w:p>
    <w:p w14:paraId="67342FF0"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18.</w:t>
      </w:r>
      <w:r w:rsidRPr="001831EE">
        <w:rPr>
          <w:rFonts w:ascii="Arial" w:hAnsi="Arial" w:cs="Arial"/>
        </w:rPr>
        <w:tab/>
        <w:t xml:space="preserve">Jones, N. How coronavirus lockdowns stopped flu in its tracks. in </w:t>
      </w:r>
      <w:r w:rsidRPr="001831EE">
        <w:rPr>
          <w:rFonts w:ascii="Arial" w:hAnsi="Arial" w:cs="Arial"/>
          <w:i/>
        </w:rPr>
        <w:t>Nature</w:t>
      </w:r>
      <w:r w:rsidRPr="001831EE">
        <w:rPr>
          <w:rFonts w:ascii="Arial" w:hAnsi="Arial" w:cs="Arial"/>
        </w:rPr>
        <w:t xml:space="preserve"> (2020).</w:t>
      </w:r>
    </w:p>
    <w:p w14:paraId="581FE573"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19.</w:t>
      </w:r>
      <w:r w:rsidRPr="001831EE">
        <w:rPr>
          <w:rFonts w:ascii="Arial" w:hAnsi="Arial" w:cs="Arial"/>
        </w:rPr>
        <w:tab/>
        <w:t xml:space="preserve">Klein, A. Australia sees huge decrease in flu cases due to coronavirus measures. in </w:t>
      </w:r>
      <w:r w:rsidRPr="001831EE">
        <w:rPr>
          <w:rFonts w:ascii="Arial" w:hAnsi="Arial" w:cs="Arial"/>
          <w:i/>
        </w:rPr>
        <w:t>NewScientist</w:t>
      </w:r>
      <w:r w:rsidRPr="001831EE">
        <w:rPr>
          <w:rFonts w:ascii="Arial" w:hAnsi="Arial" w:cs="Arial"/>
        </w:rPr>
        <w:t xml:space="preserve"> (2020).</w:t>
      </w:r>
    </w:p>
    <w:p w14:paraId="5AB24FC2"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20.</w:t>
      </w:r>
      <w:r w:rsidRPr="001831EE">
        <w:rPr>
          <w:rFonts w:ascii="Arial" w:hAnsi="Arial" w:cs="Arial"/>
        </w:rPr>
        <w:tab/>
        <w:t>Nuñez, J.H.</w:t>
      </w:r>
      <w:r w:rsidRPr="001831EE">
        <w:rPr>
          <w:rFonts w:ascii="Arial" w:hAnsi="Arial" w:cs="Arial"/>
          <w:i/>
        </w:rPr>
        <w:t>, et al.</w:t>
      </w:r>
      <w:r w:rsidRPr="001831EE">
        <w:rPr>
          <w:rFonts w:ascii="Arial" w:hAnsi="Arial" w:cs="Arial"/>
        </w:rPr>
        <w:t xml:space="preserve"> Impact of the COVID-19 Pandemic on an Emergency Traumatology Service: Experience at a Tertiary Trauma Centre in Spain. </w:t>
      </w:r>
      <w:r w:rsidRPr="001831EE">
        <w:rPr>
          <w:rFonts w:ascii="Arial" w:hAnsi="Arial" w:cs="Arial"/>
          <w:i/>
        </w:rPr>
        <w:t>Injury</w:t>
      </w:r>
      <w:r w:rsidRPr="001831EE">
        <w:rPr>
          <w:rFonts w:ascii="Arial" w:hAnsi="Arial" w:cs="Arial"/>
        </w:rPr>
        <w:t xml:space="preserve"> </w:t>
      </w:r>
      <w:r w:rsidRPr="001831EE">
        <w:rPr>
          <w:rFonts w:ascii="Arial" w:hAnsi="Arial" w:cs="Arial"/>
          <w:b/>
        </w:rPr>
        <w:t>51</w:t>
      </w:r>
      <w:r w:rsidRPr="001831EE">
        <w:rPr>
          <w:rFonts w:ascii="Arial" w:hAnsi="Arial" w:cs="Arial"/>
        </w:rPr>
        <w:t>, 1414-1418 (2020).</w:t>
      </w:r>
    </w:p>
    <w:p w14:paraId="05AA9D4C"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21.</w:t>
      </w:r>
      <w:r w:rsidRPr="001831EE">
        <w:rPr>
          <w:rFonts w:ascii="Arial" w:hAnsi="Arial" w:cs="Arial"/>
        </w:rPr>
        <w:tab/>
        <w:t xml:space="preserve">Cunningham, A. COVID-19 kills more men than women. The immune system may be why. in </w:t>
      </w:r>
      <w:r w:rsidRPr="001831EE">
        <w:rPr>
          <w:rFonts w:ascii="Arial" w:hAnsi="Arial" w:cs="Arial"/>
          <w:i/>
        </w:rPr>
        <w:t>ScienceNews</w:t>
      </w:r>
      <w:r w:rsidRPr="001831EE">
        <w:rPr>
          <w:rFonts w:ascii="Arial" w:hAnsi="Arial" w:cs="Arial"/>
        </w:rPr>
        <w:t xml:space="preserve"> (2020).</w:t>
      </w:r>
    </w:p>
    <w:p w14:paraId="7D611B96"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22.</w:t>
      </w:r>
      <w:r w:rsidRPr="001831EE">
        <w:rPr>
          <w:rFonts w:ascii="Arial" w:hAnsi="Arial" w:cs="Arial"/>
        </w:rPr>
        <w:tab/>
        <w:t xml:space="preserve">Devlin, H. Men are much more likely to die from coronavirus - but why? in </w:t>
      </w:r>
      <w:r w:rsidRPr="001831EE">
        <w:rPr>
          <w:rFonts w:ascii="Arial" w:hAnsi="Arial" w:cs="Arial"/>
          <w:i/>
        </w:rPr>
        <w:t>The Guardian</w:t>
      </w:r>
      <w:r w:rsidRPr="001831EE">
        <w:rPr>
          <w:rFonts w:ascii="Arial" w:hAnsi="Arial" w:cs="Arial"/>
        </w:rPr>
        <w:t xml:space="preserve"> (2020).</w:t>
      </w:r>
    </w:p>
    <w:p w14:paraId="116C456D"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23.</w:t>
      </w:r>
      <w:r w:rsidRPr="001831EE">
        <w:rPr>
          <w:rFonts w:ascii="Arial" w:hAnsi="Arial" w:cs="Arial"/>
        </w:rPr>
        <w:tab/>
        <w:t xml:space="preserve">Bhopal, S.S. &amp; Bhopal, R. Sex differential in COVID-19 mortality varies markedly by age. </w:t>
      </w:r>
      <w:r w:rsidRPr="001831EE">
        <w:rPr>
          <w:rFonts w:ascii="Arial" w:hAnsi="Arial" w:cs="Arial"/>
          <w:i/>
        </w:rPr>
        <w:t>The Lancet</w:t>
      </w:r>
      <w:r w:rsidRPr="001831EE">
        <w:rPr>
          <w:rFonts w:ascii="Arial" w:hAnsi="Arial" w:cs="Arial"/>
        </w:rPr>
        <w:t xml:space="preserve"> </w:t>
      </w:r>
      <w:r w:rsidRPr="001831EE">
        <w:rPr>
          <w:rFonts w:ascii="Arial" w:hAnsi="Arial" w:cs="Arial"/>
          <w:b/>
        </w:rPr>
        <w:t>396</w:t>
      </w:r>
      <w:r w:rsidRPr="001831EE">
        <w:rPr>
          <w:rFonts w:ascii="Arial" w:hAnsi="Arial" w:cs="Arial"/>
        </w:rPr>
        <w:t>, 532-533 (2020).</w:t>
      </w:r>
    </w:p>
    <w:p w14:paraId="01B02ADD"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24.</w:t>
      </w:r>
      <w:r w:rsidRPr="001831EE">
        <w:rPr>
          <w:rFonts w:ascii="Arial" w:hAnsi="Arial" w:cs="Arial"/>
        </w:rPr>
        <w:tab/>
        <w:t xml:space="preserve">Gebhard, C., Regitz-Zagrosek, V., Neuhauser, H.K., Morgan, R. &amp; Klein, S.L. Impact of sex and gender on COVID-19 outcomes in Europe. </w:t>
      </w:r>
      <w:r w:rsidRPr="001831EE">
        <w:rPr>
          <w:rFonts w:ascii="Arial" w:hAnsi="Arial" w:cs="Arial"/>
          <w:i/>
        </w:rPr>
        <w:t>Biol Sex Differ</w:t>
      </w:r>
      <w:r w:rsidRPr="001831EE">
        <w:rPr>
          <w:rFonts w:ascii="Arial" w:hAnsi="Arial" w:cs="Arial"/>
        </w:rPr>
        <w:t xml:space="preserve"> </w:t>
      </w:r>
      <w:r w:rsidRPr="001831EE">
        <w:rPr>
          <w:rFonts w:ascii="Arial" w:hAnsi="Arial" w:cs="Arial"/>
          <w:b/>
        </w:rPr>
        <w:t>11</w:t>
      </w:r>
      <w:r w:rsidRPr="001831EE">
        <w:rPr>
          <w:rFonts w:ascii="Arial" w:hAnsi="Arial" w:cs="Arial"/>
        </w:rPr>
        <w:t>, 29 (2020).</w:t>
      </w:r>
    </w:p>
    <w:p w14:paraId="5E68FF9B"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25.</w:t>
      </w:r>
      <w:r w:rsidRPr="001831EE">
        <w:rPr>
          <w:rFonts w:ascii="Arial" w:hAnsi="Arial" w:cs="Arial"/>
        </w:rPr>
        <w:tab/>
        <w:t xml:space="preserve">Bettencourt, L.M. The origins of scaling in cities. </w:t>
      </w:r>
      <w:r w:rsidRPr="001831EE">
        <w:rPr>
          <w:rFonts w:ascii="Arial" w:hAnsi="Arial" w:cs="Arial"/>
          <w:i/>
        </w:rPr>
        <w:t>Science</w:t>
      </w:r>
      <w:r w:rsidRPr="001831EE">
        <w:rPr>
          <w:rFonts w:ascii="Arial" w:hAnsi="Arial" w:cs="Arial"/>
        </w:rPr>
        <w:t xml:space="preserve"> </w:t>
      </w:r>
      <w:r w:rsidRPr="001831EE">
        <w:rPr>
          <w:rFonts w:ascii="Arial" w:hAnsi="Arial" w:cs="Arial"/>
          <w:b/>
        </w:rPr>
        <w:t>340</w:t>
      </w:r>
      <w:r w:rsidRPr="001831EE">
        <w:rPr>
          <w:rFonts w:ascii="Arial" w:hAnsi="Arial" w:cs="Arial"/>
        </w:rPr>
        <w:t>, 1438-1441 (2013).</w:t>
      </w:r>
    </w:p>
    <w:p w14:paraId="7D22B44D"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26.</w:t>
      </w:r>
      <w:r w:rsidRPr="001831EE">
        <w:rPr>
          <w:rFonts w:ascii="Arial" w:hAnsi="Arial" w:cs="Arial"/>
        </w:rPr>
        <w:tab/>
        <w:t>Dahlgren, G. &amp; Whitehead, M. Policies and strategies to promote social equity in health. Background document to WHO - Strategy paper for Europe. Vol. 2007:14 (Institute for Futures Studies, 1991).</w:t>
      </w:r>
    </w:p>
    <w:p w14:paraId="376BDA65"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27.</w:t>
      </w:r>
      <w:r w:rsidRPr="001831EE">
        <w:rPr>
          <w:rFonts w:ascii="Arial" w:hAnsi="Arial" w:cs="Arial"/>
        </w:rPr>
        <w:tab/>
        <w:t xml:space="preserve">NCD Risk Factor Collaboration (NCD-RisC). Worldwide trends in diabetes since 1980: a pooled analysis of 751 population-based studies with 4.4 million participants. </w:t>
      </w:r>
      <w:r w:rsidRPr="001831EE">
        <w:rPr>
          <w:rFonts w:ascii="Arial" w:hAnsi="Arial" w:cs="Arial"/>
          <w:i/>
        </w:rPr>
        <w:t>The Lancet</w:t>
      </w:r>
      <w:r w:rsidRPr="001831EE">
        <w:rPr>
          <w:rFonts w:ascii="Arial" w:hAnsi="Arial" w:cs="Arial"/>
        </w:rPr>
        <w:t xml:space="preserve"> </w:t>
      </w:r>
      <w:r w:rsidRPr="001831EE">
        <w:rPr>
          <w:rFonts w:ascii="Arial" w:hAnsi="Arial" w:cs="Arial"/>
          <w:b/>
        </w:rPr>
        <w:t>387</w:t>
      </w:r>
      <w:r w:rsidRPr="001831EE">
        <w:rPr>
          <w:rFonts w:ascii="Arial" w:hAnsi="Arial" w:cs="Arial"/>
        </w:rPr>
        <w:t>, 1513-1530 (2016).</w:t>
      </w:r>
    </w:p>
    <w:p w14:paraId="3FA6283D"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lastRenderedPageBreak/>
        <w:t>28.</w:t>
      </w:r>
      <w:r w:rsidRPr="001831EE">
        <w:rPr>
          <w:rFonts w:ascii="Arial" w:hAnsi="Arial" w:cs="Arial"/>
        </w:rPr>
        <w:tab/>
        <w:t xml:space="preserve">NCD Risk Factor Collaboration (NCD-RisC). Worldwide trends in body-mass index, underweight, overweight, and obesity from 1975 to 2016: a pooled analysis of 2416 population-based measurement studies in 128.9 million children, adolescents, and adults. </w:t>
      </w:r>
      <w:r w:rsidRPr="001831EE">
        <w:rPr>
          <w:rFonts w:ascii="Arial" w:hAnsi="Arial" w:cs="Arial"/>
          <w:i/>
        </w:rPr>
        <w:t>Lancet</w:t>
      </w:r>
      <w:r w:rsidRPr="001831EE">
        <w:rPr>
          <w:rFonts w:ascii="Arial" w:hAnsi="Arial" w:cs="Arial"/>
        </w:rPr>
        <w:t xml:space="preserve"> </w:t>
      </w:r>
      <w:r w:rsidRPr="001831EE">
        <w:rPr>
          <w:rFonts w:ascii="Arial" w:hAnsi="Arial" w:cs="Arial"/>
          <w:b/>
        </w:rPr>
        <w:t>390</w:t>
      </w:r>
      <w:r w:rsidRPr="001831EE">
        <w:rPr>
          <w:rFonts w:ascii="Arial" w:hAnsi="Arial" w:cs="Arial"/>
        </w:rPr>
        <w:t>, 2627-2642 (2017).</w:t>
      </w:r>
    </w:p>
    <w:p w14:paraId="646273F1"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29.</w:t>
      </w:r>
      <w:r w:rsidRPr="001831EE">
        <w:rPr>
          <w:rFonts w:ascii="Arial" w:hAnsi="Arial" w:cs="Arial"/>
        </w:rPr>
        <w:tab/>
        <w:t xml:space="preserve">NCD Risk Factor Collaboration (NCD-RisC). Long-term and recent trends in hypertension awareness, treatment, and control in 12 high-income countries: an analysis of 123 nationally representative surveys. </w:t>
      </w:r>
      <w:r w:rsidRPr="001831EE">
        <w:rPr>
          <w:rFonts w:ascii="Arial" w:hAnsi="Arial" w:cs="Arial"/>
          <w:i/>
        </w:rPr>
        <w:t>Lancet</w:t>
      </w:r>
      <w:r w:rsidRPr="001831EE">
        <w:rPr>
          <w:rFonts w:ascii="Arial" w:hAnsi="Arial" w:cs="Arial"/>
        </w:rPr>
        <w:t xml:space="preserve"> </w:t>
      </w:r>
      <w:r w:rsidRPr="001831EE">
        <w:rPr>
          <w:rFonts w:ascii="Arial" w:hAnsi="Arial" w:cs="Arial"/>
          <w:b/>
        </w:rPr>
        <w:t>394</w:t>
      </w:r>
      <w:r w:rsidRPr="001831EE">
        <w:rPr>
          <w:rFonts w:ascii="Arial" w:hAnsi="Arial" w:cs="Arial"/>
        </w:rPr>
        <w:t>, 639-651 (2019).</w:t>
      </w:r>
    </w:p>
    <w:p w14:paraId="3006BED7"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30.</w:t>
      </w:r>
      <w:r w:rsidRPr="001831EE">
        <w:rPr>
          <w:rFonts w:ascii="Arial" w:hAnsi="Arial" w:cs="Arial"/>
        </w:rPr>
        <w:tab/>
        <w:t xml:space="preserve">Palladino, R., Tayu Lee, J., Ashworth, M., Triassi, M. &amp; Millett, C. Associations between multimorbidity, healthcare utilisation and health status: evidence from 16 European countries. </w:t>
      </w:r>
      <w:r w:rsidRPr="001831EE">
        <w:rPr>
          <w:rFonts w:ascii="Arial" w:hAnsi="Arial" w:cs="Arial"/>
          <w:i/>
        </w:rPr>
        <w:t>Age Ageing</w:t>
      </w:r>
      <w:r w:rsidRPr="001831EE">
        <w:rPr>
          <w:rFonts w:ascii="Arial" w:hAnsi="Arial" w:cs="Arial"/>
        </w:rPr>
        <w:t xml:space="preserve"> </w:t>
      </w:r>
      <w:r w:rsidRPr="001831EE">
        <w:rPr>
          <w:rFonts w:ascii="Arial" w:hAnsi="Arial" w:cs="Arial"/>
          <w:b/>
        </w:rPr>
        <w:t>45</w:t>
      </w:r>
      <w:r w:rsidRPr="001831EE">
        <w:rPr>
          <w:rFonts w:ascii="Arial" w:hAnsi="Arial" w:cs="Arial"/>
        </w:rPr>
        <w:t>, 431-435 (2016).</w:t>
      </w:r>
    </w:p>
    <w:p w14:paraId="0DD4133A"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31.</w:t>
      </w:r>
      <w:r w:rsidRPr="001831EE">
        <w:rPr>
          <w:rFonts w:ascii="Arial" w:hAnsi="Arial" w:cs="Arial"/>
        </w:rPr>
        <w:tab/>
        <w:t>OECD. OECD Income Distribution Database (IDD).  (2020).</w:t>
      </w:r>
    </w:p>
    <w:p w14:paraId="1BF258BC"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32.</w:t>
      </w:r>
      <w:r w:rsidRPr="001831EE">
        <w:rPr>
          <w:rFonts w:ascii="Arial" w:hAnsi="Arial" w:cs="Arial"/>
        </w:rPr>
        <w:tab/>
        <w:t xml:space="preserve">Bouffanais, R. &amp; Lim, S.S. Cities - try to predict superspreading hotspots for COVID-19. </w:t>
      </w:r>
      <w:r w:rsidRPr="001831EE">
        <w:rPr>
          <w:rFonts w:ascii="Arial" w:hAnsi="Arial" w:cs="Arial"/>
          <w:i/>
        </w:rPr>
        <w:t>Nature</w:t>
      </w:r>
      <w:r w:rsidRPr="001831EE">
        <w:rPr>
          <w:rFonts w:ascii="Arial" w:hAnsi="Arial" w:cs="Arial"/>
        </w:rPr>
        <w:t xml:space="preserve"> </w:t>
      </w:r>
      <w:r w:rsidRPr="001831EE">
        <w:rPr>
          <w:rFonts w:ascii="Arial" w:hAnsi="Arial" w:cs="Arial"/>
          <w:b/>
        </w:rPr>
        <w:t>583</w:t>
      </w:r>
      <w:r w:rsidRPr="001831EE">
        <w:rPr>
          <w:rFonts w:ascii="Arial" w:hAnsi="Arial" w:cs="Arial"/>
        </w:rPr>
        <w:t>, 352-355 (2020).</w:t>
      </w:r>
    </w:p>
    <w:p w14:paraId="3B42F4C5"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33.</w:t>
      </w:r>
      <w:r w:rsidRPr="001831EE">
        <w:rPr>
          <w:rFonts w:ascii="Arial" w:hAnsi="Arial" w:cs="Arial"/>
        </w:rPr>
        <w:tab/>
        <w:t>Hale, T., Webster, S., Petherick, A., Phillips, T. &amp; Kira, B. Oxford COVID-19 Government Response Tracker, Blavatnik School of Government.  (2020).</w:t>
      </w:r>
    </w:p>
    <w:p w14:paraId="12B5068E"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34.</w:t>
      </w:r>
      <w:r w:rsidRPr="001831EE">
        <w:rPr>
          <w:rFonts w:ascii="Arial" w:hAnsi="Arial" w:cs="Arial"/>
        </w:rPr>
        <w:tab/>
        <w:t>Okell, L.C.</w:t>
      </w:r>
      <w:r w:rsidRPr="001831EE">
        <w:rPr>
          <w:rFonts w:ascii="Arial" w:hAnsi="Arial" w:cs="Arial"/>
          <w:i/>
        </w:rPr>
        <w:t>, et al.</w:t>
      </w:r>
      <w:r w:rsidRPr="001831EE">
        <w:rPr>
          <w:rFonts w:ascii="Arial" w:hAnsi="Arial" w:cs="Arial"/>
        </w:rPr>
        <w:t xml:space="preserve"> Have deaths from COVID-19 in Europe plateaued due to herd immunity? </w:t>
      </w:r>
      <w:r w:rsidRPr="001831EE">
        <w:rPr>
          <w:rFonts w:ascii="Arial" w:hAnsi="Arial" w:cs="Arial"/>
          <w:i/>
        </w:rPr>
        <w:t>The Lancet</w:t>
      </w:r>
      <w:r w:rsidRPr="001831EE">
        <w:rPr>
          <w:rFonts w:ascii="Arial" w:hAnsi="Arial" w:cs="Arial"/>
        </w:rPr>
        <w:t xml:space="preserve"> </w:t>
      </w:r>
      <w:r w:rsidRPr="001831EE">
        <w:rPr>
          <w:rFonts w:ascii="Arial" w:hAnsi="Arial" w:cs="Arial"/>
          <w:b/>
        </w:rPr>
        <w:t>395</w:t>
      </w:r>
      <w:r w:rsidRPr="001831EE">
        <w:rPr>
          <w:rFonts w:ascii="Arial" w:hAnsi="Arial" w:cs="Arial"/>
        </w:rPr>
        <w:t>, e110-e111 (2020).</w:t>
      </w:r>
    </w:p>
    <w:p w14:paraId="45C93905"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35.</w:t>
      </w:r>
      <w:r w:rsidRPr="001831EE">
        <w:rPr>
          <w:rFonts w:ascii="Arial" w:hAnsi="Arial" w:cs="Arial"/>
        </w:rPr>
        <w:tab/>
        <w:t xml:space="preserve">Baker, M., Kvalsvig, A., Verrall, A.J., Telfar-Barnard, L. &amp; Wilson, N. New Zealand's elimination strategy for the COVID-19 pandemic and what is required to make it work. </w:t>
      </w:r>
      <w:r w:rsidRPr="001831EE">
        <w:rPr>
          <w:rFonts w:ascii="Arial" w:hAnsi="Arial" w:cs="Arial"/>
          <w:i/>
        </w:rPr>
        <w:t>N Z Med J</w:t>
      </w:r>
      <w:r w:rsidRPr="001831EE">
        <w:rPr>
          <w:rFonts w:ascii="Arial" w:hAnsi="Arial" w:cs="Arial"/>
        </w:rPr>
        <w:t xml:space="preserve"> </w:t>
      </w:r>
      <w:r w:rsidRPr="001831EE">
        <w:rPr>
          <w:rFonts w:ascii="Arial" w:hAnsi="Arial" w:cs="Arial"/>
          <w:b/>
        </w:rPr>
        <w:t>133</w:t>
      </w:r>
      <w:r w:rsidRPr="001831EE">
        <w:rPr>
          <w:rFonts w:ascii="Arial" w:hAnsi="Arial" w:cs="Arial"/>
        </w:rPr>
        <w:t>, 10-14 (2020).</w:t>
      </w:r>
    </w:p>
    <w:p w14:paraId="539D60F0"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36.</w:t>
      </w:r>
      <w:r w:rsidRPr="001831EE">
        <w:rPr>
          <w:rFonts w:ascii="Arial" w:hAnsi="Arial" w:cs="Arial"/>
        </w:rPr>
        <w:tab/>
        <w:t xml:space="preserve">Hirsch, C. Europe’s coronavirus lockdown measures compared. in </w:t>
      </w:r>
      <w:r w:rsidRPr="001831EE">
        <w:rPr>
          <w:rFonts w:ascii="Arial" w:hAnsi="Arial" w:cs="Arial"/>
          <w:i/>
        </w:rPr>
        <w:t>Politico</w:t>
      </w:r>
      <w:r w:rsidRPr="001831EE">
        <w:rPr>
          <w:rFonts w:ascii="Arial" w:hAnsi="Arial" w:cs="Arial"/>
        </w:rPr>
        <w:t xml:space="preserve"> (2020).</w:t>
      </w:r>
    </w:p>
    <w:p w14:paraId="579CB525"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37.</w:t>
      </w:r>
      <w:r w:rsidRPr="001831EE">
        <w:rPr>
          <w:rFonts w:ascii="Arial" w:hAnsi="Arial" w:cs="Arial"/>
        </w:rPr>
        <w:tab/>
        <w:t>Peto, J.</w:t>
      </w:r>
      <w:r w:rsidRPr="001831EE">
        <w:rPr>
          <w:rFonts w:ascii="Arial" w:hAnsi="Arial" w:cs="Arial"/>
          <w:i/>
        </w:rPr>
        <w:t>, et al.</w:t>
      </w:r>
      <w:r w:rsidRPr="001831EE">
        <w:rPr>
          <w:rFonts w:ascii="Arial" w:hAnsi="Arial" w:cs="Arial"/>
        </w:rPr>
        <w:t xml:space="preserve"> Weekly COVID-19 testing with household quarantine and contact tracing is feasible and would probably end the epidemic. </w:t>
      </w:r>
      <w:r w:rsidRPr="001831EE">
        <w:rPr>
          <w:rFonts w:ascii="Arial" w:hAnsi="Arial" w:cs="Arial"/>
          <w:i/>
        </w:rPr>
        <w:t>Royal Society Open Science</w:t>
      </w:r>
      <w:r w:rsidRPr="001831EE">
        <w:rPr>
          <w:rFonts w:ascii="Arial" w:hAnsi="Arial" w:cs="Arial"/>
        </w:rPr>
        <w:t xml:space="preserve"> </w:t>
      </w:r>
      <w:r w:rsidRPr="001831EE">
        <w:rPr>
          <w:rFonts w:ascii="Arial" w:hAnsi="Arial" w:cs="Arial"/>
          <w:b/>
        </w:rPr>
        <w:t>7</w:t>
      </w:r>
      <w:r w:rsidRPr="001831EE">
        <w:rPr>
          <w:rFonts w:ascii="Arial" w:hAnsi="Arial" w:cs="Arial"/>
        </w:rPr>
        <w:t>, 200915 (2020).</w:t>
      </w:r>
    </w:p>
    <w:p w14:paraId="31DE441A"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38.</w:t>
      </w:r>
      <w:r w:rsidRPr="001831EE">
        <w:rPr>
          <w:rFonts w:ascii="Arial" w:hAnsi="Arial" w:cs="Arial"/>
        </w:rPr>
        <w:tab/>
        <w:t xml:space="preserve">Scally, G., Jacobson, B. &amp; Abbasi, K. The UK's public health response to covid-19. </w:t>
      </w:r>
      <w:r w:rsidRPr="001831EE">
        <w:rPr>
          <w:rFonts w:ascii="Arial" w:hAnsi="Arial" w:cs="Arial"/>
          <w:i/>
        </w:rPr>
        <w:t>Bmj</w:t>
      </w:r>
      <w:r w:rsidRPr="001831EE">
        <w:rPr>
          <w:rFonts w:ascii="Arial" w:hAnsi="Arial" w:cs="Arial"/>
        </w:rPr>
        <w:t xml:space="preserve"> </w:t>
      </w:r>
      <w:r w:rsidRPr="001831EE">
        <w:rPr>
          <w:rFonts w:ascii="Arial" w:hAnsi="Arial" w:cs="Arial"/>
          <w:b/>
        </w:rPr>
        <w:t>369</w:t>
      </w:r>
      <w:r w:rsidRPr="001831EE">
        <w:rPr>
          <w:rFonts w:ascii="Arial" w:hAnsi="Arial" w:cs="Arial"/>
        </w:rPr>
        <w:t>, m1932 (2020).</w:t>
      </w:r>
    </w:p>
    <w:p w14:paraId="36E7765B"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39.</w:t>
      </w:r>
      <w:r w:rsidRPr="001831EE">
        <w:rPr>
          <w:rFonts w:ascii="Arial" w:hAnsi="Arial" w:cs="Arial"/>
        </w:rPr>
        <w:tab/>
        <w:t>Cooper, J. How does UK healthcare spending compare with other countries? .  (ONS, 2019).</w:t>
      </w:r>
    </w:p>
    <w:p w14:paraId="68B463E3"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40.</w:t>
      </w:r>
      <w:r w:rsidRPr="001831EE">
        <w:rPr>
          <w:rFonts w:ascii="Arial" w:hAnsi="Arial" w:cs="Arial"/>
        </w:rPr>
        <w:tab/>
        <w:t>OECD. Hospital beds (indicator).  (2020).</w:t>
      </w:r>
    </w:p>
    <w:p w14:paraId="6B68EBB5"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41.</w:t>
      </w:r>
      <w:r w:rsidRPr="001831EE">
        <w:rPr>
          <w:rFonts w:ascii="Arial" w:hAnsi="Arial" w:cs="Arial"/>
        </w:rPr>
        <w:tab/>
        <w:t xml:space="preserve">McKee, M. Learning from success: how has Hungary responded to the COVID pandemic? </w:t>
      </w:r>
      <w:r w:rsidRPr="001831EE">
        <w:rPr>
          <w:rFonts w:ascii="Arial" w:hAnsi="Arial" w:cs="Arial"/>
          <w:i/>
        </w:rPr>
        <w:t>Geroscience</w:t>
      </w:r>
      <w:r w:rsidRPr="001831EE">
        <w:rPr>
          <w:rFonts w:ascii="Arial" w:hAnsi="Arial" w:cs="Arial"/>
        </w:rPr>
        <w:t xml:space="preserve"> (2020).</w:t>
      </w:r>
    </w:p>
    <w:p w14:paraId="33275C57"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42.</w:t>
      </w:r>
      <w:r w:rsidRPr="001831EE">
        <w:rPr>
          <w:rFonts w:ascii="Arial" w:hAnsi="Arial" w:cs="Arial"/>
        </w:rPr>
        <w:tab/>
        <w:t>Comas-Herrera, A.</w:t>
      </w:r>
      <w:r w:rsidRPr="001831EE">
        <w:rPr>
          <w:rFonts w:ascii="Arial" w:hAnsi="Arial" w:cs="Arial"/>
          <w:i/>
        </w:rPr>
        <w:t>, et al.</w:t>
      </w:r>
      <w:r w:rsidRPr="001831EE">
        <w:rPr>
          <w:rFonts w:ascii="Arial" w:hAnsi="Arial" w:cs="Arial"/>
        </w:rPr>
        <w:t xml:space="preserve"> Mortality associated with COVID-19 outbreaks in care homes: early international evidence.  (International Long-Term Care Policy Network, CPEC-LSE, Article in LTCcovid.org, 2020).</w:t>
      </w:r>
    </w:p>
    <w:p w14:paraId="080E4A81"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43.</w:t>
      </w:r>
      <w:r w:rsidRPr="001831EE">
        <w:rPr>
          <w:rFonts w:ascii="Arial" w:hAnsi="Arial" w:cs="Arial"/>
        </w:rPr>
        <w:tab/>
        <w:t>DELVE Initiative. Scoping Report on Hospital and Health Care Acquisition of COVID-19 and its Control. Vol. DELVE Report No. 3 (2020).</w:t>
      </w:r>
    </w:p>
    <w:p w14:paraId="274CE2A0"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44.</w:t>
      </w:r>
      <w:r w:rsidRPr="001831EE">
        <w:rPr>
          <w:rFonts w:ascii="Arial" w:hAnsi="Arial" w:cs="Arial"/>
        </w:rPr>
        <w:tab/>
        <w:t xml:space="preserve">O’Neill, D. Covid-19 in care homes: the many determinants of this perfect storm. </w:t>
      </w:r>
      <w:r w:rsidRPr="001831EE">
        <w:rPr>
          <w:rFonts w:ascii="Arial" w:hAnsi="Arial" w:cs="Arial"/>
          <w:i/>
        </w:rPr>
        <w:t>BMJ</w:t>
      </w:r>
      <w:r w:rsidRPr="001831EE">
        <w:rPr>
          <w:rFonts w:ascii="Arial" w:hAnsi="Arial" w:cs="Arial"/>
        </w:rPr>
        <w:t xml:space="preserve"> </w:t>
      </w:r>
      <w:r w:rsidRPr="001831EE">
        <w:rPr>
          <w:rFonts w:ascii="Arial" w:hAnsi="Arial" w:cs="Arial"/>
          <w:b/>
        </w:rPr>
        <w:t>369</w:t>
      </w:r>
      <w:r w:rsidRPr="001831EE">
        <w:rPr>
          <w:rFonts w:ascii="Arial" w:hAnsi="Arial" w:cs="Arial"/>
        </w:rPr>
        <w:t>, m2096 (2020).</w:t>
      </w:r>
    </w:p>
    <w:p w14:paraId="4B9ECA99"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45.</w:t>
      </w:r>
      <w:r w:rsidRPr="001831EE">
        <w:rPr>
          <w:rFonts w:ascii="Arial" w:hAnsi="Arial" w:cs="Arial"/>
        </w:rPr>
        <w:tab/>
        <w:t xml:space="preserve">Galea, S., Merchant, R.M. &amp; Lurie, N. The Mental Health Consequences of COVID-19 and Physical Distancing: The Need for Prevention and Early Intervention. </w:t>
      </w:r>
      <w:r w:rsidRPr="001831EE">
        <w:rPr>
          <w:rFonts w:ascii="Arial" w:hAnsi="Arial" w:cs="Arial"/>
          <w:i/>
        </w:rPr>
        <w:t>JAMA Internal Medicine</w:t>
      </w:r>
      <w:r w:rsidRPr="001831EE">
        <w:rPr>
          <w:rFonts w:ascii="Arial" w:hAnsi="Arial" w:cs="Arial"/>
        </w:rPr>
        <w:t xml:space="preserve"> </w:t>
      </w:r>
      <w:r w:rsidRPr="001831EE">
        <w:rPr>
          <w:rFonts w:ascii="Arial" w:hAnsi="Arial" w:cs="Arial"/>
          <w:b/>
        </w:rPr>
        <w:t>180</w:t>
      </w:r>
      <w:r w:rsidRPr="001831EE">
        <w:rPr>
          <w:rFonts w:ascii="Arial" w:hAnsi="Arial" w:cs="Arial"/>
        </w:rPr>
        <w:t>, 817-818 (2020).</w:t>
      </w:r>
    </w:p>
    <w:p w14:paraId="25CF2B72"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46.</w:t>
      </w:r>
      <w:r w:rsidRPr="001831EE">
        <w:rPr>
          <w:rFonts w:ascii="Arial" w:hAnsi="Arial" w:cs="Arial"/>
        </w:rPr>
        <w:tab/>
        <w:t>Holmes, E.A.</w:t>
      </w:r>
      <w:r w:rsidRPr="001831EE">
        <w:rPr>
          <w:rFonts w:ascii="Arial" w:hAnsi="Arial" w:cs="Arial"/>
          <w:i/>
        </w:rPr>
        <w:t>, et al.</w:t>
      </w:r>
      <w:r w:rsidRPr="001831EE">
        <w:rPr>
          <w:rFonts w:ascii="Arial" w:hAnsi="Arial" w:cs="Arial"/>
        </w:rPr>
        <w:t xml:space="preserve"> Multidisciplinary research priorities for the COVID-19 pandemic: a call for action for mental health science. </w:t>
      </w:r>
      <w:r w:rsidRPr="001831EE">
        <w:rPr>
          <w:rFonts w:ascii="Arial" w:hAnsi="Arial" w:cs="Arial"/>
          <w:i/>
        </w:rPr>
        <w:t>The Lancet Psychiatry</w:t>
      </w:r>
      <w:r w:rsidRPr="001831EE">
        <w:rPr>
          <w:rFonts w:ascii="Arial" w:hAnsi="Arial" w:cs="Arial"/>
        </w:rPr>
        <w:t xml:space="preserve"> </w:t>
      </w:r>
      <w:r w:rsidRPr="001831EE">
        <w:rPr>
          <w:rFonts w:ascii="Arial" w:hAnsi="Arial" w:cs="Arial"/>
          <w:b/>
        </w:rPr>
        <w:t>7</w:t>
      </w:r>
      <w:r w:rsidRPr="001831EE">
        <w:rPr>
          <w:rFonts w:ascii="Arial" w:hAnsi="Arial" w:cs="Arial"/>
        </w:rPr>
        <w:t>, 547-560 (2020).</w:t>
      </w:r>
    </w:p>
    <w:p w14:paraId="17C2826B" w14:textId="77777777" w:rsidR="002F4D63" w:rsidRPr="001831EE" w:rsidRDefault="002F4D63" w:rsidP="002F4D63">
      <w:pPr>
        <w:pStyle w:val="EndNoteBibliography"/>
        <w:spacing w:after="0"/>
        <w:ind w:left="720" w:hanging="720"/>
        <w:jc w:val="both"/>
        <w:rPr>
          <w:rFonts w:ascii="Arial" w:hAnsi="Arial" w:cs="Arial"/>
        </w:rPr>
      </w:pPr>
      <w:r w:rsidRPr="001831EE">
        <w:rPr>
          <w:rFonts w:ascii="Arial" w:hAnsi="Arial" w:cs="Arial"/>
        </w:rPr>
        <w:t>47.</w:t>
      </w:r>
      <w:r w:rsidRPr="001831EE">
        <w:rPr>
          <w:rFonts w:ascii="Arial" w:hAnsi="Arial" w:cs="Arial"/>
        </w:rPr>
        <w:tab/>
        <w:t xml:space="preserve">Pfefferbaum, B. &amp; North, C.S. Mental Health and the Covid-19 Pandemic. </w:t>
      </w:r>
      <w:r w:rsidRPr="001831EE">
        <w:rPr>
          <w:rFonts w:ascii="Arial" w:hAnsi="Arial" w:cs="Arial"/>
          <w:i/>
        </w:rPr>
        <w:t>New England Journal of Medicine</w:t>
      </w:r>
      <w:r w:rsidRPr="001831EE">
        <w:rPr>
          <w:rFonts w:ascii="Arial" w:hAnsi="Arial" w:cs="Arial"/>
        </w:rPr>
        <w:t xml:space="preserve"> (2020).</w:t>
      </w:r>
    </w:p>
    <w:p w14:paraId="381EC2EB" w14:textId="77777777" w:rsidR="002F4D63" w:rsidRPr="005B3E97" w:rsidRDefault="002F4D63" w:rsidP="00A1249B">
      <w:pPr>
        <w:spacing w:line="480" w:lineRule="auto"/>
        <w:jc w:val="both"/>
        <w:rPr>
          <w:rFonts w:ascii="Arial" w:hAnsi="Arial" w:cs="Arial"/>
          <w:color w:val="000000"/>
          <w:sz w:val="22"/>
          <w:szCs w:val="22"/>
        </w:rPr>
      </w:pPr>
    </w:p>
    <w:p w14:paraId="7575BA0A" w14:textId="77777777" w:rsidR="00474D86" w:rsidRPr="005B3E97" w:rsidRDefault="00474D86" w:rsidP="00A1249B">
      <w:pPr>
        <w:spacing w:line="480" w:lineRule="auto"/>
        <w:jc w:val="both"/>
        <w:rPr>
          <w:rFonts w:ascii="Arial" w:hAnsi="Arial" w:cs="Arial"/>
          <w:color w:val="000000"/>
          <w:sz w:val="22"/>
          <w:szCs w:val="22"/>
        </w:rPr>
      </w:pPr>
    </w:p>
    <w:p w14:paraId="406F1AC0" w14:textId="77777777" w:rsidR="00474D86" w:rsidRPr="005B3E97" w:rsidRDefault="00474D86" w:rsidP="00A1249B">
      <w:pPr>
        <w:spacing w:line="480" w:lineRule="auto"/>
        <w:jc w:val="both"/>
        <w:rPr>
          <w:rFonts w:ascii="Arial" w:hAnsi="Arial" w:cs="Arial"/>
          <w:color w:val="000000"/>
          <w:sz w:val="22"/>
          <w:szCs w:val="22"/>
        </w:rPr>
      </w:pPr>
      <w:r w:rsidRPr="005B3E97">
        <w:rPr>
          <w:rFonts w:ascii="Arial" w:hAnsi="Arial" w:cs="Arial"/>
          <w:color w:val="000000"/>
          <w:sz w:val="22"/>
          <w:szCs w:val="22"/>
        </w:rPr>
        <w:br w:type="page"/>
      </w:r>
    </w:p>
    <w:p w14:paraId="0162212E" w14:textId="77777777" w:rsidR="00474D86" w:rsidRPr="005B3E97" w:rsidRDefault="00474D86" w:rsidP="00580F14">
      <w:pPr>
        <w:spacing w:line="480" w:lineRule="auto"/>
        <w:jc w:val="both"/>
        <w:rPr>
          <w:rFonts w:ascii="Arial" w:hAnsi="Arial" w:cs="Arial"/>
          <w:b/>
          <w:color w:val="000000"/>
          <w:sz w:val="22"/>
          <w:szCs w:val="22"/>
        </w:rPr>
      </w:pPr>
      <w:r w:rsidRPr="005B3E97">
        <w:rPr>
          <w:rFonts w:ascii="Arial" w:hAnsi="Arial" w:cs="Arial"/>
          <w:b/>
          <w:color w:val="000000"/>
          <w:sz w:val="22"/>
          <w:szCs w:val="22"/>
        </w:rPr>
        <w:lastRenderedPageBreak/>
        <w:t>Methods</w:t>
      </w:r>
    </w:p>
    <w:p w14:paraId="2C9F84A1" w14:textId="77777777" w:rsidR="00474D86" w:rsidRPr="005B3E97" w:rsidRDefault="00474D86" w:rsidP="00580F14">
      <w:pPr>
        <w:spacing w:line="480" w:lineRule="auto"/>
        <w:jc w:val="both"/>
        <w:rPr>
          <w:rFonts w:ascii="Arial" w:hAnsi="Arial" w:cs="Arial"/>
          <w:i/>
          <w:iCs/>
          <w:sz w:val="22"/>
          <w:szCs w:val="22"/>
        </w:rPr>
      </w:pPr>
      <w:r w:rsidRPr="005B3E97">
        <w:rPr>
          <w:rFonts w:ascii="Arial" w:hAnsi="Arial" w:cs="Arial"/>
          <w:i/>
          <w:iCs/>
          <w:sz w:val="22"/>
          <w:szCs w:val="22"/>
        </w:rPr>
        <w:t>Data sources</w:t>
      </w:r>
    </w:p>
    <w:p w14:paraId="7EAFE0B0" w14:textId="77777777" w:rsidR="00474D86" w:rsidRPr="005B3E97" w:rsidRDefault="00474D86" w:rsidP="005B3E97">
      <w:pPr>
        <w:spacing w:line="480" w:lineRule="auto"/>
        <w:jc w:val="both"/>
        <w:rPr>
          <w:rFonts w:ascii="Arial" w:hAnsi="Arial" w:cs="Arial"/>
          <w:sz w:val="22"/>
          <w:szCs w:val="22"/>
        </w:rPr>
      </w:pPr>
      <w:r w:rsidRPr="005B3E97">
        <w:rPr>
          <w:rFonts w:ascii="Arial" w:hAnsi="Arial" w:cs="Arial"/>
          <w:sz w:val="22"/>
          <w:szCs w:val="22"/>
        </w:rPr>
        <w:t>We included industrialised countries if</w:t>
      </w:r>
      <w:r>
        <w:rPr>
          <w:rFonts w:ascii="Arial" w:hAnsi="Arial" w:cs="Arial"/>
          <w:sz w:val="22"/>
          <w:szCs w:val="22"/>
        </w:rPr>
        <w:t>:</w:t>
      </w:r>
      <w:r w:rsidRPr="005B3E97">
        <w:rPr>
          <w:rFonts w:ascii="Arial" w:hAnsi="Arial" w:cs="Arial"/>
          <w:sz w:val="22"/>
          <w:szCs w:val="22"/>
        </w:rPr>
        <w:t xml:space="preserve"> </w:t>
      </w:r>
    </w:p>
    <w:p w14:paraId="3C4BC13A" w14:textId="77777777" w:rsidR="00474D86" w:rsidRPr="00696C59" w:rsidRDefault="00474D86" w:rsidP="005B0745">
      <w:pPr>
        <w:pStyle w:val="ListParagraph"/>
        <w:numPr>
          <w:ilvl w:val="0"/>
          <w:numId w:val="32"/>
        </w:numPr>
        <w:spacing w:after="0" w:line="480" w:lineRule="auto"/>
        <w:jc w:val="both"/>
        <w:rPr>
          <w:rFonts w:ascii="Arial" w:hAnsi="Arial" w:cs="Arial"/>
        </w:rPr>
      </w:pPr>
      <w:r>
        <w:rPr>
          <w:rFonts w:ascii="Arial" w:hAnsi="Arial" w:cs="Arial"/>
        </w:rPr>
        <w:t>We could access</w:t>
      </w:r>
      <w:r w:rsidRPr="00696C59">
        <w:rPr>
          <w:rFonts w:ascii="Arial" w:hAnsi="Arial" w:cs="Arial"/>
        </w:rPr>
        <w:t xml:space="preserve"> up</w:t>
      </w:r>
      <w:r>
        <w:rPr>
          <w:rFonts w:ascii="Arial" w:hAnsi="Arial" w:cs="Arial"/>
        </w:rPr>
        <w:t>-</w:t>
      </w:r>
      <w:r w:rsidRPr="00696C59">
        <w:rPr>
          <w:rFonts w:ascii="Arial" w:hAnsi="Arial" w:cs="Arial"/>
        </w:rPr>
        <w:t>to</w:t>
      </w:r>
      <w:r>
        <w:rPr>
          <w:rFonts w:ascii="Arial" w:hAnsi="Arial" w:cs="Arial"/>
        </w:rPr>
        <w:t>-</w:t>
      </w:r>
      <w:r w:rsidRPr="00696C59">
        <w:rPr>
          <w:rFonts w:ascii="Arial" w:hAnsi="Arial" w:cs="Arial"/>
        </w:rPr>
        <w:t>date weekly data on all-cause mortality divided by age group</w:t>
      </w:r>
      <w:r>
        <w:rPr>
          <w:rFonts w:ascii="Arial" w:hAnsi="Arial" w:cs="Arial"/>
        </w:rPr>
        <w:t xml:space="preserve"> and sex</w:t>
      </w:r>
      <w:r w:rsidRPr="00696C59">
        <w:rPr>
          <w:rFonts w:ascii="Arial" w:hAnsi="Arial" w:cs="Arial"/>
        </w:rPr>
        <w:t xml:space="preserve"> that extended through May 2020. We selected </w:t>
      </w:r>
      <w:r>
        <w:rPr>
          <w:rFonts w:ascii="Arial" w:hAnsi="Arial" w:cs="Arial"/>
        </w:rPr>
        <w:t>late</w:t>
      </w:r>
      <w:r w:rsidRPr="00696C59">
        <w:rPr>
          <w:rFonts w:ascii="Arial" w:hAnsi="Arial" w:cs="Arial"/>
        </w:rPr>
        <w:t xml:space="preserve"> May 2020 to have a consistent period of analysis </w:t>
      </w:r>
      <w:r>
        <w:rPr>
          <w:rFonts w:ascii="Arial" w:hAnsi="Arial" w:cs="Arial"/>
        </w:rPr>
        <w:t xml:space="preserve">for </w:t>
      </w:r>
      <w:r w:rsidRPr="00696C59">
        <w:rPr>
          <w:rFonts w:ascii="Arial" w:hAnsi="Arial" w:cs="Arial"/>
        </w:rPr>
        <w:t xml:space="preserve">all countries and because our results showed that by </w:t>
      </w:r>
      <w:r>
        <w:rPr>
          <w:rFonts w:ascii="Arial" w:hAnsi="Arial" w:cs="Arial"/>
        </w:rPr>
        <w:t>this date</w:t>
      </w:r>
      <w:r w:rsidRPr="00696C59">
        <w:rPr>
          <w:rFonts w:ascii="Arial" w:hAnsi="Arial" w:cs="Arial"/>
        </w:rPr>
        <w:t xml:space="preserve">, the probability that deaths were above the level that would be expected had the pandemic not occurred was </w:t>
      </w:r>
      <w:r>
        <w:rPr>
          <w:rFonts w:ascii="Arial" w:hAnsi="Arial" w:cs="Arial"/>
        </w:rPr>
        <w:t>within the 90% credible interval</w:t>
      </w:r>
      <w:r w:rsidRPr="00696C59">
        <w:rPr>
          <w:rFonts w:ascii="Arial" w:hAnsi="Arial" w:cs="Arial"/>
        </w:rPr>
        <w:t xml:space="preserve"> in </w:t>
      </w:r>
      <w:r>
        <w:rPr>
          <w:rFonts w:ascii="Arial" w:hAnsi="Arial" w:cs="Arial"/>
        </w:rPr>
        <w:t>the great majority of</w:t>
      </w:r>
      <w:r w:rsidRPr="00696C59">
        <w:rPr>
          <w:rFonts w:ascii="Arial" w:hAnsi="Arial" w:cs="Arial"/>
        </w:rPr>
        <w:t xml:space="preserve"> countries. </w:t>
      </w:r>
    </w:p>
    <w:p w14:paraId="4140A4EA" w14:textId="77777777" w:rsidR="00474D86" w:rsidRPr="005B3E97" w:rsidRDefault="00474D86" w:rsidP="007E7F05">
      <w:pPr>
        <w:pStyle w:val="ListParagraph"/>
        <w:numPr>
          <w:ilvl w:val="0"/>
          <w:numId w:val="32"/>
        </w:numPr>
        <w:spacing w:after="0" w:line="480" w:lineRule="auto"/>
        <w:jc w:val="both"/>
        <w:rPr>
          <w:rFonts w:ascii="Arial" w:hAnsi="Arial" w:cs="Arial"/>
        </w:rPr>
      </w:pPr>
      <w:r w:rsidRPr="005B3E97">
        <w:rPr>
          <w:rFonts w:ascii="Arial" w:hAnsi="Arial" w:cs="Arial"/>
        </w:rPr>
        <w:t>The time series of data went back at least to 2015 so that model parameters could be reliably estimated. For countries with longer time</w:t>
      </w:r>
      <w:r>
        <w:rPr>
          <w:rFonts w:ascii="Arial" w:hAnsi="Arial" w:cs="Arial"/>
        </w:rPr>
        <w:t xml:space="preserve"> </w:t>
      </w:r>
      <w:r w:rsidRPr="005B3E97">
        <w:rPr>
          <w:rFonts w:ascii="Arial" w:hAnsi="Arial" w:cs="Arial"/>
        </w:rPr>
        <w:t>series, we used data starting in 2010.</w:t>
      </w:r>
    </w:p>
    <w:p w14:paraId="68036C7D" w14:textId="77777777" w:rsidR="00474D86" w:rsidRPr="005B3E97" w:rsidRDefault="00474D86" w:rsidP="007E7F05">
      <w:pPr>
        <w:pStyle w:val="ListParagraph"/>
        <w:numPr>
          <w:ilvl w:val="0"/>
          <w:numId w:val="32"/>
        </w:numPr>
        <w:spacing w:after="0" w:line="480" w:lineRule="auto"/>
        <w:jc w:val="both"/>
        <w:rPr>
          <w:rFonts w:ascii="Arial" w:hAnsi="Arial" w:cs="Arial"/>
        </w:rPr>
      </w:pPr>
      <w:r w:rsidRPr="005B3E97">
        <w:rPr>
          <w:rFonts w:ascii="Arial" w:hAnsi="Arial" w:cs="Arial"/>
        </w:rPr>
        <w:t>Their total population in 20</w:t>
      </w:r>
      <w:r>
        <w:rPr>
          <w:rFonts w:ascii="Arial" w:hAnsi="Arial" w:cs="Arial"/>
        </w:rPr>
        <w:t>20</w:t>
      </w:r>
      <w:r w:rsidRPr="005B3E97">
        <w:rPr>
          <w:rFonts w:ascii="Arial" w:hAnsi="Arial" w:cs="Arial"/>
        </w:rPr>
        <w:t xml:space="preserve"> was &gt;</w:t>
      </w:r>
      <w:r>
        <w:rPr>
          <w:rFonts w:ascii="Arial" w:hAnsi="Arial" w:cs="Arial"/>
        </w:rPr>
        <w:t>4 million</w:t>
      </w:r>
      <w:r w:rsidRPr="005B3E97">
        <w:rPr>
          <w:rFonts w:ascii="Arial" w:hAnsi="Arial" w:cs="Arial"/>
        </w:rPr>
        <w:t>.</w:t>
      </w:r>
      <w:r>
        <w:rPr>
          <w:rFonts w:ascii="Arial" w:hAnsi="Arial" w:cs="Arial"/>
        </w:rPr>
        <w:t xml:space="preserve"> </w:t>
      </w:r>
      <w:r w:rsidRPr="003C6A99">
        <w:rPr>
          <w:rFonts w:ascii="Arial" w:hAnsi="Arial" w:cs="Arial"/>
        </w:rPr>
        <w:t>We excluded countries</w:t>
      </w:r>
      <w:r>
        <w:rPr>
          <w:rFonts w:ascii="Arial" w:hAnsi="Arial" w:cs="Arial"/>
        </w:rPr>
        <w:t xml:space="preserve"> with data but with smaller population</w:t>
      </w:r>
      <w:r w:rsidRPr="003C6A99">
        <w:rPr>
          <w:rFonts w:ascii="Arial" w:hAnsi="Arial" w:cs="Arial"/>
        </w:rPr>
        <w:t xml:space="preserve"> (Estonia, Iceland, Latvia, Liechtenstein, Lithuania, Luxembourg and Montenegro) because in many weeks, the number of deaths would </w:t>
      </w:r>
      <w:r>
        <w:rPr>
          <w:rFonts w:ascii="Arial" w:hAnsi="Arial" w:cs="Arial"/>
        </w:rPr>
        <w:t>be small or zero</w:t>
      </w:r>
      <w:r w:rsidRPr="003C6A99">
        <w:rPr>
          <w:rFonts w:ascii="Arial" w:hAnsi="Arial" w:cs="Arial"/>
        </w:rPr>
        <w:t xml:space="preserve">, especially </w:t>
      </w:r>
      <w:r>
        <w:rPr>
          <w:rFonts w:ascii="Arial" w:hAnsi="Arial" w:cs="Arial"/>
        </w:rPr>
        <w:t>for</w:t>
      </w:r>
      <w:r w:rsidRPr="003C6A99">
        <w:rPr>
          <w:rFonts w:ascii="Arial" w:hAnsi="Arial" w:cs="Arial"/>
        </w:rPr>
        <w:t xml:space="preserve"> those younger than 65 years. This would in turn lead to </w:t>
      </w:r>
      <w:r>
        <w:rPr>
          <w:rFonts w:ascii="Arial" w:hAnsi="Arial" w:cs="Arial"/>
        </w:rPr>
        <w:t>either</w:t>
      </w:r>
      <w:r w:rsidRPr="003C6A99">
        <w:rPr>
          <w:rFonts w:ascii="Arial" w:hAnsi="Arial" w:cs="Arial"/>
        </w:rPr>
        <w:t xml:space="preserve"> large uncertainty that would make it hard to differentiate between those places with and without an impact</w:t>
      </w:r>
      <w:r>
        <w:rPr>
          <w:rFonts w:ascii="Arial" w:hAnsi="Arial" w:cs="Arial"/>
        </w:rPr>
        <w:t>, or unstable estimates because the model is fitted to many weeks with zero deaths.</w:t>
      </w:r>
      <w:r w:rsidRPr="003C6A99">
        <w:rPr>
          <w:rFonts w:ascii="Arial" w:hAnsi="Arial" w:cs="Arial"/>
        </w:rPr>
        <w:t xml:space="preserve"> </w:t>
      </w:r>
    </w:p>
    <w:p w14:paraId="6665DC30" w14:textId="77777777" w:rsidR="00474D86" w:rsidRPr="005B3E97" w:rsidRDefault="00474D86" w:rsidP="005B3E97">
      <w:pPr>
        <w:spacing w:line="480" w:lineRule="auto"/>
        <w:jc w:val="both"/>
        <w:rPr>
          <w:rFonts w:ascii="Arial" w:hAnsi="Arial" w:cs="Arial"/>
          <w:sz w:val="22"/>
          <w:szCs w:val="22"/>
        </w:rPr>
      </w:pPr>
    </w:p>
    <w:p w14:paraId="6CBD030A" w14:textId="77777777" w:rsidR="00474D86" w:rsidRDefault="00474D86" w:rsidP="009A44F2">
      <w:pPr>
        <w:spacing w:line="480" w:lineRule="auto"/>
        <w:jc w:val="both"/>
        <w:rPr>
          <w:rFonts w:ascii="Arial" w:hAnsi="Arial" w:cs="Arial"/>
          <w:sz w:val="22"/>
          <w:szCs w:val="22"/>
        </w:rPr>
      </w:pPr>
      <w:r w:rsidRPr="005B3E97">
        <w:rPr>
          <w:rFonts w:ascii="Arial" w:hAnsi="Arial" w:cs="Arial"/>
          <w:sz w:val="22"/>
          <w:szCs w:val="22"/>
        </w:rPr>
        <w:t xml:space="preserve">The sources of </w:t>
      </w:r>
      <w:r>
        <w:rPr>
          <w:rFonts w:ascii="Arial" w:hAnsi="Arial" w:cs="Arial"/>
          <w:sz w:val="22"/>
          <w:szCs w:val="22"/>
        </w:rPr>
        <w:t xml:space="preserve">population and mortality </w:t>
      </w:r>
      <w:r w:rsidRPr="005B3E97">
        <w:rPr>
          <w:rFonts w:ascii="Arial" w:hAnsi="Arial" w:cs="Arial"/>
          <w:sz w:val="22"/>
          <w:szCs w:val="22"/>
        </w:rPr>
        <w:t xml:space="preserve">data are </w:t>
      </w:r>
      <w:r>
        <w:rPr>
          <w:rFonts w:ascii="Arial" w:hAnsi="Arial" w:cs="Arial"/>
          <w:sz w:val="22"/>
          <w:szCs w:val="22"/>
        </w:rPr>
        <w:t xml:space="preserve">provided </w:t>
      </w:r>
      <w:r w:rsidRPr="005B3E97">
        <w:rPr>
          <w:rFonts w:ascii="Arial" w:hAnsi="Arial" w:cs="Arial"/>
          <w:sz w:val="22"/>
          <w:szCs w:val="22"/>
        </w:rPr>
        <w:t xml:space="preserve">in Extended Data Table </w:t>
      </w:r>
      <w:r>
        <w:rPr>
          <w:rFonts w:ascii="Arial" w:hAnsi="Arial" w:cs="Arial"/>
          <w:sz w:val="22"/>
          <w:szCs w:val="22"/>
        </w:rPr>
        <w:t>2</w:t>
      </w:r>
      <w:r w:rsidRPr="005B3E97">
        <w:rPr>
          <w:rFonts w:ascii="Arial" w:hAnsi="Arial" w:cs="Arial"/>
          <w:sz w:val="22"/>
          <w:szCs w:val="22"/>
        </w:rPr>
        <w:t>.</w:t>
      </w:r>
      <w:r>
        <w:rPr>
          <w:rFonts w:ascii="Arial" w:hAnsi="Arial" w:cs="Arial"/>
          <w:sz w:val="22"/>
          <w:szCs w:val="22"/>
        </w:rPr>
        <w:t xml:space="preserve"> </w:t>
      </w:r>
      <w:r w:rsidRPr="005B3E97">
        <w:rPr>
          <w:rFonts w:ascii="Arial" w:hAnsi="Arial" w:cs="Arial"/>
          <w:sz w:val="22"/>
          <w:szCs w:val="22"/>
        </w:rPr>
        <w:t xml:space="preserve">We calculated weekly population through interpolation of </w:t>
      </w:r>
      <w:r>
        <w:rPr>
          <w:rFonts w:ascii="Arial" w:hAnsi="Arial" w:cs="Arial"/>
          <w:sz w:val="22"/>
          <w:szCs w:val="22"/>
        </w:rPr>
        <w:t>yearly</w:t>
      </w:r>
      <w:r w:rsidRPr="005B3E97">
        <w:rPr>
          <w:rFonts w:ascii="Arial" w:hAnsi="Arial" w:cs="Arial"/>
          <w:sz w:val="22"/>
          <w:szCs w:val="22"/>
        </w:rPr>
        <w:t xml:space="preserve"> population</w:t>
      </w:r>
      <w:r>
        <w:rPr>
          <w:rFonts w:ascii="Arial" w:hAnsi="Arial" w:cs="Arial"/>
          <w:sz w:val="22"/>
          <w:szCs w:val="22"/>
        </w:rPr>
        <w:t>, consistent with approach taken by national statistical offices for intra-annual population calculation</w:t>
      </w:r>
      <w:r w:rsidRPr="001831EE">
        <w:rPr>
          <w:rFonts w:ascii="Arial" w:hAnsi="Arial" w:cs="Arial"/>
          <w:noProof/>
          <w:sz w:val="22"/>
          <w:szCs w:val="22"/>
          <w:vertAlign w:val="superscript"/>
        </w:rPr>
        <w:t>48</w:t>
      </w:r>
      <w:r>
        <w:rPr>
          <w:rFonts w:ascii="Arial" w:hAnsi="Arial" w:cs="Arial"/>
          <w:sz w:val="22"/>
          <w:szCs w:val="22"/>
        </w:rPr>
        <w:t>.</w:t>
      </w:r>
      <w:r w:rsidRPr="005B3E97">
        <w:rPr>
          <w:rFonts w:ascii="Arial" w:hAnsi="Arial" w:cs="Arial"/>
          <w:sz w:val="22"/>
          <w:szCs w:val="22"/>
        </w:rPr>
        <w:t xml:space="preserve"> </w:t>
      </w:r>
      <w:r>
        <w:rPr>
          <w:rFonts w:ascii="Arial" w:hAnsi="Arial" w:cs="Arial"/>
          <w:sz w:val="22"/>
          <w:szCs w:val="22"/>
        </w:rPr>
        <w:t xml:space="preserve">Population for 2020 was obtained through linear extrapolation from the last five years. </w:t>
      </w:r>
      <w:r w:rsidRPr="005B3E97">
        <w:rPr>
          <w:rFonts w:ascii="Arial" w:hAnsi="Arial" w:cs="Arial"/>
          <w:sz w:val="22"/>
          <w:szCs w:val="22"/>
        </w:rPr>
        <w:t>We obtained data on temperature from ERA5</w:t>
      </w:r>
      <w:r w:rsidRPr="001831EE">
        <w:rPr>
          <w:rFonts w:ascii="Arial" w:hAnsi="Arial" w:cs="Arial"/>
          <w:noProof/>
          <w:sz w:val="22"/>
          <w:szCs w:val="22"/>
          <w:vertAlign w:val="superscript"/>
        </w:rPr>
        <w:t>49</w:t>
      </w:r>
      <w:r>
        <w:rPr>
          <w:rFonts w:ascii="Arial" w:hAnsi="Arial" w:cs="Arial"/>
          <w:sz w:val="22"/>
          <w:szCs w:val="22"/>
        </w:rPr>
        <w:t>,</w:t>
      </w:r>
      <w:r w:rsidRPr="005B3E97">
        <w:rPr>
          <w:rFonts w:ascii="Arial" w:hAnsi="Arial" w:cs="Arial"/>
          <w:sz w:val="22"/>
          <w:szCs w:val="22"/>
        </w:rPr>
        <w:t xml:space="preserve"> which uses data from global in situ and satellite measurements to generate a worldwide meteorological dataset, with full space and time coverage over our analysis period. </w:t>
      </w:r>
      <w:bookmarkStart w:id="4" w:name="_Hlk44078372"/>
      <w:r w:rsidRPr="005B3E97">
        <w:rPr>
          <w:rFonts w:ascii="Arial" w:hAnsi="Arial" w:cs="Arial"/>
          <w:sz w:val="22"/>
          <w:szCs w:val="22"/>
        </w:rPr>
        <w:t xml:space="preserve">We used gridded </w:t>
      </w:r>
      <w:r>
        <w:rPr>
          <w:rFonts w:ascii="Arial" w:hAnsi="Arial" w:cs="Arial"/>
          <w:sz w:val="22"/>
          <w:szCs w:val="22"/>
        </w:rPr>
        <w:t xml:space="preserve">temperature </w:t>
      </w:r>
      <w:r w:rsidRPr="005B3E97">
        <w:rPr>
          <w:rFonts w:ascii="Arial" w:hAnsi="Arial" w:cs="Arial"/>
          <w:sz w:val="22"/>
          <w:szCs w:val="22"/>
        </w:rPr>
        <w:t xml:space="preserve">estimates measured four times daily at a resolution of 30 km to generate weekly temperatures for </w:t>
      </w:r>
      <w:r w:rsidRPr="00B67D3C">
        <w:rPr>
          <w:rFonts w:ascii="Arial" w:hAnsi="Arial" w:cs="Arial"/>
          <w:sz w:val="22"/>
          <w:szCs w:val="22"/>
        </w:rPr>
        <w:t xml:space="preserve">each first-level administrative region, and gridded </w:t>
      </w:r>
      <w:r w:rsidRPr="004E068C">
        <w:rPr>
          <w:rFonts w:ascii="Arial" w:hAnsi="Arial" w:cs="Arial"/>
          <w:sz w:val="22"/>
          <w:szCs w:val="22"/>
        </w:rPr>
        <w:t xml:space="preserve">population data </w:t>
      </w:r>
      <w:r>
        <w:rPr>
          <w:rFonts w:ascii="Arial" w:hAnsi="Arial" w:cs="Arial"/>
          <w:sz w:val="22"/>
          <w:szCs w:val="22"/>
        </w:rPr>
        <w:lastRenderedPageBreak/>
        <w:t>(</w:t>
      </w:r>
      <w:hyperlink r:id="rId7" w:history="1">
        <w:r w:rsidRPr="000C0809">
          <w:rPr>
            <w:rStyle w:val="Hyperlink"/>
            <w:rFonts w:ascii="Arial" w:hAnsi="Arial" w:cs="Arial"/>
            <w:sz w:val="22"/>
            <w:szCs w:val="22"/>
          </w:rPr>
          <w:t>https://sedac.ciesin.columbia.edu/data/collection/gpw-v4</w:t>
        </w:r>
      </w:hyperlink>
      <w:r>
        <w:rPr>
          <w:rFonts w:ascii="Arial" w:hAnsi="Arial" w:cs="Arial"/>
          <w:sz w:val="22"/>
          <w:szCs w:val="22"/>
        </w:rPr>
        <w:t xml:space="preserve">) </w:t>
      </w:r>
      <w:r w:rsidRPr="004E068C">
        <w:rPr>
          <w:rFonts w:ascii="Arial" w:hAnsi="Arial" w:cs="Arial"/>
          <w:sz w:val="22"/>
          <w:szCs w:val="22"/>
        </w:rPr>
        <w:t>to generate population estimates by first-level administrative region in each country. We weighted weekly temperature by population of each first-level administrative region to create national level weekly temperature summaries.</w:t>
      </w:r>
    </w:p>
    <w:bookmarkEnd w:id="4"/>
    <w:p w14:paraId="2A2A7C2A" w14:textId="77777777" w:rsidR="00474D86" w:rsidRPr="005B3E97" w:rsidRDefault="00474D86" w:rsidP="009A44F2">
      <w:pPr>
        <w:spacing w:line="480" w:lineRule="auto"/>
        <w:jc w:val="both"/>
        <w:rPr>
          <w:rFonts w:ascii="Arial" w:hAnsi="Arial" w:cs="Arial"/>
          <w:sz w:val="22"/>
          <w:szCs w:val="22"/>
        </w:rPr>
      </w:pPr>
    </w:p>
    <w:p w14:paraId="3AEA0F88" w14:textId="77777777" w:rsidR="00474D86" w:rsidRPr="005B3E97" w:rsidRDefault="00474D86" w:rsidP="009A44F2">
      <w:pPr>
        <w:spacing w:line="480" w:lineRule="auto"/>
        <w:jc w:val="both"/>
        <w:rPr>
          <w:rFonts w:ascii="Arial" w:hAnsi="Arial" w:cs="Arial"/>
          <w:i/>
          <w:iCs/>
          <w:sz w:val="22"/>
          <w:szCs w:val="22"/>
        </w:rPr>
      </w:pPr>
      <w:r w:rsidRPr="005B3E97">
        <w:rPr>
          <w:rFonts w:ascii="Arial" w:hAnsi="Arial" w:cs="Arial"/>
          <w:i/>
          <w:iCs/>
          <w:sz w:val="22"/>
          <w:szCs w:val="22"/>
        </w:rPr>
        <w:t>Statistical methods</w:t>
      </w:r>
    </w:p>
    <w:p w14:paraId="406297B1" w14:textId="77777777" w:rsidR="00474D86" w:rsidRPr="005B3E97" w:rsidRDefault="00474D86" w:rsidP="00580F14">
      <w:pPr>
        <w:spacing w:line="480" w:lineRule="auto"/>
        <w:jc w:val="both"/>
        <w:rPr>
          <w:rFonts w:ascii="Arial" w:hAnsi="Arial" w:cs="Arial"/>
          <w:sz w:val="22"/>
          <w:szCs w:val="22"/>
        </w:rPr>
      </w:pPr>
      <w:bookmarkStart w:id="5" w:name="_Hlk40079942"/>
      <w:r w:rsidRPr="005B3E97">
        <w:rPr>
          <w:rFonts w:ascii="Arial" w:hAnsi="Arial" w:cs="Arial"/>
          <w:sz w:val="22"/>
          <w:szCs w:val="22"/>
        </w:rPr>
        <w:t xml:space="preserve">The total mortality impact of the Covid-19 pandemic </w:t>
      </w:r>
      <w:r>
        <w:rPr>
          <w:rFonts w:ascii="Arial" w:hAnsi="Arial" w:cs="Arial"/>
          <w:sz w:val="22"/>
          <w:szCs w:val="22"/>
        </w:rPr>
        <w:t>is</w:t>
      </w:r>
      <w:r w:rsidRPr="005B3E97">
        <w:rPr>
          <w:rFonts w:ascii="Arial" w:hAnsi="Arial" w:cs="Arial"/>
          <w:sz w:val="22"/>
          <w:szCs w:val="22"/>
        </w:rPr>
        <w:t xml:space="preserve"> the difference between the observed number of deaths </w:t>
      </w:r>
      <w:r>
        <w:rPr>
          <w:rFonts w:ascii="Arial" w:hAnsi="Arial" w:cs="Arial"/>
          <w:sz w:val="22"/>
          <w:szCs w:val="22"/>
        </w:rPr>
        <w:t xml:space="preserve">from all causes of death </w:t>
      </w:r>
      <w:r w:rsidRPr="005B3E97">
        <w:rPr>
          <w:rFonts w:ascii="Arial" w:hAnsi="Arial" w:cs="Arial"/>
          <w:sz w:val="22"/>
          <w:szCs w:val="22"/>
        </w:rPr>
        <w:t xml:space="preserve">and the number of deaths had </w:t>
      </w:r>
      <w:bookmarkStart w:id="6" w:name="_Hlk39657641"/>
      <w:r w:rsidRPr="005B3E97">
        <w:rPr>
          <w:rFonts w:ascii="Arial" w:hAnsi="Arial" w:cs="Arial"/>
          <w:sz w:val="22"/>
          <w:szCs w:val="22"/>
        </w:rPr>
        <w:t xml:space="preserve">the pandemic not </w:t>
      </w:r>
      <w:bookmarkEnd w:id="6"/>
      <w:r w:rsidRPr="005B3E97">
        <w:rPr>
          <w:rFonts w:ascii="Arial" w:hAnsi="Arial" w:cs="Arial"/>
          <w:sz w:val="22"/>
          <w:szCs w:val="22"/>
        </w:rPr>
        <w:t xml:space="preserve">occurred, which is not directly measurable. The most common approach to </w:t>
      </w:r>
      <w:r>
        <w:rPr>
          <w:rFonts w:ascii="Arial" w:hAnsi="Arial" w:cs="Arial"/>
          <w:sz w:val="22"/>
          <w:szCs w:val="22"/>
        </w:rPr>
        <w:t xml:space="preserve">calculating </w:t>
      </w:r>
      <w:r w:rsidRPr="005B3E97">
        <w:rPr>
          <w:rFonts w:ascii="Arial" w:hAnsi="Arial" w:cs="Arial"/>
          <w:sz w:val="22"/>
          <w:szCs w:val="22"/>
        </w:rPr>
        <w:t>the number of deaths had the pandemic not occurred has been to use the average number of deaths over previous years, e.g., the most recent five years, for the corresponding week or month when the comparison is made</w:t>
      </w:r>
      <w:r w:rsidRPr="001831EE">
        <w:rPr>
          <w:rFonts w:ascii="Arial" w:hAnsi="Arial" w:cs="Arial"/>
          <w:noProof/>
          <w:sz w:val="22"/>
          <w:szCs w:val="22"/>
          <w:vertAlign w:val="superscript"/>
        </w:rPr>
        <w:t>50</w:t>
      </w:r>
      <w:r>
        <w:rPr>
          <w:rFonts w:ascii="Arial" w:hAnsi="Arial" w:cs="Arial"/>
          <w:sz w:val="22"/>
          <w:szCs w:val="22"/>
        </w:rPr>
        <w:t>.</w:t>
      </w:r>
      <w:r w:rsidRPr="005B3E97">
        <w:rPr>
          <w:rFonts w:ascii="Arial" w:hAnsi="Arial" w:cs="Arial"/>
          <w:sz w:val="22"/>
          <w:szCs w:val="22"/>
        </w:rPr>
        <w:t xml:space="preserve"> This approach however does not take into account changes in population size and age structure, nor long- and short-term trends in mortality, which are particularly pronounced for some age groups</w:t>
      </w:r>
      <w:r w:rsidRPr="001831EE">
        <w:rPr>
          <w:rFonts w:ascii="Arial" w:hAnsi="Arial" w:cs="Arial"/>
          <w:noProof/>
          <w:sz w:val="22"/>
          <w:szCs w:val="22"/>
          <w:vertAlign w:val="superscript"/>
        </w:rPr>
        <w:t>51,52</w:t>
      </w:r>
      <w:r>
        <w:rPr>
          <w:rFonts w:ascii="Arial" w:hAnsi="Arial" w:cs="Arial"/>
          <w:sz w:val="22"/>
          <w:szCs w:val="22"/>
        </w:rPr>
        <w:t>.</w:t>
      </w:r>
      <w:r w:rsidRPr="005B3E97">
        <w:rPr>
          <w:rFonts w:ascii="Arial" w:hAnsi="Arial" w:cs="Arial"/>
          <w:sz w:val="22"/>
          <w:szCs w:val="22"/>
        </w:rPr>
        <w:t xml:space="preserve"> Nor does this approach account for time-varying factors like temperature, that are largely external to the pandemic, but also affect death rates. </w:t>
      </w:r>
    </w:p>
    <w:p w14:paraId="21623F7D" w14:textId="77777777" w:rsidR="00474D86" w:rsidRPr="005B3E97" w:rsidRDefault="00474D86" w:rsidP="00580F14">
      <w:pPr>
        <w:spacing w:line="480" w:lineRule="auto"/>
        <w:jc w:val="both"/>
        <w:rPr>
          <w:rFonts w:ascii="Arial" w:hAnsi="Arial" w:cs="Arial"/>
          <w:sz w:val="22"/>
          <w:szCs w:val="22"/>
        </w:rPr>
      </w:pPr>
    </w:p>
    <w:p w14:paraId="512A5E40" w14:textId="77777777" w:rsidR="00474D86" w:rsidRPr="005B3E97" w:rsidRDefault="00474D86" w:rsidP="00783459">
      <w:pPr>
        <w:spacing w:line="480" w:lineRule="auto"/>
        <w:jc w:val="both"/>
        <w:rPr>
          <w:rFonts w:ascii="Arial" w:hAnsi="Arial" w:cs="Arial"/>
          <w:sz w:val="22"/>
          <w:szCs w:val="22"/>
        </w:rPr>
      </w:pPr>
      <w:r w:rsidRPr="005B3E97">
        <w:rPr>
          <w:rFonts w:ascii="Arial" w:hAnsi="Arial" w:cs="Arial"/>
          <w:sz w:val="22"/>
          <w:szCs w:val="22"/>
        </w:rPr>
        <w:t xml:space="preserve">We developed an ensemble of 16 Bayesian mortality projection models that each make an estimate of weekly death rates that would </w:t>
      </w:r>
      <w:r>
        <w:rPr>
          <w:rFonts w:ascii="Arial" w:hAnsi="Arial" w:cs="Arial"/>
          <w:sz w:val="22"/>
          <w:szCs w:val="22"/>
        </w:rPr>
        <w:t xml:space="preserve">have </w:t>
      </w:r>
      <w:r w:rsidRPr="005B3E97">
        <w:rPr>
          <w:rFonts w:ascii="Arial" w:hAnsi="Arial" w:cs="Arial"/>
          <w:sz w:val="22"/>
          <w:szCs w:val="22"/>
        </w:rPr>
        <w:t>be</w:t>
      </w:r>
      <w:r>
        <w:rPr>
          <w:rFonts w:ascii="Arial" w:hAnsi="Arial" w:cs="Arial"/>
          <w:sz w:val="22"/>
          <w:szCs w:val="22"/>
        </w:rPr>
        <w:t>en</w:t>
      </w:r>
      <w:r w:rsidRPr="005B3E97">
        <w:rPr>
          <w:rFonts w:ascii="Arial" w:hAnsi="Arial" w:cs="Arial"/>
          <w:sz w:val="22"/>
          <w:szCs w:val="22"/>
        </w:rPr>
        <w:t xml:space="preserve"> expected if the Covid-19 pandemic had not occurred. We used multiple models because there is inherent uncertainty in the choice of model that best predicts death rates in the absence of pandemic. These models were formulated to incorporate features of weekly death rates as follows:</w:t>
      </w:r>
    </w:p>
    <w:p w14:paraId="616E8DCC" w14:textId="77777777" w:rsidR="00474D86" w:rsidRPr="005B3E97" w:rsidRDefault="00474D86" w:rsidP="00C61ADA">
      <w:pPr>
        <w:pStyle w:val="ListParagraph"/>
        <w:numPr>
          <w:ilvl w:val="0"/>
          <w:numId w:val="30"/>
        </w:numPr>
        <w:spacing w:after="0" w:line="480" w:lineRule="auto"/>
        <w:jc w:val="both"/>
        <w:rPr>
          <w:rFonts w:ascii="Arial" w:hAnsi="Arial" w:cs="Arial"/>
        </w:rPr>
      </w:pPr>
      <w:r w:rsidRPr="005B3E97">
        <w:rPr>
          <w:rFonts w:ascii="Arial" w:hAnsi="Arial" w:cs="Arial"/>
        </w:rPr>
        <w:t>First, death rates may have a medium-to-long-term trend</w:t>
      </w:r>
      <w:r>
        <w:rPr>
          <w:rFonts w:ascii="Arial" w:hAnsi="Arial" w:cs="Arial"/>
        </w:rPr>
        <w:t xml:space="preserve"> that affect mortality in 2020 compared to earlier years</w:t>
      </w:r>
      <w:r w:rsidRPr="005B3E97">
        <w:rPr>
          <w:rFonts w:ascii="Arial" w:hAnsi="Arial" w:cs="Arial"/>
        </w:rPr>
        <w:t xml:space="preserve">. We developed two sets of models, one with no trend and one with a linear trend term over weekly deaths. </w:t>
      </w:r>
    </w:p>
    <w:p w14:paraId="6942AF10" w14:textId="77777777" w:rsidR="00474D86" w:rsidRPr="005B3E97" w:rsidRDefault="00474D86" w:rsidP="003B1ED6">
      <w:pPr>
        <w:pStyle w:val="ListParagraph"/>
        <w:numPr>
          <w:ilvl w:val="0"/>
          <w:numId w:val="30"/>
        </w:numPr>
        <w:spacing w:after="0" w:line="480" w:lineRule="auto"/>
        <w:jc w:val="both"/>
        <w:rPr>
          <w:rFonts w:ascii="Arial" w:hAnsi="Arial" w:cs="Arial"/>
        </w:rPr>
      </w:pPr>
      <w:r w:rsidRPr="005B3E97">
        <w:rPr>
          <w:rFonts w:ascii="Arial" w:hAnsi="Arial" w:cs="Arial"/>
        </w:rPr>
        <w:t>Second, death rates have a seasonal pattern, which varies by age group and sex</w:t>
      </w:r>
      <w:r w:rsidRPr="001831EE">
        <w:rPr>
          <w:rFonts w:ascii="Arial" w:hAnsi="Arial" w:cs="Arial"/>
          <w:noProof/>
          <w:vertAlign w:val="superscript"/>
        </w:rPr>
        <w:t>53-56</w:t>
      </w:r>
      <w:r>
        <w:rPr>
          <w:rFonts w:ascii="Arial" w:hAnsi="Arial" w:cs="Arial"/>
        </w:rPr>
        <w:t>.</w:t>
      </w:r>
      <w:r w:rsidRPr="005B3E97">
        <w:rPr>
          <w:rFonts w:ascii="Arial" w:hAnsi="Arial" w:cs="Arial"/>
        </w:rPr>
        <w:t xml:space="preserve"> We included weekly random intercepts for each week of the year. To account for the fact that seasonal patterns “repeat” (i.e., late December and early January are seasonally similar) </w:t>
      </w:r>
      <w:r w:rsidRPr="005B3E97">
        <w:rPr>
          <w:rFonts w:ascii="Arial" w:hAnsi="Arial" w:cs="Arial"/>
        </w:rPr>
        <w:lastRenderedPageBreak/>
        <w:t>we used a seasonal structure</w:t>
      </w:r>
      <w:r w:rsidRPr="001831EE">
        <w:rPr>
          <w:rFonts w:ascii="Arial" w:hAnsi="Arial" w:cs="Arial"/>
          <w:noProof/>
          <w:vertAlign w:val="superscript"/>
        </w:rPr>
        <w:t>57,58</w:t>
      </w:r>
      <w:r w:rsidRPr="005B3E97">
        <w:rPr>
          <w:rFonts w:ascii="Arial" w:hAnsi="Arial" w:cs="Arial"/>
        </w:rPr>
        <w:t xml:space="preserve"> for the random intercepts. The seasonal structure allows the magnitude of the random intercepts to vary over time, and implicitly </w:t>
      </w:r>
      <w:r>
        <w:rPr>
          <w:rFonts w:ascii="Arial" w:hAnsi="Arial" w:cs="Arial"/>
        </w:rPr>
        <w:t>incorporates</w:t>
      </w:r>
      <w:r w:rsidRPr="005B3E97">
        <w:rPr>
          <w:rFonts w:ascii="Arial" w:hAnsi="Arial" w:cs="Arial"/>
        </w:rPr>
        <w:t xml:space="preserve"> time-varying factors such as annual fluctuations in flu season.</w:t>
      </w:r>
    </w:p>
    <w:p w14:paraId="3E42DE7E" w14:textId="77777777" w:rsidR="00474D86" w:rsidRPr="005B3E97" w:rsidRDefault="00474D86" w:rsidP="009B1F02">
      <w:pPr>
        <w:pStyle w:val="ListParagraph"/>
        <w:numPr>
          <w:ilvl w:val="0"/>
          <w:numId w:val="30"/>
        </w:numPr>
        <w:spacing w:after="0" w:line="480" w:lineRule="auto"/>
        <w:jc w:val="both"/>
        <w:rPr>
          <w:rFonts w:ascii="Arial" w:hAnsi="Arial" w:cs="Arial"/>
        </w:rPr>
      </w:pPr>
      <w:r w:rsidRPr="005B3E97">
        <w:rPr>
          <w:rFonts w:ascii="Arial" w:hAnsi="Arial" w:cs="Arial"/>
        </w:rPr>
        <w:t xml:space="preserve">Third, death rates in each week may be related to </w:t>
      </w:r>
      <w:r>
        <w:rPr>
          <w:rFonts w:ascii="Arial" w:hAnsi="Arial" w:cs="Arial"/>
        </w:rPr>
        <w:t>rates</w:t>
      </w:r>
      <w:r w:rsidRPr="005B3E97">
        <w:rPr>
          <w:rFonts w:ascii="Arial" w:hAnsi="Arial" w:cs="Arial"/>
        </w:rPr>
        <w:t xml:space="preserve"> in preceding week(s)</w:t>
      </w:r>
      <w:r>
        <w:rPr>
          <w:rFonts w:ascii="Arial" w:hAnsi="Arial" w:cs="Arial"/>
        </w:rPr>
        <w:t>, due to short-term phenomena such as severity of the flu season.</w:t>
      </w:r>
      <w:r w:rsidRPr="005B3E97">
        <w:rPr>
          <w:rFonts w:ascii="Arial" w:hAnsi="Arial" w:cs="Arial"/>
        </w:rPr>
        <w:t xml:space="preserve"> We formulated four sets of models to account for this relationship. The weekly random intercepts in these models had a first, second, fourth or eighth order autoregressive structure</w:t>
      </w:r>
      <w:r w:rsidRPr="001831EE">
        <w:rPr>
          <w:rFonts w:ascii="Arial" w:hAnsi="Arial" w:cs="Arial"/>
          <w:noProof/>
          <w:vertAlign w:val="superscript"/>
        </w:rPr>
        <w:t>57,58</w:t>
      </w:r>
      <w:r w:rsidRPr="005B3E97">
        <w:rPr>
          <w:rFonts w:ascii="Arial" w:hAnsi="Arial" w:cs="Arial"/>
        </w:rPr>
        <w:t xml:space="preserve"> The higher</w:t>
      </w:r>
      <w:r>
        <w:rPr>
          <w:rFonts w:ascii="Arial" w:hAnsi="Arial" w:cs="Arial"/>
        </w:rPr>
        <w:t>-</w:t>
      </w:r>
      <w:r w:rsidRPr="005B3E97">
        <w:rPr>
          <w:rFonts w:ascii="Arial" w:hAnsi="Arial" w:cs="Arial"/>
        </w:rPr>
        <w:t>order autoregressive models allow death rates in any given week to be informed by those in a progressively larger number of preceding weeks. Further, trends not picked up by the linear or seasonal terms would be captured by these autoregressive terms.</w:t>
      </w:r>
    </w:p>
    <w:p w14:paraId="265E4DE9" w14:textId="77777777" w:rsidR="00474D86" w:rsidRPr="005B3E97" w:rsidRDefault="00474D86" w:rsidP="0040641D">
      <w:pPr>
        <w:pStyle w:val="ListParagraph"/>
        <w:numPr>
          <w:ilvl w:val="0"/>
          <w:numId w:val="30"/>
        </w:numPr>
        <w:spacing w:after="0" w:line="480" w:lineRule="auto"/>
        <w:jc w:val="both"/>
        <w:rPr>
          <w:rFonts w:ascii="Arial" w:hAnsi="Arial" w:cs="Arial"/>
        </w:rPr>
      </w:pPr>
      <w:r w:rsidRPr="005B3E97">
        <w:rPr>
          <w:rFonts w:ascii="Arial" w:hAnsi="Arial" w:cs="Arial"/>
        </w:rPr>
        <w:t>Fourth, beyond having a seasonal pattern, death rates depend on temperature, and specifically on whether temperature is higher or lower than its long-term norm during a particular time of year</w:t>
      </w:r>
      <w:r w:rsidRPr="001831EE">
        <w:rPr>
          <w:rFonts w:ascii="Arial" w:hAnsi="Arial" w:cs="Arial"/>
          <w:noProof/>
          <w:vertAlign w:val="superscript"/>
        </w:rPr>
        <w:t>59-64</w:t>
      </w:r>
      <w:r>
        <w:rPr>
          <w:rFonts w:ascii="Arial" w:hAnsi="Arial" w:cs="Arial"/>
        </w:rPr>
        <w:t>.</w:t>
      </w:r>
      <w:r w:rsidRPr="005B3E97">
        <w:rPr>
          <w:rFonts w:ascii="Arial" w:hAnsi="Arial" w:cs="Arial"/>
        </w:rPr>
        <w:t xml:space="preserve"> The effect of temperature on mortality varies throughout the year, and may be in opposite directions for different times of year. We used two sets of models, one without temperature and one with a weekly term for temperature anomaly, defined as deviation of weekly temperature from the local average weekly temperature over the entire analysis period. The coefficients of temperature anomalies were specified as a random effect with a random walk prior of order one, so that temperature effect is more similar in adjacent weeks. The random effect had a circular structure so that late December and early January are treated as adjacent.</w:t>
      </w:r>
    </w:p>
    <w:p w14:paraId="0ADF97B9" w14:textId="77777777" w:rsidR="00474D86" w:rsidRPr="00576666" w:rsidRDefault="00474D86" w:rsidP="00A1590A">
      <w:pPr>
        <w:pStyle w:val="ListParagraph"/>
        <w:numPr>
          <w:ilvl w:val="0"/>
          <w:numId w:val="30"/>
        </w:numPr>
        <w:spacing w:after="0" w:line="480" w:lineRule="auto"/>
        <w:jc w:val="both"/>
        <w:rPr>
          <w:rFonts w:ascii="Arial" w:hAnsi="Arial" w:cs="Arial"/>
        </w:rPr>
      </w:pPr>
      <w:r w:rsidRPr="00576666">
        <w:rPr>
          <w:rFonts w:ascii="Arial" w:hAnsi="Arial" w:cs="Arial"/>
        </w:rPr>
        <w:t xml:space="preserve">Death rates may be different around major holidays such as Christmas and New Year. We included effects (as fixed intercepts) for the week containing </w:t>
      </w:r>
      <w:r>
        <w:rPr>
          <w:rFonts w:ascii="Arial" w:hAnsi="Arial" w:cs="Arial"/>
        </w:rPr>
        <w:t>Christmas and New Year</w:t>
      </w:r>
      <w:r w:rsidRPr="00576666">
        <w:rPr>
          <w:rFonts w:ascii="Arial" w:hAnsi="Arial" w:cs="Arial"/>
        </w:rPr>
        <w:t xml:space="preserve"> </w:t>
      </w:r>
      <w:r>
        <w:rPr>
          <w:rFonts w:ascii="Arial" w:hAnsi="Arial" w:cs="Arial"/>
        </w:rPr>
        <w:t>in all countries. F</w:t>
      </w:r>
      <w:r w:rsidRPr="00576666">
        <w:rPr>
          <w:rFonts w:ascii="Arial" w:hAnsi="Arial" w:cs="Arial"/>
        </w:rPr>
        <w:t>or England and Wales</w:t>
      </w:r>
      <w:r>
        <w:rPr>
          <w:rFonts w:ascii="Arial" w:hAnsi="Arial" w:cs="Arial"/>
        </w:rPr>
        <w:t xml:space="preserve"> and Scotland</w:t>
      </w:r>
      <w:r w:rsidRPr="00576666">
        <w:rPr>
          <w:rFonts w:ascii="Arial" w:hAnsi="Arial" w:cs="Arial"/>
        </w:rPr>
        <w:t xml:space="preserve">, we </w:t>
      </w:r>
      <w:r>
        <w:rPr>
          <w:rFonts w:ascii="Arial" w:hAnsi="Arial" w:cs="Arial"/>
        </w:rPr>
        <w:t xml:space="preserve">also </w:t>
      </w:r>
      <w:r w:rsidRPr="00576666">
        <w:rPr>
          <w:rFonts w:ascii="Arial" w:hAnsi="Arial" w:cs="Arial"/>
        </w:rPr>
        <w:t xml:space="preserve">included effects for the week containing and the week after </w:t>
      </w:r>
      <w:r>
        <w:rPr>
          <w:rFonts w:ascii="Arial" w:hAnsi="Arial" w:cs="Arial"/>
        </w:rPr>
        <w:t xml:space="preserve">other </w:t>
      </w:r>
      <w:r w:rsidRPr="00576666">
        <w:rPr>
          <w:rFonts w:ascii="Arial" w:hAnsi="Arial" w:cs="Arial"/>
        </w:rPr>
        <w:t>public holidays, because reported death rates in weeks that contain a holiday were different from other weeks. This term was tested but not included for other countries because the effect was negligible.</w:t>
      </w:r>
    </w:p>
    <w:p w14:paraId="3ECC50E6" w14:textId="77777777" w:rsidR="00474D86" w:rsidRPr="005B3E97" w:rsidRDefault="00474D86" w:rsidP="00783459">
      <w:pPr>
        <w:pStyle w:val="ListParagraph"/>
        <w:numPr>
          <w:ilvl w:val="0"/>
          <w:numId w:val="30"/>
        </w:numPr>
        <w:spacing w:after="0" w:line="480" w:lineRule="auto"/>
        <w:jc w:val="both"/>
        <w:rPr>
          <w:rFonts w:ascii="Arial" w:hAnsi="Arial" w:cs="Arial"/>
        </w:rPr>
      </w:pPr>
      <w:r w:rsidRPr="005B3E97">
        <w:rPr>
          <w:rFonts w:ascii="Arial" w:hAnsi="Arial" w:cs="Arial"/>
        </w:rPr>
        <w:lastRenderedPageBreak/>
        <w:t>We also tested, but did not include, terms for the weeks that coincided with a change to and from daylight saving time because the effect was negligible.</w:t>
      </w:r>
    </w:p>
    <w:p w14:paraId="3F486657" w14:textId="77777777" w:rsidR="00474D86" w:rsidRPr="005B3E97" w:rsidRDefault="00474D86" w:rsidP="00783459">
      <w:pPr>
        <w:spacing w:line="480" w:lineRule="auto"/>
        <w:jc w:val="both"/>
        <w:rPr>
          <w:rFonts w:ascii="Arial" w:hAnsi="Arial" w:cs="Arial"/>
          <w:sz w:val="22"/>
          <w:szCs w:val="22"/>
        </w:rPr>
      </w:pPr>
    </w:p>
    <w:p w14:paraId="578AE8D4" w14:textId="77777777" w:rsidR="00474D86" w:rsidRPr="00387669" w:rsidRDefault="00474D86" w:rsidP="005726A9">
      <w:pPr>
        <w:spacing w:line="480" w:lineRule="auto"/>
        <w:jc w:val="both"/>
        <w:rPr>
          <w:rFonts w:ascii="Arial" w:hAnsi="Arial" w:cs="Arial"/>
          <w:sz w:val="22"/>
          <w:szCs w:val="22"/>
        </w:rPr>
      </w:pPr>
      <w:r w:rsidRPr="005B3E97">
        <w:rPr>
          <w:rFonts w:ascii="Arial" w:hAnsi="Arial" w:cs="Arial"/>
          <w:sz w:val="22"/>
          <w:szCs w:val="22"/>
        </w:rPr>
        <w:t>These choices led to an ensemble</w:t>
      </w:r>
      <w:r>
        <w:rPr>
          <w:rFonts w:ascii="Arial" w:hAnsi="Arial" w:cs="Arial"/>
          <w:sz w:val="22"/>
          <w:szCs w:val="22"/>
        </w:rPr>
        <w:t xml:space="preserve"> </w:t>
      </w:r>
      <w:r w:rsidRPr="005B3E97">
        <w:rPr>
          <w:rFonts w:ascii="Arial" w:hAnsi="Arial" w:cs="Arial"/>
          <w:sz w:val="22"/>
          <w:szCs w:val="22"/>
        </w:rPr>
        <w:t xml:space="preserve">of 16 Bayesian models (2 trend options x 4 autoregressive options x 2 temperature options). </w:t>
      </w:r>
      <w:r>
        <w:rPr>
          <w:rFonts w:ascii="Arial" w:hAnsi="Arial" w:cs="Arial"/>
          <w:sz w:val="22"/>
          <w:szCs w:val="22"/>
        </w:rPr>
        <w:t xml:space="preserve">The ensemble of models is shown in Extended Data Table 5. </w:t>
      </w:r>
      <w:r w:rsidRPr="00387669">
        <w:rPr>
          <w:rFonts w:ascii="Arial" w:hAnsi="Arial" w:cs="Arial"/>
          <w:sz w:val="22"/>
          <w:szCs w:val="22"/>
        </w:rPr>
        <w:t xml:space="preserve">In each model, </w:t>
      </w:r>
      <w:r>
        <w:rPr>
          <w:rFonts w:ascii="Arial" w:hAnsi="Arial" w:cs="Arial"/>
          <w:sz w:val="22"/>
          <w:szCs w:val="22"/>
        </w:rPr>
        <w:t>the number of weekly deaths follows a Poisson distribution:</w:t>
      </w:r>
    </w:p>
    <w:p w14:paraId="0712E2F6" w14:textId="77777777" w:rsidR="00474D86" w:rsidRPr="00387669" w:rsidRDefault="00072AEA" w:rsidP="005726A9">
      <w:pPr>
        <w:spacing w:line="480" w:lineRule="auto"/>
        <w:jc w:val="both"/>
        <w:rPr>
          <w:rFonts w:ascii="Arial" w:hAnsi="Arial" w:cs="Arial"/>
          <w:sz w:val="22"/>
          <w:szCs w:val="22"/>
        </w:rPr>
      </w:pPr>
      <m:oMathPara>
        <m:oMath>
          <m:sSub>
            <m:sSubPr>
              <m:ctrlPr>
                <w:rPr>
                  <w:rFonts w:ascii="Cambria Math" w:hAnsi="Arial" w:cs="Arial"/>
                  <w:sz w:val="22"/>
                  <w:szCs w:val="22"/>
                </w:rPr>
              </m:ctrlPr>
            </m:sSubPr>
            <m:e>
              <m:r>
                <m:rPr>
                  <m:nor/>
                </m:rPr>
                <w:rPr>
                  <w:rFonts w:ascii="Cambria Math" w:hAnsi="Arial" w:cs="Arial"/>
                  <w:sz w:val="22"/>
                  <w:szCs w:val="22"/>
                </w:rPr>
                <m:t>deaths</m:t>
              </m:r>
            </m:e>
            <m:sub>
              <m:r>
                <m:rPr>
                  <m:nor/>
                </m:rPr>
                <w:rPr>
                  <w:rFonts w:ascii="Cambria Math" w:hAnsi="Arial" w:cs="Arial"/>
                  <w:sz w:val="22"/>
                  <w:szCs w:val="22"/>
                </w:rPr>
                <m:t>week</m:t>
              </m:r>
            </m:sub>
          </m:sSub>
          <m:r>
            <m:rPr>
              <m:sty m:val="p"/>
            </m:rPr>
            <w:rPr>
              <w:rFonts w:ascii="Cambria Math" w:hAnsi="Cambria Math" w:cs="Cambria Math"/>
              <w:sz w:val="22"/>
              <w:szCs w:val="22"/>
            </w:rPr>
            <m:t>∼</m:t>
          </m:r>
          <m:r>
            <m:rPr>
              <m:nor/>
            </m:rPr>
            <w:rPr>
              <w:rFonts w:ascii="Cambria Math" w:hAnsi="Arial" w:cs="Arial"/>
              <w:sz w:val="22"/>
              <w:szCs w:val="22"/>
            </w:rPr>
            <m:t>Poisson</m:t>
          </m:r>
          <m:d>
            <m:dPr>
              <m:ctrlPr>
                <w:rPr>
                  <w:rFonts w:ascii="Cambria Math" w:hAnsi="Arial" w:cs="Arial"/>
                  <w:sz w:val="22"/>
                  <w:szCs w:val="22"/>
                </w:rPr>
              </m:ctrlPr>
            </m:dPr>
            <m:e>
              <m:r>
                <m:rPr>
                  <m:nor/>
                </m:rPr>
                <w:rPr>
                  <w:rFonts w:ascii="Cambria Math" w:hAnsi="Arial" w:cs="Arial"/>
                  <w:sz w:val="22"/>
                  <w:szCs w:val="22"/>
                </w:rPr>
                <m:t xml:space="preserve">death </m:t>
              </m:r>
              <m:sSub>
                <m:sSubPr>
                  <m:ctrlPr>
                    <w:rPr>
                      <w:rFonts w:ascii="Cambria Math" w:hAnsi="Arial" w:cs="Arial"/>
                      <w:sz w:val="22"/>
                      <w:szCs w:val="22"/>
                    </w:rPr>
                  </m:ctrlPr>
                </m:sSubPr>
                <m:e>
                  <m:r>
                    <m:rPr>
                      <m:nor/>
                    </m:rPr>
                    <w:rPr>
                      <w:rFonts w:ascii="Cambria Math" w:hAnsi="Arial" w:cs="Arial"/>
                      <w:sz w:val="22"/>
                      <w:szCs w:val="22"/>
                    </w:rPr>
                    <m:t>rate</m:t>
                  </m:r>
                </m:e>
                <m:sub>
                  <m:r>
                    <m:rPr>
                      <m:nor/>
                    </m:rPr>
                    <w:rPr>
                      <w:rFonts w:ascii="Cambria Math" w:hAnsi="Arial" w:cs="Arial"/>
                      <w:sz w:val="22"/>
                      <w:szCs w:val="22"/>
                    </w:rPr>
                    <m:t>week</m:t>
                  </m:r>
                </m:sub>
              </m:sSub>
              <m:r>
                <m:rPr>
                  <m:sty m:val="p"/>
                </m:rPr>
                <w:rPr>
                  <w:rFonts w:ascii="Cambria Math" w:hAnsi="Cambria Math" w:cs="Cambria Math"/>
                  <w:sz w:val="22"/>
                  <w:szCs w:val="22"/>
                </w:rPr>
                <m:t>⋅</m:t>
              </m:r>
              <m:sSub>
                <m:sSubPr>
                  <m:ctrlPr>
                    <w:rPr>
                      <w:rFonts w:ascii="Cambria Math" w:hAnsi="Arial" w:cs="Arial"/>
                      <w:sz w:val="22"/>
                      <w:szCs w:val="22"/>
                    </w:rPr>
                  </m:ctrlPr>
                </m:sSubPr>
                <m:e>
                  <m:r>
                    <m:rPr>
                      <m:nor/>
                    </m:rPr>
                    <w:rPr>
                      <w:rFonts w:ascii="Cambria Math" w:hAnsi="Arial" w:cs="Arial"/>
                      <w:sz w:val="22"/>
                      <w:szCs w:val="22"/>
                    </w:rPr>
                    <m:t>population</m:t>
                  </m:r>
                  <m:ctrlPr>
                    <w:rPr>
                      <w:rFonts w:ascii="Cambria Math" w:hAnsi="Cambria Math" w:cs="Cambria Math"/>
                      <w:sz w:val="22"/>
                      <w:szCs w:val="22"/>
                    </w:rPr>
                  </m:ctrlPr>
                </m:e>
                <m:sub>
                  <m:r>
                    <m:rPr>
                      <m:nor/>
                    </m:rPr>
                    <w:rPr>
                      <w:rFonts w:ascii="Cambria Math" w:hAnsi="Arial" w:cs="Arial"/>
                      <w:sz w:val="22"/>
                      <w:szCs w:val="22"/>
                    </w:rPr>
                    <m:t>week</m:t>
                  </m:r>
                </m:sub>
              </m:sSub>
            </m:e>
          </m:d>
          <m:r>
            <w:rPr>
              <w:rFonts w:ascii="Cambria Math" w:hAnsi="Arial" w:cs="Arial"/>
              <w:sz w:val="22"/>
              <w:szCs w:val="22"/>
            </w:rPr>
            <m:t>.</m:t>
          </m:r>
        </m:oMath>
      </m:oMathPara>
    </w:p>
    <w:p w14:paraId="7A99B7F4" w14:textId="77777777" w:rsidR="00474D86" w:rsidRPr="00500BF5" w:rsidRDefault="00474D86" w:rsidP="005726A9">
      <w:pPr>
        <w:spacing w:line="480" w:lineRule="auto"/>
        <w:jc w:val="both"/>
        <w:rPr>
          <w:rFonts w:ascii="Arial" w:hAnsi="Arial" w:cs="Arial"/>
          <w:sz w:val="22"/>
          <w:szCs w:val="22"/>
        </w:rPr>
      </w:pPr>
      <w:r w:rsidRPr="00500BF5">
        <w:rPr>
          <w:rFonts w:ascii="Arial" w:hAnsi="Arial" w:cs="Arial"/>
          <w:sz w:val="22"/>
          <w:szCs w:val="22"/>
        </w:rPr>
        <w:t xml:space="preserve">Log-transformed death rates were modelled as a sum of components described above: </w:t>
      </w:r>
    </w:p>
    <w:p w14:paraId="7632FB81" w14:textId="77777777" w:rsidR="00474D86" w:rsidRPr="00500BF5" w:rsidRDefault="00072AEA" w:rsidP="005726A9">
      <w:pPr>
        <w:spacing w:line="480" w:lineRule="auto"/>
        <w:jc w:val="both"/>
        <w:rPr>
          <w:rFonts w:ascii="Arial" w:hAnsi="Arial" w:cs="Arial"/>
          <w:sz w:val="22"/>
          <w:szCs w:val="22"/>
        </w:rPr>
      </w:pPr>
      <m:oMathPara>
        <m:oMathParaPr>
          <m:jc m:val="center"/>
        </m:oMathParaPr>
        <m:oMath>
          <m:func>
            <m:funcPr>
              <m:ctrlPr>
                <w:rPr>
                  <w:rFonts w:ascii="Cambria Math" w:hAnsi="Cambria Math" w:cs="Arial"/>
                  <w:i/>
                  <w:sz w:val="22"/>
                  <w:szCs w:val="22"/>
                </w:rPr>
              </m:ctrlPr>
            </m:funcPr>
            <m:fName>
              <m:r>
                <m:rPr>
                  <m:sty m:val="p"/>
                </m:rPr>
                <w:rPr>
                  <w:rFonts w:ascii="Cambria Math" w:hAnsi="Cambria Math" w:cs="Arial"/>
                  <w:sz w:val="22"/>
                  <w:szCs w:val="22"/>
                </w:rPr>
                <m:t>log</m:t>
              </m:r>
            </m:fName>
            <m:e>
              <m:d>
                <m:dPr>
                  <m:ctrlPr>
                    <w:rPr>
                      <w:rFonts w:ascii="Cambria Math" w:hAnsi="Cambria Math" w:cs="Arial"/>
                      <w:sz w:val="22"/>
                      <w:szCs w:val="22"/>
                    </w:rPr>
                  </m:ctrlPr>
                </m:dPr>
                <m:e>
                  <m:r>
                    <m:rPr>
                      <m:nor/>
                    </m:rPr>
                    <w:rPr>
                      <w:rFonts w:ascii="Arial" w:hAnsi="Arial" w:cs="Arial"/>
                      <w:sz w:val="22"/>
                      <w:szCs w:val="22"/>
                    </w:rPr>
                    <m:t xml:space="preserve">death </m:t>
                  </m:r>
                  <m:sSub>
                    <m:sSubPr>
                      <m:ctrlPr>
                        <w:rPr>
                          <w:rFonts w:ascii="Cambria Math" w:hAnsi="Cambria Math" w:cs="Arial"/>
                          <w:sz w:val="22"/>
                          <w:szCs w:val="22"/>
                        </w:rPr>
                      </m:ctrlPr>
                    </m:sSubPr>
                    <m:e>
                      <m:r>
                        <m:rPr>
                          <m:nor/>
                        </m:rPr>
                        <w:rPr>
                          <w:rFonts w:ascii="Arial" w:hAnsi="Arial" w:cs="Arial"/>
                          <w:sz w:val="22"/>
                          <w:szCs w:val="22"/>
                        </w:rPr>
                        <m:t>rate</m:t>
                      </m:r>
                    </m:e>
                    <m:sub>
                      <m:r>
                        <m:rPr>
                          <m:nor/>
                        </m:rPr>
                        <w:rPr>
                          <w:rFonts w:ascii="Arial" w:hAnsi="Arial" w:cs="Arial"/>
                          <w:sz w:val="22"/>
                          <w:szCs w:val="22"/>
                        </w:rPr>
                        <m:t>week</m:t>
                      </m:r>
                    </m:sub>
                  </m:sSub>
                  <m:ctrlPr>
                    <w:rPr>
                      <w:rFonts w:ascii="Cambria Math" w:hAnsi="Cambria Math" w:cs="Arial"/>
                      <w:i/>
                      <w:sz w:val="22"/>
                      <w:szCs w:val="22"/>
                    </w:rPr>
                  </m:ctrlPr>
                </m:e>
              </m:d>
            </m:e>
          </m:func>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α</m:t>
              </m:r>
            </m:e>
            <m:sub>
              <m:r>
                <w:rPr>
                  <w:rFonts w:ascii="Cambria Math" w:hAnsi="Cambria Math" w:cs="Arial"/>
                  <w:sz w:val="22"/>
                  <w:szCs w:val="22"/>
                </w:rPr>
                <m:t>0</m:t>
              </m:r>
            </m:sub>
          </m:sSub>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α</m:t>
              </m:r>
            </m:e>
            <m:sub>
              <m:r>
                <m:rPr>
                  <m:nor/>
                </m:rPr>
                <w:rPr>
                  <w:rFonts w:ascii="Arial" w:hAnsi="Arial" w:cs="Arial"/>
                  <w:sz w:val="22"/>
                  <w:szCs w:val="22"/>
                </w:rPr>
                <m:t>holiday(week)</m:t>
              </m:r>
            </m:sub>
          </m:sSub>
          <m:r>
            <w:rPr>
              <w:rFonts w:ascii="Cambria Math" w:hAnsi="Cambria Math" w:cs="Arial"/>
              <w:sz w:val="22"/>
              <w:szCs w:val="22"/>
            </w:rPr>
            <m:t> +</m:t>
          </m:r>
          <m:r>
            <m:rPr>
              <m:sty m:val="p"/>
            </m:rPr>
            <w:rPr>
              <w:rFonts w:ascii="Cambria Math" w:hAnsi="Cambria Math" w:cs="Arial"/>
              <w:sz w:val="22"/>
              <w:szCs w:val="22"/>
            </w:rPr>
            <m:t>β⋅</m:t>
          </m:r>
          <m:r>
            <w:rPr>
              <w:rFonts w:ascii="Cambria Math" w:hAnsi="Cambria Math" w:cs="Arial"/>
              <w:sz w:val="22"/>
              <w:szCs w:val="22"/>
            </w:rPr>
            <m:t>week+</m:t>
          </m:r>
          <m:sSubSup>
            <m:sSubSupPr>
              <m:ctrlPr>
                <w:rPr>
                  <w:rFonts w:ascii="Cambria Math" w:hAnsi="Cambria Math" w:cs="Arial"/>
                  <w:i/>
                  <w:sz w:val="22"/>
                  <w:szCs w:val="22"/>
                </w:rPr>
              </m:ctrlPr>
            </m:sSubSupPr>
            <m:e>
              <m:r>
                <m:rPr>
                  <m:sty m:val="p"/>
                </m:rPr>
                <w:rPr>
                  <w:rFonts w:ascii="Cambria Math" w:hAnsi="Cambria Math" w:cs="Arial"/>
                  <w:sz w:val="22"/>
                  <w:szCs w:val="22"/>
                </w:rPr>
                <m:t>ζ</m:t>
              </m:r>
            </m:e>
            <m:sub>
              <m:r>
                <m:rPr>
                  <m:nor/>
                </m:rPr>
                <w:rPr>
                  <w:rFonts w:ascii="Arial" w:hAnsi="Arial" w:cs="Arial"/>
                  <w:sz w:val="22"/>
                  <w:szCs w:val="22"/>
                </w:rPr>
                <m:t>week</m:t>
              </m:r>
            </m:sub>
            <m:sup>
              <m:d>
                <m:dPr>
                  <m:ctrlPr>
                    <w:rPr>
                      <w:rFonts w:ascii="Cambria Math" w:hAnsi="Cambria Math" w:cs="Arial"/>
                      <w:sz w:val="22"/>
                      <w:szCs w:val="22"/>
                    </w:rPr>
                  </m:ctrlPr>
                </m:dPr>
                <m:e>
                  <m:r>
                    <w:rPr>
                      <w:rFonts w:ascii="Cambria Math" w:hAnsi="Cambria Math" w:cs="Arial"/>
                      <w:sz w:val="22"/>
                      <w:szCs w:val="22"/>
                    </w:rPr>
                    <m:t>i</m:t>
                  </m:r>
                  <m:ctrlPr>
                    <w:rPr>
                      <w:rFonts w:ascii="Cambria Math" w:hAnsi="Cambria Math" w:cs="Arial"/>
                      <w:i/>
                      <w:sz w:val="22"/>
                      <w:szCs w:val="22"/>
                    </w:rPr>
                  </m:ctrlPr>
                </m:e>
              </m:d>
            </m:sup>
          </m:sSubSup>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θ</m:t>
              </m:r>
            </m:e>
            <m:sub>
              <m:r>
                <m:rPr>
                  <m:nor/>
                </m:rPr>
                <w:rPr>
                  <w:rFonts w:ascii="Arial" w:hAnsi="Arial" w:cs="Arial"/>
                  <w:sz w:val="22"/>
                  <w:szCs w:val="22"/>
                </w:rPr>
                <m:t>week</m:t>
              </m:r>
            </m:sub>
          </m:sSub>
        </m:oMath>
      </m:oMathPara>
    </w:p>
    <w:p w14:paraId="1CE78B69" w14:textId="77777777" w:rsidR="00474D86" w:rsidRPr="00500BF5" w:rsidRDefault="00474D86" w:rsidP="008F5B14">
      <w:pPr>
        <w:spacing w:line="480" w:lineRule="auto"/>
        <w:jc w:val="center"/>
        <w:rPr>
          <w:rFonts w:ascii="Arial" w:hAnsi="Arial" w:cs="Arial"/>
          <w:sz w:val="22"/>
          <w:szCs w:val="22"/>
        </w:rPr>
      </w:pPr>
      <m:oMathPara>
        <m:oMath>
          <m:r>
            <w:rPr>
              <w:rFonts w:ascii="Cambria Math" w:hAnsi="Cambria Math" w:cs="Arial"/>
              <w:sz w:val="22"/>
              <w:szCs w:val="22"/>
            </w:rPr>
            <m:t xml:space="preserve">                                            +</m:t>
          </m:r>
          <m:d>
            <m:dPr>
              <m:ctrlPr>
                <w:rPr>
                  <w:rFonts w:ascii="Cambria Math" w:hAnsi="Cambria Math" w:cs="Arial"/>
                  <w:i/>
                  <w:sz w:val="22"/>
                  <w:szCs w:val="22"/>
                </w:rPr>
              </m:ctrlPr>
            </m:dPr>
            <m:e>
              <m:r>
                <m:rPr>
                  <m:sty m:val="p"/>
                </m:rPr>
                <w:rPr>
                  <w:rFonts w:ascii="Cambria Math" w:hAnsi="Cambria Math" w:cs="Arial"/>
                  <w:sz w:val="22"/>
                  <w:szCs w:val="22"/>
                </w:rPr>
                <m:t>γ</m:t>
              </m:r>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ν</m:t>
                  </m:r>
                </m:e>
                <m:sub>
                  <m:r>
                    <m:rPr>
                      <m:nor/>
                    </m:rPr>
                    <w:rPr>
                      <w:rFonts w:ascii="Arial" w:hAnsi="Arial" w:cs="Arial"/>
                      <w:sz w:val="22"/>
                      <w:szCs w:val="22"/>
                    </w:rPr>
                    <m:t>week of year</m:t>
                  </m:r>
                </m:sub>
              </m:sSub>
            </m:e>
          </m:d>
          <m:r>
            <m:rPr>
              <m:sty m:val="p"/>
            </m:rPr>
            <w:rPr>
              <w:rFonts w:ascii="Cambria Math" w:hAnsi="Cambria Math" w:cs="Arial"/>
              <w:sz w:val="22"/>
              <w:szCs w:val="22"/>
            </w:rPr>
            <m:t>⋅t</m:t>
          </m:r>
          <m:r>
            <m:rPr>
              <m:nor/>
            </m:rPr>
            <w:rPr>
              <w:rFonts w:ascii="Arial" w:hAnsi="Arial" w:cs="Arial"/>
              <w:sz w:val="22"/>
              <w:szCs w:val="22"/>
            </w:rPr>
            <m:t>emperature anomal</m:t>
          </m:r>
          <m:sSub>
            <m:sSubPr>
              <m:ctrlPr>
                <w:rPr>
                  <w:rFonts w:ascii="Cambria Math" w:hAnsi="Cambria Math" w:cs="Arial"/>
                  <w:sz w:val="22"/>
                  <w:szCs w:val="22"/>
                </w:rPr>
              </m:ctrlPr>
            </m:sSubPr>
            <m:e>
              <m:r>
                <m:rPr>
                  <m:nor/>
                </m:rPr>
                <w:rPr>
                  <w:rFonts w:ascii="Arial" w:hAnsi="Arial" w:cs="Arial"/>
                  <w:sz w:val="22"/>
                  <w:szCs w:val="22"/>
                </w:rPr>
                <m:t>y</m:t>
              </m:r>
            </m:e>
            <m:sub>
              <m:r>
                <m:rPr>
                  <m:nor/>
                </m:rPr>
                <w:rPr>
                  <w:rFonts w:ascii="Arial" w:hAnsi="Arial" w:cs="Arial"/>
                  <w:sz w:val="22"/>
                  <w:szCs w:val="22"/>
                </w:rPr>
                <m:t>week</m:t>
              </m:r>
            </m:sub>
          </m:sSub>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ε</m:t>
              </m:r>
            </m:e>
            <m:sub>
              <m:r>
                <m:rPr>
                  <m:nor/>
                </m:rPr>
                <w:rPr>
                  <w:rFonts w:ascii="Arial" w:hAnsi="Arial" w:cs="Arial"/>
                  <w:sz w:val="22"/>
                  <w:szCs w:val="22"/>
                </w:rPr>
                <m:t>week</m:t>
              </m:r>
            </m:sub>
          </m:sSub>
        </m:oMath>
      </m:oMathPara>
    </w:p>
    <w:p w14:paraId="79DC053F" w14:textId="77777777" w:rsidR="00474D86" w:rsidRPr="00500BF5" w:rsidRDefault="00474D86" w:rsidP="005726A9">
      <w:pPr>
        <w:spacing w:line="480" w:lineRule="auto"/>
        <w:jc w:val="both"/>
        <w:rPr>
          <w:rFonts w:ascii="Arial" w:hAnsi="Arial" w:cs="Arial"/>
          <w:sz w:val="22"/>
          <w:szCs w:val="22"/>
        </w:rPr>
      </w:pPr>
    </w:p>
    <w:p w14:paraId="08C23461" w14:textId="77777777" w:rsidR="00474D86" w:rsidRPr="00500BF5" w:rsidRDefault="00474D86" w:rsidP="00493DC7">
      <w:pPr>
        <w:spacing w:line="480" w:lineRule="auto"/>
        <w:jc w:val="both"/>
        <w:rPr>
          <w:rFonts w:ascii="Arial" w:hAnsi="Arial" w:cs="Arial"/>
          <w:sz w:val="22"/>
          <w:szCs w:val="22"/>
        </w:rPr>
      </w:pPr>
      <w:r w:rsidRPr="00500BF5">
        <w:rPr>
          <w:rFonts w:ascii="Arial" w:hAnsi="Arial" w:cs="Arial"/>
          <w:sz w:val="22"/>
          <w:szCs w:val="22"/>
        </w:rPr>
        <w:t>The term</w:t>
      </w:r>
      <m:oMath>
        <m:r>
          <w:rPr>
            <w:rFonts w:ascii="Cambria Math" w:hAnsi="Cambria Math" w:cs="Arial"/>
            <w:sz w:val="22"/>
            <w:szCs w:val="22"/>
          </w:rPr>
          <m:t xml:space="preserve"> </m:t>
        </m:r>
        <m:sSub>
          <m:sSubPr>
            <m:ctrlPr>
              <w:rPr>
                <w:rFonts w:ascii="Cambria Math" w:hAnsi="Cambria Math" w:cs="Arial"/>
                <w:i/>
                <w:sz w:val="22"/>
                <w:szCs w:val="22"/>
              </w:rPr>
            </m:ctrlPr>
          </m:sSubPr>
          <m:e>
            <m:r>
              <m:rPr>
                <m:sty m:val="p"/>
              </m:rPr>
              <w:rPr>
                <w:rFonts w:ascii="Cambria Math" w:hAnsi="Cambria Math" w:cs="Arial"/>
                <w:sz w:val="22"/>
                <w:szCs w:val="22"/>
              </w:rPr>
              <m:t>α</m:t>
            </m:r>
          </m:e>
          <m:sub>
            <m:r>
              <w:rPr>
                <w:rFonts w:ascii="Cambria Math" w:hAnsi="Cambria Math" w:cs="Arial"/>
                <w:sz w:val="22"/>
                <w:szCs w:val="22"/>
              </w:rPr>
              <m:t>0</m:t>
            </m:r>
          </m:sub>
        </m:sSub>
      </m:oMath>
      <w:r w:rsidRPr="00500BF5">
        <w:rPr>
          <w:rFonts w:ascii="Arial" w:hAnsi="Arial" w:cs="Arial"/>
          <w:sz w:val="22"/>
          <w:szCs w:val="22"/>
        </w:rPr>
        <w:t xml:space="preserve"> denotes the overall intercept and </w:t>
      </w:r>
      <m:oMath>
        <m:sSub>
          <m:sSubPr>
            <m:ctrlPr>
              <w:rPr>
                <w:rFonts w:ascii="Cambria Math" w:hAnsi="Cambria Math" w:cs="Arial"/>
                <w:i/>
                <w:sz w:val="22"/>
                <w:szCs w:val="22"/>
              </w:rPr>
            </m:ctrlPr>
          </m:sSubPr>
          <m:e>
            <m:r>
              <m:rPr>
                <m:sty m:val="p"/>
              </m:rPr>
              <w:rPr>
                <w:rFonts w:ascii="Cambria Math" w:hAnsi="Cambria Math" w:cs="Arial"/>
                <w:sz w:val="22"/>
                <w:szCs w:val="22"/>
              </w:rPr>
              <m:t>α</m:t>
            </m:r>
          </m:e>
          <m:sub>
            <m:r>
              <m:rPr>
                <m:nor/>
              </m:rPr>
              <w:rPr>
                <w:rFonts w:ascii="Arial" w:hAnsi="Arial" w:cs="Arial"/>
                <w:sz w:val="22"/>
                <w:szCs w:val="22"/>
              </w:rPr>
              <m:t>holiday(week)</m:t>
            </m:r>
          </m:sub>
        </m:sSub>
      </m:oMath>
      <w:r w:rsidRPr="00500BF5">
        <w:rPr>
          <w:rFonts w:ascii="Arial" w:hAnsi="Arial" w:cs="Arial"/>
          <w:sz w:val="22"/>
          <w:szCs w:val="22"/>
        </w:rPr>
        <w:t xml:space="preserve"> is the holiday intercept, </w:t>
      </w:r>
      <w:r>
        <w:rPr>
          <w:rFonts w:ascii="Arial" w:hAnsi="Arial" w:cs="Arial"/>
          <w:sz w:val="22"/>
          <w:szCs w:val="22"/>
        </w:rPr>
        <w:t>applied to weeks with a holiday</w:t>
      </w:r>
      <m:oMath>
        <m:r>
          <m:rPr>
            <m:sty m:val="p"/>
          </m:rPr>
          <w:rPr>
            <w:rFonts w:ascii="Cambria Math" w:hAnsi="Cambria Math" w:cs="Arial"/>
            <w:sz w:val="22"/>
            <w:szCs w:val="22"/>
          </w:rPr>
          <m:t xml:space="preserve">. </m:t>
        </m:r>
      </m:oMath>
      <w:r w:rsidRPr="00500BF5">
        <w:rPr>
          <w:rFonts w:ascii="Arial" w:hAnsi="Arial" w:cs="Arial"/>
          <w:iCs/>
          <w:sz w:val="22"/>
          <w:szCs w:val="22"/>
        </w:rPr>
        <w:t>For example, if a week includes the 25</w:t>
      </w:r>
      <w:r w:rsidRPr="00500BF5">
        <w:rPr>
          <w:rFonts w:ascii="Arial" w:hAnsi="Arial" w:cs="Arial"/>
          <w:iCs/>
          <w:sz w:val="22"/>
          <w:szCs w:val="22"/>
          <w:vertAlign w:val="superscript"/>
        </w:rPr>
        <w:t>th</w:t>
      </w:r>
      <w:r w:rsidRPr="00500BF5">
        <w:rPr>
          <w:rFonts w:ascii="Arial" w:hAnsi="Arial" w:cs="Arial"/>
          <w:iCs/>
          <w:sz w:val="22"/>
          <w:szCs w:val="22"/>
        </w:rPr>
        <w:t xml:space="preserve"> of December then </w:t>
      </w:r>
      <m:oMath>
        <m:sSub>
          <m:sSubPr>
            <m:ctrlPr>
              <w:rPr>
                <w:rFonts w:ascii="Cambria Math" w:hAnsi="Cambria Math" w:cs="Arial"/>
                <w:i/>
                <w:sz w:val="22"/>
                <w:szCs w:val="22"/>
              </w:rPr>
            </m:ctrlPr>
          </m:sSubPr>
          <m:e>
            <m:r>
              <m:rPr>
                <m:sty m:val="p"/>
              </m:rPr>
              <w:rPr>
                <w:rFonts w:ascii="Cambria Math" w:hAnsi="Cambria Math" w:cs="Arial"/>
                <w:sz w:val="22"/>
                <w:szCs w:val="22"/>
              </w:rPr>
              <m:t>α</m:t>
            </m:r>
          </m:e>
          <m:sub>
            <m:r>
              <m:rPr>
                <m:nor/>
              </m:rPr>
              <w:rPr>
                <w:rFonts w:ascii="Arial" w:hAnsi="Arial" w:cs="Arial"/>
                <w:sz w:val="22"/>
                <w:szCs w:val="22"/>
              </w:rPr>
              <m:t>holiday(week)</m:t>
            </m:r>
          </m:sub>
        </m:sSub>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α</m:t>
            </m:r>
          </m:e>
          <m:sub>
            <m:r>
              <m:rPr>
                <m:nor/>
              </m:rPr>
              <w:rPr>
                <w:rFonts w:ascii="Arial" w:hAnsi="Arial" w:cs="Arial"/>
                <w:sz w:val="22"/>
                <w:szCs w:val="22"/>
              </w:rPr>
              <m:t>Christmas</m:t>
            </m:r>
          </m:sub>
        </m:sSub>
      </m:oMath>
      <w:r w:rsidRPr="00500BF5">
        <w:rPr>
          <w:rFonts w:ascii="Arial" w:hAnsi="Arial" w:cs="Arial"/>
          <w:sz w:val="22"/>
          <w:szCs w:val="22"/>
        </w:rPr>
        <w:t xml:space="preserve">. For weeks that did not contain a holiday, this term did not appear in the above expression. All intercepts were assigned </w:t>
      </w:r>
      <m:oMath>
        <m:r>
          <m:rPr>
            <m:scr m:val="script"/>
          </m:rPr>
          <w:rPr>
            <w:rFonts w:ascii="Cambria Math" w:hAnsi="Cambria Math" w:cs="Arial"/>
            <w:sz w:val="22"/>
            <w:szCs w:val="22"/>
          </w:rPr>
          <m:t>N</m:t>
        </m:r>
        <m:d>
          <m:dPr>
            <m:ctrlPr>
              <w:rPr>
                <w:rFonts w:ascii="Cambria Math" w:hAnsi="Cambria Math" w:cs="Arial"/>
                <w:i/>
                <w:sz w:val="22"/>
                <w:szCs w:val="22"/>
              </w:rPr>
            </m:ctrlPr>
          </m:dPr>
          <m:e>
            <m:r>
              <w:rPr>
                <w:rFonts w:ascii="Cambria Math" w:hAnsi="Cambria Math" w:cs="Arial"/>
                <w:sz w:val="22"/>
                <w:szCs w:val="22"/>
              </w:rPr>
              <m:t>0,1000</m:t>
            </m:r>
          </m:e>
        </m:d>
      </m:oMath>
      <w:r w:rsidRPr="00500BF5">
        <w:rPr>
          <w:rFonts w:ascii="Arial" w:hAnsi="Arial" w:cs="Arial"/>
          <w:sz w:val="22"/>
          <w:szCs w:val="22"/>
        </w:rPr>
        <w:t xml:space="preserve"> priors. The term </w:t>
      </w:r>
      <m:oMath>
        <m:r>
          <m:rPr>
            <m:sty m:val="p"/>
          </m:rPr>
          <w:rPr>
            <w:rFonts w:ascii="Cambria Math" w:hAnsi="Cambria Math" w:cs="Arial"/>
            <w:sz w:val="22"/>
            <w:szCs w:val="22"/>
          </w:rPr>
          <m:t>β⋅</m:t>
        </m:r>
        <m:r>
          <w:rPr>
            <w:rFonts w:ascii="Cambria Math" w:hAnsi="Cambria Math" w:cs="Arial"/>
            <w:sz w:val="22"/>
            <w:szCs w:val="22"/>
          </w:rPr>
          <m:t xml:space="preserve">week </m:t>
        </m:r>
      </m:oMath>
      <w:r w:rsidRPr="00500BF5">
        <w:rPr>
          <w:rFonts w:ascii="Arial" w:hAnsi="Arial" w:cs="Arial"/>
          <w:sz w:val="22"/>
          <w:szCs w:val="22"/>
        </w:rPr>
        <w:t xml:space="preserve">represents the linear time trend. The coefficient </w:t>
      </w:r>
      <m:oMath>
        <m:r>
          <m:rPr>
            <m:sty m:val="p"/>
          </m:rPr>
          <w:rPr>
            <w:rFonts w:ascii="Cambria Math" w:hAnsi="Cambria Math" w:cs="Arial"/>
            <w:sz w:val="22"/>
            <w:szCs w:val="22"/>
          </w:rPr>
          <m:t>β</m:t>
        </m:r>
      </m:oMath>
      <w:r w:rsidRPr="00500BF5">
        <w:rPr>
          <w:rFonts w:ascii="Arial" w:hAnsi="Arial" w:cs="Arial"/>
          <w:sz w:val="22"/>
          <w:szCs w:val="22"/>
        </w:rPr>
        <w:t xml:space="preserve"> was also assigned a </w:t>
      </w:r>
      <m:oMath>
        <m:r>
          <m:rPr>
            <m:scr m:val="script"/>
          </m:rPr>
          <w:rPr>
            <w:rFonts w:ascii="Cambria Math" w:hAnsi="Cambria Math" w:cs="Arial"/>
            <w:sz w:val="22"/>
            <w:szCs w:val="22"/>
          </w:rPr>
          <m:t>N</m:t>
        </m:r>
        <m:d>
          <m:dPr>
            <m:ctrlPr>
              <w:rPr>
                <w:rFonts w:ascii="Cambria Math" w:hAnsi="Cambria Math" w:cs="Arial"/>
                <w:i/>
                <w:sz w:val="22"/>
                <w:szCs w:val="22"/>
              </w:rPr>
            </m:ctrlPr>
          </m:dPr>
          <m:e>
            <m:r>
              <w:rPr>
                <w:rFonts w:ascii="Cambria Math" w:hAnsi="Cambria Math" w:cs="Arial"/>
                <w:sz w:val="22"/>
                <w:szCs w:val="22"/>
              </w:rPr>
              <m:t>0,1000</m:t>
            </m:r>
          </m:e>
        </m:d>
      </m:oMath>
      <w:r w:rsidRPr="00500BF5">
        <w:rPr>
          <w:rFonts w:ascii="Arial" w:hAnsi="Arial" w:cs="Arial"/>
          <w:sz w:val="22"/>
          <w:szCs w:val="22"/>
        </w:rPr>
        <w:t xml:space="preserve"> prior. As described above, this term appeared in half of our models, while in the other half the remaining terms captured trends over time. </w:t>
      </w:r>
    </w:p>
    <w:p w14:paraId="1D6035B2" w14:textId="77777777" w:rsidR="00474D86" w:rsidRPr="00500BF5" w:rsidRDefault="00474D86" w:rsidP="00493DC7">
      <w:pPr>
        <w:spacing w:line="480" w:lineRule="auto"/>
        <w:jc w:val="both"/>
        <w:rPr>
          <w:rFonts w:ascii="Arial" w:hAnsi="Arial" w:cs="Arial"/>
          <w:sz w:val="22"/>
          <w:szCs w:val="22"/>
        </w:rPr>
      </w:pPr>
    </w:p>
    <w:p w14:paraId="0EF8B9F2" w14:textId="77777777" w:rsidR="00474D86" w:rsidRPr="00500BF5" w:rsidRDefault="00474D86" w:rsidP="005726A9">
      <w:pPr>
        <w:spacing w:line="480" w:lineRule="auto"/>
        <w:jc w:val="both"/>
        <w:rPr>
          <w:rFonts w:ascii="Arial" w:hAnsi="Arial" w:cs="Arial"/>
          <w:sz w:val="22"/>
          <w:szCs w:val="22"/>
        </w:rPr>
      </w:pPr>
      <w:r w:rsidRPr="00500BF5">
        <w:rPr>
          <w:rFonts w:ascii="Arial" w:hAnsi="Arial" w:cs="Arial"/>
          <w:sz w:val="22"/>
          <w:szCs w:val="22"/>
        </w:rPr>
        <w:t xml:space="preserve">The models used different orders </w:t>
      </w:r>
      <w:r>
        <w:rPr>
          <w:rFonts w:ascii="Arial" w:hAnsi="Arial" w:cs="Arial"/>
          <w:sz w:val="22"/>
          <w:szCs w:val="22"/>
        </w:rPr>
        <w:t>(</w:t>
      </w:r>
      <w:r w:rsidRPr="005B3E97">
        <w:rPr>
          <w:rFonts w:ascii="Arial" w:hAnsi="Arial" w:cs="Arial"/>
        </w:rPr>
        <w:t>first, second, fourth or eighth</w:t>
      </w:r>
      <w:r>
        <w:rPr>
          <w:rFonts w:ascii="Arial" w:hAnsi="Arial" w:cs="Arial"/>
        </w:rPr>
        <w:t>)</w:t>
      </w:r>
      <w:r w:rsidRPr="00500BF5">
        <w:rPr>
          <w:rFonts w:ascii="Arial" w:hAnsi="Arial" w:cs="Arial"/>
          <w:sz w:val="22"/>
          <w:szCs w:val="22"/>
        </w:rPr>
        <w:t xml:space="preserve"> of the autoregressive term </w:t>
      </w:r>
      <m:oMath>
        <m:sSubSup>
          <m:sSubSupPr>
            <m:ctrlPr>
              <w:rPr>
                <w:rFonts w:ascii="Cambria Math" w:hAnsi="Cambria Math" w:cs="Arial"/>
                <w:i/>
                <w:sz w:val="22"/>
                <w:szCs w:val="22"/>
              </w:rPr>
            </m:ctrlPr>
          </m:sSubSupPr>
          <m:e>
            <m:r>
              <m:rPr>
                <m:sty m:val="p"/>
              </m:rPr>
              <w:rPr>
                <w:rFonts w:ascii="Cambria Math" w:hAnsi="Cambria Math" w:cs="Arial"/>
                <w:sz w:val="22"/>
                <w:szCs w:val="22"/>
              </w:rPr>
              <m:t>ζ</m:t>
            </m:r>
          </m:e>
          <m:sub>
            <m:r>
              <m:rPr>
                <m:nor/>
              </m:rPr>
              <w:rPr>
                <w:rFonts w:ascii="Arial" w:hAnsi="Arial" w:cs="Arial"/>
                <w:sz w:val="22"/>
                <w:szCs w:val="22"/>
              </w:rPr>
              <m:t>week</m:t>
            </m:r>
          </m:sub>
          <m:sup>
            <m:d>
              <m:dPr>
                <m:ctrlPr>
                  <w:rPr>
                    <w:rFonts w:ascii="Cambria Math" w:hAnsi="Cambria Math" w:cs="Arial"/>
                    <w:sz w:val="22"/>
                    <w:szCs w:val="22"/>
                  </w:rPr>
                </m:ctrlPr>
              </m:dPr>
              <m:e>
                <m:r>
                  <w:rPr>
                    <w:rFonts w:ascii="Cambria Math" w:hAnsi="Cambria Math" w:cs="Arial"/>
                    <w:sz w:val="22"/>
                    <w:szCs w:val="22"/>
                  </w:rPr>
                  <m:t>i</m:t>
                </m:r>
                <m:ctrlPr>
                  <w:rPr>
                    <w:rFonts w:ascii="Cambria Math" w:hAnsi="Cambria Math" w:cs="Arial"/>
                    <w:i/>
                    <w:sz w:val="22"/>
                    <w:szCs w:val="22"/>
                  </w:rPr>
                </m:ctrlPr>
              </m:e>
            </m:d>
          </m:sup>
        </m:sSubSup>
      </m:oMath>
      <w:r>
        <w:rPr>
          <w:rFonts w:ascii="Arial" w:hAnsi="Arial" w:cs="Arial"/>
          <w:sz w:val="22"/>
          <w:szCs w:val="22"/>
        </w:rPr>
        <w:t xml:space="preserve"> </w:t>
      </w:r>
      <w:r w:rsidRPr="00500BF5">
        <w:rPr>
          <w:rFonts w:ascii="Arial" w:hAnsi="Arial" w:cs="Arial"/>
          <w:sz w:val="22"/>
          <w:szCs w:val="22"/>
        </w:rPr>
        <w:t xml:space="preserve">with the superscript </w:t>
      </w:r>
      <m:oMath>
        <m:r>
          <w:rPr>
            <w:rFonts w:ascii="Cambria Math" w:hAnsi="Cambria Math" w:cs="Arial"/>
            <w:sz w:val="22"/>
            <w:szCs w:val="22"/>
          </w:rPr>
          <m:t>i</m:t>
        </m:r>
      </m:oMath>
      <w:r w:rsidRPr="00500BF5">
        <w:rPr>
          <w:rFonts w:ascii="Arial" w:hAnsi="Arial" w:cs="Arial"/>
          <w:sz w:val="22"/>
          <w:szCs w:val="22"/>
        </w:rPr>
        <w:t xml:space="preserve"> denoting the order. The first-order autoregressive term is defined as </w:t>
      </w:r>
      <m:oMath>
        <m:sSubSup>
          <m:sSubSupPr>
            <m:ctrlPr>
              <w:rPr>
                <w:rFonts w:ascii="Cambria Math" w:hAnsi="Cambria Math" w:cs="Arial"/>
                <w:i/>
                <w:sz w:val="22"/>
                <w:szCs w:val="22"/>
              </w:rPr>
            </m:ctrlPr>
          </m:sSubSupPr>
          <m:e>
            <m:r>
              <m:rPr>
                <m:sty m:val="p"/>
              </m:rPr>
              <w:rPr>
                <w:rFonts w:ascii="Cambria Math" w:hAnsi="Cambria Math" w:cs="Arial"/>
                <w:sz w:val="22"/>
                <w:szCs w:val="22"/>
              </w:rPr>
              <m:t>ζ</m:t>
            </m:r>
            <m:ctrlPr>
              <w:rPr>
                <w:rFonts w:ascii="Cambria Math" w:hAnsi="Cambria Math" w:cs="Arial"/>
                <w:sz w:val="22"/>
                <w:szCs w:val="22"/>
              </w:rPr>
            </m:ctrlPr>
          </m:e>
          <m:sub>
            <m:r>
              <w:rPr>
                <w:rFonts w:ascii="Cambria Math" w:hAnsi="Cambria Math" w:cs="Arial"/>
                <w:sz w:val="22"/>
                <w:szCs w:val="22"/>
              </w:rPr>
              <m:t>week</m:t>
            </m:r>
          </m:sub>
          <m:sup>
            <m:d>
              <m:dPr>
                <m:ctrlPr>
                  <w:rPr>
                    <w:rFonts w:ascii="Cambria Math" w:hAnsi="Cambria Math" w:cs="Arial"/>
                    <w:sz w:val="22"/>
                    <w:szCs w:val="22"/>
                  </w:rPr>
                </m:ctrlPr>
              </m:dPr>
              <m:e>
                <m:r>
                  <w:rPr>
                    <w:rFonts w:ascii="Cambria Math" w:hAnsi="Cambria Math" w:cs="Arial"/>
                    <w:sz w:val="22"/>
                    <w:szCs w:val="22"/>
                  </w:rPr>
                  <m:t>1</m:t>
                </m:r>
                <m:ctrlPr>
                  <w:rPr>
                    <w:rFonts w:ascii="Cambria Math" w:hAnsi="Cambria Math" w:cs="Arial"/>
                    <w:i/>
                    <w:sz w:val="22"/>
                    <w:szCs w:val="22"/>
                  </w:rPr>
                </m:ctrlPr>
              </m:e>
            </m:d>
          </m:sup>
        </m:sSubSup>
        <m:r>
          <m:rPr>
            <m:sty m:val="p"/>
          </m:rPr>
          <w:rPr>
            <w:rFonts w:ascii="Cambria Math" w:hAnsi="Cambria Math" w:cs="Arial"/>
            <w:sz w:val="22"/>
            <w:szCs w:val="22"/>
          </w:rPr>
          <m:t>∼</m:t>
        </m:r>
        <m:r>
          <m:rPr>
            <m:scr m:val="script"/>
          </m:rPr>
          <w:rPr>
            <w:rFonts w:ascii="Cambria Math" w:hAnsi="Cambria Math" w:cs="Arial"/>
            <w:sz w:val="22"/>
            <w:szCs w:val="22"/>
          </w:rPr>
          <m:t>N</m:t>
        </m:r>
        <m:d>
          <m:dPr>
            <m:ctrlPr>
              <w:rPr>
                <w:rFonts w:ascii="Cambria Math" w:hAnsi="Cambria Math" w:cs="Arial"/>
                <w:sz w:val="22"/>
                <w:szCs w:val="22"/>
              </w:rPr>
            </m:ctrlPr>
          </m:dPr>
          <m:e>
            <m:r>
              <m:rPr>
                <m:sty m:val="p"/>
              </m:rPr>
              <w:rPr>
                <w:rFonts w:ascii="Cambria Math" w:hAnsi="Cambria Math" w:cs="Arial"/>
                <w:sz w:val="22"/>
                <w:szCs w:val="22"/>
              </w:rPr>
              <m:t>φ.</m:t>
            </m:r>
            <m:sSubSup>
              <m:sSubSupPr>
                <m:ctrlPr>
                  <w:rPr>
                    <w:rFonts w:ascii="Cambria Math" w:hAnsi="Cambria Math" w:cs="Arial"/>
                    <w:i/>
                    <w:sz w:val="22"/>
                    <w:szCs w:val="22"/>
                  </w:rPr>
                </m:ctrlPr>
              </m:sSubSupPr>
              <m:e>
                <m:r>
                  <m:rPr>
                    <m:sty m:val="p"/>
                  </m:rPr>
                  <w:rPr>
                    <w:rFonts w:ascii="Cambria Math" w:hAnsi="Cambria Math" w:cs="Arial"/>
                    <w:sz w:val="22"/>
                    <w:szCs w:val="22"/>
                  </w:rPr>
                  <m:t>ζ</m:t>
                </m:r>
                <m:ctrlPr>
                  <w:rPr>
                    <w:rFonts w:ascii="Cambria Math" w:hAnsi="Cambria Math" w:cs="Arial"/>
                    <w:sz w:val="22"/>
                    <w:szCs w:val="22"/>
                  </w:rPr>
                </m:ctrlPr>
              </m:e>
              <m:sub>
                <m:r>
                  <w:rPr>
                    <w:rFonts w:ascii="Cambria Math" w:hAnsi="Cambria Math" w:cs="Arial"/>
                    <w:sz w:val="22"/>
                    <w:szCs w:val="22"/>
                  </w:rPr>
                  <m:t>week-1</m:t>
                </m:r>
              </m:sub>
              <m:sup>
                <m:d>
                  <m:dPr>
                    <m:ctrlPr>
                      <w:rPr>
                        <w:rFonts w:ascii="Cambria Math" w:hAnsi="Cambria Math" w:cs="Arial"/>
                        <w:sz w:val="22"/>
                        <w:szCs w:val="22"/>
                      </w:rPr>
                    </m:ctrlPr>
                  </m:dPr>
                  <m:e>
                    <m:r>
                      <w:rPr>
                        <w:rFonts w:ascii="Cambria Math" w:hAnsi="Cambria Math" w:cs="Arial"/>
                        <w:sz w:val="22"/>
                        <w:szCs w:val="22"/>
                      </w:rPr>
                      <m:t>1</m:t>
                    </m:r>
                    <m:ctrlPr>
                      <w:rPr>
                        <w:rFonts w:ascii="Cambria Math" w:hAnsi="Cambria Math" w:cs="Arial"/>
                        <w:i/>
                        <w:sz w:val="22"/>
                        <w:szCs w:val="22"/>
                      </w:rPr>
                    </m:ctrlPr>
                  </m:e>
                </m:d>
              </m:sup>
            </m:sSubSup>
            <m:r>
              <w:rPr>
                <w:rFonts w:ascii="Cambria Math" w:hAnsi="Cambria Math" w:cs="Arial"/>
                <w:sz w:val="22"/>
                <w:szCs w:val="22"/>
              </w:rPr>
              <m:t>,</m:t>
            </m:r>
            <m:sSubSup>
              <m:sSubSupPr>
                <m:ctrlPr>
                  <w:rPr>
                    <w:rFonts w:ascii="Cambria Math" w:hAnsi="Cambria Math" w:cs="Arial"/>
                    <w:i/>
                    <w:sz w:val="22"/>
                    <w:szCs w:val="22"/>
                  </w:rPr>
                </m:ctrlPr>
              </m:sSubSupPr>
              <m:e>
                <m:r>
                  <m:rPr>
                    <m:sty m:val="p"/>
                  </m:rPr>
                  <w:rPr>
                    <w:rFonts w:ascii="Cambria Math" w:hAnsi="Cambria Math" w:cs="Arial"/>
                    <w:sz w:val="22"/>
                    <w:szCs w:val="22"/>
                  </w:rPr>
                  <m:t>σ</m:t>
                </m:r>
              </m:e>
              <m:sub>
                <m:r>
                  <m:rPr>
                    <m:sty m:val="p"/>
                  </m:rPr>
                  <w:rPr>
                    <w:rFonts w:ascii="Cambria Math" w:hAnsi="Cambria Math" w:cs="Arial"/>
                    <w:sz w:val="22"/>
                    <w:szCs w:val="22"/>
                  </w:rPr>
                  <m:t>ζ</m:t>
                </m:r>
              </m:sub>
              <m:sup>
                <m:r>
                  <w:rPr>
                    <w:rFonts w:ascii="Cambria Math" w:hAnsi="Cambria Math" w:cs="Arial"/>
                    <w:sz w:val="22"/>
                    <w:szCs w:val="22"/>
                  </w:rPr>
                  <m:t>2</m:t>
                </m:r>
              </m:sup>
            </m:sSubSup>
            <m:ctrlPr>
              <w:rPr>
                <w:rFonts w:ascii="Cambria Math" w:hAnsi="Cambria Math" w:cs="Arial"/>
                <w:i/>
                <w:sz w:val="22"/>
                <w:szCs w:val="22"/>
              </w:rPr>
            </m:ctrlPr>
          </m:e>
        </m:d>
      </m:oMath>
      <w:r w:rsidRPr="00500BF5">
        <w:rPr>
          <w:rFonts w:ascii="Arial" w:hAnsi="Arial" w:cs="Arial"/>
          <w:sz w:val="22"/>
          <w:szCs w:val="22"/>
        </w:rPr>
        <w:t xml:space="preserve"> where the parameter </w:t>
      </w:r>
      <m:oMath>
        <m:r>
          <m:rPr>
            <m:sty m:val="p"/>
          </m:rPr>
          <w:rPr>
            <w:rFonts w:ascii="Cambria Math" w:hAnsi="Cambria Math" w:cs="Arial"/>
            <w:sz w:val="22"/>
            <w:szCs w:val="22"/>
          </w:rPr>
          <m:t>φ</m:t>
        </m:r>
      </m:oMath>
      <w:r w:rsidRPr="00500BF5">
        <w:rPr>
          <w:rFonts w:ascii="Arial" w:hAnsi="Arial" w:cs="Arial"/>
          <w:sz w:val="22"/>
          <w:szCs w:val="22"/>
        </w:rPr>
        <w:t xml:space="preserve"> lies between -1 and 1 and captures the degree of association between the number of deaths in each week and the preceding week. Hyperpriors are placed on the parameters </w:t>
      </w:r>
      <m:oMath>
        <m:sSub>
          <m:sSubPr>
            <m:ctrlPr>
              <w:rPr>
                <w:rFonts w:ascii="Cambria Math" w:hAnsi="Cambria Math" w:cs="Arial"/>
                <w:i/>
                <w:sz w:val="22"/>
                <w:szCs w:val="22"/>
              </w:rPr>
            </m:ctrlPr>
          </m:sSubPr>
          <m:e>
            <m:r>
              <m:rPr>
                <m:sty m:val="p"/>
              </m:rPr>
              <w:rPr>
                <w:rFonts w:ascii="Cambria Math" w:hAnsi="Cambria Math" w:cs="Arial"/>
                <w:sz w:val="22"/>
                <w:szCs w:val="22"/>
              </w:rPr>
              <m:t>ϰ</m:t>
            </m:r>
            <m:ctrlPr>
              <w:rPr>
                <w:rFonts w:ascii="Cambria Math" w:hAnsi="Cambria Math" w:cs="Arial"/>
                <w:sz w:val="22"/>
                <w:szCs w:val="22"/>
              </w:rPr>
            </m:ctrlPr>
          </m:e>
          <m:sub>
            <m:r>
              <w:rPr>
                <w:rFonts w:ascii="Cambria Math" w:hAnsi="Cambria Math" w:cs="Arial"/>
                <w:sz w:val="22"/>
                <w:szCs w:val="22"/>
              </w:rPr>
              <m:t>1</m:t>
            </m:r>
          </m:sub>
        </m:sSub>
        <m:r>
          <w:rPr>
            <w:rFonts w:ascii="Cambria Math" w:hAnsi="Cambria Math" w:cs="Arial"/>
            <w:sz w:val="22"/>
            <w:szCs w:val="22"/>
          </w:rPr>
          <m:t>=</m:t>
        </m:r>
        <m:func>
          <m:funcPr>
            <m:ctrlPr>
              <w:rPr>
                <w:rFonts w:ascii="Cambria Math" w:hAnsi="Cambria Math" w:cs="Arial"/>
                <w:i/>
                <w:sz w:val="22"/>
                <w:szCs w:val="22"/>
              </w:rPr>
            </m:ctrlPr>
          </m:funcPr>
          <m:fName>
            <m:r>
              <w:rPr>
                <w:rFonts w:ascii="Cambria Math" w:hAnsi="Cambria Math" w:cs="Arial"/>
                <w:sz w:val="22"/>
                <w:szCs w:val="22"/>
              </w:rPr>
              <m:t>log</m:t>
            </m:r>
          </m:fName>
          <m:e>
            <m:d>
              <m:dPr>
                <m:ctrlPr>
                  <w:rPr>
                    <w:rFonts w:ascii="Cambria Math" w:hAnsi="Cambria Math" w:cs="Arial"/>
                    <w:i/>
                    <w:sz w:val="22"/>
                    <w:szCs w:val="22"/>
                  </w:rPr>
                </m:ctrlPr>
              </m:dPr>
              <m:e>
                <m:d>
                  <m:dPr>
                    <m:ctrlPr>
                      <w:rPr>
                        <w:rFonts w:ascii="Cambria Math" w:hAnsi="Cambria Math" w:cs="Arial"/>
                        <w:i/>
                        <w:sz w:val="22"/>
                        <w:szCs w:val="22"/>
                      </w:rPr>
                    </m:ctrlPr>
                  </m:dPr>
                  <m:e>
                    <m:r>
                      <w:rPr>
                        <w:rFonts w:ascii="Cambria Math" w:hAnsi="Cambria Math" w:cs="Arial"/>
                        <w:sz w:val="22"/>
                        <w:szCs w:val="22"/>
                      </w:rPr>
                      <m:t>1-</m:t>
                    </m:r>
                    <m:sSup>
                      <m:sSupPr>
                        <m:ctrlPr>
                          <w:rPr>
                            <w:rFonts w:ascii="Cambria Math" w:hAnsi="Cambria Math" w:cs="Arial"/>
                            <w:i/>
                            <w:sz w:val="22"/>
                            <w:szCs w:val="22"/>
                          </w:rPr>
                        </m:ctrlPr>
                      </m:sSupPr>
                      <m:e>
                        <m:r>
                          <m:rPr>
                            <m:sty m:val="p"/>
                          </m:rPr>
                          <w:rPr>
                            <w:rFonts w:ascii="Cambria Math" w:hAnsi="Cambria Math" w:cs="Arial"/>
                            <w:sz w:val="22"/>
                            <w:szCs w:val="22"/>
                          </w:rPr>
                          <m:t>φ</m:t>
                        </m:r>
                      </m:e>
                      <m:sup>
                        <m:r>
                          <w:rPr>
                            <w:rFonts w:ascii="Cambria Math" w:hAnsi="Cambria Math" w:cs="Arial"/>
                            <w:sz w:val="22"/>
                            <w:szCs w:val="22"/>
                          </w:rPr>
                          <m:t>2</m:t>
                        </m:r>
                      </m:sup>
                    </m:sSup>
                  </m:e>
                </m:d>
                <m:r>
                  <m:rPr>
                    <m:lit/>
                  </m:rPr>
                  <w:rPr>
                    <w:rFonts w:ascii="Cambria Math" w:hAnsi="Cambria Math" w:cs="Arial"/>
                    <w:sz w:val="22"/>
                    <w:szCs w:val="22"/>
                  </w:rPr>
                  <m:t>/</m:t>
                </m:r>
                <m:sSubSup>
                  <m:sSubSupPr>
                    <m:ctrlPr>
                      <w:rPr>
                        <w:rFonts w:ascii="Cambria Math" w:hAnsi="Cambria Math" w:cs="Arial"/>
                        <w:i/>
                        <w:sz w:val="22"/>
                        <w:szCs w:val="22"/>
                      </w:rPr>
                    </m:ctrlPr>
                  </m:sSubSupPr>
                  <m:e>
                    <m:r>
                      <m:rPr>
                        <m:sty m:val="p"/>
                      </m:rPr>
                      <w:rPr>
                        <w:rFonts w:ascii="Cambria Math" w:hAnsi="Cambria Math" w:cs="Arial"/>
                        <w:sz w:val="22"/>
                        <w:szCs w:val="22"/>
                      </w:rPr>
                      <m:t>σ</m:t>
                    </m:r>
                    <m:ctrlPr>
                      <w:rPr>
                        <w:rFonts w:ascii="Cambria Math" w:hAnsi="Cambria Math" w:cs="Arial"/>
                        <w:sz w:val="22"/>
                        <w:szCs w:val="22"/>
                      </w:rPr>
                    </m:ctrlPr>
                  </m:e>
                  <m:sub>
                    <m:r>
                      <m:rPr>
                        <m:sty m:val="p"/>
                      </m:rPr>
                      <w:rPr>
                        <w:rFonts w:ascii="Cambria Math" w:hAnsi="Cambria Math" w:cs="Arial"/>
                        <w:sz w:val="22"/>
                        <w:szCs w:val="22"/>
                      </w:rPr>
                      <m:t>ζ</m:t>
                    </m:r>
                  </m:sub>
                  <m:sup>
                    <m:r>
                      <w:rPr>
                        <w:rFonts w:ascii="Cambria Math" w:hAnsi="Cambria Math" w:cs="Arial"/>
                        <w:sz w:val="22"/>
                        <w:szCs w:val="22"/>
                      </w:rPr>
                      <m:t>2</m:t>
                    </m:r>
                  </m:sup>
                </m:sSubSup>
              </m:e>
            </m:d>
          </m:e>
        </m:func>
      </m:oMath>
      <w:r w:rsidRPr="00500BF5">
        <w:rPr>
          <w:rFonts w:ascii="Arial" w:hAnsi="Arial" w:cs="Arial"/>
          <w:sz w:val="22"/>
          <w:szCs w:val="22"/>
        </w:rPr>
        <w:t xml:space="preserve">  and </w:t>
      </w:r>
      <m:oMath>
        <m:sSub>
          <m:sSubPr>
            <m:ctrlPr>
              <w:rPr>
                <w:rFonts w:ascii="Cambria Math" w:hAnsi="Cambria Math" w:cs="Arial"/>
                <w:i/>
                <w:sz w:val="22"/>
                <w:szCs w:val="22"/>
              </w:rPr>
            </m:ctrlPr>
          </m:sSubPr>
          <m:e>
            <m:r>
              <m:rPr>
                <m:sty m:val="p"/>
              </m:rPr>
              <w:rPr>
                <w:rFonts w:ascii="Cambria Math" w:hAnsi="Cambria Math" w:cs="Arial"/>
                <w:sz w:val="22"/>
                <w:szCs w:val="22"/>
              </w:rPr>
              <m:t>ϰ</m:t>
            </m:r>
            <m:ctrlPr>
              <w:rPr>
                <w:rFonts w:ascii="Cambria Math" w:hAnsi="Cambria Math" w:cs="Arial"/>
                <w:sz w:val="22"/>
                <w:szCs w:val="22"/>
              </w:rPr>
            </m:ctrlPr>
          </m:e>
          <m:sub>
            <m:r>
              <w:rPr>
                <w:rFonts w:ascii="Cambria Math" w:hAnsi="Cambria Math" w:cs="Arial"/>
                <w:sz w:val="22"/>
                <w:szCs w:val="22"/>
              </w:rPr>
              <m:t>2</m:t>
            </m:r>
          </m:sub>
        </m:sSub>
        <m:r>
          <w:rPr>
            <w:rFonts w:ascii="Cambria Math" w:hAnsi="Cambria Math" w:cs="Arial"/>
            <w:sz w:val="22"/>
            <w:szCs w:val="22"/>
          </w:rPr>
          <m:t>=</m:t>
        </m:r>
        <m:func>
          <m:funcPr>
            <m:ctrlPr>
              <w:rPr>
                <w:rFonts w:ascii="Cambria Math" w:hAnsi="Cambria Math" w:cs="Arial"/>
                <w:i/>
                <w:sz w:val="22"/>
                <w:szCs w:val="22"/>
              </w:rPr>
            </m:ctrlPr>
          </m:funcPr>
          <m:fName>
            <m:r>
              <w:rPr>
                <w:rFonts w:ascii="Cambria Math" w:hAnsi="Cambria Math" w:cs="Arial"/>
                <w:sz w:val="22"/>
                <w:szCs w:val="22"/>
              </w:rPr>
              <m:t>log</m:t>
            </m:r>
          </m:fName>
          <m:e>
            <m:d>
              <m:dPr>
                <m:ctrlPr>
                  <w:rPr>
                    <w:rFonts w:ascii="Cambria Math" w:hAnsi="Cambria Math" w:cs="Arial"/>
                    <w:i/>
                    <w:sz w:val="22"/>
                    <w:szCs w:val="22"/>
                  </w:rPr>
                </m:ctrlPr>
              </m:dPr>
              <m:e>
                <m:d>
                  <m:dPr>
                    <m:ctrlPr>
                      <w:rPr>
                        <w:rFonts w:ascii="Cambria Math" w:hAnsi="Cambria Math" w:cs="Arial"/>
                        <w:i/>
                        <w:sz w:val="22"/>
                        <w:szCs w:val="22"/>
                      </w:rPr>
                    </m:ctrlPr>
                  </m:dPr>
                  <m:e>
                    <m:r>
                      <w:rPr>
                        <w:rFonts w:ascii="Cambria Math" w:hAnsi="Cambria Math" w:cs="Arial"/>
                        <w:sz w:val="22"/>
                        <w:szCs w:val="22"/>
                      </w:rPr>
                      <m:t>1+</m:t>
                    </m:r>
                    <m:r>
                      <m:rPr>
                        <m:sty m:val="p"/>
                      </m:rPr>
                      <w:rPr>
                        <w:rFonts w:ascii="Cambria Math" w:hAnsi="Cambria Math" w:cs="Arial"/>
                        <w:sz w:val="22"/>
                        <w:szCs w:val="22"/>
                      </w:rPr>
                      <m:t>φ</m:t>
                    </m:r>
                  </m:e>
                </m:d>
                <m:r>
                  <m:rPr>
                    <m:lit/>
                  </m:rP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1-</m:t>
                    </m:r>
                    <m:r>
                      <m:rPr>
                        <m:sty m:val="p"/>
                      </m:rPr>
                      <w:rPr>
                        <w:rFonts w:ascii="Cambria Math" w:hAnsi="Cambria Math" w:cs="Arial"/>
                        <w:sz w:val="22"/>
                        <w:szCs w:val="22"/>
                      </w:rPr>
                      <m:t>φ</m:t>
                    </m:r>
                  </m:e>
                </m:d>
              </m:e>
            </m:d>
          </m:e>
        </m:func>
      </m:oMath>
      <w:r w:rsidRPr="00500BF5">
        <w:rPr>
          <w:rFonts w:ascii="Arial" w:hAnsi="Arial" w:cs="Arial"/>
          <w:sz w:val="22"/>
          <w:szCs w:val="22"/>
        </w:rPr>
        <w:t xml:space="preserve"> which were assigned </w:t>
      </w:r>
      <w:proofErr w:type="spellStart"/>
      <m:oMath>
        <m:r>
          <m:rPr>
            <m:nor/>
          </m:rPr>
          <w:rPr>
            <w:rFonts w:ascii="Arial" w:hAnsi="Arial" w:cs="Arial"/>
            <w:sz w:val="22"/>
            <w:szCs w:val="22"/>
          </w:rPr>
          <m:t>logGamma</m:t>
        </m:r>
        <w:proofErr w:type="spellEnd"/>
        <m:d>
          <m:dPr>
            <m:ctrlPr>
              <w:rPr>
                <w:rFonts w:ascii="Cambria Math" w:hAnsi="Cambria Math" w:cs="Arial"/>
                <w:i/>
                <w:sz w:val="22"/>
                <w:szCs w:val="22"/>
              </w:rPr>
            </m:ctrlPr>
          </m:dPr>
          <m:e>
            <m:r>
              <w:rPr>
                <w:rFonts w:ascii="Cambria Math" w:hAnsi="Cambria Math" w:cs="Arial"/>
                <w:sz w:val="22"/>
                <w:szCs w:val="22"/>
              </w:rPr>
              <m:t>0.001,0.001</m:t>
            </m:r>
          </m:e>
        </m:d>
      </m:oMath>
      <w:r w:rsidRPr="00500BF5">
        <w:rPr>
          <w:rFonts w:ascii="Arial" w:hAnsi="Arial" w:cs="Arial"/>
          <w:sz w:val="22"/>
          <w:szCs w:val="22"/>
        </w:rPr>
        <w:t xml:space="preserve"> and </w:t>
      </w:r>
      <m:oMath>
        <m:r>
          <m:rPr>
            <m:scr m:val="script"/>
          </m:rPr>
          <w:rPr>
            <w:rFonts w:ascii="Cambria Math" w:hAnsi="Cambria Math" w:cs="Arial"/>
            <w:sz w:val="22"/>
            <w:szCs w:val="22"/>
          </w:rPr>
          <m:t>N</m:t>
        </m:r>
        <m:d>
          <m:dPr>
            <m:ctrlPr>
              <w:rPr>
                <w:rFonts w:ascii="Cambria Math" w:hAnsi="Cambria Math" w:cs="Arial"/>
                <w:i/>
                <w:sz w:val="22"/>
                <w:szCs w:val="22"/>
              </w:rPr>
            </m:ctrlPr>
          </m:dPr>
          <m:e>
            <m:r>
              <w:rPr>
                <w:rFonts w:ascii="Cambria Math" w:hAnsi="Cambria Math" w:cs="Arial"/>
                <w:sz w:val="22"/>
                <w:szCs w:val="22"/>
              </w:rPr>
              <m:t>0,1</m:t>
            </m:r>
          </m:e>
        </m:d>
      </m:oMath>
      <w:r w:rsidRPr="00500BF5">
        <w:rPr>
          <w:rFonts w:ascii="Arial" w:hAnsi="Arial" w:cs="Arial"/>
          <w:sz w:val="22"/>
          <w:szCs w:val="22"/>
        </w:rPr>
        <w:t xml:space="preserve"> distributions respectively. Similarly, an </w:t>
      </w:r>
      <w:proofErr w:type="spellStart"/>
      <w:r w:rsidRPr="006A7451">
        <w:rPr>
          <w:rFonts w:ascii="Arial" w:hAnsi="Arial" w:cs="Arial"/>
          <w:i/>
          <w:iCs/>
          <w:sz w:val="22"/>
          <w:szCs w:val="22"/>
        </w:rPr>
        <w:t>i</w:t>
      </w:r>
      <w:r w:rsidRPr="006A7451">
        <w:rPr>
          <w:rFonts w:ascii="Arial" w:hAnsi="Arial" w:cs="Arial"/>
          <w:i/>
          <w:iCs/>
          <w:sz w:val="22"/>
          <w:szCs w:val="22"/>
          <w:vertAlign w:val="superscript"/>
        </w:rPr>
        <w:t>th</w:t>
      </w:r>
      <w:proofErr w:type="spellEnd"/>
      <w:r w:rsidRPr="00500BF5">
        <w:rPr>
          <w:rFonts w:ascii="Arial" w:hAnsi="Arial" w:cs="Arial"/>
          <w:sz w:val="22"/>
          <w:szCs w:val="22"/>
        </w:rPr>
        <w:t xml:space="preserve"> order autoregressive term is given </w:t>
      </w:r>
      <m:oMath>
        <m:sSubSup>
          <m:sSubSupPr>
            <m:ctrlPr>
              <w:rPr>
                <w:rFonts w:ascii="Cambria Math" w:hAnsi="Cambria Math" w:cs="Arial"/>
                <w:i/>
                <w:sz w:val="22"/>
                <w:szCs w:val="22"/>
              </w:rPr>
            </m:ctrlPr>
          </m:sSubSupPr>
          <m:e>
            <m:r>
              <m:rPr>
                <m:sty m:val="p"/>
              </m:rPr>
              <w:rPr>
                <w:rFonts w:ascii="Cambria Math" w:hAnsi="Cambria Math" w:cs="Arial"/>
                <w:sz w:val="22"/>
                <w:szCs w:val="22"/>
              </w:rPr>
              <m:t>ζ</m:t>
            </m:r>
            <m:ctrlPr>
              <w:rPr>
                <w:rFonts w:ascii="Cambria Math" w:hAnsi="Cambria Math" w:cs="Arial"/>
                <w:sz w:val="22"/>
                <w:szCs w:val="22"/>
              </w:rPr>
            </m:ctrlPr>
          </m:e>
          <m:sub>
            <m:r>
              <w:rPr>
                <w:rFonts w:ascii="Cambria Math" w:hAnsi="Cambria Math" w:cs="Arial"/>
                <w:sz w:val="22"/>
                <w:szCs w:val="22"/>
              </w:rPr>
              <m:t>week</m:t>
            </m:r>
          </m:sub>
          <m:sup>
            <m:d>
              <m:dPr>
                <m:ctrlPr>
                  <w:rPr>
                    <w:rFonts w:ascii="Cambria Math" w:hAnsi="Cambria Math" w:cs="Arial"/>
                    <w:i/>
                    <w:sz w:val="22"/>
                    <w:szCs w:val="22"/>
                  </w:rPr>
                </m:ctrlPr>
              </m:dPr>
              <m:e>
                <m:r>
                  <w:rPr>
                    <w:rFonts w:ascii="Cambria Math" w:hAnsi="Cambria Math" w:cs="Arial"/>
                    <w:sz w:val="22"/>
                    <w:szCs w:val="22"/>
                  </w:rPr>
                  <m:t>i</m:t>
                </m:r>
              </m:e>
            </m:d>
          </m:sup>
        </m:sSubSup>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φ</m:t>
            </m:r>
          </m:e>
          <m:sub>
            <m:r>
              <w:rPr>
                <w:rFonts w:ascii="Cambria Math" w:hAnsi="Cambria Math" w:cs="Arial"/>
                <w:sz w:val="22"/>
                <w:szCs w:val="22"/>
              </w:rPr>
              <m:t>1</m:t>
            </m:r>
          </m:sub>
        </m:sSub>
        <m:r>
          <m:rPr>
            <m:sty m:val="p"/>
          </m:rPr>
          <w:rPr>
            <w:rFonts w:ascii="Cambria Math" w:hAnsi="Cambria Math" w:cs="Arial"/>
            <w:sz w:val="22"/>
            <w:szCs w:val="22"/>
          </w:rPr>
          <m:t>⋅</m:t>
        </m:r>
        <m:sSubSup>
          <m:sSubSupPr>
            <m:ctrlPr>
              <w:rPr>
                <w:rFonts w:ascii="Cambria Math" w:hAnsi="Cambria Math" w:cs="Arial"/>
                <w:i/>
                <w:sz w:val="22"/>
                <w:szCs w:val="22"/>
              </w:rPr>
            </m:ctrlPr>
          </m:sSubSupPr>
          <m:e>
            <m:r>
              <m:rPr>
                <m:sty m:val="p"/>
              </m:rPr>
              <w:rPr>
                <w:rFonts w:ascii="Cambria Math" w:hAnsi="Cambria Math" w:cs="Arial"/>
                <w:sz w:val="22"/>
                <w:szCs w:val="22"/>
              </w:rPr>
              <m:t>ζ</m:t>
            </m:r>
            <m:ctrlPr>
              <w:rPr>
                <w:rFonts w:ascii="Cambria Math" w:hAnsi="Cambria Math" w:cs="Arial"/>
                <w:sz w:val="22"/>
                <w:szCs w:val="22"/>
              </w:rPr>
            </m:ctrlPr>
          </m:e>
          <m:sub>
            <m:r>
              <w:rPr>
                <w:rFonts w:ascii="Cambria Math" w:hAnsi="Cambria Math" w:cs="Arial"/>
                <w:sz w:val="22"/>
                <w:szCs w:val="22"/>
              </w:rPr>
              <m:t>week-1</m:t>
            </m:r>
          </m:sub>
          <m:sup>
            <m:d>
              <m:dPr>
                <m:ctrlPr>
                  <w:rPr>
                    <w:rFonts w:ascii="Cambria Math" w:hAnsi="Cambria Math" w:cs="Arial"/>
                    <w:i/>
                    <w:sz w:val="22"/>
                    <w:szCs w:val="22"/>
                  </w:rPr>
                </m:ctrlPr>
              </m:dPr>
              <m:e>
                <m:r>
                  <w:rPr>
                    <w:rFonts w:ascii="Cambria Math" w:hAnsi="Cambria Math" w:cs="Arial"/>
                    <w:sz w:val="22"/>
                    <w:szCs w:val="22"/>
                  </w:rPr>
                  <m:t>i</m:t>
                </m:r>
              </m:e>
            </m:d>
          </m:sup>
        </m:sSubSup>
        <m:r>
          <w:rPr>
            <w:rFonts w:ascii="Cambria Math" w:hAnsi="Cambria Math" w:cs="Arial"/>
            <w:sz w:val="22"/>
            <w:szCs w:val="22"/>
          </w:rPr>
          <m:t>+</m:t>
        </m:r>
        <m:r>
          <m:rPr>
            <m:sty m:val="p"/>
          </m:rPr>
          <w:rPr>
            <w:rFonts w:ascii="Cambria Math" w:hAnsi="Cambria Math" w:cs="Arial"/>
            <w:sz w:val="22"/>
            <w:szCs w:val="22"/>
          </w:rPr>
          <m:t>⋯</m:t>
        </m:r>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φ</m:t>
            </m:r>
          </m:e>
          <m:sub>
            <m:r>
              <w:rPr>
                <w:rFonts w:ascii="Cambria Math" w:hAnsi="Cambria Math" w:cs="Arial"/>
                <w:sz w:val="22"/>
                <w:szCs w:val="22"/>
              </w:rPr>
              <m:t>i</m:t>
            </m:r>
          </m:sub>
        </m:sSub>
        <m:r>
          <m:rPr>
            <m:sty m:val="p"/>
          </m:rPr>
          <w:rPr>
            <w:rFonts w:ascii="Cambria Math" w:hAnsi="Cambria Math" w:cs="Arial"/>
            <w:sz w:val="22"/>
            <w:szCs w:val="22"/>
          </w:rPr>
          <m:t>⋅</m:t>
        </m:r>
        <m:sSubSup>
          <m:sSubSupPr>
            <m:ctrlPr>
              <w:rPr>
                <w:rFonts w:ascii="Cambria Math" w:hAnsi="Cambria Math" w:cs="Arial"/>
                <w:i/>
                <w:sz w:val="22"/>
                <w:szCs w:val="22"/>
              </w:rPr>
            </m:ctrlPr>
          </m:sSubSupPr>
          <m:e>
            <m:r>
              <m:rPr>
                <m:sty m:val="p"/>
              </m:rPr>
              <w:rPr>
                <w:rFonts w:ascii="Cambria Math" w:hAnsi="Cambria Math" w:cs="Arial"/>
                <w:sz w:val="22"/>
                <w:szCs w:val="22"/>
              </w:rPr>
              <m:t>ζ</m:t>
            </m:r>
            <m:ctrlPr>
              <w:rPr>
                <w:rFonts w:ascii="Cambria Math" w:hAnsi="Cambria Math" w:cs="Arial"/>
                <w:sz w:val="22"/>
                <w:szCs w:val="22"/>
              </w:rPr>
            </m:ctrlPr>
          </m:e>
          <m:sub>
            <m:r>
              <w:rPr>
                <w:rFonts w:ascii="Cambria Math" w:hAnsi="Cambria Math" w:cs="Arial"/>
                <w:sz w:val="22"/>
                <w:szCs w:val="22"/>
              </w:rPr>
              <m:t>week-i</m:t>
            </m:r>
          </m:sub>
          <m:sup>
            <m:d>
              <m:dPr>
                <m:ctrlPr>
                  <w:rPr>
                    <w:rFonts w:ascii="Cambria Math" w:hAnsi="Cambria Math" w:cs="Arial"/>
                    <w:i/>
                    <w:sz w:val="22"/>
                    <w:szCs w:val="22"/>
                  </w:rPr>
                </m:ctrlPr>
              </m:dPr>
              <m:e>
                <m:r>
                  <w:rPr>
                    <w:rFonts w:ascii="Cambria Math" w:hAnsi="Cambria Math" w:cs="Arial"/>
                    <w:sz w:val="22"/>
                    <w:szCs w:val="22"/>
                  </w:rPr>
                  <m:t>i</m:t>
                </m:r>
              </m:e>
            </m:d>
          </m:sup>
        </m:sSubSup>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ϵ</m:t>
            </m:r>
          </m:e>
          <m:sub>
            <m:r>
              <w:rPr>
                <w:rFonts w:ascii="Cambria Math" w:hAnsi="Cambria Math" w:cs="Arial"/>
                <w:sz w:val="22"/>
                <w:szCs w:val="22"/>
              </w:rPr>
              <m:t>week</m:t>
            </m:r>
          </m:sub>
        </m:sSub>
      </m:oMath>
      <w:r w:rsidRPr="00500BF5">
        <w:rPr>
          <w:rFonts w:ascii="Arial" w:hAnsi="Arial" w:cs="Arial"/>
          <w:sz w:val="22"/>
          <w:szCs w:val="22"/>
        </w:rPr>
        <w:t xml:space="preserve"> with </w:t>
      </w:r>
      <m:oMath>
        <m:r>
          <w:rPr>
            <w:rFonts w:ascii="Cambria Math" w:hAnsi="Cambria Math" w:cs="Arial"/>
            <w:sz w:val="22"/>
            <w:szCs w:val="22"/>
          </w:rPr>
          <m:t>-1&lt;</m:t>
        </m:r>
        <m:sSub>
          <m:sSubPr>
            <m:ctrlPr>
              <w:rPr>
                <w:rFonts w:ascii="Cambria Math" w:hAnsi="Cambria Math" w:cs="Arial"/>
                <w:i/>
                <w:sz w:val="22"/>
                <w:szCs w:val="22"/>
              </w:rPr>
            </m:ctrlPr>
          </m:sSubPr>
          <m:e>
            <m:r>
              <m:rPr>
                <m:sty m:val="p"/>
              </m:rPr>
              <w:rPr>
                <w:rFonts w:ascii="Cambria Math" w:hAnsi="Cambria Math" w:cs="Arial"/>
                <w:sz w:val="22"/>
                <w:szCs w:val="22"/>
              </w:rPr>
              <m:t>ϕ</m:t>
            </m:r>
          </m:e>
          <m:sub>
            <m:r>
              <w:rPr>
                <w:rFonts w:ascii="Cambria Math" w:hAnsi="Cambria Math" w:cs="Arial"/>
                <w:sz w:val="22"/>
                <w:szCs w:val="22"/>
              </w:rPr>
              <m:t>j</m:t>
            </m:r>
          </m:sub>
        </m:sSub>
        <m:r>
          <w:rPr>
            <w:rFonts w:ascii="Cambria Math" w:hAnsi="Cambria Math" w:cs="Arial"/>
            <w:sz w:val="22"/>
            <w:szCs w:val="22"/>
          </w:rPr>
          <m:t>&lt;1.</m:t>
        </m:r>
      </m:oMath>
      <w:r w:rsidRPr="00500BF5">
        <w:rPr>
          <w:rFonts w:ascii="Arial" w:hAnsi="Arial" w:cs="Arial"/>
          <w:sz w:val="22"/>
          <w:szCs w:val="22"/>
        </w:rPr>
        <w:t xml:space="preserve"> The parametrisation of these models was based on the partial autocorrelation function of the sequence </w:t>
      </w:r>
      <m:oMath>
        <m:sSub>
          <m:sSubPr>
            <m:ctrlPr>
              <w:rPr>
                <w:rFonts w:ascii="Cambria Math" w:hAnsi="Cambria Math" w:cs="Arial"/>
                <w:i/>
                <w:sz w:val="22"/>
                <w:szCs w:val="22"/>
              </w:rPr>
            </m:ctrlPr>
          </m:sSubPr>
          <m:e>
            <m:r>
              <m:rPr>
                <m:sty m:val="p"/>
              </m:rPr>
              <w:rPr>
                <w:rFonts w:ascii="Cambria Math" w:hAnsi="Cambria Math" w:cs="Arial"/>
                <w:sz w:val="22"/>
                <w:szCs w:val="22"/>
              </w:rPr>
              <m:t>ϕ</m:t>
            </m:r>
          </m:e>
          <m:sub>
            <m:r>
              <w:rPr>
                <w:rFonts w:ascii="Cambria Math" w:hAnsi="Cambria Math" w:cs="Arial"/>
                <w:sz w:val="22"/>
                <w:szCs w:val="22"/>
              </w:rPr>
              <m:t>j</m:t>
            </m:r>
          </m:sub>
        </m:sSub>
      </m:oMath>
      <w:r w:rsidRPr="001831EE">
        <w:rPr>
          <w:rFonts w:ascii="Arial" w:hAnsi="Arial" w:cs="Arial"/>
          <w:noProof/>
          <w:sz w:val="22"/>
          <w:szCs w:val="22"/>
          <w:vertAlign w:val="superscript"/>
        </w:rPr>
        <w:t>65</w:t>
      </w:r>
      <w:r w:rsidRPr="00500BF5">
        <w:rPr>
          <w:rFonts w:ascii="Arial" w:hAnsi="Arial" w:cs="Arial"/>
          <w:sz w:val="22"/>
          <w:szCs w:val="22"/>
        </w:rPr>
        <w:t>.</w:t>
      </w:r>
    </w:p>
    <w:p w14:paraId="770228F1" w14:textId="77777777" w:rsidR="00474D86" w:rsidRPr="00500BF5" w:rsidRDefault="00474D86" w:rsidP="005726A9">
      <w:pPr>
        <w:spacing w:line="480" w:lineRule="auto"/>
        <w:jc w:val="both"/>
        <w:rPr>
          <w:rFonts w:ascii="Arial" w:hAnsi="Arial" w:cs="Arial"/>
          <w:sz w:val="22"/>
          <w:szCs w:val="22"/>
        </w:rPr>
      </w:pPr>
    </w:p>
    <w:p w14:paraId="28E98FF3" w14:textId="77777777" w:rsidR="00474D86" w:rsidRPr="00500BF5" w:rsidRDefault="00474D86" w:rsidP="005726A9">
      <w:pPr>
        <w:spacing w:line="480" w:lineRule="auto"/>
        <w:jc w:val="both"/>
        <w:rPr>
          <w:rFonts w:ascii="Arial" w:hAnsi="Arial" w:cs="Arial"/>
          <w:sz w:val="22"/>
          <w:szCs w:val="22"/>
        </w:rPr>
      </w:pPr>
      <w:r w:rsidRPr="00500BF5">
        <w:rPr>
          <w:rFonts w:ascii="Arial" w:hAnsi="Arial" w:cs="Arial"/>
          <w:sz w:val="22"/>
          <w:szCs w:val="22"/>
        </w:rPr>
        <w:t xml:space="preserve">The term </w:t>
      </w:r>
      <m:oMath>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week</m:t>
            </m:r>
          </m:sub>
        </m:sSub>
      </m:oMath>
      <w:r w:rsidRPr="00500BF5">
        <w:rPr>
          <w:rFonts w:ascii="Arial" w:hAnsi="Arial" w:cs="Arial"/>
          <w:sz w:val="22"/>
          <w:szCs w:val="22"/>
        </w:rPr>
        <w:t xml:space="preserve"> captures seasonality in mortality trends with a period of 52 weeks. The sums of every 52 consecutive terms </w:t>
      </w:r>
      <m:oMath>
        <m:sSub>
          <m:sSubPr>
            <m:ctrlPr>
              <w:rPr>
                <w:rFonts w:ascii="Cambria Math" w:hAnsi="Cambria Math" w:cs="Arial"/>
                <w:i/>
                <w:sz w:val="22"/>
                <w:szCs w:val="22"/>
              </w:rPr>
            </m:ctrlPr>
          </m:sSubPr>
          <m:e>
            <m:r>
              <w:rPr>
                <w:rFonts w:ascii="Cambria Math" w:hAnsi="Cambria Math" w:cs="Arial"/>
                <w:sz w:val="22"/>
                <w:szCs w:val="22"/>
              </w:rPr>
              <m:t>θ</m:t>
            </m:r>
            <m:ctrlPr>
              <w:rPr>
                <w:rFonts w:ascii="Cambria Math" w:hAnsi="Cambria Math" w:cs="Arial"/>
                <w:sz w:val="22"/>
                <w:szCs w:val="22"/>
              </w:rPr>
            </m:ctrlPr>
          </m:e>
          <m:sub>
            <m:r>
              <w:rPr>
                <w:rFonts w:ascii="Cambria Math" w:hAnsi="Cambria Math" w:cs="Arial"/>
                <w:sz w:val="22"/>
                <w:szCs w:val="22"/>
              </w:rPr>
              <m:t>week</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week+1</m:t>
            </m:r>
          </m:sub>
        </m:sSub>
        <m:r>
          <w:rPr>
            <w:rFonts w:ascii="Cambria Math" w:hAnsi="Cambria Math" w:cs="Arial"/>
            <w:sz w:val="22"/>
            <w:szCs w:val="22"/>
          </w:rPr>
          <m:t>+</m:t>
        </m:r>
        <m:r>
          <m:rPr>
            <m:sty m:val="p"/>
          </m:rPr>
          <w:rPr>
            <w:rFonts w:ascii="Cambria Math" w:hAnsi="Cambria Math" w:cs="Arial"/>
            <w:sz w:val="22"/>
            <w:szCs w:val="22"/>
          </w:rPr>
          <m:t>⋯</m:t>
        </m:r>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week+51</m:t>
            </m:r>
          </m:sub>
        </m:sSub>
      </m:oMath>
      <w:r w:rsidRPr="00500BF5">
        <w:rPr>
          <w:rFonts w:ascii="Arial" w:hAnsi="Arial" w:cs="Arial"/>
          <w:sz w:val="22"/>
          <w:szCs w:val="22"/>
        </w:rPr>
        <w:t xml:space="preserve"> were modelled as independent Gaussian with zero mean and variance </w:t>
      </w:r>
      <m:oMath>
        <m:sSubSup>
          <m:sSubSupPr>
            <m:ctrlPr>
              <w:rPr>
                <w:rFonts w:ascii="Cambria Math" w:hAnsi="Cambria Math" w:cs="Arial"/>
                <w:i/>
                <w:sz w:val="22"/>
                <w:szCs w:val="22"/>
              </w:rPr>
            </m:ctrlPr>
          </m:sSubSupPr>
          <m:e>
            <m:r>
              <m:rPr>
                <m:sty m:val="p"/>
              </m:rPr>
              <w:rPr>
                <w:rFonts w:ascii="Cambria Math" w:hAnsi="Cambria Math" w:cs="Arial"/>
                <w:sz w:val="22"/>
                <w:szCs w:val="22"/>
              </w:rPr>
              <m:t>σ</m:t>
            </m:r>
            <m:ctrlPr>
              <w:rPr>
                <w:rFonts w:ascii="Cambria Math" w:hAnsi="Cambria Math" w:cs="Arial"/>
                <w:sz w:val="22"/>
                <w:szCs w:val="22"/>
              </w:rPr>
            </m:ctrlPr>
          </m:e>
          <m:sub>
            <m:r>
              <m:rPr>
                <m:sty m:val="p"/>
              </m:rPr>
              <w:rPr>
                <w:rFonts w:ascii="Cambria Math" w:hAnsi="Cambria Math" w:cs="Arial"/>
                <w:sz w:val="22"/>
                <w:szCs w:val="22"/>
              </w:rPr>
              <m:t>θ</m:t>
            </m:r>
          </m:sub>
          <m:sup>
            <m:r>
              <w:rPr>
                <w:rFonts w:ascii="Cambria Math" w:hAnsi="Cambria Math" w:cs="Arial"/>
                <w:sz w:val="22"/>
                <w:szCs w:val="22"/>
              </w:rPr>
              <m:t>2</m:t>
            </m:r>
          </m:sup>
        </m:sSubSup>
        <m:r>
          <w:rPr>
            <w:rFonts w:ascii="Cambria Math" w:hAnsi="Cambria Math" w:cs="Arial"/>
            <w:sz w:val="22"/>
            <w:szCs w:val="22"/>
          </w:rPr>
          <m:t>.</m:t>
        </m:r>
      </m:oMath>
      <w:r w:rsidRPr="00500BF5">
        <w:rPr>
          <w:rFonts w:ascii="Arial" w:hAnsi="Arial" w:cs="Arial"/>
          <w:sz w:val="22"/>
          <w:szCs w:val="22"/>
        </w:rPr>
        <w:t xml:space="preserve"> We used a </w:t>
      </w:r>
      <w:proofErr w:type="spellStart"/>
      <m:oMath>
        <m:r>
          <m:rPr>
            <m:nor/>
          </m:rPr>
          <w:rPr>
            <w:rFonts w:ascii="Arial" w:hAnsi="Arial" w:cs="Arial"/>
            <w:sz w:val="22"/>
            <w:szCs w:val="22"/>
          </w:rPr>
          <m:t>logGamma</m:t>
        </m:r>
        <w:proofErr w:type="spellEnd"/>
        <m:d>
          <m:dPr>
            <m:ctrlPr>
              <w:rPr>
                <w:rFonts w:ascii="Cambria Math" w:hAnsi="Cambria Math" w:cs="Arial"/>
                <w:i/>
                <w:sz w:val="22"/>
                <w:szCs w:val="22"/>
              </w:rPr>
            </m:ctrlPr>
          </m:dPr>
          <m:e>
            <m:r>
              <w:rPr>
                <w:rFonts w:ascii="Cambria Math" w:hAnsi="Cambria Math" w:cs="Arial"/>
                <w:sz w:val="22"/>
                <w:szCs w:val="22"/>
              </w:rPr>
              <m:t>0.001, 0.001</m:t>
            </m:r>
          </m:e>
        </m:d>
      </m:oMath>
      <w:r w:rsidRPr="00500BF5">
        <w:rPr>
          <w:rFonts w:ascii="Arial" w:hAnsi="Arial" w:cs="Arial"/>
          <w:sz w:val="22"/>
          <w:szCs w:val="22"/>
        </w:rPr>
        <w:t xml:space="preserve"> prior on the log precision </w:t>
      </w:r>
      <m:oMath>
        <m:func>
          <m:funcPr>
            <m:ctrlPr>
              <w:rPr>
                <w:rFonts w:ascii="Cambria Math" w:hAnsi="Cambria Math" w:cs="Arial"/>
                <w:i/>
                <w:sz w:val="22"/>
                <w:szCs w:val="22"/>
              </w:rPr>
            </m:ctrlPr>
          </m:funcPr>
          <m:fName>
            <m:r>
              <m:rPr>
                <m:sty m:val="p"/>
              </m:rPr>
              <w:rPr>
                <w:rFonts w:ascii="Cambria Math" w:hAnsi="Cambria Math" w:cs="Arial"/>
                <w:sz w:val="22"/>
                <w:szCs w:val="22"/>
              </w:rPr>
              <m:t>log</m:t>
            </m:r>
          </m:fName>
          <m:e>
            <m:d>
              <m:dPr>
                <m:ctrlPr>
                  <w:rPr>
                    <w:rFonts w:ascii="Cambria Math" w:hAnsi="Cambria Math" w:cs="Arial"/>
                    <w:i/>
                    <w:sz w:val="22"/>
                    <w:szCs w:val="22"/>
                  </w:rPr>
                </m:ctrlPr>
              </m:dPr>
              <m:e>
                <m:r>
                  <w:rPr>
                    <w:rFonts w:ascii="Cambria Math" w:hAnsi="Cambria Math" w:cs="Arial"/>
                    <w:sz w:val="22"/>
                    <w:szCs w:val="22"/>
                  </w:rPr>
                  <m:t>1</m:t>
                </m:r>
                <m:r>
                  <m:rPr>
                    <m:lit/>
                  </m:rPr>
                  <w:rPr>
                    <w:rFonts w:ascii="Cambria Math" w:hAnsi="Cambria Math" w:cs="Arial"/>
                    <w:sz w:val="22"/>
                    <w:szCs w:val="22"/>
                  </w:rPr>
                  <m:t>/</m:t>
                </m:r>
                <m:sSubSup>
                  <m:sSubSupPr>
                    <m:ctrlPr>
                      <w:rPr>
                        <w:rFonts w:ascii="Cambria Math" w:hAnsi="Cambria Math" w:cs="Arial"/>
                        <w:i/>
                        <w:sz w:val="22"/>
                        <w:szCs w:val="22"/>
                      </w:rPr>
                    </m:ctrlPr>
                  </m:sSubSupPr>
                  <m:e>
                    <m:r>
                      <m:rPr>
                        <m:sty m:val="p"/>
                      </m:rPr>
                      <w:rPr>
                        <w:rFonts w:ascii="Cambria Math" w:hAnsi="Cambria Math" w:cs="Arial"/>
                        <w:sz w:val="22"/>
                        <w:szCs w:val="22"/>
                      </w:rPr>
                      <m:t>σ</m:t>
                    </m:r>
                  </m:e>
                  <m:sub>
                    <m:r>
                      <m:rPr>
                        <m:sty m:val="p"/>
                      </m:rPr>
                      <w:rPr>
                        <w:rFonts w:ascii="Cambria Math" w:hAnsi="Cambria Math" w:cs="Arial"/>
                        <w:sz w:val="22"/>
                        <w:szCs w:val="22"/>
                      </w:rPr>
                      <m:t>θ</m:t>
                    </m:r>
                  </m:sub>
                  <m:sup>
                    <m:r>
                      <w:rPr>
                        <w:rFonts w:ascii="Cambria Math" w:hAnsi="Cambria Math" w:cs="Arial"/>
                        <w:sz w:val="22"/>
                        <w:szCs w:val="22"/>
                      </w:rPr>
                      <m:t>2</m:t>
                    </m:r>
                  </m:sup>
                </m:sSubSup>
              </m:e>
            </m:d>
          </m:e>
        </m:func>
      </m:oMath>
      <w:r w:rsidRPr="00500BF5">
        <w:rPr>
          <w:rFonts w:ascii="Arial" w:hAnsi="Arial" w:cs="Arial"/>
          <w:sz w:val="22"/>
          <w:szCs w:val="22"/>
        </w:rPr>
        <w:t>. Each week is assigned an index between 1 and 52 depending on which week of the current year it is (the incomplete week 53 is mapped to either index 1 or 52 depending on whether it has greater overlap with 52 of the current year or week 1 of the following year).</w:t>
      </w:r>
    </w:p>
    <w:p w14:paraId="2344346C" w14:textId="77777777" w:rsidR="00474D86" w:rsidRPr="00500BF5" w:rsidRDefault="00474D86" w:rsidP="005726A9">
      <w:pPr>
        <w:spacing w:line="480" w:lineRule="auto"/>
        <w:jc w:val="both"/>
        <w:rPr>
          <w:rFonts w:ascii="Arial" w:hAnsi="Arial" w:cs="Arial"/>
          <w:sz w:val="22"/>
          <w:szCs w:val="22"/>
        </w:rPr>
      </w:pPr>
    </w:p>
    <w:p w14:paraId="0A9BD03B" w14:textId="77777777" w:rsidR="00474D86" w:rsidRPr="00500BF5" w:rsidRDefault="00474D86" w:rsidP="005726A9">
      <w:pPr>
        <w:spacing w:line="480" w:lineRule="auto"/>
        <w:jc w:val="both"/>
        <w:rPr>
          <w:rFonts w:ascii="Arial" w:hAnsi="Arial" w:cs="Arial"/>
          <w:sz w:val="22"/>
          <w:szCs w:val="22"/>
        </w:rPr>
      </w:pPr>
      <w:r w:rsidRPr="00500BF5">
        <w:rPr>
          <w:rFonts w:ascii="Arial" w:hAnsi="Arial" w:cs="Arial"/>
          <w:sz w:val="22"/>
          <w:szCs w:val="22"/>
        </w:rPr>
        <w:t xml:space="preserve">The effect of temperature anomaly on death rates is captured by the two terms </w:t>
      </w:r>
      <m:oMath>
        <m:r>
          <m:rPr>
            <m:sty m:val="p"/>
          </m:rPr>
          <w:rPr>
            <w:rFonts w:ascii="Cambria Math" w:hAnsi="Cambria Math" w:cs="Arial"/>
            <w:sz w:val="22"/>
            <w:szCs w:val="22"/>
          </w:rPr>
          <m:t>γ</m:t>
        </m:r>
      </m:oMath>
      <w:r w:rsidRPr="00500BF5">
        <w:rPr>
          <w:rFonts w:ascii="Arial" w:hAnsi="Arial" w:cs="Arial"/>
          <w:sz w:val="22"/>
          <w:szCs w:val="22"/>
        </w:rPr>
        <w:t xml:space="preserve"> and </w:t>
      </w:r>
      <m:oMath>
        <m:sSub>
          <m:sSubPr>
            <m:ctrlPr>
              <w:rPr>
                <w:rFonts w:ascii="Cambria Math" w:hAnsi="Cambria Math" w:cs="Arial"/>
                <w:i/>
                <w:sz w:val="22"/>
                <w:szCs w:val="22"/>
              </w:rPr>
            </m:ctrlPr>
          </m:sSubPr>
          <m:e>
            <m:r>
              <m:rPr>
                <m:sty m:val="p"/>
              </m:rPr>
              <w:rPr>
                <w:rFonts w:ascii="Cambria Math" w:hAnsi="Cambria Math" w:cs="Arial"/>
                <w:sz w:val="22"/>
                <w:szCs w:val="22"/>
              </w:rPr>
              <m:t>ν</m:t>
            </m:r>
          </m:e>
          <m:sub>
            <m:r>
              <m:rPr>
                <m:nor/>
              </m:rPr>
              <w:rPr>
                <w:rFonts w:ascii="Arial" w:hAnsi="Arial" w:cs="Arial"/>
                <w:sz w:val="22"/>
                <w:szCs w:val="22"/>
              </w:rPr>
              <m:t>week of year</m:t>
            </m:r>
          </m:sub>
        </m:sSub>
      </m:oMath>
      <w:r>
        <w:rPr>
          <w:rFonts w:ascii="Arial" w:hAnsi="Arial" w:cs="Arial"/>
          <w:sz w:val="22"/>
          <w:szCs w:val="22"/>
        </w:rPr>
        <w:t>. T</w:t>
      </w:r>
      <w:r w:rsidRPr="00500BF5">
        <w:rPr>
          <w:rFonts w:ascii="Arial" w:hAnsi="Arial" w:cs="Arial"/>
          <w:sz w:val="22"/>
          <w:szCs w:val="22"/>
        </w:rPr>
        <w:t>he</w:t>
      </w:r>
      <w:r>
        <w:rPr>
          <w:rFonts w:ascii="Arial" w:hAnsi="Arial" w:cs="Arial"/>
          <w:sz w:val="22"/>
          <w:szCs w:val="22"/>
        </w:rPr>
        <w:t xml:space="preserve"> </w:t>
      </w:r>
      <w:r w:rsidRPr="00500BF5">
        <w:rPr>
          <w:rFonts w:ascii="Arial" w:hAnsi="Arial" w:cs="Arial"/>
          <w:sz w:val="22"/>
          <w:szCs w:val="22"/>
        </w:rPr>
        <w:t xml:space="preserve">term </w:t>
      </w:r>
      <m:oMath>
        <m:r>
          <m:rPr>
            <m:sty m:val="p"/>
          </m:rPr>
          <w:rPr>
            <w:rFonts w:ascii="Cambria Math" w:hAnsi="Cambria Math" w:cs="Arial"/>
            <w:sz w:val="22"/>
            <w:szCs w:val="22"/>
          </w:rPr>
          <m:t>γ⋅</m:t>
        </m:r>
        <m:r>
          <m:rPr>
            <m:nor/>
          </m:rPr>
          <w:rPr>
            <w:rFonts w:ascii="Arial" w:hAnsi="Arial" w:cs="Arial"/>
            <w:sz w:val="22"/>
            <w:szCs w:val="22"/>
          </w:rPr>
          <m:t>temperature anomal</m:t>
        </m:r>
        <m:sSub>
          <m:sSubPr>
            <m:ctrlPr>
              <w:rPr>
                <w:rFonts w:ascii="Cambria Math" w:hAnsi="Cambria Math" w:cs="Arial"/>
                <w:sz w:val="22"/>
                <w:szCs w:val="22"/>
              </w:rPr>
            </m:ctrlPr>
          </m:sSubPr>
          <m:e>
            <m:r>
              <m:rPr>
                <m:nor/>
              </m:rPr>
              <w:rPr>
                <w:rFonts w:ascii="Arial" w:hAnsi="Arial" w:cs="Arial"/>
                <w:sz w:val="22"/>
                <w:szCs w:val="22"/>
              </w:rPr>
              <m:t>y</m:t>
            </m:r>
          </m:e>
          <m:sub>
            <m:r>
              <m:rPr>
                <m:nor/>
              </m:rPr>
              <w:rPr>
                <w:rFonts w:ascii="Arial" w:hAnsi="Arial" w:cs="Arial"/>
                <w:sz w:val="22"/>
                <w:szCs w:val="22"/>
              </w:rPr>
              <m:t>week</m:t>
            </m:r>
          </m:sub>
        </m:sSub>
      </m:oMath>
      <w:r w:rsidRPr="00500BF5">
        <w:rPr>
          <w:rFonts w:ascii="Arial" w:hAnsi="Arial" w:cs="Arial"/>
          <w:sz w:val="22"/>
          <w:szCs w:val="22"/>
        </w:rPr>
        <w:t xml:space="preserve"> is the overall </w:t>
      </w:r>
      <w:r>
        <w:rPr>
          <w:rFonts w:ascii="Arial" w:hAnsi="Arial" w:cs="Arial"/>
          <w:sz w:val="22"/>
          <w:szCs w:val="22"/>
        </w:rPr>
        <w:t>association</w:t>
      </w:r>
      <w:r w:rsidRPr="00500BF5">
        <w:rPr>
          <w:rFonts w:ascii="Arial" w:hAnsi="Arial" w:cs="Arial"/>
          <w:sz w:val="22"/>
          <w:szCs w:val="22"/>
        </w:rPr>
        <w:t xml:space="preserve"> temperature anomaly in a week. The term </w:t>
      </w:r>
      <m:oMath>
        <m:sSub>
          <m:sSubPr>
            <m:ctrlPr>
              <w:rPr>
                <w:rFonts w:ascii="Cambria Math" w:hAnsi="Cambria Math" w:cs="Arial"/>
                <w:i/>
                <w:sz w:val="22"/>
                <w:szCs w:val="22"/>
              </w:rPr>
            </m:ctrlPr>
          </m:sSubPr>
          <m:e>
            <m:r>
              <m:rPr>
                <m:sty m:val="p"/>
              </m:rPr>
              <w:rPr>
                <w:rFonts w:ascii="Cambria Math" w:hAnsi="Cambria Math" w:cs="Arial"/>
                <w:sz w:val="22"/>
                <w:szCs w:val="22"/>
              </w:rPr>
              <m:t>ν</m:t>
            </m:r>
          </m:e>
          <m:sub>
            <m:r>
              <m:rPr>
                <m:nor/>
              </m:rPr>
              <w:rPr>
                <w:rFonts w:ascii="Arial" w:hAnsi="Arial" w:cs="Arial"/>
                <w:sz w:val="22"/>
                <w:szCs w:val="22"/>
              </w:rPr>
              <m:t>week of year</m:t>
            </m:r>
          </m:sub>
        </m:sSub>
        <m:r>
          <m:rPr>
            <m:sty m:val="p"/>
          </m:rPr>
          <w:rPr>
            <w:rFonts w:ascii="Cambria Math" w:hAnsi="Cambria Math" w:cs="Arial"/>
            <w:sz w:val="22"/>
            <w:szCs w:val="22"/>
          </w:rPr>
          <m:t>⋅</m:t>
        </m:r>
        <m:r>
          <m:rPr>
            <m:nor/>
          </m:rPr>
          <w:rPr>
            <w:rFonts w:ascii="Arial" w:hAnsi="Arial" w:cs="Arial"/>
            <w:sz w:val="22"/>
            <w:szCs w:val="22"/>
          </w:rPr>
          <m:t>temperature anomal</m:t>
        </m:r>
        <m:sSub>
          <m:sSubPr>
            <m:ctrlPr>
              <w:rPr>
                <w:rFonts w:ascii="Cambria Math" w:hAnsi="Cambria Math" w:cs="Arial"/>
                <w:sz w:val="22"/>
                <w:szCs w:val="22"/>
              </w:rPr>
            </m:ctrlPr>
          </m:sSubPr>
          <m:e>
            <m:r>
              <m:rPr>
                <m:nor/>
              </m:rPr>
              <w:rPr>
                <w:rFonts w:ascii="Arial" w:hAnsi="Arial" w:cs="Arial"/>
                <w:sz w:val="22"/>
                <w:szCs w:val="22"/>
              </w:rPr>
              <m:t>y</m:t>
            </m:r>
          </m:e>
          <m:sub>
            <m:r>
              <m:rPr>
                <m:nor/>
              </m:rPr>
              <w:rPr>
                <w:rFonts w:ascii="Arial" w:hAnsi="Arial" w:cs="Arial"/>
                <w:sz w:val="22"/>
                <w:szCs w:val="22"/>
              </w:rPr>
              <m:t>week</m:t>
            </m:r>
          </m:sub>
        </m:sSub>
      </m:oMath>
      <w:r w:rsidRPr="00500BF5">
        <w:rPr>
          <w:rFonts w:ascii="Arial" w:hAnsi="Arial" w:cs="Arial"/>
          <w:sz w:val="22"/>
          <w:szCs w:val="22"/>
        </w:rPr>
        <w:t xml:space="preserve"> captures deviations from the overall </w:t>
      </w:r>
      <w:r>
        <w:rPr>
          <w:rFonts w:ascii="Arial" w:hAnsi="Arial" w:cs="Arial"/>
          <w:sz w:val="22"/>
          <w:szCs w:val="22"/>
        </w:rPr>
        <w:t xml:space="preserve">association for each </w:t>
      </w:r>
      <w:r w:rsidRPr="00500BF5">
        <w:rPr>
          <w:rFonts w:ascii="Arial" w:hAnsi="Arial" w:cs="Arial"/>
          <w:sz w:val="22"/>
          <w:szCs w:val="22"/>
        </w:rPr>
        <w:t>week of the year</w:t>
      </w:r>
      <w:r>
        <w:rPr>
          <w:rFonts w:ascii="Arial" w:hAnsi="Arial" w:cs="Arial"/>
          <w:sz w:val="22"/>
          <w:szCs w:val="22"/>
        </w:rPr>
        <w:t xml:space="preserve">. It has </w:t>
      </w:r>
      <w:r w:rsidRPr="00500BF5">
        <w:rPr>
          <w:rFonts w:ascii="Arial" w:hAnsi="Arial" w:cs="Arial"/>
          <w:sz w:val="22"/>
          <w:szCs w:val="22"/>
        </w:rPr>
        <w:t>a circular first order random walk with 52 terms</w:t>
      </w:r>
      <w:r>
        <w:rPr>
          <w:rFonts w:ascii="Arial" w:hAnsi="Arial" w:cs="Arial"/>
          <w:sz w:val="22"/>
          <w:szCs w:val="22"/>
        </w:rPr>
        <w:t xml:space="preserve"> so that temperature associations change smoothly throughout the year, and so that they are similar in late December and early January</w:t>
      </w:r>
      <w:r w:rsidRPr="001831EE">
        <w:rPr>
          <w:rFonts w:ascii="Arial" w:hAnsi="Arial" w:cs="Arial"/>
          <w:noProof/>
          <w:sz w:val="22"/>
          <w:szCs w:val="22"/>
          <w:vertAlign w:val="superscript"/>
        </w:rPr>
        <w:t>64</w:t>
      </w:r>
      <w:r>
        <w:rPr>
          <w:rFonts w:ascii="Arial" w:hAnsi="Arial" w:cs="Arial"/>
          <w:sz w:val="22"/>
          <w:szCs w:val="22"/>
        </w:rPr>
        <w:t>.</w:t>
      </w:r>
      <w:r w:rsidRPr="00500BF5">
        <w:rPr>
          <w:rFonts w:ascii="Arial" w:hAnsi="Arial" w:cs="Arial"/>
          <w:sz w:val="22"/>
          <w:szCs w:val="22"/>
        </w:rPr>
        <w:t xml:space="preserve"> The first-order random walk prior is defined via </w:t>
      </w:r>
      <m:oMath>
        <m:sSub>
          <m:sSubPr>
            <m:ctrlPr>
              <w:rPr>
                <w:rFonts w:ascii="Cambria Math" w:hAnsi="Cambria Math" w:cs="Arial"/>
                <w:i/>
                <w:sz w:val="22"/>
                <w:szCs w:val="22"/>
              </w:rPr>
            </m:ctrlPr>
          </m:sSubPr>
          <m:e>
            <m:r>
              <m:rPr>
                <m:sty m:val="p"/>
              </m:rPr>
              <w:rPr>
                <w:rFonts w:ascii="Cambria Math" w:hAnsi="Cambria Math" w:cs="Arial"/>
                <w:sz w:val="22"/>
                <w:szCs w:val="22"/>
              </w:rPr>
              <m:t>ν</m:t>
            </m:r>
            <m:ctrlPr>
              <w:rPr>
                <w:rFonts w:ascii="Cambria Math" w:hAnsi="Cambria Math" w:cs="Arial"/>
                <w:sz w:val="22"/>
                <w:szCs w:val="22"/>
              </w:rPr>
            </m:ctrlPr>
          </m:e>
          <m:sub>
            <m:r>
              <w:rPr>
                <w:rFonts w:ascii="Cambria Math" w:hAnsi="Cambria Math" w:cs="Arial"/>
                <w:sz w:val="22"/>
                <w:szCs w:val="22"/>
              </w:rPr>
              <m:t>week of year</m:t>
            </m:r>
          </m:sub>
        </m:sSub>
        <m:r>
          <m:rPr>
            <m:sty m:val="p"/>
          </m:rPr>
          <w:rPr>
            <w:rFonts w:ascii="Cambria Math" w:hAnsi="Cambria Math" w:cs="Arial"/>
            <w:sz w:val="22"/>
            <w:szCs w:val="22"/>
          </w:rPr>
          <m:t>∼</m:t>
        </m:r>
        <m:r>
          <m:rPr>
            <m:scr m:val="script"/>
          </m:rPr>
          <w:rPr>
            <w:rFonts w:ascii="Cambria Math" w:hAnsi="Cambria Math" w:cs="Arial"/>
            <w:sz w:val="22"/>
            <w:szCs w:val="22"/>
          </w:rPr>
          <m:t>N</m:t>
        </m:r>
        <m:d>
          <m:dPr>
            <m:ctrlPr>
              <w:rPr>
                <w:rFonts w:ascii="Cambria Math" w:hAnsi="Cambria Math" w:cs="Arial"/>
                <w:i/>
                <w:sz w:val="22"/>
                <w:szCs w:val="22"/>
              </w:rPr>
            </m:ctrlPr>
          </m:dPr>
          <m:e>
            <m:sSub>
              <m:sSubPr>
                <m:ctrlPr>
                  <w:rPr>
                    <w:rFonts w:ascii="Cambria Math" w:hAnsi="Cambria Math" w:cs="Arial"/>
                    <w:i/>
                    <w:sz w:val="22"/>
                    <w:szCs w:val="22"/>
                  </w:rPr>
                </m:ctrlPr>
              </m:sSubPr>
              <m:e>
                <m:r>
                  <m:rPr>
                    <m:sty m:val="p"/>
                  </m:rPr>
                  <w:rPr>
                    <w:rFonts w:ascii="Cambria Math" w:hAnsi="Cambria Math" w:cs="Arial"/>
                    <w:sz w:val="22"/>
                    <w:szCs w:val="22"/>
                  </w:rPr>
                  <m:t>ν</m:t>
                </m:r>
              </m:e>
              <m:sub>
                <m:r>
                  <w:rPr>
                    <w:rFonts w:ascii="Cambria Math" w:hAnsi="Cambria Math" w:cs="Arial"/>
                    <w:sz w:val="22"/>
                    <w:szCs w:val="22"/>
                  </w:rPr>
                  <m:t>week of year-1</m:t>
                </m:r>
              </m:sub>
            </m:sSub>
            <m:r>
              <w:rPr>
                <w:rFonts w:ascii="Cambria Math" w:hAnsi="Cambria Math" w:cs="Arial"/>
                <w:sz w:val="22"/>
                <w:szCs w:val="22"/>
              </w:rPr>
              <m:t>,</m:t>
            </m:r>
            <m:sSubSup>
              <m:sSubSupPr>
                <m:ctrlPr>
                  <w:rPr>
                    <w:rFonts w:ascii="Cambria Math" w:hAnsi="Cambria Math" w:cs="Arial"/>
                    <w:i/>
                    <w:sz w:val="22"/>
                    <w:szCs w:val="22"/>
                  </w:rPr>
                </m:ctrlPr>
              </m:sSubSupPr>
              <m:e>
                <m:r>
                  <m:rPr>
                    <m:sty m:val="p"/>
                  </m:rPr>
                  <w:rPr>
                    <w:rFonts w:ascii="Cambria Math" w:hAnsi="Cambria Math" w:cs="Arial"/>
                    <w:sz w:val="22"/>
                    <w:szCs w:val="22"/>
                  </w:rPr>
                  <m:t>σ</m:t>
                </m:r>
              </m:e>
              <m:sub>
                <m:r>
                  <m:rPr>
                    <m:sty m:val="p"/>
                  </m:rPr>
                  <w:rPr>
                    <w:rFonts w:ascii="Cambria Math" w:hAnsi="Cambria Math" w:cs="Arial"/>
                    <w:sz w:val="22"/>
                    <w:szCs w:val="22"/>
                  </w:rPr>
                  <m:t>ν</m:t>
                </m:r>
              </m:sub>
              <m:sup>
                <m:r>
                  <w:rPr>
                    <w:rFonts w:ascii="Cambria Math" w:hAnsi="Cambria Math" w:cs="Arial"/>
                    <w:sz w:val="22"/>
                    <w:szCs w:val="22"/>
                  </w:rPr>
                  <m:t>2</m:t>
                </m:r>
              </m:sup>
            </m:sSubSup>
          </m:e>
        </m:d>
      </m:oMath>
      <w:r w:rsidRPr="00500BF5">
        <w:rPr>
          <w:rFonts w:ascii="Arial" w:hAnsi="Arial" w:cs="Arial"/>
          <w:sz w:val="22"/>
          <w:szCs w:val="22"/>
        </w:rPr>
        <w:t xml:space="preserve">, and the prior assigned to the log-precision is </w:t>
      </w:r>
      <m:oMath>
        <m:func>
          <m:funcPr>
            <m:ctrlPr>
              <w:rPr>
                <w:rFonts w:ascii="Cambria Math" w:hAnsi="Cambria Math" w:cs="Arial"/>
                <w:i/>
                <w:sz w:val="22"/>
                <w:szCs w:val="22"/>
              </w:rPr>
            </m:ctrlPr>
          </m:funcPr>
          <m:fName>
            <m:r>
              <m:rPr>
                <m:sty m:val="p"/>
              </m:rPr>
              <w:rPr>
                <w:rFonts w:ascii="Cambria Math" w:hAnsi="Cambria Math" w:cs="Arial"/>
                <w:sz w:val="22"/>
                <w:szCs w:val="22"/>
              </w:rPr>
              <m:t>log</m:t>
            </m:r>
          </m:fName>
          <m:e>
            <m:d>
              <m:dPr>
                <m:ctrlPr>
                  <w:rPr>
                    <w:rFonts w:ascii="Cambria Math" w:hAnsi="Cambria Math" w:cs="Arial"/>
                    <w:i/>
                    <w:sz w:val="22"/>
                    <w:szCs w:val="22"/>
                  </w:rPr>
                </m:ctrlPr>
              </m:dPr>
              <m:e>
                <m:r>
                  <w:rPr>
                    <w:rFonts w:ascii="Cambria Math" w:hAnsi="Cambria Math" w:cs="Arial"/>
                    <w:sz w:val="22"/>
                    <w:szCs w:val="22"/>
                  </w:rPr>
                  <m:t>1</m:t>
                </m:r>
                <m:r>
                  <m:rPr>
                    <m:lit/>
                  </m:rPr>
                  <w:rPr>
                    <w:rFonts w:ascii="Cambria Math" w:hAnsi="Cambria Math" w:cs="Arial"/>
                    <w:sz w:val="22"/>
                    <w:szCs w:val="22"/>
                  </w:rPr>
                  <m:t>/</m:t>
                </m:r>
                <m:sSubSup>
                  <m:sSubSupPr>
                    <m:ctrlPr>
                      <w:rPr>
                        <w:rFonts w:ascii="Cambria Math" w:hAnsi="Cambria Math" w:cs="Arial"/>
                        <w:i/>
                        <w:sz w:val="22"/>
                        <w:szCs w:val="22"/>
                      </w:rPr>
                    </m:ctrlPr>
                  </m:sSubSupPr>
                  <m:e>
                    <m:r>
                      <m:rPr>
                        <m:sty m:val="p"/>
                      </m:rPr>
                      <w:rPr>
                        <w:rFonts w:ascii="Cambria Math" w:hAnsi="Cambria Math" w:cs="Arial"/>
                        <w:sz w:val="22"/>
                        <w:szCs w:val="22"/>
                      </w:rPr>
                      <m:t>σ</m:t>
                    </m:r>
                  </m:e>
                  <m:sub>
                    <m:r>
                      <m:rPr>
                        <m:sty m:val="p"/>
                      </m:rPr>
                      <w:rPr>
                        <w:rFonts w:ascii="Cambria Math" w:hAnsi="Cambria Math" w:cs="Arial"/>
                        <w:sz w:val="22"/>
                        <w:szCs w:val="22"/>
                      </w:rPr>
                      <m:t>ν</m:t>
                    </m:r>
                  </m:sub>
                  <m:sup>
                    <m:r>
                      <w:rPr>
                        <w:rFonts w:ascii="Cambria Math" w:hAnsi="Cambria Math" w:cs="Arial"/>
                        <w:sz w:val="22"/>
                        <w:szCs w:val="22"/>
                      </w:rPr>
                      <m:t>2</m:t>
                    </m:r>
                  </m:sup>
                </m:sSubSup>
              </m:e>
            </m:d>
          </m:e>
        </m:func>
        <m:r>
          <m:rPr>
            <m:sty m:val="p"/>
          </m:rPr>
          <w:rPr>
            <w:rFonts w:ascii="Cambria Math" w:hAnsi="Cambria Math" w:cs="Arial"/>
            <w:sz w:val="22"/>
            <w:szCs w:val="22"/>
          </w:rPr>
          <m:t>∼</m:t>
        </m:r>
        <m:r>
          <m:rPr>
            <m:nor/>
          </m:rPr>
          <w:rPr>
            <w:rFonts w:ascii="Arial" w:hAnsi="Arial" w:cs="Arial"/>
            <w:sz w:val="22"/>
            <w:szCs w:val="22"/>
          </w:rPr>
          <m:t>logGamma</m:t>
        </m:r>
        <m:d>
          <m:dPr>
            <m:ctrlPr>
              <w:rPr>
                <w:rFonts w:ascii="Cambria Math" w:hAnsi="Cambria Math" w:cs="Arial"/>
                <w:i/>
                <w:sz w:val="22"/>
                <w:szCs w:val="22"/>
              </w:rPr>
            </m:ctrlPr>
          </m:dPr>
          <m:e>
            <m:r>
              <w:rPr>
                <w:rFonts w:ascii="Cambria Math" w:hAnsi="Cambria Math" w:cs="Arial"/>
                <w:sz w:val="22"/>
                <w:szCs w:val="22"/>
              </w:rPr>
              <m:t>0.001,0.001</m:t>
            </m:r>
          </m:e>
        </m:d>
      </m:oMath>
      <w:r w:rsidRPr="00500BF5">
        <w:rPr>
          <w:rFonts w:ascii="Arial" w:hAnsi="Arial" w:cs="Arial"/>
          <w:sz w:val="22"/>
          <w:szCs w:val="22"/>
        </w:rPr>
        <w:t>.</w:t>
      </w:r>
    </w:p>
    <w:p w14:paraId="1690155E" w14:textId="77777777" w:rsidR="00474D86" w:rsidRPr="00387669" w:rsidRDefault="00474D86" w:rsidP="005726A9">
      <w:pPr>
        <w:spacing w:line="480" w:lineRule="auto"/>
        <w:jc w:val="both"/>
        <w:rPr>
          <w:rFonts w:ascii="Arial" w:hAnsi="Arial" w:cs="Arial"/>
          <w:sz w:val="22"/>
          <w:szCs w:val="22"/>
        </w:rPr>
      </w:pPr>
    </w:p>
    <w:p w14:paraId="309077E3" w14:textId="77777777" w:rsidR="00474D86" w:rsidRPr="00500BF5" w:rsidRDefault="00474D86" w:rsidP="0009352E">
      <w:pPr>
        <w:spacing w:line="480" w:lineRule="auto"/>
        <w:jc w:val="both"/>
        <w:rPr>
          <w:rFonts w:ascii="Arial" w:hAnsi="Arial" w:cs="Arial"/>
          <w:sz w:val="22"/>
          <w:szCs w:val="22"/>
        </w:rPr>
      </w:pPr>
      <w:r w:rsidRPr="00500BF5">
        <w:rPr>
          <w:rFonts w:ascii="Arial" w:hAnsi="Arial" w:cs="Arial"/>
          <w:sz w:val="22"/>
          <w:szCs w:val="22"/>
        </w:rPr>
        <w:t xml:space="preserve">Finally, the term </w:t>
      </w:r>
      <m:oMath>
        <m:sSub>
          <m:sSubPr>
            <m:ctrlPr>
              <w:rPr>
                <w:rFonts w:ascii="Cambria Math" w:hAnsi="Cambria Math" w:cs="Arial"/>
                <w:i/>
                <w:sz w:val="22"/>
                <w:szCs w:val="22"/>
              </w:rPr>
            </m:ctrlPr>
          </m:sSubPr>
          <m:e>
            <m:r>
              <m:rPr>
                <m:sty m:val="p"/>
              </m:rPr>
              <w:rPr>
                <w:rFonts w:ascii="Cambria Math" w:hAnsi="Cambria Math" w:cs="Arial"/>
                <w:sz w:val="22"/>
                <w:szCs w:val="22"/>
              </w:rPr>
              <m:t>ε</m:t>
            </m:r>
            <m:ctrlPr>
              <w:rPr>
                <w:rFonts w:ascii="Cambria Math" w:hAnsi="Cambria Math" w:cs="Arial"/>
                <w:sz w:val="22"/>
                <w:szCs w:val="22"/>
              </w:rPr>
            </m:ctrlPr>
          </m:e>
          <m:sub>
            <m:r>
              <w:rPr>
                <w:rFonts w:ascii="Cambria Math" w:hAnsi="Cambria Math" w:cs="Arial"/>
                <w:sz w:val="22"/>
                <w:szCs w:val="22"/>
              </w:rPr>
              <m:t>week</m:t>
            </m:r>
          </m:sub>
        </m:sSub>
      </m:oMath>
      <w:r w:rsidRPr="00500BF5">
        <w:rPr>
          <w:rFonts w:ascii="Arial" w:hAnsi="Arial" w:cs="Arial"/>
          <w:sz w:val="22"/>
          <w:szCs w:val="22"/>
        </w:rPr>
        <w:t xml:space="preserve"> is a zero-mean term that accounts for additional variability. It</w:t>
      </w:r>
      <w:r>
        <w:rPr>
          <w:rFonts w:ascii="Arial" w:hAnsi="Arial" w:cs="Arial"/>
          <w:sz w:val="22"/>
          <w:szCs w:val="22"/>
        </w:rPr>
        <w:t xml:space="preserve"> is </w:t>
      </w:r>
      <w:r w:rsidRPr="00500BF5">
        <w:rPr>
          <w:rFonts w:ascii="Arial" w:hAnsi="Arial" w:cs="Arial"/>
          <w:sz w:val="22"/>
          <w:szCs w:val="22"/>
        </w:rPr>
        <w:t xml:space="preserve">assigned an independent and identically distributed prior </w:t>
      </w:r>
      <m:oMath>
        <m:sSub>
          <m:sSubPr>
            <m:ctrlPr>
              <w:rPr>
                <w:rFonts w:ascii="Cambria Math" w:hAnsi="Cambria Math" w:cs="Arial"/>
                <w:i/>
                <w:sz w:val="22"/>
                <w:szCs w:val="22"/>
              </w:rPr>
            </m:ctrlPr>
          </m:sSubPr>
          <m:e>
            <m:r>
              <m:rPr>
                <m:sty m:val="p"/>
              </m:rPr>
              <w:rPr>
                <w:rFonts w:ascii="Cambria Math" w:hAnsi="Cambria Math" w:cs="Arial"/>
                <w:sz w:val="22"/>
                <w:szCs w:val="22"/>
              </w:rPr>
              <m:t>ε</m:t>
            </m:r>
            <m:ctrlPr>
              <w:rPr>
                <w:rFonts w:ascii="Cambria Math" w:hAnsi="Cambria Math" w:cs="Arial"/>
                <w:sz w:val="22"/>
                <w:szCs w:val="22"/>
              </w:rPr>
            </m:ctrlPr>
          </m:e>
          <m:sub>
            <m:r>
              <w:rPr>
                <w:rFonts w:ascii="Cambria Math" w:hAnsi="Cambria Math" w:cs="Arial"/>
                <w:sz w:val="22"/>
                <w:szCs w:val="22"/>
              </w:rPr>
              <m:t>week</m:t>
            </m:r>
          </m:sub>
        </m:sSub>
        <m:r>
          <m:rPr>
            <m:sty m:val="p"/>
          </m:rPr>
          <w:rPr>
            <w:rFonts w:ascii="Cambria Math" w:hAnsi="Cambria Math" w:cs="Arial"/>
            <w:sz w:val="22"/>
            <w:szCs w:val="22"/>
          </w:rPr>
          <m:t>∼</m:t>
        </m:r>
        <m:r>
          <m:rPr>
            <m:scr m:val="script"/>
          </m:rPr>
          <w:rPr>
            <w:rFonts w:ascii="Cambria Math" w:hAnsi="Cambria Math" w:cs="Arial"/>
            <w:sz w:val="22"/>
            <w:szCs w:val="22"/>
          </w:rPr>
          <m:t>N</m:t>
        </m:r>
        <m:d>
          <m:dPr>
            <m:ctrlPr>
              <w:rPr>
                <w:rFonts w:ascii="Cambria Math" w:hAnsi="Cambria Math" w:cs="Arial"/>
                <w:i/>
                <w:sz w:val="22"/>
                <w:szCs w:val="22"/>
              </w:rPr>
            </m:ctrlPr>
          </m:dPr>
          <m:e>
            <m:r>
              <w:rPr>
                <w:rFonts w:ascii="Cambria Math" w:hAnsi="Cambria Math" w:cs="Arial"/>
                <w:sz w:val="22"/>
                <w:szCs w:val="22"/>
              </w:rPr>
              <m:t>0,</m:t>
            </m:r>
            <m:sSubSup>
              <m:sSubSupPr>
                <m:ctrlPr>
                  <w:rPr>
                    <w:rFonts w:ascii="Cambria Math" w:hAnsi="Cambria Math" w:cs="Arial"/>
                    <w:i/>
                    <w:sz w:val="22"/>
                    <w:szCs w:val="22"/>
                  </w:rPr>
                </m:ctrlPr>
              </m:sSubSupPr>
              <m:e>
                <m:r>
                  <m:rPr>
                    <m:sty m:val="p"/>
                  </m:rPr>
                  <w:rPr>
                    <w:rFonts w:ascii="Cambria Math" w:hAnsi="Cambria Math" w:cs="Arial"/>
                    <w:sz w:val="22"/>
                    <w:szCs w:val="22"/>
                  </w:rPr>
                  <m:t>σ</m:t>
                </m:r>
              </m:e>
              <m:sub>
                <m:r>
                  <m:rPr>
                    <m:sty m:val="p"/>
                  </m:rPr>
                  <w:rPr>
                    <w:rFonts w:ascii="Cambria Math" w:hAnsi="Cambria Math" w:cs="Arial"/>
                    <w:sz w:val="22"/>
                    <w:szCs w:val="22"/>
                  </w:rPr>
                  <m:t>ε</m:t>
                </m:r>
              </m:sub>
              <m:sup>
                <m:r>
                  <w:rPr>
                    <w:rFonts w:ascii="Cambria Math" w:hAnsi="Cambria Math" w:cs="Arial"/>
                    <w:sz w:val="22"/>
                    <w:szCs w:val="22"/>
                  </w:rPr>
                  <m:t>2</m:t>
                </m:r>
              </m:sup>
            </m:sSubSup>
          </m:e>
        </m:d>
      </m:oMath>
      <w:r>
        <w:rPr>
          <w:rFonts w:ascii="Arial" w:hAnsi="Arial" w:cs="Arial"/>
          <w:sz w:val="22"/>
          <w:szCs w:val="22"/>
        </w:rPr>
        <w:t>, and</w:t>
      </w:r>
      <w:r w:rsidRPr="00500BF5">
        <w:rPr>
          <w:rFonts w:ascii="Arial" w:hAnsi="Arial" w:cs="Arial"/>
          <w:sz w:val="22"/>
          <w:szCs w:val="22"/>
        </w:rPr>
        <w:t xml:space="preserve"> a </w:t>
      </w:r>
      <w:proofErr w:type="spellStart"/>
      <m:oMath>
        <m:r>
          <m:rPr>
            <m:nor/>
          </m:rPr>
          <w:rPr>
            <w:rFonts w:ascii="Arial" w:hAnsi="Arial" w:cs="Arial"/>
            <w:sz w:val="22"/>
            <w:szCs w:val="22"/>
          </w:rPr>
          <m:t>logGamma</m:t>
        </m:r>
        <w:proofErr w:type="spellEnd"/>
        <m:d>
          <m:dPr>
            <m:ctrlPr>
              <w:rPr>
                <w:rFonts w:ascii="Cambria Math" w:hAnsi="Cambria Math" w:cs="Arial"/>
                <w:i/>
                <w:sz w:val="22"/>
                <w:szCs w:val="22"/>
              </w:rPr>
            </m:ctrlPr>
          </m:dPr>
          <m:e>
            <m:r>
              <w:rPr>
                <w:rFonts w:ascii="Cambria Math" w:hAnsi="Cambria Math" w:cs="Arial"/>
                <w:sz w:val="22"/>
                <w:szCs w:val="22"/>
              </w:rPr>
              <m:t>0.001, 0.001</m:t>
            </m:r>
          </m:e>
        </m:d>
      </m:oMath>
      <w:r w:rsidRPr="00500BF5">
        <w:rPr>
          <w:rFonts w:ascii="Arial" w:hAnsi="Arial" w:cs="Arial"/>
          <w:sz w:val="22"/>
          <w:szCs w:val="22"/>
        </w:rPr>
        <w:t xml:space="preserve"> prior was placed on the log precision </w:t>
      </w:r>
      <m:oMath>
        <m:func>
          <m:funcPr>
            <m:ctrlPr>
              <w:rPr>
                <w:rFonts w:ascii="Cambria Math" w:hAnsi="Cambria Math" w:cs="Arial"/>
                <w:i/>
                <w:sz w:val="22"/>
                <w:szCs w:val="22"/>
              </w:rPr>
            </m:ctrlPr>
          </m:funcPr>
          <m:fName>
            <m:r>
              <m:rPr>
                <m:sty m:val="p"/>
              </m:rPr>
              <w:rPr>
                <w:rFonts w:ascii="Cambria Math" w:hAnsi="Cambria Math" w:cs="Arial"/>
                <w:sz w:val="22"/>
                <w:szCs w:val="22"/>
              </w:rPr>
              <m:t>log</m:t>
            </m:r>
          </m:fName>
          <m:e>
            <m:d>
              <m:dPr>
                <m:ctrlPr>
                  <w:rPr>
                    <w:rFonts w:ascii="Cambria Math" w:hAnsi="Cambria Math" w:cs="Arial"/>
                    <w:i/>
                    <w:sz w:val="22"/>
                    <w:szCs w:val="22"/>
                  </w:rPr>
                </m:ctrlPr>
              </m:dPr>
              <m:e>
                <m:r>
                  <w:rPr>
                    <w:rFonts w:ascii="Cambria Math" w:hAnsi="Cambria Math" w:cs="Arial"/>
                    <w:sz w:val="22"/>
                    <w:szCs w:val="22"/>
                  </w:rPr>
                  <m:t>1</m:t>
                </m:r>
                <m:r>
                  <m:rPr>
                    <m:lit/>
                  </m:rPr>
                  <w:rPr>
                    <w:rFonts w:ascii="Cambria Math" w:hAnsi="Cambria Math" w:cs="Arial"/>
                    <w:sz w:val="22"/>
                    <w:szCs w:val="22"/>
                  </w:rPr>
                  <m:t>/</m:t>
                </m:r>
                <m:sSubSup>
                  <m:sSubSupPr>
                    <m:ctrlPr>
                      <w:rPr>
                        <w:rFonts w:ascii="Cambria Math" w:hAnsi="Cambria Math" w:cs="Arial"/>
                        <w:i/>
                        <w:sz w:val="22"/>
                        <w:szCs w:val="22"/>
                      </w:rPr>
                    </m:ctrlPr>
                  </m:sSubSupPr>
                  <m:e>
                    <m:r>
                      <m:rPr>
                        <m:sty m:val="p"/>
                      </m:rPr>
                      <w:rPr>
                        <w:rFonts w:ascii="Cambria Math" w:hAnsi="Cambria Math" w:cs="Arial"/>
                        <w:sz w:val="22"/>
                        <w:szCs w:val="22"/>
                      </w:rPr>
                      <m:t>σ</m:t>
                    </m:r>
                  </m:e>
                  <m:sub>
                    <m:r>
                      <m:rPr>
                        <m:sty m:val="p"/>
                      </m:rPr>
                      <w:rPr>
                        <w:rFonts w:ascii="Cambria Math" w:hAnsi="Cambria Math" w:cs="Arial"/>
                        <w:sz w:val="22"/>
                        <w:szCs w:val="22"/>
                      </w:rPr>
                      <m:t>ε</m:t>
                    </m:r>
                  </m:sub>
                  <m:sup>
                    <m:r>
                      <w:rPr>
                        <w:rFonts w:ascii="Cambria Math" w:hAnsi="Cambria Math" w:cs="Arial"/>
                        <w:sz w:val="22"/>
                        <w:szCs w:val="22"/>
                      </w:rPr>
                      <m:t>2</m:t>
                    </m:r>
                  </m:sup>
                </m:sSubSup>
              </m:e>
            </m:d>
          </m:e>
        </m:func>
      </m:oMath>
      <w:r w:rsidRPr="00500BF5">
        <w:rPr>
          <w:rFonts w:ascii="Arial" w:hAnsi="Arial" w:cs="Arial"/>
          <w:sz w:val="22"/>
          <w:szCs w:val="22"/>
        </w:rPr>
        <w:t>.</w:t>
      </w:r>
    </w:p>
    <w:p w14:paraId="315416E8" w14:textId="77777777" w:rsidR="00474D86" w:rsidRPr="00500BF5" w:rsidRDefault="00474D86" w:rsidP="005726A9">
      <w:pPr>
        <w:spacing w:line="480" w:lineRule="auto"/>
        <w:jc w:val="both"/>
        <w:rPr>
          <w:rFonts w:ascii="Arial" w:hAnsi="Arial" w:cs="Arial"/>
          <w:sz w:val="22"/>
          <w:szCs w:val="22"/>
        </w:rPr>
      </w:pPr>
    </w:p>
    <w:p w14:paraId="01FF9B26" w14:textId="77777777" w:rsidR="00474D86" w:rsidRPr="00500BF5" w:rsidRDefault="00474D86" w:rsidP="005726A9">
      <w:pPr>
        <w:spacing w:line="480" w:lineRule="auto"/>
        <w:jc w:val="both"/>
        <w:rPr>
          <w:rFonts w:ascii="Arial" w:hAnsi="Arial" w:cs="Arial"/>
          <w:sz w:val="22"/>
          <w:szCs w:val="22"/>
        </w:rPr>
      </w:pPr>
      <w:r w:rsidRPr="00500BF5">
        <w:rPr>
          <w:rFonts w:ascii="Arial" w:hAnsi="Arial" w:cs="Arial"/>
          <w:sz w:val="22"/>
          <w:szCs w:val="22"/>
        </w:rPr>
        <w:t xml:space="preserve">The components </w:t>
      </w:r>
      <m:oMath>
        <m:sSub>
          <m:sSubPr>
            <m:ctrlPr>
              <w:rPr>
                <w:rFonts w:ascii="Cambria Math" w:hAnsi="Cambria Math" w:cs="Arial"/>
                <w:i/>
                <w:sz w:val="22"/>
                <w:szCs w:val="22"/>
              </w:rPr>
            </m:ctrlPr>
          </m:sSubPr>
          <m:e>
            <m:r>
              <m:rPr>
                <m:sty m:val="p"/>
              </m:rPr>
              <w:rPr>
                <w:rFonts w:ascii="Cambria Math" w:hAnsi="Cambria Math" w:cs="Arial"/>
                <w:sz w:val="22"/>
                <w:szCs w:val="22"/>
              </w:rPr>
              <m:t>α</m:t>
            </m:r>
          </m:e>
          <m:sub>
            <m:r>
              <w:rPr>
                <w:rFonts w:ascii="Cambria Math" w:hAnsi="Cambria Math" w:cs="Arial"/>
                <w:sz w:val="22"/>
                <w:szCs w:val="22"/>
              </w:rPr>
              <m:t>0</m:t>
            </m:r>
          </m:sub>
        </m:sSub>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m:t>α</m:t>
            </m:r>
          </m:e>
          <m:sub>
            <m:r>
              <m:rPr>
                <m:nor/>
              </m:rPr>
              <w:rPr>
                <w:rFonts w:ascii="Arial" w:hAnsi="Arial" w:cs="Arial"/>
                <w:sz w:val="22"/>
                <w:szCs w:val="22"/>
              </w:rPr>
              <m:t>holiday(week)</m:t>
            </m:r>
          </m:sub>
        </m:sSub>
      </m:oMath>
      <w:r w:rsidRPr="00500BF5">
        <w:rPr>
          <w:rFonts w:ascii="Arial" w:hAnsi="Arial" w:cs="Arial"/>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week</m:t>
            </m:r>
          </m:sub>
        </m:sSub>
      </m:oMath>
      <w:r w:rsidRPr="00500BF5">
        <w:rPr>
          <w:rFonts w:ascii="Arial" w:hAnsi="Arial" w:cs="Arial"/>
          <w:sz w:val="22"/>
          <w:szCs w:val="22"/>
        </w:rPr>
        <w:t xml:space="preserve"> , </w:t>
      </w:r>
      <m:oMath>
        <m:sSub>
          <m:sSubPr>
            <m:ctrlPr>
              <w:rPr>
                <w:rFonts w:ascii="Cambria Math" w:hAnsi="Cambria Math" w:cs="Arial"/>
                <w:i/>
                <w:sz w:val="22"/>
                <w:szCs w:val="22"/>
              </w:rPr>
            </m:ctrlPr>
          </m:sSubPr>
          <m:e>
            <m:r>
              <m:rPr>
                <m:sty m:val="p"/>
              </m:rPr>
              <w:rPr>
                <w:rFonts w:ascii="Cambria Math" w:hAnsi="Cambria Math" w:cs="Arial"/>
                <w:sz w:val="22"/>
                <w:szCs w:val="22"/>
              </w:rPr>
              <m:t>ε</m:t>
            </m:r>
            <m:ctrlPr>
              <w:rPr>
                <w:rFonts w:ascii="Cambria Math" w:hAnsi="Cambria Math" w:cs="Arial"/>
                <w:sz w:val="22"/>
                <w:szCs w:val="22"/>
              </w:rPr>
            </m:ctrlPr>
          </m:e>
          <m:sub>
            <m:r>
              <w:rPr>
                <w:rFonts w:ascii="Cambria Math" w:hAnsi="Cambria Math" w:cs="Arial"/>
                <w:sz w:val="22"/>
                <w:szCs w:val="22"/>
              </w:rPr>
              <m:t>week</m:t>
            </m:r>
          </m:sub>
        </m:sSub>
      </m:oMath>
      <w:r w:rsidRPr="00500BF5">
        <w:rPr>
          <w:rFonts w:ascii="Arial" w:hAnsi="Arial" w:cs="Arial"/>
          <w:sz w:val="22"/>
          <w:szCs w:val="22"/>
        </w:rPr>
        <w:t xml:space="preserve"> and </w:t>
      </w:r>
      <m:oMath>
        <m:sSubSup>
          <m:sSubSupPr>
            <m:ctrlPr>
              <w:rPr>
                <w:rFonts w:ascii="Cambria Math" w:hAnsi="Cambria Math" w:cs="Arial"/>
                <w:i/>
                <w:sz w:val="22"/>
                <w:szCs w:val="22"/>
              </w:rPr>
            </m:ctrlPr>
          </m:sSubSupPr>
          <m:e>
            <m:r>
              <m:rPr>
                <m:sty m:val="p"/>
              </m:rPr>
              <w:rPr>
                <w:rFonts w:ascii="Cambria Math" w:hAnsi="Cambria Math" w:cs="Arial"/>
                <w:sz w:val="22"/>
                <w:szCs w:val="22"/>
              </w:rPr>
              <m:t>ζ</m:t>
            </m:r>
          </m:e>
          <m:sub>
            <m:r>
              <w:rPr>
                <w:rFonts w:ascii="Cambria Math" w:hAnsi="Cambria Math" w:cs="Arial"/>
                <w:sz w:val="22"/>
                <w:szCs w:val="22"/>
              </w:rPr>
              <m:t>week</m:t>
            </m:r>
          </m:sub>
          <m:sup>
            <m:d>
              <m:dPr>
                <m:ctrlPr>
                  <w:rPr>
                    <w:rFonts w:ascii="Cambria Math" w:hAnsi="Cambria Math" w:cs="Arial"/>
                    <w:sz w:val="22"/>
                    <w:szCs w:val="22"/>
                  </w:rPr>
                </m:ctrlPr>
              </m:dPr>
              <m:e>
                <m:r>
                  <w:rPr>
                    <w:rFonts w:ascii="Cambria Math" w:hAnsi="Cambria Math" w:cs="Arial"/>
                    <w:sz w:val="22"/>
                    <w:szCs w:val="22"/>
                  </w:rPr>
                  <m:t>i</m:t>
                </m:r>
                <m:ctrlPr>
                  <w:rPr>
                    <w:rFonts w:ascii="Cambria Math" w:hAnsi="Cambria Math" w:cs="Arial"/>
                    <w:i/>
                    <w:sz w:val="22"/>
                    <w:szCs w:val="22"/>
                  </w:rPr>
                </m:ctrlPr>
              </m:e>
            </m:d>
          </m:sup>
        </m:sSubSup>
      </m:oMath>
      <w:r w:rsidRPr="00500BF5">
        <w:rPr>
          <w:rFonts w:ascii="Arial" w:hAnsi="Arial" w:cs="Arial"/>
          <w:sz w:val="22"/>
          <w:szCs w:val="22"/>
        </w:rPr>
        <w:t xml:space="preserve"> (for </w:t>
      </w:r>
      <w:r>
        <w:rPr>
          <w:rFonts w:ascii="Arial" w:hAnsi="Arial" w:cs="Arial"/>
          <w:sz w:val="22"/>
          <w:szCs w:val="22"/>
        </w:rPr>
        <w:t>each autoregressive order</w:t>
      </w:r>
      <w:r w:rsidRPr="00500BF5">
        <w:rPr>
          <w:rFonts w:ascii="Arial" w:hAnsi="Arial" w:cs="Arial"/>
          <w:sz w:val="22"/>
          <w:szCs w:val="22"/>
        </w:rPr>
        <w:t xml:space="preserve"> of </w:t>
      </w:r>
      <m:oMath>
        <m:r>
          <w:rPr>
            <w:rFonts w:ascii="Cambria Math" w:hAnsi="Cambria Math" w:cs="Arial"/>
            <w:sz w:val="22"/>
            <w:szCs w:val="22"/>
          </w:rPr>
          <m:t xml:space="preserve">i=1, 2, 4 </m:t>
        </m:r>
        <m:r>
          <m:rPr>
            <m:sty m:val="p"/>
          </m:rPr>
          <w:rPr>
            <w:rFonts w:ascii="Cambria Math" w:hAnsi="Cambria Math" w:cs="Arial"/>
            <w:sz w:val="22"/>
            <w:szCs w:val="22"/>
          </w:rPr>
          <m:t>or</m:t>
        </m:r>
        <m:r>
          <w:rPr>
            <w:rFonts w:ascii="Cambria Math" w:hAnsi="Cambria Math" w:cs="Arial"/>
            <w:sz w:val="22"/>
            <w:szCs w:val="22"/>
          </w:rPr>
          <m:t xml:space="preserve"> 8)</m:t>
        </m:r>
      </m:oMath>
      <w:r w:rsidRPr="00500BF5">
        <w:rPr>
          <w:rFonts w:ascii="Arial" w:hAnsi="Arial" w:cs="Arial"/>
          <w:sz w:val="22"/>
          <w:szCs w:val="22"/>
        </w:rPr>
        <w:t xml:space="preserve"> appear in the expression for </w:t>
      </w:r>
      <m:oMath>
        <m:func>
          <m:funcPr>
            <m:ctrlPr>
              <w:rPr>
                <w:rFonts w:ascii="Cambria Math" w:hAnsi="Cambria Math" w:cs="Arial"/>
                <w:i/>
                <w:sz w:val="22"/>
                <w:szCs w:val="22"/>
              </w:rPr>
            </m:ctrlPr>
          </m:funcPr>
          <m:fName>
            <m:r>
              <m:rPr>
                <m:sty m:val="p"/>
              </m:rPr>
              <w:rPr>
                <w:rFonts w:ascii="Cambria Math" w:hAnsi="Cambria Math" w:cs="Arial"/>
                <w:sz w:val="22"/>
                <w:szCs w:val="22"/>
              </w:rPr>
              <m:t>log</m:t>
            </m:r>
          </m:fName>
          <m:e>
            <m:d>
              <m:dPr>
                <m:ctrlPr>
                  <w:rPr>
                    <w:rFonts w:ascii="Cambria Math" w:hAnsi="Cambria Math" w:cs="Arial"/>
                    <w:sz w:val="22"/>
                    <w:szCs w:val="22"/>
                  </w:rPr>
                </m:ctrlPr>
              </m:dPr>
              <m:e>
                <m:r>
                  <m:rPr>
                    <m:nor/>
                  </m:rPr>
                  <w:rPr>
                    <w:rFonts w:ascii="Arial" w:hAnsi="Arial" w:cs="Arial"/>
                    <w:sz w:val="22"/>
                    <w:szCs w:val="22"/>
                  </w:rPr>
                  <m:t xml:space="preserve">death </m:t>
                </m:r>
                <m:sSub>
                  <m:sSubPr>
                    <m:ctrlPr>
                      <w:rPr>
                        <w:rFonts w:ascii="Cambria Math" w:hAnsi="Cambria Math" w:cs="Arial"/>
                        <w:sz w:val="22"/>
                        <w:szCs w:val="22"/>
                      </w:rPr>
                    </m:ctrlPr>
                  </m:sSubPr>
                  <m:e>
                    <m:r>
                      <m:rPr>
                        <m:nor/>
                      </m:rPr>
                      <w:rPr>
                        <w:rFonts w:ascii="Arial" w:hAnsi="Arial" w:cs="Arial"/>
                        <w:sz w:val="22"/>
                        <w:szCs w:val="22"/>
                      </w:rPr>
                      <m:t>rate</m:t>
                    </m:r>
                  </m:e>
                  <m:sub>
                    <m:r>
                      <m:rPr>
                        <m:nor/>
                      </m:rPr>
                      <w:rPr>
                        <w:rFonts w:ascii="Arial" w:hAnsi="Arial" w:cs="Arial"/>
                        <w:sz w:val="22"/>
                        <w:szCs w:val="22"/>
                      </w:rPr>
                      <m:t>week</m:t>
                    </m:r>
                  </m:sub>
                </m:sSub>
                <m:ctrlPr>
                  <w:rPr>
                    <w:rFonts w:ascii="Cambria Math" w:hAnsi="Cambria Math" w:cs="Arial"/>
                    <w:i/>
                    <w:sz w:val="22"/>
                    <w:szCs w:val="22"/>
                  </w:rPr>
                </m:ctrlPr>
              </m:e>
            </m:d>
          </m:e>
        </m:func>
      </m:oMath>
      <w:r w:rsidRPr="00500BF5">
        <w:rPr>
          <w:rFonts w:ascii="Arial" w:hAnsi="Arial" w:cs="Arial"/>
          <w:sz w:val="22"/>
          <w:szCs w:val="22"/>
        </w:rPr>
        <w:t xml:space="preserve"> in all models. The remaining </w:t>
      </w:r>
      <w:r w:rsidRPr="00500BF5">
        <w:rPr>
          <w:rFonts w:ascii="Arial" w:hAnsi="Arial" w:cs="Arial"/>
          <w:sz w:val="22"/>
          <w:szCs w:val="22"/>
        </w:rPr>
        <w:lastRenderedPageBreak/>
        <w:t xml:space="preserve">components appear in some models only. Extended Data Table 5 shows </w:t>
      </w:r>
      <w:r>
        <w:rPr>
          <w:rFonts w:ascii="Arial" w:hAnsi="Arial" w:cs="Arial"/>
          <w:sz w:val="22"/>
          <w:szCs w:val="22"/>
        </w:rPr>
        <w:t>the</w:t>
      </w:r>
      <w:r w:rsidRPr="00500BF5">
        <w:rPr>
          <w:rFonts w:ascii="Arial" w:hAnsi="Arial" w:cs="Arial"/>
          <w:sz w:val="22"/>
          <w:szCs w:val="22"/>
        </w:rPr>
        <w:t xml:space="preserve"> terms included in each of the 16 models in the ensemble. </w:t>
      </w:r>
    </w:p>
    <w:p w14:paraId="45EFC49D" w14:textId="77777777" w:rsidR="00474D86" w:rsidRPr="00500BF5" w:rsidRDefault="00474D86" w:rsidP="005726A9">
      <w:pPr>
        <w:spacing w:line="480" w:lineRule="auto"/>
        <w:jc w:val="both"/>
        <w:rPr>
          <w:rFonts w:ascii="Arial" w:hAnsi="Arial" w:cs="Arial"/>
          <w:sz w:val="22"/>
          <w:szCs w:val="22"/>
        </w:rPr>
      </w:pPr>
    </w:p>
    <w:p w14:paraId="1A56A3A4" w14:textId="77777777" w:rsidR="00474D86" w:rsidRPr="005B3E97" w:rsidRDefault="00474D86" w:rsidP="005726A9">
      <w:pPr>
        <w:spacing w:line="480" w:lineRule="auto"/>
        <w:jc w:val="both"/>
        <w:rPr>
          <w:rFonts w:ascii="Arial" w:hAnsi="Arial" w:cs="Arial"/>
          <w:sz w:val="22"/>
          <w:szCs w:val="22"/>
        </w:rPr>
      </w:pPr>
      <w:r w:rsidRPr="005B3E97">
        <w:rPr>
          <w:rFonts w:ascii="Arial" w:hAnsi="Arial" w:cs="Arial"/>
          <w:sz w:val="22"/>
          <w:szCs w:val="22"/>
        </w:rPr>
        <w:t xml:space="preserve">We used </w:t>
      </w:r>
      <w:r>
        <w:rPr>
          <w:rFonts w:ascii="Arial" w:hAnsi="Arial" w:cs="Arial"/>
          <w:sz w:val="22"/>
          <w:szCs w:val="22"/>
        </w:rPr>
        <w:t xml:space="preserve">data on </w:t>
      </w:r>
      <w:r w:rsidRPr="005B3E97">
        <w:rPr>
          <w:rFonts w:ascii="Arial" w:hAnsi="Arial" w:cs="Arial"/>
          <w:sz w:val="22"/>
          <w:szCs w:val="22"/>
        </w:rPr>
        <w:t xml:space="preserve">weekly deaths from the </w:t>
      </w:r>
      <w:r>
        <w:rPr>
          <w:rFonts w:ascii="Arial" w:hAnsi="Arial" w:cs="Arial"/>
          <w:sz w:val="22"/>
          <w:szCs w:val="22"/>
        </w:rPr>
        <w:t xml:space="preserve">start </w:t>
      </w:r>
      <w:r w:rsidRPr="005B3E97">
        <w:rPr>
          <w:rFonts w:ascii="Arial" w:hAnsi="Arial" w:cs="Arial"/>
          <w:sz w:val="22"/>
          <w:szCs w:val="22"/>
        </w:rPr>
        <w:t>of time series of data through mid-February 2020 to estimate the parameters of each model, which w</w:t>
      </w:r>
      <w:r>
        <w:rPr>
          <w:rFonts w:ascii="Arial" w:hAnsi="Arial" w:cs="Arial"/>
          <w:sz w:val="22"/>
          <w:szCs w:val="22"/>
        </w:rPr>
        <w:t>ere</w:t>
      </w:r>
      <w:r w:rsidRPr="005B3E97">
        <w:rPr>
          <w:rFonts w:ascii="Arial" w:hAnsi="Arial" w:cs="Arial"/>
          <w:sz w:val="22"/>
          <w:szCs w:val="22"/>
        </w:rPr>
        <w:t xml:space="preserve"> then used to predict death rates for </w:t>
      </w:r>
      <w:r>
        <w:rPr>
          <w:rFonts w:ascii="Arial" w:hAnsi="Arial" w:cs="Arial"/>
          <w:sz w:val="22"/>
          <w:szCs w:val="22"/>
          <w:lang w:val="en-US"/>
        </w:rPr>
        <w:t xml:space="preserve">the </w:t>
      </w:r>
      <w:r w:rsidRPr="005B3E97">
        <w:rPr>
          <w:rFonts w:ascii="Arial" w:hAnsi="Arial" w:cs="Arial"/>
          <w:sz w:val="22"/>
          <w:szCs w:val="22"/>
        </w:rPr>
        <w:t xml:space="preserve">subsequent </w:t>
      </w:r>
      <w:r>
        <w:rPr>
          <w:rFonts w:ascii="Arial" w:hAnsi="Arial" w:cs="Arial"/>
          <w:sz w:val="22"/>
          <w:szCs w:val="22"/>
        </w:rPr>
        <w:t xml:space="preserve">15 </w:t>
      </w:r>
      <w:r w:rsidRPr="005B3E97">
        <w:rPr>
          <w:rFonts w:ascii="Arial" w:hAnsi="Arial" w:cs="Arial"/>
          <w:sz w:val="22"/>
          <w:szCs w:val="22"/>
        </w:rPr>
        <w:t xml:space="preserve">weeks as estimates of the counterfactual death rates (i.e., if the pandemic had not occurred). For the projection period, we used recorded temperature so that our projections take into consideration actual temperature in 2020. This choice of training and prediction periods assumes that the number of deaths that are directly or indirectly related to the Covid-19 pandemic was negligible through mid-February 2020 in these countries, but it allows for impacts to have appeared in subsequent weeks. </w:t>
      </w:r>
    </w:p>
    <w:p w14:paraId="08D08494" w14:textId="77777777" w:rsidR="00474D86" w:rsidRPr="005B3E97" w:rsidRDefault="00474D86" w:rsidP="005726A9">
      <w:pPr>
        <w:spacing w:line="480" w:lineRule="auto"/>
        <w:jc w:val="both"/>
        <w:rPr>
          <w:rFonts w:ascii="Arial" w:hAnsi="Arial" w:cs="Arial"/>
          <w:sz w:val="22"/>
          <w:szCs w:val="22"/>
        </w:rPr>
      </w:pPr>
    </w:p>
    <w:p w14:paraId="427AC582" w14:textId="77777777" w:rsidR="00474D86" w:rsidRDefault="00474D86" w:rsidP="004C6151">
      <w:pPr>
        <w:spacing w:line="480" w:lineRule="auto"/>
        <w:jc w:val="both"/>
        <w:rPr>
          <w:rFonts w:ascii="Arial" w:hAnsi="Arial" w:cs="Arial"/>
          <w:sz w:val="22"/>
          <w:szCs w:val="22"/>
        </w:rPr>
      </w:pPr>
      <w:r w:rsidRPr="005B3E97">
        <w:rPr>
          <w:rFonts w:ascii="Arial" w:hAnsi="Arial" w:cs="Arial"/>
          <w:sz w:val="22"/>
          <w:szCs w:val="22"/>
        </w:rPr>
        <w:t>We tested the sensitivity of the results to the choice of prior through the use of penalized complexity priors and found that the results were similar. All models were fitted using integrated nested Laplace approximation (INLA)</w:t>
      </w:r>
      <w:r w:rsidRPr="001831EE">
        <w:rPr>
          <w:rFonts w:ascii="Arial" w:hAnsi="Arial" w:cs="Arial"/>
          <w:noProof/>
          <w:sz w:val="22"/>
          <w:szCs w:val="22"/>
          <w:vertAlign w:val="superscript"/>
        </w:rPr>
        <w:t>66</w:t>
      </w:r>
      <w:r>
        <w:rPr>
          <w:rFonts w:ascii="Arial" w:hAnsi="Arial" w:cs="Arial"/>
          <w:sz w:val="22"/>
          <w:szCs w:val="22"/>
        </w:rPr>
        <w:t>,</w:t>
      </w:r>
      <w:r w:rsidRPr="005B3E97">
        <w:rPr>
          <w:rFonts w:ascii="Arial" w:hAnsi="Arial" w:cs="Arial"/>
          <w:sz w:val="22"/>
          <w:szCs w:val="22"/>
        </w:rPr>
        <w:t xml:space="preserve"> implemented in the R-INLA software (version 20.03). </w:t>
      </w:r>
      <w:r>
        <w:rPr>
          <w:rFonts w:ascii="Arial" w:hAnsi="Arial" w:cs="Arial"/>
          <w:sz w:val="22"/>
          <w:szCs w:val="22"/>
        </w:rPr>
        <w:t xml:space="preserve">We used a </w:t>
      </w:r>
      <w:r w:rsidRPr="00F8370C">
        <w:rPr>
          <w:rFonts w:ascii="Arial" w:hAnsi="Arial" w:cs="Arial"/>
          <w:color w:val="000000"/>
          <w:sz w:val="22"/>
          <w:szCs w:val="22"/>
        </w:rPr>
        <w:t>model averaging approach</w:t>
      </w:r>
      <w:r>
        <w:rPr>
          <w:rFonts w:ascii="Arial" w:hAnsi="Arial" w:cs="Arial"/>
          <w:color w:val="000000"/>
          <w:sz w:val="22"/>
          <w:szCs w:val="22"/>
        </w:rPr>
        <w:t xml:space="preserve"> to combine the predictions from the 16 models in the ensemble</w:t>
      </w:r>
      <w:r w:rsidRPr="001831EE">
        <w:rPr>
          <w:rFonts w:ascii="Arial" w:hAnsi="Arial" w:cs="Arial"/>
          <w:noProof/>
          <w:color w:val="000000"/>
          <w:sz w:val="22"/>
          <w:szCs w:val="22"/>
          <w:vertAlign w:val="superscript"/>
        </w:rPr>
        <w:t>67,68</w:t>
      </w:r>
      <w:r>
        <w:rPr>
          <w:rFonts w:ascii="Arial" w:hAnsi="Arial" w:cs="Arial"/>
          <w:color w:val="000000"/>
          <w:sz w:val="22"/>
          <w:szCs w:val="22"/>
        </w:rPr>
        <w:t>. Specifically, w</w:t>
      </w:r>
      <w:r w:rsidRPr="005B3E97">
        <w:rPr>
          <w:rFonts w:ascii="Arial" w:hAnsi="Arial" w:cs="Arial"/>
          <w:sz w:val="22"/>
          <w:szCs w:val="22"/>
        </w:rPr>
        <w:t xml:space="preserve">e took 1,000 draws from the posterior distribution of age-specific deaths under each </w:t>
      </w:r>
      <w:r>
        <w:rPr>
          <w:rFonts w:ascii="Arial" w:hAnsi="Arial" w:cs="Arial"/>
          <w:sz w:val="22"/>
          <w:szCs w:val="22"/>
        </w:rPr>
        <w:t xml:space="preserve">of the 16 </w:t>
      </w:r>
      <w:r w:rsidRPr="005B3E97">
        <w:rPr>
          <w:rFonts w:ascii="Arial" w:hAnsi="Arial" w:cs="Arial"/>
          <w:sz w:val="22"/>
          <w:szCs w:val="22"/>
        </w:rPr>
        <w:t>model</w:t>
      </w:r>
      <w:r>
        <w:rPr>
          <w:rFonts w:ascii="Arial" w:hAnsi="Arial" w:cs="Arial"/>
          <w:sz w:val="22"/>
          <w:szCs w:val="22"/>
        </w:rPr>
        <w:t>s</w:t>
      </w:r>
      <w:r w:rsidRPr="005B3E97">
        <w:rPr>
          <w:rFonts w:ascii="Arial" w:hAnsi="Arial" w:cs="Arial"/>
          <w:sz w:val="22"/>
          <w:szCs w:val="22"/>
        </w:rPr>
        <w:t>, and pooled the 16,000</w:t>
      </w:r>
      <w:r>
        <w:rPr>
          <w:rFonts w:ascii="Arial" w:hAnsi="Arial" w:cs="Arial"/>
          <w:sz w:val="22"/>
          <w:szCs w:val="22"/>
        </w:rPr>
        <w:t xml:space="preserve"> </w:t>
      </w:r>
      <w:r w:rsidRPr="005B3E97">
        <w:rPr>
          <w:rFonts w:ascii="Arial" w:hAnsi="Arial" w:cs="Arial"/>
          <w:sz w:val="22"/>
          <w:szCs w:val="22"/>
        </w:rPr>
        <w:t>draws to obtain the posterior distribution of age-specific deaths if the Covid-19 pandemic had not taken place. This approach</w:t>
      </w:r>
      <w:r>
        <w:rPr>
          <w:rFonts w:ascii="Arial" w:hAnsi="Arial" w:cs="Arial"/>
          <w:sz w:val="22"/>
          <w:szCs w:val="22"/>
        </w:rPr>
        <w:t xml:space="preserve"> generates a distribution of estimates that has equal samples from that of each model in the ensemble, and hence</w:t>
      </w:r>
      <w:r w:rsidRPr="005B3E97">
        <w:rPr>
          <w:rFonts w:ascii="Arial" w:hAnsi="Arial" w:cs="Arial"/>
          <w:sz w:val="22"/>
          <w:szCs w:val="22"/>
        </w:rPr>
        <w:t xml:space="preserve"> incorporates both the uncertainty of estimates from each model and the uncertainty in the choice of model.</w:t>
      </w:r>
      <w:r>
        <w:rPr>
          <w:rFonts w:ascii="Arial" w:hAnsi="Arial" w:cs="Arial"/>
          <w:sz w:val="22"/>
          <w:szCs w:val="22"/>
        </w:rPr>
        <w:t xml:space="preserve"> </w:t>
      </w:r>
      <w:r w:rsidRPr="005B3E97">
        <w:rPr>
          <w:rFonts w:ascii="Arial" w:hAnsi="Arial" w:cs="Arial"/>
          <w:sz w:val="22"/>
          <w:szCs w:val="22"/>
        </w:rPr>
        <w:t>The reported credible intervals represent the 2.5</w:t>
      </w:r>
      <w:r w:rsidRPr="005B3E97">
        <w:rPr>
          <w:rFonts w:ascii="Arial" w:hAnsi="Arial" w:cs="Arial"/>
          <w:sz w:val="22"/>
          <w:szCs w:val="22"/>
          <w:vertAlign w:val="superscript"/>
        </w:rPr>
        <w:t>th</w:t>
      </w:r>
      <w:r w:rsidRPr="005B3E97">
        <w:rPr>
          <w:rFonts w:ascii="Arial" w:hAnsi="Arial" w:cs="Arial"/>
          <w:sz w:val="22"/>
          <w:szCs w:val="22"/>
        </w:rPr>
        <w:t xml:space="preserve"> and 97.5</w:t>
      </w:r>
      <w:r w:rsidRPr="005B3E97">
        <w:rPr>
          <w:rFonts w:ascii="Arial" w:hAnsi="Arial" w:cs="Arial"/>
          <w:sz w:val="22"/>
          <w:szCs w:val="22"/>
          <w:vertAlign w:val="superscript"/>
        </w:rPr>
        <w:t>th</w:t>
      </w:r>
      <w:r w:rsidRPr="005B3E97">
        <w:rPr>
          <w:rFonts w:ascii="Arial" w:hAnsi="Arial" w:cs="Arial"/>
          <w:sz w:val="22"/>
          <w:szCs w:val="22"/>
        </w:rPr>
        <w:t xml:space="preserve"> percentiles of the </w:t>
      </w:r>
      <w:r>
        <w:rPr>
          <w:rFonts w:ascii="Arial" w:hAnsi="Arial" w:cs="Arial"/>
          <w:sz w:val="22"/>
          <w:szCs w:val="22"/>
        </w:rPr>
        <w:t xml:space="preserve">resultant </w:t>
      </w:r>
      <w:r w:rsidRPr="005B3E97">
        <w:rPr>
          <w:rFonts w:ascii="Arial" w:hAnsi="Arial" w:cs="Arial"/>
          <w:sz w:val="22"/>
          <w:szCs w:val="22"/>
        </w:rPr>
        <w:t xml:space="preserve">posterior distribution of the draws from the entire ensemble. </w:t>
      </w:r>
      <w:r w:rsidRPr="004C6151">
        <w:rPr>
          <w:rFonts w:ascii="Arial" w:hAnsi="Arial" w:cs="Arial"/>
          <w:sz w:val="22"/>
          <w:szCs w:val="22"/>
        </w:rPr>
        <w:t>We also</w:t>
      </w:r>
      <w:r>
        <w:rPr>
          <w:rFonts w:ascii="Arial" w:hAnsi="Arial" w:cs="Arial"/>
          <w:sz w:val="22"/>
          <w:szCs w:val="22"/>
        </w:rPr>
        <w:t xml:space="preserve"> </w:t>
      </w:r>
      <w:r w:rsidRPr="004C6151">
        <w:rPr>
          <w:rFonts w:ascii="Arial" w:hAnsi="Arial" w:cs="Arial"/>
          <w:sz w:val="22"/>
          <w:szCs w:val="22"/>
        </w:rPr>
        <w:t>report the posterior probability that an estimated increase</w:t>
      </w:r>
      <w:r>
        <w:rPr>
          <w:rFonts w:ascii="Arial" w:hAnsi="Arial" w:cs="Arial"/>
          <w:sz w:val="22"/>
          <w:szCs w:val="22"/>
        </w:rPr>
        <w:t xml:space="preserve"> in deaths </w:t>
      </w:r>
      <w:r w:rsidRPr="004C6151">
        <w:rPr>
          <w:rFonts w:ascii="Arial" w:hAnsi="Arial" w:cs="Arial"/>
          <w:sz w:val="22"/>
          <w:szCs w:val="22"/>
        </w:rPr>
        <w:t xml:space="preserve">corresponds to a </w:t>
      </w:r>
      <w:r>
        <w:rPr>
          <w:rFonts w:ascii="Arial" w:hAnsi="Arial" w:cs="Arial"/>
          <w:sz w:val="22"/>
          <w:szCs w:val="22"/>
        </w:rPr>
        <w:t>true increase</w:t>
      </w:r>
      <w:r w:rsidRPr="004C6151">
        <w:rPr>
          <w:rFonts w:ascii="Arial" w:hAnsi="Arial" w:cs="Arial"/>
          <w:sz w:val="22"/>
          <w:szCs w:val="22"/>
        </w:rPr>
        <w:t xml:space="preserve"> </w:t>
      </w:r>
      <w:r>
        <w:rPr>
          <w:rFonts w:ascii="Arial" w:hAnsi="Arial" w:cs="Arial"/>
          <w:sz w:val="22"/>
          <w:szCs w:val="22"/>
        </w:rPr>
        <w:t>(</w:t>
      </w:r>
      <w:r w:rsidRPr="004C6151">
        <w:rPr>
          <w:rFonts w:ascii="Arial" w:hAnsi="Arial" w:cs="Arial"/>
          <w:sz w:val="22"/>
          <w:szCs w:val="22"/>
        </w:rPr>
        <w:t>or</w:t>
      </w:r>
      <w:r>
        <w:rPr>
          <w:rFonts w:ascii="Arial" w:hAnsi="Arial" w:cs="Arial"/>
          <w:sz w:val="22"/>
          <w:szCs w:val="22"/>
        </w:rPr>
        <w:t xml:space="preserve"> decrease) which is described in the main paper</w:t>
      </w:r>
      <w:r w:rsidRPr="004C6151">
        <w:rPr>
          <w:rFonts w:ascii="Arial" w:hAnsi="Arial" w:cs="Arial"/>
          <w:sz w:val="22"/>
          <w:szCs w:val="22"/>
        </w:rPr>
        <w:t>.</w:t>
      </w:r>
      <w:r>
        <w:rPr>
          <w:rFonts w:ascii="Arial" w:hAnsi="Arial" w:cs="Arial"/>
          <w:sz w:val="22"/>
          <w:szCs w:val="22"/>
        </w:rPr>
        <w:t xml:space="preserve"> </w:t>
      </w:r>
      <w:r w:rsidRPr="00E36D91">
        <w:rPr>
          <w:rFonts w:ascii="Arial" w:hAnsi="Arial" w:cs="Arial"/>
          <w:sz w:val="22"/>
          <w:szCs w:val="22"/>
        </w:rPr>
        <w:t xml:space="preserve">We also evaluated the sensitivity of our results to how the different models are weighted. Specifically, the number of draws from each model </w:t>
      </w:r>
      <w:r>
        <w:rPr>
          <w:rFonts w:ascii="Arial" w:hAnsi="Arial" w:cs="Arial"/>
          <w:sz w:val="22"/>
          <w:szCs w:val="22"/>
        </w:rPr>
        <w:t xml:space="preserve">was </w:t>
      </w:r>
      <w:r w:rsidRPr="00E36D91">
        <w:rPr>
          <w:rFonts w:ascii="Arial" w:hAnsi="Arial" w:cs="Arial"/>
          <w:sz w:val="22"/>
          <w:szCs w:val="22"/>
        </w:rPr>
        <w:t>inversely proportional to the absolute error of prediction in the validation analyses described below.</w:t>
      </w:r>
      <w:r>
        <w:rPr>
          <w:rFonts w:ascii="Arial" w:hAnsi="Arial" w:cs="Arial"/>
          <w:sz w:val="22"/>
          <w:szCs w:val="22"/>
        </w:rPr>
        <w:t xml:space="preserve"> The results were virtually identical to </w:t>
      </w:r>
      <w:r>
        <w:rPr>
          <w:rFonts w:ascii="Arial" w:hAnsi="Arial" w:cs="Arial"/>
          <w:sz w:val="22"/>
          <w:szCs w:val="22"/>
        </w:rPr>
        <w:lastRenderedPageBreak/>
        <w:t>those with equal draws, with median excess deaths estimates differing by 1.6% on average and by 0.5% when summed across all countries.</w:t>
      </w:r>
      <w:r w:rsidDel="00344CB8">
        <w:rPr>
          <w:rFonts w:ascii="Arial" w:hAnsi="Arial" w:cs="Arial"/>
          <w:sz w:val="22"/>
          <w:szCs w:val="22"/>
        </w:rPr>
        <w:t xml:space="preserve"> </w:t>
      </w:r>
    </w:p>
    <w:p w14:paraId="7AF7D85A" w14:textId="77777777" w:rsidR="00474D86" w:rsidRDefault="00474D86" w:rsidP="004C6151">
      <w:pPr>
        <w:spacing w:line="480" w:lineRule="auto"/>
        <w:jc w:val="both"/>
        <w:rPr>
          <w:rFonts w:ascii="Arial" w:hAnsi="Arial" w:cs="Arial"/>
          <w:sz w:val="22"/>
          <w:szCs w:val="22"/>
        </w:rPr>
      </w:pPr>
    </w:p>
    <w:bookmarkEnd w:id="5"/>
    <w:p w14:paraId="1133E384" w14:textId="77777777" w:rsidR="00474D86" w:rsidRPr="005B3E97" w:rsidRDefault="00474D86" w:rsidP="006F39F8">
      <w:pPr>
        <w:spacing w:line="480" w:lineRule="auto"/>
        <w:jc w:val="both"/>
        <w:rPr>
          <w:rFonts w:ascii="Arial" w:hAnsi="Arial" w:cs="Arial"/>
          <w:sz w:val="22"/>
          <w:szCs w:val="22"/>
        </w:rPr>
      </w:pPr>
      <w:r w:rsidRPr="005B3E97">
        <w:rPr>
          <w:rFonts w:ascii="Arial" w:hAnsi="Arial" w:cs="Arial"/>
          <w:sz w:val="22"/>
          <w:szCs w:val="22"/>
        </w:rPr>
        <w:t xml:space="preserve">We did all analyses separately by sex and age group (0-64 years, 65+ years) because death rates, and how they are impacted by the pandemic, vary by age group and sex. To obtain estimates across age groups and both sexes, we summed draws from age-sex-specific estimates. </w:t>
      </w:r>
    </w:p>
    <w:p w14:paraId="0EAC0B4F" w14:textId="77777777" w:rsidR="00474D86" w:rsidRDefault="00474D86" w:rsidP="006F39F8">
      <w:pPr>
        <w:spacing w:line="480" w:lineRule="auto"/>
        <w:jc w:val="both"/>
        <w:rPr>
          <w:rFonts w:ascii="Arial" w:hAnsi="Arial" w:cs="Arial"/>
          <w:sz w:val="22"/>
          <w:szCs w:val="22"/>
        </w:rPr>
      </w:pPr>
    </w:p>
    <w:p w14:paraId="793A8CB2" w14:textId="77777777" w:rsidR="00474D86" w:rsidRPr="009D1ED2" w:rsidRDefault="00474D86" w:rsidP="006F39F8">
      <w:pPr>
        <w:spacing w:line="480" w:lineRule="auto"/>
        <w:jc w:val="both"/>
        <w:rPr>
          <w:rFonts w:ascii="Arial" w:hAnsi="Arial" w:cs="Arial"/>
          <w:i/>
          <w:iCs/>
          <w:sz w:val="22"/>
          <w:szCs w:val="22"/>
        </w:rPr>
      </w:pPr>
      <w:r w:rsidRPr="009D1ED2">
        <w:rPr>
          <w:rFonts w:ascii="Arial" w:hAnsi="Arial" w:cs="Arial"/>
          <w:i/>
          <w:iCs/>
          <w:sz w:val="22"/>
          <w:szCs w:val="22"/>
        </w:rPr>
        <w:t xml:space="preserve">Validation of </w:t>
      </w:r>
      <w:r>
        <w:rPr>
          <w:rFonts w:ascii="Arial" w:hAnsi="Arial" w:cs="Arial"/>
          <w:i/>
          <w:iCs/>
          <w:sz w:val="22"/>
          <w:szCs w:val="22"/>
        </w:rPr>
        <w:t xml:space="preserve">no-pandemic counterfactual </w:t>
      </w:r>
      <w:r w:rsidRPr="009D1ED2">
        <w:rPr>
          <w:rFonts w:ascii="Arial" w:hAnsi="Arial" w:cs="Arial"/>
          <w:i/>
          <w:iCs/>
          <w:sz w:val="22"/>
          <w:szCs w:val="22"/>
        </w:rPr>
        <w:t xml:space="preserve">weekly </w:t>
      </w:r>
      <w:r>
        <w:rPr>
          <w:rFonts w:ascii="Arial" w:hAnsi="Arial" w:cs="Arial"/>
          <w:i/>
          <w:iCs/>
          <w:sz w:val="22"/>
          <w:szCs w:val="22"/>
        </w:rPr>
        <w:t xml:space="preserve">deaths </w:t>
      </w:r>
    </w:p>
    <w:p w14:paraId="56346EF1" w14:textId="77777777" w:rsidR="00474D86" w:rsidRDefault="00474D86" w:rsidP="005346AF">
      <w:pPr>
        <w:spacing w:line="480" w:lineRule="auto"/>
        <w:jc w:val="both"/>
        <w:rPr>
          <w:rFonts w:ascii="Arial" w:hAnsi="Arial" w:cs="Arial"/>
          <w:sz w:val="22"/>
          <w:szCs w:val="22"/>
        </w:rPr>
      </w:pPr>
      <w:r w:rsidRPr="005B3E97">
        <w:rPr>
          <w:rFonts w:ascii="Arial" w:hAnsi="Arial" w:cs="Arial"/>
          <w:sz w:val="22"/>
          <w:szCs w:val="22"/>
        </w:rPr>
        <w:t xml:space="preserve">We tested </w:t>
      </w:r>
      <w:r>
        <w:rPr>
          <w:rFonts w:ascii="Arial" w:hAnsi="Arial" w:cs="Arial"/>
          <w:sz w:val="22"/>
          <w:szCs w:val="22"/>
        </w:rPr>
        <w:t>how well our model ensemble estimates the number of deaths expected had the pandemic not occurred</w:t>
      </w:r>
      <w:r w:rsidRPr="005B3E97">
        <w:rPr>
          <w:rFonts w:ascii="Arial" w:hAnsi="Arial" w:cs="Arial"/>
          <w:sz w:val="22"/>
          <w:szCs w:val="22"/>
        </w:rPr>
        <w:t xml:space="preserve"> by withholding data for </w:t>
      </w:r>
      <w:r>
        <w:rPr>
          <w:rFonts w:ascii="Arial" w:hAnsi="Arial" w:cs="Arial"/>
          <w:sz w:val="22"/>
          <w:szCs w:val="22"/>
        </w:rPr>
        <w:t>15</w:t>
      </w:r>
      <w:r w:rsidRPr="005B3E97">
        <w:rPr>
          <w:rFonts w:ascii="Arial" w:hAnsi="Arial" w:cs="Arial"/>
          <w:sz w:val="22"/>
          <w:szCs w:val="22"/>
        </w:rPr>
        <w:t xml:space="preserve"> weeks starting from mid-February (i.e., the same projection period as done for 2020) for an earlier year and us</w:t>
      </w:r>
      <w:r>
        <w:rPr>
          <w:rFonts w:ascii="Arial" w:hAnsi="Arial" w:cs="Arial"/>
          <w:sz w:val="22"/>
          <w:szCs w:val="22"/>
        </w:rPr>
        <w:t>ing</w:t>
      </w:r>
      <w:r w:rsidRPr="005B3E97">
        <w:rPr>
          <w:rFonts w:ascii="Arial" w:hAnsi="Arial" w:cs="Arial"/>
          <w:sz w:val="22"/>
          <w:szCs w:val="22"/>
        </w:rPr>
        <w:t xml:space="preserve"> the preceding time-series of data to train the models. </w:t>
      </w:r>
      <w:r>
        <w:rPr>
          <w:rFonts w:ascii="Arial" w:hAnsi="Arial" w:cs="Arial"/>
          <w:sz w:val="22"/>
          <w:szCs w:val="22"/>
        </w:rPr>
        <w:t xml:space="preserve">In other words, we created a situation akin to 2020 for an earlier year. </w:t>
      </w:r>
      <w:r w:rsidRPr="005B3E97">
        <w:rPr>
          <w:rFonts w:ascii="Arial" w:hAnsi="Arial" w:cs="Arial"/>
          <w:sz w:val="22"/>
          <w:szCs w:val="22"/>
        </w:rPr>
        <w:t>We then projected death rates for the weeks with withheld data, and evaluated how well the model ensemble projections reproduce</w:t>
      </w:r>
      <w:r>
        <w:rPr>
          <w:rFonts w:ascii="Arial" w:hAnsi="Arial" w:cs="Arial"/>
          <w:sz w:val="22"/>
          <w:szCs w:val="22"/>
        </w:rPr>
        <w:t>d</w:t>
      </w:r>
      <w:r w:rsidRPr="005B3E97">
        <w:rPr>
          <w:rFonts w:ascii="Arial" w:hAnsi="Arial" w:cs="Arial"/>
          <w:sz w:val="22"/>
          <w:szCs w:val="22"/>
        </w:rPr>
        <w:t xml:space="preserve"> the known-but-withheld death rates. We repeated this for three different years: 2017 (i.e.</w:t>
      </w:r>
      <w:r>
        <w:rPr>
          <w:rFonts w:ascii="Arial" w:hAnsi="Arial" w:cs="Arial"/>
          <w:sz w:val="22"/>
          <w:szCs w:val="22"/>
        </w:rPr>
        <w:t>,</w:t>
      </w:r>
      <w:r w:rsidRPr="005B3E97">
        <w:rPr>
          <w:rFonts w:ascii="Arial" w:hAnsi="Arial" w:cs="Arial"/>
          <w:sz w:val="22"/>
          <w:szCs w:val="22"/>
        </w:rPr>
        <w:t xml:space="preserve"> train model using data from January 2010 to mid-February 2017 and test for the subsequent </w:t>
      </w:r>
      <w:r>
        <w:rPr>
          <w:rFonts w:ascii="Arial" w:hAnsi="Arial" w:cs="Arial"/>
          <w:sz w:val="22"/>
          <w:szCs w:val="22"/>
        </w:rPr>
        <w:t xml:space="preserve">15 </w:t>
      </w:r>
      <w:r w:rsidRPr="005B3E97">
        <w:rPr>
          <w:rFonts w:ascii="Arial" w:hAnsi="Arial" w:cs="Arial"/>
          <w:sz w:val="22"/>
          <w:szCs w:val="22"/>
        </w:rPr>
        <w:t xml:space="preserve">weeks), 2018 (i.e., train model using data from January 2010 to mid-February 2018 and test for the subsequent </w:t>
      </w:r>
      <w:r>
        <w:rPr>
          <w:rFonts w:ascii="Arial" w:hAnsi="Arial" w:cs="Arial"/>
          <w:sz w:val="22"/>
          <w:szCs w:val="22"/>
        </w:rPr>
        <w:t>15</w:t>
      </w:r>
      <w:r w:rsidRPr="005B3E97">
        <w:rPr>
          <w:rFonts w:ascii="Arial" w:hAnsi="Arial" w:cs="Arial"/>
          <w:sz w:val="22"/>
          <w:szCs w:val="22"/>
        </w:rPr>
        <w:t xml:space="preserve"> weeks), and 2019 (i.e., train model using data from January 2010 to mid-February 2019 and test for the subsequent </w:t>
      </w:r>
      <w:r>
        <w:rPr>
          <w:rFonts w:ascii="Arial" w:hAnsi="Arial" w:cs="Arial"/>
          <w:sz w:val="22"/>
          <w:szCs w:val="22"/>
        </w:rPr>
        <w:t>15</w:t>
      </w:r>
      <w:r w:rsidRPr="005B3E97">
        <w:rPr>
          <w:rFonts w:ascii="Arial" w:hAnsi="Arial" w:cs="Arial"/>
          <w:sz w:val="22"/>
          <w:szCs w:val="22"/>
        </w:rPr>
        <w:t xml:space="preserve"> weeks). </w:t>
      </w:r>
      <w:r>
        <w:rPr>
          <w:rFonts w:ascii="Arial" w:hAnsi="Arial" w:cs="Arial"/>
          <w:sz w:val="22"/>
          <w:szCs w:val="22"/>
        </w:rPr>
        <w:t xml:space="preserve">We performed these tests for both sexes and age groups used in the analysis. </w:t>
      </w:r>
      <w:r w:rsidRPr="005B3E97">
        <w:rPr>
          <w:rFonts w:ascii="Arial" w:hAnsi="Arial" w:cs="Arial"/>
          <w:sz w:val="22"/>
          <w:szCs w:val="22"/>
        </w:rPr>
        <w:t>We report the projection error (which measures systematic bias) and absolute forecast error (which measures any deviation from the data). Additionally, we report coverage of the projection uncertainty; if projected death rates and their uncertainties are well estimated, the estimated 95% credible intervals should cover 95% of the withheld data.</w:t>
      </w:r>
      <w:r>
        <w:rPr>
          <w:rFonts w:ascii="Arial" w:hAnsi="Arial" w:cs="Arial"/>
          <w:sz w:val="22"/>
          <w:szCs w:val="22"/>
        </w:rPr>
        <w:t xml:space="preserve"> </w:t>
      </w:r>
    </w:p>
    <w:p w14:paraId="3490EB25" w14:textId="77777777" w:rsidR="00474D86" w:rsidRDefault="00474D86" w:rsidP="005346AF">
      <w:pPr>
        <w:spacing w:line="480" w:lineRule="auto"/>
        <w:jc w:val="both"/>
        <w:rPr>
          <w:rFonts w:ascii="Arial" w:hAnsi="Arial" w:cs="Arial"/>
          <w:sz w:val="22"/>
          <w:szCs w:val="22"/>
        </w:rPr>
      </w:pPr>
    </w:p>
    <w:p w14:paraId="3699AAE1" w14:textId="77777777" w:rsidR="00474D86" w:rsidRPr="005B3E97" w:rsidRDefault="00474D86" w:rsidP="005346AF">
      <w:pPr>
        <w:spacing w:line="480" w:lineRule="auto"/>
        <w:jc w:val="both"/>
        <w:rPr>
          <w:rFonts w:ascii="Arial" w:hAnsi="Arial" w:cs="Arial"/>
          <w:sz w:val="22"/>
          <w:szCs w:val="22"/>
        </w:rPr>
      </w:pPr>
      <w:r w:rsidRPr="009C6B83">
        <w:rPr>
          <w:rFonts w:ascii="Arial" w:hAnsi="Arial" w:cs="Arial"/>
          <w:sz w:val="22"/>
          <w:szCs w:val="22"/>
        </w:rPr>
        <w:t>The results of model validation (</w:t>
      </w:r>
      <w:r>
        <w:rPr>
          <w:rFonts w:ascii="Arial" w:hAnsi="Arial" w:cs="Arial"/>
          <w:sz w:val="22"/>
          <w:szCs w:val="22"/>
        </w:rPr>
        <w:t>Extended Data Table 3</w:t>
      </w:r>
      <w:r w:rsidRPr="009C6B83">
        <w:rPr>
          <w:rFonts w:ascii="Arial" w:hAnsi="Arial" w:cs="Arial"/>
          <w:sz w:val="22"/>
          <w:szCs w:val="22"/>
        </w:rPr>
        <w:t xml:space="preserve">) show that </w:t>
      </w:r>
      <w:r>
        <w:rPr>
          <w:rFonts w:ascii="Arial" w:hAnsi="Arial" w:cs="Arial"/>
          <w:sz w:val="22"/>
          <w:szCs w:val="22"/>
        </w:rPr>
        <w:t xml:space="preserve">the </w:t>
      </w:r>
      <w:r w:rsidRPr="009C6B83">
        <w:rPr>
          <w:rFonts w:ascii="Arial" w:hAnsi="Arial" w:cs="Arial"/>
          <w:sz w:val="22"/>
          <w:szCs w:val="22"/>
        </w:rPr>
        <w:t>estimates of how many deaths would be expected had the pandemic not occurred</w:t>
      </w:r>
      <w:r>
        <w:rPr>
          <w:rFonts w:ascii="Arial" w:hAnsi="Arial" w:cs="Arial"/>
          <w:sz w:val="22"/>
          <w:szCs w:val="22"/>
        </w:rPr>
        <w:t xml:space="preserve"> from the Bayesian model ensemble were unbiased, with</w:t>
      </w:r>
      <w:r w:rsidRPr="009C6B83">
        <w:rPr>
          <w:rFonts w:ascii="Arial" w:hAnsi="Arial" w:cs="Arial"/>
          <w:sz w:val="22"/>
          <w:szCs w:val="22"/>
        </w:rPr>
        <w:t xml:space="preserve"> </w:t>
      </w:r>
      <w:r>
        <w:rPr>
          <w:rFonts w:ascii="Arial" w:hAnsi="Arial" w:cs="Arial"/>
          <w:sz w:val="22"/>
          <w:szCs w:val="22"/>
        </w:rPr>
        <w:t xml:space="preserve">mean projection errors of 1% (between -3% and 6% in different age </w:t>
      </w:r>
      <w:r>
        <w:rPr>
          <w:rFonts w:ascii="Arial" w:hAnsi="Arial" w:cs="Arial"/>
          <w:sz w:val="22"/>
          <w:szCs w:val="22"/>
        </w:rPr>
        <w:lastRenderedPageBreak/>
        <w:t>groups, sexes and years)</w:t>
      </w:r>
      <w:r w:rsidRPr="009C6B83">
        <w:rPr>
          <w:rFonts w:ascii="Arial" w:hAnsi="Arial" w:cs="Arial"/>
          <w:sz w:val="22"/>
          <w:szCs w:val="22"/>
        </w:rPr>
        <w:t>. The mean absolute error was</w:t>
      </w:r>
      <w:r>
        <w:rPr>
          <w:rFonts w:ascii="Arial" w:hAnsi="Arial" w:cs="Arial"/>
          <w:sz w:val="22"/>
          <w:szCs w:val="22"/>
        </w:rPr>
        <w:t xml:space="preserve"> between 4% and 9% in different age groups, sexes and years</w:t>
      </w:r>
      <w:r w:rsidRPr="009C6B83">
        <w:rPr>
          <w:rFonts w:ascii="Arial" w:hAnsi="Arial" w:cs="Arial"/>
          <w:sz w:val="22"/>
          <w:szCs w:val="22"/>
        </w:rPr>
        <w:t>. 95% coverage, which measures how well the posterior distributions of projected deaths coincide with withheld data was &gt;</w:t>
      </w:r>
      <w:r>
        <w:rPr>
          <w:rFonts w:ascii="Arial" w:hAnsi="Arial" w:cs="Arial"/>
          <w:sz w:val="22"/>
          <w:szCs w:val="22"/>
        </w:rPr>
        <w:t>90</w:t>
      </w:r>
      <w:r w:rsidRPr="009C6B83">
        <w:rPr>
          <w:rFonts w:ascii="Arial" w:hAnsi="Arial" w:cs="Arial"/>
          <w:sz w:val="22"/>
          <w:szCs w:val="22"/>
        </w:rPr>
        <w:t xml:space="preserve">% for </w:t>
      </w:r>
      <w:r>
        <w:rPr>
          <w:rFonts w:ascii="Arial" w:hAnsi="Arial" w:cs="Arial"/>
          <w:sz w:val="22"/>
          <w:szCs w:val="22"/>
        </w:rPr>
        <w:t>all age groups, sexes and years,</w:t>
      </w:r>
      <w:r w:rsidRPr="009C6B83">
        <w:rPr>
          <w:rFonts w:ascii="Arial" w:hAnsi="Arial" w:cs="Arial"/>
          <w:sz w:val="22"/>
          <w:szCs w:val="22"/>
        </w:rPr>
        <w:t xml:space="preserve"> which shows that the posterior distribution is well</w:t>
      </w:r>
      <w:r>
        <w:rPr>
          <w:rFonts w:ascii="Arial" w:hAnsi="Arial" w:cs="Arial"/>
          <w:sz w:val="22"/>
          <w:szCs w:val="22"/>
        </w:rPr>
        <w:t xml:space="preserve"> </w:t>
      </w:r>
      <w:r w:rsidRPr="009C6B83">
        <w:rPr>
          <w:rFonts w:ascii="Arial" w:hAnsi="Arial" w:cs="Arial"/>
          <w:sz w:val="22"/>
          <w:szCs w:val="22"/>
        </w:rPr>
        <w:t>estimated.</w:t>
      </w:r>
    </w:p>
    <w:p w14:paraId="403D5BAB" w14:textId="77777777" w:rsidR="00474D86" w:rsidRDefault="00474D86" w:rsidP="005346AF">
      <w:pPr>
        <w:spacing w:line="480" w:lineRule="auto"/>
        <w:jc w:val="both"/>
        <w:rPr>
          <w:rFonts w:ascii="Arial" w:hAnsi="Arial" w:cs="Arial"/>
          <w:sz w:val="22"/>
          <w:szCs w:val="22"/>
        </w:rPr>
      </w:pPr>
    </w:p>
    <w:p w14:paraId="0CF29879" w14:textId="77777777" w:rsidR="00474D86" w:rsidRPr="00573EC9" w:rsidRDefault="00474D86" w:rsidP="005346AF">
      <w:pPr>
        <w:spacing w:line="480" w:lineRule="auto"/>
        <w:jc w:val="both"/>
        <w:rPr>
          <w:rFonts w:ascii="Arial" w:hAnsi="Arial" w:cs="Arial"/>
          <w:i/>
          <w:iCs/>
          <w:sz w:val="22"/>
          <w:szCs w:val="22"/>
        </w:rPr>
      </w:pPr>
      <w:r w:rsidRPr="00573EC9">
        <w:rPr>
          <w:rFonts w:ascii="Arial" w:hAnsi="Arial" w:cs="Arial"/>
          <w:i/>
          <w:iCs/>
          <w:sz w:val="22"/>
          <w:szCs w:val="22"/>
        </w:rPr>
        <w:t>Comparison with other estimates</w:t>
      </w:r>
    </w:p>
    <w:p w14:paraId="51D01C45" w14:textId="77777777" w:rsidR="00474D86" w:rsidRDefault="00474D86" w:rsidP="00D24B98">
      <w:pPr>
        <w:spacing w:line="480" w:lineRule="auto"/>
        <w:jc w:val="both"/>
        <w:rPr>
          <w:rFonts w:ascii="Arial" w:hAnsi="Arial" w:cs="Arial"/>
          <w:sz w:val="22"/>
          <w:szCs w:val="22"/>
        </w:rPr>
      </w:pPr>
      <w:r w:rsidRPr="0012289C">
        <w:rPr>
          <w:rFonts w:ascii="Arial" w:hAnsi="Arial" w:cs="Arial"/>
          <w:sz w:val="22"/>
          <w:szCs w:val="22"/>
        </w:rPr>
        <w:t xml:space="preserve">The </w:t>
      </w:r>
      <w:r w:rsidRPr="0012289C">
        <w:rPr>
          <w:rFonts w:ascii="Arial" w:hAnsi="Arial" w:cs="Arial"/>
          <w:i/>
          <w:iCs/>
          <w:sz w:val="22"/>
          <w:szCs w:val="22"/>
        </w:rPr>
        <w:t>Financial Times</w:t>
      </w:r>
      <w:r>
        <w:rPr>
          <w:rFonts w:ascii="Arial" w:hAnsi="Arial" w:cs="Arial"/>
          <w:sz w:val="22"/>
          <w:szCs w:val="22"/>
        </w:rPr>
        <w:t xml:space="preserve">, </w:t>
      </w:r>
      <w:r w:rsidRPr="005D7994">
        <w:rPr>
          <w:rFonts w:ascii="Arial" w:hAnsi="Arial" w:cs="Arial"/>
          <w:i/>
          <w:iCs/>
          <w:sz w:val="22"/>
          <w:szCs w:val="22"/>
        </w:rPr>
        <w:t>The Economist</w:t>
      </w:r>
      <w:r>
        <w:rPr>
          <w:rFonts w:ascii="Arial" w:hAnsi="Arial" w:cs="Arial"/>
          <w:sz w:val="22"/>
          <w:szCs w:val="22"/>
        </w:rPr>
        <w:t xml:space="preserve"> and </w:t>
      </w:r>
      <w:r w:rsidRPr="005D7994">
        <w:rPr>
          <w:rFonts w:ascii="Arial" w:hAnsi="Arial" w:cs="Arial"/>
          <w:i/>
          <w:iCs/>
          <w:sz w:val="22"/>
          <w:szCs w:val="22"/>
        </w:rPr>
        <w:t>The New York Times</w:t>
      </w:r>
      <w:r>
        <w:rPr>
          <w:rFonts w:ascii="Arial" w:hAnsi="Arial" w:cs="Arial"/>
          <w:sz w:val="22"/>
          <w:szCs w:val="22"/>
        </w:rPr>
        <w:t xml:space="preserve"> have reported the number of weekly deaths</w:t>
      </w:r>
      <w:r w:rsidRPr="00F14B9A">
        <w:rPr>
          <w:rFonts w:ascii="Arial" w:hAnsi="Arial" w:cs="Arial"/>
          <w:sz w:val="22"/>
          <w:szCs w:val="22"/>
        </w:rPr>
        <w:t xml:space="preserve"> </w:t>
      </w:r>
      <w:r>
        <w:rPr>
          <w:rFonts w:ascii="Arial" w:hAnsi="Arial" w:cs="Arial"/>
          <w:sz w:val="22"/>
          <w:szCs w:val="22"/>
        </w:rPr>
        <w:t>for some of the same countries as we have, and compared them either with averages of the past five years or projections based on a linear model with a seasonal term. These comparisons have been for both sexes combined</w:t>
      </w:r>
      <w:r w:rsidRPr="009D221B">
        <w:rPr>
          <w:rFonts w:ascii="Arial" w:hAnsi="Arial" w:cs="Arial"/>
          <w:sz w:val="22"/>
          <w:szCs w:val="22"/>
        </w:rPr>
        <w:t>, and in most cases for all ages combined</w:t>
      </w:r>
      <w:r>
        <w:rPr>
          <w:rFonts w:ascii="Arial" w:hAnsi="Arial" w:cs="Arial"/>
          <w:sz w:val="22"/>
          <w:szCs w:val="22"/>
        </w:rPr>
        <w:t xml:space="preserve">, and have not accounted for the role of temperature. Countries with small, medium and large number of excess deaths are consistent between our analysis and these reports. There are nonetheless some differences. For example, we estimated a small number of excess deaths, with low posterior probabilities, for Denmark and Norway whereas these sources reported a decline. We also estimated a slightly larger number of excess deaths for Portugal, Italy and Sweden than some of these sources. </w:t>
      </w:r>
      <w:proofErr w:type="spellStart"/>
      <w:r w:rsidRPr="0012289C">
        <w:rPr>
          <w:rFonts w:ascii="Arial" w:hAnsi="Arial" w:cs="Arial"/>
          <w:sz w:val="22"/>
          <w:szCs w:val="22"/>
        </w:rPr>
        <w:t>EuroMoMo</w:t>
      </w:r>
      <w:proofErr w:type="spellEnd"/>
      <w:r w:rsidRPr="0012289C">
        <w:rPr>
          <w:rFonts w:ascii="Arial" w:hAnsi="Arial" w:cs="Arial"/>
          <w:sz w:val="22"/>
          <w:szCs w:val="22"/>
        </w:rPr>
        <w:t xml:space="preserve"> </w:t>
      </w:r>
      <w:r>
        <w:rPr>
          <w:rFonts w:ascii="Arial" w:hAnsi="Arial" w:cs="Arial"/>
          <w:sz w:val="22"/>
          <w:szCs w:val="22"/>
        </w:rPr>
        <w:t>fits a</w:t>
      </w:r>
      <w:r w:rsidRPr="0012289C">
        <w:rPr>
          <w:rFonts w:ascii="Arial" w:hAnsi="Arial" w:cs="Arial"/>
          <w:sz w:val="22"/>
          <w:szCs w:val="22"/>
        </w:rPr>
        <w:t xml:space="preserve"> </w:t>
      </w:r>
      <w:r>
        <w:rPr>
          <w:rFonts w:ascii="Arial" w:hAnsi="Arial" w:cs="Arial"/>
          <w:sz w:val="22"/>
          <w:szCs w:val="22"/>
        </w:rPr>
        <w:t xml:space="preserve">sinusoidal </w:t>
      </w:r>
      <w:r w:rsidRPr="0012289C">
        <w:rPr>
          <w:rFonts w:ascii="Arial" w:hAnsi="Arial" w:cs="Arial"/>
          <w:sz w:val="22"/>
          <w:szCs w:val="22"/>
        </w:rPr>
        <w:t xml:space="preserve">seasonal model to death counts </w:t>
      </w:r>
      <w:r>
        <w:rPr>
          <w:rFonts w:ascii="Arial" w:hAnsi="Arial" w:cs="Arial"/>
          <w:sz w:val="22"/>
          <w:szCs w:val="22"/>
        </w:rPr>
        <w:t>but</w:t>
      </w:r>
      <w:r w:rsidRPr="0012289C">
        <w:rPr>
          <w:rFonts w:ascii="Arial" w:hAnsi="Arial" w:cs="Arial"/>
          <w:sz w:val="22"/>
          <w:szCs w:val="22"/>
        </w:rPr>
        <w:t xml:space="preserve"> does not report country-specific excess deaths and hence could not be compared with our results.</w:t>
      </w:r>
      <w:r>
        <w:rPr>
          <w:rFonts w:ascii="Arial" w:hAnsi="Arial" w:cs="Arial"/>
          <w:sz w:val="22"/>
          <w:szCs w:val="22"/>
        </w:rPr>
        <w:t xml:space="preserve"> The UK Office for National Statistics (ONS) calculated a number of age-standardised measures of excess mortality for January to June 2020, for both sexes combined, for European countries</w:t>
      </w:r>
      <w:r w:rsidRPr="001831EE">
        <w:rPr>
          <w:rFonts w:ascii="Arial" w:hAnsi="Arial" w:cs="Arial"/>
          <w:noProof/>
          <w:sz w:val="22"/>
          <w:szCs w:val="22"/>
          <w:vertAlign w:val="superscript"/>
        </w:rPr>
        <w:t>69</w:t>
      </w:r>
      <w:r>
        <w:rPr>
          <w:rFonts w:ascii="Arial" w:hAnsi="Arial" w:cs="Arial"/>
          <w:sz w:val="22"/>
          <w:szCs w:val="22"/>
        </w:rPr>
        <w:t xml:space="preserve">. The analysis did not account for temperature and holidays. Because the analysis began in January, it also covered the period before the pandemic had reached Europe in a widespread manner. The overall grouping of countries into small, medium and large impacts was mostly similar to us but the ONS concluded a better performance (i.e., lower excess mortality relative to other countries included) for France than we did. They also estimated a decline in mortality in Portugal and Switzerland which contrasts with an increase in our analysis. Differences between our results and those of the ONS may be partly related to the fact that ONS analysis also included the pre-pandemic months and did </w:t>
      </w:r>
      <w:r>
        <w:rPr>
          <w:rFonts w:ascii="Arial" w:hAnsi="Arial" w:cs="Arial"/>
          <w:sz w:val="22"/>
          <w:szCs w:val="22"/>
        </w:rPr>
        <w:lastRenderedPageBreak/>
        <w:t>not account for interannual variations in temperature. Most week during the period January to March were warmer in 2020 than the average of the past ten years.</w:t>
      </w:r>
    </w:p>
    <w:p w14:paraId="37D95364" w14:textId="77777777" w:rsidR="00474D86" w:rsidRDefault="00474D86" w:rsidP="00D24B98">
      <w:pPr>
        <w:spacing w:line="480" w:lineRule="auto"/>
        <w:jc w:val="both"/>
        <w:rPr>
          <w:rFonts w:ascii="Arial" w:hAnsi="Arial" w:cs="Arial"/>
          <w:sz w:val="22"/>
          <w:szCs w:val="22"/>
        </w:rPr>
      </w:pPr>
    </w:p>
    <w:p w14:paraId="2760F261" w14:textId="77777777" w:rsidR="00474D86" w:rsidRPr="008B5DAB" w:rsidRDefault="00474D86" w:rsidP="008B5DAB">
      <w:pPr>
        <w:spacing w:line="480" w:lineRule="auto"/>
        <w:jc w:val="both"/>
        <w:rPr>
          <w:rFonts w:ascii="Arial" w:hAnsi="Arial" w:cs="Arial"/>
          <w:b/>
          <w:bCs/>
          <w:sz w:val="22"/>
          <w:szCs w:val="22"/>
        </w:rPr>
      </w:pPr>
      <w:r w:rsidRPr="008B5DAB">
        <w:rPr>
          <w:rFonts w:ascii="Arial" w:hAnsi="Arial" w:cs="Arial"/>
          <w:b/>
          <w:bCs/>
          <w:sz w:val="22"/>
          <w:szCs w:val="22"/>
        </w:rPr>
        <w:t>Data availability</w:t>
      </w:r>
    </w:p>
    <w:p w14:paraId="4D3F3EEA" w14:textId="77777777" w:rsidR="00474D86" w:rsidRPr="008B5DAB" w:rsidRDefault="00474D86" w:rsidP="008B5DAB">
      <w:pPr>
        <w:spacing w:line="480" w:lineRule="auto"/>
        <w:jc w:val="both"/>
        <w:rPr>
          <w:rFonts w:ascii="Arial" w:hAnsi="Arial" w:cs="Arial"/>
          <w:sz w:val="22"/>
          <w:szCs w:val="22"/>
        </w:rPr>
      </w:pPr>
      <w:r w:rsidRPr="008B5DAB">
        <w:rPr>
          <w:rFonts w:ascii="Arial" w:hAnsi="Arial" w:cs="Arial"/>
          <w:sz w:val="22"/>
          <w:szCs w:val="22"/>
        </w:rPr>
        <w:t xml:space="preserve">Estimates of </w:t>
      </w:r>
      <w:r>
        <w:rPr>
          <w:rFonts w:ascii="Arial" w:hAnsi="Arial" w:cs="Arial"/>
          <w:sz w:val="22"/>
          <w:szCs w:val="22"/>
        </w:rPr>
        <w:t>weekly excess deaths</w:t>
      </w:r>
      <w:r w:rsidRPr="008B5DAB">
        <w:rPr>
          <w:rFonts w:ascii="Arial" w:hAnsi="Arial" w:cs="Arial"/>
          <w:sz w:val="22"/>
          <w:szCs w:val="22"/>
        </w:rPr>
        <w:t xml:space="preserve"> by country will be available from </w:t>
      </w:r>
      <w:r w:rsidRPr="001C3201">
        <w:rPr>
          <w:rFonts w:ascii="Arial" w:hAnsi="Arial" w:cs="Arial"/>
          <w:sz w:val="22"/>
          <w:szCs w:val="22"/>
        </w:rPr>
        <w:t>http://globalenvhealth.org/code-data-download/</w:t>
      </w:r>
      <w:r w:rsidRPr="008B5DAB">
        <w:rPr>
          <w:rFonts w:ascii="Arial" w:hAnsi="Arial" w:cs="Arial"/>
          <w:sz w:val="22"/>
          <w:szCs w:val="22"/>
        </w:rPr>
        <w:t xml:space="preserve"> upon publication of the paper. Input data</w:t>
      </w:r>
      <w:r>
        <w:rPr>
          <w:rFonts w:ascii="Arial" w:hAnsi="Arial" w:cs="Arial"/>
          <w:sz w:val="22"/>
          <w:szCs w:val="22"/>
        </w:rPr>
        <w:t xml:space="preserve"> on deaths, population and temperature</w:t>
      </w:r>
      <w:r w:rsidRPr="008B5DAB">
        <w:rPr>
          <w:rFonts w:ascii="Arial" w:hAnsi="Arial" w:cs="Arial"/>
          <w:sz w:val="22"/>
          <w:szCs w:val="22"/>
        </w:rPr>
        <w:t xml:space="preserve"> </w:t>
      </w:r>
      <w:r>
        <w:rPr>
          <w:rFonts w:ascii="Arial" w:hAnsi="Arial" w:cs="Arial"/>
          <w:sz w:val="22"/>
          <w:szCs w:val="22"/>
        </w:rPr>
        <w:t xml:space="preserve">will also be available from </w:t>
      </w:r>
      <w:r w:rsidRPr="001C3201">
        <w:rPr>
          <w:rFonts w:ascii="Arial" w:hAnsi="Arial" w:cs="Arial"/>
          <w:sz w:val="22"/>
          <w:szCs w:val="22"/>
        </w:rPr>
        <w:t>http://globalenvhealth.org/code-data-download/</w:t>
      </w:r>
      <w:r w:rsidRPr="008B5DAB">
        <w:rPr>
          <w:rFonts w:ascii="Arial" w:hAnsi="Arial" w:cs="Arial"/>
          <w:sz w:val="22"/>
          <w:szCs w:val="22"/>
        </w:rPr>
        <w:t xml:space="preserve">. </w:t>
      </w:r>
    </w:p>
    <w:p w14:paraId="0E5D8262" w14:textId="77777777" w:rsidR="00474D86" w:rsidRPr="008B5DAB" w:rsidRDefault="00474D86" w:rsidP="008B5DAB">
      <w:pPr>
        <w:spacing w:line="480" w:lineRule="auto"/>
        <w:jc w:val="both"/>
        <w:rPr>
          <w:rFonts w:ascii="Arial" w:hAnsi="Arial" w:cs="Arial"/>
          <w:sz w:val="22"/>
          <w:szCs w:val="22"/>
        </w:rPr>
      </w:pPr>
    </w:p>
    <w:p w14:paraId="345FA83E" w14:textId="77777777" w:rsidR="00474D86" w:rsidRPr="006E1F02" w:rsidRDefault="00474D86" w:rsidP="008B5DAB">
      <w:pPr>
        <w:spacing w:line="480" w:lineRule="auto"/>
        <w:jc w:val="both"/>
        <w:rPr>
          <w:rFonts w:ascii="Arial" w:hAnsi="Arial" w:cs="Arial"/>
          <w:b/>
          <w:bCs/>
          <w:sz w:val="22"/>
          <w:szCs w:val="22"/>
        </w:rPr>
      </w:pPr>
      <w:r w:rsidRPr="006E1F02">
        <w:rPr>
          <w:rFonts w:ascii="Arial" w:hAnsi="Arial" w:cs="Arial"/>
          <w:b/>
          <w:bCs/>
          <w:sz w:val="22"/>
          <w:szCs w:val="22"/>
        </w:rPr>
        <w:t>Code availability</w:t>
      </w:r>
    </w:p>
    <w:p w14:paraId="54C626AB" w14:textId="77777777" w:rsidR="00474D86" w:rsidRDefault="00474D86" w:rsidP="008B5DAB">
      <w:pPr>
        <w:spacing w:line="480" w:lineRule="auto"/>
        <w:jc w:val="both"/>
        <w:rPr>
          <w:rFonts w:ascii="Arial" w:hAnsi="Arial" w:cs="Arial"/>
          <w:sz w:val="22"/>
          <w:szCs w:val="22"/>
        </w:rPr>
      </w:pPr>
      <w:r w:rsidRPr="008B5DAB">
        <w:rPr>
          <w:rFonts w:ascii="Arial" w:hAnsi="Arial" w:cs="Arial"/>
          <w:sz w:val="22"/>
          <w:szCs w:val="22"/>
        </w:rPr>
        <w:t xml:space="preserve">The computer code for the Bayesian model </w:t>
      </w:r>
      <w:r>
        <w:rPr>
          <w:rFonts w:ascii="Arial" w:hAnsi="Arial" w:cs="Arial"/>
          <w:sz w:val="22"/>
          <w:szCs w:val="22"/>
        </w:rPr>
        <w:t xml:space="preserve">ensemble </w:t>
      </w:r>
      <w:r w:rsidRPr="008B5DAB">
        <w:rPr>
          <w:rFonts w:ascii="Arial" w:hAnsi="Arial" w:cs="Arial"/>
          <w:sz w:val="22"/>
          <w:szCs w:val="22"/>
        </w:rPr>
        <w:t xml:space="preserve">used in this work </w:t>
      </w:r>
      <w:r>
        <w:rPr>
          <w:rFonts w:ascii="Arial" w:hAnsi="Arial" w:cs="Arial"/>
          <w:sz w:val="22"/>
          <w:szCs w:val="22"/>
        </w:rPr>
        <w:t>will be</w:t>
      </w:r>
      <w:r w:rsidRPr="008B5DAB">
        <w:rPr>
          <w:rFonts w:ascii="Arial" w:hAnsi="Arial" w:cs="Arial"/>
          <w:sz w:val="22"/>
          <w:szCs w:val="22"/>
        </w:rPr>
        <w:t xml:space="preserve"> available at </w:t>
      </w:r>
      <w:r w:rsidRPr="001C3201">
        <w:rPr>
          <w:rFonts w:ascii="Arial" w:hAnsi="Arial" w:cs="Arial"/>
          <w:sz w:val="22"/>
          <w:szCs w:val="22"/>
        </w:rPr>
        <w:t>http://globalenvhealth.org/code-data-download/</w:t>
      </w:r>
      <w:r w:rsidRPr="008B5DAB">
        <w:rPr>
          <w:rFonts w:ascii="Arial" w:hAnsi="Arial" w:cs="Arial"/>
          <w:sz w:val="22"/>
          <w:szCs w:val="22"/>
        </w:rPr>
        <w:t xml:space="preserve"> upon publication of the paper. </w:t>
      </w:r>
    </w:p>
    <w:p w14:paraId="50C64749" w14:textId="77777777" w:rsidR="00474D86" w:rsidRPr="005B3E97" w:rsidRDefault="00474D86" w:rsidP="00580F14">
      <w:pPr>
        <w:spacing w:line="480" w:lineRule="auto"/>
        <w:jc w:val="both"/>
        <w:rPr>
          <w:rFonts w:ascii="Arial" w:hAnsi="Arial" w:cs="Arial"/>
          <w:sz w:val="22"/>
          <w:szCs w:val="22"/>
        </w:rPr>
      </w:pPr>
    </w:p>
    <w:p w14:paraId="61A99B34" w14:textId="77777777" w:rsidR="00474D86" w:rsidRPr="005B3E97" w:rsidRDefault="00474D86" w:rsidP="00580F14">
      <w:pPr>
        <w:spacing w:line="480" w:lineRule="auto"/>
        <w:jc w:val="both"/>
        <w:rPr>
          <w:rFonts w:ascii="Arial" w:hAnsi="Arial" w:cs="Arial"/>
          <w:b/>
          <w:bCs/>
          <w:sz w:val="22"/>
          <w:szCs w:val="22"/>
        </w:rPr>
      </w:pPr>
      <w:r w:rsidRPr="005B3E97">
        <w:rPr>
          <w:rFonts w:ascii="Arial" w:hAnsi="Arial" w:cs="Arial"/>
          <w:b/>
          <w:bCs/>
          <w:sz w:val="22"/>
          <w:szCs w:val="22"/>
        </w:rPr>
        <w:t>Author contributions</w:t>
      </w:r>
    </w:p>
    <w:p w14:paraId="42B3F202" w14:textId="77777777" w:rsidR="00474D86" w:rsidRPr="005B3E97" w:rsidRDefault="00474D86" w:rsidP="00580F14">
      <w:pPr>
        <w:spacing w:line="480" w:lineRule="auto"/>
        <w:jc w:val="both"/>
        <w:rPr>
          <w:rFonts w:ascii="Arial" w:hAnsi="Arial" w:cs="Arial"/>
          <w:sz w:val="22"/>
          <w:szCs w:val="22"/>
        </w:rPr>
      </w:pPr>
      <w:r>
        <w:rPr>
          <w:rFonts w:ascii="Arial" w:hAnsi="Arial" w:cs="Arial"/>
          <w:sz w:val="22"/>
          <w:szCs w:val="22"/>
        </w:rPr>
        <w:t>ME, VK and JEB</w:t>
      </w:r>
      <w:r w:rsidRPr="005B3E97">
        <w:rPr>
          <w:rFonts w:ascii="Arial" w:hAnsi="Arial" w:cs="Arial"/>
          <w:sz w:val="22"/>
          <w:szCs w:val="22"/>
        </w:rPr>
        <w:t xml:space="preserve"> </w:t>
      </w:r>
      <w:r>
        <w:rPr>
          <w:rFonts w:ascii="Arial" w:hAnsi="Arial" w:cs="Arial"/>
          <w:sz w:val="22"/>
          <w:szCs w:val="22"/>
        </w:rPr>
        <w:t xml:space="preserve">designed the </w:t>
      </w:r>
      <w:r w:rsidRPr="005B3E97">
        <w:rPr>
          <w:rFonts w:ascii="Arial" w:hAnsi="Arial" w:cs="Arial"/>
          <w:sz w:val="22"/>
          <w:szCs w:val="22"/>
        </w:rPr>
        <w:t xml:space="preserve">study. VK and JEB developed and tested statistical methods with input from </w:t>
      </w:r>
      <w:r>
        <w:rPr>
          <w:rFonts w:ascii="Arial" w:hAnsi="Arial" w:cs="Arial"/>
          <w:sz w:val="22"/>
          <w:szCs w:val="22"/>
        </w:rPr>
        <w:t>TR, RMP and ME</w:t>
      </w:r>
      <w:r w:rsidRPr="005B3E97">
        <w:rPr>
          <w:rFonts w:ascii="Arial" w:hAnsi="Arial" w:cs="Arial"/>
          <w:sz w:val="22"/>
          <w:szCs w:val="22"/>
        </w:rPr>
        <w:t>. VK</w:t>
      </w:r>
      <w:r>
        <w:rPr>
          <w:rFonts w:ascii="Arial" w:hAnsi="Arial" w:cs="Arial"/>
          <w:sz w:val="22"/>
          <w:szCs w:val="22"/>
        </w:rPr>
        <w:t xml:space="preserve"> wrote computer code,</w:t>
      </w:r>
      <w:r w:rsidRPr="005B3E97">
        <w:rPr>
          <w:rFonts w:ascii="Arial" w:hAnsi="Arial" w:cs="Arial"/>
          <w:sz w:val="22"/>
          <w:szCs w:val="22"/>
        </w:rPr>
        <w:t xml:space="preserve"> conducted analysis and prepared results. VK, RMP, TR and JEB accessed, harmonised and analysed data. ME</w:t>
      </w:r>
      <w:r>
        <w:rPr>
          <w:rFonts w:ascii="Arial" w:hAnsi="Arial" w:cs="Arial"/>
          <w:sz w:val="22"/>
          <w:szCs w:val="22"/>
        </w:rPr>
        <w:t>, VK, JEB, JP-S</w:t>
      </w:r>
      <w:r w:rsidRPr="005B3E97">
        <w:rPr>
          <w:rFonts w:ascii="Arial" w:hAnsi="Arial" w:cs="Arial"/>
          <w:sz w:val="22"/>
          <w:szCs w:val="22"/>
        </w:rPr>
        <w:t xml:space="preserve"> </w:t>
      </w:r>
      <w:r>
        <w:rPr>
          <w:rFonts w:ascii="Arial" w:hAnsi="Arial" w:cs="Arial"/>
          <w:sz w:val="22"/>
          <w:szCs w:val="22"/>
        </w:rPr>
        <w:t xml:space="preserve">and MM </w:t>
      </w:r>
      <w:r w:rsidRPr="005B3E97">
        <w:rPr>
          <w:rFonts w:ascii="Arial" w:hAnsi="Arial" w:cs="Arial"/>
          <w:sz w:val="22"/>
          <w:szCs w:val="22"/>
        </w:rPr>
        <w:t xml:space="preserve">wrote the first draft of the paper and other authors contributed to the paper. </w:t>
      </w:r>
    </w:p>
    <w:p w14:paraId="0C580195" w14:textId="77777777" w:rsidR="00474D86" w:rsidRPr="005B3E97" w:rsidRDefault="00474D86" w:rsidP="00580F14">
      <w:pPr>
        <w:spacing w:line="480" w:lineRule="auto"/>
        <w:jc w:val="both"/>
        <w:rPr>
          <w:rFonts w:ascii="Arial" w:hAnsi="Arial" w:cs="Arial"/>
          <w:sz w:val="22"/>
          <w:szCs w:val="22"/>
        </w:rPr>
      </w:pPr>
    </w:p>
    <w:p w14:paraId="27417637" w14:textId="77777777" w:rsidR="00474D86" w:rsidRPr="00773D02" w:rsidRDefault="00474D86" w:rsidP="00773D02">
      <w:pPr>
        <w:spacing w:line="480" w:lineRule="auto"/>
        <w:jc w:val="both"/>
        <w:rPr>
          <w:rFonts w:ascii="Arial" w:hAnsi="Arial" w:cs="Arial"/>
          <w:b/>
          <w:bCs/>
          <w:sz w:val="22"/>
          <w:szCs w:val="22"/>
        </w:rPr>
      </w:pPr>
      <w:r w:rsidRPr="00773D02">
        <w:rPr>
          <w:rFonts w:ascii="Arial" w:hAnsi="Arial" w:cs="Arial"/>
          <w:b/>
          <w:bCs/>
          <w:sz w:val="22"/>
          <w:szCs w:val="22"/>
        </w:rPr>
        <w:t xml:space="preserve">Author information </w:t>
      </w:r>
    </w:p>
    <w:p w14:paraId="1560E197" w14:textId="77777777" w:rsidR="00474D86" w:rsidRDefault="00474D86" w:rsidP="00773D02">
      <w:pPr>
        <w:spacing w:line="480" w:lineRule="auto"/>
        <w:jc w:val="both"/>
        <w:rPr>
          <w:rFonts w:ascii="Arial" w:hAnsi="Arial" w:cs="Arial"/>
          <w:sz w:val="22"/>
          <w:szCs w:val="22"/>
        </w:rPr>
      </w:pPr>
      <w:r w:rsidRPr="005B3E97">
        <w:rPr>
          <w:rFonts w:ascii="Arial" w:hAnsi="Arial" w:cs="Arial"/>
          <w:sz w:val="22"/>
          <w:szCs w:val="22"/>
        </w:rPr>
        <w:t xml:space="preserve">ME reports a charitable grant from the AstraZeneca Young Health Programme, and personal fees from Prudential, outside the submitted work. JP-S is vice-chair of the Royal Society for Public Health and reports personal fees from Novo Nordisk A/S and Lane, Clark &amp; Peacock LLP, outside of the submitted work. </w:t>
      </w:r>
    </w:p>
    <w:p w14:paraId="40BB2DE1" w14:textId="77777777" w:rsidR="00474D86" w:rsidRDefault="00474D86" w:rsidP="00773D02">
      <w:pPr>
        <w:spacing w:line="480" w:lineRule="auto"/>
        <w:jc w:val="both"/>
        <w:rPr>
          <w:rFonts w:ascii="Arial" w:hAnsi="Arial" w:cs="Arial"/>
          <w:sz w:val="22"/>
          <w:szCs w:val="22"/>
        </w:rPr>
      </w:pPr>
    </w:p>
    <w:p w14:paraId="67DBEA47" w14:textId="77777777" w:rsidR="00474D86" w:rsidRPr="005722C4" w:rsidRDefault="00474D86" w:rsidP="00773D02">
      <w:pPr>
        <w:spacing w:line="480" w:lineRule="auto"/>
        <w:jc w:val="both"/>
        <w:rPr>
          <w:rFonts w:ascii="Arial" w:hAnsi="Arial" w:cs="Arial"/>
          <w:b/>
          <w:bCs/>
          <w:sz w:val="22"/>
          <w:szCs w:val="22"/>
        </w:rPr>
      </w:pPr>
      <w:r w:rsidRPr="005722C4">
        <w:rPr>
          <w:rFonts w:ascii="Arial" w:hAnsi="Arial" w:cs="Arial"/>
          <w:b/>
          <w:bCs/>
          <w:sz w:val="22"/>
          <w:szCs w:val="22"/>
        </w:rPr>
        <w:t>Acknowledgements</w:t>
      </w:r>
    </w:p>
    <w:p w14:paraId="7AB781F4" w14:textId="77777777" w:rsidR="00474D86" w:rsidRDefault="00474D86" w:rsidP="00773D02">
      <w:pPr>
        <w:spacing w:line="480" w:lineRule="auto"/>
        <w:jc w:val="both"/>
        <w:rPr>
          <w:rFonts w:ascii="Arial" w:hAnsi="Arial" w:cs="Arial"/>
          <w:sz w:val="22"/>
          <w:szCs w:val="22"/>
        </w:rPr>
      </w:pPr>
      <w:r>
        <w:rPr>
          <w:rFonts w:ascii="Arial" w:hAnsi="Arial" w:cs="Arial"/>
          <w:sz w:val="22"/>
          <w:szCs w:val="22"/>
        </w:rPr>
        <w:t xml:space="preserve">We thank Laura Clearly and Rod Jackson for information about data from New Zealand and </w:t>
      </w:r>
      <w:r w:rsidRPr="00677C64">
        <w:rPr>
          <w:rFonts w:ascii="Arial" w:hAnsi="Arial" w:cs="Arial"/>
          <w:sz w:val="22"/>
          <w:szCs w:val="22"/>
        </w:rPr>
        <w:t>Giulia Mangiameli for help with background materials and references.</w:t>
      </w:r>
    </w:p>
    <w:p w14:paraId="6D015783" w14:textId="77777777" w:rsidR="00474D86" w:rsidRPr="00773D02" w:rsidRDefault="00474D86" w:rsidP="00773D02">
      <w:pPr>
        <w:spacing w:line="480" w:lineRule="auto"/>
        <w:jc w:val="both"/>
        <w:rPr>
          <w:rFonts w:ascii="Arial" w:hAnsi="Arial" w:cs="Arial"/>
          <w:sz w:val="22"/>
          <w:szCs w:val="22"/>
        </w:rPr>
      </w:pPr>
    </w:p>
    <w:p w14:paraId="67872FC1" w14:textId="77777777" w:rsidR="00474D86" w:rsidRPr="00773D02" w:rsidRDefault="00474D86" w:rsidP="00773D02">
      <w:pPr>
        <w:spacing w:line="480" w:lineRule="auto"/>
        <w:jc w:val="both"/>
        <w:rPr>
          <w:rFonts w:ascii="Arial" w:hAnsi="Arial" w:cs="Arial"/>
          <w:b/>
          <w:bCs/>
          <w:sz w:val="22"/>
          <w:szCs w:val="22"/>
        </w:rPr>
      </w:pPr>
      <w:r w:rsidRPr="00773D02">
        <w:rPr>
          <w:rFonts w:ascii="Arial" w:hAnsi="Arial" w:cs="Arial"/>
          <w:b/>
          <w:bCs/>
          <w:sz w:val="22"/>
          <w:szCs w:val="22"/>
        </w:rPr>
        <w:t xml:space="preserve">Corresponding author </w:t>
      </w:r>
    </w:p>
    <w:p w14:paraId="483FDFFF" w14:textId="77777777" w:rsidR="00474D86" w:rsidRDefault="00474D86" w:rsidP="00773D02">
      <w:pPr>
        <w:spacing w:line="480" w:lineRule="auto"/>
        <w:jc w:val="both"/>
        <w:rPr>
          <w:rFonts w:ascii="Arial" w:hAnsi="Arial" w:cs="Arial"/>
          <w:sz w:val="22"/>
          <w:szCs w:val="22"/>
        </w:rPr>
      </w:pPr>
      <w:r w:rsidRPr="00773D02">
        <w:rPr>
          <w:rFonts w:ascii="Arial" w:hAnsi="Arial" w:cs="Arial"/>
          <w:sz w:val="22"/>
          <w:szCs w:val="22"/>
        </w:rPr>
        <w:t>Correspondence to Majid Ezzati (majid.ezzati@imperial.ac.uk) </w:t>
      </w:r>
    </w:p>
    <w:p w14:paraId="55810E28" w14:textId="77777777" w:rsidR="00474D86" w:rsidRPr="005B3E97" w:rsidRDefault="00474D86" w:rsidP="00580F14">
      <w:pPr>
        <w:spacing w:line="480" w:lineRule="auto"/>
        <w:jc w:val="both"/>
        <w:rPr>
          <w:rFonts w:ascii="Arial" w:hAnsi="Arial" w:cs="Arial"/>
          <w:sz w:val="22"/>
          <w:szCs w:val="22"/>
        </w:rPr>
      </w:pPr>
    </w:p>
    <w:p w14:paraId="5308EA2C" w14:textId="77777777" w:rsidR="00474D86" w:rsidRDefault="00474D86">
      <w:pPr>
        <w:spacing w:after="200" w:line="276" w:lineRule="auto"/>
        <w:rPr>
          <w:rFonts w:ascii="Arial" w:hAnsi="Arial" w:cs="Arial"/>
          <w:sz w:val="22"/>
          <w:szCs w:val="22"/>
        </w:rPr>
      </w:pPr>
      <w:r>
        <w:rPr>
          <w:rFonts w:ascii="Arial" w:hAnsi="Arial" w:cs="Arial"/>
          <w:sz w:val="22"/>
          <w:szCs w:val="22"/>
        </w:rPr>
        <w:br w:type="page"/>
      </w:r>
    </w:p>
    <w:p w14:paraId="180C8B6E" w14:textId="77777777" w:rsidR="00474D86" w:rsidRPr="00EA741F" w:rsidRDefault="00474D86" w:rsidP="0085198D">
      <w:pPr>
        <w:spacing w:line="480" w:lineRule="auto"/>
        <w:rPr>
          <w:rFonts w:ascii="Arial" w:hAnsi="Arial" w:cs="Arial"/>
          <w:b/>
          <w:bCs/>
          <w:sz w:val="22"/>
          <w:szCs w:val="22"/>
        </w:rPr>
      </w:pPr>
      <w:r w:rsidRPr="00EA741F">
        <w:rPr>
          <w:rFonts w:ascii="Arial" w:hAnsi="Arial" w:cs="Arial"/>
          <w:b/>
          <w:bCs/>
          <w:sz w:val="22"/>
          <w:szCs w:val="22"/>
        </w:rPr>
        <w:lastRenderedPageBreak/>
        <w:t>Table 1.</w:t>
      </w:r>
      <w:r w:rsidRPr="000028E4">
        <w:rPr>
          <w:rFonts w:ascii="Arial" w:hAnsi="Arial" w:cs="Arial"/>
          <w:sz w:val="22"/>
          <w:szCs w:val="22"/>
        </w:rPr>
        <w:t xml:space="preserve"> Policy Summary</w:t>
      </w:r>
    </w:p>
    <w:p w14:paraId="344DAE96" w14:textId="77777777" w:rsidR="00474D86" w:rsidRPr="00EA741F" w:rsidRDefault="00474D86" w:rsidP="0085198D">
      <w:pPr>
        <w:spacing w:line="480" w:lineRule="auto"/>
        <w:jc w:val="both"/>
        <w:rPr>
          <w:rFonts w:ascii="Arial" w:hAnsi="Arial" w:cs="Arial"/>
          <w:i/>
          <w:iCs/>
          <w:sz w:val="22"/>
          <w:szCs w:val="22"/>
        </w:rPr>
      </w:pPr>
      <w:r w:rsidRPr="00EA741F">
        <w:rPr>
          <w:rFonts w:ascii="Arial" w:hAnsi="Arial" w:cs="Arial"/>
          <w:i/>
          <w:iCs/>
          <w:sz w:val="22"/>
          <w:szCs w:val="22"/>
        </w:rPr>
        <w:t>Background</w:t>
      </w:r>
    </w:p>
    <w:p w14:paraId="232F901A" w14:textId="77777777" w:rsidR="00474D86" w:rsidRDefault="00474D86" w:rsidP="0085198D">
      <w:pPr>
        <w:spacing w:line="480" w:lineRule="auto"/>
        <w:jc w:val="both"/>
        <w:rPr>
          <w:rFonts w:ascii="Arial" w:hAnsi="Arial" w:cs="Arial"/>
          <w:sz w:val="22"/>
          <w:szCs w:val="22"/>
        </w:rPr>
      </w:pPr>
      <w:r>
        <w:rPr>
          <w:rFonts w:ascii="Arial" w:hAnsi="Arial" w:cs="Arial"/>
          <w:sz w:val="22"/>
          <w:szCs w:val="22"/>
        </w:rPr>
        <w:t>The Covid-19 pandemic, the policy responses to it and changes in individual behaviour as a result of pandemic can affect deaths both from infection and from other diseases and injuries, in adverse as well as beneficial manners. All-cause mortality is a more complete and comparable measure of the public health impact of the pandemic and the policy and individual responses than deaths from infections. We used 16 alternative models to make estimates of how many deaths would have occurred had the pandemic not occurred, and subtracted these from the actual observed number of deaths, to measure the all-cause mortality impact of the first phase of the pandemic</w:t>
      </w:r>
      <w:r w:rsidRPr="008B16BF">
        <w:rPr>
          <w:rFonts w:ascii="Arial" w:hAnsi="Arial" w:cs="Arial"/>
          <w:sz w:val="22"/>
          <w:szCs w:val="22"/>
        </w:rPr>
        <w:t xml:space="preserve"> </w:t>
      </w:r>
      <w:r>
        <w:rPr>
          <w:rFonts w:ascii="Arial" w:hAnsi="Arial" w:cs="Arial"/>
          <w:sz w:val="22"/>
          <w:szCs w:val="22"/>
        </w:rPr>
        <w:t xml:space="preserve">in 21 industrialised countries in a consistent and comparable manner.  </w:t>
      </w:r>
    </w:p>
    <w:p w14:paraId="72B80697" w14:textId="77777777" w:rsidR="00474D86" w:rsidRDefault="00474D86" w:rsidP="0085198D">
      <w:pPr>
        <w:spacing w:line="480" w:lineRule="auto"/>
        <w:jc w:val="both"/>
        <w:rPr>
          <w:rFonts w:ascii="Arial" w:hAnsi="Arial" w:cs="Arial"/>
          <w:sz w:val="22"/>
          <w:szCs w:val="22"/>
        </w:rPr>
      </w:pPr>
    </w:p>
    <w:p w14:paraId="18E1C432" w14:textId="77777777" w:rsidR="00474D86" w:rsidRPr="00EA741F" w:rsidRDefault="00474D86" w:rsidP="0085198D">
      <w:pPr>
        <w:spacing w:line="480" w:lineRule="auto"/>
        <w:jc w:val="both"/>
        <w:rPr>
          <w:rFonts w:ascii="Arial" w:hAnsi="Arial" w:cs="Arial"/>
          <w:i/>
          <w:iCs/>
          <w:sz w:val="22"/>
          <w:szCs w:val="22"/>
        </w:rPr>
      </w:pPr>
      <w:r w:rsidRPr="00EA741F">
        <w:rPr>
          <w:rFonts w:ascii="Arial" w:hAnsi="Arial" w:cs="Arial"/>
          <w:i/>
          <w:iCs/>
          <w:sz w:val="22"/>
          <w:szCs w:val="22"/>
        </w:rPr>
        <w:t>Main Findings and Limitations</w:t>
      </w:r>
    </w:p>
    <w:p w14:paraId="28307706" w14:textId="77777777" w:rsidR="00474D86" w:rsidRPr="00EA741F" w:rsidRDefault="00474D86" w:rsidP="0085198D">
      <w:pPr>
        <w:spacing w:line="480" w:lineRule="auto"/>
        <w:jc w:val="both"/>
        <w:rPr>
          <w:rFonts w:ascii="Arial" w:hAnsi="Arial" w:cs="Arial"/>
          <w:caps/>
          <w:sz w:val="22"/>
          <w:szCs w:val="22"/>
        </w:rPr>
      </w:pPr>
      <w:r w:rsidRPr="00E72246">
        <w:rPr>
          <w:rFonts w:ascii="Arial" w:hAnsi="Arial" w:cs="Arial"/>
          <w:sz w:val="22"/>
          <w:szCs w:val="22"/>
        </w:rPr>
        <w:t>From mid-February through the end of May 2020</w:t>
      </w:r>
      <w:r>
        <w:rPr>
          <w:rFonts w:ascii="Arial" w:hAnsi="Arial" w:cs="Arial"/>
          <w:sz w:val="22"/>
          <w:szCs w:val="22"/>
        </w:rPr>
        <w:t>, over 200,000</w:t>
      </w:r>
      <w:r w:rsidRPr="00E72246">
        <w:rPr>
          <w:rFonts w:ascii="Arial" w:hAnsi="Arial" w:cs="Arial"/>
          <w:sz w:val="22"/>
          <w:szCs w:val="22"/>
        </w:rPr>
        <w:t xml:space="preserve"> more people died in these 21 countries than would have had the pandemic not taken place. The total number of excess deaths, excess deaths per 100,000 people, and relative increase in deaths were similar between men and women in most countries</w:t>
      </w:r>
      <w:r>
        <w:rPr>
          <w:rFonts w:ascii="Arial" w:hAnsi="Arial" w:cs="Arial"/>
          <w:sz w:val="22"/>
          <w:szCs w:val="22"/>
        </w:rPr>
        <w:t xml:space="preserve">, which contrasts with the widely reported male disadvantage in deaths among those with confirmed infection. The impact of the pandemic on total mortality was highly variable across countries. </w:t>
      </w:r>
      <w:r w:rsidRPr="000140F2">
        <w:rPr>
          <w:rFonts w:ascii="Arial" w:hAnsi="Arial" w:cs="Arial"/>
          <w:color w:val="000000"/>
          <w:sz w:val="22"/>
          <w:szCs w:val="22"/>
        </w:rPr>
        <w:t>Bulgaria, New Zealand, Slovakia, Australia, Czechia, Hungary, Poland, Norway, Denmark and Finland</w:t>
      </w:r>
      <w:r w:rsidRPr="005B3E97">
        <w:rPr>
          <w:rFonts w:ascii="Arial" w:hAnsi="Arial" w:cs="Arial"/>
          <w:color w:val="000000"/>
          <w:sz w:val="22"/>
          <w:szCs w:val="22"/>
        </w:rPr>
        <w:t xml:space="preserve"> have avoided a </w:t>
      </w:r>
      <w:r>
        <w:rPr>
          <w:rFonts w:ascii="Arial" w:hAnsi="Arial" w:cs="Arial"/>
          <w:color w:val="000000"/>
          <w:sz w:val="22"/>
          <w:szCs w:val="22"/>
        </w:rPr>
        <w:t xml:space="preserve">detectable </w:t>
      </w:r>
      <w:r w:rsidRPr="005B3E97">
        <w:rPr>
          <w:rFonts w:ascii="Arial" w:hAnsi="Arial" w:cs="Arial"/>
          <w:color w:val="000000"/>
          <w:sz w:val="22"/>
          <w:szCs w:val="22"/>
        </w:rPr>
        <w:t xml:space="preserve">rise in </w:t>
      </w:r>
      <w:r>
        <w:rPr>
          <w:rFonts w:ascii="Arial" w:hAnsi="Arial" w:cs="Arial"/>
          <w:color w:val="000000"/>
          <w:sz w:val="22"/>
          <w:szCs w:val="22"/>
        </w:rPr>
        <w:t>all-cause mortality, contrasting with England and Wales and Spain, followed by Italy, Scotland and Belgium where the all-cause death toll was very large.</w:t>
      </w:r>
    </w:p>
    <w:p w14:paraId="6652F83F" w14:textId="77777777" w:rsidR="00474D86" w:rsidRDefault="00474D86" w:rsidP="0085198D">
      <w:pPr>
        <w:spacing w:line="480" w:lineRule="auto"/>
        <w:jc w:val="both"/>
        <w:rPr>
          <w:rFonts w:ascii="Arial" w:hAnsi="Arial" w:cs="Arial"/>
          <w:sz w:val="22"/>
          <w:szCs w:val="22"/>
        </w:rPr>
      </w:pPr>
    </w:p>
    <w:p w14:paraId="180A6547" w14:textId="77777777" w:rsidR="00474D86" w:rsidRPr="00EA741F" w:rsidRDefault="00474D86" w:rsidP="0085198D">
      <w:pPr>
        <w:spacing w:line="480" w:lineRule="auto"/>
        <w:rPr>
          <w:rFonts w:ascii="Arial" w:hAnsi="Arial" w:cs="Arial"/>
          <w:i/>
          <w:iCs/>
          <w:sz w:val="22"/>
          <w:szCs w:val="22"/>
        </w:rPr>
      </w:pPr>
      <w:r w:rsidRPr="00EA741F">
        <w:rPr>
          <w:rFonts w:ascii="Arial" w:hAnsi="Arial" w:cs="Arial"/>
          <w:i/>
          <w:iCs/>
          <w:sz w:val="22"/>
          <w:szCs w:val="22"/>
        </w:rPr>
        <w:t>Policy Implications</w:t>
      </w:r>
    </w:p>
    <w:p w14:paraId="61DC06D8" w14:textId="77777777" w:rsidR="00474D86" w:rsidRDefault="00474D86" w:rsidP="00247D9A">
      <w:pPr>
        <w:spacing w:line="480" w:lineRule="auto"/>
        <w:jc w:val="both"/>
        <w:rPr>
          <w:rFonts w:ascii="Arial" w:hAnsi="Arial" w:cs="Arial"/>
          <w:sz w:val="22"/>
          <w:szCs w:val="22"/>
        </w:rPr>
      </w:pPr>
      <w:r>
        <w:rPr>
          <w:rFonts w:ascii="Arial" w:hAnsi="Arial" w:cs="Arial"/>
          <w:sz w:val="22"/>
          <w:szCs w:val="22"/>
        </w:rPr>
        <w:t xml:space="preserve">How the pandemic has affected all-cause mortality arises from the interactions of population and community characteristics, the immediate response to the pandemic, and the resilience and preparedness of the public health and health and social care system. Timely national lockdowns were effective in curbing the mortality impacts of the first phase of the pandemic </w:t>
      </w:r>
      <w:r>
        <w:rPr>
          <w:rFonts w:ascii="Arial" w:hAnsi="Arial" w:cs="Arial"/>
          <w:sz w:val="22"/>
          <w:szCs w:val="22"/>
        </w:rPr>
        <w:lastRenderedPageBreak/>
        <w:t xml:space="preserve">but </w:t>
      </w:r>
      <w:r>
        <w:rPr>
          <w:rFonts w:ascii="Arial" w:hAnsi="Arial" w:cs="Arial"/>
          <w:color w:val="000000"/>
          <w:sz w:val="22"/>
          <w:szCs w:val="22"/>
        </w:rPr>
        <w:t xml:space="preserve">have adverse short- and long-term health, psychosocial and economic impacts. As the pandemic continues, reducing the impacts on mortality requires suppressing transmission – through </w:t>
      </w:r>
      <w:r w:rsidRPr="00345F73">
        <w:rPr>
          <w:rFonts w:ascii="Arial" w:hAnsi="Arial" w:cs="Arial"/>
          <w:color w:val="000000"/>
          <w:sz w:val="22"/>
          <w:szCs w:val="22"/>
        </w:rPr>
        <w:t>comprehensive</w:t>
      </w:r>
      <w:r>
        <w:rPr>
          <w:rFonts w:ascii="Arial" w:hAnsi="Arial" w:cs="Arial"/>
          <w:color w:val="000000"/>
          <w:sz w:val="22"/>
          <w:szCs w:val="22"/>
        </w:rPr>
        <w:t xml:space="preserve"> and effective</w:t>
      </w:r>
      <w:r w:rsidRPr="00345F73">
        <w:rPr>
          <w:rFonts w:ascii="Arial" w:hAnsi="Arial" w:cs="Arial"/>
          <w:color w:val="000000"/>
          <w:sz w:val="22"/>
          <w:szCs w:val="22"/>
        </w:rPr>
        <w:t xml:space="preserve"> test</w:t>
      </w:r>
      <w:r>
        <w:rPr>
          <w:rFonts w:ascii="Arial" w:hAnsi="Arial" w:cs="Arial"/>
          <w:color w:val="000000"/>
          <w:sz w:val="22"/>
          <w:szCs w:val="22"/>
        </w:rPr>
        <w:t>ing</w:t>
      </w:r>
      <w:r w:rsidRPr="00345F73">
        <w:rPr>
          <w:rFonts w:ascii="Arial" w:hAnsi="Arial" w:cs="Arial"/>
          <w:color w:val="000000"/>
          <w:sz w:val="22"/>
          <w:szCs w:val="22"/>
        </w:rPr>
        <w:t xml:space="preserve"> and trac</w:t>
      </w:r>
      <w:r>
        <w:rPr>
          <w:rFonts w:ascii="Arial" w:hAnsi="Arial" w:cs="Arial"/>
          <w:color w:val="000000"/>
          <w:sz w:val="22"/>
          <w:szCs w:val="22"/>
        </w:rPr>
        <w:t>ing</w:t>
      </w:r>
      <w:r w:rsidRPr="00345F73">
        <w:rPr>
          <w:rFonts w:ascii="Arial" w:hAnsi="Arial" w:cs="Arial"/>
          <w:color w:val="000000"/>
          <w:sz w:val="22"/>
          <w:szCs w:val="22"/>
        </w:rPr>
        <w:t xml:space="preserve"> systems</w:t>
      </w:r>
      <w:r>
        <w:rPr>
          <w:rFonts w:ascii="Arial" w:hAnsi="Arial" w:cs="Arial"/>
          <w:color w:val="000000"/>
          <w:sz w:val="22"/>
          <w:szCs w:val="22"/>
        </w:rPr>
        <w:t xml:space="preserve">, with timely provision of information to individuals and public health bodies, while creating a sense of trust and responsibility, and putting in place economic and social support for those in need, that increase participation in testing, contact tracing and adherence to isolation advice – and integrated care pathways at the community and facility level that manage both milder Covid-19 infections and allow other acute and chronic conditions to be rapidly and appropriately triaged and cared for in community as well as in health and long-term care facilities. </w:t>
      </w:r>
    </w:p>
    <w:p w14:paraId="50FF7332" w14:textId="77777777" w:rsidR="00474D86" w:rsidRDefault="00474D86" w:rsidP="008A062B">
      <w:pPr>
        <w:spacing w:line="480" w:lineRule="auto"/>
        <w:jc w:val="both"/>
        <w:rPr>
          <w:rFonts w:ascii="Arial" w:hAnsi="Arial" w:cs="Arial"/>
          <w:sz w:val="22"/>
          <w:szCs w:val="22"/>
        </w:rPr>
      </w:pPr>
    </w:p>
    <w:p w14:paraId="72F32020" w14:textId="77777777" w:rsidR="00474D86" w:rsidRPr="005B3E97" w:rsidRDefault="00474D86">
      <w:pPr>
        <w:rPr>
          <w:rFonts w:ascii="Arial" w:hAnsi="Arial" w:cs="Arial"/>
          <w:sz w:val="22"/>
          <w:szCs w:val="22"/>
        </w:rPr>
      </w:pPr>
      <w:r w:rsidRPr="005B3E97">
        <w:rPr>
          <w:rFonts w:ascii="Arial" w:hAnsi="Arial" w:cs="Arial"/>
          <w:sz w:val="22"/>
          <w:szCs w:val="22"/>
        </w:rPr>
        <w:br w:type="page"/>
      </w:r>
    </w:p>
    <w:p w14:paraId="74245918" w14:textId="77777777" w:rsidR="00474D86" w:rsidRPr="005B3E97" w:rsidRDefault="00474D86" w:rsidP="0099621B">
      <w:pPr>
        <w:spacing w:line="480" w:lineRule="auto"/>
        <w:jc w:val="both"/>
        <w:rPr>
          <w:rFonts w:ascii="Arial" w:hAnsi="Arial" w:cs="Arial"/>
          <w:sz w:val="22"/>
          <w:szCs w:val="22"/>
        </w:rPr>
      </w:pPr>
      <w:r w:rsidRPr="005B3E97">
        <w:rPr>
          <w:rFonts w:ascii="Arial" w:hAnsi="Arial" w:cs="Arial"/>
          <w:b/>
          <w:sz w:val="22"/>
          <w:szCs w:val="22"/>
        </w:rPr>
        <w:lastRenderedPageBreak/>
        <w:t>Fig. 1.</w:t>
      </w:r>
      <w:r w:rsidRPr="005B3E97">
        <w:rPr>
          <w:rFonts w:ascii="Arial" w:hAnsi="Arial" w:cs="Arial"/>
          <w:sz w:val="22"/>
          <w:szCs w:val="22"/>
        </w:rPr>
        <w:t xml:space="preserve"> </w:t>
      </w:r>
      <w:r w:rsidRPr="0027356E">
        <w:rPr>
          <w:rFonts w:ascii="Arial" w:hAnsi="Arial" w:cs="Arial"/>
          <w:sz w:val="22"/>
          <w:szCs w:val="22"/>
        </w:rPr>
        <w:t xml:space="preserve">Weekly number of deaths </w:t>
      </w:r>
      <w:r>
        <w:rPr>
          <w:rFonts w:ascii="Arial" w:hAnsi="Arial" w:cs="Arial"/>
          <w:sz w:val="22"/>
          <w:szCs w:val="22"/>
        </w:rPr>
        <w:t xml:space="preserve">from any cause </w:t>
      </w:r>
      <w:r w:rsidRPr="0027356E">
        <w:rPr>
          <w:rFonts w:ascii="Arial" w:hAnsi="Arial" w:cs="Arial"/>
          <w:sz w:val="22"/>
          <w:szCs w:val="22"/>
        </w:rPr>
        <w:t>from January 2020 through May 2020. The points show reported deaths</w:t>
      </w:r>
      <w:r>
        <w:rPr>
          <w:rFonts w:ascii="Arial" w:hAnsi="Arial" w:cs="Arial"/>
          <w:sz w:val="22"/>
          <w:szCs w:val="22"/>
        </w:rPr>
        <w:t xml:space="preserve"> (placed at the start of each week in this graph)</w:t>
      </w:r>
      <w:r w:rsidRPr="0027356E">
        <w:rPr>
          <w:rFonts w:ascii="Arial" w:hAnsi="Arial" w:cs="Arial"/>
          <w:sz w:val="22"/>
          <w:szCs w:val="22"/>
        </w:rPr>
        <w:t xml:space="preserve">. The </w:t>
      </w:r>
      <w:r>
        <w:rPr>
          <w:rFonts w:ascii="Arial" w:hAnsi="Arial" w:cs="Arial"/>
          <w:sz w:val="22"/>
          <w:szCs w:val="22"/>
        </w:rPr>
        <w:t>turquoise</w:t>
      </w:r>
      <w:r w:rsidRPr="0027356E">
        <w:rPr>
          <w:rFonts w:ascii="Arial" w:hAnsi="Arial" w:cs="Arial"/>
          <w:sz w:val="22"/>
          <w:szCs w:val="22"/>
        </w:rPr>
        <w:t xml:space="preserve">-shaded areas show the predictions of how many deaths would have been expected from </w:t>
      </w:r>
      <w:r>
        <w:rPr>
          <w:rFonts w:ascii="Arial" w:hAnsi="Arial" w:cs="Arial"/>
          <w:sz w:val="22"/>
          <w:szCs w:val="22"/>
        </w:rPr>
        <w:t>mid-February</w:t>
      </w:r>
      <w:r w:rsidRPr="0027356E">
        <w:rPr>
          <w:rFonts w:ascii="Arial" w:hAnsi="Arial" w:cs="Arial"/>
          <w:sz w:val="22"/>
          <w:szCs w:val="22"/>
        </w:rPr>
        <w:t xml:space="preserve"> had Covid-19 pandemic not taken place. The shading shows </w:t>
      </w:r>
      <w:r w:rsidRPr="005B3E97">
        <w:rPr>
          <w:rFonts w:ascii="Arial" w:hAnsi="Arial" w:cs="Arial"/>
          <w:sz w:val="22"/>
          <w:szCs w:val="22"/>
        </w:rPr>
        <w:t>the credible intervals around the median prediction, from 5% (dark) to 95% (light)</w:t>
      </w:r>
      <w:r>
        <w:rPr>
          <w:rFonts w:ascii="Arial" w:hAnsi="Arial" w:cs="Arial"/>
          <w:sz w:val="22"/>
          <w:szCs w:val="22"/>
        </w:rPr>
        <w:t xml:space="preserve"> in 10% increments</w:t>
      </w:r>
      <w:r w:rsidRPr="005B3E97">
        <w:rPr>
          <w:rFonts w:ascii="Arial" w:hAnsi="Arial" w:cs="Arial"/>
          <w:sz w:val="22"/>
          <w:szCs w:val="22"/>
        </w:rPr>
        <w:t>.</w:t>
      </w:r>
      <w:r>
        <w:rPr>
          <w:rFonts w:ascii="Arial" w:hAnsi="Arial" w:cs="Arial"/>
          <w:sz w:val="22"/>
          <w:szCs w:val="22"/>
        </w:rPr>
        <w:t xml:space="preserve"> </w:t>
      </w:r>
      <w:r w:rsidRPr="005B3E97">
        <w:rPr>
          <w:rFonts w:ascii="Arial" w:hAnsi="Arial" w:cs="Arial"/>
          <w:sz w:val="22"/>
          <w:szCs w:val="22"/>
        </w:rPr>
        <w:t xml:space="preserve">See Extended Data Fig. </w:t>
      </w:r>
      <w:r>
        <w:rPr>
          <w:rFonts w:ascii="Arial" w:hAnsi="Arial" w:cs="Arial"/>
          <w:sz w:val="22"/>
          <w:szCs w:val="22"/>
        </w:rPr>
        <w:t>1</w:t>
      </w:r>
      <w:r w:rsidRPr="005B3E97">
        <w:rPr>
          <w:rFonts w:ascii="Arial" w:hAnsi="Arial" w:cs="Arial"/>
          <w:sz w:val="22"/>
          <w:szCs w:val="22"/>
        </w:rPr>
        <w:t xml:space="preserve"> for results by age group.</w:t>
      </w:r>
    </w:p>
    <w:p w14:paraId="317AD618" w14:textId="77777777" w:rsidR="00474D86" w:rsidRPr="005B3E97" w:rsidRDefault="00474D86" w:rsidP="0099621B">
      <w:pPr>
        <w:spacing w:line="480" w:lineRule="auto"/>
        <w:jc w:val="both"/>
        <w:rPr>
          <w:rFonts w:ascii="Arial" w:hAnsi="Arial" w:cs="Arial"/>
          <w:sz w:val="22"/>
          <w:szCs w:val="22"/>
        </w:rPr>
      </w:pPr>
    </w:p>
    <w:p w14:paraId="5074319B" w14:textId="77777777" w:rsidR="00474D86" w:rsidRPr="005B3E97" w:rsidRDefault="00474D86" w:rsidP="0099621B">
      <w:pPr>
        <w:spacing w:line="480" w:lineRule="auto"/>
        <w:jc w:val="both"/>
        <w:rPr>
          <w:rFonts w:ascii="Arial" w:hAnsi="Arial" w:cs="Arial"/>
          <w:sz w:val="22"/>
          <w:szCs w:val="22"/>
        </w:rPr>
      </w:pPr>
    </w:p>
    <w:p w14:paraId="149FEDD0" w14:textId="77777777" w:rsidR="00474D86" w:rsidRPr="005B3E97" w:rsidRDefault="00474D86" w:rsidP="0099621B">
      <w:pPr>
        <w:spacing w:line="480" w:lineRule="auto"/>
        <w:jc w:val="both"/>
        <w:rPr>
          <w:rFonts w:ascii="Arial" w:hAnsi="Arial" w:cs="Arial"/>
          <w:sz w:val="22"/>
          <w:szCs w:val="22"/>
        </w:rPr>
      </w:pPr>
    </w:p>
    <w:p w14:paraId="56730A9F" w14:textId="77777777" w:rsidR="00474D86" w:rsidRPr="005B3E97" w:rsidRDefault="00474D86" w:rsidP="0099621B">
      <w:pPr>
        <w:spacing w:after="200" w:line="276" w:lineRule="auto"/>
        <w:rPr>
          <w:rFonts w:ascii="Arial" w:hAnsi="Arial" w:cs="Arial"/>
          <w:sz w:val="22"/>
          <w:szCs w:val="22"/>
        </w:rPr>
      </w:pPr>
      <w:r w:rsidRPr="005B3E97">
        <w:rPr>
          <w:rFonts w:ascii="Arial" w:hAnsi="Arial" w:cs="Arial"/>
          <w:sz w:val="22"/>
          <w:szCs w:val="22"/>
        </w:rPr>
        <w:br w:type="page"/>
      </w:r>
    </w:p>
    <w:p w14:paraId="166B493C" w14:textId="77777777" w:rsidR="00474D86" w:rsidRDefault="00474D86" w:rsidP="00CF4797">
      <w:pPr>
        <w:spacing w:line="480" w:lineRule="auto"/>
        <w:jc w:val="both"/>
        <w:rPr>
          <w:rFonts w:ascii="Arial" w:hAnsi="Arial" w:cs="Arial"/>
          <w:sz w:val="22"/>
          <w:szCs w:val="22"/>
        </w:rPr>
      </w:pPr>
      <w:bookmarkStart w:id="7" w:name="_Hlk44097539"/>
      <w:r w:rsidRPr="005B3E97">
        <w:rPr>
          <w:rFonts w:ascii="Arial" w:hAnsi="Arial" w:cs="Arial"/>
          <w:b/>
          <w:sz w:val="22"/>
          <w:szCs w:val="22"/>
        </w:rPr>
        <w:lastRenderedPageBreak/>
        <w:t xml:space="preserve">Fig. </w:t>
      </w:r>
      <w:r>
        <w:rPr>
          <w:rFonts w:ascii="Arial" w:hAnsi="Arial" w:cs="Arial"/>
          <w:b/>
          <w:sz w:val="22"/>
          <w:szCs w:val="22"/>
        </w:rPr>
        <w:t>2</w:t>
      </w:r>
      <w:r w:rsidRPr="005B3E97">
        <w:rPr>
          <w:rFonts w:ascii="Arial" w:hAnsi="Arial" w:cs="Arial"/>
          <w:b/>
          <w:sz w:val="22"/>
          <w:szCs w:val="22"/>
        </w:rPr>
        <w:t>.</w:t>
      </w:r>
      <w:r w:rsidRPr="005B3E97">
        <w:rPr>
          <w:rFonts w:ascii="Arial" w:hAnsi="Arial" w:cs="Arial"/>
          <w:sz w:val="22"/>
          <w:szCs w:val="22"/>
        </w:rPr>
        <w:t xml:space="preserve"> </w:t>
      </w:r>
      <w:r>
        <w:rPr>
          <w:rFonts w:ascii="Arial" w:hAnsi="Arial" w:cs="Arial"/>
          <w:sz w:val="22"/>
          <w:szCs w:val="22"/>
        </w:rPr>
        <w:t xml:space="preserve">(A) </w:t>
      </w:r>
      <w:r w:rsidRPr="005B3E97">
        <w:rPr>
          <w:rFonts w:ascii="Arial" w:hAnsi="Arial" w:cs="Arial"/>
          <w:sz w:val="22"/>
          <w:szCs w:val="22"/>
        </w:rPr>
        <w:t xml:space="preserve">Posterior distribution </w:t>
      </w:r>
      <w:r>
        <w:rPr>
          <w:rFonts w:ascii="Arial" w:hAnsi="Arial" w:cs="Arial"/>
          <w:sz w:val="22"/>
          <w:szCs w:val="22"/>
        </w:rPr>
        <w:t xml:space="preserve">of </w:t>
      </w:r>
      <w:r w:rsidRPr="005B3E97">
        <w:rPr>
          <w:rFonts w:ascii="Arial" w:hAnsi="Arial" w:cs="Arial"/>
          <w:sz w:val="22"/>
          <w:szCs w:val="22"/>
        </w:rPr>
        <w:t>excess deaths from any cause per 100,000 people</w:t>
      </w:r>
      <w:r>
        <w:rPr>
          <w:rFonts w:ascii="Arial" w:hAnsi="Arial" w:cs="Arial"/>
          <w:sz w:val="22"/>
          <w:szCs w:val="22"/>
        </w:rPr>
        <w:t xml:space="preserve"> </w:t>
      </w:r>
      <w:r w:rsidRPr="005B3E97">
        <w:rPr>
          <w:rFonts w:ascii="Arial" w:hAnsi="Arial" w:cs="Arial"/>
          <w:sz w:val="22"/>
          <w:szCs w:val="22"/>
        </w:rPr>
        <w:t>from mid-February to end of May 2020</w:t>
      </w:r>
      <w:r>
        <w:rPr>
          <w:rFonts w:ascii="Arial" w:hAnsi="Arial" w:cs="Arial"/>
          <w:sz w:val="22"/>
          <w:szCs w:val="22"/>
        </w:rPr>
        <w:t xml:space="preserve">. </w:t>
      </w:r>
      <w:r w:rsidRPr="005B3E97">
        <w:rPr>
          <w:rFonts w:ascii="Arial" w:hAnsi="Arial" w:cs="Arial"/>
          <w:sz w:val="22"/>
          <w:szCs w:val="22"/>
        </w:rPr>
        <w:t xml:space="preserve">Gold dots show the posterior medians. </w:t>
      </w:r>
      <w:r>
        <w:rPr>
          <w:rFonts w:ascii="Arial" w:hAnsi="Arial" w:cs="Arial"/>
          <w:sz w:val="22"/>
          <w:szCs w:val="22"/>
        </w:rPr>
        <w:t xml:space="preserve">(B) </w:t>
      </w:r>
      <w:r w:rsidRPr="00677C64">
        <w:rPr>
          <w:rFonts w:ascii="Arial" w:hAnsi="Arial" w:cs="Arial"/>
          <w:sz w:val="22"/>
          <w:szCs w:val="22"/>
        </w:rPr>
        <w:t>Probability distribution for the country’s rank.</w:t>
      </w:r>
      <w:r>
        <w:rPr>
          <w:rFonts w:ascii="Arial" w:hAnsi="Arial" w:cs="Arial"/>
          <w:sz w:val="22"/>
          <w:szCs w:val="22"/>
        </w:rPr>
        <w:t xml:space="preserve"> </w:t>
      </w:r>
      <w:r w:rsidRPr="005B3E97">
        <w:rPr>
          <w:rFonts w:ascii="Arial" w:hAnsi="Arial" w:cs="Arial"/>
          <w:sz w:val="22"/>
          <w:szCs w:val="22"/>
        </w:rPr>
        <w:t>Countries are ordered vertically by median increase from smallest (at the bottom) to the largest (at the top)</w:t>
      </w:r>
      <w:r>
        <w:rPr>
          <w:rFonts w:ascii="Arial" w:hAnsi="Arial" w:cs="Arial"/>
          <w:sz w:val="22"/>
          <w:szCs w:val="22"/>
        </w:rPr>
        <w:t xml:space="preserve"> in men</w:t>
      </w:r>
      <w:r w:rsidRPr="005B3E97">
        <w:rPr>
          <w:rFonts w:ascii="Arial" w:hAnsi="Arial" w:cs="Arial"/>
          <w:sz w:val="22"/>
          <w:szCs w:val="22"/>
        </w:rPr>
        <w:t xml:space="preserve">. See Extended Data Fig. </w:t>
      </w:r>
      <w:r>
        <w:rPr>
          <w:rFonts w:ascii="Arial" w:hAnsi="Arial" w:cs="Arial"/>
          <w:sz w:val="22"/>
          <w:szCs w:val="22"/>
        </w:rPr>
        <w:t>2</w:t>
      </w:r>
      <w:r w:rsidRPr="005B3E97">
        <w:rPr>
          <w:rFonts w:ascii="Arial" w:hAnsi="Arial" w:cs="Arial"/>
          <w:sz w:val="22"/>
          <w:szCs w:val="22"/>
        </w:rPr>
        <w:t xml:space="preserve"> for results by age group.</w:t>
      </w:r>
      <w:bookmarkEnd w:id="7"/>
    </w:p>
    <w:p w14:paraId="2CE5439D" w14:textId="77777777" w:rsidR="00474D86" w:rsidRDefault="00474D86" w:rsidP="00CF4797">
      <w:pPr>
        <w:spacing w:line="480" w:lineRule="auto"/>
        <w:jc w:val="both"/>
        <w:rPr>
          <w:rFonts w:ascii="Arial" w:hAnsi="Arial" w:cs="Arial"/>
          <w:sz w:val="22"/>
          <w:szCs w:val="22"/>
        </w:rPr>
      </w:pPr>
    </w:p>
    <w:p w14:paraId="725F9614" w14:textId="77777777" w:rsidR="00474D86" w:rsidRDefault="00474D86" w:rsidP="00CF4797">
      <w:pPr>
        <w:spacing w:line="480" w:lineRule="auto"/>
        <w:jc w:val="both"/>
        <w:rPr>
          <w:rFonts w:ascii="Arial" w:hAnsi="Arial" w:cs="Arial"/>
          <w:sz w:val="22"/>
          <w:szCs w:val="22"/>
        </w:rPr>
      </w:pPr>
      <w:r>
        <w:rPr>
          <w:rFonts w:ascii="Arial" w:hAnsi="Arial" w:cs="Arial"/>
          <w:sz w:val="22"/>
          <w:szCs w:val="22"/>
        </w:rPr>
        <w:t xml:space="preserve">In panel A, there is a relatively high posterior probability that excess deaths </w:t>
      </w:r>
      <w:r w:rsidRPr="005B3E97">
        <w:rPr>
          <w:rFonts w:ascii="Arial" w:hAnsi="Arial" w:cs="Arial"/>
          <w:sz w:val="22"/>
          <w:szCs w:val="22"/>
        </w:rPr>
        <w:t>per 100,000 people</w:t>
      </w:r>
      <w:r>
        <w:rPr>
          <w:rFonts w:ascii="Arial" w:hAnsi="Arial" w:cs="Arial"/>
          <w:sz w:val="22"/>
          <w:szCs w:val="22"/>
        </w:rPr>
        <w:t xml:space="preserve"> in each country is in the ranges shaded in dark purple, and a low posterior probability that it is in the ranges shaded in light green. For example, in England and Wales there is a high posterior probability that excess deaths per 100,000 men are from 90 to 110, a low posterior probability that they are &lt;80 or &gt;120. For women in the same country, there is a high posterior probability that excess deaths per 100,000 are from 70 to 90, and a low posterior probability that they are &lt;60 or &gt;120. For Australia, the uncertainty range around the median is narrower as indicated by the dark purple shading, with a high probability that excess deaths per 100,000 population are from -5 to 5 for men, and from -10 to 2 for women. In panel B, there is a relatively high posterior probability that each country ranks in the positions shaded in dark purple, and a low posterior probability that it ranks in the positions shaded in light green. For example, there is high probability that Sweden had the 15</w:t>
      </w:r>
      <w:r w:rsidRPr="00840CB5">
        <w:rPr>
          <w:rFonts w:ascii="Arial" w:hAnsi="Arial" w:cs="Arial"/>
          <w:sz w:val="22"/>
          <w:szCs w:val="22"/>
          <w:vertAlign w:val="superscript"/>
        </w:rPr>
        <w:t>th</w:t>
      </w:r>
      <w:r>
        <w:rPr>
          <w:rFonts w:ascii="Arial" w:hAnsi="Arial" w:cs="Arial"/>
          <w:sz w:val="22"/>
          <w:szCs w:val="22"/>
        </w:rPr>
        <w:t xml:space="preserve"> lowest excess death rate for men and 16</w:t>
      </w:r>
      <w:r w:rsidRPr="00840CB5">
        <w:rPr>
          <w:rFonts w:ascii="Arial" w:hAnsi="Arial" w:cs="Arial"/>
          <w:sz w:val="22"/>
          <w:szCs w:val="22"/>
          <w:vertAlign w:val="superscript"/>
        </w:rPr>
        <w:t>th</w:t>
      </w:r>
      <w:r>
        <w:rPr>
          <w:rFonts w:ascii="Arial" w:hAnsi="Arial" w:cs="Arial"/>
          <w:sz w:val="22"/>
          <w:szCs w:val="22"/>
        </w:rPr>
        <w:t xml:space="preserve"> lowest excess death rate for women. There is a low probability that its rank was lower than 14 or higher than 17 for men and lower than 13 or higher than 17 for women.  For Finland, there is a higher probability that men are ranked 8</w:t>
      </w:r>
      <w:r w:rsidRPr="00691281">
        <w:rPr>
          <w:rFonts w:ascii="Arial" w:hAnsi="Arial" w:cs="Arial"/>
          <w:sz w:val="22"/>
          <w:szCs w:val="22"/>
          <w:vertAlign w:val="superscript"/>
        </w:rPr>
        <w:t>th</w:t>
      </w:r>
      <w:r>
        <w:rPr>
          <w:rFonts w:ascii="Arial" w:hAnsi="Arial" w:cs="Arial"/>
          <w:sz w:val="22"/>
          <w:szCs w:val="22"/>
        </w:rPr>
        <w:t xml:space="preserve"> to 10</w:t>
      </w:r>
      <w:r w:rsidRPr="00691281">
        <w:rPr>
          <w:rFonts w:ascii="Arial" w:hAnsi="Arial" w:cs="Arial"/>
          <w:sz w:val="22"/>
          <w:szCs w:val="22"/>
          <w:vertAlign w:val="superscript"/>
        </w:rPr>
        <w:t>th</w:t>
      </w:r>
      <w:r>
        <w:rPr>
          <w:rFonts w:ascii="Arial" w:hAnsi="Arial" w:cs="Arial"/>
          <w:sz w:val="22"/>
          <w:szCs w:val="22"/>
        </w:rPr>
        <w:t>, with a lower probability that the rank is 5-7 or 11-12, and very low probability that it is smaller than 5 or higher than 13. Women in Finland occupy ranks 10-12 with higher probability, ranks 7-9 or 13 with lower probability and have very low probability of ranking 6</w:t>
      </w:r>
      <w:r w:rsidRPr="00691281">
        <w:rPr>
          <w:rFonts w:ascii="Arial" w:hAnsi="Arial" w:cs="Arial"/>
          <w:sz w:val="22"/>
          <w:szCs w:val="22"/>
          <w:vertAlign w:val="superscript"/>
        </w:rPr>
        <w:t>th</w:t>
      </w:r>
      <w:r>
        <w:rPr>
          <w:rFonts w:ascii="Arial" w:hAnsi="Arial" w:cs="Arial"/>
          <w:sz w:val="22"/>
          <w:szCs w:val="22"/>
        </w:rPr>
        <w:t xml:space="preserve"> or less, or 14</w:t>
      </w:r>
      <w:r w:rsidRPr="00691281">
        <w:rPr>
          <w:rFonts w:ascii="Arial" w:hAnsi="Arial" w:cs="Arial"/>
          <w:sz w:val="22"/>
          <w:szCs w:val="22"/>
          <w:vertAlign w:val="superscript"/>
        </w:rPr>
        <w:t>th</w:t>
      </w:r>
      <w:r>
        <w:rPr>
          <w:rFonts w:ascii="Arial" w:hAnsi="Arial" w:cs="Arial"/>
          <w:sz w:val="22"/>
          <w:szCs w:val="22"/>
        </w:rPr>
        <w:t xml:space="preserve"> or higher.</w:t>
      </w:r>
    </w:p>
    <w:p w14:paraId="580D785F" w14:textId="77777777" w:rsidR="00474D86" w:rsidRDefault="00474D86">
      <w:pPr>
        <w:spacing w:after="200" w:line="276" w:lineRule="auto"/>
        <w:rPr>
          <w:rFonts w:ascii="Arial" w:hAnsi="Arial" w:cs="Arial"/>
          <w:sz w:val="22"/>
          <w:szCs w:val="22"/>
        </w:rPr>
      </w:pPr>
      <w:r>
        <w:rPr>
          <w:rFonts w:ascii="Arial" w:hAnsi="Arial" w:cs="Arial"/>
          <w:sz w:val="22"/>
          <w:szCs w:val="22"/>
        </w:rPr>
        <w:br w:type="page"/>
      </w:r>
    </w:p>
    <w:p w14:paraId="17CFBF23" w14:textId="77777777" w:rsidR="00474D86" w:rsidRPr="005B3E97" w:rsidRDefault="00474D86" w:rsidP="00677C64">
      <w:pPr>
        <w:spacing w:line="480" w:lineRule="auto"/>
        <w:jc w:val="both"/>
        <w:rPr>
          <w:rFonts w:ascii="Arial" w:hAnsi="Arial" w:cs="Arial"/>
          <w:sz w:val="22"/>
          <w:szCs w:val="22"/>
        </w:rPr>
      </w:pPr>
      <w:r w:rsidRPr="005B3E97">
        <w:rPr>
          <w:rFonts w:ascii="Arial" w:hAnsi="Arial" w:cs="Arial"/>
          <w:b/>
          <w:sz w:val="22"/>
          <w:szCs w:val="22"/>
        </w:rPr>
        <w:lastRenderedPageBreak/>
        <w:t xml:space="preserve">Fig. </w:t>
      </w:r>
      <w:r>
        <w:rPr>
          <w:rFonts w:ascii="Arial" w:hAnsi="Arial" w:cs="Arial"/>
          <w:b/>
          <w:sz w:val="22"/>
          <w:szCs w:val="22"/>
        </w:rPr>
        <w:t>3</w:t>
      </w:r>
      <w:r w:rsidRPr="005B3E97">
        <w:rPr>
          <w:rFonts w:ascii="Arial" w:hAnsi="Arial" w:cs="Arial"/>
          <w:b/>
          <w:sz w:val="22"/>
          <w:szCs w:val="22"/>
        </w:rPr>
        <w:t>.</w:t>
      </w:r>
      <w:r w:rsidRPr="005B3E97">
        <w:rPr>
          <w:rFonts w:ascii="Arial" w:hAnsi="Arial" w:cs="Arial"/>
          <w:sz w:val="22"/>
          <w:szCs w:val="22"/>
        </w:rPr>
        <w:t xml:space="preserve"> </w:t>
      </w:r>
      <w:r>
        <w:rPr>
          <w:rFonts w:ascii="Arial" w:hAnsi="Arial" w:cs="Arial"/>
          <w:sz w:val="22"/>
          <w:szCs w:val="22"/>
        </w:rPr>
        <w:t xml:space="preserve">(A) </w:t>
      </w:r>
      <w:r w:rsidRPr="005B3E97">
        <w:rPr>
          <w:rFonts w:ascii="Arial" w:hAnsi="Arial" w:cs="Arial"/>
          <w:sz w:val="22"/>
          <w:szCs w:val="22"/>
        </w:rPr>
        <w:t xml:space="preserve">Posterior distribution </w:t>
      </w:r>
      <w:r>
        <w:rPr>
          <w:rFonts w:ascii="Arial" w:hAnsi="Arial" w:cs="Arial"/>
          <w:sz w:val="22"/>
          <w:szCs w:val="22"/>
        </w:rPr>
        <w:t xml:space="preserve">of </w:t>
      </w:r>
      <w:r w:rsidRPr="005B3E97">
        <w:rPr>
          <w:rFonts w:ascii="Arial" w:hAnsi="Arial" w:cs="Arial"/>
          <w:sz w:val="22"/>
          <w:szCs w:val="22"/>
        </w:rPr>
        <w:t>percent increase in deaths from any cause from mid-February to end of May 2020</w:t>
      </w:r>
      <w:r>
        <w:rPr>
          <w:rFonts w:ascii="Arial" w:hAnsi="Arial" w:cs="Arial"/>
          <w:sz w:val="22"/>
          <w:szCs w:val="22"/>
        </w:rPr>
        <w:t xml:space="preserve">. </w:t>
      </w:r>
      <w:r w:rsidRPr="005B3E97">
        <w:rPr>
          <w:rFonts w:ascii="Arial" w:hAnsi="Arial" w:cs="Arial"/>
          <w:sz w:val="22"/>
          <w:szCs w:val="22"/>
        </w:rPr>
        <w:t xml:space="preserve">Gold dots show the posterior medians. </w:t>
      </w:r>
      <w:r>
        <w:rPr>
          <w:rFonts w:ascii="Arial" w:hAnsi="Arial" w:cs="Arial"/>
          <w:sz w:val="22"/>
          <w:szCs w:val="22"/>
        </w:rPr>
        <w:t xml:space="preserve">(B) </w:t>
      </w:r>
      <w:r w:rsidRPr="00677C64">
        <w:rPr>
          <w:rFonts w:ascii="Arial" w:hAnsi="Arial" w:cs="Arial"/>
          <w:sz w:val="22"/>
          <w:szCs w:val="22"/>
        </w:rPr>
        <w:t>Probability distribution for the country’s rank.</w:t>
      </w:r>
      <w:r>
        <w:rPr>
          <w:rFonts w:ascii="Arial" w:hAnsi="Arial" w:cs="Arial"/>
          <w:sz w:val="22"/>
          <w:szCs w:val="22"/>
        </w:rPr>
        <w:t xml:space="preserve"> </w:t>
      </w:r>
      <w:r w:rsidRPr="005B3E97">
        <w:rPr>
          <w:rFonts w:ascii="Arial" w:hAnsi="Arial" w:cs="Arial"/>
          <w:sz w:val="22"/>
          <w:szCs w:val="22"/>
        </w:rPr>
        <w:t>Countries are ordered vertically by median increase from smallest (at the bottom) to the largest (at the top)</w:t>
      </w:r>
      <w:r>
        <w:rPr>
          <w:rFonts w:ascii="Arial" w:hAnsi="Arial" w:cs="Arial"/>
          <w:sz w:val="22"/>
          <w:szCs w:val="22"/>
        </w:rPr>
        <w:t xml:space="preserve"> in men</w:t>
      </w:r>
      <w:r w:rsidRPr="005B3E97">
        <w:rPr>
          <w:rFonts w:ascii="Arial" w:hAnsi="Arial" w:cs="Arial"/>
          <w:sz w:val="22"/>
          <w:szCs w:val="22"/>
        </w:rPr>
        <w:t xml:space="preserve">. See Extended Data Fig. </w:t>
      </w:r>
      <w:r>
        <w:rPr>
          <w:rFonts w:ascii="Arial" w:hAnsi="Arial" w:cs="Arial"/>
          <w:sz w:val="22"/>
          <w:szCs w:val="22"/>
        </w:rPr>
        <w:t>3</w:t>
      </w:r>
      <w:r w:rsidRPr="005B3E97">
        <w:rPr>
          <w:rFonts w:ascii="Arial" w:hAnsi="Arial" w:cs="Arial"/>
          <w:sz w:val="22"/>
          <w:szCs w:val="22"/>
        </w:rPr>
        <w:t xml:space="preserve"> for results by age group.</w:t>
      </w:r>
      <w:r>
        <w:rPr>
          <w:rFonts w:ascii="Arial" w:hAnsi="Arial" w:cs="Arial"/>
          <w:sz w:val="22"/>
          <w:szCs w:val="22"/>
        </w:rPr>
        <w:t xml:space="preserve"> See Fig 2. for how the shadings in the two panels should be interpreted. </w:t>
      </w:r>
    </w:p>
    <w:p w14:paraId="17E46767" w14:textId="77777777" w:rsidR="00474D86" w:rsidRPr="005B3E97" w:rsidRDefault="00474D86" w:rsidP="003E3668">
      <w:pPr>
        <w:spacing w:line="480" w:lineRule="auto"/>
        <w:jc w:val="both"/>
        <w:rPr>
          <w:rFonts w:ascii="Arial" w:hAnsi="Arial" w:cs="Arial"/>
          <w:sz w:val="22"/>
          <w:szCs w:val="22"/>
        </w:rPr>
      </w:pPr>
    </w:p>
    <w:p w14:paraId="305F8B0C" w14:textId="77777777" w:rsidR="00474D86" w:rsidRPr="005B3E97" w:rsidRDefault="00474D86" w:rsidP="00C13182">
      <w:pPr>
        <w:spacing w:line="480" w:lineRule="auto"/>
        <w:jc w:val="both"/>
        <w:rPr>
          <w:rFonts w:ascii="Arial" w:hAnsi="Arial" w:cs="Arial"/>
          <w:sz w:val="22"/>
          <w:szCs w:val="22"/>
        </w:rPr>
      </w:pPr>
    </w:p>
    <w:p w14:paraId="5C6620C7" w14:textId="77777777" w:rsidR="00474D86" w:rsidRPr="005B3E97" w:rsidRDefault="00474D86">
      <w:pPr>
        <w:spacing w:after="200" w:line="276" w:lineRule="auto"/>
        <w:rPr>
          <w:rFonts w:ascii="Arial" w:hAnsi="Arial" w:cs="Arial"/>
          <w:sz w:val="22"/>
          <w:szCs w:val="22"/>
        </w:rPr>
      </w:pPr>
      <w:r w:rsidRPr="005B3E97">
        <w:rPr>
          <w:rFonts w:ascii="Arial" w:hAnsi="Arial" w:cs="Arial"/>
          <w:sz w:val="22"/>
          <w:szCs w:val="22"/>
        </w:rPr>
        <w:br w:type="page"/>
      </w:r>
    </w:p>
    <w:p w14:paraId="55044ED4" w14:textId="77777777" w:rsidR="00474D86" w:rsidRPr="005B3E97" w:rsidRDefault="00474D86" w:rsidP="00CF1106">
      <w:pPr>
        <w:spacing w:line="480" w:lineRule="auto"/>
        <w:jc w:val="both"/>
        <w:rPr>
          <w:rFonts w:ascii="Arial" w:hAnsi="Arial" w:cs="Arial"/>
          <w:sz w:val="22"/>
          <w:szCs w:val="22"/>
        </w:rPr>
      </w:pPr>
      <w:r w:rsidRPr="005B3E97">
        <w:rPr>
          <w:rFonts w:ascii="Arial" w:hAnsi="Arial" w:cs="Arial"/>
          <w:b/>
          <w:sz w:val="22"/>
          <w:szCs w:val="22"/>
        </w:rPr>
        <w:lastRenderedPageBreak/>
        <w:t xml:space="preserve">Fig. </w:t>
      </w:r>
      <w:r>
        <w:rPr>
          <w:rFonts w:ascii="Arial" w:hAnsi="Arial" w:cs="Arial"/>
          <w:b/>
          <w:sz w:val="22"/>
          <w:szCs w:val="22"/>
        </w:rPr>
        <w:t>4</w:t>
      </w:r>
      <w:r w:rsidRPr="005B3E97">
        <w:rPr>
          <w:rFonts w:ascii="Arial" w:hAnsi="Arial" w:cs="Arial"/>
          <w:b/>
          <w:sz w:val="22"/>
          <w:szCs w:val="22"/>
        </w:rPr>
        <w:t>.</w:t>
      </w:r>
      <w:r w:rsidRPr="005B3E97">
        <w:rPr>
          <w:rFonts w:ascii="Arial" w:hAnsi="Arial" w:cs="Arial"/>
          <w:sz w:val="22"/>
          <w:szCs w:val="22"/>
        </w:rPr>
        <w:t xml:space="preserve"> Weekly percent increase in mortality </w:t>
      </w:r>
      <w:r>
        <w:rPr>
          <w:rFonts w:ascii="Arial" w:hAnsi="Arial" w:cs="Arial"/>
          <w:sz w:val="22"/>
          <w:szCs w:val="22"/>
        </w:rPr>
        <w:t xml:space="preserve">from any cause </w:t>
      </w:r>
      <w:r w:rsidRPr="005B3E97">
        <w:rPr>
          <w:rFonts w:ascii="Arial" w:hAnsi="Arial" w:cs="Arial"/>
          <w:sz w:val="22"/>
          <w:szCs w:val="22"/>
        </w:rPr>
        <w:t xml:space="preserve">as a result of the Covid-19 pandemic by country. The </w:t>
      </w:r>
      <w:r>
        <w:rPr>
          <w:rFonts w:ascii="Arial" w:hAnsi="Arial" w:cs="Arial"/>
          <w:sz w:val="22"/>
          <w:szCs w:val="22"/>
        </w:rPr>
        <w:t>turquoise</w:t>
      </w:r>
      <w:r w:rsidRPr="005B3E97">
        <w:rPr>
          <w:rFonts w:ascii="Arial" w:hAnsi="Arial" w:cs="Arial"/>
          <w:sz w:val="22"/>
          <w:szCs w:val="22"/>
        </w:rPr>
        <w:t xml:space="preserve"> shading </w:t>
      </w:r>
      <w:r>
        <w:rPr>
          <w:rFonts w:ascii="Arial" w:hAnsi="Arial" w:cs="Arial"/>
          <w:sz w:val="22"/>
          <w:szCs w:val="22"/>
        </w:rPr>
        <w:t xml:space="preserve">(placed at the start of each week) </w:t>
      </w:r>
      <w:r w:rsidRPr="005B3E97">
        <w:rPr>
          <w:rFonts w:ascii="Arial" w:hAnsi="Arial" w:cs="Arial"/>
          <w:sz w:val="22"/>
          <w:szCs w:val="22"/>
        </w:rPr>
        <w:t>shows the credible intervals around the median prediction, from 5% (dark) to 95% (light)</w:t>
      </w:r>
      <w:r>
        <w:rPr>
          <w:rFonts w:ascii="Arial" w:hAnsi="Arial" w:cs="Arial"/>
          <w:sz w:val="22"/>
          <w:szCs w:val="22"/>
        </w:rPr>
        <w:t xml:space="preserve"> in 10% increments</w:t>
      </w:r>
      <w:r w:rsidRPr="005B3E97">
        <w:rPr>
          <w:rFonts w:ascii="Arial" w:hAnsi="Arial" w:cs="Arial"/>
          <w:sz w:val="22"/>
          <w:szCs w:val="22"/>
        </w:rPr>
        <w:t xml:space="preserve">. </w:t>
      </w:r>
      <w:r>
        <w:rPr>
          <w:rFonts w:ascii="Arial" w:hAnsi="Arial" w:cs="Arial"/>
          <w:sz w:val="22"/>
          <w:szCs w:val="22"/>
        </w:rPr>
        <w:t xml:space="preserve">The background shading indicates the magnitude of the weekly increase that was detectable with a posterior probability of at least 90%. </w:t>
      </w:r>
      <w:r w:rsidRPr="005B3E97">
        <w:rPr>
          <w:rFonts w:ascii="Arial" w:hAnsi="Arial" w:cs="Arial"/>
          <w:sz w:val="22"/>
          <w:szCs w:val="22"/>
        </w:rPr>
        <w:t xml:space="preserve">See Extended Data Fig. </w:t>
      </w:r>
      <w:r>
        <w:rPr>
          <w:rFonts w:ascii="Arial" w:hAnsi="Arial" w:cs="Arial"/>
          <w:sz w:val="22"/>
          <w:szCs w:val="22"/>
        </w:rPr>
        <w:t>4</w:t>
      </w:r>
      <w:r w:rsidRPr="005B3E97">
        <w:rPr>
          <w:rFonts w:ascii="Arial" w:hAnsi="Arial" w:cs="Arial"/>
          <w:sz w:val="22"/>
          <w:szCs w:val="22"/>
        </w:rPr>
        <w:t xml:space="preserve"> for </w:t>
      </w:r>
      <w:r>
        <w:rPr>
          <w:rFonts w:ascii="Arial" w:hAnsi="Arial" w:cs="Arial"/>
          <w:sz w:val="22"/>
          <w:szCs w:val="22"/>
        </w:rPr>
        <w:t xml:space="preserve">results </w:t>
      </w:r>
      <w:r w:rsidRPr="005B3E97">
        <w:rPr>
          <w:rFonts w:ascii="Arial" w:hAnsi="Arial" w:cs="Arial"/>
          <w:sz w:val="22"/>
          <w:szCs w:val="22"/>
        </w:rPr>
        <w:t>by age group</w:t>
      </w:r>
      <w:r>
        <w:rPr>
          <w:rFonts w:ascii="Arial" w:hAnsi="Arial" w:cs="Arial"/>
          <w:sz w:val="22"/>
          <w:szCs w:val="22"/>
        </w:rPr>
        <w:t>.</w:t>
      </w:r>
    </w:p>
    <w:p w14:paraId="2151015F" w14:textId="77777777" w:rsidR="00474D86" w:rsidRPr="005B3E97" w:rsidRDefault="00474D86" w:rsidP="00C13182">
      <w:pPr>
        <w:spacing w:line="480" w:lineRule="auto"/>
        <w:jc w:val="both"/>
        <w:rPr>
          <w:rFonts w:ascii="Arial" w:hAnsi="Arial" w:cs="Arial"/>
          <w:sz w:val="22"/>
          <w:szCs w:val="22"/>
        </w:rPr>
      </w:pPr>
    </w:p>
    <w:p w14:paraId="3BAE51A2" w14:textId="77777777" w:rsidR="00474D86" w:rsidRPr="005B3E97" w:rsidRDefault="00474D86">
      <w:pPr>
        <w:spacing w:after="200" w:line="276" w:lineRule="auto"/>
        <w:rPr>
          <w:rFonts w:ascii="Arial" w:hAnsi="Arial" w:cs="Arial"/>
          <w:sz w:val="22"/>
          <w:szCs w:val="22"/>
        </w:rPr>
      </w:pPr>
      <w:r w:rsidRPr="005B3E97">
        <w:rPr>
          <w:rFonts w:ascii="Arial" w:hAnsi="Arial" w:cs="Arial"/>
          <w:sz w:val="22"/>
          <w:szCs w:val="22"/>
        </w:rPr>
        <w:br w:type="page"/>
      </w:r>
    </w:p>
    <w:p w14:paraId="297E8F91" w14:textId="77777777" w:rsidR="00474D86" w:rsidRPr="005B3E97" w:rsidRDefault="00474D86" w:rsidP="008D438C">
      <w:pPr>
        <w:spacing w:line="480" w:lineRule="auto"/>
        <w:jc w:val="both"/>
        <w:rPr>
          <w:rFonts w:ascii="Arial" w:hAnsi="Arial" w:cs="Arial"/>
          <w:sz w:val="22"/>
          <w:szCs w:val="22"/>
        </w:rPr>
      </w:pPr>
      <w:r w:rsidRPr="005B3E97">
        <w:rPr>
          <w:rFonts w:ascii="Arial" w:hAnsi="Arial" w:cs="Arial"/>
          <w:b/>
          <w:sz w:val="22"/>
          <w:szCs w:val="22"/>
        </w:rPr>
        <w:lastRenderedPageBreak/>
        <w:t xml:space="preserve">Fig. </w:t>
      </w:r>
      <w:r>
        <w:rPr>
          <w:rFonts w:ascii="Arial" w:hAnsi="Arial" w:cs="Arial"/>
          <w:b/>
          <w:sz w:val="22"/>
          <w:szCs w:val="22"/>
        </w:rPr>
        <w:t>5</w:t>
      </w:r>
      <w:r w:rsidRPr="005B3E97">
        <w:rPr>
          <w:rFonts w:ascii="Arial" w:hAnsi="Arial" w:cs="Arial"/>
          <w:b/>
          <w:sz w:val="22"/>
          <w:szCs w:val="22"/>
        </w:rPr>
        <w:t>.</w:t>
      </w:r>
      <w:r w:rsidRPr="005B3E97">
        <w:rPr>
          <w:rFonts w:ascii="Arial" w:hAnsi="Arial" w:cs="Arial"/>
          <w:sz w:val="22"/>
          <w:szCs w:val="22"/>
        </w:rPr>
        <w:t xml:space="preserve"> Comparison of percent increase in deaths </w:t>
      </w:r>
      <w:r>
        <w:rPr>
          <w:rFonts w:ascii="Arial" w:hAnsi="Arial" w:cs="Arial"/>
          <w:sz w:val="22"/>
          <w:szCs w:val="22"/>
        </w:rPr>
        <w:t xml:space="preserve">from any cause </w:t>
      </w:r>
      <w:r w:rsidRPr="005B3E97">
        <w:rPr>
          <w:rFonts w:ascii="Arial" w:hAnsi="Arial" w:cs="Arial"/>
          <w:sz w:val="22"/>
          <w:szCs w:val="22"/>
        </w:rPr>
        <w:t>as a result of the Covid-19 pandemic between men and women, for all ages and by age group.</w:t>
      </w:r>
    </w:p>
    <w:p w14:paraId="77566DBD" w14:textId="77777777" w:rsidR="00474D86" w:rsidRPr="005B3E97" w:rsidRDefault="00474D86" w:rsidP="008D438C">
      <w:pPr>
        <w:spacing w:line="480" w:lineRule="auto"/>
        <w:jc w:val="both"/>
        <w:rPr>
          <w:rFonts w:ascii="Arial" w:hAnsi="Arial" w:cs="Arial"/>
          <w:sz w:val="22"/>
          <w:szCs w:val="22"/>
        </w:rPr>
      </w:pPr>
    </w:p>
    <w:p w14:paraId="49BCD11D" w14:textId="77777777" w:rsidR="00474D86" w:rsidRPr="005B3E97" w:rsidRDefault="00474D86" w:rsidP="00DC5358">
      <w:pPr>
        <w:spacing w:line="480" w:lineRule="auto"/>
        <w:jc w:val="both"/>
        <w:rPr>
          <w:rFonts w:ascii="Arial" w:hAnsi="Arial" w:cs="Arial"/>
          <w:sz w:val="22"/>
          <w:szCs w:val="22"/>
        </w:rPr>
      </w:pPr>
    </w:p>
    <w:p w14:paraId="6BAF1D46" w14:textId="77777777" w:rsidR="00474D86" w:rsidRDefault="00474D86">
      <w:pPr>
        <w:spacing w:after="200" w:line="276" w:lineRule="auto"/>
        <w:rPr>
          <w:rFonts w:ascii="Arial" w:hAnsi="Arial" w:cs="Arial"/>
          <w:sz w:val="22"/>
          <w:szCs w:val="22"/>
        </w:rPr>
      </w:pPr>
      <w:r>
        <w:rPr>
          <w:rFonts w:ascii="Arial" w:hAnsi="Arial" w:cs="Arial"/>
          <w:sz w:val="22"/>
          <w:szCs w:val="22"/>
        </w:rPr>
        <w:br w:type="page"/>
      </w:r>
    </w:p>
    <w:p w14:paraId="3802FB2B" w14:textId="77777777" w:rsidR="00474D86" w:rsidRDefault="00474D86" w:rsidP="000D0D91">
      <w:pPr>
        <w:spacing w:line="480" w:lineRule="auto"/>
        <w:jc w:val="both"/>
        <w:rPr>
          <w:rFonts w:ascii="Arial" w:hAnsi="Arial" w:cs="Arial"/>
          <w:sz w:val="22"/>
          <w:szCs w:val="22"/>
          <w:highlight w:val="cyan"/>
        </w:rPr>
      </w:pPr>
      <w:r w:rsidRPr="00263770">
        <w:rPr>
          <w:rFonts w:ascii="Arial" w:hAnsi="Arial" w:cs="Arial"/>
          <w:b/>
          <w:bCs/>
          <w:sz w:val="22"/>
          <w:szCs w:val="22"/>
        </w:rPr>
        <w:lastRenderedPageBreak/>
        <w:t>Extended Data Table 1.</w:t>
      </w:r>
      <w:r w:rsidRPr="004072C8">
        <w:rPr>
          <w:rFonts w:ascii="Arial" w:hAnsi="Arial" w:cs="Arial"/>
          <w:sz w:val="22"/>
          <w:szCs w:val="22"/>
        </w:rPr>
        <w:t xml:space="preserve"> </w:t>
      </w:r>
      <w:r>
        <w:rPr>
          <w:rFonts w:ascii="Arial" w:hAnsi="Arial" w:cs="Arial"/>
          <w:sz w:val="22"/>
          <w:szCs w:val="22"/>
        </w:rPr>
        <w:t>Number of</w:t>
      </w:r>
      <w:r w:rsidRPr="004072C8">
        <w:rPr>
          <w:rFonts w:ascii="Arial" w:hAnsi="Arial" w:cs="Arial"/>
          <w:sz w:val="22"/>
          <w:szCs w:val="22"/>
        </w:rPr>
        <w:t xml:space="preserve"> excess </w:t>
      </w:r>
      <w:r>
        <w:rPr>
          <w:rFonts w:ascii="Arial" w:hAnsi="Arial" w:cs="Arial"/>
          <w:sz w:val="22"/>
          <w:szCs w:val="22"/>
        </w:rPr>
        <w:t xml:space="preserve">deaths from any cause and deaths assigned to Covid-19 </w:t>
      </w:r>
      <w:r w:rsidRPr="004072C8">
        <w:rPr>
          <w:rFonts w:ascii="Arial" w:hAnsi="Arial" w:cs="Arial"/>
          <w:sz w:val="22"/>
          <w:szCs w:val="22"/>
        </w:rPr>
        <w:t>due from mid-February to end of May 2020, by country.</w:t>
      </w:r>
      <w:r>
        <w:rPr>
          <w:rFonts w:ascii="Arial" w:hAnsi="Arial" w:cs="Arial"/>
          <w:sz w:val="22"/>
          <w:szCs w:val="22"/>
        </w:rPr>
        <w:t xml:space="preserve"> </w:t>
      </w:r>
    </w:p>
    <w:p w14:paraId="656A7A75" w14:textId="77777777" w:rsidR="00474D86" w:rsidRPr="007B7541" w:rsidRDefault="00474D86" w:rsidP="003179EE">
      <w:pPr>
        <w:rPr>
          <w:rFonts w:ascii="Arial" w:hAnsi="Arial" w:cs="Arial"/>
          <w:sz w:val="22"/>
          <w:szCs w:val="22"/>
        </w:rPr>
      </w:pPr>
    </w:p>
    <w:p w14:paraId="40E8D28A" w14:textId="77777777" w:rsidR="00474D86" w:rsidRPr="007B7541" w:rsidRDefault="00474D86" w:rsidP="003179EE">
      <w:pPr>
        <w:rPr>
          <w:rFonts w:ascii="Arial" w:hAnsi="Arial" w:cs="Arial"/>
          <w:sz w:val="22"/>
          <w:szCs w:val="22"/>
        </w:rPr>
      </w:pPr>
    </w:p>
    <w:tbl>
      <w:tblPr>
        <w:tblStyle w:val="TableGrid"/>
        <w:tblW w:w="10345" w:type="dxa"/>
        <w:tblLook w:val="04A0" w:firstRow="1" w:lastRow="0" w:firstColumn="1" w:lastColumn="0" w:noHBand="0" w:noVBand="1"/>
      </w:tblPr>
      <w:tblGrid>
        <w:gridCol w:w="1615"/>
        <w:gridCol w:w="2430"/>
        <w:gridCol w:w="2430"/>
        <w:gridCol w:w="2340"/>
        <w:gridCol w:w="1530"/>
      </w:tblGrid>
      <w:tr w:rsidR="00474D86" w:rsidRPr="007B7541" w14:paraId="2511FC53" w14:textId="77777777" w:rsidTr="000863A6">
        <w:tc>
          <w:tcPr>
            <w:tcW w:w="1615" w:type="dxa"/>
            <w:vMerge w:val="restart"/>
          </w:tcPr>
          <w:p w14:paraId="3EE1D186" w14:textId="77777777" w:rsidR="00474D86" w:rsidRPr="006A3150" w:rsidRDefault="00474D86" w:rsidP="008617DD">
            <w:pPr>
              <w:spacing w:line="360" w:lineRule="auto"/>
              <w:rPr>
                <w:rFonts w:ascii="Arial" w:hAnsi="Arial" w:cs="Arial"/>
                <w:sz w:val="18"/>
                <w:szCs w:val="18"/>
              </w:rPr>
            </w:pPr>
          </w:p>
        </w:tc>
        <w:tc>
          <w:tcPr>
            <w:tcW w:w="7200" w:type="dxa"/>
            <w:gridSpan w:val="3"/>
          </w:tcPr>
          <w:p w14:paraId="782FCFE7"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sz w:val="18"/>
                <w:szCs w:val="18"/>
              </w:rPr>
              <w:t>Number of excess deaths (95% credible interval)</w:t>
            </w:r>
          </w:p>
        </w:tc>
        <w:tc>
          <w:tcPr>
            <w:tcW w:w="1530" w:type="dxa"/>
          </w:tcPr>
          <w:p w14:paraId="5D47C308"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sz w:val="18"/>
                <w:szCs w:val="18"/>
              </w:rPr>
              <w:t>Number of deaths assigned to Covid-19 as underlying cause</w:t>
            </w:r>
            <w:r w:rsidRPr="006A3150">
              <w:rPr>
                <w:rFonts w:ascii="Arial" w:hAnsi="Arial" w:cs="Arial"/>
                <w:sz w:val="18"/>
                <w:szCs w:val="18"/>
                <w:vertAlign w:val="superscript"/>
              </w:rPr>
              <w:t>1</w:t>
            </w:r>
          </w:p>
        </w:tc>
      </w:tr>
      <w:tr w:rsidR="00474D86" w:rsidRPr="007B7541" w14:paraId="0C71886F" w14:textId="77777777" w:rsidTr="000863A6">
        <w:tc>
          <w:tcPr>
            <w:tcW w:w="1615" w:type="dxa"/>
            <w:vMerge/>
          </w:tcPr>
          <w:p w14:paraId="3E09BDA4" w14:textId="77777777" w:rsidR="00474D86" w:rsidRPr="006A3150" w:rsidRDefault="00474D86" w:rsidP="008617DD">
            <w:pPr>
              <w:spacing w:line="360" w:lineRule="auto"/>
              <w:rPr>
                <w:rFonts w:ascii="Arial" w:hAnsi="Arial" w:cs="Arial"/>
                <w:sz w:val="18"/>
                <w:szCs w:val="18"/>
              </w:rPr>
            </w:pPr>
          </w:p>
        </w:tc>
        <w:tc>
          <w:tcPr>
            <w:tcW w:w="2430" w:type="dxa"/>
          </w:tcPr>
          <w:p w14:paraId="16BD0CFB"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sz w:val="18"/>
                <w:szCs w:val="18"/>
              </w:rPr>
              <w:t>Women</w:t>
            </w:r>
          </w:p>
        </w:tc>
        <w:tc>
          <w:tcPr>
            <w:tcW w:w="2430" w:type="dxa"/>
          </w:tcPr>
          <w:p w14:paraId="6DA7A8D6"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sz w:val="18"/>
                <w:szCs w:val="18"/>
              </w:rPr>
              <w:t>Men</w:t>
            </w:r>
          </w:p>
        </w:tc>
        <w:tc>
          <w:tcPr>
            <w:tcW w:w="2340" w:type="dxa"/>
          </w:tcPr>
          <w:p w14:paraId="540507A9"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sz w:val="18"/>
                <w:szCs w:val="18"/>
              </w:rPr>
              <w:t>Both sexes</w:t>
            </w:r>
          </w:p>
        </w:tc>
        <w:tc>
          <w:tcPr>
            <w:tcW w:w="1530" w:type="dxa"/>
          </w:tcPr>
          <w:p w14:paraId="6003CA37" w14:textId="77777777" w:rsidR="00474D86" w:rsidRPr="006A3150" w:rsidRDefault="00474D86" w:rsidP="008617DD">
            <w:pPr>
              <w:spacing w:line="360" w:lineRule="auto"/>
              <w:jc w:val="center"/>
              <w:rPr>
                <w:rFonts w:ascii="Arial" w:hAnsi="Arial" w:cs="Arial"/>
                <w:sz w:val="18"/>
                <w:szCs w:val="18"/>
              </w:rPr>
            </w:pPr>
          </w:p>
        </w:tc>
      </w:tr>
      <w:tr w:rsidR="00474D86" w:rsidRPr="007B7541" w14:paraId="78D0AB9C" w14:textId="77777777" w:rsidTr="000863A6">
        <w:tc>
          <w:tcPr>
            <w:tcW w:w="1615" w:type="dxa"/>
            <w:vAlign w:val="bottom"/>
          </w:tcPr>
          <w:p w14:paraId="7A8BC5BD" w14:textId="77777777" w:rsidR="00474D86" w:rsidRPr="006A3150" w:rsidRDefault="00474D86" w:rsidP="008617DD">
            <w:pPr>
              <w:spacing w:line="360" w:lineRule="auto"/>
              <w:rPr>
                <w:rFonts w:ascii="Arial" w:hAnsi="Arial" w:cs="Arial"/>
                <w:color w:val="000000"/>
                <w:sz w:val="18"/>
                <w:szCs w:val="18"/>
              </w:rPr>
            </w:pPr>
            <w:r w:rsidRPr="006A3150">
              <w:rPr>
                <w:rFonts w:ascii="Arial" w:hAnsi="Arial" w:cs="Arial"/>
                <w:color w:val="000000"/>
                <w:sz w:val="18"/>
                <w:szCs w:val="18"/>
              </w:rPr>
              <w:t>Australia</w:t>
            </w:r>
          </w:p>
        </w:tc>
        <w:tc>
          <w:tcPr>
            <w:tcW w:w="2430" w:type="dxa"/>
            <w:vAlign w:val="bottom"/>
          </w:tcPr>
          <w:p w14:paraId="5F2DE56F"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-190 (-1,230</w:t>
            </w:r>
            <w:r>
              <w:rPr>
                <w:rFonts w:ascii="Arial" w:hAnsi="Arial" w:cs="Arial"/>
                <w:color w:val="000000"/>
                <w:sz w:val="18"/>
                <w:szCs w:val="18"/>
              </w:rPr>
              <w:t xml:space="preserve"> to </w:t>
            </w:r>
            <w:r w:rsidRPr="006A3150">
              <w:rPr>
                <w:rFonts w:ascii="Arial" w:hAnsi="Arial" w:cs="Arial"/>
                <w:color w:val="000000"/>
                <w:sz w:val="18"/>
                <w:szCs w:val="18"/>
              </w:rPr>
              <w:t>770)</w:t>
            </w:r>
          </w:p>
        </w:tc>
        <w:tc>
          <w:tcPr>
            <w:tcW w:w="2430" w:type="dxa"/>
            <w:vAlign w:val="bottom"/>
          </w:tcPr>
          <w:p w14:paraId="7EC7C43D"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-500 (-1,870</w:t>
            </w:r>
            <w:r>
              <w:rPr>
                <w:rFonts w:ascii="Arial" w:hAnsi="Arial" w:cs="Arial"/>
                <w:color w:val="000000"/>
                <w:sz w:val="18"/>
                <w:szCs w:val="18"/>
              </w:rPr>
              <w:t xml:space="preserve"> to </w:t>
            </w:r>
            <w:r w:rsidRPr="006A3150">
              <w:rPr>
                <w:rFonts w:ascii="Arial" w:hAnsi="Arial" w:cs="Arial"/>
                <w:color w:val="000000"/>
                <w:sz w:val="18"/>
                <w:szCs w:val="18"/>
              </w:rPr>
              <w:t>610)</w:t>
            </w:r>
          </w:p>
        </w:tc>
        <w:tc>
          <w:tcPr>
            <w:tcW w:w="2340" w:type="dxa"/>
            <w:vAlign w:val="bottom"/>
          </w:tcPr>
          <w:p w14:paraId="50C04E19"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-700 (-2,500</w:t>
            </w:r>
            <w:r>
              <w:rPr>
                <w:rFonts w:ascii="Arial" w:hAnsi="Arial" w:cs="Arial"/>
                <w:color w:val="000000"/>
                <w:sz w:val="18"/>
                <w:szCs w:val="18"/>
              </w:rPr>
              <w:t xml:space="preserve"> to </w:t>
            </w:r>
            <w:r w:rsidRPr="006A3150">
              <w:rPr>
                <w:rFonts w:ascii="Arial" w:hAnsi="Arial" w:cs="Arial"/>
                <w:color w:val="000000"/>
                <w:sz w:val="18"/>
                <w:szCs w:val="18"/>
              </w:rPr>
              <w:t>830)</w:t>
            </w:r>
          </w:p>
        </w:tc>
        <w:tc>
          <w:tcPr>
            <w:tcW w:w="1530" w:type="dxa"/>
            <w:vAlign w:val="bottom"/>
          </w:tcPr>
          <w:p w14:paraId="7C80EB52"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102</w:t>
            </w:r>
          </w:p>
        </w:tc>
      </w:tr>
      <w:tr w:rsidR="00474D86" w:rsidRPr="007B7541" w14:paraId="2407DBD8" w14:textId="77777777" w:rsidTr="000863A6">
        <w:tc>
          <w:tcPr>
            <w:tcW w:w="1615" w:type="dxa"/>
            <w:vAlign w:val="bottom"/>
          </w:tcPr>
          <w:p w14:paraId="78548591"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Austria</w:t>
            </w:r>
          </w:p>
        </w:tc>
        <w:tc>
          <w:tcPr>
            <w:tcW w:w="2430" w:type="dxa"/>
            <w:vAlign w:val="bottom"/>
          </w:tcPr>
          <w:p w14:paraId="5D94FC4B"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630 (-60</w:t>
            </w:r>
            <w:r>
              <w:rPr>
                <w:rFonts w:ascii="Arial" w:hAnsi="Arial" w:cs="Arial"/>
                <w:color w:val="000000"/>
                <w:sz w:val="18"/>
                <w:szCs w:val="18"/>
              </w:rPr>
              <w:t xml:space="preserve"> to </w:t>
            </w:r>
            <w:r w:rsidRPr="006A3150">
              <w:rPr>
                <w:rFonts w:ascii="Arial" w:hAnsi="Arial" w:cs="Arial"/>
                <w:color w:val="000000"/>
                <w:sz w:val="18"/>
                <w:szCs w:val="18"/>
              </w:rPr>
              <w:t>1,300)</w:t>
            </w:r>
          </w:p>
        </w:tc>
        <w:tc>
          <w:tcPr>
            <w:tcW w:w="2430" w:type="dxa"/>
            <w:vAlign w:val="bottom"/>
          </w:tcPr>
          <w:p w14:paraId="379FA363"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310 (-690</w:t>
            </w:r>
            <w:r>
              <w:rPr>
                <w:rFonts w:ascii="Arial" w:hAnsi="Arial" w:cs="Arial"/>
                <w:color w:val="000000"/>
                <w:sz w:val="18"/>
                <w:szCs w:val="18"/>
              </w:rPr>
              <w:t xml:space="preserve"> to </w:t>
            </w:r>
            <w:r w:rsidRPr="006A3150">
              <w:rPr>
                <w:rFonts w:ascii="Arial" w:hAnsi="Arial" w:cs="Arial"/>
                <w:color w:val="000000"/>
                <w:sz w:val="18"/>
                <w:szCs w:val="18"/>
              </w:rPr>
              <w:t>1,200)</w:t>
            </w:r>
          </w:p>
        </w:tc>
        <w:tc>
          <w:tcPr>
            <w:tcW w:w="2340" w:type="dxa"/>
            <w:vAlign w:val="bottom"/>
          </w:tcPr>
          <w:p w14:paraId="024BD427"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930 (-290</w:t>
            </w:r>
            <w:r>
              <w:rPr>
                <w:rFonts w:ascii="Arial" w:hAnsi="Arial" w:cs="Arial"/>
                <w:color w:val="000000"/>
                <w:sz w:val="18"/>
                <w:szCs w:val="18"/>
              </w:rPr>
              <w:t xml:space="preserve"> to </w:t>
            </w:r>
            <w:r w:rsidRPr="006A3150">
              <w:rPr>
                <w:rFonts w:ascii="Arial" w:hAnsi="Arial" w:cs="Arial"/>
                <w:color w:val="000000"/>
                <w:sz w:val="18"/>
                <w:szCs w:val="18"/>
              </w:rPr>
              <w:t>2,100)</w:t>
            </w:r>
          </w:p>
        </w:tc>
        <w:tc>
          <w:tcPr>
            <w:tcW w:w="1530" w:type="dxa"/>
            <w:vAlign w:val="bottom"/>
          </w:tcPr>
          <w:p w14:paraId="32167EB6"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668</w:t>
            </w:r>
          </w:p>
        </w:tc>
      </w:tr>
      <w:tr w:rsidR="00474D86" w:rsidRPr="007B7541" w14:paraId="3A697499" w14:textId="77777777" w:rsidTr="000863A6">
        <w:tc>
          <w:tcPr>
            <w:tcW w:w="1615" w:type="dxa"/>
            <w:vAlign w:val="bottom"/>
          </w:tcPr>
          <w:p w14:paraId="5C89C223"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Belgium</w:t>
            </w:r>
          </w:p>
        </w:tc>
        <w:tc>
          <w:tcPr>
            <w:tcW w:w="2430" w:type="dxa"/>
            <w:vAlign w:val="bottom"/>
          </w:tcPr>
          <w:p w14:paraId="2BE99C4C"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4,000 (2,800</w:t>
            </w:r>
            <w:r>
              <w:rPr>
                <w:rFonts w:ascii="Arial" w:hAnsi="Arial" w:cs="Arial"/>
                <w:color w:val="000000"/>
                <w:sz w:val="18"/>
                <w:szCs w:val="18"/>
              </w:rPr>
              <w:t xml:space="preserve"> to </w:t>
            </w:r>
            <w:r w:rsidRPr="006A3150">
              <w:rPr>
                <w:rFonts w:ascii="Arial" w:hAnsi="Arial" w:cs="Arial"/>
                <w:color w:val="000000"/>
                <w:sz w:val="18"/>
                <w:szCs w:val="18"/>
              </w:rPr>
              <w:t>5,000)</w:t>
            </w:r>
          </w:p>
        </w:tc>
        <w:tc>
          <w:tcPr>
            <w:tcW w:w="2430" w:type="dxa"/>
            <w:vAlign w:val="bottom"/>
          </w:tcPr>
          <w:p w14:paraId="3C1DD272"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4,700 (3,200</w:t>
            </w:r>
            <w:r>
              <w:rPr>
                <w:rFonts w:ascii="Arial" w:hAnsi="Arial" w:cs="Arial"/>
                <w:color w:val="000000"/>
                <w:sz w:val="18"/>
                <w:szCs w:val="18"/>
              </w:rPr>
              <w:t xml:space="preserve"> to </w:t>
            </w:r>
            <w:r w:rsidRPr="006A3150">
              <w:rPr>
                <w:rFonts w:ascii="Arial" w:hAnsi="Arial" w:cs="Arial"/>
                <w:color w:val="000000"/>
                <w:sz w:val="18"/>
                <w:szCs w:val="18"/>
              </w:rPr>
              <w:t>6,000)</w:t>
            </w:r>
          </w:p>
        </w:tc>
        <w:tc>
          <w:tcPr>
            <w:tcW w:w="2340" w:type="dxa"/>
            <w:vAlign w:val="bottom"/>
          </w:tcPr>
          <w:p w14:paraId="5F1F3A27"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8,600 (6,700</w:t>
            </w:r>
            <w:r>
              <w:rPr>
                <w:rFonts w:ascii="Arial" w:hAnsi="Arial" w:cs="Arial"/>
                <w:color w:val="000000"/>
                <w:sz w:val="18"/>
                <w:szCs w:val="18"/>
              </w:rPr>
              <w:t xml:space="preserve"> to </w:t>
            </w:r>
            <w:r w:rsidRPr="006A3150">
              <w:rPr>
                <w:rFonts w:ascii="Arial" w:hAnsi="Arial" w:cs="Arial"/>
                <w:color w:val="000000"/>
                <w:sz w:val="18"/>
                <w:szCs w:val="18"/>
              </w:rPr>
              <w:t>10,400)</w:t>
            </w:r>
          </w:p>
        </w:tc>
        <w:tc>
          <w:tcPr>
            <w:tcW w:w="1530" w:type="dxa"/>
            <w:vAlign w:val="bottom"/>
          </w:tcPr>
          <w:p w14:paraId="4C06C2BC"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9,487</w:t>
            </w:r>
          </w:p>
        </w:tc>
      </w:tr>
      <w:tr w:rsidR="00474D86" w:rsidRPr="007B7541" w14:paraId="073CB415" w14:textId="77777777" w:rsidTr="000863A6">
        <w:tc>
          <w:tcPr>
            <w:tcW w:w="1615" w:type="dxa"/>
            <w:vAlign w:val="bottom"/>
          </w:tcPr>
          <w:p w14:paraId="7AAAE44D"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Bulgaria</w:t>
            </w:r>
          </w:p>
        </w:tc>
        <w:tc>
          <w:tcPr>
            <w:tcW w:w="2430" w:type="dxa"/>
            <w:vAlign w:val="bottom"/>
          </w:tcPr>
          <w:p w14:paraId="09054C32"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-620 (-1,550</w:t>
            </w:r>
            <w:r>
              <w:rPr>
                <w:rFonts w:ascii="Arial" w:hAnsi="Arial" w:cs="Arial"/>
                <w:color w:val="000000"/>
                <w:sz w:val="18"/>
                <w:szCs w:val="18"/>
              </w:rPr>
              <w:t xml:space="preserve"> to </w:t>
            </w:r>
            <w:r w:rsidRPr="006A3150">
              <w:rPr>
                <w:rFonts w:ascii="Arial" w:hAnsi="Arial" w:cs="Arial"/>
                <w:color w:val="000000"/>
                <w:sz w:val="18"/>
                <w:szCs w:val="18"/>
              </w:rPr>
              <w:t>250)</w:t>
            </w:r>
          </w:p>
        </w:tc>
        <w:tc>
          <w:tcPr>
            <w:tcW w:w="2430" w:type="dxa"/>
            <w:vAlign w:val="bottom"/>
          </w:tcPr>
          <w:p w14:paraId="2B48D522"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-490 (-1,790</w:t>
            </w:r>
            <w:r>
              <w:rPr>
                <w:rFonts w:ascii="Arial" w:hAnsi="Arial" w:cs="Arial"/>
                <w:color w:val="000000"/>
                <w:sz w:val="18"/>
                <w:szCs w:val="18"/>
              </w:rPr>
              <w:t xml:space="preserve"> to </w:t>
            </w:r>
            <w:r w:rsidRPr="006A3150">
              <w:rPr>
                <w:rFonts w:ascii="Arial" w:hAnsi="Arial" w:cs="Arial"/>
                <w:color w:val="000000"/>
                <w:sz w:val="18"/>
                <w:szCs w:val="18"/>
              </w:rPr>
              <w:t>620)</w:t>
            </w:r>
          </w:p>
        </w:tc>
        <w:tc>
          <w:tcPr>
            <w:tcW w:w="2340" w:type="dxa"/>
            <w:vAlign w:val="bottom"/>
          </w:tcPr>
          <w:p w14:paraId="24255152"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-1,110 (-2,840</w:t>
            </w:r>
            <w:r>
              <w:rPr>
                <w:rFonts w:ascii="Arial" w:hAnsi="Arial" w:cs="Arial"/>
                <w:color w:val="000000"/>
                <w:sz w:val="18"/>
                <w:szCs w:val="18"/>
              </w:rPr>
              <w:t xml:space="preserve"> to </w:t>
            </w:r>
            <w:r w:rsidRPr="006A3150">
              <w:rPr>
                <w:rFonts w:ascii="Arial" w:hAnsi="Arial" w:cs="Arial"/>
                <w:color w:val="000000"/>
                <w:sz w:val="18"/>
                <w:szCs w:val="18"/>
              </w:rPr>
              <w:t>340)</w:t>
            </w:r>
          </w:p>
        </w:tc>
        <w:tc>
          <w:tcPr>
            <w:tcW w:w="1530" w:type="dxa"/>
            <w:vAlign w:val="bottom"/>
          </w:tcPr>
          <w:p w14:paraId="46AD73B5"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140</w:t>
            </w:r>
          </w:p>
        </w:tc>
      </w:tr>
      <w:tr w:rsidR="00474D86" w:rsidRPr="007B7541" w14:paraId="21ABFD4C" w14:textId="77777777" w:rsidTr="000863A6">
        <w:tc>
          <w:tcPr>
            <w:tcW w:w="1615" w:type="dxa"/>
            <w:vAlign w:val="bottom"/>
          </w:tcPr>
          <w:p w14:paraId="3ED54E7D" w14:textId="77777777" w:rsidR="00474D86" w:rsidRPr="006A3150" w:rsidRDefault="00474D86" w:rsidP="008617DD">
            <w:pPr>
              <w:spacing w:line="360" w:lineRule="auto"/>
              <w:rPr>
                <w:rFonts w:ascii="Arial" w:hAnsi="Arial" w:cs="Arial"/>
                <w:color w:val="000000"/>
                <w:sz w:val="18"/>
                <w:szCs w:val="18"/>
              </w:rPr>
            </w:pPr>
            <w:r w:rsidRPr="006A3150">
              <w:rPr>
                <w:rFonts w:ascii="Arial" w:hAnsi="Arial" w:cs="Arial"/>
                <w:color w:val="000000"/>
                <w:sz w:val="18"/>
                <w:szCs w:val="18"/>
              </w:rPr>
              <w:t>Czechia</w:t>
            </w:r>
          </w:p>
        </w:tc>
        <w:tc>
          <w:tcPr>
            <w:tcW w:w="2430" w:type="dxa"/>
            <w:vAlign w:val="bottom"/>
          </w:tcPr>
          <w:p w14:paraId="1830E87B"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-170 (-1,560</w:t>
            </w:r>
            <w:r>
              <w:rPr>
                <w:rFonts w:ascii="Arial" w:hAnsi="Arial" w:cs="Arial"/>
                <w:color w:val="000000"/>
                <w:sz w:val="18"/>
                <w:szCs w:val="18"/>
              </w:rPr>
              <w:t xml:space="preserve"> to </w:t>
            </w:r>
            <w:r w:rsidRPr="006A3150">
              <w:rPr>
                <w:rFonts w:ascii="Arial" w:hAnsi="Arial" w:cs="Arial"/>
                <w:color w:val="000000"/>
                <w:sz w:val="18"/>
                <w:szCs w:val="18"/>
              </w:rPr>
              <w:t>880)</w:t>
            </w:r>
          </w:p>
        </w:tc>
        <w:tc>
          <w:tcPr>
            <w:tcW w:w="2430" w:type="dxa"/>
            <w:vAlign w:val="bottom"/>
          </w:tcPr>
          <w:p w14:paraId="27536CB5"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-310 (-2,000-970)</w:t>
            </w:r>
          </w:p>
        </w:tc>
        <w:tc>
          <w:tcPr>
            <w:tcW w:w="2340" w:type="dxa"/>
            <w:vAlign w:val="bottom"/>
          </w:tcPr>
          <w:p w14:paraId="467E342B"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-510 (-2,880</w:t>
            </w:r>
            <w:r>
              <w:rPr>
                <w:rFonts w:ascii="Arial" w:hAnsi="Arial" w:cs="Arial"/>
                <w:color w:val="000000"/>
                <w:sz w:val="18"/>
                <w:szCs w:val="18"/>
              </w:rPr>
              <w:t xml:space="preserve"> to </w:t>
            </w:r>
            <w:r w:rsidRPr="006A3150">
              <w:rPr>
                <w:rFonts w:ascii="Arial" w:hAnsi="Arial" w:cs="Arial"/>
                <w:color w:val="000000"/>
                <w:sz w:val="18"/>
                <w:szCs w:val="18"/>
              </w:rPr>
              <w:t>1,300)</w:t>
            </w:r>
          </w:p>
        </w:tc>
        <w:tc>
          <w:tcPr>
            <w:tcW w:w="1530" w:type="dxa"/>
            <w:vAlign w:val="bottom"/>
          </w:tcPr>
          <w:p w14:paraId="72A43C58"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319</w:t>
            </w:r>
          </w:p>
        </w:tc>
      </w:tr>
      <w:tr w:rsidR="00474D86" w:rsidRPr="007B7541" w14:paraId="0C6230C0" w14:textId="77777777" w:rsidTr="000863A6">
        <w:tc>
          <w:tcPr>
            <w:tcW w:w="1615" w:type="dxa"/>
            <w:vAlign w:val="bottom"/>
          </w:tcPr>
          <w:p w14:paraId="5E2113DD"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Denmark</w:t>
            </w:r>
          </w:p>
        </w:tc>
        <w:tc>
          <w:tcPr>
            <w:tcW w:w="2430" w:type="dxa"/>
            <w:vAlign w:val="bottom"/>
          </w:tcPr>
          <w:p w14:paraId="3603FB86"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260 (-280</w:t>
            </w:r>
            <w:r>
              <w:rPr>
                <w:rFonts w:ascii="Arial" w:hAnsi="Arial" w:cs="Arial"/>
                <w:color w:val="000000"/>
                <w:sz w:val="18"/>
                <w:szCs w:val="18"/>
              </w:rPr>
              <w:t xml:space="preserve"> to </w:t>
            </w:r>
            <w:r w:rsidRPr="006A3150">
              <w:rPr>
                <w:rFonts w:ascii="Arial" w:hAnsi="Arial" w:cs="Arial"/>
                <w:color w:val="000000"/>
                <w:sz w:val="18"/>
                <w:szCs w:val="18"/>
              </w:rPr>
              <w:t>760)</w:t>
            </w:r>
          </w:p>
        </w:tc>
        <w:tc>
          <w:tcPr>
            <w:tcW w:w="2430" w:type="dxa"/>
            <w:vAlign w:val="bottom"/>
          </w:tcPr>
          <w:p w14:paraId="51D50F48"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270 (-320-820)</w:t>
            </w:r>
          </w:p>
        </w:tc>
        <w:tc>
          <w:tcPr>
            <w:tcW w:w="2340" w:type="dxa"/>
            <w:vAlign w:val="bottom"/>
          </w:tcPr>
          <w:p w14:paraId="75B8218F"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530 (-270</w:t>
            </w:r>
            <w:r>
              <w:rPr>
                <w:rFonts w:ascii="Arial" w:hAnsi="Arial" w:cs="Arial"/>
                <w:color w:val="000000"/>
                <w:sz w:val="18"/>
                <w:szCs w:val="18"/>
              </w:rPr>
              <w:t xml:space="preserve"> to </w:t>
            </w:r>
            <w:r w:rsidRPr="006A3150">
              <w:rPr>
                <w:rFonts w:ascii="Arial" w:hAnsi="Arial" w:cs="Arial"/>
                <w:color w:val="000000"/>
                <w:sz w:val="18"/>
                <w:szCs w:val="18"/>
              </w:rPr>
              <w:t>1,300)</w:t>
            </w:r>
          </w:p>
        </w:tc>
        <w:tc>
          <w:tcPr>
            <w:tcW w:w="1530" w:type="dxa"/>
            <w:vAlign w:val="bottom"/>
          </w:tcPr>
          <w:p w14:paraId="33EC5413"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571</w:t>
            </w:r>
          </w:p>
        </w:tc>
      </w:tr>
      <w:tr w:rsidR="00474D86" w:rsidRPr="007B7541" w14:paraId="101EB472" w14:textId="77777777" w:rsidTr="000863A6">
        <w:tc>
          <w:tcPr>
            <w:tcW w:w="1615" w:type="dxa"/>
            <w:vAlign w:val="bottom"/>
          </w:tcPr>
          <w:p w14:paraId="2DF4F30B"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England &amp; Wales</w:t>
            </w:r>
          </w:p>
        </w:tc>
        <w:tc>
          <w:tcPr>
            <w:tcW w:w="2430" w:type="dxa"/>
            <w:vAlign w:val="bottom"/>
          </w:tcPr>
          <w:p w14:paraId="291CB6CD"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30,000 (25,400</w:t>
            </w:r>
            <w:r>
              <w:rPr>
                <w:rFonts w:ascii="Arial" w:hAnsi="Arial" w:cs="Arial"/>
                <w:color w:val="000000"/>
                <w:sz w:val="18"/>
                <w:szCs w:val="18"/>
              </w:rPr>
              <w:t xml:space="preserve"> to </w:t>
            </w:r>
            <w:r w:rsidRPr="006A3150">
              <w:rPr>
                <w:rFonts w:ascii="Arial" w:hAnsi="Arial" w:cs="Arial"/>
                <w:color w:val="000000"/>
                <w:sz w:val="18"/>
                <w:szCs w:val="18"/>
              </w:rPr>
              <w:t>34,400)</w:t>
            </w:r>
          </w:p>
        </w:tc>
        <w:tc>
          <w:tcPr>
            <w:tcW w:w="2430" w:type="dxa"/>
            <w:vAlign w:val="bottom"/>
          </w:tcPr>
          <w:p w14:paraId="4D9DAD17"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27,200 (20,600</w:t>
            </w:r>
            <w:r>
              <w:rPr>
                <w:rFonts w:ascii="Arial" w:hAnsi="Arial" w:cs="Arial"/>
                <w:color w:val="000000"/>
                <w:sz w:val="18"/>
                <w:szCs w:val="18"/>
              </w:rPr>
              <w:t xml:space="preserve"> to </w:t>
            </w:r>
            <w:r w:rsidRPr="006A3150">
              <w:rPr>
                <w:rFonts w:ascii="Arial" w:hAnsi="Arial" w:cs="Arial"/>
                <w:color w:val="000000"/>
                <w:sz w:val="18"/>
                <w:szCs w:val="18"/>
              </w:rPr>
              <w:t>33,300)</w:t>
            </w:r>
          </w:p>
        </w:tc>
        <w:tc>
          <w:tcPr>
            <w:tcW w:w="2340" w:type="dxa"/>
            <w:vAlign w:val="bottom"/>
          </w:tcPr>
          <w:p w14:paraId="3506244C"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57,300 (48,900</w:t>
            </w:r>
            <w:r>
              <w:rPr>
                <w:rFonts w:ascii="Arial" w:hAnsi="Arial" w:cs="Arial"/>
                <w:color w:val="000000"/>
                <w:sz w:val="18"/>
                <w:szCs w:val="18"/>
              </w:rPr>
              <w:t xml:space="preserve"> to </w:t>
            </w:r>
            <w:r w:rsidRPr="006A3150">
              <w:rPr>
                <w:rFonts w:ascii="Arial" w:hAnsi="Arial" w:cs="Arial"/>
                <w:color w:val="000000"/>
                <w:sz w:val="18"/>
                <w:szCs w:val="18"/>
              </w:rPr>
              <w:t>65,000)</w:t>
            </w:r>
          </w:p>
        </w:tc>
        <w:tc>
          <w:tcPr>
            <w:tcW w:w="1530" w:type="dxa"/>
            <w:vAlign w:val="bottom"/>
          </w:tcPr>
          <w:p w14:paraId="47AB4263"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47,104</w:t>
            </w:r>
          </w:p>
        </w:tc>
      </w:tr>
      <w:tr w:rsidR="00474D86" w:rsidRPr="007B7541" w14:paraId="51C3AF94" w14:textId="77777777" w:rsidTr="000863A6">
        <w:tc>
          <w:tcPr>
            <w:tcW w:w="1615" w:type="dxa"/>
            <w:vAlign w:val="bottom"/>
          </w:tcPr>
          <w:p w14:paraId="04FD4326"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Finland</w:t>
            </w:r>
          </w:p>
        </w:tc>
        <w:tc>
          <w:tcPr>
            <w:tcW w:w="2430" w:type="dxa"/>
            <w:vAlign w:val="bottom"/>
          </w:tcPr>
          <w:p w14:paraId="0305B218"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220 (-320</w:t>
            </w:r>
            <w:r>
              <w:rPr>
                <w:rFonts w:ascii="Arial" w:hAnsi="Arial" w:cs="Arial"/>
                <w:color w:val="000000"/>
                <w:sz w:val="18"/>
                <w:szCs w:val="18"/>
              </w:rPr>
              <w:t xml:space="preserve"> to </w:t>
            </w:r>
            <w:r w:rsidRPr="006A3150">
              <w:rPr>
                <w:rFonts w:ascii="Arial" w:hAnsi="Arial" w:cs="Arial"/>
                <w:color w:val="000000"/>
                <w:sz w:val="18"/>
                <w:szCs w:val="18"/>
              </w:rPr>
              <w:t>640)</w:t>
            </w:r>
          </w:p>
        </w:tc>
        <w:tc>
          <w:tcPr>
            <w:tcW w:w="2430" w:type="dxa"/>
            <w:vAlign w:val="bottom"/>
          </w:tcPr>
          <w:p w14:paraId="0C8DF96B"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260 (-340</w:t>
            </w:r>
            <w:r>
              <w:rPr>
                <w:rFonts w:ascii="Arial" w:hAnsi="Arial" w:cs="Arial"/>
                <w:color w:val="000000"/>
                <w:sz w:val="18"/>
                <w:szCs w:val="18"/>
              </w:rPr>
              <w:t xml:space="preserve"> to </w:t>
            </w:r>
            <w:r w:rsidRPr="006A3150">
              <w:rPr>
                <w:rFonts w:ascii="Arial" w:hAnsi="Arial" w:cs="Arial"/>
                <w:color w:val="000000"/>
                <w:sz w:val="18"/>
                <w:szCs w:val="18"/>
              </w:rPr>
              <w:t>770)</w:t>
            </w:r>
          </w:p>
        </w:tc>
        <w:tc>
          <w:tcPr>
            <w:tcW w:w="2340" w:type="dxa"/>
            <w:vAlign w:val="bottom"/>
          </w:tcPr>
          <w:p w14:paraId="3DA64847"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470 (-360</w:t>
            </w:r>
            <w:r>
              <w:rPr>
                <w:rFonts w:ascii="Arial" w:hAnsi="Arial" w:cs="Arial"/>
                <w:color w:val="000000"/>
                <w:sz w:val="18"/>
                <w:szCs w:val="18"/>
              </w:rPr>
              <w:t xml:space="preserve"> to </w:t>
            </w:r>
            <w:r w:rsidRPr="006A3150">
              <w:rPr>
                <w:rFonts w:ascii="Arial" w:hAnsi="Arial" w:cs="Arial"/>
                <w:color w:val="000000"/>
                <w:sz w:val="18"/>
                <w:szCs w:val="18"/>
              </w:rPr>
              <w:t>1,100)</w:t>
            </w:r>
          </w:p>
        </w:tc>
        <w:tc>
          <w:tcPr>
            <w:tcW w:w="1530" w:type="dxa"/>
            <w:vAlign w:val="bottom"/>
          </w:tcPr>
          <w:p w14:paraId="2F2FA46D"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316</w:t>
            </w:r>
          </w:p>
        </w:tc>
      </w:tr>
      <w:tr w:rsidR="00474D86" w:rsidRPr="007B7541" w14:paraId="17713554" w14:textId="77777777" w:rsidTr="000863A6">
        <w:tc>
          <w:tcPr>
            <w:tcW w:w="1615" w:type="dxa"/>
            <w:vAlign w:val="bottom"/>
          </w:tcPr>
          <w:p w14:paraId="5B33B3A1"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France</w:t>
            </w:r>
          </w:p>
        </w:tc>
        <w:tc>
          <w:tcPr>
            <w:tcW w:w="2430" w:type="dxa"/>
            <w:vAlign w:val="bottom"/>
          </w:tcPr>
          <w:p w14:paraId="697F12C9"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11,700 (6,500</w:t>
            </w:r>
            <w:r>
              <w:rPr>
                <w:rFonts w:ascii="Arial" w:hAnsi="Arial" w:cs="Arial"/>
                <w:color w:val="000000"/>
                <w:sz w:val="18"/>
                <w:szCs w:val="18"/>
              </w:rPr>
              <w:t xml:space="preserve"> to </w:t>
            </w:r>
            <w:r w:rsidRPr="006A3150">
              <w:rPr>
                <w:rFonts w:ascii="Arial" w:hAnsi="Arial" w:cs="Arial"/>
                <w:color w:val="000000"/>
                <w:sz w:val="18"/>
                <w:szCs w:val="18"/>
              </w:rPr>
              <w:t>16,600)</w:t>
            </w:r>
          </w:p>
        </w:tc>
        <w:tc>
          <w:tcPr>
            <w:tcW w:w="2430" w:type="dxa"/>
            <w:vAlign w:val="bottom"/>
          </w:tcPr>
          <w:p w14:paraId="4B00870E"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12,000 (5,400</w:t>
            </w:r>
            <w:r>
              <w:rPr>
                <w:rFonts w:ascii="Arial" w:hAnsi="Arial" w:cs="Arial"/>
                <w:color w:val="000000"/>
                <w:sz w:val="18"/>
                <w:szCs w:val="18"/>
              </w:rPr>
              <w:t xml:space="preserve"> to </w:t>
            </w:r>
            <w:r w:rsidRPr="006A3150">
              <w:rPr>
                <w:rFonts w:ascii="Arial" w:hAnsi="Arial" w:cs="Arial"/>
                <w:color w:val="000000"/>
                <w:sz w:val="18"/>
                <w:szCs w:val="18"/>
              </w:rPr>
              <w:t>18,600)</w:t>
            </w:r>
          </w:p>
        </w:tc>
        <w:tc>
          <w:tcPr>
            <w:tcW w:w="2340" w:type="dxa"/>
            <w:vAlign w:val="bottom"/>
          </w:tcPr>
          <w:p w14:paraId="6E49FC59"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23,700 (14,900</w:t>
            </w:r>
            <w:r>
              <w:rPr>
                <w:rFonts w:ascii="Arial" w:hAnsi="Arial" w:cs="Arial"/>
                <w:color w:val="000000"/>
                <w:sz w:val="18"/>
                <w:szCs w:val="18"/>
              </w:rPr>
              <w:t xml:space="preserve"> to </w:t>
            </w:r>
            <w:r w:rsidRPr="006A3150">
              <w:rPr>
                <w:rFonts w:ascii="Arial" w:hAnsi="Arial" w:cs="Arial"/>
                <w:color w:val="000000"/>
                <w:sz w:val="18"/>
                <w:szCs w:val="18"/>
              </w:rPr>
              <w:t>32,300)</w:t>
            </w:r>
          </w:p>
        </w:tc>
        <w:tc>
          <w:tcPr>
            <w:tcW w:w="1530" w:type="dxa"/>
            <w:vAlign w:val="bottom"/>
          </w:tcPr>
          <w:p w14:paraId="2762E17D"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28,771</w:t>
            </w:r>
          </w:p>
        </w:tc>
      </w:tr>
      <w:tr w:rsidR="00474D86" w:rsidRPr="007B7541" w14:paraId="31FAA514" w14:textId="77777777" w:rsidTr="000863A6">
        <w:tc>
          <w:tcPr>
            <w:tcW w:w="1615" w:type="dxa"/>
            <w:vAlign w:val="bottom"/>
          </w:tcPr>
          <w:p w14:paraId="6D17A4D7"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Hungary</w:t>
            </w:r>
          </w:p>
        </w:tc>
        <w:tc>
          <w:tcPr>
            <w:tcW w:w="2430" w:type="dxa"/>
            <w:vAlign w:val="bottom"/>
          </w:tcPr>
          <w:p w14:paraId="3F1BB754"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-420 (-1,690</w:t>
            </w:r>
            <w:r>
              <w:rPr>
                <w:rFonts w:ascii="Arial" w:hAnsi="Arial" w:cs="Arial"/>
                <w:color w:val="000000"/>
                <w:sz w:val="18"/>
                <w:szCs w:val="18"/>
              </w:rPr>
              <w:t xml:space="preserve"> to </w:t>
            </w:r>
            <w:r w:rsidRPr="006A3150">
              <w:rPr>
                <w:rFonts w:ascii="Arial" w:hAnsi="Arial" w:cs="Arial"/>
                <w:color w:val="000000"/>
                <w:sz w:val="18"/>
                <w:szCs w:val="18"/>
              </w:rPr>
              <w:t>660)</w:t>
            </w:r>
          </w:p>
        </w:tc>
        <w:tc>
          <w:tcPr>
            <w:tcW w:w="2430" w:type="dxa"/>
            <w:vAlign w:val="bottom"/>
          </w:tcPr>
          <w:p w14:paraId="2554E8A9"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-80 (-1,770</w:t>
            </w:r>
            <w:r>
              <w:rPr>
                <w:rFonts w:ascii="Arial" w:hAnsi="Arial" w:cs="Arial"/>
                <w:color w:val="000000"/>
                <w:sz w:val="18"/>
                <w:szCs w:val="18"/>
              </w:rPr>
              <w:t xml:space="preserve"> to </w:t>
            </w:r>
            <w:r w:rsidRPr="006A3150">
              <w:rPr>
                <w:rFonts w:ascii="Arial" w:hAnsi="Arial" w:cs="Arial"/>
                <w:color w:val="000000"/>
                <w:sz w:val="18"/>
                <w:szCs w:val="18"/>
              </w:rPr>
              <w:t>1,500)</w:t>
            </w:r>
          </w:p>
        </w:tc>
        <w:tc>
          <w:tcPr>
            <w:tcW w:w="2340" w:type="dxa"/>
            <w:vAlign w:val="bottom"/>
          </w:tcPr>
          <w:p w14:paraId="456E5863"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-510 (-2,660</w:t>
            </w:r>
            <w:r>
              <w:rPr>
                <w:rFonts w:ascii="Arial" w:hAnsi="Arial" w:cs="Arial"/>
                <w:color w:val="000000"/>
                <w:sz w:val="18"/>
                <w:szCs w:val="18"/>
              </w:rPr>
              <w:t xml:space="preserve"> to </w:t>
            </w:r>
            <w:r w:rsidRPr="006A3150">
              <w:rPr>
                <w:rFonts w:ascii="Arial" w:hAnsi="Arial" w:cs="Arial"/>
                <w:color w:val="000000"/>
                <w:sz w:val="18"/>
                <w:szCs w:val="18"/>
              </w:rPr>
              <w:t>1,500)</w:t>
            </w:r>
          </w:p>
        </w:tc>
        <w:tc>
          <w:tcPr>
            <w:tcW w:w="1530" w:type="dxa"/>
            <w:vAlign w:val="bottom"/>
          </w:tcPr>
          <w:p w14:paraId="3541A243"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524</w:t>
            </w:r>
          </w:p>
        </w:tc>
      </w:tr>
      <w:tr w:rsidR="00474D86" w:rsidRPr="007B7541" w14:paraId="342C2767" w14:textId="77777777" w:rsidTr="000863A6">
        <w:tc>
          <w:tcPr>
            <w:tcW w:w="1615" w:type="dxa"/>
            <w:vAlign w:val="bottom"/>
          </w:tcPr>
          <w:p w14:paraId="779BC7B4"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Italy</w:t>
            </w:r>
          </w:p>
        </w:tc>
        <w:tc>
          <w:tcPr>
            <w:tcW w:w="2430" w:type="dxa"/>
            <w:vAlign w:val="bottom"/>
          </w:tcPr>
          <w:p w14:paraId="2E49439F"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24,700 (18,700</w:t>
            </w:r>
            <w:r>
              <w:rPr>
                <w:rFonts w:ascii="Arial" w:hAnsi="Arial" w:cs="Arial"/>
                <w:color w:val="000000"/>
                <w:sz w:val="18"/>
                <w:szCs w:val="18"/>
              </w:rPr>
              <w:t xml:space="preserve"> to </w:t>
            </w:r>
            <w:r w:rsidRPr="006A3150">
              <w:rPr>
                <w:rFonts w:ascii="Arial" w:hAnsi="Arial" w:cs="Arial"/>
                <w:color w:val="000000"/>
                <w:sz w:val="18"/>
                <w:szCs w:val="18"/>
              </w:rPr>
              <w:t>30,200)</w:t>
            </w:r>
          </w:p>
        </w:tc>
        <w:tc>
          <w:tcPr>
            <w:tcW w:w="2430" w:type="dxa"/>
            <w:vAlign w:val="bottom"/>
          </w:tcPr>
          <w:p w14:paraId="4BB3EEB9"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24,100 (15,800</w:t>
            </w:r>
            <w:r>
              <w:rPr>
                <w:rFonts w:ascii="Arial" w:hAnsi="Arial" w:cs="Arial"/>
                <w:color w:val="000000"/>
                <w:sz w:val="18"/>
                <w:szCs w:val="18"/>
              </w:rPr>
              <w:t xml:space="preserve"> to </w:t>
            </w:r>
            <w:r w:rsidRPr="006A3150">
              <w:rPr>
                <w:rFonts w:ascii="Arial" w:hAnsi="Arial" w:cs="Arial"/>
                <w:color w:val="000000"/>
                <w:sz w:val="18"/>
                <w:szCs w:val="18"/>
              </w:rPr>
              <w:t>31,900)</w:t>
            </w:r>
          </w:p>
        </w:tc>
        <w:tc>
          <w:tcPr>
            <w:tcW w:w="2340" w:type="dxa"/>
            <w:vAlign w:val="bottom"/>
          </w:tcPr>
          <w:p w14:paraId="50D9FF61"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48,700 (38,100</w:t>
            </w:r>
            <w:r>
              <w:rPr>
                <w:rFonts w:ascii="Arial" w:hAnsi="Arial" w:cs="Arial"/>
                <w:color w:val="000000"/>
                <w:sz w:val="18"/>
                <w:szCs w:val="18"/>
              </w:rPr>
              <w:t xml:space="preserve"> to </w:t>
            </w:r>
            <w:r w:rsidRPr="006A3150">
              <w:rPr>
                <w:rFonts w:ascii="Arial" w:hAnsi="Arial" w:cs="Arial"/>
                <w:color w:val="000000"/>
                <w:sz w:val="18"/>
                <w:szCs w:val="18"/>
              </w:rPr>
              <w:t>58,900)</w:t>
            </w:r>
          </w:p>
        </w:tc>
        <w:tc>
          <w:tcPr>
            <w:tcW w:w="1530" w:type="dxa"/>
            <w:vAlign w:val="bottom"/>
          </w:tcPr>
          <w:p w14:paraId="562713B7"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33,340</w:t>
            </w:r>
          </w:p>
        </w:tc>
      </w:tr>
      <w:tr w:rsidR="00474D86" w:rsidRPr="007B7541" w14:paraId="1128C921" w14:textId="77777777" w:rsidTr="000863A6">
        <w:tc>
          <w:tcPr>
            <w:tcW w:w="1615" w:type="dxa"/>
            <w:vAlign w:val="bottom"/>
          </w:tcPr>
          <w:p w14:paraId="1CF05EAE"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Netherlands</w:t>
            </w:r>
          </w:p>
        </w:tc>
        <w:tc>
          <w:tcPr>
            <w:tcW w:w="2430" w:type="dxa"/>
            <w:vAlign w:val="bottom"/>
          </w:tcPr>
          <w:p w14:paraId="4C6CFEE5"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5,100 (3,600</w:t>
            </w:r>
            <w:r>
              <w:rPr>
                <w:rFonts w:ascii="Arial" w:hAnsi="Arial" w:cs="Arial"/>
                <w:color w:val="000000"/>
                <w:sz w:val="18"/>
                <w:szCs w:val="18"/>
              </w:rPr>
              <w:t xml:space="preserve"> to </w:t>
            </w:r>
            <w:r w:rsidRPr="006A3150">
              <w:rPr>
                <w:rFonts w:ascii="Arial" w:hAnsi="Arial" w:cs="Arial"/>
                <w:color w:val="000000"/>
                <w:sz w:val="18"/>
                <w:szCs w:val="18"/>
              </w:rPr>
              <w:t>6,400)</w:t>
            </w:r>
          </w:p>
        </w:tc>
        <w:tc>
          <w:tcPr>
            <w:tcW w:w="2430" w:type="dxa"/>
            <w:vAlign w:val="bottom"/>
          </w:tcPr>
          <w:p w14:paraId="0C7B6E30"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3,500 (1,600</w:t>
            </w:r>
            <w:r>
              <w:rPr>
                <w:rFonts w:ascii="Arial" w:hAnsi="Arial" w:cs="Arial"/>
                <w:color w:val="000000"/>
                <w:sz w:val="18"/>
                <w:szCs w:val="18"/>
              </w:rPr>
              <w:t xml:space="preserve"> to </w:t>
            </w:r>
            <w:r w:rsidRPr="006A3150">
              <w:rPr>
                <w:rFonts w:ascii="Arial" w:hAnsi="Arial" w:cs="Arial"/>
                <w:color w:val="000000"/>
                <w:sz w:val="18"/>
                <w:szCs w:val="18"/>
              </w:rPr>
              <w:t>5,200)</w:t>
            </w:r>
          </w:p>
        </w:tc>
        <w:tc>
          <w:tcPr>
            <w:tcW w:w="2340" w:type="dxa"/>
            <w:vAlign w:val="bottom"/>
          </w:tcPr>
          <w:p w14:paraId="763ED67D"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8,600 (6,100</w:t>
            </w:r>
            <w:r>
              <w:rPr>
                <w:rFonts w:ascii="Arial" w:hAnsi="Arial" w:cs="Arial"/>
                <w:color w:val="000000"/>
                <w:sz w:val="18"/>
                <w:szCs w:val="18"/>
              </w:rPr>
              <w:t xml:space="preserve"> to </w:t>
            </w:r>
            <w:r w:rsidRPr="006A3150">
              <w:rPr>
                <w:rFonts w:ascii="Arial" w:hAnsi="Arial" w:cs="Arial"/>
                <w:color w:val="000000"/>
                <w:sz w:val="18"/>
                <w:szCs w:val="18"/>
              </w:rPr>
              <w:t>10,800)</w:t>
            </w:r>
          </w:p>
        </w:tc>
        <w:tc>
          <w:tcPr>
            <w:tcW w:w="1530" w:type="dxa"/>
            <w:vAlign w:val="bottom"/>
          </w:tcPr>
          <w:p w14:paraId="63B77C4F"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5,951</w:t>
            </w:r>
          </w:p>
        </w:tc>
      </w:tr>
      <w:tr w:rsidR="00474D86" w:rsidRPr="007B7541" w14:paraId="234DABAC" w14:textId="77777777" w:rsidTr="000863A6">
        <w:tc>
          <w:tcPr>
            <w:tcW w:w="1615" w:type="dxa"/>
            <w:vAlign w:val="bottom"/>
          </w:tcPr>
          <w:p w14:paraId="64B8B613"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New Zealand</w:t>
            </w:r>
          </w:p>
        </w:tc>
        <w:tc>
          <w:tcPr>
            <w:tcW w:w="2430" w:type="dxa"/>
            <w:vAlign w:val="bottom"/>
          </w:tcPr>
          <w:p w14:paraId="1D2DF4DC"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-180 (-470</w:t>
            </w:r>
            <w:r>
              <w:rPr>
                <w:rFonts w:ascii="Arial" w:hAnsi="Arial" w:cs="Arial"/>
                <w:color w:val="000000"/>
                <w:sz w:val="18"/>
                <w:szCs w:val="18"/>
              </w:rPr>
              <w:t xml:space="preserve"> to </w:t>
            </w:r>
            <w:r w:rsidRPr="006A3150">
              <w:rPr>
                <w:rFonts w:ascii="Arial" w:hAnsi="Arial" w:cs="Arial"/>
                <w:color w:val="000000"/>
                <w:sz w:val="18"/>
                <w:szCs w:val="18"/>
              </w:rPr>
              <w:t>80)</w:t>
            </w:r>
          </w:p>
        </w:tc>
        <w:tc>
          <w:tcPr>
            <w:tcW w:w="2430" w:type="dxa"/>
            <w:vAlign w:val="bottom"/>
          </w:tcPr>
          <w:p w14:paraId="07175C5D"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-110 (-480</w:t>
            </w:r>
            <w:r>
              <w:rPr>
                <w:rFonts w:ascii="Arial" w:hAnsi="Arial" w:cs="Arial"/>
                <w:color w:val="000000"/>
                <w:sz w:val="18"/>
                <w:szCs w:val="18"/>
              </w:rPr>
              <w:t xml:space="preserve"> to </w:t>
            </w:r>
            <w:r w:rsidRPr="006A3150">
              <w:rPr>
                <w:rFonts w:ascii="Arial" w:hAnsi="Arial" w:cs="Arial"/>
                <w:color w:val="000000"/>
                <w:sz w:val="18"/>
                <w:szCs w:val="18"/>
              </w:rPr>
              <w:t>200)</w:t>
            </w:r>
          </w:p>
        </w:tc>
        <w:tc>
          <w:tcPr>
            <w:tcW w:w="2340" w:type="dxa"/>
            <w:vAlign w:val="bottom"/>
          </w:tcPr>
          <w:p w14:paraId="263F175B"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-300 (-780</w:t>
            </w:r>
            <w:r>
              <w:rPr>
                <w:rFonts w:ascii="Arial" w:hAnsi="Arial" w:cs="Arial"/>
                <w:color w:val="000000"/>
                <w:sz w:val="18"/>
                <w:szCs w:val="18"/>
              </w:rPr>
              <w:t xml:space="preserve"> to </w:t>
            </w:r>
            <w:r w:rsidRPr="006A3150">
              <w:rPr>
                <w:rFonts w:ascii="Arial" w:hAnsi="Arial" w:cs="Arial"/>
                <w:color w:val="000000"/>
                <w:sz w:val="18"/>
                <w:szCs w:val="18"/>
              </w:rPr>
              <w:t>120)</w:t>
            </w:r>
          </w:p>
        </w:tc>
        <w:tc>
          <w:tcPr>
            <w:tcW w:w="1530" w:type="dxa"/>
            <w:vAlign w:val="bottom"/>
          </w:tcPr>
          <w:p w14:paraId="5D6FC10B"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22</w:t>
            </w:r>
          </w:p>
        </w:tc>
      </w:tr>
      <w:tr w:rsidR="00474D86" w:rsidRPr="007B7541" w14:paraId="665C3EEE" w14:textId="77777777" w:rsidTr="000863A6">
        <w:tc>
          <w:tcPr>
            <w:tcW w:w="1615" w:type="dxa"/>
            <w:vAlign w:val="bottom"/>
          </w:tcPr>
          <w:p w14:paraId="75BFB5CE"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Norway</w:t>
            </w:r>
          </w:p>
        </w:tc>
        <w:tc>
          <w:tcPr>
            <w:tcW w:w="2430" w:type="dxa"/>
            <w:vAlign w:val="bottom"/>
          </w:tcPr>
          <w:p w14:paraId="56AE953F"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150 (-190</w:t>
            </w:r>
            <w:r>
              <w:rPr>
                <w:rFonts w:ascii="Arial" w:hAnsi="Arial" w:cs="Arial"/>
                <w:color w:val="000000"/>
                <w:sz w:val="18"/>
                <w:szCs w:val="18"/>
              </w:rPr>
              <w:t xml:space="preserve"> to </w:t>
            </w:r>
            <w:r w:rsidRPr="006A3150">
              <w:rPr>
                <w:rFonts w:ascii="Arial" w:hAnsi="Arial" w:cs="Arial"/>
                <w:color w:val="000000"/>
                <w:sz w:val="18"/>
                <w:szCs w:val="18"/>
              </w:rPr>
              <w:t>440)</w:t>
            </w:r>
          </w:p>
        </w:tc>
        <w:tc>
          <w:tcPr>
            <w:tcW w:w="2430" w:type="dxa"/>
            <w:vAlign w:val="bottom"/>
          </w:tcPr>
          <w:p w14:paraId="02A08402"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80 (-360</w:t>
            </w:r>
            <w:r>
              <w:rPr>
                <w:rFonts w:ascii="Arial" w:hAnsi="Arial" w:cs="Arial"/>
                <w:color w:val="000000"/>
                <w:sz w:val="18"/>
                <w:szCs w:val="18"/>
              </w:rPr>
              <w:t xml:space="preserve"> to </w:t>
            </w:r>
            <w:r w:rsidRPr="006A3150">
              <w:rPr>
                <w:rFonts w:ascii="Arial" w:hAnsi="Arial" w:cs="Arial"/>
                <w:color w:val="000000"/>
                <w:sz w:val="18"/>
                <w:szCs w:val="18"/>
              </w:rPr>
              <w:t>480)</w:t>
            </w:r>
          </w:p>
        </w:tc>
        <w:tc>
          <w:tcPr>
            <w:tcW w:w="2340" w:type="dxa"/>
            <w:vAlign w:val="bottom"/>
          </w:tcPr>
          <w:p w14:paraId="62F4E657"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230 (-340</w:t>
            </w:r>
            <w:r>
              <w:rPr>
                <w:rFonts w:ascii="Arial" w:hAnsi="Arial" w:cs="Arial"/>
                <w:color w:val="000000"/>
                <w:sz w:val="18"/>
                <w:szCs w:val="18"/>
              </w:rPr>
              <w:t xml:space="preserve"> to </w:t>
            </w:r>
            <w:r w:rsidRPr="006A3150">
              <w:rPr>
                <w:rFonts w:ascii="Arial" w:hAnsi="Arial" w:cs="Arial"/>
                <w:color w:val="000000"/>
                <w:sz w:val="18"/>
                <w:szCs w:val="18"/>
              </w:rPr>
              <w:t>720)</w:t>
            </w:r>
          </w:p>
        </w:tc>
        <w:tc>
          <w:tcPr>
            <w:tcW w:w="1530" w:type="dxa"/>
            <w:vAlign w:val="bottom"/>
          </w:tcPr>
          <w:p w14:paraId="6835787D"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236</w:t>
            </w:r>
          </w:p>
        </w:tc>
      </w:tr>
      <w:tr w:rsidR="00474D86" w:rsidRPr="007B7541" w14:paraId="7A8B520A" w14:textId="77777777" w:rsidTr="000863A6">
        <w:tc>
          <w:tcPr>
            <w:tcW w:w="1615" w:type="dxa"/>
            <w:vAlign w:val="bottom"/>
          </w:tcPr>
          <w:p w14:paraId="7BE72366" w14:textId="77777777" w:rsidR="00474D86" w:rsidRPr="006A3150" w:rsidRDefault="00474D86" w:rsidP="008617DD">
            <w:pPr>
              <w:spacing w:line="360" w:lineRule="auto"/>
              <w:rPr>
                <w:rFonts w:ascii="Arial" w:hAnsi="Arial" w:cs="Arial"/>
                <w:color w:val="000000"/>
                <w:sz w:val="18"/>
                <w:szCs w:val="18"/>
              </w:rPr>
            </w:pPr>
            <w:r w:rsidRPr="006A3150">
              <w:rPr>
                <w:rFonts w:ascii="Arial" w:hAnsi="Arial" w:cs="Arial"/>
                <w:color w:val="000000"/>
                <w:sz w:val="18"/>
                <w:szCs w:val="18"/>
              </w:rPr>
              <w:t>Poland</w:t>
            </w:r>
          </w:p>
        </w:tc>
        <w:tc>
          <w:tcPr>
            <w:tcW w:w="2430" w:type="dxa"/>
            <w:vAlign w:val="bottom"/>
          </w:tcPr>
          <w:p w14:paraId="6D45F251"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780 (-3,330</w:t>
            </w:r>
            <w:r>
              <w:rPr>
                <w:rFonts w:ascii="Arial" w:hAnsi="Arial" w:cs="Arial"/>
                <w:color w:val="000000"/>
                <w:sz w:val="18"/>
                <w:szCs w:val="18"/>
              </w:rPr>
              <w:t xml:space="preserve"> to </w:t>
            </w:r>
            <w:r w:rsidRPr="006A3150">
              <w:rPr>
                <w:rFonts w:ascii="Arial" w:hAnsi="Arial" w:cs="Arial"/>
                <w:color w:val="000000"/>
                <w:sz w:val="18"/>
                <w:szCs w:val="18"/>
              </w:rPr>
              <w:t>4,100)</w:t>
            </w:r>
          </w:p>
        </w:tc>
        <w:tc>
          <w:tcPr>
            <w:tcW w:w="2430" w:type="dxa"/>
            <w:vAlign w:val="bottom"/>
          </w:tcPr>
          <w:p w14:paraId="2F6E0DC7"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-430 (-5,190</w:t>
            </w:r>
            <w:r>
              <w:rPr>
                <w:rFonts w:ascii="Arial" w:hAnsi="Arial" w:cs="Arial"/>
                <w:color w:val="000000"/>
                <w:sz w:val="18"/>
                <w:szCs w:val="18"/>
              </w:rPr>
              <w:t xml:space="preserve"> to </w:t>
            </w:r>
            <w:r w:rsidRPr="006A3150">
              <w:rPr>
                <w:rFonts w:ascii="Arial" w:hAnsi="Arial" w:cs="Arial"/>
                <w:color w:val="000000"/>
                <w:sz w:val="18"/>
                <w:szCs w:val="18"/>
              </w:rPr>
              <w:t>3,800)</w:t>
            </w:r>
          </w:p>
        </w:tc>
        <w:tc>
          <w:tcPr>
            <w:tcW w:w="2340" w:type="dxa"/>
            <w:vAlign w:val="bottom"/>
          </w:tcPr>
          <w:p w14:paraId="2C136AFA"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380 (-6,410</w:t>
            </w:r>
            <w:r>
              <w:rPr>
                <w:rFonts w:ascii="Arial" w:hAnsi="Arial" w:cs="Arial"/>
                <w:color w:val="000000"/>
                <w:sz w:val="18"/>
                <w:szCs w:val="18"/>
              </w:rPr>
              <w:t xml:space="preserve"> to </w:t>
            </w:r>
            <w:r w:rsidRPr="006A3150">
              <w:rPr>
                <w:rFonts w:ascii="Arial" w:hAnsi="Arial" w:cs="Arial"/>
                <w:color w:val="000000"/>
                <w:sz w:val="18"/>
                <w:szCs w:val="18"/>
              </w:rPr>
              <w:t>6,000)</w:t>
            </w:r>
          </w:p>
        </w:tc>
        <w:tc>
          <w:tcPr>
            <w:tcW w:w="1530" w:type="dxa"/>
            <w:vAlign w:val="bottom"/>
          </w:tcPr>
          <w:p w14:paraId="7FFBD0EF"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1,061</w:t>
            </w:r>
          </w:p>
        </w:tc>
      </w:tr>
      <w:tr w:rsidR="00474D86" w:rsidRPr="007B7541" w14:paraId="05B92D51" w14:textId="77777777" w:rsidTr="000863A6">
        <w:tc>
          <w:tcPr>
            <w:tcW w:w="1615" w:type="dxa"/>
            <w:vAlign w:val="bottom"/>
          </w:tcPr>
          <w:p w14:paraId="4DD73528"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Portugal</w:t>
            </w:r>
          </w:p>
        </w:tc>
        <w:tc>
          <w:tcPr>
            <w:tcW w:w="2430" w:type="dxa"/>
            <w:vAlign w:val="bottom"/>
          </w:tcPr>
          <w:p w14:paraId="541F0C2F"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1,300 (170</w:t>
            </w:r>
            <w:r>
              <w:rPr>
                <w:rFonts w:ascii="Arial" w:hAnsi="Arial" w:cs="Arial"/>
                <w:color w:val="000000"/>
                <w:sz w:val="18"/>
                <w:szCs w:val="18"/>
              </w:rPr>
              <w:t xml:space="preserve"> to </w:t>
            </w:r>
            <w:r w:rsidRPr="006A3150">
              <w:rPr>
                <w:rFonts w:ascii="Arial" w:hAnsi="Arial" w:cs="Arial"/>
                <w:color w:val="000000"/>
                <w:sz w:val="18"/>
                <w:szCs w:val="18"/>
              </w:rPr>
              <w:t>2,400)</w:t>
            </w:r>
          </w:p>
        </w:tc>
        <w:tc>
          <w:tcPr>
            <w:tcW w:w="2430" w:type="dxa"/>
            <w:vAlign w:val="bottom"/>
          </w:tcPr>
          <w:p w14:paraId="462339F2"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1,600 (110</w:t>
            </w:r>
            <w:r>
              <w:rPr>
                <w:rFonts w:ascii="Arial" w:hAnsi="Arial" w:cs="Arial"/>
                <w:color w:val="000000"/>
                <w:sz w:val="18"/>
                <w:szCs w:val="18"/>
              </w:rPr>
              <w:t xml:space="preserve"> to </w:t>
            </w:r>
            <w:r w:rsidRPr="006A3150">
              <w:rPr>
                <w:rFonts w:ascii="Arial" w:hAnsi="Arial" w:cs="Arial"/>
                <w:color w:val="000000"/>
                <w:sz w:val="18"/>
                <w:szCs w:val="18"/>
              </w:rPr>
              <w:t>2,900)</w:t>
            </w:r>
          </w:p>
        </w:tc>
        <w:tc>
          <w:tcPr>
            <w:tcW w:w="2340" w:type="dxa"/>
            <w:vAlign w:val="bottom"/>
          </w:tcPr>
          <w:p w14:paraId="5072CEB5"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2,900 (1,000</w:t>
            </w:r>
            <w:r>
              <w:rPr>
                <w:rFonts w:ascii="Arial" w:hAnsi="Arial" w:cs="Arial"/>
                <w:color w:val="000000"/>
                <w:sz w:val="18"/>
                <w:szCs w:val="18"/>
              </w:rPr>
              <w:t xml:space="preserve"> to </w:t>
            </w:r>
            <w:r w:rsidRPr="006A3150">
              <w:rPr>
                <w:rFonts w:ascii="Arial" w:hAnsi="Arial" w:cs="Arial"/>
                <w:color w:val="000000"/>
                <w:sz w:val="18"/>
                <w:szCs w:val="18"/>
              </w:rPr>
              <w:t>4,700)</w:t>
            </w:r>
          </w:p>
        </w:tc>
        <w:tc>
          <w:tcPr>
            <w:tcW w:w="1530" w:type="dxa"/>
            <w:vAlign w:val="bottom"/>
          </w:tcPr>
          <w:p w14:paraId="5F70CEC4"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1,396</w:t>
            </w:r>
          </w:p>
        </w:tc>
      </w:tr>
      <w:tr w:rsidR="00474D86" w:rsidRPr="007B7541" w14:paraId="6894AEB8" w14:textId="77777777" w:rsidTr="000863A6">
        <w:tc>
          <w:tcPr>
            <w:tcW w:w="1615" w:type="dxa"/>
            <w:vAlign w:val="bottom"/>
          </w:tcPr>
          <w:p w14:paraId="2C0C366C" w14:textId="77777777" w:rsidR="00474D86" w:rsidRPr="006A3150" w:rsidRDefault="00474D86" w:rsidP="008617DD">
            <w:pPr>
              <w:spacing w:line="360" w:lineRule="auto"/>
              <w:rPr>
                <w:rFonts w:ascii="Arial" w:hAnsi="Arial" w:cs="Arial"/>
                <w:color w:val="000000"/>
                <w:sz w:val="18"/>
                <w:szCs w:val="18"/>
              </w:rPr>
            </w:pPr>
            <w:r w:rsidRPr="006A3150">
              <w:rPr>
                <w:rFonts w:ascii="Arial" w:hAnsi="Arial" w:cs="Arial"/>
                <w:color w:val="000000"/>
                <w:sz w:val="18"/>
                <w:szCs w:val="18"/>
              </w:rPr>
              <w:t>Scotland</w:t>
            </w:r>
          </w:p>
        </w:tc>
        <w:tc>
          <w:tcPr>
            <w:tcW w:w="2430" w:type="dxa"/>
            <w:vAlign w:val="bottom"/>
          </w:tcPr>
          <w:p w14:paraId="6B909756"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2,300 (1,700</w:t>
            </w:r>
            <w:r>
              <w:rPr>
                <w:rFonts w:ascii="Arial" w:hAnsi="Arial" w:cs="Arial"/>
                <w:color w:val="000000"/>
                <w:sz w:val="18"/>
                <w:szCs w:val="18"/>
              </w:rPr>
              <w:t xml:space="preserve"> to </w:t>
            </w:r>
            <w:r w:rsidRPr="006A3150">
              <w:rPr>
                <w:rFonts w:ascii="Arial" w:hAnsi="Arial" w:cs="Arial"/>
                <w:color w:val="000000"/>
                <w:sz w:val="18"/>
                <w:szCs w:val="18"/>
              </w:rPr>
              <w:t>2,800)</w:t>
            </w:r>
          </w:p>
        </w:tc>
        <w:tc>
          <w:tcPr>
            <w:tcW w:w="2430" w:type="dxa"/>
            <w:vAlign w:val="bottom"/>
          </w:tcPr>
          <w:p w14:paraId="250AB0BC"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2,300 (1,600</w:t>
            </w:r>
            <w:r>
              <w:rPr>
                <w:rFonts w:ascii="Arial" w:hAnsi="Arial" w:cs="Arial"/>
                <w:color w:val="000000"/>
                <w:sz w:val="18"/>
                <w:szCs w:val="18"/>
              </w:rPr>
              <w:t xml:space="preserve"> to </w:t>
            </w:r>
            <w:r w:rsidRPr="006A3150">
              <w:rPr>
                <w:rFonts w:ascii="Arial" w:hAnsi="Arial" w:cs="Arial"/>
                <w:color w:val="000000"/>
                <w:sz w:val="18"/>
                <w:szCs w:val="18"/>
              </w:rPr>
              <w:t>3,000)</w:t>
            </w:r>
          </w:p>
        </w:tc>
        <w:tc>
          <w:tcPr>
            <w:tcW w:w="2340" w:type="dxa"/>
            <w:vAlign w:val="bottom"/>
          </w:tcPr>
          <w:p w14:paraId="262AE4C1"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4,600 (3,700</w:t>
            </w:r>
            <w:r>
              <w:rPr>
                <w:rFonts w:ascii="Arial" w:hAnsi="Arial" w:cs="Arial"/>
                <w:color w:val="000000"/>
                <w:sz w:val="18"/>
                <w:szCs w:val="18"/>
              </w:rPr>
              <w:t xml:space="preserve"> to </w:t>
            </w:r>
            <w:r w:rsidRPr="006A3150">
              <w:rPr>
                <w:rFonts w:ascii="Arial" w:hAnsi="Arial" w:cs="Arial"/>
                <w:color w:val="000000"/>
                <w:sz w:val="18"/>
                <w:szCs w:val="18"/>
              </w:rPr>
              <w:t>5,500)</w:t>
            </w:r>
          </w:p>
        </w:tc>
        <w:tc>
          <w:tcPr>
            <w:tcW w:w="1530" w:type="dxa"/>
            <w:vAlign w:val="bottom"/>
          </w:tcPr>
          <w:p w14:paraId="56968C64"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3,914</w:t>
            </w:r>
          </w:p>
        </w:tc>
      </w:tr>
      <w:tr w:rsidR="00474D86" w:rsidRPr="007B7541" w14:paraId="69B7D756" w14:textId="77777777" w:rsidTr="000863A6">
        <w:tc>
          <w:tcPr>
            <w:tcW w:w="1615" w:type="dxa"/>
            <w:vAlign w:val="bottom"/>
          </w:tcPr>
          <w:p w14:paraId="2AFFB33E" w14:textId="77777777" w:rsidR="00474D86" w:rsidRPr="006A3150" w:rsidRDefault="00474D86" w:rsidP="008617DD">
            <w:pPr>
              <w:spacing w:line="360" w:lineRule="auto"/>
              <w:rPr>
                <w:rFonts w:ascii="Arial" w:hAnsi="Arial" w:cs="Arial"/>
                <w:color w:val="000000"/>
                <w:sz w:val="18"/>
                <w:szCs w:val="18"/>
              </w:rPr>
            </w:pPr>
            <w:r w:rsidRPr="006A3150">
              <w:rPr>
                <w:rFonts w:ascii="Arial" w:hAnsi="Arial" w:cs="Arial"/>
                <w:color w:val="000000"/>
                <w:sz w:val="18"/>
                <w:szCs w:val="18"/>
              </w:rPr>
              <w:t>Slovakia</w:t>
            </w:r>
          </w:p>
        </w:tc>
        <w:tc>
          <w:tcPr>
            <w:tcW w:w="2430" w:type="dxa"/>
            <w:vAlign w:val="bottom"/>
          </w:tcPr>
          <w:p w14:paraId="2E8C28AB"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-190 (-850</w:t>
            </w:r>
            <w:r>
              <w:rPr>
                <w:rFonts w:ascii="Arial" w:hAnsi="Arial" w:cs="Arial"/>
                <w:color w:val="000000"/>
                <w:sz w:val="18"/>
                <w:szCs w:val="18"/>
              </w:rPr>
              <w:t xml:space="preserve"> to </w:t>
            </w:r>
            <w:r w:rsidRPr="006A3150">
              <w:rPr>
                <w:rFonts w:ascii="Arial" w:hAnsi="Arial" w:cs="Arial"/>
                <w:color w:val="000000"/>
                <w:sz w:val="18"/>
                <w:szCs w:val="18"/>
              </w:rPr>
              <w:t>320)</w:t>
            </w:r>
          </w:p>
        </w:tc>
        <w:tc>
          <w:tcPr>
            <w:tcW w:w="2430" w:type="dxa"/>
            <w:vAlign w:val="bottom"/>
          </w:tcPr>
          <w:p w14:paraId="5200E51D"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-120 (-980</w:t>
            </w:r>
            <w:r>
              <w:rPr>
                <w:rFonts w:ascii="Arial" w:hAnsi="Arial" w:cs="Arial"/>
                <w:color w:val="000000"/>
                <w:sz w:val="18"/>
                <w:szCs w:val="18"/>
              </w:rPr>
              <w:t xml:space="preserve"> to </w:t>
            </w:r>
            <w:r w:rsidRPr="006A3150">
              <w:rPr>
                <w:rFonts w:ascii="Arial" w:hAnsi="Arial" w:cs="Arial"/>
                <w:color w:val="000000"/>
                <w:sz w:val="18"/>
                <w:szCs w:val="18"/>
              </w:rPr>
              <w:t>540)</w:t>
            </w:r>
          </w:p>
        </w:tc>
        <w:tc>
          <w:tcPr>
            <w:tcW w:w="2340" w:type="dxa"/>
            <w:vAlign w:val="bottom"/>
          </w:tcPr>
          <w:p w14:paraId="07625DD5"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-330 (-1,440</w:t>
            </w:r>
            <w:r>
              <w:rPr>
                <w:rFonts w:ascii="Arial" w:hAnsi="Arial" w:cs="Arial"/>
                <w:color w:val="000000"/>
                <w:sz w:val="18"/>
                <w:szCs w:val="18"/>
              </w:rPr>
              <w:t xml:space="preserve"> to </w:t>
            </w:r>
            <w:r w:rsidRPr="006A3150">
              <w:rPr>
                <w:rFonts w:ascii="Arial" w:hAnsi="Arial" w:cs="Arial"/>
                <w:color w:val="000000"/>
                <w:sz w:val="18"/>
                <w:szCs w:val="18"/>
              </w:rPr>
              <w:t>540)</w:t>
            </w:r>
          </w:p>
        </w:tc>
        <w:tc>
          <w:tcPr>
            <w:tcW w:w="1530" w:type="dxa"/>
            <w:vAlign w:val="bottom"/>
          </w:tcPr>
          <w:p w14:paraId="63B6751D" w14:textId="77777777" w:rsidR="00474D86" w:rsidRPr="006A3150" w:rsidRDefault="00474D86" w:rsidP="008617DD">
            <w:pPr>
              <w:spacing w:line="360" w:lineRule="auto"/>
              <w:jc w:val="center"/>
              <w:rPr>
                <w:rFonts w:ascii="Arial" w:hAnsi="Arial" w:cs="Arial"/>
                <w:color w:val="000000"/>
                <w:sz w:val="18"/>
                <w:szCs w:val="18"/>
              </w:rPr>
            </w:pPr>
            <w:r w:rsidRPr="006A3150">
              <w:rPr>
                <w:rFonts w:ascii="Arial" w:hAnsi="Arial" w:cs="Arial"/>
                <w:color w:val="000000"/>
                <w:sz w:val="18"/>
                <w:szCs w:val="18"/>
              </w:rPr>
              <w:t>28</w:t>
            </w:r>
          </w:p>
        </w:tc>
      </w:tr>
      <w:tr w:rsidR="00474D86" w:rsidRPr="007B7541" w14:paraId="384CB6A2" w14:textId="77777777" w:rsidTr="000863A6">
        <w:tc>
          <w:tcPr>
            <w:tcW w:w="1615" w:type="dxa"/>
            <w:vAlign w:val="bottom"/>
          </w:tcPr>
          <w:p w14:paraId="4CCCFD78"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Spain</w:t>
            </w:r>
          </w:p>
        </w:tc>
        <w:tc>
          <w:tcPr>
            <w:tcW w:w="2430" w:type="dxa"/>
            <w:vAlign w:val="bottom"/>
          </w:tcPr>
          <w:p w14:paraId="6F24CEC4"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22,700 (19,000</w:t>
            </w:r>
            <w:r>
              <w:rPr>
                <w:rFonts w:ascii="Arial" w:hAnsi="Arial" w:cs="Arial"/>
                <w:color w:val="000000"/>
                <w:sz w:val="18"/>
                <w:szCs w:val="18"/>
              </w:rPr>
              <w:t xml:space="preserve"> to </w:t>
            </w:r>
            <w:r w:rsidRPr="006A3150">
              <w:rPr>
                <w:rFonts w:ascii="Arial" w:hAnsi="Arial" w:cs="Arial"/>
                <w:color w:val="000000"/>
                <w:sz w:val="18"/>
                <w:szCs w:val="18"/>
              </w:rPr>
              <w:t>26,100)</w:t>
            </w:r>
          </w:p>
        </w:tc>
        <w:tc>
          <w:tcPr>
            <w:tcW w:w="2430" w:type="dxa"/>
            <w:vAlign w:val="bottom"/>
          </w:tcPr>
          <w:p w14:paraId="721D1DCD"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23,200 (18,500</w:t>
            </w:r>
            <w:r>
              <w:rPr>
                <w:rFonts w:ascii="Arial" w:hAnsi="Arial" w:cs="Arial"/>
                <w:color w:val="000000"/>
                <w:sz w:val="18"/>
                <w:szCs w:val="18"/>
              </w:rPr>
              <w:t xml:space="preserve"> to </w:t>
            </w:r>
            <w:r w:rsidRPr="006A3150">
              <w:rPr>
                <w:rFonts w:ascii="Arial" w:hAnsi="Arial" w:cs="Arial"/>
                <w:color w:val="000000"/>
                <w:sz w:val="18"/>
                <w:szCs w:val="18"/>
              </w:rPr>
              <w:t>27,700)</w:t>
            </w:r>
          </w:p>
        </w:tc>
        <w:tc>
          <w:tcPr>
            <w:tcW w:w="2340" w:type="dxa"/>
            <w:vAlign w:val="bottom"/>
          </w:tcPr>
          <w:p w14:paraId="620D3130"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45,800 (39,900</w:t>
            </w:r>
            <w:r>
              <w:rPr>
                <w:rFonts w:ascii="Arial" w:hAnsi="Arial" w:cs="Arial"/>
                <w:color w:val="000000"/>
                <w:sz w:val="18"/>
                <w:szCs w:val="18"/>
              </w:rPr>
              <w:t xml:space="preserve"> to </w:t>
            </w:r>
            <w:r w:rsidRPr="006A3150">
              <w:rPr>
                <w:rFonts w:ascii="Arial" w:hAnsi="Arial" w:cs="Arial"/>
                <w:color w:val="000000"/>
                <w:sz w:val="18"/>
                <w:szCs w:val="18"/>
              </w:rPr>
              <w:t>51,700)</w:t>
            </w:r>
          </w:p>
        </w:tc>
        <w:tc>
          <w:tcPr>
            <w:tcW w:w="1530" w:type="dxa"/>
            <w:vAlign w:val="bottom"/>
          </w:tcPr>
          <w:p w14:paraId="2F24F80C"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27,127</w:t>
            </w:r>
          </w:p>
        </w:tc>
      </w:tr>
      <w:tr w:rsidR="00474D86" w:rsidRPr="007B7541" w14:paraId="6B2A3BA0" w14:textId="77777777" w:rsidTr="000863A6">
        <w:tc>
          <w:tcPr>
            <w:tcW w:w="1615" w:type="dxa"/>
            <w:vAlign w:val="bottom"/>
          </w:tcPr>
          <w:p w14:paraId="72072942"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Sweden</w:t>
            </w:r>
          </w:p>
        </w:tc>
        <w:tc>
          <w:tcPr>
            <w:tcW w:w="2430" w:type="dxa"/>
            <w:vAlign w:val="bottom"/>
          </w:tcPr>
          <w:p w14:paraId="17C6C2F6"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3,000 (2,300</w:t>
            </w:r>
            <w:r>
              <w:rPr>
                <w:rFonts w:ascii="Arial" w:hAnsi="Arial" w:cs="Arial"/>
                <w:color w:val="000000"/>
                <w:sz w:val="18"/>
                <w:szCs w:val="18"/>
              </w:rPr>
              <w:t xml:space="preserve"> to </w:t>
            </w:r>
            <w:r w:rsidRPr="006A3150">
              <w:rPr>
                <w:rFonts w:ascii="Arial" w:hAnsi="Arial" w:cs="Arial"/>
                <w:color w:val="000000"/>
                <w:sz w:val="18"/>
                <w:szCs w:val="18"/>
              </w:rPr>
              <w:t>3,600)</w:t>
            </w:r>
          </w:p>
        </w:tc>
        <w:tc>
          <w:tcPr>
            <w:tcW w:w="2430" w:type="dxa"/>
            <w:vAlign w:val="bottom"/>
          </w:tcPr>
          <w:p w14:paraId="3F32261E"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2,500 (1,600</w:t>
            </w:r>
            <w:r>
              <w:rPr>
                <w:rFonts w:ascii="Arial" w:hAnsi="Arial" w:cs="Arial"/>
                <w:color w:val="000000"/>
                <w:sz w:val="18"/>
                <w:szCs w:val="18"/>
              </w:rPr>
              <w:t xml:space="preserve"> to </w:t>
            </w:r>
            <w:r w:rsidRPr="006A3150">
              <w:rPr>
                <w:rFonts w:ascii="Arial" w:hAnsi="Arial" w:cs="Arial"/>
                <w:color w:val="000000"/>
                <w:sz w:val="18"/>
                <w:szCs w:val="18"/>
              </w:rPr>
              <w:t>3,400)</w:t>
            </w:r>
          </w:p>
        </w:tc>
        <w:tc>
          <w:tcPr>
            <w:tcW w:w="2340" w:type="dxa"/>
            <w:vAlign w:val="bottom"/>
          </w:tcPr>
          <w:p w14:paraId="01ED2312"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5,500 (4,400</w:t>
            </w:r>
            <w:r>
              <w:rPr>
                <w:rFonts w:ascii="Arial" w:hAnsi="Arial" w:cs="Arial"/>
                <w:color w:val="000000"/>
                <w:sz w:val="18"/>
                <w:szCs w:val="18"/>
              </w:rPr>
              <w:t xml:space="preserve"> to </w:t>
            </w:r>
            <w:r w:rsidRPr="006A3150">
              <w:rPr>
                <w:rFonts w:ascii="Arial" w:hAnsi="Arial" w:cs="Arial"/>
                <w:color w:val="000000"/>
                <w:sz w:val="18"/>
                <w:szCs w:val="18"/>
              </w:rPr>
              <w:t>6,500)</w:t>
            </w:r>
          </w:p>
        </w:tc>
        <w:tc>
          <w:tcPr>
            <w:tcW w:w="1530" w:type="dxa"/>
            <w:vAlign w:val="bottom"/>
          </w:tcPr>
          <w:p w14:paraId="016718AC"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4,395</w:t>
            </w:r>
          </w:p>
        </w:tc>
      </w:tr>
      <w:tr w:rsidR="00474D86" w:rsidRPr="007B7541" w14:paraId="6B2D4CB0" w14:textId="77777777" w:rsidTr="000863A6">
        <w:tc>
          <w:tcPr>
            <w:tcW w:w="1615" w:type="dxa"/>
            <w:vAlign w:val="bottom"/>
          </w:tcPr>
          <w:p w14:paraId="4E3E625A" w14:textId="77777777" w:rsidR="00474D86" w:rsidRPr="006A3150" w:rsidRDefault="00474D86" w:rsidP="008617DD">
            <w:pPr>
              <w:spacing w:line="360" w:lineRule="auto"/>
              <w:rPr>
                <w:rFonts w:ascii="Arial" w:hAnsi="Arial" w:cs="Arial"/>
                <w:sz w:val="18"/>
                <w:szCs w:val="18"/>
              </w:rPr>
            </w:pPr>
            <w:r w:rsidRPr="006A3150">
              <w:rPr>
                <w:rFonts w:ascii="Arial" w:hAnsi="Arial" w:cs="Arial"/>
                <w:color w:val="000000"/>
                <w:sz w:val="18"/>
                <w:szCs w:val="18"/>
              </w:rPr>
              <w:t>Switzerland</w:t>
            </w:r>
          </w:p>
        </w:tc>
        <w:tc>
          <w:tcPr>
            <w:tcW w:w="2430" w:type="dxa"/>
            <w:vAlign w:val="bottom"/>
          </w:tcPr>
          <w:p w14:paraId="4A4FFFD2"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940 (320</w:t>
            </w:r>
            <w:r>
              <w:rPr>
                <w:rFonts w:ascii="Arial" w:hAnsi="Arial" w:cs="Arial"/>
                <w:color w:val="000000"/>
                <w:sz w:val="18"/>
                <w:szCs w:val="18"/>
              </w:rPr>
              <w:t xml:space="preserve"> to </w:t>
            </w:r>
            <w:r w:rsidRPr="006A3150">
              <w:rPr>
                <w:rFonts w:ascii="Arial" w:hAnsi="Arial" w:cs="Arial"/>
                <w:color w:val="000000"/>
                <w:sz w:val="18"/>
                <w:szCs w:val="18"/>
              </w:rPr>
              <w:t>1,500)</w:t>
            </w:r>
          </w:p>
        </w:tc>
        <w:tc>
          <w:tcPr>
            <w:tcW w:w="2430" w:type="dxa"/>
            <w:vAlign w:val="bottom"/>
          </w:tcPr>
          <w:p w14:paraId="7A15EF0E"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460 (-340</w:t>
            </w:r>
            <w:r>
              <w:rPr>
                <w:rFonts w:ascii="Arial" w:hAnsi="Arial" w:cs="Arial"/>
                <w:color w:val="000000"/>
                <w:sz w:val="18"/>
                <w:szCs w:val="18"/>
              </w:rPr>
              <w:t xml:space="preserve"> to </w:t>
            </w:r>
            <w:r w:rsidRPr="006A3150">
              <w:rPr>
                <w:rFonts w:ascii="Arial" w:hAnsi="Arial" w:cs="Arial"/>
                <w:color w:val="000000"/>
                <w:sz w:val="18"/>
                <w:szCs w:val="18"/>
              </w:rPr>
              <w:t>1,200)</w:t>
            </w:r>
          </w:p>
        </w:tc>
        <w:tc>
          <w:tcPr>
            <w:tcW w:w="2340" w:type="dxa"/>
            <w:vAlign w:val="bottom"/>
          </w:tcPr>
          <w:p w14:paraId="3680EF23"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1,400 (350</w:t>
            </w:r>
            <w:r>
              <w:rPr>
                <w:rFonts w:ascii="Arial" w:hAnsi="Arial" w:cs="Arial"/>
                <w:color w:val="000000"/>
                <w:sz w:val="18"/>
                <w:szCs w:val="18"/>
              </w:rPr>
              <w:t xml:space="preserve"> to </w:t>
            </w:r>
            <w:r w:rsidRPr="006A3150">
              <w:rPr>
                <w:rFonts w:ascii="Arial" w:hAnsi="Arial" w:cs="Arial"/>
                <w:color w:val="000000"/>
                <w:sz w:val="18"/>
                <w:szCs w:val="18"/>
              </w:rPr>
              <w:t>2,300)</w:t>
            </w:r>
          </w:p>
        </w:tc>
        <w:tc>
          <w:tcPr>
            <w:tcW w:w="1530" w:type="dxa"/>
            <w:vAlign w:val="bottom"/>
          </w:tcPr>
          <w:p w14:paraId="0B62DFB8" w14:textId="77777777" w:rsidR="00474D86" w:rsidRPr="006A3150" w:rsidRDefault="00474D86" w:rsidP="008617DD">
            <w:pPr>
              <w:spacing w:line="360" w:lineRule="auto"/>
              <w:jc w:val="center"/>
              <w:rPr>
                <w:rFonts w:ascii="Arial" w:hAnsi="Arial" w:cs="Arial"/>
                <w:sz w:val="18"/>
                <w:szCs w:val="18"/>
              </w:rPr>
            </w:pPr>
            <w:r w:rsidRPr="006A3150">
              <w:rPr>
                <w:rFonts w:ascii="Arial" w:hAnsi="Arial" w:cs="Arial"/>
                <w:color w:val="000000"/>
                <w:sz w:val="18"/>
                <w:szCs w:val="18"/>
              </w:rPr>
              <w:t>1,656</w:t>
            </w:r>
          </w:p>
        </w:tc>
      </w:tr>
    </w:tbl>
    <w:p w14:paraId="43E3FAA4" w14:textId="77777777" w:rsidR="00474D86" w:rsidRPr="007B7541" w:rsidRDefault="00474D86" w:rsidP="003179EE">
      <w:pPr>
        <w:jc w:val="both"/>
        <w:rPr>
          <w:rFonts w:ascii="Arial" w:hAnsi="Arial" w:cs="Arial"/>
          <w:sz w:val="18"/>
          <w:szCs w:val="18"/>
        </w:rPr>
      </w:pPr>
      <w:r w:rsidRPr="007B7541">
        <w:rPr>
          <w:rFonts w:ascii="Arial" w:hAnsi="Arial" w:cs="Arial"/>
          <w:sz w:val="18"/>
          <w:szCs w:val="18"/>
          <w:vertAlign w:val="superscript"/>
        </w:rPr>
        <w:t>1</w:t>
      </w:r>
      <w:r w:rsidRPr="007B7541">
        <w:rPr>
          <w:rFonts w:ascii="Arial" w:hAnsi="Arial" w:cs="Arial"/>
          <w:sz w:val="18"/>
          <w:szCs w:val="18"/>
        </w:rPr>
        <w:t xml:space="preserve"> Data are from Office for National Statistics for England and Wales</w:t>
      </w:r>
      <w:r>
        <w:rPr>
          <w:rFonts w:ascii="Arial" w:hAnsi="Arial" w:cs="Arial"/>
          <w:sz w:val="18"/>
          <w:szCs w:val="18"/>
        </w:rPr>
        <w:t xml:space="preserve"> (</w:t>
      </w:r>
      <w:hyperlink r:id="rId8" w:history="1">
        <w:r w:rsidRPr="00F015CF">
          <w:rPr>
            <w:rStyle w:val="Hyperlink"/>
            <w:rFonts w:ascii="Arial" w:hAnsi="Arial" w:cs="Arial"/>
          </w:rPr>
          <w:t>https://www.ons.gov.uk/ peoplepopulationandcommunity/birthsdeathsandmarriages/deaths/datasets/weeklyprovisionalfiguresondeathsregisteredinenglandandwales</w:t>
        </w:r>
      </w:hyperlink>
      <w:r>
        <w:rPr>
          <w:rFonts w:ascii="Arial" w:hAnsi="Arial" w:cs="Arial"/>
          <w:sz w:val="18"/>
          <w:szCs w:val="18"/>
        </w:rPr>
        <w:t>)</w:t>
      </w:r>
      <w:r w:rsidRPr="007B7541">
        <w:rPr>
          <w:rFonts w:ascii="Arial" w:hAnsi="Arial" w:cs="Arial"/>
          <w:sz w:val="18"/>
          <w:szCs w:val="18"/>
        </w:rPr>
        <w:t>,</w:t>
      </w:r>
      <w:r>
        <w:rPr>
          <w:rFonts w:ascii="Arial" w:hAnsi="Arial" w:cs="Arial"/>
          <w:sz w:val="18"/>
          <w:szCs w:val="18"/>
        </w:rPr>
        <w:t xml:space="preserve"> NRS Scotland for Scotland (</w:t>
      </w:r>
      <w:hyperlink r:id="rId9" w:history="1">
        <w:r w:rsidRPr="00F015CF">
          <w:rPr>
            <w:rStyle w:val="Hyperlink"/>
            <w:rFonts w:ascii="Arial" w:hAnsi="Arial" w:cs="Arial"/>
          </w:rPr>
          <w:t>https://www.nrscotland.gov.uk/covid19stats</w:t>
        </w:r>
      </w:hyperlink>
      <w:r>
        <w:rPr>
          <w:rFonts w:ascii="Arial" w:hAnsi="Arial" w:cs="Arial"/>
          <w:sz w:val="18"/>
          <w:szCs w:val="18"/>
        </w:rPr>
        <w:t>),</w:t>
      </w:r>
      <w:r w:rsidRPr="007B7541">
        <w:rPr>
          <w:rFonts w:ascii="Arial" w:hAnsi="Arial" w:cs="Arial"/>
          <w:sz w:val="18"/>
          <w:szCs w:val="18"/>
        </w:rPr>
        <w:t xml:space="preserve"> and the European Centre for Disease Prevention and Control (ECDC) for other countries (</w:t>
      </w:r>
      <w:hyperlink r:id="rId10" w:history="1">
        <w:r>
          <w:rPr>
            <w:rStyle w:val="Hyperlink"/>
            <w:rFonts w:ascii="Arial" w:hAnsi="Arial" w:cs="Arial"/>
          </w:rPr>
          <w:t>https://www.ecdc.europa.eu/en/publications-data/download-todays-data-geographic-distribution-covid-19-cases-worldwide</w:t>
        </w:r>
      </w:hyperlink>
      <w:r w:rsidRPr="007B7541">
        <w:rPr>
          <w:rFonts w:ascii="Arial" w:hAnsi="Arial" w:cs="Arial"/>
          <w:sz w:val="18"/>
          <w:szCs w:val="18"/>
        </w:rPr>
        <w:t xml:space="preserve">; accessed on </w:t>
      </w:r>
      <w:r>
        <w:rPr>
          <w:rFonts w:ascii="Arial" w:hAnsi="Arial" w:cs="Arial"/>
          <w:sz w:val="18"/>
          <w:szCs w:val="18"/>
        </w:rPr>
        <w:t xml:space="preserve">20 August </w:t>
      </w:r>
      <w:r w:rsidRPr="007B7541">
        <w:rPr>
          <w:rFonts w:ascii="Arial" w:hAnsi="Arial" w:cs="Arial"/>
          <w:sz w:val="18"/>
          <w:szCs w:val="18"/>
        </w:rPr>
        <w:t xml:space="preserve">2020). ECDC data were only available for both sexes combined. </w:t>
      </w:r>
    </w:p>
    <w:p w14:paraId="1C13456A" w14:textId="77777777" w:rsidR="00474D86" w:rsidRPr="007B7541" w:rsidRDefault="00474D86" w:rsidP="003179EE">
      <w:pPr>
        <w:jc w:val="both"/>
        <w:rPr>
          <w:rFonts w:ascii="Arial" w:hAnsi="Arial" w:cs="Arial"/>
          <w:sz w:val="18"/>
          <w:szCs w:val="18"/>
        </w:rPr>
      </w:pPr>
      <w:r w:rsidRPr="007B7541">
        <w:rPr>
          <w:rFonts w:ascii="Arial" w:hAnsi="Arial" w:cs="Arial"/>
          <w:sz w:val="18"/>
          <w:szCs w:val="18"/>
          <w:vertAlign w:val="superscript"/>
        </w:rPr>
        <w:t>2</w:t>
      </w:r>
      <w:r w:rsidRPr="007B7541">
        <w:rPr>
          <w:rFonts w:ascii="Arial" w:hAnsi="Arial" w:cs="Arial"/>
          <w:sz w:val="18"/>
          <w:szCs w:val="18"/>
        </w:rPr>
        <w:t xml:space="preserve"> Data on all-cause mortality, which is used to estimate excess deaths, for Italy are from municipalities with up-to-date death registration, that cover 95.0% of the population and 98.0% of COVID deaths. Data for deaths assigned to Covid-19 are for the entire country.</w:t>
      </w:r>
    </w:p>
    <w:p w14:paraId="2A5AB333" w14:textId="77777777" w:rsidR="00474D86" w:rsidRPr="007B7541" w:rsidRDefault="00474D86" w:rsidP="003179EE">
      <w:pPr>
        <w:jc w:val="both"/>
        <w:rPr>
          <w:rFonts w:ascii="Arial" w:hAnsi="Arial" w:cs="Arial"/>
          <w:sz w:val="18"/>
          <w:szCs w:val="18"/>
        </w:rPr>
      </w:pPr>
    </w:p>
    <w:p w14:paraId="74996E23" w14:textId="77777777" w:rsidR="00474D86" w:rsidRPr="007B7541" w:rsidRDefault="00474D86" w:rsidP="003179EE">
      <w:pPr>
        <w:rPr>
          <w:rFonts w:ascii="Arial" w:hAnsi="Arial" w:cs="Arial"/>
          <w:sz w:val="22"/>
          <w:szCs w:val="22"/>
        </w:rPr>
      </w:pPr>
    </w:p>
    <w:p w14:paraId="3D2320E9" w14:textId="77777777" w:rsidR="00474D86" w:rsidRPr="007B7541" w:rsidRDefault="00474D86" w:rsidP="003179EE">
      <w:pPr>
        <w:rPr>
          <w:rFonts w:ascii="Arial" w:hAnsi="Arial" w:cs="Arial"/>
          <w:sz w:val="22"/>
          <w:szCs w:val="22"/>
        </w:rPr>
      </w:pPr>
    </w:p>
    <w:p w14:paraId="07B26F94" w14:textId="77777777" w:rsidR="00474D86" w:rsidRPr="007B7541" w:rsidRDefault="00474D86" w:rsidP="00937033">
      <w:pPr>
        <w:rPr>
          <w:rFonts w:ascii="Arial" w:hAnsi="Arial" w:cs="Arial"/>
          <w:sz w:val="22"/>
          <w:szCs w:val="22"/>
        </w:rPr>
      </w:pPr>
    </w:p>
    <w:p w14:paraId="636F2794" w14:textId="77777777" w:rsidR="00474D86" w:rsidRDefault="00474D86">
      <w:pPr>
        <w:spacing w:after="200" w:line="276" w:lineRule="auto"/>
        <w:rPr>
          <w:rFonts w:ascii="Arial" w:hAnsi="Arial" w:cs="Arial"/>
          <w:sz w:val="22"/>
          <w:szCs w:val="22"/>
          <w:highlight w:val="cyan"/>
        </w:rPr>
      </w:pPr>
      <w:r>
        <w:rPr>
          <w:rFonts w:ascii="Arial" w:hAnsi="Arial" w:cs="Arial"/>
          <w:sz w:val="22"/>
          <w:szCs w:val="22"/>
          <w:highlight w:val="cyan"/>
        </w:rPr>
        <w:br w:type="page"/>
      </w:r>
    </w:p>
    <w:p w14:paraId="3A4E360D" w14:textId="77777777" w:rsidR="00474D86" w:rsidRDefault="00474D86" w:rsidP="000D0D91">
      <w:pPr>
        <w:spacing w:line="480" w:lineRule="auto"/>
        <w:jc w:val="both"/>
        <w:rPr>
          <w:rFonts w:ascii="Arial" w:hAnsi="Arial" w:cs="Arial"/>
          <w:sz w:val="22"/>
          <w:szCs w:val="22"/>
          <w:highlight w:val="cyan"/>
        </w:rPr>
      </w:pPr>
    </w:p>
    <w:p w14:paraId="657C7008" w14:textId="77777777" w:rsidR="00474D86" w:rsidRPr="00297CE6" w:rsidRDefault="00474D86" w:rsidP="000D0D91">
      <w:pPr>
        <w:spacing w:line="480" w:lineRule="auto"/>
        <w:jc w:val="both"/>
        <w:rPr>
          <w:rFonts w:ascii="Arial" w:hAnsi="Arial" w:cs="Arial"/>
          <w:sz w:val="22"/>
          <w:szCs w:val="22"/>
        </w:rPr>
      </w:pPr>
      <w:r w:rsidRPr="00297CE6">
        <w:rPr>
          <w:rFonts w:ascii="Arial" w:hAnsi="Arial" w:cs="Arial"/>
          <w:b/>
          <w:bCs/>
          <w:sz w:val="22"/>
          <w:szCs w:val="22"/>
        </w:rPr>
        <w:t>Extended Data Table 2.</w:t>
      </w:r>
      <w:r w:rsidRPr="00297CE6">
        <w:rPr>
          <w:rFonts w:ascii="Arial" w:hAnsi="Arial" w:cs="Arial"/>
          <w:sz w:val="22"/>
          <w:szCs w:val="22"/>
        </w:rPr>
        <w:t xml:space="preserve"> Sources of data on death and population used in the paper.</w:t>
      </w:r>
    </w:p>
    <w:p w14:paraId="71E2BE8A" w14:textId="77777777" w:rsidR="00474D86" w:rsidRPr="00297CE6" w:rsidRDefault="00474D86" w:rsidP="00847B82">
      <w:pPr>
        <w:rPr>
          <w:rFonts w:ascii="Arial" w:hAnsi="Arial" w:cs="Arial"/>
          <w:sz w:val="18"/>
          <w:szCs w:val="18"/>
        </w:rPr>
      </w:pPr>
    </w:p>
    <w:p w14:paraId="22B4B9F5" w14:textId="77777777" w:rsidR="00474D86" w:rsidRPr="00297CE6" w:rsidRDefault="00474D86" w:rsidP="00847B82">
      <w:pPr>
        <w:rPr>
          <w:rFonts w:ascii="Arial" w:hAnsi="Arial" w:cs="Arial"/>
          <w:sz w:val="18"/>
          <w:szCs w:val="18"/>
        </w:rPr>
      </w:pPr>
    </w:p>
    <w:tbl>
      <w:tblPr>
        <w:tblStyle w:val="TableGrid"/>
        <w:tblW w:w="9067" w:type="dxa"/>
        <w:tblLayout w:type="fixed"/>
        <w:tblLook w:val="04A0" w:firstRow="1" w:lastRow="0" w:firstColumn="1" w:lastColumn="0" w:noHBand="0" w:noVBand="1"/>
      </w:tblPr>
      <w:tblGrid>
        <w:gridCol w:w="1838"/>
        <w:gridCol w:w="5267"/>
        <w:gridCol w:w="1962"/>
      </w:tblGrid>
      <w:tr w:rsidR="00474D86" w:rsidRPr="00DF67DE" w14:paraId="67E1DBFD" w14:textId="77777777" w:rsidTr="008617DD">
        <w:tc>
          <w:tcPr>
            <w:tcW w:w="1838" w:type="dxa"/>
          </w:tcPr>
          <w:p w14:paraId="0A4EAF5E" w14:textId="77777777" w:rsidR="00474D86" w:rsidRPr="00DF67DE" w:rsidRDefault="00474D86" w:rsidP="008617DD">
            <w:pPr>
              <w:rPr>
                <w:rFonts w:ascii="Arial" w:hAnsi="Arial" w:cs="Arial"/>
                <w:sz w:val="18"/>
                <w:szCs w:val="18"/>
              </w:rPr>
            </w:pPr>
          </w:p>
        </w:tc>
        <w:tc>
          <w:tcPr>
            <w:tcW w:w="5267" w:type="dxa"/>
          </w:tcPr>
          <w:p w14:paraId="07AA67F1"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Data sources for deaths and population</w:t>
            </w:r>
          </w:p>
        </w:tc>
        <w:tc>
          <w:tcPr>
            <w:tcW w:w="1962" w:type="dxa"/>
          </w:tcPr>
          <w:p w14:paraId="2F624445"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Start of time series</w:t>
            </w:r>
          </w:p>
        </w:tc>
      </w:tr>
      <w:tr w:rsidR="00474D86" w:rsidRPr="00DF67DE" w14:paraId="0F156B32" w14:textId="77777777" w:rsidTr="008617DD">
        <w:tc>
          <w:tcPr>
            <w:tcW w:w="1838" w:type="dxa"/>
          </w:tcPr>
          <w:p w14:paraId="5EC15957" w14:textId="77777777" w:rsidR="00474D86" w:rsidRPr="00DF67DE" w:rsidRDefault="00474D86" w:rsidP="008617DD">
            <w:pPr>
              <w:rPr>
                <w:rFonts w:ascii="Arial" w:hAnsi="Arial" w:cs="Arial"/>
                <w:sz w:val="18"/>
                <w:szCs w:val="18"/>
              </w:rPr>
            </w:pPr>
            <w:r>
              <w:rPr>
                <w:rFonts w:ascii="Arial" w:hAnsi="Arial" w:cs="Arial"/>
                <w:sz w:val="18"/>
                <w:szCs w:val="18"/>
              </w:rPr>
              <w:t>Australia</w:t>
            </w:r>
          </w:p>
        </w:tc>
        <w:tc>
          <w:tcPr>
            <w:tcW w:w="5267" w:type="dxa"/>
          </w:tcPr>
          <w:p w14:paraId="3A8D560B" w14:textId="77777777" w:rsidR="00474D86" w:rsidRPr="00DF67DE" w:rsidRDefault="00474D86" w:rsidP="008617DD">
            <w:pPr>
              <w:jc w:val="center"/>
              <w:rPr>
                <w:rFonts w:ascii="Arial" w:hAnsi="Arial" w:cs="Arial"/>
                <w:sz w:val="18"/>
                <w:szCs w:val="18"/>
              </w:rPr>
            </w:pPr>
            <w:r>
              <w:rPr>
                <w:rFonts w:ascii="Arial" w:hAnsi="Arial" w:cs="Arial"/>
                <w:sz w:val="18"/>
                <w:szCs w:val="18"/>
              </w:rPr>
              <w:t>Australian Bureau of Statistics</w:t>
            </w:r>
            <w:r w:rsidRPr="007E7FBB">
              <w:rPr>
                <w:rFonts w:ascii="Arial" w:hAnsi="Arial" w:cs="Arial"/>
                <w:sz w:val="18"/>
                <w:szCs w:val="18"/>
                <w:vertAlign w:val="superscript"/>
              </w:rPr>
              <w:t>1</w:t>
            </w:r>
            <w:r>
              <w:rPr>
                <w:rFonts w:ascii="Arial" w:hAnsi="Arial" w:cs="Arial"/>
                <w:sz w:val="18"/>
                <w:szCs w:val="18"/>
              </w:rPr>
              <w:t>, UN</w:t>
            </w:r>
            <w:r w:rsidRPr="007E7FBB">
              <w:rPr>
                <w:rFonts w:ascii="Arial" w:hAnsi="Arial" w:cs="Arial"/>
                <w:sz w:val="18"/>
                <w:szCs w:val="18"/>
                <w:vertAlign w:val="superscript"/>
              </w:rPr>
              <w:t>2</w:t>
            </w:r>
          </w:p>
        </w:tc>
        <w:tc>
          <w:tcPr>
            <w:tcW w:w="1962" w:type="dxa"/>
          </w:tcPr>
          <w:p w14:paraId="5B2AAC00" w14:textId="77777777" w:rsidR="00474D86" w:rsidRPr="00DF67DE" w:rsidRDefault="00474D86" w:rsidP="008617DD">
            <w:pPr>
              <w:jc w:val="center"/>
              <w:rPr>
                <w:rFonts w:ascii="Arial" w:hAnsi="Arial" w:cs="Arial"/>
                <w:sz w:val="18"/>
                <w:szCs w:val="18"/>
              </w:rPr>
            </w:pPr>
            <w:r>
              <w:rPr>
                <w:rFonts w:ascii="Arial" w:hAnsi="Arial" w:cs="Arial"/>
                <w:sz w:val="18"/>
                <w:szCs w:val="18"/>
              </w:rPr>
              <w:t>01/01/2015</w:t>
            </w:r>
          </w:p>
        </w:tc>
      </w:tr>
      <w:tr w:rsidR="00474D86" w:rsidRPr="00DF67DE" w14:paraId="35B8A877" w14:textId="77777777" w:rsidTr="008617DD">
        <w:tc>
          <w:tcPr>
            <w:tcW w:w="1838" w:type="dxa"/>
            <w:vAlign w:val="center"/>
          </w:tcPr>
          <w:p w14:paraId="43BE25EB" w14:textId="77777777" w:rsidR="00474D86" w:rsidRPr="00DF67DE" w:rsidRDefault="00474D86" w:rsidP="008617DD">
            <w:pPr>
              <w:rPr>
                <w:rFonts w:ascii="Arial" w:hAnsi="Arial" w:cs="Arial"/>
                <w:sz w:val="18"/>
                <w:szCs w:val="18"/>
              </w:rPr>
            </w:pPr>
            <w:r w:rsidRPr="00DF67DE">
              <w:rPr>
                <w:rFonts w:ascii="Arial" w:hAnsi="Arial" w:cs="Arial"/>
                <w:sz w:val="18"/>
                <w:szCs w:val="18"/>
              </w:rPr>
              <w:t>Austria</w:t>
            </w:r>
          </w:p>
        </w:tc>
        <w:tc>
          <w:tcPr>
            <w:tcW w:w="5267" w:type="dxa"/>
            <w:vAlign w:val="center"/>
          </w:tcPr>
          <w:p w14:paraId="70C19085"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4CD22A96"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71AED463" w14:textId="77777777" w:rsidTr="008617DD">
        <w:tc>
          <w:tcPr>
            <w:tcW w:w="1838" w:type="dxa"/>
            <w:vAlign w:val="center"/>
          </w:tcPr>
          <w:p w14:paraId="0823AD42" w14:textId="77777777" w:rsidR="00474D86" w:rsidRPr="00DF67DE" w:rsidRDefault="00474D86" w:rsidP="008617DD">
            <w:pPr>
              <w:rPr>
                <w:rFonts w:ascii="Arial" w:hAnsi="Arial" w:cs="Arial"/>
                <w:sz w:val="18"/>
                <w:szCs w:val="18"/>
              </w:rPr>
            </w:pPr>
            <w:r w:rsidRPr="00DF67DE">
              <w:rPr>
                <w:rFonts w:ascii="Arial" w:hAnsi="Arial" w:cs="Arial"/>
                <w:sz w:val="18"/>
                <w:szCs w:val="18"/>
              </w:rPr>
              <w:t>Belgium</w:t>
            </w:r>
          </w:p>
        </w:tc>
        <w:tc>
          <w:tcPr>
            <w:tcW w:w="5267" w:type="dxa"/>
            <w:vAlign w:val="center"/>
          </w:tcPr>
          <w:p w14:paraId="5BBA7027"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1A6D6455"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0C5742F6" w14:textId="77777777" w:rsidTr="008617DD">
        <w:tc>
          <w:tcPr>
            <w:tcW w:w="1838" w:type="dxa"/>
            <w:vAlign w:val="center"/>
          </w:tcPr>
          <w:p w14:paraId="5B16CD0E" w14:textId="77777777" w:rsidR="00474D86" w:rsidRPr="00DF67DE" w:rsidRDefault="00474D86" w:rsidP="008617DD">
            <w:pPr>
              <w:rPr>
                <w:rFonts w:ascii="Arial" w:hAnsi="Arial" w:cs="Arial"/>
                <w:sz w:val="18"/>
                <w:szCs w:val="18"/>
              </w:rPr>
            </w:pPr>
            <w:r w:rsidRPr="00DF67DE">
              <w:rPr>
                <w:rFonts w:ascii="Arial" w:hAnsi="Arial" w:cs="Arial"/>
                <w:sz w:val="18"/>
                <w:szCs w:val="18"/>
              </w:rPr>
              <w:t>Bulgaria</w:t>
            </w:r>
          </w:p>
        </w:tc>
        <w:tc>
          <w:tcPr>
            <w:tcW w:w="5267" w:type="dxa"/>
            <w:vAlign w:val="center"/>
          </w:tcPr>
          <w:p w14:paraId="14C56BEE"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74CA34C4"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0C387299" w14:textId="77777777" w:rsidTr="008617DD">
        <w:tc>
          <w:tcPr>
            <w:tcW w:w="1838" w:type="dxa"/>
            <w:vAlign w:val="center"/>
          </w:tcPr>
          <w:p w14:paraId="0AB07F4F" w14:textId="77777777" w:rsidR="00474D86" w:rsidRPr="00DF67DE" w:rsidRDefault="00474D86" w:rsidP="008617DD">
            <w:pPr>
              <w:rPr>
                <w:rFonts w:ascii="Arial" w:hAnsi="Arial" w:cs="Arial"/>
                <w:sz w:val="18"/>
                <w:szCs w:val="18"/>
              </w:rPr>
            </w:pPr>
            <w:r w:rsidRPr="00DF67DE">
              <w:rPr>
                <w:rFonts w:ascii="Arial" w:hAnsi="Arial" w:cs="Arial"/>
                <w:sz w:val="18"/>
                <w:szCs w:val="18"/>
              </w:rPr>
              <w:t>Czechia</w:t>
            </w:r>
          </w:p>
        </w:tc>
        <w:tc>
          <w:tcPr>
            <w:tcW w:w="5267" w:type="dxa"/>
            <w:vAlign w:val="center"/>
          </w:tcPr>
          <w:p w14:paraId="3010A60F"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09BF554F"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11D632F8" w14:textId="77777777" w:rsidTr="008617DD">
        <w:tc>
          <w:tcPr>
            <w:tcW w:w="1838" w:type="dxa"/>
            <w:vAlign w:val="center"/>
          </w:tcPr>
          <w:p w14:paraId="6C910237" w14:textId="77777777" w:rsidR="00474D86" w:rsidRPr="00DF67DE" w:rsidRDefault="00474D86" w:rsidP="008617DD">
            <w:pPr>
              <w:rPr>
                <w:rFonts w:ascii="Arial" w:hAnsi="Arial" w:cs="Arial"/>
                <w:sz w:val="18"/>
                <w:szCs w:val="18"/>
              </w:rPr>
            </w:pPr>
            <w:r w:rsidRPr="00DF67DE">
              <w:rPr>
                <w:rFonts w:ascii="Arial" w:hAnsi="Arial" w:cs="Arial"/>
                <w:sz w:val="18"/>
                <w:szCs w:val="18"/>
              </w:rPr>
              <w:t>Denmark</w:t>
            </w:r>
          </w:p>
        </w:tc>
        <w:tc>
          <w:tcPr>
            <w:tcW w:w="5267" w:type="dxa"/>
            <w:vAlign w:val="center"/>
          </w:tcPr>
          <w:p w14:paraId="120EDF62"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5F9C7F8D"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598601B5" w14:textId="77777777" w:rsidTr="008617DD">
        <w:tc>
          <w:tcPr>
            <w:tcW w:w="1838" w:type="dxa"/>
            <w:vAlign w:val="center"/>
          </w:tcPr>
          <w:p w14:paraId="616E1967" w14:textId="77777777" w:rsidR="00474D86" w:rsidRPr="00DF67DE" w:rsidRDefault="00474D86" w:rsidP="008617DD">
            <w:pPr>
              <w:rPr>
                <w:rFonts w:ascii="Arial" w:hAnsi="Arial" w:cs="Arial"/>
                <w:sz w:val="18"/>
                <w:szCs w:val="18"/>
              </w:rPr>
            </w:pPr>
            <w:r w:rsidRPr="00DF67DE">
              <w:rPr>
                <w:rFonts w:ascii="Arial" w:hAnsi="Arial" w:cs="Arial"/>
                <w:sz w:val="18"/>
                <w:szCs w:val="18"/>
              </w:rPr>
              <w:t>England &amp; Wales</w:t>
            </w:r>
          </w:p>
        </w:tc>
        <w:tc>
          <w:tcPr>
            <w:tcW w:w="5267" w:type="dxa"/>
            <w:vAlign w:val="center"/>
          </w:tcPr>
          <w:p w14:paraId="57D15EEE"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Office for National Statistics</w:t>
            </w:r>
            <w:r>
              <w:rPr>
                <w:rFonts w:ascii="Arial" w:hAnsi="Arial" w:cs="Arial"/>
                <w:sz w:val="18"/>
                <w:szCs w:val="18"/>
                <w:vertAlign w:val="superscript"/>
              </w:rPr>
              <w:t>5,6</w:t>
            </w:r>
          </w:p>
        </w:tc>
        <w:tc>
          <w:tcPr>
            <w:tcW w:w="1962" w:type="dxa"/>
            <w:vAlign w:val="center"/>
          </w:tcPr>
          <w:p w14:paraId="1633BA7D"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02/01/2010</w:t>
            </w:r>
          </w:p>
        </w:tc>
      </w:tr>
      <w:tr w:rsidR="00474D86" w:rsidRPr="00DF67DE" w14:paraId="3FDF9E15" w14:textId="77777777" w:rsidTr="008617DD">
        <w:tc>
          <w:tcPr>
            <w:tcW w:w="1838" w:type="dxa"/>
            <w:vAlign w:val="center"/>
          </w:tcPr>
          <w:p w14:paraId="04FC74B8" w14:textId="77777777" w:rsidR="00474D86" w:rsidRPr="00DF67DE" w:rsidRDefault="00474D86" w:rsidP="008617DD">
            <w:pPr>
              <w:rPr>
                <w:rFonts w:ascii="Arial" w:hAnsi="Arial" w:cs="Arial"/>
                <w:sz w:val="18"/>
                <w:szCs w:val="18"/>
              </w:rPr>
            </w:pPr>
            <w:r w:rsidRPr="00DF67DE">
              <w:rPr>
                <w:rFonts w:ascii="Arial" w:hAnsi="Arial" w:cs="Arial"/>
                <w:sz w:val="18"/>
                <w:szCs w:val="18"/>
              </w:rPr>
              <w:t>Finland</w:t>
            </w:r>
          </w:p>
        </w:tc>
        <w:tc>
          <w:tcPr>
            <w:tcW w:w="5267" w:type="dxa"/>
            <w:vAlign w:val="center"/>
          </w:tcPr>
          <w:p w14:paraId="641662E6"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49DD0A44"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23F9C694" w14:textId="77777777" w:rsidTr="008617DD">
        <w:tc>
          <w:tcPr>
            <w:tcW w:w="1838" w:type="dxa"/>
            <w:vAlign w:val="center"/>
          </w:tcPr>
          <w:p w14:paraId="00C05B22" w14:textId="77777777" w:rsidR="00474D86" w:rsidRPr="00DF67DE" w:rsidRDefault="00474D86" w:rsidP="008617DD">
            <w:pPr>
              <w:rPr>
                <w:rFonts w:ascii="Arial" w:hAnsi="Arial" w:cs="Arial"/>
                <w:sz w:val="18"/>
                <w:szCs w:val="18"/>
              </w:rPr>
            </w:pPr>
            <w:r w:rsidRPr="00DF67DE">
              <w:rPr>
                <w:rFonts w:ascii="Arial" w:hAnsi="Arial" w:cs="Arial"/>
                <w:sz w:val="18"/>
                <w:szCs w:val="18"/>
              </w:rPr>
              <w:t>France</w:t>
            </w:r>
          </w:p>
        </w:tc>
        <w:tc>
          <w:tcPr>
            <w:tcW w:w="5267" w:type="dxa"/>
            <w:vAlign w:val="center"/>
          </w:tcPr>
          <w:p w14:paraId="6E74D01C"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1260BB2F"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31/12/2012</w:t>
            </w:r>
          </w:p>
        </w:tc>
      </w:tr>
      <w:tr w:rsidR="00474D86" w:rsidRPr="00DF67DE" w14:paraId="49F7B70E" w14:textId="77777777" w:rsidTr="008617DD">
        <w:tc>
          <w:tcPr>
            <w:tcW w:w="1838" w:type="dxa"/>
            <w:vAlign w:val="center"/>
          </w:tcPr>
          <w:p w14:paraId="4043E0B3" w14:textId="77777777" w:rsidR="00474D86" w:rsidRPr="00DF67DE" w:rsidRDefault="00474D86" w:rsidP="008617DD">
            <w:pPr>
              <w:rPr>
                <w:rFonts w:ascii="Arial" w:hAnsi="Arial" w:cs="Arial"/>
                <w:sz w:val="18"/>
                <w:szCs w:val="18"/>
              </w:rPr>
            </w:pPr>
            <w:r w:rsidRPr="00DF67DE">
              <w:rPr>
                <w:rFonts w:ascii="Arial" w:hAnsi="Arial" w:cs="Arial"/>
                <w:sz w:val="18"/>
                <w:szCs w:val="18"/>
              </w:rPr>
              <w:t>Hungary</w:t>
            </w:r>
          </w:p>
        </w:tc>
        <w:tc>
          <w:tcPr>
            <w:tcW w:w="5267" w:type="dxa"/>
            <w:vAlign w:val="center"/>
          </w:tcPr>
          <w:p w14:paraId="07101111"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0E6B6B15"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6AB8B293" w14:textId="77777777" w:rsidTr="008617DD">
        <w:tc>
          <w:tcPr>
            <w:tcW w:w="1838" w:type="dxa"/>
            <w:vAlign w:val="center"/>
          </w:tcPr>
          <w:p w14:paraId="3F36774B" w14:textId="77777777" w:rsidR="00474D86" w:rsidRPr="00DF67DE" w:rsidRDefault="00474D86" w:rsidP="008617DD">
            <w:pPr>
              <w:rPr>
                <w:rFonts w:ascii="Arial" w:hAnsi="Arial" w:cs="Arial"/>
                <w:sz w:val="18"/>
                <w:szCs w:val="18"/>
              </w:rPr>
            </w:pPr>
            <w:r w:rsidRPr="00DF67DE">
              <w:rPr>
                <w:rFonts w:ascii="Arial" w:hAnsi="Arial" w:cs="Arial"/>
                <w:sz w:val="18"/>
                <w:szCs w:val="18"/>
              </w:rPr>
              <w:t>Italy</w:t>
            </w:r>
          </w:p>
        </w:tc>
        <w:tc>
          <w:tcPr>
            <w:tcW w:w="5267" w:type="dxa"/>
            <w:vAlign w:val="center"/>
          </w:tcPr>
          <w:p w14:paraId="278B3E9B"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Istat</w:t>
            </w:r>
            <w:r>
              <w:rPr>
                <w:rFonts w:ascii="Arial" w:hAnsi="Arial" w:cs="Arial"/>
                <w:sz w:val="18"/>
                <w:szCs w:val="18"/>
                <w:vertAlign w:val="superscript"/>
              </w:rPr>
              <w:t>7</w:t>
            </w:r>
          </w:p>
        </w:tc>
        <w:tc>
          <w:tcPr>
            <w:tcW w:w="1962" w:type="dxa"/>
            <w:vAlign w:val="center"/>
          </w:tcPr>
          <w:p w14:paraId="23ED894A"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05/01/2015</w:t>
            </w:r>
          </w:p>
        </w:tc>
      </w:tr>
      <w:tr w:rsidR="00474D86" w:rsidRPr="00DF67DE" w14:paraId="677AC43C" w14:textId="77777777" w:rsidTr="008617DD">
        <w:tc>
          <w:tcPr>
            <w:tcW w:w="1838" w:type="dxa"/>
            <w:vAlign w:val="center"/>
          </w:tcPr>
          <w:p w14:paraId="4AA7914F" w14:textId="77777777" w:rsidR="00474D86" w:rsidRPr="00DF67DE" w:rsidRDefault="00474D86" w:rsidP="008617DD">
            <w:pPr>
              <w:rPr>
                <w:rFonts w:ascii="Arial" w:hAnsi="Arial" w:cs="Arial"/>
                <w:sz w:val="18"/>
                <w:szCs w:val="18"/>
              </w:rPr>
            </w:pPr>
            <w:r w:rsidRPr="00DF67DE">
              <w:rPr>
                <w:rFonts w:ascii="Arial" w:hAnsi="Arial" w:cs="Arial"/>
                <w:sz w:val="18"/>
                <w:szCs w:val="18"/>
              </w:rPr>
              <w:t>Netherlands</w:t>
            </w:r>
          </w:p>
        </w:tc>
        <w:tc>
          <w:tcPr>
            <w:tcW w:w="5267" w:type="dxa"/>
            <w:vAlign w:val="center"/>
          </w:tcPr>
          <w:p w14:paraId="197E70B9"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22B727B3"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7A9F5221" w14:textId="77777777" w:rsidTr="008617DD">
        <w:tc>
          <w:tcPr>
            <w:tcW w:w="1838" w:type="dxa"/>
            <w:vAlign w:val="center"/>
          </w:tcPr>
          <w:p w14:paraId="6BC71334" w14:textId="77777777" w:rsidR="00474D86" w:rsidRPr="00DF67DE" w:rsidRDefault="00474D86" w:rsidP="008617DD">
            <w:pPr>
              <w:rPr>
                <w:rFonts w:ascii="Arial" w:hAnsi="Arial" w:cs="Arial"/>
                <w:sz w:val="18"/>
                <w:szCs w:val="18"/>
              </w:rPr>
            </w:pPr>
            <w:r w:rsidRPr="00DF67DE">
              <w:rPr>
                <w:rFonts w:ascii="Arial" w:hAnsi="Arial" w:cs="Arial"/>
                <w:sz w:val="18"/>
                <w:szCs w:val="18"/>
              </w:rPr>
              <w:t>New Zealand</w:t>
            </w:r>
          </w:p>
        </w:tc>
        <w:tc>
          <w:tcPr>
            <w:tcW w:w="5267" w:type="dxa"/>
            <w:vAlign w:val="center"/>
          </w:tcPr>
          <w:p w14:paraId="4F3890D3"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Stats NZ</w:t>
            </w:r>
            <w:r>
              <w:rPr>
                <w:rFonts w:ascii="Arial" w:hAnsi="Arial" w:cs="Arial"/>
                <w:sz w:val="18"/>
                <w:szCs w:val="18"/>
                <w:vertAlign w:val="superscript"/>
              </w:rPr>
              <w:t>8</w:t>
            </w:r>
            <w:r w:rsidRPr="00DF67DE">
              <w:rPr>
                <w:rFonts w:ascii="Arial" w:hAnsi="Arial" w:cs="Arial"/>
                <w:sz w:val="18"/>
                <w:szCs w:val="18"/>
              </w:rPr>
              <w:t>, UN</w:t>
            </w:r>
            <w:r>
              <w:rPr>
                <w:rFonts w:ascii="Arial" w:hAnsi="Arial" w:cs="Arial"/>
                <w:sz w:val="18"/>
                <w:szCs w:val="18"/>
                <w:vertAlign w:val="superscript"/>
              </w:rPr>
              <w:t>2</w:t>
            </w:r>
          </w:p>
        </w:tc>
        <w:tc>
          <w:tcPr>
            <w:tcW w:w="1962" w:type="dxa"/>
            <w:vAlign w:val="center"/>
          </w:tcPr>
          <w:p w14:paraId="4818CDE3"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27/12/2010</w:t>
            </w:r>
          </w:p>
        </w:tc>
      </w:tr>
      <w:tr w:rsidR="00474D86" w:rsidRPr="00DF67DE" w14:paraId="5E3754CE" w14:textId="77777777" w:rsidTr="008617DD">
        <w:tc>
          <w:tcPr>
            <w:tcW w:w="1838" w:type="dxa"/>
            <w:vAlign w:val="center"/>
          </w:tcPr>
          <w:p w14:paraId="4D1EC5EE" w14:textId="77777777" w:rsidR="00474D86" w:rsidRPr="00DF67DE" w:rsidRDefault="00474D86" w:rsidP="008617DD">
            <w:pPr>
              <w:rPr>
                <w:rFonts w:ascii="Arial" w:hAnsi="Arial" w:cs="Arial"/>
                <w:sz w:val="18"/>
                <w:szCs w:val="18"/>
              </w:rPr>
            </w:pPr>
            <w:r w:rsidRPr="00DF67DE">
              <w:rPr>
                <w:rFonts w:ascii="Arial" w:hAnsi="Arial" w:cs="Arial"/>
                <w:sz w:val="18"/>
                <w:szCs w:val="18"/>
              </w:rPr>
              <w:t>Norway</w:t>
            </w:r>
          </w:p>
        </w:tc>
        <w:tc>
          <w:tcPr>
            <w:tcW w:w="5267" w:type="dxa"/>
            <w:vAlign w:val="center"/>
          </w:tcPr>
          <w:p w14:paraId="309C24BD"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713A2200"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375F9CDD" w14:textId="77777777" w:rsidTr="008617DD">
        <w:tc>
          <w:tcPr>
            <w:tcW w:w="1838" w:type="dxa"/>
            <w:vAlign w:val="center"/>
          </w:tcPr>
          <w:p w14:paraId="0BBD57F4" w14:textId="77777777" w:rsidR="00474D86" w:rsidRPr="00DF67DE" w:rsidRDefault="00474D86" w:rsidP="008617DD">
            <w:pPr>
              <w:rPr>
                <w:rFonts w:ascii="Arial" w:hAnsi="Arial" w:cs="Arial"/>
                <w:sz w:val="18"/>
                <w:szCs w:val="18"/>
              </w:rPr>
            </w:pPr>
            <w:r w:rsidRPr="00DF67DE">
              <w:rPr>
                <w:rFonts w:ascii="Arial" w:hAnsi="Arial" w:cs="Arial"/>
                <w:sz w:val="18"/>
                <w:szCs w:val="18"/>
              </w:rPr>
              <w:t>Poland</w:t>
            </w:r>
          </w:p>
        </w:tc>
        <w:tc>
          <w:tcPr>
            <w:tcW w:w="5267" w:type="dxa"/>
            <w:vAlign w:val="center"/>
          </w:tcPr>
          <w:p w14:paraId="79E3DB71"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356679E9"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029A41FB" w14:textId="77777777" w:rsidTr="008617DD">
        <w:tc>
          <w:tcPr>
            <w:tcW w:w="1838" w:type="dxa"/>
            <w:vAlign w:val="center"/>
          </w:tcPr>
          <w:p w14:paraId="6A118D1E" w14:textId="77777777" w:rsidR="00474D86" w:rsidRPr="00DF67DE" w:rsidRDefault="00474D86" w:rsidP="008617DD">
            <w:pPr>
              <w:rPr>
                <w:rFonts w:ascii="Arial" w:hAnsi="Arial" w:cs="Arial"/>
                <w:sz w:val="18"/>
                <w:szCs w:val="18"/>
              </w:rPr>
            </w:pPr>
            <w:r w:rsidRPr="00DF67DE">
              <w:rPr>
                <w:rFonts w:ascii="Arial" w:hAnsi="Arial" w:cs="Arial"/>
                <w:sz w:val="18"/>
                <w:szCs w:val="18"/>
              </w:rPr>
              <w:t>Portugal</w:t>
            </w:r>
          </w:p>
        </w:tc>
        <w:tc>
          <w:tcPr>
            <w:tcW w:w="5267" w:type="dxa"/>
            <w:vAlign w:val="center"/>
          </w:tcPr>
          <w:p w14:paraId="3E5FB900"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79490D90"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31FDCD02" w14:textId="77777777" w:rsidTr="008617DD">
        <w:tc>
          <w:tcPr>
            <w:tcW w:w="1838" w:type="dxa"/>
            <w:vAlign w:val="center"/>
          </w:tcPr>
          <w:p w14:paraId="72E1E69D" w14:textId="77777777" w:rsidR="00474D86" w:rsidRPr="00DF67DE" w:rsidRDefault="00474D86" w:rsidP="008617DD">
            <w:pPr>
              <w:rPr>
                <w:rFonts w:ascii="Arial" w:hAnsi="Arial" w:cs="Arial"/>
                <w:sz w:val="18"/>
                <w:szCs w:val="18"/>
              </w:rPr>
            </w:pPr>
            <w:r w:rsidRPr="00DF67DE">
              <w:rPr>
                <w:rFonts w:ascii="Arial" w:hAnsi="Arial" w:cs="Arial"/>
                <w:sz w:val="18"/>
                <w:szCs w:val="18"/>
              </w:rPr>
              <w:t>Scotland</w:t>
            </w:r>
          </w:p>
        </w:tc>
        <w:tc>
          <w:tcPr>
            <w:tcW w:w="5267" w:type="dxa"/>
            <w:vAlign w:val="center"/>
          </w:tcPr>
          <w:p w14:paraId="5F590A39"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National Records of Scotland</w:t>
            </w:r>
            <w:r>
              <w:rPr>
                <w:rFonts w:ascii="Arial" w:hAnsi="Arial" w:cs="Arial"/>
                <w:sz w:val="18"/>
                <w:szCs w:val="18"/>
                <w:vertAlign w:val="superscript"/>
              </w:rPr>
              <w:t>9</w:t>
            </w:r>
            <w:r w:rsidRPr="00DF67DE">
              <w:rPr>
                <w:rFonts w:ascii="Arial" w:hAnsi="Arial" w:cs="Arial"/>
                <w:sz w:val="18"/>
                <w:szCs w:val="18"/>
              </w:rPr>
              <w:t>, Office for National Statistics</w:t>
            </w:r>
            <w:r>
              <w:rPr>
                <w:rFonts w:ascii="Arial" w:hAnsi="Arial" w:cs="Arial"/>
                <w:sz w:val="18"/>
                <w:szCs w:val="18"/>
                <w:vertAlign w:val="superscript"/>
              </w:rPr>
              <w:t>5</w:t>
            </w:r>
          </w:p>
        </w:tc>
        <w:tc>
          <w:tcPr>
            <w:tcW w:w="1962" w:type="dxa"/>
            <w:vAlign w:val="center"/>
          </w:tcPr>
          <w:p w14:paraId="75EA20EB"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763533E6" w14:textId="77777777" w:rsidTr="008617DD">
        <w:tc>
          <w:tcPr>
            <w:tcW w:w="1838" w:type="dxa"/>
            <w:vAlign w:val="center"/>
          </w:tcPr>
          <w:p w14:paraId="70AEA675" w14:textId="77777777" w:rsidR="00474D86" w:rsidRPr="00DF67DE" w:rsidRDefault="00474D86" w:rsidP="008617DD">
            <w:pPr>
              <w:rPr>
                <w:rFonts w:ascii="Arial" w:hAnsi="Arial" w:cs="Arial"/>
                <w:sz w:val="18"/>
                <w:szCs w:val="18"/>
              </w:rPr>
            </w:pPr>
            <w:r w:rsidRPr="00DF67DE">
              <w:rPr>
                <w:rFonts w:ascii="Arial" w:hAnsi="Arial" w:cs="Arial"/>
                <w:sz w:val="18"/>
                <w:szCs w:val="18"/>
              </w:rPr>
              <w:t>Slovakia</w:t>
            </w:r>
          </w:p>
        </w:tc>
        <w:tc>
          <w:tcPr>
            <w:tcW w:w="5267" w:type="dxa"/>
            <w:vAlign w:val="center"/>
          </w:tcPr>
          <w:p w14:paraId="7734C372"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3E3AF0D0"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6AA0390F" w14:textId="77777777" w:rsidTr="008617DD">
        <w:tc>
          <w:tcPr>
            <w:tcW w:w="1838" w:type="dxa"/>
            <w:vAlign w:val="center"/>
          </w:tcPr>
          <w:p w14:paraId="721504AC" w14:textId="77777777" w:rsidR="00474D86" w:rsidRPr="00DF67DE" w:rsidRDefault="00474D86" w:rsidP="008617DD">
            <w:pPr>
              <w:rPr>
                <w:rFonts w:ascii="Arial" w:hAnsi="Arial" w:cs="Arial"/>
                <w:sz w:val="18"/>
                <w:szCs w:val="18"/>
              </w:rPr>
            </w:pPr>
            <w:r w:rsidRPr="00DF67DE">
              <w:rPr>
                <w:rFonts w:ascii="Arial" w:hAnsi="Arial" w:cs="Arial"/>
                <w:sz w:val="18"/>
                <w:szCs w:val="18"/>
              </w:rPr>
              <w:t>Spain</w:t>
            </w:r>
          </w:p>
        </w:tc>
        <w:tc>
          <w:tcPr>
            <w:tcW w:w="5267" w:type="dxa"/>
            <w:vAlign w:val="center"/>
          </w:tcPr>
          <w:p w14:paraId="2B614015"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4CE43A5F"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0BAD1177" w14:textId="77777777" w:rsidTr="008617DD">
        <w:tc>
          <w:tcPr>
            <w:tcW w:w="1838" w:type="dxa"/>
            <w:vAlign w:val="center"/>
          </w:tcPr>
          <w:p w14:paraId="1FB9D988" w14:textId="77777777" w:rsidR="00474D86" w:rsidRPr="00DF67DE" w:rsidRDefault="00474D86" w:rsidP="008617DD">
            <w:pPr>
              <w:rPr>
                <w:rFonts w:ascii="Arial" w:hAnsi="Arial" w:cs="Arial"/>
                <w:sz w:val="18"/>
                <w:szCs w:val="18"/>
              </w:rPr>
            </w:pPr>
            <w:r w:rsidRPr="00DF67DE">
              <w:rPr>
                <w:rFonts w:ascii="Arial" w:hAnsi="Arial" w:cs="Arial"/>
                <w:sz w:val="18"/>
                <w:szCs w:val="18"/>
              </w:rPr>
              <w:t>Sweden</w:t>
            </w:r>
          </w:p>
        </w:tc>
        <w:tc>
          <w:tcPr>
            <w:tcW w:w="5267" w:type="dxa"/>
            <w:vAlign w:val="center"/>
          </w:tcPr>
          <w:p w14:paraId="37DAEB28"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647C3293"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r w:rsidR="00474D86" w:rsidRPr="00DF67DE" w14:paraId="450641F1" w14:textId="77777777" w:rsidTr="008617DD">
        <w:tc>
          <w:tcPr>
            <w:tcW w:w="1838" w:type="dxa"/>
            <w:vAlign w:val="center"/>
          </w:tcPr>
          <w:p w14:paraId="0983B077" w14:textId="77777777" w:rsidR="00474D86" w:rsidRPr="00DF67DE" w:rsidRDefault="00474D86" w:rsidP="008617DD">
            <w:pPr>
              <w:rPr>
                <w:rFonts w:ascii="Arial" w:hAnsi="Arial" w:cs="Arial"/>
                <w:sz w:val="18"/>
                <w:szCs w:val="18"/>
              </w:rPr>
            </w:pPr>
            <w:r w:rsidRPr="00DF67DE">
              <w:rPr>
                <w:rFonts w:ascii="Arial" w:hAnsi="Arial" w:cs="Arial"/>
                <w:sz w:val="18"/>
                <w:szCs w:val="18"/>
              </w:rPr>
              <w:t>Switzerland</w:t>
            </w:r>
          </w:p>
        </w:tc>
        <w:tc>
          <w:tcPr>
            <w:tcW w:w="5267" w:type="dxa"/>
            <w:vAlign w:val="center"/>
          </w:tcPr>
          <w:p w14:paraId="1C157B7B"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Eurostat</w:t>
            </w:r>
            <w:r>
              <w:rPr>
                <w:rFonts w:ascii="Arial" w:hAnsi="Arial" w:cs="Arial"/>
                <w:sz w:val="18"/>
                <w:szCs w:val="18"/>
                <w:vertAlign w:val="superscript"/>
              </w:rPr>
              <w:t>3</w:t>
            </w:r>
            <w:r w:rsidRPr="00DF67DE">
              <w:rPr>
                <w:rFonts w:ascii="Arial" w:hAnsi="Arial" w:cs="Arial"/>
                <w:sz w:val="18"/>
                <w:szCs w:val="18"/>
                <w:vertAlign w:val="superscript"/>
              </w:rPr>
              <w:t>,</w:t>
            </w:r>
            <w:r>
              <w:rPr>
                <w:rFonts w:ascii="Arial" w:hAnsi="Arial" w:cs="Arial"/>
                <w:sz w:val="18"/>
                <w:szCs w:val="18"/>
                <w:vertAlign w:val="superscript"/>
              </w:rPr>
              <w:t>4</w:t>
            </w:r>
          </w:p>
        </w:tc>
        <w:tc>
          <w:tcPr>
            <w:tcW w:w="1962" w:type="dxa"/>
            <w:vAlign w:val="center"/>
          </w:tcPr>
          <w:p w14:paraId="7F2EE4A3" w14:textId="77777777" w:rsidR="00474D86" w:rsidRPr="00DF67DE" w:rsidRDefault="00474D86" w:rsidP="008617DD">
            <w:pPr>
              <w:jc w:val="center"/>
              <w:rPr>
                <w:rFonts w:ascii="Arial" w:hAnsi="Arial" w:cs="Arial"/>
                <w:sz w:val="18"/>
                <w:szCs w:val="18"/>
              </w:rPr>
            </w:pPr>
            <w:r w:rsidRPr="00DF67DE">
              <w:rPr>
                <w:rFonts w:ascii="Arial" w:hAnsi="Arial" w:cs="Arial"/>
                <w:sz w:val="18"/>
                <w:szCs w:val="18"/>
              </w:rPr>
              <w:t>04/01/2010</w:t>
            </w:r>
          </w:p>
        </w:tc>
      </w:tr>
    </w:tbl>
    <w:p w14:paraId="1C1C96CA" w14:textId="77777777" w:rsidR="00474D86" w:rsidRDefault="00474D86" w:rsidP="00847B82">
      <w:pPr>
        <w:rPr>
          <w:rFonts w:ascii="Arial" w:hAnsi="Arial" w:cs="Arial"/>
          <w:sz w:val="18"/>
          <w:szCs w:val="18"/>
        </w:rPr>
      </w:pPr>
      <w:r w:rsidRPr="00582C22">
        <w:rPr>
          <w:rFonts w:ascii="Arial" w:hAnsi="Arial" w:cs="Arial"/>
          <w:sz w:val="18"/>
          <w:szCs w:val="18"/>
          <w:vertAlign w:val="superscript"/>
        </w:rPr>
        <w:t>1</w:t>
      </w:r>
      <w:r>
        <w:rPr>
          <w:rFonts w:ascii="Arial" w:hAnsi="Arial" w:cs="Arial"/>
          <w:sz w:val="18"/>
          <w:szCs w:val="18"/>
        </w:rPr>
        <w:t xml:space="preserve"> </w:t>
      </w:r>
      <w:hyperlink r:id="rId11" w:history="1">
        <w:r w:rsidRPr="00302269">
          <w:rPr>
            <w:rStyle w:val="Hyperlink"/>
            <w:rFonts w:ascii="Arial" w:hAnsi="Arial" w:cs="Arial"/>
          </w:rPr>
          <w:t>https://www.abs.gov.au/AUSSTATS/abs@.nsf/DetailsPage/3303.0.55.004Jan%20-%20May%202020</w:t>
        </w:r>
      </w:hyperlink>
      <w:r>
        <w:rPr>
          <w:rFonts w:ascii="Arial" w:hAnsi="Arial" w:cs="Arial"/>
          <w:sz w:val="18"/>
          <w:szCs w:val="18"/>
        </w:rPr>
        <w:t xml:space="preserve"> </w:t>
      </w:r>
    </w:p>
    <w:p w14:paraId="0FD18DDD" w14:textId="77777777" w:rsidR="00474D86" w:rsidRPr="00DF67DE" w:rsidRDefault="00474D86" w:rsidP="00847B82">
      <w:pPr>
        <w:rPr>
          <w:rFonts w:ascii="Arial" w:hAnsi="Arial" w:cs="Arial"/>
          <w:sz w:val="18"/>
          <w:szCs w:val="18"/>
        </w:rPr>
      </w:pPr>
      <w:r w:rsidRPr="00582C22">
        <w:rPr>
          <w:rFonts w:ascii="Arial" w:hAnsi="Arial" w:cs="Arial"/>
          <w:sz w:val="18"/>
          <w:szCs w:val="18"/>
          <w:vertAlign w:val="superscript"/>
        </w:rPr>
        <w:t>2</w:t>
      </w:r>
      <w:r w:rsidRPr="00DF67DE">
        <w:rPr>
          <w:rFonts w:ascii="Arial" w:hAnsi="Arial" w:cs="Arial"/>
          <w:sz w:val="18"/>
          <w:szCs w:val="18"/>
        </w:rPr>
        <w:t xml:space="preserve"> </w:t>
      </w:r>
      <w:hyperlink r:id="rId12" w:history="1">
        <w:r w:rsidRPr="00DF67DE">
          <w:rPr>
            <w:rStyle w:val="Hyperlink"/>
            <w:rFonts w:ascii="Arial" w:hAnsi="Arial" w:cs="Arial"/>
          </w:rPr>
          <w:t>https://population.un.org/wpp</w:t>
        </w:r>
      </w:hyperlink>
    </w:p>
    <w:p w14:paraId="753C1FE3" w14:textId="77777777" w:rsidR="00474D86" w:rsidRPr="00DF67DE" w:rsidRDefault="00474D86" w:rsidP="00847B82">
      <w:pPr>
        <w:rPr>
          <w:rFonts w:ascii="Arial" w:hAnsi="Arial" w:cs="Arial"/>
          <w:sz w:val="18"/>
          <w:szCs w:val="18"/>
        </w:rPr>
      </w:pPr>
      <w:r w:rsidRPr="00582C22">
        <w:rPr>
          <w:rFonts w:ascii="Arial" w:hAnsi="Arial" w:cs="Arial"/>
          <w:sz w:val="18"/>
          <w:szCs w:val="18"/>
          <w:vertAlign w:val="superscript"/>
        </w:rPr>
        <w:t>3</w:t>
      </w:r>
      <w:r w:rsidRPr="00DF67DE">
        <w:rPr>
          <w:rFonts w:ascii="Arial" w:hAnsi="Arial" w:cs="Arial"/>
          <w:sz w:val="18"/>
          <w:szCs w:val="18"/>
        </w:rPr>
        <w:t xml:space="preserve"> </w:t>
      </w:r>
      <w:hyperlink r:id="rId13" w:history="1">
        <w:r w:rsidRPr="00DF67DE">
          <w:rPr>
            <w:rStyle w:val="Hyperlink"/>
            <w:rFonts w:ascii="Arial" w:hAnsi="Arial" w:cs="Arial"/>
          </w:rPr>
          <w:t>https://ec.europa.eu/eurostat/data/database</w:t>
        </w:r>
      </w:hyperlink>
      <w:r w:rsidRPr="00DF67DE">
        <w:rPr>
          <w:rFonts w:ascii="Arial" w:hAnsi="Arial" w:cs="Arial"/>
          <w:sz w:val="18"/>
          <w:szCs w:val="18"/>
        </w:rPr>
        <w:t xml:space="preserve"> (table demo_r_mwk_05)</w:t>
      </w:r>
    </w:p>
    <w:p w14:paraId="1EA0480B" w14:textId="77777777" w:rsidR="00474D86" w:rsidRPr="00DF67DE" w:rsidRDefault="00474D86" w:rsidP="00847B82">
      <w:pPr>
        <w:rPr>
          <w:rFonts w:ascii="Arial" w:hAnsi="Arial" w:cs="Arial"/>
          <w:sz w:val="18"/>
          <w:szCs w:val="18"/>
        </w:rPr>
      </w:pPr>
      <w:r w:rsidRPr="00582C22">
        <w:rPr>
          <w:rFonts w:ascii="Arial" w:hAnsi="Arial" w:cs="Arial"/>
          <w:sz w:val="18"/>
          <w:szCs w:val="18"/>
          <w:vertAlign w:val="superscript"/>
        </w:rPr>
        <w:t>4</w:t>
      </w:r>
      <w:r w:rsidRPr="00DF67DE">
        <w:rPr>
          <w:rFonts w:ascii="Arial" w:hAnsi="Arial" w:cs="Arial"/>
          <w:sz w:val="18"/>
          <w:szCs w:val="18"/>
        </w:rPr>
        <w:t xml:space="preserve"> </w:t>
      </w:r>
      <w:hyperlink r:id="rId14" w:history="1">
        <w:r w:rsidRPr="00DF67DE">
          <w:rPr>
            <w:rStyle w:val="Hyperlink"/>
            <w:rFonts w:ascii="Arial" w:hAnsi="Arial" w:cs="Arial"/>
          </w:rPr>
          <w:t>https://ec.europa.eu/eurostat/data/database</w:t>
        </w:r>
      </w:hyperlink>
      <w:r w:rsidRPr="00DF67DE">
        <w:rPr>
          <w:rFonts w:ascii="Arial" w:hAnsi="Arial" w:cs="Arial"/>
          <w:sz w:val="18"/>
          <w:szCs w:val="18"/>
        </w:rPr>
        <w:t xml:space="preserve"> (table </w:t>
      </w:r>
      <w:proofErr w:type="spellStart"/>
      <w:r w:rsidRPr="00DF67DE">
        <w:rPr>
          <w:rFonts w:ascii="Arial" w:hAnsi="Arial" w:cs="Arial"/>
          <w:sz w:val="18"/>
          <w:szCs w:val="18"/>
        </w:rPr>
        <w:t>demo_pjangroup</w:t>
      </w:r>
      <w:proofErr w:type="spellEnd"/>
      <w:r w:rsidRPr="00DF67DE">
        <w:rPr>
          <w:rFonts w:ascii="Arial" w:hAnsi="Arial" w:cs="Arial"/>
          <w:sz w:val="18"/>
          <w:szCs w:val="18"/>
        </w:rPr>
        <w:t>)</w:t>
      </w:r>
    </w:p>
    <w:p w14:paraId="05F89C26" w14:textId="77777777" w:rsidR="00474D86" w:rsidRPr="00DF67DE" w:rsidRDefault="00474D86" w:rsidP="00847B82">
      <w:pPr>
        <w:rPr>
          <w:rFonts w:ascii="Arial" w:hAnsi="Arial" w:cs="Arial"/>
          <w:sz w:val="18"/>
          <w:szCs w:val="18"/>
        </w:rPr>
      </w:pPr>
      <w:r w:rsidRPr="00582C22">
        <w:rPr>
          <w:rFonts w:ascii="Arial" w:hAnsi="Arial" w:cs="Arial"/>
          <w:sz w:val="18"/>
          <w:szCs w:val="18"/>
          <w:vertAlign w:val="superscript"/>
        </w:rPr>
        <w:t>5</w:t>
      </w:r>
      <w:r w:rsidRPr="00DF67DE">
        <w:rPr>
          <w:rFonts w:ascii="Arial" w:hAnsi="Arial" w:cs="Arial"/>
          <w:sz w:val="18"/>
          <w:szCs w:val="18"/>
        </w:rPr>
        <w:t xml:space="preserve"> </w:t>
      </w:r>
      <w:hyperlink r:id="rId15" w:history="1">
        <w:r w:rsidRPr="00DF67DE">
          <w:rPr>
            <w:rStyle w:val="Hyperlink"/>
            <w:rFonts w:ascii="Arial" w:hAnsi="Arial" w:cs="Arial"/>
          </w:rPr>
          <w:t>https://www.ons.gov.uk/peoplepopulationandcommunity/birthsdeathsandmarriages/deaths/datasets/weeklyprovisionalfiguresondeathsregisteredinenglandandwales</w:t>
        </w:r>
      </w:hyperlink>
    </w:p>
    <w:p w14:paraId="2D8B2297" w14:textId="77777777" w:rsidR="00474D86" w:rsidRPr="00DF67DE" w:rsidRDefault="00474D86" w:rsidP="00847B82">
      <w:pPr>
        <w:rPr>
          <w:rFonts w:ascii="Arial" w:hAnsi="Arial" w:cs="Arial"/>
          <w:sz w:val="18"/>
          <w:szCs w:val="18"/>
        </w:rPr>
      </w:pPr>
      <w:r w:rsidRPr="00582C22">
        <w:rPr>
          <w:rFonts w:ascii="Arial" w:hAnsi="Arial" w:cs="Arial"/>
          <w:sz w:val="18"/>
          <w:szCs w:val="18"/>
          <w:vertAlign w:val="superscript"/>
        </w:rPr>
        <w:t>6</w:t>
      </w:r>
      <w:r w:rsidRPr="00DF67DE">
        <w:rPr>
          <w:rFonts w:ascii="Arial" w:hAnsi="Arial" w:cs="Arial"/>
          <w:sz w:val="18"/>
          <w:szCs w:val="18"/>
        </w:rPr>
        <w:t xml:space="preserve"> </w:t>
      </w:r>
      <w:hyperlink r:id="rId16" w:history="1">
        <w:r w:rsidRPr="00DF67DE">
          <w:rPr>
            <w:rStyle w:val="Hyperlink"/>
            <w:rFonts w:ascii="Arial" w:hAnsi="Arial" w:cs="Arial"/>
          </w:rPr>
          <w:t>https://www.ons.gov.uk/peoplepopulationandcommunity/populationandmigration/populationestimates/datasets/populationestimatesforukenglandandwalesscotlandandnorthernireland</w:t>
        </w:r>
      </w:hyperlink>
      <w:r w:rsidRPr="00DF67DE">
        <w:rPr>
          <w:rFonts w:ascii="Arial" w:hAnsi="Arial" w:cs="Arial"/>
          <w:sz w:val="18"/>
          <w:szCs w:val="18"/>
        </w:rPr>
        <w:t xml:space="preserve"> </w:t>
      </w:r>
    </w:p>
    <w:p w14:paraId="4DBACAF4" w14:textId="77777777" w:rsidR="00474D86" w:rsidRPr="00DF67DE" w:rsidRDefault="00474D86" w:rsidP="00847B82">
      <w:pPr>
        <w:rPr>
          <w:rFonts w:ascii="Arial" w:hAnsi="Arial" w:cs="Arial"/>
          <w:sz w:val="18"/>
          <w:szCs w:val="18"/>
        </w:rPr>
      </w:pPr>
      <w:r w:rsidRPr="00582C22">
        <w:rPr>
          <w:rFonts w:ascii="Arial" w:hAnsi="Arial" w:cs="Arial"/>
          <w:sz w:val="18"/>
          <w:szCs w:val="18"/>
          <w:vertAlign w:val="superscript"/>
        </w:rPr>
        <w:t>7</w:t>
      </w:r>
      <w:r w:rsidRPr="00DF67DE">
        <w:rPr>
          <w:rFonts w:ascii="Arial" w:hAnsi="Arial" w:cs="Arial"/>
          <w:sz w:val="18"/>
          <w:szCs w:val="18"/>
        </w:rPr>
        <w:t xml:space="preserve"> </w:t>
      </w:r>
      <w:hyperlink r:id="rId17" w:history="1">
        <w:r w:rsidRPr="00DF67DE">
          <w:rPr>
            <w:rStyle w:val="Hyperlink"/>
            <w:rFonts w:ascii="Arial" w:hAnsi="Arial" w:cs="Arial"/>
          </w:rPr>
          <w:t>https://www.istat.it/it/archivio/240401</w:t>
        </w:r>
      </w:hyperlink>
      <w:r w:rsidRPr="00DF67DE">
        <w:rPr>
          <w:rFonts w:ascii="Arial" w:hAnsi="Arial" w:cs="Arial"/>
          <w:sz w:val="18"/>
          <w:szCs w:val="18"/>
        </w:rPr>
        <w:t xml:space="preserve">. Data on all-cause mortality, which is used to estimate excess deaths, are from municipalities with up-to-date death registration, that cover 95.0% of the population and 98.0% of COVID deaths. </w:t>
      </w:r>
    </w:p>
    <w:p w14:paraId="1208D327" w14:textId="77777777" w:rsidR="00474D86" w:rsidRPr="00DF67DE" w:rsidRDefault="00474D86" w:rsidP="00847B82">
      <w:pPr>
        <w:rPr>
          <w:rFonts w:ascii="Arial" w:hAnsi="Arial" w:cs="Arial"/>
          <w:sz w:val="18"/>
          <w:szCs w:val="18"/>
        </w:rPr>
      </w:pPr>
      <w:r w:rsidRPr="00582C22">
        <w:rPr>
          <w:rFonts w:ascii="Arial" w:hAnsi="Arial" w:cs="Arial"/>
          <w:sz w:val="18"/>
          <w:szCs w:val="18"/>
          <w:vertAlign w:val="superscript"/>
        </w:rPr>
        <w:t>8</w:t>
      </w:r>
      <w:r w:rsidRPr="00DF67DE">
        <w:rPr>
          <w:rFonts w:ascii="Arial" w:hAnsi="Arial" w:cs="Arial"/>
          <w:sz w:val="18"/>
          <w:szCs w:val="18"/>
        </w:rPr>
        <w:t xml:space="preserve"> </w:t>
      </w:r>
      <w:hyperlink r:id="rId18" w:history="1">
        <w:r w:rsidRPr="00DF67DE">
          <w:rPr>
            <w:rStyle w:val="Hyperlink"/>
            <w:rFonts w:ascii="Arial" w:hAnsi="Arial" w:cs="Arial"/>
          </w:rPr>
          <w:t>https://www.stats.govt.nz/experimental/covid-19-data-portal</w:t>
        </w:r>
      </w:hyperlink>
      <w:r w:rsidRPr="00DF67DE">
        <w:rPr>
          <w:rFonts w:ascii="Arial" w:hAnsi="Arial" w:cs="Arial"/>
          <w:sz w:val="18"/>
          <w:szCs w:val="18"/>
        </w:rPr>
        <w:t xml:space="preserve"> </w:t>
      </w:r>
    </w:p>
    <w:p w14:paraId="779930D8" w14:textId="77777777" w:rsidR="00474D86" w:rsidRPr="00DF67DE" w:rsidRDefault="00474D86" w:rsidP="00847B82">
      <w:pPr>
        <w:rPr>
          <w:rFonts w:ascii="Arial" w:hAnsi="Arial" w:cs="Arial"/>
          <w:sz w:val="18"/>
          <w:szCs w:val="18"/>
        </w:rPr>
      </w:pPr>
      <w:r w:rsidRPr="00582C22">
        <w:rPr>
          <w:rFonts w:ascii="Arial" w:hAnsi="Arial" w:cs="Arial"/>
          <w:sz w:val="18"/>
          <w:szCs w:val="18"/>
          <w:vertAlign w:val="superscript"/>
        </w:rPr>
        <w:t>9</w:t>
      </w:r>
      <w:r w:rsidRPr="00DF67DE">
        <w:rPr>
          <w:rFonts w:ascii="Arial" w:hAnsi="Arial" w:cs="Arial"/>
          <w:sz w:val="18"/>
          <w:szCs w:val="18"/>
        </w:rPr>
        <w:t xml:space="preserve"> </w:t>
      </w:r>
      <w:hyperlink r:id="rId19" w:history="1">
        <w:r w:rsidRPr="00DF67DE">
          <w:rPr>
            <w:rStyle w:val="Hyperlink"/>
            <w:rFonts w:ascii="Arial" w:hAnsi="Arial" w:cs="Arial"/>
          </w:rPr>
          <w:t>https://www.nrscotland.gov.uk/statistics-and-data/statistics/statistics-by-theme/vital-events/general-publications/weekly-and-monthly-data-on-births-and-deaths/deaths-involving-coronavirus-covid-19-in-scotland/related-statistics</w:t>
        </w:r>
      </w:hyperlink>
      <w:r w:rsidRPr="00DF67DE">
        <w:rPr>
          <w:rFonts w:ascii="Arial" w:hAnsi="Arial" w:cs="Arial"/>
          <w:sz w:val="18"/>
          <w:szCs w:val="18"/>
        </w:rPr>
        <w:t xml:space="preserve"> </w:t>
      </w:r>
    </w:p>
    <w:p w14:paraId="4AF3B8B7" w14:textId="77777777" w:rsidR="00474D86" w:rsidRPr="00DF67DE" w:rsidRDefault="00474D86" w:rsidP="00847B82">
      <w:pPr>
        <w:jc w:val="both"/>
        <w:rPr>
          <w:rFonts w:ascii="Arial" w:hAnsi="Arial" w:cs="Arial"/>
          <w:sz w:val="18"/>
          <w:szCs w:val="18"/>
        </w:rPr>
      </w:pPr>
    </w:p>
    <w:p w14:paraId="03023434" w14:textId="77777777" w:rsidR="00474D86" w:rsidRDefault="00474D86">
      <w:pPr>
        <w:spacing w:after="200" w:line="276" w:lineRule="auto"/>
        <w:rPr>
          <w:rFonts w:ascii="Arial" w:hAnsi="Arial" w:cs="Arial"/>
          <w:b/>
          <w:bCs/>
          <w:sz w:val="22"/>
          <w:szCs w:val="22"/>
        </w:rPr>
      </w:pPr>
      <w:r>
        <w:rPr>
          <w:rFonts w:ascii="Arial" w:hAnsi="Arial" w:cs="Arial"/>
          <w:b/>
          <w:bCs/>
          <w:sz w:val="22"/>
          <w:szCs w:val="22"/>
        </w:rPr>
        <w:br w:type="page"/>
      </w:r>
    </w:p>
    <w:p w14:paraId="06995BB4" w14:textId="77777777" w:rsidR="00474D86" w:rsidRDefault="00474D86" w:rsidP="000D0D91">
      <w:pPr>
        <w:spacing w:line="480" w:lineRule="auto"/>
        <w:jc w:val="both"/>
        <w:rPr>
          <w:rFonts w:ascii="Arial" w:hAnsi="Arial" w:cs="Arial"/>
          <w:sz w:val="22"/>
          <w:szCs w:val="22"/>
        </w:rPr>
      </w:pPr>
      <w:r w:rsidRPr="0070610D">
        <w:rPr>
          <w:rFonts w:ascii="Arial" w:hAnsi="Arial" w:cs="Arial"/>
          <w:b/>
          <w:bCs/>
          <w:sz w:val="22"/>
          <w:szCs w:val="22"/>
        </w:rPr>
        <w:lastRenderedPageBreak/>
        <w:t xml:space="preserve">Extended Data Table </w:t>
      </w:r>
      <w:r>
        <w:rPr>
          <w:rFonts w:ascii="Arial" w:hAnsi="Arial" w:cs="Arial"/>
          <w:b/>
          <w:bCs/>
          <w:sz w:val="22"/>
          <w:szCs w:val="22"/>
        </w:rPr>
        <w:t>3</w:t>
      </w:r>
      <w:r w:rsidRPr="0070610D">
        <w:rPr>
          <w:rFonts w:ascii="Arial" w:hAnsi="Arial" w:cs="Arial"/>
          <w:b/>
          <w:bCs/>
          <w:sz w:val="22"/>
          <w:szCs w:val="22"/>
        </w:rPr>
        <w:t>.</w:t>
      </w:r>
      <w:r w:rsidRPr="001C4E3B">
        <w:rPr>
          <w:rFonts w:ascii="Arial" w:hAnsi="Arial" w:cs="Arial"/>
          <w:sz w:val="22"/>
          <w:szCs w:val="22"/>
        </w:rPr>
        <w:t xml:space="preserve"> Results of the </w:t>
      </w:r>
      <w:r>
        <w:rPr>
          <w:rFonts w:ascii="Arial" w:hAnsi="Arial" w:cs="Arial"/>
          <w:sz w:val="22"/>
          <w:szCs w:val="22"/>
        </w:rPr>
        <w:t>external predictive validity (out-of-sample validation)</w:t>
      </w:r>
      <w:r w:rsidRPr="001C4E3B">
        <w:rPr>
          <w:rFonts w:ascii="Arial" w:hAnsi="Arial" w:cs="Arial"/>
          <w:sz w:val="22"/>
          <w:szCs w:val="22"/>
        </w:rPr>
        <w:t xml:space="preserve"> </w:t>
      </w:r>
      <w:r>
        <w:rPr>
          <w:rFonts w:ascii="Arial" w:hAnsi="Arial" w:cs="Arial"/>
          <w:sz w:val="22"/>
          <w:szCs w:val="22"/>
        </w:rPr>
        <w:t xml:space="preserve">of the estimated </w:t>
      </w:r>
      <w:r w:rsidRPr="00263770">
        <w:rPr>
          <w:rFonts w:ascii="Arial" w:hAnsi="Arial" w:cs="Arial"/>
          <w:sz w:val="22"/>
          <w:szCs w:val="22"/>
        </w:rPr>
        <w:t xml:space="preserve">no-pandemic </w:t>
      </w:r>
      <w:r>
        <w:rPr>
          <w:rFonts w:ascii="Arial" w:hAnsi="Arial" w:cs="Arial"/>
          <w:sz w:val="22"/>
          <w:szCs w:val="22"/>
        </w:rPr>
        <w:t xml:space="preserve">counterfactual </w:t>
      </w:r>
      <w:r w:rsidRPr="00263770">
        <w:rPr>
          <w:rFonts w:ascii="Arial" w:hAnsi="Arial" w:cs="Arial"/>
          <w:sz w:val="22"/>
          <w:szCs w:val="22"/>
        </w:rPr>
        <w:t>weekly deaths</w:t>
      </w:r>
      <w:r>
        <w:rPr>
          <w:rFonts w:ascii="Arial" w:hAnsi="Arial" w:cs="Arial"/>
          <w:sz w:val="22"/>
          <w:szCs w:val="22"/>
        </w:rPr>
        <w:t xml:space="preserve"> </w:t>
      </w:r>
      <w:r w:rsidRPr="001C4E3B">
        <w:rPr>
          <w:rFonts w:ascii="Arial" w:hAnsi="Arial" w:cs="Arial"/>
          <w:sz w:val="22"/>
          <w:szCs w:val="22"/>
        </w:rPr>
        <w:t xml:space="preserve">from the Bayesian model ensemble. Each number represents the </w:t>
      </w:r>
      <w:r w:rsidRPr="00677C64">
        <w:rPr>
          <w:rFonts w:ascii="Arial" w:hAnsi="Arial" w:cs="Arial"/>
          <w:sz w:val="22"/>
          <w:szCs w:val="22"/>
        </w:rPr>
        <w:t>total error over the validation period, averaged across countries</w:t>
      </w:r>
      <w:r w:rsidRPr="001C4E3B">
        <w:rPr>
          <w:rFonts w:ascii="Arial" w:hAnsi="Arial" w:cs="Arial"/>
          <w:sz w:val="22"/>
          <w:szCs w:val="22"/>
        </w:rPr>
        <w:t>.</w:t>
      </w:r>
    </w:p>
    <w:p w14:paraId="445FAD55" w14:textId="77777777" w:rsidR="00474D86" w:rsidRPr="00EC56E9" w:rsidRDefault="00474D86" w:rsidP="007632B8">
      <w:pPr>
        <w:spacing w:line="480" w:lineRule="auto"/>
        <w:jc w:val="both"/>
        <w:rPr>
          <w:rFonts w:ascii="Arial" w:hAnsi="Arial" w:cs="Arial"/>
          <w:sz w:val="18"/>
          <w:szCs w:val="18"/>
        </w:rPr>
      </w:pPr>
    </w:p>
    <w:tbl>
      <w:tblPr>
        <w:tblStyle w:val="TableGrid"/>
        <w:tblW w:w="0" w:type="auto"/>
        <w:tblLook w:val="04A0" w:firstRow="1" w:lastRow="0" w:firstColumn="1" w:lastColumn="0" w:noHBand="0" w:noVBand="1"/>
      </w:tblPr>
      <w:tblGrid>
        <w:gridCol w:w="1007"/>
        <w:gridCol w:w="1115"/>
        <w:gridCol w:w="1134"/>
        <w:gridCol w:w="1275"/>
        <w:gridCol w:w="1134"/>
        <w:gridCol w:w="1276"/>
        <w:gridCol w:w="1113"/>
        <w:gridCol w:w="962"/>
      </w:tblGrid>
      <w:tr w:rsidR="00474D86" w:rsidRPr="00EC56E9" w14:paraId="6B3C8BD7" w14:textId="77777777" w:rsidTr="008617DD">
        <w:tc>
          <w:tcPr>
            <w:tcW w:w="1007" w:type="dxa"/>
            <w:vMerge w:val="restart"/>
            <w:vAlign w:val="center"/>
          </w:tcPr>
          <w:p w14:paraId="25897568"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Validation year</w:t>
            </w:r>
          </w:p>
        </w:tc>
        <w:tc>
          <w:tcPr>
            <w:tcW w:w="1115" w:type="dxa"/>
            <w:vMerge w:val="restart"/>
            <w:vAlign w:val="center"/>
          </w:tcPr>
          <w:p w14:paraId="2569D1AD"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Age group (years)</w:t>
            </w:r>
          </w:p>
        </w:tc>
        <w:tc>
          <w:tcPr>
            <w:tcW w:w="2409" w:type="dxa"/>
            <w:gridSpan w:val="2"/>
            <w:vAlign w:val="center"/>
          </w:tcPr>
          <w:p w14:paraId="679DAAD8"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Projection error</w:t>
            </w:r>
          </w:p>
          <w:p w14:paraId="26B007DF"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(relative projection error)</w:t>
            </w:r>
          </w:p>
        </w:tc>
        <w:tc>
          <w:tcPr>
            <w:tcW w:w="2410" w:type="dxa"/>
            <w:gridSpan w:val="2"/>
            <w:vAlign w:val="center"/>
          </w:tcPr>
          <w:p w14:paraId="4A2AC2F6"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Absolute projection error (relative absolute projection error)</w:t>
            </w:r>
          </w:p>
        </w:tc>
        <w:tc>
          <w:tcPr>
            <w:tcW w:w="2075" w:type="dxa"/>
            <w:gridSpan w:val="2"/>
            <w:vAlign w:val="center"/>
          </w:tcPr>
          <w:p w14:paraId="6586461C"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Percent covered by 95% credible interval</w:t>
            </w:r>
          </w:p>
        </w:tc>
      </w:tr>
      <w:tr w:rsidR="00474D86" w:rsidRPr="00EC56E9" w14:paraId="3B748088" w14:textId="77777777" w:rsidTr="008617DD">
        <w:tc>
          <w:tcPr>
            <w:tcW w:w="1007" w:type="dxa"/>
            <w:vMerge/>
          </w:tcPr>
          <w:p w14:paraId="0CCDB7FC" w14:textId="77777777" w:rsidR="00474D86" w:rsidRPr="00EC56E9" w:rsidRDefault="00474D86" w:rsidP="008617DD">
            <w:pPr>
              <w:jc w:val="center"/>
              <w:rPr>
                <w:rFonts w:ascii="Arial" w:hAnsi="Arial" w:cs="Arial"/>
                <w:sz w:val="18"/>
                <w:szCs w:val="18"/>
              </w:rPr>
            </w:pPr>
          </w:p>
        </w:tc>
        <w:tc>
          <w:tcPr>
            <w:tcW w:w="1115" w:type="dxa"/>
            <w:vMerge/>
          </w:tcPr>
          <w:p w14:paraId="4B180235" w14:textId="77777777" w:rsidR="00474D86" w:rsidRPr="00EC56E9" w:rsidRDefault="00474D86" w:rsidP="008617DD">
            <w:pPr>
              <w:jc w:val="center"/>
              <w:rPr>
                <w:rFonts w:ascii="Arial" w:hAnsi="Arial" w:cs="Arial"/>
                <w:sz w:val="18"/>
                <w:szCs w:val="18"/>
              </w:rPr>
            </w:pPr>
          </w:p>
        </w:tc>
        <w:tc>
          <w:tcPr>
            <w:tcW w:w="1134" w:type="dxa"/>
            <w:vAlign w:val="center"/>
          </w:tcPr>
          <w:p w14:paraId="731985EA"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Men</w:t>
            </w:r>
          </w:p>
        </w:tc>
        <w:tc>
          <w:tcPr>
            <w:tcW w:w="1275" w:type="dxa"/>
            <w:vAlign w:val="center"/>
          </w:tcPr>
          <w:p w14:paraId="353359F8"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Women</w:t>
            </w:r>
          </w:p>
        </w:tc>
        <w:tc>
          <w:tcPr>
            <w:tcW w:w="1134" w:type="dxa"/>
            <w:vAlign w:val="center"/>
          </w:tcPr>
          <w:p w14:paraId="0E0F5198"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Men</w:t>
            </w:r>
          </w:p>
        </w:tc>
        <w:tc>
          <w:tcPr>
            <w:tcW w:w="1276" w:type="dxa"/>
            <w:vAlign w:val="center"/>
          </w:tcPr>
          <w:p w14:paraId="7CB9E72B"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Women</w:t>
            </w:r>
          </w:p>
        </w:tc>
        <w:tc>
          <w:tcPr>
            <w:tcW w:w="1113" w:type="dxa"/>
            <w:vAlign w:val="center"/>
          </w:tcPr>
          <w:p w14:paraId="02E64A3F"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Men</w:t>
            </w:r>
          </w:p>
        </w:tc>
        <w:tc>
          <w:tcPr>
            <w:tcW w:w="962" w:type="dxa"/>
            <w:vAlign w:val="center"/>
          </w:tcPr>
          <w:p w14:paraId="57BAFC79" w14:textId="77777777" w:rsidR="00474D86" w:rsidRPr="00EC56E9" w:rsidRDefault="00474D86" w:rsidP="008617DD">
            <w:pPr>
              <w:jc w:val="center"/>
              <w:rPr>
                <w:rFonts w:ascii="Arial" w:hAnsi="Arial" w:cs="Arial"/>
                <w:sz w:val="18"/>
                <w:szCs w:val="18"/>
              </w:rPr>
            </w:pPr>
            <w:r w:rsidRPr="00EC56E9">
              <w:rPr>
                <w:rFonts w:ascii="Arial" w:hAnsi="Arial" w:cs="Arial"/>
                <w:sz w:val="18"/>
                <w:szCs w:val="18"/>
              </w:rPr>
              <w:t>Women</w:t>
            </w:r>
          </w:p>
        </w:tc>
      </w:tr>
      <w:tr w:rsidR="00474D86" w:rsidRPr="00EC56E9" w14:paraId="20E9ED8A" w14:textId="77777777" w:rsidTr="008617DD">
        <w:tc>
          <w:tcPr>
            <w:tcW w:w="1007" w:type="dxa"/>
            <w:vMerge w:val="restart"/>
            <w:vAlign w:val="center"/>
          </w:tcPr>
          <w:p w14:paraId="7F73B253" w14:textId="77777777" w:rsidR="00474D86" w:rsidRPr="00EC56E9" w:rsidRDefault="00474D86" w:rsidP="008617DD">
            <w:pPr>
              <w:rPr>
                <w:rFonts w:ascii="Arial" w:hAnsi="Arial" w:cs="Arial"/>
                <w:sz w:val="18"/>
                <w:szCs w:val="18"/>
              </w:rPr>
            </w:pPr>
            <w:r w:rsidRPr="00EC56E9">
              <w:rPr>
                <w:rFonts w:ascii="Arial" w:hAnsi="Arial" w:cs="Arial"/>
                <w:sz w:val="18"/>
                <w:szCs w:val="18"/>
              </w:rPr>
              <w:t>2017</w:t>
            </w:r>
          </w:p>
        </w:tc>
        <w:tc>
          <w:tcPr>
            <w:tcW w:w="1115" w:type="dxa"/>
            <w:vAlign w:val="center"/>
          </w:tcPr>
          <w:p w14:paraId="148D20F4" w14:textId="77777777" w:rsidR="00474D86" w:rsidRPr="00EC56E9" w:rsidRDefault="00474D86" w:rsidP="008617DD">
            <w:pPr>
              <w:rPr>
                <w:rFonts w:ascii="Arial" w:hAnsi="Arial" w:cs="Arial"/>
                <w:sz w:val="18"/>
                <w:szCs w:val="18"/>
              </w:rPr>
            </w:pPr>
            <w:r w:rsidRPr="00EC56E9">
              <w:rPr>
                <w:rFonts w:ascii="Arial" w:hAnsi="Arial" w:cs="Arial"/>
                <w:sz w:val="18"/>
                <w:szCs w:val="18"/>
              </w:rPr>
              <w:t>0-64</w:t>
            </w:r>
          </w:p>
        </w:tc>
        <w:tc>
          <w:tcPr>
            <w:tcW w:w="1134" w:type="dxa"/>
            <w:vAlign w:val="bottom"/>
          </w:tcPr>
          <w:p w14:paraId="0535DB6E"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134 (2%)</w:t>
            </w:r>
          </w:p>
        </w:tc>
        <w:tc>
          <w:tcPr>
            <w:tcW w:w="1275" w:type="dxa"/>
            <w:vAlign w:val="bottom"/>
          </w:tcPr>
          <w:p w14:paraId="7E2FB392"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28 (1%)</w:t>
            </w:r>
          </w:p>
        </w:tc>
        <w:tc>
          <w:tcPr>
            <w:tcW w:w="1134" w:type="dxa"/>
            <w:vAlign w:val="bottom"/>
          </w:tcPr>
          <w:p w14:paraId="0708D31E"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265 (7%)</w:t>
            </w:r>
          </w:p>
        </w:tc>
        <w:tc>
          <w:tcPr>
            <w:tcW w:w="1276" w:type="dxa"/>
            <w:vAlign w:val="bottom"/>
          </w:tcPr>
          <w:p w14:paraId="7897C8BD"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177 (9%)</w:t>
            </w:r>
          </w:p>
        </w:tc>
        <w:tc>
          <w:tcPr>
            <w:tcW w:w="1113" w:type="dxa"/>
            <w:vAlign w:val="bottom"/>
          </w:tcPr>
          <w:p w14:paraId="71FCE641"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96%</w:t>
            </w:r>
          </w:p>
        </w:tc>
        <w:tc>
          <w:tcPr>
            <w:tcW w:w="962" w:type="dxa"/>
            <w:vAlign w:val="bottom"/>
          </w:tcPr>
          <w:p w14:paraId="0E1A4586"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98%</w:t>
            </w:r>
          </w:p>
        </w:tc>
      </w:tr>
      <w:tr w:rsidR="00474D86" w:rsidRPr="00EC56E9" w14:paraId="4D7E5E98" w14:textId="77777777" w:rsidTr="008617DD">
        <w:tc>
          <w:tcPr>
            <w:tcW w:w="1007" w:type="dxa"/>
            <w:vMerge/>
          </w:tcPr>
          <w:p w14:paraId="494A8207" w14:textId="77777777" w:rsidR="00474D86" w:rsidRPr="00EC56E9" w:rsidRDefault="00474D86" w:rsidP="008617DD">
            <w:pPr>
              <w:rPr>
                <w:rFonts w:ascii="Arial" w:hAnsi="Arial" w:cs="Arial"/>
                <w:sz w:val="18"/>
                <w:szCs w:val="18"/>
              </w:rPr>
            </w:pPr>
          </w:p>
        </w:tc>
        <w:tc>
          <w:tcPr>
            <w:tcW w:w="1115" w:type="dxa"/>
            <w:vAlign w:val="center"/>
          </w:tcPr>
          <w:p w14:paraId="4A6B178A" w14:textId="77777777" w:rsidR="00474D86" w:rsidRPr="00EC56E9" w:rsidRDefault="00474D86" w:rsidP="008617DD">
            <w:pPr>
              <w:rPr>
                <w:rFonts w:ascii="Arial" w:hAnsi="Arial" w:cs="Arial"/>
                <w:sz w:val="18"/>
                <w:szCs w:val="18"/>
              </w:rPr>
            </w:pPr>
            <w:r w:rsidRPr="00EC56E9">
              <w:rPr>
                <w:rFonts w:ascii="Arial" w:hAnsi="Arial" w:cs="Arial"/>
                <w:sz w:val="18"/>
                <w:szCs w:val="18"/>
              </w:rPr>
              <w:t>65+</w:t>
            </w:r>
          </w:p>
        </w:tc>
        <w:tc>
          <w:tcPr>
            <w:tcW w:w="1134" w:type="dxa"/>
            <w:vAlign w:val="bottom"/>
          </w:tcPr>
          <w:p w14:paraId="0972F08A"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878 (5%)</w:t>
            </w:r>
          </w:p>
        </w:tc>
        <w:tc>
          <w:tcPr>
            <w:tcW w:w="1275" w:type="dxa"/>
            <w:vAlign w:val="bottom"/>
          </w:tcPr>
          <w:p w14:paraId="198284B9"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1201 (6%)</w:t>
            </w:r>
          </w:p>
        </w:tc>
        <w:tc>
          <w:tcPr>
            <w:tcW w:w="1134" w:type="dxa"/>
            <w:vAlign w:val="bottom"/>
          </w:tcPr>
          <w:p w14:paraId="3F2A7597"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1036 (7%)</w:t>
            </w:r>
          </w:p>
        </w:tc>
        <w:tc>
          <w:tcPr>
            <w:tcW w:w="1276" w:type="dxa"/>
            <w:vAlign w:val="bottom"/>
          </w:tcPr>
          <w:p w14:paraId="5AEDE72A"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1343 (7%)</w:t>
            </w:r>
          </w:p>
        </w:tc>
        <w:tc>
          <w:tcPr>
            <w:tcW w:w="1113" w:type="dxa"/>
            <w:vAlign w:val="bottom"/>
          </w:tcPr>
          <w:p w14:paraId="73CA10C5"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93%</w:t>
            </w:r>
          </w:p>
        </w:tc>
        <w:tc>
          <w:tcPr>
            <w:tcW w:w="962" w:type="dxa"/>
            <w:vAlign w:val="bottom"/>
          </w:tcPr>
          <w:p w14:paraId="29F23F97"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91%</w:t>
            </w:r>
          </w:p>
        </w:tc>
      </w:tr>
      <w:tr w:rsidR="00474D86" w:rsidRPr="00EC56E9" w14:paraId="28E75A4C" w14:textId="77777777" w:rsidTr="008617DD">
        <w:tc>
          <w:tcPr>
            <w:tcW w:w="1007" w:type="dxa"/>
            <w:vMerge w:val="restart"/>
            <w:vAlign w:val="center"/>
          </w:tcPr>
          <w:p w14:paraId="03FFC5CA" w14:textId="77777777" w:rsidR="00474D86" w:rsidRPr="00EC56E9" w:rsidRDefault="00474D86" w:rsidP="008617DD">
            <w:pPr>
              <w:rPr>
                <w:rFonts w:ascii="Arial" w:hAnsi="Arial" w:cs="Arial"/>
                <w:sz w:val="18"/>
                <w:szCs w:val="18"/>
              </w:rPr>
            </w:pPr>
            <w:r w:rsidRPr="00EC56E9">
              <w:rPr>
                <w:rFonts w:ascii="Arial" w:hAnsi="Arial" w:cs="Arial"/>
                <w:sz w:val="18"/>
                <w:szCs w:val="18"/>
              </w:rPr>
              <w:t>2018</w:t>
            </w:r>
          </w:p>
        </w:tc>
        <w:tc>
          <w:tcPr>
            <w:tcW w:w="1115" w:type="dxa"/>
            <w:vAlign w:val="center"/>
          </w:tcPr>
          <w:p w14:paraId="06537E53" w14:textId="77777777" w:rsidR="00474D86" w:rsidRPr="00EC56E9" w:rsidRDefault="00474D86" w:rsidP="008617DD">
            <w:pPr>
              <w:rPr>
                <w:rFonts w:ascii="Arial" w:hAnsi="Arial" w:cs="Arial"/>
                <w:sz w:val="18"/>
                <w:szCs w:val="18"/>
              </w:rPr>
            </w:pPr>
            <w:r w:rsidRPr="00EC56E9">
              <w:rPr>
                <w:rFonts w:ascii="Arial" w:hAnsi="Arial" w:cs="Arial"/>
                <w:sz w:val="18"/>
                <w:szCs w:val="18"/>
              </w:rPr>
              <w:t>0-64</w:t>
            </w:r>
          </w:p>
        </w:tc>
        <w:tc>
          <w:tcPr>
            <w:tcW w:w="1134" w:type="dxa"/>
            <w:vAlign w:val="bottom"/>
          </w:tcPr>
          <w:p w14:paraId="4C21E282"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-92 (-3%)</w:t>
            </w:r>
          </w:p>
        </w:tc>
        <w:tc>
          <w:tcPr>
            <w:tcW w:w="1275" w:type="dxa"/>
            <w:vAlign w:val="bottom"/>
          </w:tcPr>
          <w:p w14:paraId="4AFB8372"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-49 (-3%)</w:t>
            </w:r>
          </w:p>
        </w:tc>
        <w:tc>
          <w:tcPr>
            <w:tcW w:w="1134" w:type="dxa"/>
            <w:vAlign w:val="bottom"/>
          </w:tcPr>
          <w:p w14:paraId="2DEE8DAC"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278 (8%)</w:t>
            </w:r>
          </w:p>
        </w:tc>
        <w:tc>
          <w:tcPr>
            <w:tcW w:w="1276" w:type="dxa"/>
            <w:vAlign w:val="bottom"/>
          </w:tcPr>
          <w:p w14:paraId="33BDD07C"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186 (9%)</w:t>
            </w:r>
          </w:p>
        </w:tc>
        <w:tc>
          <w:tcPr>
            <w:tcW w:w="1113" w:type="dxa"/>
            <w:vAlign w:val="bottom"/>
          </w:tcPr>
          <w:p w14:paraId="13F3E616"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95%</w:t>
            </w:r>
          </w:p>
        </w:tc>
        <w:tc>
          <w:tcPr>
            <w:tcW w:w="962" w:type="dxa"/>
            <w:vAlign w:val="bottom"/>
          </w:tcPr>
          <w:p w14:paraId="0ECEA6F2"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97%</w:t>
            </w:r>
          </w:p>
        </w:tc>
      </w:tr>
      <w:tr w:rsidR="00474D86" w:rsidRPr="00EC56E9" w14:paraId="57194F03" w14:textId="77777777" w:rsidTr="008617DD">
        <w:tc>
          <w:tcPr>
            <w:tcW w:w="1007" w:type="dxa"/>
            <w:vMerge/>
          </w:tcPr>
          <w:p w14:paraId="4E7FDAEB" w14:textId="77777777" w:rsidR="00474D86" w:rsidRPr="00EC56E9" w:rsidRDefault="00474D86" w:rsidP="008617DD">
            <w:pPr>
              <w:rPr>
                <w:rFonts w:ascii="Arial" w:hAnsi="Arial" w:cs="Arial"/>
                <w:sz w:val="18"/>
                <w:szCs w:val="18"/>
              </w:rPr>
            </w:pPr>
          </w:p>
        </w:tc>
        <w:tc>
          <w:tcPr>
            <w:tcW w:w="1115" w:type="dxa"/>
            <w:vAlign w:val="center"/>
          </w:tcPr>
          <w:p w14:paraId="19FE43E3" w14:textId="77777777" w:rsidR="00474D86" w:rsidRPr="00EC56E9" w:rsidRDefault="00474D86" w:rsidP="008617DD">
            <w:pPr>
              <w:rPr>
                <w:rFonts w:ascii="Arial" w:hAnsi="Arial" w:cs="Arial"/>
                <w:sz w:val="18"/>
                <w:szCs w:val="18"/>
              </w:rPr>
            </w:pPr>
            <w:r w:rsidRPr="00EC56E9">
              <w:rPr>
                <w:rFonts w:ascii="Arial" w:hAnsi="Arial" w:cs="Arial"/>
                <w:sz w:val="18"/>
                <w:szCs w:val="18"/>
              </w:rPr>
              <w:t>65+</w:t>
            </w:r>
          </w:p>
        </w:tc>
        <w:tc>
          <w:tcPr>
            <w:tcW w:w="1134" w:type="dxa"/>
            <w:vAlign w:val="bottom"/>
          </w:tcPr>
          <w:p w14:paraId="4A7F1F20"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-223 (-2%)</w:t>
            </w:r>
          </w:p>
        </w:tc>
        <w:tc>
          <w:tcPr>
            <w:tcW w:w="1275" w:type="dxa"/>
            <w:vAlign w:val="bottom"/>
          </w:tcPr>
          <w:p w14:paraId="09D9E94B"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-370 (-2%)</w:t>
            </w:r>
          </w:p>
        </w:tc>
        <w:tc>
          <w:tcPr>
            <w:tcW w:w="1134" w:type="dxa"/>
            <w:vAlign w:val="bottom"/>
          </w:tcPr>
          <w:p w14:paraId="07D78D7C"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1058 (7%)</w:t>
            </w:r>
          </w:p>
        </w:tc>
        <w:tc>
          <w:tcPr>
            <w:tcW w:w="1276" w:type="dxa"/>
            <w:vAlign w:val="bottom"/>
          </w:tcPr>
          <w:p w14:paraId="735B7A1A"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1420 (8%)</w:t>
            </w:r>
          </w:p>
        </w:tc>
        <w:tc>
          <w:tcPr>
            <w:tcW w:w="1113" w:type="dxa"/>
            <w:vAlign w:val="bottom"/>
          </w:tcPr>
          <w:p w14:paraId="17683028"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88%</w:t>
            </w:r>
          </w:p>
        </w:tc>
        <w:tc>
          <w:tcPr>
            <w:tcW w:w="962" w:type="dxa"/>
            <w:vAlign w:val="bottom"/>
          </w:tcPr>
          <w:p w14:paraId="130C39FD"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87%</w:t>
            </w:r>
          </w:p>
        </w:tc>
      </w:tr>
      <w:tr w:rsidR="00474D86" w:rsidRPr="00EC56E9" w14:paraId="29A1606B" w14:textId="77777777" w:rsidTr="008617DD">
        <w:tc>
          <w:tcPr>
            <w:tcW w:w="1007" w:type="dxa"/>
            <w:vMerge w:val="restart"/>
            <w:vAlign w:val="center"/>
          </w:tcPr>
          <w:p w14:paraId="00F91776" w14:textId="77777777" w:rsidR="00474D86" w:rsidRPr="00EC56E9" w:rsidRDefault="00474D86" w:rsidP="008617DD">
            <w:pPr>
              <w:rPr>
                <w:rFonts w:ascii="Arial" w:hAnsi="Arial" w:cs="Arial"/>
                <w:sz w:val="18"/>
                <w:szCs w:val="18"/>
              </w:rPr>
            </w:pPr>
            <w:r w:rsidRPr="00EC56E9">
              <w:rPr>
                <w:rFonts w:ascii="Arial" w:hAnsi="Arial" w:cs="Arial"/>
                <w:sz w:val="18"/>
                <w:szCs w:val="18"/>
              </w:rPr>
              <w:t>2019</w:t>
            </w:r>
          </w:p>
        </w:tc>
        <w:tc>
          <w:tcPr>
            <w:tcW w:w="1115" w:type="dxa"/>
            <w:vAlign w:val="center"/>
          </w:tcPr>
          <w:p w14:paraId="6F05B686" w14:textId="77777777" w:rsidR="00474D86" w:rsidRPr="00EC56E9" w:rsidRDefault="00474D86" w:rsidP="008617DD">
            <w:pPr>
              <w:rPr>
                <w:rFonts w:ascii="Arial" w:hAnsi="Arial" w:cs="Arial"/>
                <w:sz w:val="18"/>
                <w:szCs w:val="18"/>
              </w:rPr>
            </w:pPr>
            <w:r w:rsidRPr="00EC56E9">
              <w:rPr>
                <w:rFonts w:ascii="Arial" w:hAnsi="Arial" w:cs="Arial"/>
                <w:sz w:val="18"/>
                <w:szCs w:val="18"/>
              </w:rPr>
              <w:t>0-64</w:t>
            </w:r>
          </w:p>
        </w:tc>
        <w:tc>
          <w:tcPr>
            <w:tcW w:w="1134" w:type="dxa"/>
            <w:vAlign w:val="bottom"/>
          </w:tcPr>
          <w:p w14:paraId="49381669"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112 (2%)</w:t>
            </w:r>
          </w:p>
        </w:tc>
        <w:tc>
          <w:tcPr>
            <w:tcW w:w="1275" w:type="dxa"/>
            <w:vAlign w:val="bottom"/>
          </w:tcPr>
          <w:p w14:paraId="07C09689"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50 (2%)</w:t>
            </w:r>
          </w:p>
        </w:tc>
        <w:tc>
          <w:tcPr>
            <w:tcW w:w="1134" w:type="dxa"/>
            <w:vAlign w:val="bottom"/>
          </w:tcPr>
          <w:p w14:paraId="025BB7D3"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261 (8%)</w:t>
            </w:r>
          </w:p>
        </w:tc>
        <w:tc>
          <w:tcPr>
            <w:tcW w:w="1276" w:type="dxa"/>
            <w:vAlign w:val="bottom"/>
          </w:tcPr>
          <w:p w14:paraId="13A7DA05"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164 (9%)</w:t>
            </w:r>
          </w:p>
        </w:tc>
        <w:tc>
          <w:tcPr>
            <w:tcW w:w="1113" w:type="dxa"/>
            <w:vAlign w:val="bottom"/>
          </w:tcPr>
          <w:p w14:paraId="2963A66C"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96%</w:t>
            </w:r>
          </w:p>
        </w:tc>
        <w:tc>
          <w:tcPr>
            <w:tcW w:w="962" w:type="dxa"/>
            <w:vAlign w:val="bottom"/>
          </w:tcPr>
          <w:p w14:paraId="6EF434FA"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96%</w:t>
            </w:r>
          </w:p>
        </w:tc>
      </w:tr>
      <w:tr w:rsidR="00474D86" w:rsidRPr="00EC56E9" w14:paraId="01E3BEA3" w14:textId="77777777" w:rsidTr="008617DD">
        <w:tc>
          <w:tcPr>
            <w:tcW w:w="1007" w:type="dxa"/>
            <w:vMerge/>
            <w:tcBorders>
              <w:bottom w:val="double" w:sz="4" w:space="0" w:color="auto"/>
            </w:tcBorders>
          </w:tcPr>
          <w:p w14:paraId="2EFCBD9E" w14:textId="77777777" w:rsidR="00474D86" w:rsidRPr="00EC56E9" w:rsidRDefault="00474D86" w:rsidP="008617DD">
            <w:pPr>
              <w:rPr>
                <w:rFonts w:ascii="Arial" w:hAnsi="Arial" w:cs="Arial"/>
                <w:sz w:val="18"/>
                <w:szCs w:val="18"/>
              </w:rPr>
            </w:pPr>
          </w:p>
        </w:tc>
        <w:tc>
          <w:tcPr>
            <w:tcW w:w="1115" w:type="dxa"/>
            <w:tcBorders>
              <w:bottom w:val="double" w:sz="4" w:space="0" w:color="auto"/>
            </w:tcBorders>
            <w:vAlign w:val="center"/>
          </w:tcPr>
          <w:p w14:paraId="31031A96" w14:textId="77777777" w:rsidR="00474D86" w:rsidRPr="00EC56E9" w:rsidRDefault="00474D86" w:rsidP="008617DD">
            <w:pPr>
              <w:rPr>
                <w:rFonts w:ascii="Arial" w:hAnsi="Arial" w:cs="Arial"/>
                <w:sz w:val="18"/>
                <w:szCs w:val="18"/>
              </w:rPr>
            </w:pPr>
            <w:r w:rsidRPr="00EC56E9">
              <w:rPr>
                <w:rFonts w:ascii="Arial" w:hAnsi="Arial" w:cs="Arial"/>
                <w:sz w:val="18"/>
                <w:szCs w:val="18"/>
              </w:rPr>
              <w:t>65+</w:t>
            </w:r>
          </w:p>
        </w:tc>
        <w:tc>
          <w:tcPr>
            <w:tcW w:w="1134" w:type="dxa"/>
            <w:tcBorders>
              <w:bottom w:val="double" w:sz="4" w:space="0" w:color="auto"/>
            </w:tcBorders>
            <w:vAlign w:val="bottom"/>
          </w:tcPr>
          <w:p w14:paraId="5F1FAB35"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430 (2%)</w:t>
            </w:r>
          </w:p>
        </w:tc>
        <w:tc>
          <w:tcPr>
            <w:tcW w:w="1275" w:type="dxa"/>
            <w:tcBorders>
              <w:bottom w:val="double" w:sz="4" w:space="0" w:color="auto"/>
            </w:tcBorders>
            <w:vAlign w:val="bottom"/>
          </w:tcPr>
          <w:p w14:paraId="5CF7EB5E"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558 (2%)</w:t>
            </w:r>
          </w:p>
        </w:tc>
        <w:tc>
          <w:tcPr>
            <w:tcW w:w="1134" w:type="dxa"/>
            <w:tcBorders>
              <w:bottom w:val="double" w:sz="4" w:space="0" w:color="auto"/>
            </w:tcBorders>
            <w:vAlign w:val="bottom"/>
          </w:tcPr>
          <w:p w14:paraId="2E0D4A32"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696 (4%)</w:t>
            </w:r>
          </w:p>
        </w:tc>
        <w:tc>
          <w:tcPr>
            <w:tcW w:w="1276" w:type="dxa"/>
            <w:tcBorders>
              <w:bottom w:val="double" w:sz="4" w:space="0" w:color="auto"/>
            </w:tcBorders>
            <w:vAlign w:val="bottom"/>
          </w:tcPr>
          <w:p w14:paraId="4EE419DC"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898 (5%)</w:t>
            </w:r>
          </w:p>
        </w:tc>
        <w:tc>
          <w:tcPr>
            <w:tcW w:w="1113" w:type="dxa"/>
            <w:tcBorders>
              <w:bottom w:val="double" w:sz="4" w:space="0" w:color="auto"/>
            </w:tcBorders>
            <w:vAlign w:val="bottom"/>
          </w:tcPr>
          <w:p w14:paraId="1FC0E185"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98%</w:t>
            </w:r>
          </w:p>
        </w:tc>
        <w:tc>
          <w:tcPr>
            <w:tcW w:w="962" w:type="dxa"/>
            <w:tcBorders>
              <w:bottom w:val="double" w:sz="4" w:space="0" w:color="auto"/>
            </w:tcBorders>
            <w:vAlign w:val="bottom"/>
          </w:tcPr>
          <w:p w14:paraId="45986191"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100%</w:t>
            </w:r>
          </w:p>
        </w:tc>
      </w:tr>
      <w:tr w:rsidR="00474D86" w:rsidRPr="00EC56E9" w14:paraId="4134D87B" w14:textId="77777777" w:rsidTr="008617DD">
        <w:tc>
          <w:tcPr>
            <w:tcW w:w="1007" w:type="dxa"/>
            <w:vMerge w:val="restart"/>
            <w:tcBorders>
              <w:top w:val="double" w:sz="4" w:space="0" w:color="auto"/>
            </w:tcBorders>
          </w:tcPr>
          <w:p w14:paraId="19152738" w14:textId="77777777" w:rsidR="00474D86" w:rsidRPr="00EC56E9" w:rsidRDefault="00474D86" w:rsidP="008617DD">
            <w:pPr>
              <w:rPr>
                <w:rFonts w:ascii="Arial" w:hAnsi="Arial" w:cs="Arial"/>
                <w:sz w:val="18"/>
                <w:szCs w:val="18"/>
              </w:rPr>
            </w:pPr>
            <w:r w:rsidRPr="00EC56E9">
              <w:rPr>
                <w:rFonts w:ascii="Arial" w:hAnsi="Arial" w:cs="Arial"/>
                <w:sz w:val="18"/>
                <w:szCs w:val="18"/>
              </w:rPr>
              <w:t>All three years</w:t>
            </w:r>
          </w:p>
        </w:tc>
        <w:tc>
          <w:tcPr>
            <w:tcW w:w="1115" w:type="dxa"/>
            <w:tcBorders>
              <w:top w:val="double" w:sz="4" w:space="0" w:color="auto"/>
            </w:tcBorders>
            <w:vAlign w:val="center"/>
          </w:tcPr>
          <w:p w14:paraId="5B8E4511" w14:textId="77777777" w:rsidR="00474D86" w:rsidRPr="00EC56E9" w:rsidRDefault="00474D86" w:rsidP="008617DD">
            <w:pPr>
              <w:rPr>
                <w:rFonts w:ascii="Arial" w:hAnsi="Arial" w:cs="Arial"/>
                <w:sz w:val="18"/>
                <w:szCs w:val="18"/>
              </w:rPr>
            </w:pPr>
            <w:r w:rsidRPr="00EC56E9">
              <w:rPr>
                <w:rFonts w:ascii="Arial" w:hAnsi="Arial" w:cs="Arial"/>
                <w:sz w:val="18"/>
                <w:szCs w:val="18"/>
              </w:rPr>
              <w:t>0-64</w:t>
            </w:r>
          </w:p>
        </w:tc>
        <w:tc>
          <w:tcPr>
            <w:tcW w:w="1134" w:type="dxa"/>
            <w:tcBorders>
              <w:top w:val="double" w:sz="4" w:space="0" w:color="auto"/>
            </w:tcBorders>
            <w:vAlign w:val="bottom"/>
          </w:tcPr>
          <w:p w14:paraId="7BFC9715"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51 (0%)</w:t>
            </w:r>
          </w:p>
        </w:tc>
        <w:tc>
          <w:tcPr>
            <w:tcW w:w="1275" w:type="dxa"/>
            <w:tcBorders>
              <w:top w:val="double" w:sz="4" w:space="0" w:color="auto"/>
            </w:tcBorders>
            <w:vAlign w:val="bottom"/>
          </w:tcPr>
          <w:p w14:paraId="243CEEC7"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10 (0%)</w:t>
            </w:r>
          </w:p>
        </w:tc>
        <w:tc>
          <w:tcPr>
            <w:tcW w:w="1134" w:type="dxa"/>
            <w:tcBorders>
              <w:top w:val="double" w:sz="4" w:space="0" w:color="auto"/>
            </w:tcBorders>
            <w:vAlign w:val="bottom"/>
          </w:tcPr>
          <w:p w14:paraId="50A0FC5E"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268 (8%)</w:t>
            </w:r>
          </w:p>
        </w:tc>
        <w:tc>
          <w:tcPr>
            <w:tcW w:w="1276" w:type="dxa"/>
            <w:tcBorders>
              <w:top w:val="double" w:sz="4" w:space="0" w:color="auto"/>
            </w:tcBorders>
            <w:vAlign w:val="bottom"/>
          </w:tcPr>
          <w:p w14:paraId="4AFE8534"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176 (9%)</w:t>
            </w:r>
          </w:p>
        </w:tc>
        <w:tc>
          <w:tcPr>
            <w:tcW w:w="1113" w:type="dxa"/>
            <w:tcBorders>
              <w:top w:val="double" w:sz="4" w:space="0" w:color="auto"/>
            </w:tcBorders>
            <w:vAlign w:val="bottom"/>
          </w:tcPr>
          <w:p w14:paraId="2148FAAD"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95%</w:t>
            </w:r>
          </w:p>
        </w:tc>
        <w:tc>
          <w:tcPr>
            <w:tcW w:w="962" w:type="dxa"/>
            <w:tcBorders>
              <w:top w:val="double" w:sz="4" w:space="0" w:color="auto"/>
            </w:tcBorders>
            <w:vAlign w:val="bottom"/>
          </w:tcPr>
          <w:p w14:paraId="07C59013"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97%</w:t>
            </w:r>
          </w:p>
        </w:tc>
      </w:tr>
      <w:tr w:rsidR="00474D86" w:rsidRPr="00EC56E9" w14:paraId="7FADD6AF" w14:textId="77777777" w:rsidTr="008617DD">
        <w:tc>
          <w:tcPr>
            <w:tcW w:w="1007" w:type="dxa"/>
            <w:vMerge/>
          </w:tcPr>
          <w:p w14:paraId="2361CDA3" w14:textId="77777777" w:rsidR="00474D86" w:rsidRPr="00EC56E9" w:rsidRDefault="00474D86" w:rsidP="008617DD">
            <w:pPr>
              <w:rPr>
                <w:rFonts w:ascii="Arial" w:hAnsi="Arial" w:cs="Arial"/>
                <w:sz w:val="18"/>
                <w:szCs w:val="18"/>
              </w:rPr>
            </w:pPr>
          </w:p>
        </w:tc>
        <w:tc>
          <w:tcPr>
            <w:tcW w:w="1115" w:type="dxa"/>
            <w:vAlign w:val="center"/>
          </w:tcPr>
          <w:p w14:paraId="7A1AAFB7" w14:textId="77777777" w:rsidR="00474D86" w:rsidRPr="00EC56E9" w:rsidRDefault="00474D86" w:rsidP="008617DD">
            <w:pPr>
              <w:rPr>
                <w:rFonts w:ascii="Arial" w:hAnsi="Arial" w:cs="Arial"/>
                <w:sz w:val="18"/>
                <w:szCs w:val="18"/>
              </w:rPr>
            </w:pPr>
            <w:r w:rsidRPr="00EC56E9">
              <w:rPr>
                <w:rFonts w:ascii="Arial" w:hAnsi="Arial" w:cs="Arial"/>
                <w:sz w:val="18"/>
                <w:szCs w:val="18"/>
              </w:rPr>
              <w:t>65+</w:t>
            </w:r>
          </w:p>
        </w:tc>
        <w:tc>
          <w:tcPr>
            <w:tcW w:w="1134" w:type="dxa"/>
            <w:vAlign w:val="bottom"/>
          </w:tcPr>
          <w:p w14:paraId="6CD406F3"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361 (2%)</w:t>
            </w:r>
          </w:p>
        </w:tc>
        <w:tc>
          <w:tcPr>
            <w:tcW w:w="1275" w:type="dxa"/>
            <w:vAlign w:val="bottom"/>
          </w:tcPr>
          <w:p w14:paraId="1D1B81B4"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463 (2%)</w:t>
            </w:r>
          </w:p>
        </w:tc>
        <w:tc>
          <w:tcPr>
            <w:tcW w:w="1134" w:type="dxa"/>
            <w:vAlign w:val="bottom"/>
          </w:tcPr>
          <w:p w14:paraId="434B9FBF"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930 (6%)</w:t>
            </w:r>
          </w:p>
        </w:tc>
        <w:tc>
          <w:tcPr>
            <w:tcW w:w="1276" w:type="dxa"/>
            <w:vAlign w:val="bottom"/>
          </w:tcPr>
          <w:p w14:paraId="473C358F"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1220 (7%)</w:t>
            </w:r>
          </w:p>
        </w:tc>
        <w:tc>
          <w:tcPr>
            <w:tcW w:w="1113" w:type="dxa"/>
            <w:vAlign w:val="bottom"/>
          </w:tcPr>
          <w:p w14:paraId="6BDF7A40"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93%</w:t>
            </w:r>
          </w:p>
        </w:tc>
        <w:tc>
          <w:tcPr>
            <w:tcW w:w="962" w:type="dxa"/>
            <w:vAlign w:val="bottom"/>
          </w:tcPr>
          <w:p w14:paraId="7761D824" w14:textId="77777777" w:rsidR="00474D86" w:rsidRPr="00EC56E9" w:rsidRDefault="00474D86" w:rsidP="008617DD">
            <w:pPr>
              <w:jc w:val="center"/>
              <w:rPr>
                <w:rFonts w:ascii="Arial" w:hAnsi="Arial" w:cs="Arial"/>
                <w:sz w:val="18"/>
                <w:szCs w:val="18"/>
              </w:rPr>
            </w:pPr>
            <w:r w:rsidRPr="00EC56E9">
              <w:rPr>
                <w:rFonts w:ascii="Arial" w:hAnsi="Arial" w:cs="Arial"/>
                <w:color w:val="000000"/>
                <w:sz w:val="18"/>
                <w:szCs w:val="18"/>
              </w:rPr>
              <w:t>93%</w:t>
            </w:r>
          </w:p>
        </w:tc>
      </w:tr>
    </w:tbl>
    <w:p w14:paraId="4B11F049" w14:textId="77777777" w:rsidR="00474D86" w:rsidRPr="00EC56E9" w:rsidRDefault="00474D86" w:rsidP="007632B8">
      <w:pPr>
        <w:jc w:val="both"/>
        <w:rPr>
          <w:rFonts w:ascii="Arial" w:hAnsi="Arial" w:cs="Arial"/>
          <w:sz w:val="18"/>
          <w:szCs w:val="18"/>
        </w:rPr>
      </w:pPr>
    </w:p>
    <w:p w14:paraId="0A3BEBFA" w14:textId="77777777" w:rsidR="00474D86" w:rsidRPr="00EC56E9" w:rsidRDefault="00474D86" w:rsidP="007632B8">
      <w:pPr>
        <w:jc w:val="both"/>
        <w:rPr>
          <w:rFonts w:ascii="Arial" w:hAnsi="Arial" w:cs="Arial"/>
          <w:sz w:val="18"/>
          <w:szCs w:val="18"/>
        </w:rPr>
      </w:pPr>
      <w:r w:rsidRPr="00EC56E9">
        <w:rPr>
          <w:rFonts w:ascii="Arial" w:hAnsi="Arial" w:cs="Arial"/>
          <w:sz w:val="18"/>
          <w:szCs w:val="18"/>
        </w:rPr>
        <w:t>* Australia, France and Italy were not used for validation analysis because they had shorter time series. Hence leaving out the last three years of data would leave a time series that was too short for estimating model parameters.</w:t>
      </w:r>
    </w:p>
    <w:p w14:paraId="37D885ED" w14:textId="77777777" w:rsidR="00474D86" w:rsidRDefault="00474D86">
      <w:pPr>
        <w:spacing w:after="200" w:line="276" w:lineRule="auto"/>
        <w:rPr>
          <w:rFonts w:ascii="Arial" w:hAnsi="Arial" w:cs="Arial"/>
          <w:sz w:val="18"/>
          <w:szCs w:val="18"/>
        </w:rPr>
      </w:pPr>
      <w:r>
        <w:rPr>
          <w:rFonts w:ascii="Arial" w:hAnsi="Arial" w:cs="Arial"/>
          <w:sz w:val="18"/>
          <w:szCs w:val="18"/>
        </w:rPr>
        <w:br w:type="page"/>
      </w:r>
    </w:p>
    <w:p w14:paraId="0896A01B" w14:textId="77777777" w:rsidR="00474D86" w:rsidRDefault="00474D86" w:rsidP="00BE7BBD">
      <w:pPr>
        <w:spacing w:line="480" w:lineRule="auto"/>
        <w:jc w:val="both"/>
        <w:rPr>
          <w:rFonts w:ascii="Arial" w:hAnsi="Arial" w:cs="Arial"/>
          <w:b/>
          <w:bCs/>
          <w:sz w:val="22"/>
          <w:szCs w:val="22"/>
        </w:rPr>
      </w:pPr>
      <w:r w:rsidRPr="0070610D">
        <w:rPr>
          <w:rFonts w:ascii="Arial" w:hAnsi="Arial" w:cs="Arial"/>
          <w:b/>
          <w:bCs/>
          <w:sz w:val="22"/>
          <w:szCs w:val="22"/>
        </w:rPr>
        <w:lastRenderedPageBreak/>
        <w:t xml:space="preserve">Extended Data Table </w:t>
      </w:r>
      <w:r>
        <w:rPr>
          <w:rFonts w:ascii="Arial" w:hAnsi="Arial" w:cs="Arial"/>
          <w:b/>
          <w:bCs/>
          <w:sz w:val="22"/>
          <w:szCs w:val="22"/>
        </w:rPr>
        <w:t>4</w:t>
      </w:r>
      <w:r w:rsidRPr="0070610D">
        <w:rPr>
          <w:rFonts w:ascii="Arial" w:hAnsi="Arial" w:cs="Arial"/>
          <w:b/>
          <w:bCs/>
          <w:sz w:val="22"/>
          <w:szCs w:val="22"/>
        </w:rPr>
        <w:t>.</w:t>
      </w:r>
      <w:r w:rsidRPr="0042182A">
        <w:rPr>
          <w:rFonts w:ascii="Arial" w:hAnsi="Arial" w:cs="Arial"/>
          <w:sz w:val="22"/>
          <w:szCs w:val="22"/>
        </w:rPr>
        <w:t xml:space="preserve"> Selected</w:t>
      </w:r>
      <w:r>
        <w:rPr>
          <w:rFonts w:ascii="Arial" w:hAnsi="Arial" w:cs="Arial"/>
          <w:sz w:val="22"/>
          <w:szCs w:val="22"/>
        </w:rPr>
        <w:t xml:space="preserve"> population, policy and health systems characteristics of the 21 countries included in the analysis. Percent of population over age 65 years, prevalence of diabetes, obesity and raised blood pressure, life expectancy and change in life expectancy show average of female and male values.</w:t>
      </w:r>
    </w:p>
    <w:p w14:paraId="1588D878" w14:textId="77777777" w:rsidR="00474D86" w:rsidRDefault="00474D86" w:rsidP="00130537">
      <w:pPr>
        <w:spacing w:line="480" w:lineRule="auto"/>
        <w:jc w:val="both"/>
        <w:rPr>
          <w:rFonts w:ascii="Arial" w:hAnsi="Arial" w:cs="Arial"/>
          <w:sz w:val="22"/>
          <w:szCs w:val="22"/>
        </w:rPr>
      </w:pPr>
      <w:r>
        <w:rPr>
          <w:rFonts w:ascii="Arial" w:hAnsi="Arial" w:cs="Arial"/>
          <w:b/>
          <w:bCs/>
          <w:sz w:val="22"/>
          <w:szCs w:val="22"/>
        </w:rPr>
        <w:br w:type="page"/>
      </w:r>
      <w:r w:rsidRPr="0070610D">
        <w:rPr>
          <w:rFonts w:ascii="Arial" w:hAnsi="Arial" w:cs="Arial"/>
          <w:b/>
          <w:bCs/>
          <w:sz w:val="22"/>
          <w:szCs w:val="22"/>
        </w:rPr>
        <w:lastRenderedPageBreak/>
        <w:t xml:space="preserve">Extended Data Table </w:t>
      </w:r>
      <w:r>
        <w:rPr>
          <w:rFonts w:ascii="Arial" w:hAnsi="Arial" w:cs="Arial"/>
          <w:b/>
          <w:bCs/>
          <w:sz w:val="22"/>
          <w:szCs w:val="22"/>
        </w:rPr>
        <w:t>5</w:t>
      </w:r>
      <w:r w:rsidRPr="0070610D">
        <w:rPr>
          <w:rFonts w:ascii="Arial" w:hAnsi="Arial" w:cs="Arial"/>
          <w:b/>
          <w:bCs/>
          <w:sz w:val="22"/>
          <w:szCs w:val="22"/>
        </w:rPr>
        <w:t>.</w:t>
      </w:r>
      <w:r>
        <w:rPr>
          <w:rFonts w:ascii="Arial" w:hAnsi="Arial" w:cs="Arial"/>
          <w:b/>
          <w:bCs/>
          <w:sz w:val="22"/>
          <w:szCs w:val="22"/>
        </w:rPr>
        <w:t xml:space="preserve"> </w:t>
      </w:r>
      <w:r>
        <w:rPr>
          <w:rFonts w:ascii="Arial" w:hAnsi="Arial" w:cs="Arial"/>
          <w:sz w:val="22"/>
          <w:szCs w:val="22"/>
        </w:rPr>
        <w:t>Combination of terms used in each of the 16 models for estimating number of weekly deaths that would be expected had the pandemic not occurred. See Methods for an explanation of each term.</w:t>
      </w:r>
    </w:p>
    <w:p w14:paraId="3DE530F6" w14:textId="77777777" w:rsidR="00474D86" w:rsidRDefault="00474D86" w:rsidP="00130537">
      <w:pPr>
        <w:spacing w:line="480" w:lineRule="auto"/>
        <w:jc w:val="both"/>
        <w:rPr>
          <w:rFonts w:ascii="Arial" w:hAnsi="Arial" w:cs="Arial"/>
          <w:sz w:val="22"/>
          <w:szCs w:val="22"/>
          <w:highlight w:val="cyan"/>
        </w:rPr>
      </w:pPr>
    </w:p>
    <w:tbl>
      <w:tblPr>
        <w:tblStyle w:val="TableGrid"/>
        <w:tblW w:w="10165" w:type="dxa"/>
        <w:tblLook w:val="04A0" w:firstRow="1" w:lastRow="0" w:firstColumn="1" w:lastColumn="0" w:noHBand="0" w:noVBand="1"/>
      </w:tblPr>
      <w:tblGrid>
        <w:gridCol w:w="827"/>
        <w:gridCol w:w="1736"/>
        <w:gridCol w:w="1085"/>
        <w:gridCol w:w="1517"/>
        <w:gridCol w:w="967"/>
        <w:gridCol w:w="4033"/>
      </w:tblGrid>
      <w:tr w:rsidR="00474D86" w:rsidRPr="0021159B" w14:paraId="43E019BB" w14:textId="77777777" w:rsidTr="00652489">
        <w:trPr>
          <w:trHeight w:val="915"/>
        </w:trPr>
        <w:tc>
          <w:tcPr>
            <w:tcW w:w="827" w:type="dxa"/>
          </w:tcPr>
          <w:p w14:paraId="1C941E24" w14:textId="77777777" w:rsidR="00474D86" w:rsidRPr="001F5638" w:rsidRDefault="00474D86" w:rsidP="002E4730">
            <w:pPr>
              <w:spacing w:after="200" w:line="276" w:lineRule="auto"/>
              <w:jc w:val="center"/>
              <w:rPr>
                <w:rFonts w:ascii="Arial" w:hAnsi="Arial" w:cs="Arial"/>
                <w:sz w:val="18"/>
                <w:szCs w:val="18"/>
                <w:lang w:val="en-US"/>
              </w:rPr>
            </w:pPr>
            <w:r w:rsidRPr="001F5638">
              <w:rPr>
                <w:rFonts w:ascii="Arial" w:hAnsi="Arial" w:cs="Arial"/>
                <w:sz w:val="18"/>
                <w:szCs w:val="18"/>
                <w:lang w:val="en-US"/>
              </w:rPr>
              <w:t>Model number</w:t>
            </w:r>
          </w:p>
        </w:tc>
        <w:tc>
          <w:tcPr>
            <w:tcW w:w="1736" w:type="dxa"/>
          </w:tcPr>
          <w:p w14:paraId="79551D92" w14:textId="77777777" w:rsidR="00474D86" w:rsidRPr="001F5638" w:rsidRDefault="00474D86" w:rsidP="002E4730">
            <w:pPr>
              <w:spacing w:after="200" w:line="276" w:lineRule="auto"/>
              <w:jc w:val="center"/>
              <w:rPr>
                <w:rFonts w:ascii="Arial" w:hAnsi="Arial" w:cs="Arial"/>
                <w:sz w:val="18"/>
                <w:szCs w:val="18"/>
                <w:lang w:val="el-GR"/>
              </w:rPr>
            </w:pPr>
            <w:r w:rsidRPr="001F5638">
              <w:rPr>
                <w:rFonts w:ascii="Arial" w:hAnsi="Arial" w:cs="Arial"/>
                <w:sz w:val="18"/>
                <w:szCs w:val="18"/>
                <w:lang w:val="en-US"/>
              </w:rPr>
              <w:t>Global intercepts</w:t>
            </w:r>
          </w:p>
        </w:tc>
        <w:tc>
          <w:tcPr>
            <w:tcW w:w="1085" w:type="dxa"/>
          </w:tcPr>
          <w:p w14:paraId="515C69B7" w14:textId="77777777" w:rsidR="00474D86" w:rsidRPr="001F5638" w:rsidRDefault="00474D86" w:rsidP="002E4730">
            <w:pPr>
              <w:spacing w:after="200" w:line="276" w:lineRule="auto"/>
              <w:jc w:val="center"/>
              <w:rPr>
                <w:rFonts w:ascii="Arial" w:hAnsi="Arial" w:cs="Arial"/>
                <w:sz w:val="18"/>
                <w:szCs w:val="18"/>
                <w:highlight w:val="cyan"/>
              </w:rPr>
            </w:pPr>
            <w:r>
              <w:rPr>
                <w:rFonts w:ascii="Arial" w:hAnsi="Arial" w:cs="Arial"/>
                <w:sz w:val="18"/>
                <w:szCs w:val="18"/>
              </w:rPr>
              <w:t>T</w:t>
            </w:r>
            <w:r w:rsidRPr="001F5638">
              <w:rPr>
                <w:rFonts w:ascii="Arial" w:hAnsi="Arial" w:cs="Arial"/>
                <w:sz w:val="18"/>
                <w:szCs w:val="18"/>
              </w:rPr>
              <w:t>ime slope</w:t>
            </w:r>
          </w:p>
        </w:tc>
        <w:tc>
          <w:tcPr>
            <w:tcW w:w="1517" w:type="dxa"/>
          </w:tcPr>
          <w:p w14:paraId="61507F19" w14:textId="77777777" w:rsidR="00474D86" w:rsidRPr="001F5638" w:rsidRDefault="00474D86" w:rsidP="002E4730">
            <w:pPr>
              <w:spacing w:after="200" w:line="276" w:lineRule="auto"/>
              <w:jc w:val="center"/>
              <w:rPr>
                <w:rFonts w:ascii="Arial" w:hAnsi="Arial" w:cs="Arial"/>
                <w:sz w:val="18"/>
                <w:szCs w:val="18"/>
                <w:highlight w:val="cyan"/>
              </w:rPr>
            </w:pPr>
            <w:r w:rsidRPr="001F5638">
              <w:rPr>
                <w:rFonts w:ascii="Arial" w:hAnsi="Arial" w:cs="Arial"/>
                <w:sz w:val="18"/>
                <w:szCs w:val="18"/>
              </w:rPr>
              <w:t xml:space="preserve">Non-linear </w:t>
            </w:r>
            <w:r>
              <w:rPr>
                <w:rFonts w:ascii="Arial" w:hAnsi="Arial" w:cs="Arial"/>
                <w:sz w:val="18"/>
                <w:szCs w:val="18"/>
              </w:rPr>
              <w:t>(autoregressive)</w:t>
            </w:r>
            <w:r w:rsidRPr="001F5638">
              <w:rPr>
                <w:rFonts w:ascii="Arial" w:hAnsi="Arial" w:cs="Arial"/>
                <w:sz w:val="18"/>
                <w:szCs w:val="18"/>
              </w:rPr>
              <w:t xml:space="preserve"> term</w:t>
            </w:r>
          </w:p>
        </w:tc>
        <w:tc>
          <w:tcPr>
            <w:tcW w:w="967" w:type="dxa"/>
          </w:tcPr>
          <w:p w14:paraId="6828D851" w14:textId="77777777" w:rsidR="00474D86" w:rsidRPr="001F5638" w:rsidRDefault="00474D86" w:rsidP="002E4730">
            <w:pPr>
              <w:spacing w:after="200" w:line="276" w:lineRule="auto"/>
              <w:jc w:val="center"/>
              <w:rPr>
                <w:rFonts w:ascii="Arial" w:hAnsi="Arial" w:cs="Arial"/>
                <w:sz w:val="18"/>
                <w:szCs w:val="18"/>
              </w:rPr>
            </w:pPr>
            <w:r>
              <w:rPr>
                <w:rFonts w:ascii="Arial" w:hAnsi="Arial" w:cs="Arial"/>
                <w:sz w:val="18"/>
                <w:szCs w:val="18"/>
              </w:rPr>
              <w:t>Seasonal term</w:t>
            </w:r>
          </w:p>
        </w:tc>
        <w:tc>
          <w:tcPr>
            <w:tcW w:w="4033" w:type="dxa"/>
          </w:tcPr>
          <w:p w14:paraId="01FF8D65" w14:textId="77777777" w:rsidR="00474D86" w:rsidRPr="001F5638" w:rsidRDefault="00474D86" w:rsidP="002E4730">
            <w:pPr>
              <w:spacing w:after="200" w:line="276" w:lineRule="auto"/>
              <w:jc w:val="center"/>
              <w:rPr>
                <w:rFonts w:ascii="Arial" w:hAnsi="Arial" w:cs="Arial"/>
                <w:sz w:val="18"/>
                <w:szCs w:val="18"/>
                <w:highlight w:val="cyan"/>
              </w:rPr>
            </w:pPr>
            <w:r w:rsidRPr="001F5638">
              <w:rPr>
                <w:rFonts w:ascii="Arial" w:hAnsi="Arial" w:cs="Arial"/>
                <w:sz w:val="18"/>
                <w:szCs w:val="18"/>
              </w:rPr>
              <w:t>Temperature anomaly terms</w:t>
            </w:r>
          </w:p>
        </w:tc>
      </w:tr>
      <w:tr w:rsidR="00474D86" w:rsidRPr="0021159B" w14:paraId="32C42B5F" w14:textId="77777777" w:rsidTr="00652489">
        <w:trPr>
          <w:trHeight w:val="498"/>
        </w:trPr>
        <w:tc>
          <w:tcPr>
            <w:tcW w:w="827" w:type="dxa"/>
          </w:tcPr>
          <w:p w14:paraId="07480410" w14:textId="77777777" w:rsidR="00474D86" w:rsidRPr="001F5638" w:rsidRDefault="00474D86" w:rsidP="002E4730">
            <w:pPr>
              <w:spacing w:after="200" w:line="276" w:lineRule="auto"/>
              <w:rPr>
                <w:rFonts w:ascii="Arial" w:hAnsi="Arial" w:cs="Arial"/>
                <w:sz w:val="18"/>
                <w:szCs w:val="18"/>
              </w:rPr>
            </w:pPr>
            <w:r w:rsidRPr="001F5638">
              <w:rPr>
                <w:rFonts w:ascii="Arial" w:hAnsi="Arial" w:cs="Arial"/>
                <w:sz w:val="18"/>
                <w:szCs w:val="18"/>
              </w:rPr>
              <w:t>1</w:t>
            </w:r>
          </w:p>
        </w:tc>
        <w:tc>
          <w:tcPr>
            <w:tcW w:w="1736" w:type="dxa"/>
          </w:tcPr>
          <w:p w14:paraId="70D09E38" w14:textId="77777777" w:rsidR="00474D86" w:rsidRPr="001F5638" w:rsidRDefault="00072AEA" w:rsidP="002E4730">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0E52C455" w14:textId="77777777" w:rsidR="00474D86" w:rsidRPr="001F5638" w:rsidRDefault="00474D86" w:rsidP="002E4730">
            <w:pPr>
              <w:spacing w:after="200" w:line="276" w:lineRule="auto"/>
              <w:rPr>
                <w:rFonts w:ascii="Arial" w:hAnsi="Arial" w:cs="Arial"/>
                <w:sz w:val="18"/>
                <w:szCs w:val="18"/>
                <w:highlight w:val="cyan"/>
              </w:rPr>
            </w:pPr>
            <w:r w:rsidRPr="001F5638">
              <w:rPr>
                <w:rFonts w:ascii="Arial" w:hAnsi="Arial" w:cs="Arial"/>
                <w:sz w:val="18"/>
                <w:szCs w:val="18"/>
              </w:rPr>
              <w:t>-</w:t>
            </w:r>
          </w:p>
        </w:tc>
        <w:tc>
          <w:tcPr>
            <w:tcW w:w="1517" w:type="dxa"/>
          </w:tcPr>
          <w:p w14:paraId="18429945" w14:textId="77777777" w:rsidR="00474D86" w:rsidRPr="001F5638" w:rsidRDefault="00072AEA" w:rsidP="002E4730">
            <w:pPr>
              <w:spacing w:after="200" w:line="276" w:lineRule="auto"/>
              <w:rPr>
                <w:rFonts w:ascii="Arial" w:hAnsi="Arial" w:cs="Arial"/>
                <w:sz w:val="18"/>
                <w:szCs w:val="18"/>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1</m:t>
                        </m:r>
                      </m:e>
                    </m:d>
                  </m:sup>
                </m:sSubSup>
              </m:oMath>
            </m:oMathPara>
          </w:p>
        </w:tc>
        <w:tc>
          <w:tcPr>
            <w:tcW w:w="967" w:type="dxa"/>
          </w:tcPr>
          <w:p w14:paraId="4DFE9BDF" w14:textId="77777777" w:rsidR="00474D86" w:rsidRPr="001F5638" w:rsidRDefault="00072AEA" w:rsidP="002E4730">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3BAE8F81" w14:textId="77777777" w:rsidR="00474D86" w:rsidRPr="001F5638" w:rsidRDefault="00474D86" w:rsidP="002E4730">
            <w:pPr>
              <w:spacing w:after="200" w:line="276" w:lineRule="auto"/>
              <w:jc w:val="center"/>
              <w:rPr>
                <w:rFonts w:ascii="Arial" w:hAnsi="Arial" w:cs="Arial"/>
                <w:sz w:val="18"/>
                <w:szCs w:val="18"/>
                <w:highlight w:val="cyan"/>
              </w:rPr>
            </w:pPr>
            <w:r w:rsidRPr="001F5638">
              <w:rPr>
                <w:rFonts w:ascii="Arial" w:hAnsi="Arial" w:cs="Arial"/>
                <w:sz w:val="18"/>
                <w:szCs w:val="18"/>
              </w:rPr>
              <w:t>-</w:t>
            </w:r>
          </w:p>
        </w:tc>
      </w:tr>
      <w:tr w:rsidR="00474D86" w:rsidRPr="0021159B" w14:paraId="0B53A068" w14:textId="77777777" w:rsidTr="00652489">
        <w:trPr>
          <w:trHeight w:val="498"/>
        </w:trPr>
        <w:tc>
          <w:tcPr>
            <w:tcW w:w="827" w:type="dxa"/>
          </w:tcPr>
          <w:p w14:paraId="2AC09762"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2</w:t>
            </w:r>
          </w:p>
        </w:tc>
        <w:tc>
          <w:tcPr>
            <w:tcW w:w="1736" w:type="dxa"/>
          </w:tcPr>
          <w:p w14:paraId="397C4319"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6F26EE45"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w:t>
            </w:r>
          </w:p>
        </w:tc>
        <w:tc>
          <w:tcPr>
            <w:tcW w:w="1517" w:type="dxa"/>
          </w:tcPr>
          <w:p w14:paraId="438FC540"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1</m:t>
                        </m:r>
                      </m:e>
                    </m:d>
                  </m:sup>
                </m:sSubSup>
              </m:oMath>
            </m:oMathPara>
          </w:p>
        </w:tc>
        <w:tc>
          <w:tcPr>
            <w:tcW w:w="967" w:type="dxa"/>
          </w:tcPr>
          <w:p w14:paraId="7D8F0F93"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745566BF" w14:textId="77777777" w:rsidR="00474D86" w:rsidRPr="001F5638" w:rsidRDefault="00072AEA" w:rsidP="00652489">
            <w:pPr>
              <w:spacing w:after="200" w:line="276" w:lineRule="auto"/>
              <w:jc w:val="center"/>
              <w:rPr>
                <w:rFonts w:ascii="Arial" w:hAnsi="Arial" w:cs="Arial"/>
                <w:sz w:val="18"/>
                <w:szCs w:val="18"/>
                <w:highlight w:val="cyan"/>
              </w:rPr>
            </w:pPr>
            <m:oMathPara>
              <m:oMath>
                <m:d>
                  <m:dPr>
                    <m:ctrlPr>
                      <w:rPr>
                        <w:rFonts w:ascii="Cambria Math" w:hAnsi="Cambria Math" w:cs="Arial"/>
                        <w:sz w:val="18"/>
                        <w:szCs w:val="18"/>
                      </w:rPr>
                    </m:ctrlPr>
                  </m:dPr>
                  <m:e>
                    <m:r>
                      <w:rPr>
                        <w:rFonts w:ascii="Cambria Math" w:hAnsi="Cambria Math" w:cs="Arial"/>
                        <w:sz w:val="18"/>
                        <w:szCs w:val="18"/>
                      </w:rPr>
                      <m:t>γ</m:t>
                    </m:r>
                    <m:r>
                      <m:rPr>
                        <m:sty m:val="p"/>
                      </m:rPr>
                      <w:rPr>
                        <w:rFonts w:ascii="Cambria Math" w:hAnsi="Cambria Math" w:cs="Arial"/>
                        <w:sz w:val="18"/>
                        <w:szCs w:val="18"/>
                      </w:rPr>
                      <m:t>+</m:t>
                    </m:r>
                    <m:sSub>
                      <m:sSubPr>
                        <m:ctrlPr>
                          <w:rPr>
                            <w:rFonts w:ascii="Cambria Math" w:hAnsi="Cambria Math" w:cs="Arial"/>
                            <w:sz w:val="18"/>
                            <w:szCs w:val="18"/>
                          </w:rPr>
                        </m:ctrlPr>
                      </m:sSubPr>
                      <m:e>
                        <m:r>
                          <w:rPr>
                            <w:rFonts w:ascii="Cambria Math" w:hAnsi="Cambria Math" w:cs="Arial"/>
                            <w:sz w:val="18"/>
                            <w:szCs w:val="18"/>
                          </w:rPr>
                          <m:t>ν</m:t>
                        </m:r>
                      </m:e>
                      <m:sub>
                        <m:r>
                          <m:rPr>
                            <m:nor/>
                          </m:rPr>
                          <w:rPr>
                            <w:rFonts w:ascii="Cambria Math" w:hAnsi="Cambria Math" w:cs="Arial"/>
                            <w:sz w:val="18"/>
                            <w:szCs w:val="18"/>
                          </w:rPr>
                          <m:t>week of year</m:t>
                        </m:r>
                      </m:sub>
                    </m:sSub>
                    <m:ctrlPr>
                      <w:rPr>
                        <w:rFonts w:ascii="Cambria Math" w:hAnsi="Cambria Math" w:cs="Arial"/>
                        <w:i/>
                        <w:sz w:val="18"/>
                        <w:szCs w:val="18"/>
                      </w:rPr>
                    </m:ctrlPr>
                  </m:e>
                </m:d>
                <m:r>
                  <m:rPr>
                    <m:sty m:val="p"/>
                  </m:rPr>
                  <w:rPr>
                    <w:rFonts w:ascii="Cambria Math" w:hAnsi="Cambria Math" w:cs="Arial"/>
                    <w:sz w:val="18"/>
                    <w:szCs w:val="18"/>
                  </w:rPr>
                  <m:t>⋅</m:t>
                </m:r>
                <m:r>
                  <m:rPr>
                    <m:nor/>
                  </m:rPr>
                  <w:rPr>
                    <w:rFonts w:ascii="Cambria Math" w:hAnsi="Cambria Math" w:cs="Arial"/>
                    <w:sz w:val="18"/>
                    <w:szCs w:val="18"/>
                  </w:rPr>
                  <m:t xml:space="preserve">temperature </m:t>
                </m:r>
                <m:sSub>
                  <m:sSubPr>
                    <m:ctrlPr>
                      <w:rPr>
                        <w:rFonts w:ascii="Cambria Math" w:hAnsi="Cambria Math" w:cs="Arial"/>
                        <w:sz w:val="18"/>
                        <w:szCs w:val="18"/>
                      </w:rPr>
                    </m:ctrlPr>
                  </m:sSubPr>
                  <m:e>
                    <m:r>
                      <m:rPr>
                        <m:nor/>
                      </m:rPr>
                      <w:rPr>
                        <w:rFonts w:ascii="Cambria Math" w:hAnsi="Cambria Math" w:cs="Arial"/>
                        <w:sz w:val="18"/>
                        <w:szCs w:val="18"/>
                      </w:rPr>
                      <m:t>anomaly</m:t>
                    </m:r>
                  </m:e>
                  <m:sub>
                    <m:r>
                      <w:rPr>
                        <w:rFonts w:ascii="Cambria Math" w:hAnsi="Cambria Math" w:cs="Arial"/>
                        <w:sz w:val="18"/>
                        <w:szCs w:val="18"/>
                      </w:rPr>
                      <m:t>week</m:t>
                    </m:r>
                  </m:sub>
                </m:sSub>
              </m:oMath>
            </m:oMathPara>
          </w:p>
        </w:tc>
      </w:tr>
      <w:tr w:rsidR="00474D86" w:rsidRPr="0021159B" w14:paraId="752CE17A" w14:textId="77777777" w:rsidTr="00652489">
        <w:trPr>
          <w:trHeight w:val="498"/>
        </w:trPr>
        <w:tc>
          <w:tcPr>
            <w:tcW w:w="827" w:type="dxa"/>
          </w:tcPr>
          <w:p w14:paraId="223D625E"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3</w:t>
            </w:r>
          </w:p>
        </w:tc>
        <w:tc>
          <w:tcPr>
            <w:tcW w:w="1736" w:type="dxa"/>
          </w:tcPr>
          <w:p w14:paraId="27F3668C"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3FB1DDC1"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w:t>
            </w:r>
          </w:p>
        </w:tc>
        <w:tc>
          <w:tcPr>
            <w:tcW w:w="1517" w:type="dxa"/>
          </w:tcPr>
          <w:p w14:paraId="2595073D"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2</m:t>
                        </m:r>
                      </m:e>
                    </m:d>
                  </m:sup>
                </m:sSubSup>
              </m:oMath>
            </m:oMathPara>
          </w:p>
        </w:tc>
        <w:tc>
          <w:tcPr>
            <w:tcW w:w="967" w:type="dxa"/>
          </w:tcPr>
          <w:p w14:paraId="614365A2"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719ED3B6" w14:textId="77777777" w:rsidR="00474D86" w:rsidRPr="001F5638" w:rsidRDefault="00474D86" w:rsidP="00652489">
            <w:pPr>
              <w:spacing w:after="200" w:line="276" w:lineRule="auto"/>
              <w:jc w:val="center"/>
              <w:rPr>
                <w:rFonts w:ascii="Arial" w:hAnsi="Arial" w:cs="Arial"/>
                <w:sz w:val="18"/>
                <w:szCs w:val="18"/>
                <w:highlight w:val="cyan"/>
              </w:rPr>
            </w:pPr>
            <w:r w:rsidRPr="001F5638">
              <w:rPr>
                <w:rFonts w:ascii="Arial" w:hAnsi="Arial" w:cs="Arial"/>
                <w:sz w:val="18"/>
                <w:szCs w:val="18"/>
              </w:rPr>
              <w:t>-</w:t>
            </w:r>
          </w:p>
        </w:tc>
      </w:tr>
      <w:tr w:rsidR="00474D86" w:rsidRPr="0021159B" w14:paraId="0EAA3C59" w14:textId="77777777" w:rsidTr="00652489">
        <w:trPr>
          <w:trHeight w:val="498"/>
        </w:trPr>
        <w:tc>
          <w:tcPr>
            <w:tcW w:w="827" w:type="dxa"/>
          </w:tcPr>
          <w:p w14:paraId="55D308F8"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4</w:t>
            </w:r>
          </w:p>
        </w:tc>
        <w:tc>
          <w:tcPr>
            <w:tcW w:w="1736" w:type="dxa"/>
          </w:tcPr>
          <w:p w14:paraId="1C0BF17B"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113BB7EE"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w:t>
            </w:r>
          </w:p>
        </w:tc>
        <w:tc>
          <w:tcPr>
            <w:tcW w:w="1517" w:type="dxa"/>
          </w:tcPr>
          <w:p w14:paraId="3B0BDA70"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2</m:t>
                        </m:r>
                      </m:e>
                    </m:d>
                  </m:sup>
                </m:sSubSup>
              </m:oMath>
            </m:oMathPara>
          </w:p>
        </w:tc>
        <w:tc>
          <w:tcPr>
            <w:tcW w:w="967" w:type="dxa"/>
          </w:tcPr>
          <w:p w14:paraId="50C7BE46"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19DB5721" w14:textId="77777777" w:rsidR="00474D86" w:rsidRPr="001F5638" w:rsidRDefault="00072AEA" w:rsidP="00652489">
            <w:pPr>
              <w:spacing w:after="200" w:line="276" w:lineRule="auto"/>
              <w:jc w:val="center"/>
              <w:rPr>
                <w:rFonts w:ascii="Arial" w:hAnsi="Arial" w:cs="Arial"/>
                <w:sz w:val="18"/>
                <w:szCs w:val="18"/>
                <w:highlight w:val="cyan"/>
              </w:rPr>
            </w:pPr>
            <m:oMathPara>
              <m:oMath>
                <m:d>
                  <m:dPr>
                    <m:ctrlPr>
                      <w:rPr>
                        <w:rFonts w:ascii="Cambria Math" w:hAnsi="Cambria Math" w:cs="Arial"/>
                        <w:sz w:val="18"/>
                        <w:szCs w:val="18"/>
                      </w:rPr>
                    </m:ctrlPr>
                  </m:dPr>
                  <m:e>
                    <m:r>
                      <w:rPr>
                        <w:rFonts w:ascii="Cambria Math" w:hAnsi="Cambria Math" w:cs="Arial"/>
                        <w:sz w:val="18"/>
                        <w:szCs w:val="18"/>
                      </w:rPr>
                      <m:t>γ</m:t>
                    </m:r>
                    <m:r>
                      <m:rPr>
                        <m:sty m:val="p"/>
                      </m:rPr>
                      <w:rPr>
                        <w:rFonts w:ascii="Cambria Math" w:hAnsi="Cambria Math" w:cs="Arial"/>
                        <w:sz w:val="18"/>
                        <w:szCs w:val="18"/>
                      </w:rPr>
                      <m:t>+</m:t>
                    </m:r>
                    <m:sSub>
                      <m:sSubPr>
                        <m:ctrlPr>
                          <w:rPr>
                            <w:rFonts w:ascii="Cambria Math" w:hAnsi="Cambria Math" w:cs="Arial"/>
                            <w:sz w:val="18"/>
                            <w:szCs w:val="18"/>
                          </w:rPr>
                        </m:ctrlPr>
                      </m:sSubPr>
                      <m:e>
                        <m:r>
                          <w:rPr>
                            <w:rFonts w:ascii="Cambria Math" w:hAnsi="Cambria Math" w:cs="Arial"/>
                            <w:sz w:val="18"/>
                            <w:szCs w:val="18"/>
                          </w:rPr>
                          <m:t>ν</m:t>
                        </m:r>
                      </m:e>
                      <m:sub>
                        <m:r>
                          <m:rPr>
                            <m:nor/>
                          </m:rPr>
                          <w:rPr>
                            <w:rFonts w:ascii="Cambria Math" w:hAnsi="Cambria Math" w:cs="Arial"/>
                            <w:sz w:val="18"/>
                            <w:szCs w:val="18"/>
                          </w:rPr>
                          <m:t>week of year</m:t>
                        </m:r>
                      </m:sub>
                    </m:sSub>
                    <m:ctrlPr>
                      <w:rPr>
                        <w:rFonts w:ascii="Cambria Math" w:hAnsi="Cambria Math" w:cs="Arial"/>
                        <w:i/>
                        <w:sz w:val="18"/>
                        <w:szCs w:val="18"/>
                      </w:rPr>
                    </m:ctrlPr>
                  </m:e>
                </m:d>
                <m:r>
                  <m:rPr>
                    <m:sty m:val="p"/>
                  </m:rPr>
                  <w:rPr>
                    <w:rFonts w:ascii="Cambria Math" w:hAnsi="Cambria Math" w:cs="Arial"/>
                    <w:sz w:val="18"/>
                    <w:szCs w:val="18"/>
                  </w:rPr>
                  <m:t>⋅</m:t>
                </m:r>
                <m:r>
                  <m:rPr>
                    <m:nor/>
                  </m:rPr>
                  <w:rPr>
                    <w:rFonts w:ascii="Cambria Math" w:hAnsi="Cambria Math" w:cs="Arial"/>
                    <w:sz w:val="18"/>
                    <w:szCs w:val="18"/>
                  </w:rPr>
                  <m:t xml:space="preserve">temperature </m:t>
                </m:r>
                <m:sSub>
                  <m:sSubPr>
                    <m:ctrlPr>
                      <w:rPr>
                        <w:rFonts w:ascii="Cambria Math" w:hAnsi="Cambria Math" w:cs="Arial"/>
                        <w:sz w:val="18"/>
                        <w:szCs w:val="18"/>
                      </w:rPr>
                    </m:ctrlPr>
                  </m:sSubPr>
                  <m:e>
                    <m:r>
                      <m:rPr>
                        <m:nor/>
                      </m:rPr>
                      <w:rPr>
                        <w:rFonts w:ascii="Cambria Math" w:hAnsi="Cambria Math" w:cs="Arial"/>
                        <w:sz w:val="18"/>
                        <w:szCs w:val="18"/>
                      </w:rPr>
                      <m:t>anomaly</m:t>
                    </m:r>
                  </m:e>
                  <m:sub>
                    <m:r>
                      <w:rPr>
                        <w:rFonts w:ascii="Cambria Math" w:hAnsi="Cambria Math" w:cs="Arial"/>
                        <w:sz w:val="18"/>
                        <w:szCs w:val="18"/>
                      </w:rPr>
                      <m:t>week</m:t>
                    </m:r>
                  </m:sub>
                </m:sSub>
              </m:oMath>
            </m:oMathPara>
          </w:p>
        </w:tc>
      </w:tr>
      <w:tr w:rsidR="00474D86" w:rsidRPr="0021159B" w14:paraId="41EE098C" w14:textId="77777777" w:rsidTr="00652489">
        <w:trPr>
          <w:trHeight w:val="498"/>
        </w:trPr>
        <w:tc>
          <w:tcPr>
            <w:tcW w:w="827" w:type="dxa"/>
          </w:tcPr>
          <w:p w14:paraId="33D9CE04"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5</w:t>
            </w:r>
          </w:p>
        </w:tc>
        <w:tc>
          <w:tcPr>
            <w:tcW w:w="1736" w:type="dxa"/>
          </w:tcPr>
          <w:p w14:paraId="45C14552"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228D3AC6"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w:t>
            </w:r>
          </w:p>
        </w:tc>
        <w:tc>
          <w:tcPr>
            <w:tcW w:w="1517" w:type="dxa"/>
          </w:tcPr>
          <w:p w14:paraId="1F148B8F"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4</m:t>
                        </m:r>
                      </m:e>
                    </m:d>
                  </m:sup>
                </m:sSubSup>
              </m:oMath>
            </m:oMathPara>
          </w:p>
        </w:tc>
        <w:tc>
          <w:tcPr>
            <w:tcW w:w="967" w:type="dxa"/>
          </w:tcPr>
          <w:p w14:paraId="723AA751"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4F31BB5F" w14:textId="77777777" w:rsidR="00474D86" w:rsidRPr="001F5638" w:rsidRDefault="00474D86" w:rsidP="00652489">
            <w:pPr>
              <w:spacing w:after="200" w:line="276" w:lineRule="auto"/>
              <w:jc w:val="center"/>
              <w:rPr>
                <w:rFonts w:ascii="Arial" w:hAnsi="Arial" w:cs="Arial"/>
                <w:sz w:val="18"/>
                <w:szCs w:val="18"/>
                <w:highlight w:val="cyan"/>
              </w:rPr>
            </w:pPr>
            <w:r w:rsidRPr="001F5638">
              <w:rPr>
                <w:rFonts w:ascii="Arial" w:hAnsi="Arial" w:cs="Arial"/>
                <w:sz w:val="18"/>
                <w:szCs w:val="18"/>
              </w:rPr>
              <w:t>-</w:t>
            </w:r>
          </w:p>
        </w:tc>
      </w:tr>
      <w:tr w:rsidR="00474D86" w:rsidRPr="0021159B" w14:paraId="26D4813F" w14:textId="77777777" w:rsidTr="00652489">
        <w:trPr>
          <w:trHeight w:val="498"/>
        </w:trPr>
        <w:tc>
          <w:tcPr>
            <w:tcW w:w="827" w:type="dxa"/>
          </w:tcPr>
          <w:p w14:paraId="63F1181F"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6</w:t>
            </w:r>
          </w:p>
        </w:tc>
        <w:tc>
          <w:tcPr>
            <w:tcW w:w="1736" w:type="dxa"/>
          </w:tcPr>
          <w:p w14:paraId="33375C6B"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6DE131B6" w14:textId="77777777" w:rsidR="00474D86" w:rsidRPr="001F5638" w:rsidRDefault="00474D86" w:rsidP="00652489">
            <w:pPr>
              <w:spacing w:after="200" w:line="276" w:lineRule="auto"/>
              <w:rPr>
                <w:rFonts w:ascii="Arial" w:hAnsi="Arial" w:cs="Arial"/>
                <w:sz w:val="18"/>
                <w:szCs w:val="18"/>
                <w:highlight w:val="cyan"/>
              </w:rPr>
            </w:pPr>
            <w:r w:rsidRPr="001F5638">
              <w:rPr>
                <w:rFonts w:ascii="Arial" w:hAnsi="Arial" w:cs="Arial"/>
                <w:sz w:val="18"/>
                <w:szCs w:val="18"/>
              </w:rPr>
              <w:t>-</w:t>
            </w:r>
          </w:p>
        </w:tc>
        <w:tc>
          <w:tcPr>
            <w:tcW w:w="1517" w:type="dxa"/>
          </w:tcPr>
          <w:p w14:paraId="733CFFD6"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4</m:t>
                        </m:r>
                      </m:e>
                    </m:d>
                  </m:sup>
                </m:sSubSup>
              </m:oMath>
            </m:oMathPara>
          </w:p>
        </w:tc>
        <w:tc>
          <w:tcPr>
            <w:tcW w:w="967" w:type="dxa"/>
          </w:tcPr>
          <w:p w14:paraId="062FA42A"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6CB996A1" w14:textId="77777777" w:rsidR="00474D86" w:rsidRPr="001F5638" w:rsidRDefault="00072AEA" w:rsidP="00652489">
            <w:pPr>
              <w:spacing w:after="200" w:line="276" w:lineRule="auto"/>
              <w:jc w:val="center"/>
              <w:rPr>
                <w:rFonts w:ascii="Arial" w:hAnsi="Arial" w:cs="Arial"/>
                <w:sz w:val="18"/>
                <w:szCs w:val="18"/>
                <w:highlight w:val="cyan"/>
              </w:rPr>
            </w:pPr>
            <m:oMathPara>
              <m:oMath>
                <m:d>
                  <m:dPr>
                    <m:ctrlPr>
                      <w:rPr>
                        <w:rFonts w:ascii="Cambria Math" w:hAnsi="Cambria Math" w:cs="Arial"/>
                        <w:sz w:val="18"/>
                        <w:szCs w:val="18"/>
                      </w:rPr>
                    </m:ctrlPr>
                  </m:dPr>
                  <m:e>
                    <m:r>
                      <w:rPr>
                        <w:rFonts w:ascii="Cambria Math" w:hAnsi="Cambria Math" w:cs="Arial"/>
                        <w:sz w:val="18"/>
                        <w:szCs w:val="18"/>
                      </w:rPr>
                      <m:t>γ</m:t>
                    </m:r>
                    <m:r>
                      <m:rPr>
                        <m:sty m:val="p"/>
                      </m:rPr>
                      <w:rPr>
                        <w:rFonts w:ascii="Cambria Math" w:hAnsi="Cambria Math" w:cs="Arial"/>
                        <w:sz w:val="18"/>
                        <w:szCs w:val="18"/>
                      </w:rPr>
                      <m:t>+</m:t>
                    </m:r>
                    <m:sSub>
                      <m:sSubPr>
                        <m:ctrlPr>
                          <w:rPr>
                            <w:rFonts w:ascii="Cambria Math" w:hAnsi="Cambria Math" w:cs="Arial"/>
                            <w:sz w:val="18"/>
                            <w:szCs w:val="18"/>
                          </w:rPr>
                        </m:ctrlPr>
                      </m:sSubPr>
                      <m:e>
                        <m:r>
                          <w:rPr>
                            <w:rFonts w:ascii="Cambria Math" w:hAnsi="Cambria Math" w:cs="Arial"/>
                            <w:sz w:val="18"/>
                            <w:szCs w:val="18"/>
                          </w:rPr>
                          <m:t>ν</m:t>
                        </m:r>
                      </m:e>
                      <m:sub>
                        <m:r>
                          <m:rPr>
                            <m:nor/>
                          </m:rPr>
                          <w:rPr>
                            <w:rFonts w:ascii="Cambria Math" w:hAnsi="Cambria Math" w:cs="Arial"/>
                            <w:sz w:val="18"/>
                            <w:szCs w:val="18"/>
                          </w:rPr>
                          <m:t>week of year</m:t>
                        </m:r>
                      </m:sub>
                    </m:sSub>
                    <m:ctrlPr>
                      <w:rPr>
                        <w:rFonts w:ascii="Cambria Math" w:hAnsi="Cambria Math" w:cs="Arial"/>
                        <w:i/>
                        <w:sz w:val="18"/>
                        <w:szCs w:val="18"/>
                      </w:rPr>
                    </m:ctrlPr>
                  </m:e>
                </m:d>
                <m:r>
                  <m:rPr>
                    <m:sty m:val="p"/>
                  </m:rPr>
                  <w:rPr>
                    <w:rFonts w:ascii="Cambria Math" w:hAnsi="Cambria Math" w:cs="Arial"/>
                    <w:sz w:val="18"/>
                    <w:szCs w:val="18"/>
                  </w:rPr>
                  <m:t>⋅</m:t>
                </m:r>
                <m:r>
                  <m:rPr>
                    <m:nor/>
                  </m:rPr>
                  <w:rPr>
                    <w:rFonts w:ascii="Cambria Math" w:hAnsi="Cambria Math" w:cs="Arial"/>
                    <w:sz w:val="18"/>
                    <w:szCs w:val="18"/>
                  </w:rPr>
                  <m:t xml:space="preserve">temperature </m:t>
                </m:r>
                <m:sSub>
                  <m:sSubPr>
                    <m:ctrlPr>
                      <w:rPr>
                        <w:rFonts w:ascii="Cambria Math" w:hAnsi="Cambria Math" w:cs="Arial"/>
                        <w:sz w:val="18"/>
                        <w:szCs w:val="18"/>
                      </w:rPr>
                    </m:ctrlPr>
                  </m:sSubPr>
                  <m:e>
                    <m:r>
                      <m:rPr>
                        <m:nor/>
                      </m:rPr>
                      <w:rPr>
                        <w:rFonts w:ascii="Cambria Math" w:hAnsi="Cambria Math" w:cs="Arial"/>
                        <w:sz w:val="18"/>
                        <w:szCs w:val="18"/>
                      </w:rPr>
                      <m:t>anomaly</m:t>
                    </m:r>
                  </m:e>
                  <m:sub>
                    <m:r>
                      <w:rPr>
                        <w:rFonts w:ascii="Cambria Math" w:hAnsi="Cambria Math" w:cs="Arial"/>
                        <w:sz w:val="18"/>
                        <w:szCs w:val="18"/>
                      </w:rPr>
                      <m:t>week</m:t>
                    </m:r>
                  </m:sub>
                </m:sSub>
              </m:oMath>
            </m:oMathPara>
          </w:p>
        </w:tc>
      </w:tr>
      <w:tr w:rsidR="00474D86" w:rsidRPr="0021159B" w14:paraId="12F2E818" w14:textId="77777777" w:rsidTr="00652489">
        <w:trPr>
          <w:trHeight w:val="498"/>
        </w:trPr>
        <w:tc>
          <w:tcPr>
            <w:tcW w:w="827" w:type="dxa"/>
          </w:tcPr>
          <w:p w14:paraId="416F10F3"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7</w:t>
            </w:r>
          </w:p>
        </w:tc>
        <w:tc>
          <w:tcPr>
            <w:tcW w:w="1736" w:type="dxa"/>
          </w:tcPr>
          <w:p w14:paraId="5CEA038E"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18975127" w14:textId="77777777" w:rsidR="00474D86" w:rsidRPr="001F5638" w:rsidRDefault="00474D86" w:rsidP="00652489">
            <w:pPr>
              <w:spacing w:after="200" w:line="276" w:lineRule="auto"/>
              <w:rPr>
                <w:rFonts w:ascii="Arial" w:hAnsi="Arial" w:cs="Arial"/>
                <w:sz w:val="18"/>
                <w:szCs w:val="18"/>
                <w:highlight w:val="cyan"/>
              </w:rPr>
            </w:pPr>
            <w:r w:rsidRPr="001F5638">
              <w:rPr>
                <w:rFonts w:ascii="Arial" w:hAnsi="Arial" w:cs="Arial"/>
                <w:sz w:val="18"/>
                <w:szCs w:val="18"/>
              </w:rPr>
              <w:t>-</w:t>
            </w:r>
          </w:p>
        </w:tc>
        <w:tc>
          <w:tcPr>
            <w:tcW w:w="1517" w:type="dxa"/>
          </w:tcPr>
          <w:p w14:paraId="00111499"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8</m:t>
                        </m:r>
                      </m:e>
                    </m:d>
                  </m:sup>
                </m:sSubSup>
              </m:oMath>
            </m:oMathPara>
          </w:p>
        </w:tc>
        <w:tc>
          <w:tcPr>
            <w:tcW w:w="967" w:type="dxa"/>
          </w:tcPr>
          <w:p w14:paraId="2A4FD360"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536CE0A4" w14:textId="77777777" w:rsidR="00474D86" w:rsidRPr="001F5638" w:rsidRDefault="00474D86" w:rsidP="00652489">
            <w:pPr>
              <w:spacing w:after="200" w:line="276" w:lineRule="auto"/>
              <w:jc w:val="center"/>
              <w:rPr>
                <w:rFonts w:ascii="Arial" w:hAnsi="Arial" w:cs="Arial"/>
                <w:sz w:val="18"/>
                <w:szCs w:val="18"/>
                <w:highlight w:val="cyan"/>
              </w:rPr>
            </w:pPr>
            <w:r w:rsidRPr="001F5638">
              <w:rPr>
                <w:rFonts w:ascii="Arial" w:hAnsi="Arial" w:cs="Arial"/>
                <w:sz w:val="18"/>
                <w:szCs w:val="18"/>
              </w:rPr>
              <w:t>-</w:t>
            </w:r>
          </w:p>
        </w:tc>
      </w:tr>
      <w:tr w:rsidR="00474D86" w:rsidRPr="0021159B" w14:paraId="0F91448D" w14:textId="77777777" w:rsidTr="00652489">
        <w:trPr>
          <w:trHeight w:val="498"/>
        </w:trPr>
        <w:tc>
          <w:tcPr>
            <w:tcW w:w="827" w:type="dxa"/>
          </w:tcPr>
          <w:p w14:paraId="0BBEA582"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8</w:t>
            </w:r>
          </w:p>
        </w:tc>
        <w:tc>
          <w:tcPr>
            <w:tcW w:w="1736" w:type="dxa"/>
          </w:tcPr>
          <w:p w14:paraId="2BE015F7"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4EB75EE0" w14:textId="77777777" w:rsidR="00474D86" w:rsidRPr="001F5638" w:rsidRDefault="00474D86" w:rsidP="00652489">
            <w:pPr>
              <w:spacing w:after="200" w:line="276" w:lineRule="auto"/>
              <w:rPr>
                <w:rFonts w:ascii="Arial" w:hAnsi="Arial" w:cs="Arial"/>
                <w:sz w:val="18"/>
                <w:szCs w:val="18"/>
                <w:highlight w:val="cyan"/>
              </w:rPr>
            </w:pPr>
            <w:r w:rsidRPr="001F5638">
              <w:rPr>
                <w:rFonts w:ascii="Arial" w:hAnsi="Arial" w:cs="Arial"/>
                <w:sz w:val="18"/>
                <w:szCs w:val="18"/>
              </w:rPr>
              <w:t>-</w:t>
            </w:r>
          </w:p>
        </w:tc>
        <w:tc>
          <w:tcPr>
            <w:tcW w:w="1517" w:type="dxa"/>
          </w:tcPr>
          <w:p w14:paraId="6BBF8F6A"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8</m:t>
                        </m:r>
                      </m:e>
                    </m:d>
                  </m:sup>
                </m:sSubSup>
              </m:oMath>
            </m:oMathPara>
          </w:p>
        </w:tc>
        <w:tc>
          <w:tcPr>
            <w:tcW w:w="967" w:type="dxa"/>
          </w:tcPr>
          <w:p w14:paraId="2EEDBFC2"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71E23ED4" w14:textId="77777777" w:rsidR="00474D86" w:rsidRPr="001F5638" w:rsidRDefault="00072AEA" w:rsidP="00652489">
            <w:pPr>
              <w:spacing w:after="200" w:line="276" w:lineRule="auto"/>
              <w:jc w:val="center"/>
              <w:rPr>
                <w:rFonts w:ascii="Arial" w:hAnsi="Arial" w:cs="Arial"/>
                <w:sz w:val="18"/>
                <w:szCs w:val="18"/>
                <w:highlight w:val="cyan"/>
              </w:rPr>
            </w:pPr>
            <m:oMathPara>
              <m:oMath>
                <m:d>
                  <m:dPr>
                    <m:ctrlPr>
                      <w:rPr>
                        <w:rFonts w:ascii="Cambria Math" w:hAnsi="Cambria Math" w:cs="Arial"/>
                        <w:sz w:val="18"/>
                        <w:szCs w:val="18"/>
                      </w:rPr>
                    </m:ctrlPr>
                  </m:dPr>
                  <m:e>
                    <m:r>
                      <w:rPr>
                        <w:rFonts w:ascii="Cambria Math" w:hAnsi="Cambria Math" w:cs="Arial"/>
                        <w:sz w:val="18"/>
                        <w:szCs w:val="18"/>
                      </w:rPr>
                      <m:t>γ</m:t>
                    </m:r>
                    <m:r>
                      <m:rPr>
                        <m:sty m:val="p"/>
                      </m:rPr>
                      <w:rPr>
                        <w:rFonts w:ascii="Cambria Math" w:hAnsi="Cambria Math" w:cs="Arial"/>
                        <w:sz w:val="18"/>
                        <w:szCs w:val="18"/>
                      </w:rPr>
                      <m:t>+</m:t>
                    </m:r>
                    <m:sSub>
                      <m:sSubPr>
                        <m:ctrlPr>
                          <w:rPr>
                            <w:rFonts w:ascii="Cambria Math" w:hAnsi="Cambria Math" w:cs="Arial"/>
                            <w:sz w:val="18"/>
                            <w:szCs w:val="18"/>
                          </w:rPr>
                        </m:ctrlPr>
                      </m:sSubPr>
                      <m:e>
                        <m:r>
                          <w:rPr>
                            <w:rFonts w:ascii="Cambria Math" w:hAnsi="Cambria Math" w:cs="Arial"/>
                            <w:sz w:val="18"/>
                            <w:szCs w:val="18"/>
                          </w:rPr>
                          <m:t>ν</m:t>
                        </m:r>
                      </m:e>
                      <m:sub>
                        <m:r>
                          <m:rPr>
                            <m:nor/>
                          </m:rPr>
                          <w:rPr>
                            <w:rFonts w:ascii="Cambria Math" w:hAnsi="Cambria Math" w:cs="Arial"/>
                            <w:sz w:val="18"/>
                            <w:szCs w:val="18"/>
                          </w:rPr>
                          <m:t>week of year</m:t>
                        </m:r>
                      </m:sub>
                    </m:sSub>
                    <m:ctrlPr>
                      <w:rPr>
                        <w:rFonts w:ascii="Cambria Math" w:hAnsi="Cambria Math" w:cs="Arial"/>
                        <w:i/>
                        <w:sz w:val="18"/>
                        <w:szCs w:val="18"/>
                      </w:rPr>
                    </m:ctrlPr>
                  </m:e>
                </m:d>
                <m:r>
                  <m:rPr>
                    <m:sty m:val="p"/>
                  </m:rPr>
                  <w:rPr>
                    <w:rFonts w:ascii="Cambria Math" w:hAnsi="Cambria Math" w:cs="Arial"/>
                    <w:sz w:val="18"/>
                    <w:szCs w:val="18"/>
                  </w:rPr>
                  <m:t>⋅</m:t>
                </m:r>
                <m:r>
                  <m:rPr>
                    <m:nor/>
                  </m:rPr>
                  <w:rPr>
                    <w:rFonts w:ascii="Cambria Math" w:hAnsi="Cambria Math" w:cs="Arial"/>
                    <w:sz w:val="18"/>
                    <w:szCs w:val="18"/>
                  </w:rPr>
                  <m:t xml:space="preserve">temperature </m:t>
                </m:r>
                <m:sSub>
                  <m:sSubPr>
                    <m:ctrlPr>
                      <w:rPr>
                        <w:rFonts w:ascii="Cambria Math" w:hAnsi="Cambria Math" w:cs="Arial"/>
                        <w:sz w:val="18"/>
                        <w:szCs w:val="18"/>
                      </w:rPr>
                    </m:ctrlPr>
                  </m:sSubPr>
                  <m:e>
                    <m:r>
                      <m:rPr>
                        <m:nor/>
                      </m:rPr>
                      <w:rPr>
                        <w:rFonts w:ascii="Cambria Math" w:hAnsi="Cambria Math" w:cs="Arial"/>
                        <w:sz w:val="18"/>
                        <w:szCs w:val="18"/>
                      </w:rPr>
                      <m:t>anomaly</m:t>
                    </m:r>
                  </m:e>
                  <m:sub>
                    <m:r>
                      <w:rPr>
                        <w:rFonts w:ascii="Cambria Math" w:hAnsi="Cambria Math" w:cs="Arial"/>
                        <w:sz w:val="18"/>
                        <w:szCs w:val="18"/>
                      </w:rPr>
                      <m:t>week</m:t>
                    </m:r>
                  </m:sub>
                </m:sSub>
              </m:oMath>
            </m:oMathPara>
          </w:p>
        </w:tc>
      </w:tr>
      <w:tr w:rsidR="00474D86" w:rsidRPr="0021159B" w14:paraId="68C80326" w14:textId="77777777" w:rsidTr="00652489">
        <w:trPr>
          <w:trHeight w:val="498"/>
        </w:trPr>
        <w:tc>
          <w:tcPr>
            <w:tcW w:w="827" w:type="dxa"/>
          </w:tcPr>
          <w:p w14:paraId="52FFA0AD"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9</w:t>
            </w:r>
          </w:p>
        </w:tc>
        <w:tc>
          <w:tcPr>
            <w:tcW w:w="1736" w:type="dxa"/>
          </w:tcPr>
          <w:p w14:paraId="33C3E351"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7CF4656D" w14:textId="77777777" w:rsidR="00474D86" w:rsidRPr="001F5638" w:rsidRDefault="00474D86" w:rsidP="00652489">
            <w:pPr>
              <w:spacing w:after="200" w:line="276" w:lineRule="auto"/>
              <w:rPr>
                <w:rFonts w:ascii="Arial" w:hAnsi="Arial" w:cs="Arial"/>
                <w:i/>
                <w:sz w:val="18"/>
                <w:szCs w:val="18"/>
                <w:highlight w:val="cyan"/>
                <w:lang w:val="el-GR"/>
              </w:rPr>
            </w:pPr>
            <m:oMathPara>
              <m:oMath>
                <m:r>
                  <w:rPr>
                    <w:rFonts w:ascii="Cambria Math" w:hAnsi="Cambria Math" w:cs="Arial"/>
                    <w:sz w:val="18"/>
                    <w:szCs w:val="18"/>
                  </w:rPr>
                  <m:t>β</m:t>
                </m:r>
                <m:r>
                  <m:rPr>
                    <m:sty m:val="p"/>
                  </m:rPr>
                  <w:rPr>
                    <w:rFonts w:ascii="Cambria Math" w:hAnsi="Cambria Math" w:cs="Arial"/>
                    <w:sz w:val="18"/>
                    <w:szCs w:val="18"/>
                  </w:rPr>
                  <m:t>⋅</m:t>
                </m:r>
                <m:r>
                  <w:rPr>
                    <w:rFonts w:ascii="Cambria Math" w:hAnsi="Cambria Math" w:cs="Arial"/>
                    <w:sz w:val="18"/>
                    <w:szCs w:val="18"/>
                  </w:rPr>
                  <m:t>week</m:t>
                </m:r>
              </m:oMath>
            </m:oMathPara>
          </w:p>
        </w:tc>
        <w:tc>
          <w:tcPr>
            <w:tcW w:w="1517" w:type="dxa"/>
          </w:tcPr>
          <w:p w14:paraId="46E3FFFB"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1</m:t>
                        </m:r>
                      </m:e>
                    </m:d>
                  </m:sup>
                </m:sSubSup>
              </m:oMath>
            </m:oMathPara>
          </w:p>
        </w:tc>
        <w:tc>
          <w:tcPr>
            <w:tcW w:w="967" w:type="dxa"/>
          </w:tcPr>
          <w:p w14:paraId="33E023EA"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38CE98C8" w14:textId="77777777" w:rsidR="00474D86" w:rsidRPr="001F5638" w:rsidRDefault="00474D86" w:rsidP="00652489">
            <w:pPr>
              <w:spacing w:after="200" w:line="276" w:lineRule="auto"/>
              <w:jc w:val="center"/>
              <w:rPr>
                <w:rFonts w:ascii="Arial" w:hAnsi="Arial" w:cs="Arial"/>
                <w:sz w:val="18"/>
                <w:szCs w:val="18"/>
                <w:highlight w:val="cyan"/>
              </w:rPr>
            </w:pPr>
            <w:r w:rsidRPr="001F5638">
              <w:rPr>
                <w:rFonts w:ascii="Arial" w:hAnsi="Arial" w:cs="Arial"/>
                <w:sz w:val="18"/>
                <w:szCs w:val="18"/>
              </w:rPr>
              <w:t>-</w:t>
            </w:r>
          </w:p>
        </w:tc>
      </w:tr>
      <w:tr w:rsidR="00474D86" w:rsidRPr="0021159B" w14:paraId="0B8880CF" w14:textId="77777777" w:rsidTr="00652489">
        <w:trPr>
          <w:trHeight w:val="498"/>
        </w:trPr>
        <w:tc>
          <w:tcPr>
            <w:tcW w:w="827" w:type="dxa"/>
          </w:tcPr>
          <w:p w14:paraId="5C2DC87B"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10</w:t>
            </w:r>
          </w:p>
        </w:tc>
        <w:tc>
          <w:tcPr>
            <w:tcW w:w="1736" w:type="dxa"/>
          </w:tcPr>
          <w:p w14:paraId="6371044D"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01BEF437" w14:textId="77777777" w:rsidR="00474D86" w:rsidRPr="001F5638" w:rsidRDefault="00474D86" w:rsidP="00652489">
            <w:pPr>
              <w:spacing w:after="200" w:line="276" w:lineRule="auto"/>
              <w:rPr>
                <w:rFonts w:ascii="Arial" w:hAnsi="Arial" w:cs="Arial"/>
                <w:sz w:val="18"/>
                <w:szCs w:val="18"/>
                <w:highlight w:val="cyan"/>
              </w:rPr>
            </w:pPr>
            <m:oMathPara>
              <m:oMath>
                <m:r>
                  <w:rPr>
                    <w:rFonts w:ascii="Cambria Math" w:hAnsi="Cambria Math" w:cs="Arial"/>
                    <w:sz w:val="18"/>
                    <w:szCs w:val="18"/>
                  </w:rPr>
                  <m:t>β</m:t>
                </m:r>
                <m:r>
                  <m:rPr>
                    <m:sty m:val="p"/>
                  </m:rPr>
                  <w:rPr>
                    <w:rFonts w:ascii="Cambria Math" w:hAnsi="Cambria Math" w:cs="Arial"/>
                    <w:sz w:val="18"/>
                    <w:szCs w:val="18"/>
                  </w:rPr>
                  <m:t>⋅</m:t>
                </m:r>
                <m:r>
                  <w:rPr>
                    <w:rFonts w:ascii="Cambria Math" w:hAnsi="Cambria Math" w:cs="Arial"/>
                    <w:sz w:val="18"/>
                    <w:szCs w:val="18"/>
                  </w:rPr>
                  <m:t>week</m:t>
                </m:r>
              </m:oMath>
            </m:oMathPara>
          </w:p>
        </w:tc>
        <w:tc>
          <w:tcPr>
            <w:tcW w:w="1517" w:type="dxa"/>
          </w:tcPr>
          <w:p w14:paraId="15AB8739"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1</m:t>
                        </m:r>
                      </m:e>
                    </m:d>
                  </m:sup>
                </m:sSubSup>
              </m:oMath>
            </m:oMathPara>
          </w:p>
        </w:tc>
        <w:tc>
          <w:tcPr>
            <w:tcW w:w="967" w:type="dxa"/>
          </w:tcPr>
          <w:p w14:paraId="706F53BF"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79ECC683" w14:textId="77777777" w:rsidR="00474D86" w:rsidRPr="001F5638" w:rsidRDefault="00072AEA" w:rsidP="00652489">
            <w:pPr>
              <w:spacing w:after="200" w:line="276" w:lineRule="auto"/>
              <w:jc w:val="center"/>
              <w:rPr>
                <w:rFonts w:ascii="Arial" w:hAnsi="Arial" w:cs="Arial"/>
                <w:sz w:val="18"/>
                <w:szCs w:val="18"/>
                <w:highlight w:val="cyan"/>
              </w:rPr>
            </w:pPr>
            <m:oMathPara>
              <m:oMath>
                <m:d>
                  <m:dPr>
                    <m:ctrlPr>
                      <w:rPr>
                        <w:rFonts w:ascii="Cambria Math" w:hAnsi="Cambria Math" w:cs="Arial"/>
                        <w:sz w:val="18"/>
                        <w:szCs w:val="18"/>
                      </w:rPr>
                    </m:ctrlPr>
                  </m:dPr>
                  <m:e>
                    <m:r>
                      <w:rPr>
                        <w:rFonts w:ascii="Cambria Math" w:hAnsi="Cambria Math" w:cs="Arial"/>
                        <w:sz w:val="18"/>
                        <w:szCs w:val="18"/>
                      </w:rPr>
                      <m:t>γ</m:t>
                    </m:r>
                    <m:r>
                      <m:rPr>
                        <m:sty m:val="p"/>
                      </m:rPr>
                      <w:rPr>
                        <w:rFonts w:ascii="Cambria Math" w:hAnsi="Cambria Math" w:cs="Arial"/>
                        <w:sz w:val="18"/>
                        <w:szCs w:val="18"/>
                      </w:rPr>
                      <m:t>+</m:t>
                    </m:r>
                    <m:sSub>
                      <m:sSubPr>
                        <m:ctrlPr>
                          <w:rPr>
                            <w:rFonts w:ascii="Cambria Math" w:hAnsi="Cambria Math" w:cs="Arial"/>
                            <w:sz w:val="18"/>
                            <w:szCs w:val="18"/>
                          </w:rPr>
                        </m:ctrlPr>
                      </m:sSubPr>
                      <m:e>
                        <m:r>
                          <w:rPr>
                            <w:rFonts w:ascii="Cambria Math" w:hAnsi="Cambria Math" w:cs="Arial"/>
                            <w:sz w:val="18"/>
                            <w:szCs w:val="18"/>
                          </w:rPr>
                          <m:t>ν</m:t>
                        </m:r>
                      </m:e>
                      <m:sub>
                        <m:r>
                          <m:rPr>
                            <m:nor/>
                          </m:rPr>
                          <w:rPr>
                            <w:rFonts w:ascii="Cambria Math" w:hAnsi="Cambria Math" w:cs="Arial"/>
                            <w:sz w:val="18"/>
                            <w:szCs w:val="18"/>
                          </w:rPr>
                          <m:t>week of year</m:t>
                        </m:r>
                      </m:sub>
                    </m:sSub>
                    <m:ctrlPr>
                      <w:rPr>
                        <w:rFonts w:ascii="Cambria Math" w:hAnsi="Cambria Math" w:cs="Arial"/>
                        <w:i/>
                        <w:sz w:val="18"/>
                        <w:szCs w:val="18"/>
                      </w:rPr>
                    </m:ctrlPr>
                  </m:e>
                </m:d>
                <m:r>
                  <m:rPr>
                    <m:sty m:val="p"/>
                  </m:rPr>
                  <w:rPr>
                    <w:rFonts w:ascii="Cambria Math" w:hAnsi="Cambria Math" w:cs="Arial"/>
                    <w:sz w:val="18"/>
                    <w:szCs w:val="18"/>
                  </w:rPr>
                  <m:t>⋅</m:t>
                </m:r>
                <m:r>
                  <m:rPr>
                    <m:nor/>
                  </m:rPr>
                  <w:rPr>
                    <w:rFonts w:ascii="Cambria Math" w:hAnsi="Cambria Math" w:cs="Arial"/>
                    <w:sz w:val="18"/>
                    <w:szCs w:val="18"/>
                  </w:rPr>
                  <m:t xml:space="preserve">temperature </m:t>
                </m:r>
                <m:sSub>
                  <m:sSubPr>
                    <m:ctrlPr>
                      <w:rPr>
                        <w:rFonts w:ascii="Cambria Math" w:hAnsi="Cambria Math" w:cs="Arial"/>
                        <w:sz w:val="18"/>
                        <w:szCs w:val="18"/>
                      </w:rPr>
                    </m:ctrlPr>
                  </m:sSubPr>
                  <m:e>
                    <m:r>
                      <m:rPr>
                        <m:nor/>
                      </m:rPr>
                      <w:rPr>
                        <w:rFonts w:ascii="Cambria Math" w:hAnsi="Cambria Math" w:cs="Arial"/>
                        <w:sz w:val="18"/>
                        <w:szCs w:val="18"/>
                      </w:rPr>
                      <m:t>anomaly</m:t>
                    </m:r>
                  </m:e>
                  <m:sub>
                    <m:r>
                      <w:rPr>
                        <w:rFonts w:ascii="Cambria Math" w:hAnsi="Cambria Math" w:cs="Arial"/>
                        <w:sz w:val="18"/>
                        <w:szCs w:val="18"/>
                      </w:rPr>
                      <m:t>week</m:t>
                    </m:r>
                  </m:sub>
                </m:sSub>
              </m:oMath>
            </m:oMathPara>
          </w:p>
        </w:tc>
      </w:tr>
      <w:tr w:rsidR="00474D86" w:rsidRPr="0021159B" w14:paraId="2FD94598" w14:textId="77777777" w:rsidTr="00652489">
        <w:trPr>
          <w:trHeight w:val="498"/>
        </w:trPr>
        <w:tc>
          <w:tcPr>
            <w:tcW w:w="827" w:type="dxa"/>
          </w:tcPr>
          <w:p w14:paraId="0EC24A5D"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11</w:t>
            </w:r>
          </w:p>
        </w:tc>
        <w:tc>
          <w:tcPr>
            <w:tcW w:w="1736" w:type="dxa"/>
          </w:tcPr>
          <w:p w14:paraId="4EAB77FF"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232763E8" w14:textId="77777777" w:rsidR="00474D86" w:rsidRPr="001F5638" w:rsidRDefault="00474D86" w:rsidP="00652489">
            <w:pPr>
              <w:spacing w:after="200" w:line="276" w:lineRule="auto"/>
              <w:rPr>
                <w:rFonts w:ascii="Arial" w:hAnsi="Arial" w:cs="Arial"/>
                <w:sz w:val="18"/>
                <w:szCs w:val="18"/>
                <w:highlight w:val="cyan"/>
              </w:rPr>
            </w:pPr>
            <m:oMathPara>
              <m:oMath>
                <m:r>
                  <w:rPr>
                    <w:rFonts w:ascii="Cambria Math" w:hAnsi="Cambria Math" w:cs="Arial"/>
                    <w:sz w:val="18"/>
                    <w:szCs w:val="18"/>
                  </w:rPr>
                  <m:t>β</m:t>
                </m:r>
                <m:r>
                  <m:rPr>
                    <m:sty m:val="p"/>
                  </m:rPr>
                  <w:rPr>
                    <w:rFonts w:ascii="Cambria Math" w:hAnsi="Cambria Math" w:cs="Arial"/>
                    <w:sz w:val="18"/>
                    <w:szCs w:val="18"/>
                  </w:rPr>
                  <m:t>⋅</m:t>
                </m:r>
                <m:r>
                  <w:rPr>
                    <w:rFonts w:ascii="Cambria Math" w:hAnsi="Cambria Math" w:cs="Arial"/>
                    <w:sz w:val="18"/>
                    <w:szCs w:val="18"/>
                  </w:rPr>
                  <m:t>week</m:t>
                </m:r>
              </m:oMath>
            </m:oMathPara>
          </w:p>
        </w:tc>
        <w:tc>
          <w:tcPr>
            <w:tcW w:w="1517" w:type="dxa"/>
          </w:tcPr>
          <w:p w14:paraId="39306ED5"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2</m:t>
                        </m:r>
                      </m:e>
                    </m:d>
                  </m:sup>
                </m:sSubSup>
              </m:oMath>
            </m:oMathPara>
          </w:p>
        </w:tc>
        <w:tc>
          <w:tcPr>
            <w:tcW w:w="967" w:type="dxa"/>
          </w:tcPr>
          <w:p w14:paraId="1218BA06"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59A52715" w14:textId="77777777" w:rsidR="00474D86" w:rsidRPr="001F5638" w:rsidRDefault="00474D86" w:rsidP="00652489">
            <w:pPr>
              <w:spacing w:after="200" w:line="276" w:lineRule="auto"/>
              <w:jc w:val="center"/>
              <w:rPr>
                <w:rFonts w:ascii="Arial" w:hAnsi="Arial" w:cs="Arial"/>
                <w:sz w:val="18"/>
                <w:szCs w:val="18"/>
                <w:highlight w:val="cyan"/>
              </w:rPr>
            </w:pPr>
            <w:r w:rsidRPr="001F5638">
              <w:rPr>
                <w:rFonts w:ascii="Arial" w:hAnsi="Arial" w:cs="Arial"/>
                <w:sz w:val="18"/>
                <w:szCs w:val="18"/>
              </w:rPr>
              <w:t>-</w:t>
            </w:r>
          </w:p>
        </w:tc>
      </w:tr>
      <w:tr w:rsidR="00474D86" w:rsidRPr="0021159B" w14:paraId="63063769" w14:textId="77777777" w:rsidTr="00652489">
        <w:trPr>
          <w:trHeight w:val="498"/>
        </w:trPr>
        <w:tc>
          <w:tcPr>
            <w:tcW w:w="827" w:type="dxa"/>
          </w:tcPr>
          <w:p w14:paraId="3D4FA073"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12</w:t>
            </w:r>
          </w:p>
        </w:tc>
        <w:tc>
          <w:tcPr>
            <w:tcW w:w="1736" w:type="dxa"/>
          </w:tcPr>
          <w:p w14:paraId="32CB3984"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396A3959" w14:textId="77777777" w:rsidR="00474D86" w:rsidRPr="001F5638" w:rsidRDefault="00474D86" w:rsidP="00652489">
            <w:pPr>
              <w:spacing w:after="200" w:line="276" w:lineRule="auto"/>
              <w:rPr>
                <w:rFonts w:ascii="Arial" w:hAnsi="Arial" w:cs="Arial"/>
                <w:sz w:val="18"/>
                <w:szCs w:val="18"/>
                <w:highlight w:val="cyan"/>
              </w:rPr>
            </w:pPr>
            <m:oMathPara>
              <m:oMath>
                <m:r>
                  <w:rPr>
                    <w:rFonts w:ascii="Cambria Math" w:hAnsi="Cambria Math" w:cs="Arial"/>
                    <w:sz w:val="18"/>
                    <w:szCs w:val="18"/>
                  </w:rPr>
                  <m:t>β</m:t>
                </m:r>
                <m:r>
                  <m:rPr>
                    <m:sty m:val="p"/>
                  </m:rPr>
                  <w:rPr>
                    <w:rFonts w:ascii="Cambria Math" w:hAnsi="Cambria Math" w:cs="Arial"/>
                    <w:sz w:val="18"/>
                    <w:szCs w:val="18"/>
                  </w:rPr>
                  <m:t>⋅</m:t>
                </m:r>
                <m:r>
                  <w:rPr>
                    <w:rFonts w:ascii="Cambria Math" w:hAnsi="Cambria Math" w:cs="Arial"/>
                    <w:sz w:val="18"/>
                    <w:szCs w:val="18"/>
                  </w:rPr>
                  <m:t>week</m:t>
                </m:r>
              </m:oMath>
            </m:oMathPara>
          </w:p>
        </w:tc>
        <w:tc>
          <w:tcPr>
            <w:tcW w:w="1517" w:type="dxa"/>
          </w:tcPr>
          <w:p w14:paraId="3B26CE3E"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2</m:t>
                        </m:r>
                      </m:e>
                    </m:d>
                  </m:sup>
                </m:sSubSup>
              </m:oMath>
            </m:oMathPara>
          </w:p>
        </w:tc>
        <w:tc>
          <w:tcPr>
            <w:tcW w:w="967" w:type="dxa"/>
          </w:tcPr>
          <w:p w14:paraId="5AC3023B"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063965E2" w14:textId="77777777" w:rsidR="00474D86" w:rsidRPr="001F5638" w:rsidRDefault="00072AEA" w:rsidP="00652489">
            <w:pPr>
              <w:spacing w:after="200" w:line="276" w:lineRule="auto"/>
              <w:jc w:val="center"/>
              <w:rPr>
                <w:rFonts w:ascii="Arial" w:hAnsi="Arial" w:cs="Arial"/>
                <w:sz w:val="18"/>
                <w:szCs w:val="18"/>
                <w:highlight w:val="cyan"/>
              </w:rPr>
            </w:pPr>
            <m:oMathPara>
              <m:oMath>
                <m:d>
                  <m:dPr>
                    <m:ctrlPr>
                      <w:rPr>
                        <w:rFonts w:ascii="Cambria Math" w:hAnsi="Cambria Math" w:cs="Arial"/>
                        <w:sz w:val="18"/>
                        <w:szCs w:val="18"/>
                      </w:rPr>
                    </m:ctrlPr>
                  </m:dPr>
                  <m:e>
                    <m:r>
                      <w:rPr>
                        <w:rFonts w:ascii="Cambria Math" w:hAnsi="Cambria Math" w:cs="Arial"/>
                        <w:sz w:val="18"/>
                        <w:szCs w:val="18"/>
                      </w:rPr>
                      <m:t>γ</m:t>
                    </m:r>
                    <m:r>
                      <m:rPr>
                        <m:sty m:val="p"/>
                      </m:rPr>
                      <w:rPr>
                        <w:rFonts w:ascii="Cambria Math" w:hAnsi="Cambria Math" w:cs="Arial"/>
                        <w:sz w:val="18"/>
                        <w:szCs w:val="18"/>
                      </w:rPr>
                      <m:t>+</m:t>
                    </m:r>
                    <m:sSub>
                      <m:sSubPr>
                        <m:ctrlPr>
                          <w:rPr>
                            <w:rFonts w:ascii="Cambria Math" w:hAnsi="Cambria Math" w:cs="Arial"/>
                            <w:sz w:val="18"/>
                            <w:szCs w:val="18"/>
                          </w:rPr>
                        </m:ctrlPr>
                      </m:sSubPr>
                      <m:e>
                        <m:r>
                          <w:rPr>
                            <w:rFonts w:ascii="Cambria Math" w:hAnsi="Cambria Math" w:cs="Arial"/>
                            <w:sz w:val="18"/>
                            <w:szCs w:val="18"/>
                          </w:rPr>
                          <m:t>ν</m:t>
                        </m:r>
                      </m:e>
                      <m:sub>
                        <m:r>
                          <m:rPr>
                            <m:nor/>
                          </m:rPr>
                          <w:rPr>
                            <w:rFonts w:ascii="Cambria Math" w:hAnsi="Cambria Math" w:cs="Arial"/>
                            <w:sz w:val="18"/>
                            <w:szCs w:val="18"/>
                          </w:rPr>
                          <m:t>week of year</m:t>
                        </m:r>
                      </m:sub>
                    </m:sSub>
                    <m:ctrlPr>
                      <w:rPr>
                        <w:rFonts w:ascii="Cambria Math" w:hAnsi="Cambria Math" w:cs="Arial"/>
                        <w:i/>
                        <w:sz w:val="18"/>
                        <w:szCs w:val="18"/>
                      </w:rPr>
                    </m:ctrlPr>
                  </m:e>
                </m:d>
                <m:r>
                  <m:rPr>
                    <m:sty m:val="p"/>
                  </m:rPr>
                  <w:rPr>
                    <w:rFonts w:ascii="Cambria Math" w:hAnsi="Cambria Math" w:cs="Arial"/>
                    <w:sz w:val="18"/>
                    <w:szCs w:val="18"/>
                  </w:rPr>
                  <m:t>⋅</m:t>
                </m:r>
                <m:r>
                  <m:rPr>
                    <m:nor/>
                  </m:rPr>
                  <w:rPr>
                    <w:rFonts w:ascii="Cambria Math" w:hAnsi="Cambria Math" w:cs="Arial"/>
                    <w:sz w:val="18"/>
                    <w:szCs w:val="18"/>
                  </w:rPr>
                  <m:t xml:space="preserve">temperature </m:t>
                </m:r>
                <m:sSub>
                  <m:sSubPr>
                    <m:ctrlPr>
                      <w:rPr>
                        <w:rFonts w:ascii="Cambria Math" w:hAnsi="Cambria Math" w:cs="Arial"/>
                        <w:sz w:val="18"/>
                        <w:szCs w:val="18"/>
                      </w:rPr>
                    </m:ctrlPr>
                  </m:sSubPr>
                  <m:e>
                    <m:r>
                      <m:rPr>
                        <m:nor/>
                      </m:rPr>
                      <w:rPr>
                        <w:rFonts w:ascii="Cambria Math" w:hAnsi="Cambria Math" w:cs="Arial"/>
                        <w:sz w:val="18"/>
                        <w:szCs w:val="18"/>
                      </w:rPr>
                      <m:t>anomaly</m:t>
                    </m:r>
                  </m:e>
                  <m:sub>
                    <m:r>
                      <w:rPr>
                        <w:rFonts w:ascii="Cambria Math" w:hAnsi="Cambria Math" w:cs="Arial"/>
                        <w:sz w:val="18"/>
                        <w:szCs w:val="18"/>
                      </w:rPr>
                      <m:t>week</m:t>
                    </m:r>
                  </m:sub>
                </m:sSub>
              </m:oMath>
            </m:oMathPara>
          </w:p>
        </w:tc>
      </w:tr>
      <w:tr w:rsidR="00474D86" w:rsidRPr="0021159B" w14:paraId="7021C117" w14:textId="77777777" w:rsidTr="00652489">
        <w:trPr>
          <w:trHeight w:val="498"/>
        </w:trPr>
        <w:tc>
          <w:tcPr>
            <w:tcW w:w="827" w:type="dxa"/>
          </w:tcPr>
          <w:p w14:paraId="0088ACB6"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13</w:t>
            </w:r>
          </w:p>
        </w:tc>
        <w:tc>
          <w:tcPr>
            <w:tcW w:w="1736" w:type="dxa"/>
          </w:tcPr>
          <w:p w14:paraId="1656755F"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0DE17A48" w14:textId="77777777" w:rsidR="00474D86" w:rsidRPr="001F5638" w:rsidRDefault="00474D86" w:rsidP="00652489">
            <w:pPr>
              <w:spacing w:after="200" w:line="276" w:lineRule="auto"/>
              <w:rPr>
                <w:rFonts w:ascii="Arial" w:hAnsi="Arial" w:cs="Arial"/>
                <w:sz w:val="18"/>
                <w:szCs w:val="18"/>
                <w:highlight w:val="cyan"/>
              </w:rPr>
            </w:pPr>
            <m:oMathPara>
              <m:oMath>
                <m:r>
                  <w:rPr>
                    <w:rFonts w:ascii="Cambria Math" w:hAnsi="Cambria Math" w:cs="Arial"/>
                    <w:sz w:val="18"/>
                    <w:szCs w:val="18"/>
                  </w:rPr>
                  <m:t>β</m:t>
                </m:r>
                <m:r>
                  <m:rPr>
                    <m:sty m:val="p"/>
                  </m:rPr>
                  <w:rPr>
                    <w:rFonts w:ascii="Cambria Math" w:hAnsi="Cambria Math" w:cs="Arial"/>
                    <w:sz w:val="18"/>
                    <w:szCs w:val="18"/>
                  </w:rPr>
                  <m:t>⋅</m:t>
                </m:r>
                <m:r>
                  <w:rPr>
                    <w:rFonts w:ascii="Cambria Math" w:hAnsi="Cambria Math" w:cs="Arial"/>
                    <w:sz w:val="18"/>
                    <w:szCs w:val="18"/>
                  </w:rPr>
                  <m:t>week</m:t>
                </m:r>
              </m:oMath>
            </m:oMathPara>
          </w:p>
        </w:tc>
        <w:tc>
          <w:tcPr>
            <w:tcW w:w="1517" w:type="dxa"/>
          </w:tcPr>
          <w:p w14:paraId="1E1CE70D"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4</m:t>
                        </m:r>
                      </m:e>
                    </m:d>
                  </m:sup>
                </m:sSubSup>
              </m:oMath>
            </m:oMathPara>
          </w:p>
        </w:tc>
        <w:tc>
          <w:tcPr>
            <w:tcW w:w="967" w:type="dxa"/>
          </w:tcPr>
          <w:p w14:paraId="55D8931C"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70906FE6" w14:textId="77777777" w:rsidR="00474D86" w:rsidRPr="001F5638" w:rsidRDefault="00474D86" w:rsidP="00652489">
            <w:pPr>
              <w:spacing w:after="200" w:line="276" w:lineRule="auto"/>
              <w:jc w:val="center"/>
              <w:rPr>
                <w:rFonts w:ascii="Arial" w:hAnsi="Arial" w:cs="Arial"/>
                <w:sz w:val="18"/>
                <w:szCs w:val="18"/>
                <w:highlight w:val="cyan"/>
              </w:rPr>
            </w:pPr>
            <w:r w:rsidRPr="001F5638">
              <w:rPr>
                <w:rFonts w:ascii="Arial" w:hAnsi="Arial" w:cs="Arial"/>
                <w:sz w:val="18"/>
                <w:szCs w:val="18"/>
              </w:rPr>
              <w:t>-</w:t>
            </w:r>
          </w:p>
        </w:tc>
      </w:tr>
      <w:tr w:rsidR="00474D86" w:rsidRPr="0021159B" w14:paraId="58F14D74" w14:textId="77777777" w:rsidTr="00652489">
        <w:trPr>
          <w:trHeight w:val="498"/>
        </w:trPr>
        <w:tc>
          <w:tcPr>
            <w:tcW w:w="827" w:type="dxa"/>
          </w:tcPr>
          <w:p w14:paraId="59F976FB"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14</w:t>
            </w:r>
          </w:p>
        </w:tc>
        <w:tc>
          <w:tcPr>
            <w:tcW w:w="1736" w:type="dxa"/>
          </w:tcPr>
          <w:p w14:paraId="52565D1D"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563F0AE2" w14:textId="77777777" w:rsidR="00474D86" w:rsidRPr="001F5638" w:rsidRDefault="00474D86" w:rsidP="00652489">
            <w:pPr>
              <w:spacing w:after="200" w:line="276" w:lineRule="auto"/>
              <w:rPr>
                <w:rFonts w:ascii="Arial" w:hAnsi="Arial" w:cs="Arial"/>
                <w:sz w:val="18"/>
                <w:szCs w:val="18"/>
              </w:rPr>
            </w:pPr>
            <m:oMathPara>
              <m:oMath>
                <m:r>
                  <w:rPr>
                    <w:rFonts w:ascii="Cambria Math" w:hAnsi="Cambria Math" w:cs="Arial"/>
                    <w:sz w:val="18"/>
                    <w:szCs w:val="18"/>
                  </w:rPr>
                  <m:t>β</m:t>
                </m:r>
                <m:r>
                  <m:rPr>
                    <m:sty m:val="p"/>
                  </m:rPr>
                  <w:rPr>
                    <w:rFonts w:ascii="Cambria Math" w:hAnsi="Cambria Math" w:cs="Arial"/>
                    <w:sz w:val="18"/>
                    <w:szCs w:val="18"/>
                  </w:rPr>
                  <m:t>⋅</m:t>
                </m:r>
                <m:r>
                  <w:rPr>
                    <w:rFonts w:ascii="Cambria Math" w:hAnsi="Cambria Math" w:cs="Arial"/>
                    <w:sz w:val="18"/>
                    <w:szCs w:val="18"/>
                  </w:rPr>
                  <m:t>week</m:t>
                </m:r>
              </m:oMath>
            </m:oMathPara>
          </w:p>
        </w:tc>
        <w:tc>
          <w:tcPr>
            <w:tcW w:w="1517" w:type="dxa"/>
          </w:tcPr>
          <w:p w14:paraId="4B9168C7"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4</m:t>
                        </m:r>
                      </m:e>
                    </m:d>
                  </m:sup>
                </m:sSubSup>
              </m:oMath>
            </m:oMathPara>
          </w:p>
        </w:tc>
        <w:tc>
          <w:tcPr>
            <w:tcW w:w="967" w:type="dxa"/>
          </w:tcPr>
          <w:p w14:paraId="246D6A9E"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149FFE73" w14:textId="77777777" w:rsidR="00474D86" w:rsidRPr="001F5638" w:rsidRDefault="00072AEA" w:rsidP="00652489">
            <w:pPr>
              <w:spacing w:after="200" w:line="276" w:lineRule="auto"/>
              <w:jc w:val="center"/>
              <w:rPr>
                <w:rFonts w:ascii="Arial" w:hAnsi="Arial" w:cs="Arial"/>
                <w:sz w:val="18"/>
                <w:szCs w:val="18"/>
                <w:highlight w:val="cyan"/>
              </w:rPr>
            </w:pPr>
            <m:oMathPara>
              <m:oMath>
                <m:d>
                  <m:dPr>
                    <m:ctrlPr>
                      <w:rPr>
                        <w:rFonts w:ascii="Cambria Math" w:hAnsi="Cambria Math" w:cs="Arial"/>
                        <w:sz w:val="18"/>
                        <w:szCs w:val="18"/>
                      </w:rPr>
                    </m:ctrlPr>
                  </m:dPr>
                  <m:e>
                    <m:r>
                      <w:rPr>
                        <w:rFonts w:ascii="Cambria Math" w:hAnsi="Cambria Math" w:cs="Arial"/>
                        <w:sz w:val="18"/>
                        <w:szCs w:val="18"/>
                      </w:rPr>
                      <m:t>γ</m:t>
                    </m:r>
                    <m:r>
                      <m:rPr>
                        <m:sty m:val="p"/>
                      </m:rPr>
                      <w:rPr>
                        <w:rFonts w:ascii="Cambria Math" w:hAnsi="Cambria Math" w:cs="Arial"/>
                        <w:sz w:val="18"/>
                        <w:szCs w:val="18"/>
                      </w:rPr>
                      <m:t>+</m:t>
                    </m:r>
                    <m:sSub>
                      <m:sSubPr>
                        <m:ctrlPr>
                          <w:rPr>
                            <w:rFonts w:ascii="Cambria Math" w:hAnsi="Cambria Math" w:cs="Arial"/>
                            <w:sz w:val="18"/>
                            <w:szCs w:val="18"/>
                          </w:rPr>
                        </m:ctrlPr>
                      </m:sSubPr>
                      <m:e>
                        <m:r>
                          <w:rPr>
                            <w:rFonts w:ascii="Cambria Math" w:hAnsi="Cambria Math" w:cs="Arial"/>
                            <w:sz w:val="18"/>
                            <w:szCs w:val="18"/>
                          </w:rPr>
                          <m:t>ν</m:t>
                        </m:r>
                      </m:e>
                      <m:sub>
                        <m:r>
                          <m:rPr>
                            <m:nor/>
                          </m:rPr>
                          <w:rPr>
                            <w:rFonts w:ascii="Cambria Math" w:hAnsi="Cambria Math" w:cs="Arial"/>
                            <w:sz w:val="18"/>
                            <w:szCs w:val="18"/>
                          </w:rPr>
                          <m:t>week of year</m:t>
                        </m:r>
                      </m:sub>
                    </m:sSub>
                    <m:ctrlPr>
                      <w:rPr>
                        <w:rFonts w:ascii="Cambria Math" w:hAnsi="Cambria Math" w:cs="Arial"/>
                        <w:i/>
                        <w:sz w:val="18"/>
                        <w:szCs w:val="18"/>
                      </w:rPr>
                    </m:ctrlPr>
                  </m:e>
                </m:d>
                <m:r>
                  <m:rPr>
                    <m:sty m:val="p"/>
                  </m:rPr>
                  <w:rPr>
                    <w:rFonts w:ascii="Cambria Math" w:hAnsi="Cambria Math" w:cs="Arial"/>
                    <w:sz w:val="18"/>
                    <w:szCs w:val="18"/>
                  </w:rPr>
                  <m:t>⋅</m:t>
                </m:r>
                <m:r>
                  <m:rPr>
                    <m:nor/>
                  </m:rPr>
                  <w:rPr>
                    <w:rFonts w:ascii="Cambria Math" w:hAnsi="Cambria Math" w:cs="Arial"/>
                    <w:sz w:val="18"/>
                    <w:szCs w:val="18"/>
                  </w:rPr>
                  <m:t xml:space="preserve">temperature </m:t>
                </m:r>
                <m:sSub>
                  <m:sSubPr>
                    <m:ctrlPr>
                      <w:rPr>
                        <w:rFonts w:ascii="Cambria Math" w:hAnsi="Cambria Math" w:cs="Arial"/>
                        <w:sz w:val="18"/>
                        <w:szCs w:val="18"/>
                      </w:rPr>
                    </m:ctrlPr>
                  </m:sSubPr>
                  <m:e>
                    <m:r>
                      <m:rPr>
                        <m:nor/>
                      </m:rPr>
                      <w:rPr>
                        <w:rFonts w:ascii="Cambria Math" w:hAnsi="Cambria Math" w:cs="Arial"/>
                        <w:sz w:val="18"/>
                        <w:szCs w:val="18"/>
                      </w:rPr>
                      <m:t>anomaly</m:t>
                    </m:r>
                  </m:e>
                  <m:sub>
                    <m:r>
                      <w:rPr>
                        <w:rFonts w:ascii="Cambria Math" w:hAnsi="Cambria Math" w:cs="Arial"/>
                        <w:sz w:val="18"/>
                        <w:szCs w:val="18"/>
                      </w:rPr>
                      <m:t>week</m:t>
                    </m:r>
                  </m:sub>
                </m:sSub>
              </m:oMath>
            </m:oMathPara>
          </w:p>
        </w:tc>
      </w:tr>
      <w:tr w:rsidR="00474D86" w:rsidRPr="0021159B" w14:paraId="536FC8E6" w14:textId="77777777" w:rsidTr="00652489">
        <w:trPr>
          <w:trHeight w:val="498"/>
        </w:trPr>
        <w:tc>
          <w:tcPr>
            <w:tcW w:w="827" w:type="dxa"/>
          </w:tcPr>
          <w:p w14:paraId="3C354683"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15</w:t>
            </w:r>
          </w:p>
        </w:tc>
        <w:tc>
          <w:tcPr>
            <w:tcW w:w="1736" w:type="dxa"/>
          </w:tcPr>
          <w:p w14:paraId="62DEF497"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1E5A3F5E" w14:textId="77777777" w:rsidR="00474D86" w:rsidRPr="001F5638" w:rsidRDefault="00474D86" w:rsidP="00652489">
            <w:pPr>
              <w:spacing w:after="200" w:line="276" w:lineRule="auto"/>
              <w:rPr>
                <w:rFonts w:ascii="Arial" w:hAnsi="Arial" w:cs="Arial"/>
                <w:sz w:val="18"/>
                <w:szCs w:val="18"/>
              </w:rPr>
            </w:pPr>
            <m:oMathPara>
              <m:oMath>
                <m:r>
                  <w:rPr>
                    <w:rFonts w:ascii="Cambria Math" w:hAnsi="Cambria Math" w:cs="Arial"/>
                    <w:sz w:val="18"/>
                    <w:szCs w:val="18"/>
                  </w:rPr>
                  <m:t>β</m:t>
                </m:r>
                <m:r>
                  <m:rPr>
                    <m:sty m:val="p"/>
                  </m:rPr>
                  <w:rPr>
                    <w:rFonts w:ascii="Cambria Math" w:hAnsi="Cambria Math" w:cs="Arial"/>
                    <w:sz w:val="18"/>
                    <w:szCs w:val="18"/>
                  </w:rPr>
                  <m:t>⋅</m:t>
                </m:r>
                <m:r>
                  <w:rPr>
                    <w:rFonts w:ascii="Cambria Math" w:hAnsi="Cambria Math" w:cs="Arial"/>
                    <w:sz w:val="18"/>
                    <w:szCs w:val="18"/>
                  </w:rPr>
                  <m:t>week</m:t>
                </m:r>
              </m:oMath>
            </m:oMathPara>
          </w:p>
        </w:tc>
        <w:tc>
          <w:tcPr>
            <w:tcW w:w="1517" w:type="dxa"/>
          </w:tcPr>
          <w:p w14:paraId="073DABF4"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8</m:t>
                        </m:r>
                      </m:e>
                    </m:d>
                  </m:sup>
                </m:sSubSup>
              </m:oMath>
            </m:oMathPara>
          </w:p>
        </w:tc>
        <w:tc>
          <w:tcPr>
            <w:tcW w:w="967" w:type="dxa"/>
          </w:tcPr>
          <w:p w14:paraId="63FA68F5"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18997D7C" w14:textId="77777777" w:rsidR="00474D86" w:rsidRPr="001F5638" w:rsidRDefault="00474D86" w:rsidP="00652489">
            <w:pPr>
              <w:spacing w:after="200" w:line="276" w:lineRule="auto"/>
              <w:jc w:val="center"/>
              <w:rPr>
                <w:rFonts w:ascii="Arial" w:hAnsi="Arial" w:cs="Arial"/>
                <w:sz w:val="18"/>
                <w:szCs w:val="18"/>
                <w:highlight w:val="cyan"/>
              </w:rPr>
            </w:pPr>
            <w:r w:rsidRPr="001F5638">
              <w:rPr>
                <w:rFonts w:ascii="Arial" w:hAnsi="Arial" w:cs="Arial"/>
                <w:sz w:val="18"/>
                <w:szCs w:val="18"/>
              </w:rPr>
              <w:t>-</w:t>
            </w:r>
          </w:p>
        </w:tc>
      </w:tr>
      <w:tr w:rsidR="00474D86" w:rsidRPr="0021159B" w14:paraId="528105A8" w14:textId="77777777" w:rsidTr="00652489">
        <w:trPr>
          <w:trHeight w:val="498"/>
        </w:trPr>
        <w:tc>
          <w:tcPr>
            <w:tcW w:w="827" w:type="dxa"/>
          </w:tcPr>
          <w:p w14:paraId="027B0B02" w14:textId="77777777" w:rsidR="00474D86" w:rsidRPr="001F5638" w:rsidRDefault="00474D86" w:rsidP="00652489">
            <w:pPr>
              <w:spacing w:after="200" w:line="276" w:lineRule="auto"/>
              <w:rPr>
                <w:rFonts w:ascii="Arial" w:hAnsi="Arial" w:cs="Arial"/>
                <w:sz w:val="18"/>
                <w:szCs w:val="18"/>
              </w:rPr>
            </w:pPr>
            <w:r w:rsidRPr="001F5638">
              <w:rPr>
                <w:rFonts w:ascii="Arial" w:hAnsi="Arial" w:cs="Arial"/>
                <w:sz w:val="18"/>
                <w:szCs w:val="18"/>
              </w:rPr>
              <w:t>16</w:t>
            </w:r>
          </w:p>
        </w:tc>
        <w:tc>
          <w:tcPr>
            <w:tcW w:w="1736" w:type="dxa"/>
          </w:tcPr>
          <w:p w14:paraId="4561EAF9"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α</m:t>
                    </m:r>
                  </m:e>
                  <m:sub>
                    <m:r>
                      <w:rPr>
                        <w:rFonts w:ascii="Cambria Math" w:hAnsi="Cambria Math" w:cs="Arial"/>
                        <w:sz w:val="18"/>
                        <w:szCs w:val="18"/>
                      </w:rPr>
                      <m:t>0</m:t>
                    </m:r>
                  </m:sub>
                </m:sSub>
                <m:r>
                  <w:rPr>
                    <w:rFonts w:ascii="Cambria Math" w:hAnsi="Cambria Math" w:cs="Arial"/>
                    <w:sz w:val="18"/>
                    <w:szCs w:val="18"/>
                  </w:rPr>
                  <m:t>+</m:t>
                </m:r>
                <m:sSub>
                  <m:sSubPr>
                    <m:ctrlPr>
                      <w:rPr>
                        <w:rFonts w:ascii="Cambria Math" w:hAnsi="Cambria Math" w:cs="Arial"/>
                        <w:i/>
                        <w:sz w:val="18"/>
                        <w:szCs w:val="18"/>
                      </w:rPr>
                    </m:ctrlPr>
                  </m:sSubPr>
                  <m:e>
                    <m:r>
                      <w:rPr>
                        <w:rFonts w:ascii="Cambria Math" w:hAnsi="Cambria Math" w:cs="Arial"/>
                        <w:sz w:val="18"/>
                        <w:szCs w:val="18"/>
                      </w:rPr>
                      <m:t>α</m:t>
                    </m:r>
                  </m:e>
                  <m:sub>
                    <m:r>
                      <m:rPr>
                        <m:nor/>
                      </m:rPr>
                      <w:rPr>
                        <w:rFonts w:ascii="Arial" w:hAnsi="Arial" w:cs="Arial"/>
                        <w:sz w:val="18"/>
                        <w:szCs w:val="18"/>
                      </w:rPr>
                      <m:t>holiday(</m:t>
                    </m:r>
                    <m:r>
                      <m:rPr>
                        <m:nor/>
                      </m:rPr>
                      <w:rPr>
                        <w:rFonts w:ascii="Cambria Math" w:hAnsi="Arial" w:cs="Arial"/>
                        <w:sz w:val="18"/>
                        <w:szCs w:val="18"/>
                      </w:rPr>
                      <m:t>week</m:t>
                    </m:r>
                    <m:r>
                      <m:rPr>
                        <m:nor/>
                      </m:rPr>
                      <w:rPr>
                        <w:rFonts w:ascii="Arial" w:hAnsi="Arial" w:cs="Arial"/>
                        <w:sz w:val="18"/>
                        <w:szCs w:val="18"/>
                      </w:rPr>
                      <m:t>)</m:t>
                    </m:r>
                  </m:sub>
                </m:sSub>
              </m:oMath>
            </m:oMathPara>
          </w:p>
        </w:tc>
        <w:tc>
          <w:tcPr>
            <w:tcW w:w="1085" w:type="dxa"/>
          </w:tcPr>
          <w:p w14:paraId="5880227B" w14:textId="77777777" w:rsidR="00474D86" w:rsidRPr="001F5638" w:rsidRDefault="00474D86" w:rsidP="00652489">
            <w:pPr>
              <w:spacing w:after="200" w:line="276" w:lineRule="auto"/>
              <w:rPr>
                <w:rFonts w:ascii="Arial" w:hAnsi="Arial" w:cs="Arial"/>
                <w:sz w:val="18"/>
                <w:szCs w:val="18"/>
                <w:highlight w:val="cyan"/>
              </w:rPr>
            </w:pPr>
            <m:oMathPara>
              <m:oMath>
                <m:r>
                  <w:rPr>
                    <w:rFonts w:ascii="Cambria Math" w:hAnsi="Cambria Math" w:cs="Arial"/>
                    <w:sz w:val="18"/>
                    <w:szCs w:val="18"/>
                  </w:rPr>
                  <m:t>β</m:t>
                </m:r>
                <m:r>
                  <m:rPr>
                    <m:sty m:val="p"/>
                  </m:rPr>
                  <w:rPr>
                    <w:rFonts w:ascii="Cambria Math" w:hAnsi="Cambria Math" w:cs="Arial"/>
                    <w:sz w:val="18"/>
                    <w:szCs w:val="18"/>
                  </w:rPr>
                  <m:t>⋅</m:t>
                </m:r>
                <m:r>
                  <w:rPr>
                    <w:rFonts w:ascii="Cambria Math" w:hAnsi="Cambria Math" w:cs="Arial"/>
                    <w:sz w:val="18"/>
                    <w:szCs w:val="18"/>
                  </w:rPr>
                  <m:t>week</m:t>
                </m:r>
              </m:oMath>
            </m:oMathPara>
          </w:p>
        </w:tc>
        <w:tc>
          <w:tcPr>
            <w:tcW w:w="1517" w:type="dxa"/>
          </w:tcPr>
          <w:p w14:paraId="46B7B93A" w14:textId="77777777" w:rsidR="00474D86" w:rsidRPr="001F5638" w:rsidRDefault="00072AEA" w:rsidP="00652489">
            <w:pPr>
              <w:spacing w:after="200" w:line="276" w:lineRule="auto"/>
              <w:rPr>
                <w:rFonts w:ascii="Arial" w:hAnsi="Arial" w:cs="Arial"/>
                <w:sz w:val="18"/>
                <w:szCs w:val="18"/>
                <w:highlight w:val="cyan"/>
              </w:rPr>
            </w:pPr>
            <m:oMathPara>
              <m:oMath>
                <m:sSubSup>
                  <m:sSubSupPr>
                    <m:ctrlPr>
                      <w:rPr>
                        <w:rFonts w:ascii="Cambria Math" w:hAnsi="Cambria Math" w:cs="Arial"/>
                        <w:i/>
                        <w:sz w:val="18"/>
                        <w:szCs w:val="18"/>
                      </w:rPr>
                    </m:ctrlPr>
                  </m:sSubSupPr>
                  <m:e>
                    <m:r>
                      <w:rPr>
                        <w:rFonts w:ascii="Cambria Math" w:hAnsi="Cambria Math" w:cs="Arial"/>
                        <w:sz w:val="18"/>
                        <w:szCs w:val="18"/>
                      </w:rPr>
                      <m:t>ζ</m:t>
                    </m:r>
                    <m:ctrlPr>
                      <w:rPr>
                        <w:rFonts w:ascii="Cambria Math" w:hAnsi="Cambria Math" w:cs="Arial"/>
                        <w:sz w:val="18"/>
                        <w:szCs w:val="18"/>
                      </w:rPr>
                    </m:ctrlPr>
                  </m:e>
                  <m:sub>
                    <m:r>
                      <w:rPr>
                        <w:rFonts w:ascii="Cambria Math" w:hAnsi="Cambria Math" w:cs="Arial"/>
                        <w:sz w:val="18"/>
                        <w:szCs w:val="18"/>
                      </w:rPr>
                      <m:t>week</m:t>
                    </m:r>
                    <m:ctrlPr>
                      <w:rPr>
                        <w:rFonts w:ascii="Cambria Math" w:hAnsi="Cambria Math" w:cs="Arial"/>
                        <w:sz w:val="18"/>
                        <w:szCs w:val="18"/>
                      </w:rPr>
                    </m:ctrlPr>
                  </m:sub>
                  <m:sup>
                    <m:d>
                      <m:dPr>
                        <m:ctrlPr>
                          <w:rPr>
                            <w:rFonts w:ascii="Cambria Math" w:hAnsi="Cambria Math" w:cs="Arial"/>
                            <w:sz w:val="18"/>
                            <w:szCs w:val="18"/>
                          </w:rPr>
                        </m:ctrlPr>
                      </m:dPr>
                      <m:e>
                        <m:r>
                          <m:rPr>
                            <m:sty m:val="p"/>
                          </m:rPr>
                          <w:rPr>
                            <w:rFonts w:ascii="Cambria Math" w:hAnsi="Cambria Math" w:cs="Arial"/>
                            <w:sz w:val="18"/>
                            <w:szCs w:val="18"/>
                          </w:rPr>
                          <m:t>8</m:t>
                        </m:r>
                      </m:e>
                    </m:d>
                  </m:sup>
                </m:sSubSup>
              </m:oMath>
            </m:oMathPara>
          </w:p>
        </w:tc>
        <w:tc>
          <w:tcPr>
            <w:tcW w:w="967" w:type="dxa"/>
          </w:tcPr>
          <w:p w14:paraId="1149B92B" w14:textId="77777777" w:rsidR="00474D86" w:rsidRPr="001F5638" w:rsidRDefault="00072AEA" w:rsidP="00652489">
            <w:pPr>
              <w:spacing w:after="200" w:line="276" w:lineRule="auto"/>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θ</m:t>
                    </m:r>
                    <m:ctrlPr>
                      <w:rPr>
                        <w:rFonts w:ascii="Cambria Math" w:hAnsi="Cambria Math" w:cs="Arial"/>
                        <w:sz w:val="18"/>
                        <w:szCs w:val="18"/>
                      </w:rPr>
                    </m:ctrlPr>
                  </m:e>
                  <m:sub>
                    <m:r>
                      <w:rPr>
                        <w:rFonts w:ascii="Cambria Math" w:hAnsi="Cambria Math" w:cs="Arial"/>
                        <w:sz w:val="18"/>
                        <w:szCs w:val="18"/>
                      </w:rPr>
                      <m:t>week</m:t>
                    </m:r>
                  </m:sub>
                </m:sSub>
              </m:oMath>
            </m:oMathPara>
          </w:p>
        </w:tc>
        <w:tc>
          <w:tcPr>
            <w:tcW w:w="4033" w:type="dxa"/>
          </w:tcPr>
          <w:p w14:paraId="54516AF4" w14:textId="77777777" w:rsidR="00474D86" w:rsidRPr="001F5638" w:rsidRDefault="00072AEA" w:rsidP="00652489">
            <w:pPr>
              <w:spacing w:after="200" w:line="276" w:lineRule="auto"/>
              <w:jc w:val="center"/>
              <w:rPr>
                <w:rFonts w:ascii="Arial" w:hAnsi="Arial" w:cs="Arial"/>
                <w:sz w:val="18"/>
                <w:szCs w:val="18"/>
                <w:highlight w:val="cyan"/>
              </w:rPr>
            </w:pPr>
            <m:oMathPara>
              <m:oMath>
                <m:d>
                  <m:dPr>
                    <m:ctrlPr>
                      <w:rPr>
                        <w:rFonts w:ascii="Cambria Math" w:hAnsi="Cambria Math" w:cs="Arial"/>
                        <w:sz w:val="18"/>
                        <w:szCs w:val="18"/>
                      </w:rPr>
                    </m:ctrlPr>
                  </m:dPr>
                  <m:e>
                    <m:r>
                      <w:rPr>
                        <w:rFonts w:ascii="Cambria Math" w:hAnsi="Cambria Math" w:cs="Arial"/>
                        <w:sz w:val="18"/>
                        <w:szCs w:val="18"/>
                      </w:rPr>
                      <m:t>γ</m:t>
                    </m:r>
                    <m:r>
                      <m:rPr>
                        <m:sty m:val="p"/>
                      </m:rPr>
                      <w:rPr>
                        <w:rFonts w:ascii="Cambria Math" w:hAnsi="Cambria Math" w:cs="Arial"/>
                        <w:sz w:val="18"/>
                        <w:szCs w:val="18"/>
                      </w:rPr>
                      <m:t>+</m:t>
                    </m:r>
                    <m:sSub>
                      <m:sSubPr>
                        <m:ctrlPr>
                          <w:rPr>
                            <w:rFonts w:ascii="Cambria Math" w:hAnsi="Cambria Math" w:cs="Arial"/>
                            <w:sz w:val="18"/>
                            <w:szCs w:val="18"/>
                          </w:rPr>
                        </m:ctrlPr>
                      </m:sSubPr>
                      <m:e>
                        <m:r>
                          <w:rPr>
                            <w:rFonts w:ascii="Cambria Math" w:hAnsi="Cambria Math" w:cs="Arial"/>
                            <w:sz w:val="18"/>
                            <w:szCs w:val="18"/>
                          </w:rPr>
                          <m:t>ν</m:t>
                        </m:r>
                      </m:e>
                      <m:sub>
                        <m:r>
                          <m:rPr>
                            <m:nor/>
                          </m:rPr>
                          <w:rPr>
                            <w:rFonts w:ascii="Cambria Math" w:hAnsi="Cambria Math" w:cs="Arial"/>
                            <w:sz w:val="18"/>
                            <w:szCs w:val="18"/>
                          </w:rPr>
                          <m:t>week of year</m:t>
                        </m:r>
                      </m:sub>
                    </m:sSub>
                    <m:ctrlPr>
                      <w:rPr>
                        <w:rFonts w:ascii="Cambria Math" w:hAnsi="Cambria Math" w:cs="Arial"/>
                        <w:i/>
                        <w:sz w:val="18"/>
                        <w:szCs w:val="18"/>
                      </w:rPr>
                    </m:ctrlPr>
                  </m:e>
                </m:d>
                <m:r>
                  <m:rPr>
                    <m:sty m:val="p"/>
                  </m:rPr>
                  <w:rPr>
                    <w:rFonts w:ascii="Cambria Math" w:hAnsi="Cambria Math" w:cs="Arial"/>
                    <w:sz w:val="18"/>
                    <w:szCs w:val="18"/>
                  </w:rPr>
                  <m:t>⋅</m:t>
                </m:r>
                <m:r>
                  <m:rPr>
                    <m:nor/>
                  </m:rPr>
                  <w:rPr>
                    <w:rFonts w:ascii="Cambria Math" w:hAnsi="Cambria Math" w:cs="Arial"/>
                    <w:sz w:val="18"/>
                    <w:szCs w:val="18"/>
                  </w:rPr>
                  <m:t xml:space="preserve">temperature </m:t>
                </m:r>
                <m:sSub>
                  <m:sSubPr>
                    <m:ctrlPr>
                      <w:rPr>
                        <w:rFonts w:ascii="Cambria Math" w:hAnsi="Cambria Math" w:cs="Arial"/>
                        <w:sz w:val="18"/>
                        <w:szCs w:val="18"/>
                      </w:rPr>
                    </m:ctrlPr>
                  </m:sSubPr>
                  <m:e>
                    <m:r>
                      <m:rPr>
                        <m:nor/>
                      </m:rPr>
                      <w:rPr>
                        <w:rFonts w:ascii="Cambria Math" w:hAnsi="Cambria Math" w:cs="Arial"/>
                        <w:sz w:val="18"/>
                        <w:szCs w:val="18"/>
                      </w:rPr>
                      <m:t>anomaly</m:t>
                    </m:r>
                  </m:e>
                  <m:sub>
                    <m:r>
                      <w:rPr>
                        <w:rFonts w:ascii="Cambria Math" w:hAnsi="Cambria Math" w:cs="Arial"/>
                        <w:sz w:val="18"/>
                        <w:szCs w:val="18"/>
                      </w:rPr>
                      <m:t>week</m:t>
                    </m:r>
                  </m:sub>
                </m:sSub>
              </m:oMath>
            </m:oMathPara>
          </w:p>
        </w:tc>
      </w:tr>
    </w:tbl>
    <w:p w14:paraId="3AC2D0E7" w14:textId="77777777" w:rsidR="00474D86" w:rsidRDefault="00474D86" w:rsidP="00130537">
      <w:pPr>
        <w:spacing w:after="200" w:line="276" w:lineRule="auto"/>
        <w:rPr>
          <w:rFonts w:ascii="Arial" w:hAnsi="Arial" w:cs="Arial"/>
          <w:b/>
          <w:bCs/>
          <w:sz w:val="22"/>
          <w:szCs w:val="22"/>
        </w:rPr>
        <w:sectPr w:rsidR="00474D86" w:rsidSect="00A47755">
          <w:headerReference w:type="even" r:id="rId20"/>
          <w:headerReference w:type="default" r:id="rId21"/>
          <w:footerReference w:type="even" r:id="rId22"/>
          <w:footerReference w:type="default" r:id="rId23"/>
          <w:pgSz w:w="11906" w:h="16838"/>
          <w:pgMar w:top="1440" w:right="1440" w:bottom="1440" w:left="1440" w:header="708" w:footer="708" w:gutter="0"/>
          <w:cols w:space="708"/>
          <w:docGrid w:linePitch="360"/>
        </w:sectPr>
      </w:pPr>
    </w:p>
    <w:p w14:paraId="5ED503B6" w14:textId="77777777" w:rsidR="00474D86" w:rsidRDefault="00474D86" w:rsidP="0000437C">
      <w:pPr>
        <w:spacing w:line="480" w:lineRule="auto"/>
        <w:jc w:val="both"/>
        <w:rPr>
          <w:rFonts w:ascii="Arial" w:hAnsi="Arial" w:cs="Arial"/>
          <w:sz w:val="22"/>
          <w:szCs w:val="22"/>
        </w:rPr>
      </w:pPr>
      <w:r w:rsidRPr="003A477A">
        <w:rPr>
          <w:rFonts w:ascii="Arial" w:hAnsi="Arial" w:cs="Arial"/>
          <w:b/>
          <w:bCs/>
          <w:sz w:val="22"/>
          <w:szCs w:val="22"/>
        </w:rPr>
        <w:lastRenderedPageBreak/>
        <w:t>Extended Data Fig. 1.</w:t>
      </w:r>
      <w:r w:rsidRPr="003A477A">
        <w:rPr>
          <w:rFonts w:ascii="Arial" w:hAnsi="Arial" w:cs="Arial"/>
          <w:sz w:val="22"/>
          <w:szCs w:val="22"/>
        </w:rPr>
        <w:t xml:space="preserve"> </w:t>
      </w:r>
      <w:r w:rsidRPr="0027356E">
        <w:rPr>
          <w:rFonts w:ascii="Arial" w:hAnsi="Arial" w:cs="Arial"/>
          <w:sz w:val="22"/>
          <w:szCs w:val="22"/>
        </w:rPr>
        <w:t>Weekl</w:t>
      </w:r>
      <w:bookmarkStart w:id="8" w:name="_Hlk49074637"/>
      <w:r w:rsidRPr="0027356E">
        <w:rPr>
          <w:rFonts w:ascii="Arial" w:hAnsi="Arial" w:cs="Arial"/>
          <w:sz w:val="22"/>
          <w:szCs w:val="22"/>
        </w:rPr>
        <w:t>y</w:t>
      </w:r>
      <w:bookmarkEnd w:id="8"/>
      <w:r w:rsidRPr="0027356E">
        <w:rPr>
          <w:rFonts w:ascii="Arial" w:hAnsi="Arial" w:cs="Arial"/>
          <w:sz w:val="22"/>
          <w:szCs w:val="22"/>
        </w:rPr>
        <w:t xml:space="preserve"> number of deaths from January 2020 through May 2020</w:t>
      </w:r>
      <w:r>
        <w:rPr>
          <w:rFonts w:ascii="Arial" w:hAnsi="Arial" w:cs="Arial"/>
          <w:sz w:val="22"/>
          <w:szCs w:val="22"/>
        </w:rPr>
        <w:t>, by age group</w:t>
      </w:r>
      <w:r w:rsidRPr="0027356E">
        <w:rPr>
          <w:rFonts w:ascii="Arial" w:hAnsi="Arial" w:cs="Arial"/>
          <w:sz w:val="22"/>
          <w:szCs w:val="22"/>
        </w:rPr>
        <w:t xml:space="preserve">. The points show reported deaths. The grey-shaded areas show the predictions of how many deaths would have been expected from </w:t>
      </w:r>
      <w:r>
        <w:rPr>
          <w:rFonts w:ascii="Arial" w:hAnsi="Arial" w:cs="Arial"/>
          <w:sz w:val="22"/>
          <w:szCs w:val="22"/>
        </w:rPr>
        <w:t>mid-February</w:t>
      </w:r>
      <w:r w:rsidRPr="0027356E">
        <w:rPr>
          <w:rFonts w:ascii="Arial" w:hAnsi="Arial" w:cs="Arial"/>
          <w:sz w:val="22"/>
          <w:szCs w:val="22"/>
        </w:rPr>
        <w:t xml:space="preserve"> had Covid-19 pandemic not taken place. </w:t>
      </w:r>
      <w:r w:rsidRPr="005B3E97">
        <w:rPr>
          <w:rFonts w:ascii="Arial" w:hAnsi="Arial" w:cs="Arial"/>
          <w:sz w:val="22"/>
          <w:szCs w:val="22"/>
        </w:rPr>
        <w:t xml:space="preserve">The </w:t>
      </w:r>
      <w:r>
        <w:rPr>
          <w:rFonts w:ascii="Arial" w:hAnsi="Arial" w:cs="Arial"/>
          <w:sz w:val="22"/>
          <w:szCs w:val="22"/>
        </w:rPr>
        <w:t>turquoise</w:t>
      </w:r>
      <w:r w:rsidRPr="005B3E97">
        <w:rPr>
          <w:rFonts w:ascii="Arial" w:hAnsi="Arial" w:cs="Arial"/>
          <w:sz w:val="22"/>
          <w:szCs w:val="22"/>
        </w:rPr>
        <w:t xml:space="preserve"> shading shows the credible intervals around the median prediction, from 5% (dark) to 95% (light)</w:t>
      </w:r>
      <w:r>
        <w:rPr>
          <w:rFonts w:ascii="Arial" w:hAnsi="Arial" w:cs="Arial"/>
          <w:sz w:val="22"/>
          <w:szCs w:val="22"/>
        </w:rPr>
        <w:t xml:space="preserve"> in 10% increments</w:t>
      </w:r>
      <w:r w:rsidRPr="005B3E97">
        <w:rPr>
          <w:rFonts w:ascii="Arial" w:hAnsi="Arial" w:cs="Arial"/>
          <w:sz w:val="22"/>
          <w:szCs w:val="22"/>
        </w:rPr>
        <w:t>.</w:t>
      </w:r>
    </w:p>
    <w:p w14:paraId="2CFC3622" w14:textId="77777777" w:rsidR="00474D86" w:rsidRDefault="00474D86" w:rsidP="003A477A">
      <w:pPr>
        <w:spacing w:line="480" w:lineRule="auto"/>
        <w:jc w:val="both"/>
        <w:rPr>
          <w:rFonts w:ascii="Arial" w:hAnsi="Arial" w:cs="Arial"/>
          <w:sz w:val="22"/>
          <w:szCs w:val="22"/>
        </w:rPr>
      </w:pPr>
    </w:p>
    <w:p w14:paraId="62B58819" w14:textId="77777777" w:rsidR="00474D86" w:rsidRDefault="00474D86">
      <w:pPr>
        <w:spacing w:after="200" w:line="276" w:lineRule="auto"/>
        <w:rPr>
          <w:rFonts w:ascii="Arial" w:hAnsi="Arial" w:cs="Arial"/>
          <w:sz w:val="22"/>
          <w:szCs w:val="22"/>
        </w:rPr>
      </w:pPr>
      <w:r>
        <w:rPr>
          <w:rFonts w:ascii="Arial" w:hAnsi="Arial" w:cs="Arial"/>
          <w:sz w:val="22"/>
          <w:szCs w:val="22"/>
        </w:rPr>
        <w:br w:type="page"/>
      </w:r>
    </w:p>
    <w:p w14:paraId="69330770" w14:textId="77777777" w:rsidR="00474D86" w:rsidRPr="005B3E97" w:rsidRDefault="00474D86" w:rsidP="009A52DE">
      <w:pPr>
        <w:spacing w:line="480" w:lineRule="auto"/>
        <w:jc w:val="both"/>
        <w:rPr>
          <w:rFonts w:ascii="Arial" w:hAnsi="Arial" w:cs="Arial"/>
          <w:sz w:val="22"/>
          <w:szCs w:val="22"/>
        </w:rPr>
      </w:pPr>
      <w:r w:rsidRPr="003A477A">
        <w:rPr>
          <w:rFonts w:ascii="Arial" w:hAnsi="Arial" w:cs="Arial"/>
          <w:b/>
          <w:bCs/>
          <w:sz w:val="22"/>
          <w:szCs w:val="22"/>
        </w:rPr>
        <w:lastRenderedPageBreak/>
        <w:t xml:space="preserve">Extended Data Fig. </w:t>
      </w:r>
      <w:r>
        <w:rPr>
          <w:rFonts w:ascii="Arial" w:hAnsi="Arial" w:cs="Arial"/>
          <w:b/>
          <w:bCs/>
          <w:sz w:val="22"/>
          <w:szCs w:val="22"/>
        </w:rPr>
        <w:t>2</w:t>
      </w:r>
      <w:r w:rsidRPr="003A477A">
        <w:rPr>
          <w:rFonts w:ascii="Arial" w:hAnsi="Arial" w:cs="Arial"/>
          <w:b/>
          <w:bCs/>
          <w:sz w:val="22"/>
          <w:szCs w:val="22"/>
        </w:rPr>
        <w:t>.</w:t>
      </w:r>
      <w:r w:rsidRPr="003A477A">
        <w:rPr>
          <w:rFonts w:ascii="Arial" w:hAnsi="Arial" w:cs="Arial"/>
          <w:sz w:val="22"/>
          <w:szCs w:val="22"/>
        </w:rPr>
        <w:t xml:space="preserve"> </w:t>
      </w:r>
      <w:r>
        <w:rPr>
          <w:rFonts w:ascii="Arial" w:hAnsi="Arial" w:cs="Arial"/>
          <w:sz w:val="22"/>
          <w:szCs w:val="22"/>
        </w:rPr>
        <w:t xml:space="preserve">(A) </w:t>
      </w:r>
      <w:r w:rsidRPr="005B3E97">
        <w:rPr>
          <w:rFonts w:ascii="Arial" w:hAnsi="Arial" w:cs="Arial"/>
          <w:sz w:val="22"/>
          <w:szCs w:val="22"/>
        </w:rPr>
        <w:t xml:space="preserve">Posterior distribution </w:t>
      </w:r>
      <w:r>
        <w:rPr>
          <w:rFonts w:ascii="Arial" w:hAnsi="Arial" w:cs="Arial"/>
          <w:sz w:val="22"/>
          <w:szCs w:val="22"/>
        </w:rPr>
        <w:t xml:space="preserve">of </w:t>
      </w:r>
      <w:r w:rsidRPr="005B3E97">
        <w:rPr>
          <w:rFonts w:ascii="Arial" w:hAnsi="Arial" w:cs="Arial"/>
          <w:sz w:val="22"/>
          <w:szCs w:val="22"/>
        </w:rPr>
        <w:t>excess deaths from any cause per 100,000 people</w:t>
      </w:r>
      <w:r>
        <w:rPr>
          <w:rFonts w:ascii="Arial" w:hAnsi="Arial" w:cs="Arial"/>
          <w:sz w:val="22"/>
          <w:szCs w:val="22"/>
        </w:rPr>
        <w:t xml:space="preserve"> </w:t>
      </w:r>
      <w:r w:rsidRPr="005B3E97">
        <w:rPr>
          <w:rFonts w:ascii="Arial" w:hAnsi="Arial" w:cs="Arial"/>
          <w:sz w:val="22"/>
          <w:szCs w:val="22"/>
        </w:rPr>
        <w:t>from mid-February to end of May 2020</w:t>
      </w:r>
      <w:r>
        <w:rPr>
          <w:rFonts w:ascii="Arial" w:hAnsi="Arial" w:cs="Arial"/>
          <w:sz w:val="22"/>
          <w:szCs w:val="22"/>
        </w:rPr>
        <w:t xml:space="preserve">, by age group. </w:t>
      </w:r>
      <w:r w:rsidRPr="005B3E97">
        <w:rPr>
          <w:rFonts w:ascii="Arial" w:hAnsi="Arial" w:cs="Arial"/>
          <w:sz w:val="22"/>
          <w:szCs w:val="22"/>
        </w:rPr>
        <w:t xml:space="preserve">Gold dots show the posterior medians. </w:t>
      </w:r>
      <w:r>
        <w:rPr>
          <w:rFonts w:ascii="Arial" w:hAnsi="Arial" w:cs="Arial"/>
          <w:sz w:val="22"/>
          <w:szCs w:val="22"/>
        </w:rPr>
        <w:t xml:space="preserve">(B) </w:t>
      </w:r>
      <w:r w:rsidRPr="00677C64">
        <w:rPr>
          <w:rFonts w:ascii="Arial" w:hAnsi="Arial" w:cs="Arial"/>
          <w:sz w:val="22"/>
          <w:szCs w:val="22"/>
        </w:rPr>
        <w:t>Probability distribution for the country’s rank</w:t>
      </w:r>
      <w:r>
        <w:rPr>
          <w:rFonts w:ascii="Arial" w:hAnsi="Arial" w:cs="Arial"/>
          <w:sz w:val="22"/>
          <w:szCs w:val="22"/>
        </w:rPr>
        <w:t>, by age group</w:t>
      </w:r>
      <w:r w:rsidRPr="00677C64">
        <w:rPr>
          <w:rFonts w:ascii="Arial" w:hAnsi="Arial" w:cs="Arial"/>
          <w:sz w:val="22"/>
          <w:szCs w:val="22"/>
        </w:rPr>
        <w:t>.</w:t>
      </w:r>
      <w:r>
        <w:rPr>
          <w:rFonts w:ascii="Arial" w:hAnsi="Arial" w:cs="Arial"/>
          <w:sz w:val="22"/>
          <w:szCs w:val="22"/>
        </w:rPr>
        <w:t xml:space="preserve"> </w:t>
      </w:r>
      <w:r w:rsidRPr="005B3E97">
        <w:rPr>
          <w:rFonts w:ascii="Arial" w:hAnsi="Arial" w:cs="Arial"/>
          <w:sz w:val="22"/>
          <w:szCs w:val="22"/>
        </w:rPr>
        <w:t>Countries are ordered vertically by median increase from smallest (at the bottom) to the largest (at the top).</w:t>
      </w:r>
    </w:p>
    <w:p w14:paraId="65B14427" w14:textId="77777777" w:rsidR="00474D86" w:rsidRDefault="00474D86" w:rsidP="003A477A">
      <w:pPr>
        <w:spacing w:line="480" w:lineRule="auto"/>
        <w:jc w:val="both"/>
        <w:rPr>
          <w:rFonts w:ascii="Arial" w:hAnsi="Arial" w:cs="Arial"/>
          <w:sz w:val="22"/>
          <w:szCs w:val="22"/>
        </w:rPr>
      </w:pPr>
    </w:p>
    <w:p w14:paraId="5C907EA8" w14:textId="77777777" w:rsidR="00474D86" w:rsidRDefault="00474D86">
      <w:pPr>
        <w:spacing w:after="200" w:line="276" w:lineRule="auto"/>
        <w:rPr>
          <w:rFonts w:ascii="Arial" w:hAnsi="Arial" w:cs="Arial"/>
          <w:sz w:val="22"/>
          <w:szCs w:val="22"/>
        </w:rPr>
      </w:pPr>
      <w:r>
        <w:rPr>
          <w:rFonts w:ascii="Arial" w:hAnsi="Arial" w:cs="Arial"/>
          <w:sz w:val="22"/>
          <w:szCs w:val="22"/>
        </w:rPr>
        <w:br w:type="page"/>
      </w:r>
    </w:p>
    <w:p w14:paraId="2E57E1DA" w14:textId="77777777" w:rsidR="00474D86" w:rsidRPr="005B3E97" w:rsidRDefault="00474D86" w:rsidP="00661F9D">
      <w:pPr>
        <w:spacing w:line="480" w:lineRule="auto"/>
        <w:jc w:val="both"/>
        <w:rPr>
          <w:rFonts w:ascii="Arial" w:hAnsi="Arial" w:cs="Arial"/>
          <w:sz w:val="22"/>
          <w:szCs w:val="22"/>
        </w:rPr>
      </w:pPr>
      <w:r w:rsidRPr="003A477A">
        <w:rPr>
          <w:rFonts w:ascii="Arial" w:hAnsi="Arial" w:cs="Arial"/>
          <w:b/>
          <w:bCs/>
          <w:sz w:val="22"/>
          <w:szCs w:val="22"/>
        </w:rPr>
        <w:lastRenderedPageBreak/>
        <w:t xml:space="preserve">Extended Data </w:t>
      </w:r>
      <w:r w:rsidRPr="005B3E97">
        <w:rPr>
          <w:rFonts w:ascii="Arial" w:hAnsi="Arial" w:cs="Arial"/>
          <w:b/>
          <w:sz w:val="22"/>
          <w:szCs w:val="22"/>
        </w:rPr>
        <w:t xml:space="preserve">Fig. </w:t>
      </w:r>
      <w:r>
        <w:rPr>
          <w:rFonts w:ascii="Arial" w:hAnsi="Arial" w:cs="Arial"/>
          <w:b/>
          <w:sz w:val="22"/>
          <w:szCs w:val="22"/>
        </w:rPr>
        <w:t>3</w:t>
      </w:r>
      <w:r w:rsidRPr="005B3E97">
        <w:rPr>
          <w:rFonts w:ascii="Arial" w:hAnsi="Arial" w:cs="Arial"/>
          <w:b/>
          <w:sz w:val="22"/>
          <w:szCs w:val="22"/>
        </w:rPr>
        <w:t>.</w:t>
      </w:r>
      <w:r w:rsidRPr="005B3E97">
        <w:rPr>
          <w:rFonts w:ascii="Arial" w:hAnsi="Arial" w:cs="Arial"/>
          <w:sz w:val="22"/>
          <w:szCs w:val="22"/>
        </w:rPr>
        <w:t xml:space="preserve"> </w:t>
      </w:r>
      <w:r>
        <w:rPr>
          <w:rFonts w:ascii="Arial" w:hAnsi="Arial" w:cs="Arial"/>
          <w:sz w:val="22"/>
          <w:szCs w:val="22"/>
        </w:rPr>
        <w:t xml:space="preserve">(A) </w:t>
      </w:r>
      <w:r w:rsidRPr="005B3E97">
        <w:rPr>
          <w:rFonts w:ascii="Arial" w:hAnsi="Arial" w:cs="Arial"/>
          <w:sz w:val="22"/>
          <w:szCs w:val="22"/>
        </w:rPr>
        <w:t xml:space="preserve">Posterior distribution </w:t>
      </w:r>
      <w:r>
        <w:rPr>
          <w:rFonts w:ascii="Arial" w:hAnsi="Arial" w:cs="Arial"/>
          <w:sz w:val="22"/>
          <w:szCs w:val="22"/>
        </w:rPr>
        <w:t xml:space="preserve">of </w:t>
      </w:r>
      <w:r w:rsidRPr="005B3E97">
        <w:rPr>
          <w:rFonts w:ascii="Arial" w:hAnsi="Arial" w:cs="Arial"/>
          <w:sz w:val="22"/>
          <w:szCs w:val="22"/>
        </w:rPr>
        <w:t>percent increase in deaths from any cause from mid-February to end of May 2020</w:t>
      </w:r>
      <w:r>
        <w:rPr>
          <w:rFonts w:ascii="Arial" w:hAnsi="Arial" w:cs="Arial"/>
          <w:sz w:val="22"/>
          <w:szCs w:val="22"/>
        </w:rPr>
        <w:t xml:space="preserve">, by age group. </w:t>
      </w:r>
      <w:r w:rsidRPr="005B3E97">
        <w:rPr>
          <w:rFonts w:ascii="Arial" w:hAnsi="Arial" w:cs="Arial"/>
          <w:sz w:val="22"/>
          <w:szCs w:val="22"/>
        </w:rPr>
        <w:t xml:space="preserve">Gold dots show the posterior medians. </w:t>
      </w:r>
      <w:r>
        <w:rPr>
          <w:rFonts w:ascii="Arial" w:hAnsi="Arial" w:cs="Arial"/>
          <w:sz w:val="22"/>
          <w:szCs w:val="22"/>
        </w:rPr>
        <w:t xml:space="preserve">(B) </w:t>
      </w:r>
      <w:r w:rsidRPr="00677C64">
        <w:rPr>
          <w:rFonts w:ascii="Arial" w:hAnsi="Arial" w:cs="Arial"/>
          <w:sz w:val="22"/>
          <w:szCs w:val="22"/>
        </w:rPr>
        <w:t>Probability distribution for the country’s rank</w:t>
      </w:r>
      <w:r>
        <w:rPr>
          <w:rFonts w:ascii="Arial" w:hAnsi="Arial" w:cs="Arial"/>
          <w:sz w:val="22"/>
          <w:szCs w:val="22"/>
        </w:rPr>
        <w:t>, by age group</w:t>
      </w:r>
      <w:r w:rsidRPr="00677C64">
        <w:rPr>
          <w:rFonts w:ascii="Arial" w:hAnsi="Arial" w:cs="Arial"/>
          <w:sz w:val="22"/>
          <w:szCs w:val="22"/>
        </w:rPr>
        <w:t>.</w:t>
      </w:r>
      <w:r>
        <w:rPr>
          <w:rFonts w:ascii="Arial" w:hAnsi="Arial" w:cs="Arial"/>
          <w:sz w:val="22"/>
          <w:szCs w:val="22"/>
        </w:rPr>
        <w:t xml:space="preserve"> </w:t>
      </w:r>
      <w:r w:rsidRPr="005B3E97">
        <w:rPr>
          <w:rFonts w:ascii="Arial" w:hAnsi="Arial" w:cs="Arial"/>
          <w:sz w:val="22"/>
          <w:szCs w:val="22"/>
        </w:rPr>
        <w:t>Countries are ordered vertically by median increase from smallest (at the bottom) to the largest (at the top).</w:t>
      </w:r>
    </w:p>
    <w:p w14:paraId="7C803478" w14:textId="77777777" w:rsidR="00474D86" w:rsidRDefault="00474D86" w:rsidP="000D0D91">
      <w:pPr>
        <w:spacing w:line="480" w:lineRule="auto"/>
        <w:jc w:val="both"/>
        <w:rPr>
          <w:rFonts w:ascii="Arial" w:hAnsi="Arial" w:cs="Arial"/>
          <w:sz w:val="22"/>
          <w:szCs w:val="22"/>
          <w:highlight w:val="cyan"/>
        </w:rPr>
      </w:pPr>
    </w:p>
    <w:p w14:paraId="5D69DC59" w14:textId="77777777" w:rsidR="00474D86" w:rsidRDefault="00474D86">
      <w:pPr>
        <w:spacing w:after="200" w:line="276" w:lineRule="auto"/>
        <w:rPr>
          <w:rFonts w:ascii="Arial" w:hAnsi="Arial" w:cs="Arial"/>
          <w:sz w:val="22"/>
          <w:szCs w:val="22"/>
          <w:highlight w:val="cyan"/>
        </w:rPr>
      </w:pPr>
      <w:r>
        <w:rPr>
          <w:rFonts w:ascii="Arial" w:hAnsi="Arial" w:cs="Arial"/>
          <w:sz w:val="22"/>
          <w:szCs w:val="22"/>
          <w:highlight w:val="cyan"/>
        </w:rPr>
        <w:br w:type="page"/>
      </w:r>
    </w:p>
    <w:p w14:paraId="41372CCE" w14:textId="77777777" w:rsidR="00474D86" w:rsidRPr="005B3E97" w:rsidRDefault="00474D86" w:rsidP="00AA217B">
      <w:pPr>
        <w:spacing w:line="480" w:lineRule="auto"/>
        <w:jc w:val="both"/>
        <w:rPr>
          <w:rFonts w:ascii="Arial" w:hAnsi="Arial" w:cs="Arial"/>
          <w:sz w:val="22"/>
          <w:szCs w:val="22"/>
        </w:rPr>
      </w:pPr>
      <w:r w:rsidRPr="003A477A">
        <w:rPr>
          <w:rFonts w:ascii="Arial" w:hAnsi="Arial" w:cs="Arial"/>
          <w:b/>
          <w:bCs/>
          <w:sz w:val="22"/>
          <w:szCs w:val="22"/>
        </w:rPr>
        <w:lastRenderedPageBreak/>
        <w:t xml:space="preserve">Extended Data </w:t>
      </w:r>
      <w:r w:rsidRPr="005B3E97">
        <w:rPr>
          <w:rFonts w:ascii="Arial" w:hAnsi="Arial" w:cs="Arial"/>
          <w:b/>
          <w:sz w:val="22"/>
          <w:szCs w:val="22"/>
        </w:rPr>
        <w:t xml:space="preserve">Fig. </w:t>
      </w:r>
      <w:r>
        <w:rPr>
          <w:rFonts w:ascii="Arial" w:hAnsi="Arial" w:cs="Arial"/>
          <w:b/>
          <w:sz w:val="22"/>
          <w:szCs w:val="22"/>
        </w:rPr>
        <w:t>4</w:t>
      </w:r>
      <w:r w:rsidRPr="005B3E97">
        <w:rPr>
          <w:rFonts w:ascii="Arial" w:hAnsi="Arial" w:cs="Arial"/>
          <w:b/>
          <w:sz w:val="22"/>
          <w:szCs w:val="22"/>
        </w:rPr>
        <w:t>.</w:t>
      </w:r>
      <w:r w:rsidRPr="005B3E97">
        <w:rPr>
          <w:rFonts w:ascii="Arial" w:hAnsi="Arial" w:cs="Arial"/>
          <w:sz w:val="22"/>
          <w:szCs w:val="22"/>
        </w:rPr>
        <w:t xml:space="preserve"> Weekly percent increase in mortality as a result of the Covid-19 pandemic by country</w:t>
      </w:r>
      <w:r>
        <w:rPr>
          <w:rFonts w:ascii="Arial" w:hAnsi="Arial" w:cs="Arial"/>
          <w:sz w:val="22"/>
          <w:szCs w:val="22"/>
        </w:rPr>
        <w:t>, by age group</w:t>
      </w:r>
      <w:r w:rsidRPr="005B3E97">
        <w:rPr>
          <w:rFonts w:ascii="Arial" w:hAnsi="Arial" w:cs="Arial"/>
          <w:sz w:val="22"/>
          <w:szCs w:val="22"/>
        </w:rPr>
        <w:t xml:space="preserve">. The </w:t>
      </w:r>
      <w:r>
        <w:rPr>
          <w:rFonts w:ascii="Arial" w:hAnsi="Arial" w:cs="Arial"/>
          <w:sz w:val="22"/>
          <w:szCs w:val="22"/>
        </w:rPr>
        <w:t>turquoise</w:t>
      </w:r>
      <w:r w:rsidRPr="005B3E97">
        <w:rPr>
          <w:rFonts w:ascii="Arial" w:hAnsi="Arial" w:cs="Arial"/>
          <w:sz w:val="22"/>
          <w:szCs w:val="22"/>
        </w:rPr>
        <w:t xml:space="preserve"> shading shows the credible intervals around the median prediction, from 5% (dark) to 95% (light)</w:t>
      </w:r>
      <w:r>
        <w:rPr>
          <w:rFonts w:ascii="Arial" w:hAnsi="Arial" w:cs="Arial"/>
          <w:sz w:val="22"/>
          <w:szCs w:val="22"/>
        </w:rPr>
        <w:t xml:space="preserve"> in 10% increments</w:t>
      </w:r>
      <w:r w:rsidRPr="005B3E97">
        <w:rPr>
          <w:rFonts w:ascii="Arial" w:hAnsi="Arial" w:cs="Arial"/>
          <w:sz w:val="22"/>
          <w:szCs w:val="22"/>
        </w:rPr>
        <w:t>.</w:t>
      </w:r>
      <w:r w:rsidRPr="00513CD6">
        <w:rPr>
          <w:rFonts w:ascii="Arial" w:hAnsi="Arial" w:cs="Arial"/>
          <w:sz w:val="22"/>
          <w:szCs w:val="22"/>
        </w:rPr>
        <w:t xml:space="preserve"> </w:t>
      </w:r>
      <w:r>
        <w:rPr>
          <w:rFonts w:ascii="Arial" w:hAnsi="Arial" w:cs="Arial"/>
          <w:sz w:val="22"/>
          <w:szCs w:val="22"/>
        </w:rPr>
        <w:t>The background shading indicates the magnitude of the weekly increase that was detectable with a posterior probability of at least 90%.</w:t>
      </w:r>
    </w:p>
    <w:p w14:paraId="7CBEB8F1" w14:textId="77777777" w:rsidR="00474D86" w:rsidRDefault="00474D86" w:rsidP="000D0D91">
      <w:pPr>
        <w:spacing w:line="480" w:lineRule="auto"/>
        <w:jc w:val="both"/>
        <w:rPr>
          <w:rFonts w:ascii="Arial" w:hAnsi="Arial" w:cs="Arial"/>
          <w:sz w:val="22"/>
          <w:szCs w:val="22"/>
          <w:highlight w:val="cyan"/>
        </w:rPr>
      </w:pPr>
    </w:p>
    <w:p w14:paraId="3BC9FB26" w14:textId="77777777" w:rsidR="00474D86" w:rsidRPr="005B3E97" w:rsidRDefault="00474D86" w:rsidP="00580F14">
      <w:pPr>
        <w:spacing w:line="480" w:lineRule="auto"/>
        <w:jc w:val="both"/>
        <w:rPr>
          <w:rFonts w:ascii="Arial" w:hAnsi="Arial" w:cs="Arial"/>
          <w:sz w:val="22"/>
          <w:szCs w:val="22"/>
        </w:rPr>
      </w:pPr>
      <w:r w:rsidRPr="005B3E97">
        <w:rPr>
          <w:rFonts w:ascii="Arial" w:hAnsi="Arial" w:cs="Arial"/>
          <w:sz w:val="22"/>
          <w:szCs w:val="22"/>
        </w:rPr>
        <w:br w:type="page"/>
      </w:r>
    </w:p>
    <w:p w14:paraId="4EB4B58C" w14:textId="77777777" w:rsidR="00474D86" w:rsidRPr="005B3E97" w:rsidRDefault="00474D86" w:rsidP="00580F14">
      <w:pPr>
        <w:spacing w:line="480" w:lineRule="auto"/>
        <w:jc w:val="both"/>
        <w:rPr>
          <w:rFonts w:ascii="Arial" w:hAnsi="Arial" w:cs="Arial"/>
          <w:b/>
          <w:sz w:val="22"/>
          <w:szCs w:val="22"/>
        </w:rPr>
      </w:pPr>
      <w:r w:rsidRPr="005B3E97">
        <w:rPr>
          <w:rFonts w:ascii="Arial" w:hAnsi="Arial" w:cs="Arial"/>
          <w:b/>
          <w:sz w:val="22"/>
          <w:szCs w:val="22"/>
        </w:rPr>
        <w:lastRenderedPageBreak/>
        <w:t>References</w:t>
      </w:r>
    </w:p>
    <w:p w14:paraId="14BC1BA9"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48.</w:t>
      </w:r>
      <w:r w:rsidRPr="001831EE">
        <w:rPr>
          <w:rFonts w:ascii="Arial" w:hAnsi="Arial" w:cs="Arial"/>
        </w:rPr>
        <w:tab/>
        <w:t xml:space="preserve">Office for National Statistics. </w:t>
      </w:r>
      <w:r w:rsidRPr="001831EE">
        <w:rPr>
          <w:rFonts w:ascii="Arial" w:hAnsi="Arial" w:cs="Arial"/>
          <w:i/>
        </w:rPr>
        <w:t xml:space="preserve">Quarterly mortality report, England: October to December 2019 and year-end review </w:t>
      </w:r>
      <w:r w:rsidRPr="001831EE">
        <w:rPr>
          <w:rFonts w:ascii="Arial" w:hAnsi="Arial" w:cs="Arial"/>
        </w:rPr>
        <w:t>(2019).</w:t>
      </w:r>
    </w:p>
    <w:p w14:paraId="0F7DEA07"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49.</w:t>
      </w:r>
      <w:r w:rsidRPr="001831EE">
        <w:rPr>
          <w:rFonts w:ascii="Arial" w:hAnsi="Arial" w:cs="Arial"/>
        </w:rPr>
        <w:tab/>
        <w:t>ECMWF. ERA5: Reanalysis Datasets (2019).</w:t>
      </w:r>
    </w:p>
    <w:p w14:paraId="6C87DAE4"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50.</w:t>
      </w:r>
      <w:r w:rsidRPr="001831EE">
        <w:rPr>
          <w:rFonts w:ascii="Arial" w:hAnsi="Arial" w:cs="Arial"/>
        </w:rPr>
        <w:tab/>
        <w:t xml:space="preserve">Giles, C. Excess UK deaths in Covid-19 pandemic top 50,000 </w:t>
      </w:r>
      <w:r w:rsidRPr="001831EE">
        <w:rPr>
          <w:rFonts w:ascii="Arial" w:hAnsi="Arial" w:cs="Arial"/>
          <w:i/>
        </w:rPr>
        <w:t>Financial Times</w:t>
      </w:r>
      <w:r w:rsidRPr="001831EE">
        <w:rPr>
          <w:rFonts w:ascii="Arial" w:hAnsi="Arial" w:cs="Arial"/>
        </w:rPr>
        <w:t xml:space="preserve"> (2020).</w:t>
      </w:r>
    </w:p>
    <w:p w14:paraId="32E5608E"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51.</w:t>
      </w:r>
      <w:r w:rsidRPr="001831EE">
        <w:rPr>
          <w:rFonts w:ascii="Arial" w:hAnsi="Arial" w:cs="Arial"/>
        </w:rPr>
        <w:tab/>
        <w:t>Wang, H.</w:t>
      </w:r>
      <w:r w:rsidRPr="001831EE">
        <w:rPr>
          <w:rFonts w:ascii="Arial" w:hAnsi="Arial" w:cs="Arial"/>
          <w:i/>
        </w:rPr>
        <w:t>, et al.</w:t>
      </w:r>
      <w:r w:rsidRPr="001831EE">
        <w:rPr>
          <w:rFonts w:ascii="Arial" w:hAnsi="Arial" w:cs="Arial"/>
        </w:rPr>
        <w:t xml:space="preserve"> Age-specific and sex-specific mortality in 187 countries, 1970-2010: a systematic analysis for the Global Burden of Disease Study 2010. </w:t>
      </w:r>
      <w:r w:rsidRPr="001831EE">
        <w:rPr>
          <w:rFonts w:ascii="Arial" w:hAnsi="Arial" w:cs="Arial"/>
          <w:i/>
        </w:rPr>
        <w:t>Lancet</w:t>
      </w:r>
      <w:r w:rsidRPr="001831EE">
        <w:rPr>
          <w:rFonts w:ascii="Arial" w:hAnsi="Arial" w:cs="Arial"/>
        </w:rPr>
        <w:t xml:space="preserve"> </w:t>
      </w:r>
      <w:r w:rsidRPr="001831EE">
        <w:rPr>
          <w:rFonts w:ascii="Arial" w:hAnsi="Arial" w:cs="Arial"/>
          <w:b/>
        </w:rPr>
        <w:t>380</w:t>
      </w:r>
      <w:r w:rsidRPr="001831EE">
        <w:rPr>
          <w:rFonts w:ascii="Arial" w:hAnsi="Arial" w:cs="Arial"/>
        </w:rPr>
        <w:t>, 2071-2094 (2012).</w:t>
      </w:r>
    </w:p>
    <w:p w14:paraId="24B5E7A7"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52.</w:t>
      </w:r>
      <w:r w:rsidRPr="001831EE">
        <w:rPr>
          <w:rFonts w:ascii="Arial" w:hAnsi="Arial" w:cs="Arial"/>
        </w:rPr>
        <w:tab/>
        <w:t>Kontis, V.</w:t>
      </w:r>
      <w:r w:rsidRPr="001831EE">
        <w:rPr>
          <w:rFonts w:ascii="Arial" w:hAnsi="Arial" w:cs="Arial"/>
          <w:i/>
        </w:rPr>
        <w:t>, et al.</w:t>
      </w:r>
      <w:r w:rsidRPr="001831EE">
        <w:rPr>
          <w:rFonts w:ascii="Arial" w:hAnsi="Arial" w:cs="Arial"/>
        </w:rPr>
        <w:t xml:space="preserve"> Future life expectancy in 35 industrialised countries: projections with a Bayesian model ensemble. </w:t>
      </w:r>
      <w:r w:rsidRPr="001831EE">
        <w:rPr>
          <w:rFonts w:ascii="Arial" w:hAnsi="Arial" w:cs="Arial"/>
          <w:i/>
        </w:rPr>
        <w:t>Lancet</w:t>
      </w:r>
      <w:r w:rsidRPr="001831EE">
        <w:rPr>
          <w:rFonts w:ascii="Arial" w:hAnsi="Arial" w:cs="Arial"/>
        </w:rPr>
        <w:t xml:space="preserve"> </w:t>
      </w:r>
      <w:r w:rsidRPr="001831EE">
        <w:rPr>
          <w:rFonts w:ascii="Arial" w:hAnsi="Arial" w:cs="Arial"/>
          <w:b/>
        </w:rPr>
        <w:t>389</w:t>
      </w:r>
      <w:r w:rsidRPr="001831EE">
        <w:rPr>
          <w:rFonts w:ascii="Arial" w:hAnsi="Arial" w:cs="Arial"/>
        </w:rPr>
        <w:t>, 1323-1335 (2017).</w:t>
      </w:r>
    </w:p>
    <w:p w14:paraId="7184B0C1"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53.</w:t>
      </w:r>
      <w:r w:rsidRPr="001831EE">
        <w:rPr>
          <w:rFonts w:ascii="Arial" w:hAnsi="Arial" w:cs="Arial"/>
        </w:rPr>
        <w:tab/>
        <w:t xml:space="preserve">Parks, R.M., Bennett, J.E., Foreman, K.J., Toumi, R. &amp; Ezzati, M. National and regional seasonal dynamics of all-cause and cause-specific mortality in the USA from 1980 to 2016. </w:t>
      </w:r>
      <w:r w:rsidRPr="001831EE">
        <w:rPr>
          <w:rFonts w:ascii="Arial" w:hAnsi="Arial" w:cs="Arial"/>
          <w:i/>
        </w:rPr>
        <w:t>eLife</w:t>
      </w:r>
      <w:r w:rsidRPr="001831EE">
        <w:rPr>
          <w:rFonts w:ascii="Arial" w:hAnsi="Arial" w:cs="Arial"/>
        </w:rPr>
        <w:t xml:space="preserve"> </w:t>
      </w:r>
      <w:r w:rsidRPr="001831EE">
        <w:rPr>
          <w:rFonts w:ascii="Arial" w:hAnsi="Arial" w:cs="Arial"/>
          <w:b/>
        </w:rPr>
        <w:t>7</w:t>
      </w:r>
      <w:r w:rsidRPr="001831EE">
        <w:rPr>
          <w:rFonts w:ascii="Arial" w:hAnsi="Arial" w:cs="Arial"/>
        </w:rPr>
        <w:t>(2018).</w:t>
      </w:r>
    </w:p>
    <w:p w14:paraId="0A7DDA12"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54.</w:t>
      </w:r>
      <w:r w:rsidRPr="001831EE">
        <w:rPr>
          <w:rFonts w:ascii="Arial" w:hAnsi="Arial" w:cs="Arial"/>
        </w:rPr>
        <w:tab/>
        <w:t xml:space="preserve">Feinstein, C.A. Seasonality of Deaths in the U.S. by Age and Cause. </w:t>
      </w:r>
      <w:r w:rsidRPr="001831EE">
        <w:rPr>
          <w:rFonts w:ascii="Arial" w:hAnsi="Arial" w:cs="Arial"/>
          <w:i/>
        </w:rPr>
        <w:t>Demogr Res</w:t>
      </w:r>
      <w:r w:rsidRPr="001831EE">
        <w:rPr>
          <w:rFonts w:ascii="Arial" w:hAnsi="Arial" w:cs="Arial"/>
        </w:rPr>
        <w:t xml:space="preserve"> </w:t>
      </w:r>
      <w:r w:rsidRPr="001831EE">
        <w:rPr>
          <w:rFonts w:ascii="Arial" w:hAnsi="Arial" w:cs="Arial"/>
          <w:b/>
        </w:rPr>
        <w:t>6</w:t>
      </w:r>
      <w:r w:rsidRPr="001831EE">
        <w:rPr>
          <w:rFonts w:ascii="Arial" w:hAnsi="Arial" w:cs="Arial"/>
        </w:rPr>
        <w:t>, 471-488 (2002).</w:t>
      </w:r>
    </w:p>
    <w:p w14:paraId="1923A50E"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55.</w:t>
      </w:r>
      <w:r w:rsidRPr="001831EE">
        <w:rPr>
          <w:rFonts w:ascii="Arial" w:hAnsi="Arial" w:cs="Arial"/>
        </w:rPr>
        <w:tab/>
        <w:t>Fowler, T.</w:t>
      </w:r>
      <w:r w:rsidRPr="001831EE">
        <w:rPr>
          <w:rFonts w:ascii="Arial" w:hAnsi="Arial" w:cs="Arial"/>
          <w:i/>
        </w:rPr>
        <w:t>, et al.</w:t>
      </w:r>
      <w:r w:rsidRPr="001831EE">
        <w:rPr>
          <w:rFonts w:ascii="Arial" w:hAnsi="Arial" w:cs="Arial"/>
        </w:rPr>
        <w:t xml:space="preserve"> Excess Winter Deaths in Europe: a multi-country descriptive analysis. </w:t>
      </w:r>
      <w:r w:rsidRPr="001831EE">
        <w:rPr>
          <w:rFonts w:ascii="Arial" w:hAnsi="Arial" w:cs="Arial"/>
          <w:i/>
        </w:rPr>
        <w:t>European Journal of Public Health</w:t>
      </w:r>
      <w:r w:rsidRPr="001831EE">
        <w:rPr>
          <w:rFonts w:ascii="Arial" w:hAnsi="Arial" w:cs="Arial"/>
        </w:rPr>
        <w:t xml:space="preserve"> </w:t>
      </w:r>
      <w:r w:rsidRPr="001831EE">
        <w:rPr>
          <w:rFonts w:ascii="Arial" w:hAnsi="Arial" w:cs="Arial"/>
          <w:b/>
        </w:rPr>
        <w:t>25</w:t>
      </w:r>
      <w:r w:rsidRPr="001831EE">
        <w:rPr>
          <w:rFonts w:ascii="Arial" w:hAnsi="Arial" w:cs="Arial"/>
        </w:rPr>
        <w:t>, 339-345 (2014).</w:t>
      </w:r>
    </w:p>
    <w:p w14:paraId="077FCCA0"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56.</w:t>
      </w:r>
      <w:r w:rsidRPr="001831EE">
        <w:rPr>
          <w:rFonts w:ascii="Arial" w:hAnsi="Arial" w:cs="Arial"/>
        </w:rPr>
        <w:tab/>
        <w:t xml:space="preserve">McKee, C.M. Deaths in winter: Can Britain learn from Europe? </w:t>
      </w:r>
      <w:r w:rsidRPr="001831EE">
        <w:rPr>
          <w:rFonts w:ascii="Arial" w:hAnsi="Arial" w:cs="Arial"/>
          <w:i/>
        </w:rPr>
        <w:t>European journal of epidemiology</w:t>
      </w:r>
      <w:r w:rsidRPr="001831EE">
        <w:rPr>
          <w:rFonts w:ascii="Arial" w:hAnsi="Arial" w:cs="Arial"/>
        </w:rPr>
        <w:t xml:space="preserve"> </w:t>
      </w:r>
      <w:r w:rsidRPr="001831EE">
        <w:rPr>
          <w:rFonts w:ascii="Arial" w:hAnsi="Arial" w:cs="Arial"/>
          <w:b/>
        </w:rPr>
        <w:t>5</w:t>
      </w:r>
      <w:r w:rsidRPr="001831EE">
        <w:rPr>
          <w:rFonts w:ascii="Arial" w:hAnsi="Arial" w:cs="Arial"/>
        </w:rPr>
        <w:t>, 178-182 (1989).</w:t>
      </w:r>
    </w:p>
    <w:p w14:paraId="4CD9D4FD"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57.</w:t>
      </w:r>
      <w:r w:rsidRPr="001831EE">
        <w:rPr>
          <w:rFonts w:ascii="Arial" w:hAnsi="Arial" w:cs="Arial"/>
        </w:rPr>
        <w:tab/>
        <w:t xml:space="preserve">Hyndman, R.J. &amp; Athanasopoulos, G. </w:t>
      </w:r>
      <w:r w:rsidRPr="001831EE">
        <w:rPr>
          <w:rFonts w:ascii="Arial" w:hAnsi="Arial" w:cs="Arial"/>
          <w:i/>
        </w:rPr>
        <w:t>Forecasting: principles and practice, 2nd edition</w:t>
      </w:r>
      <w:r w:rsidRPr="001831EE">
        <w:rPr>
          <w:rFonts w:ascii="Arial" w:hAnsi="Arial" w:cs="Arial"/>
        </w:rPr>
        <w:t>, (OTexts, Melbourne, Australia, 2018).</w:t>
      </w:r>
    </w:p>
    <w:p w14:paraId="5BCCD6F5"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58.</w:t>
      </w:r>
      <w:r w:rsidRPr="001831EE">
        <w:rPr>
          <w:rFonts w:ascii="Arial" w:hAnsi="Arial" w:cs="Arial"/>
        </w:rPr>
        <w:tab/>
        <w:t xml:space="preserve">Congdon, P. </w:t>
      </w:r>
      <w:r w:rsidRPr="001831EE">
        <w:rPr>
          <w:rFonts w:ascii="Arial" w:hAnsi="Arial" w:cs="Arial"/>
          <w:i/>
        </w:rPr>
        <w:t xml:space="preserve">Applied Bayesian Modelling </w:t>
      </w:r>
      <w:r w:rsidRPr="001831EE">
        <w:rPr>
          <w:rFonts w:ascii="Arial" w:hAnsi="Arial" w:cs="Arial"/>
        </w:rPr>
        <w:t>(John Wiley &amp; Sons, 2003).</w:t>
      </w:r>
    </w:p>
    <w:p w14:paraId="5C5F682B"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59.</w:t>
      </w:r>
      <w:r w:rsidRPr="001831EE">
        <w:rPr>
          <w:rFonts w:ascii="Arial" w:hAnsi="Arial" w:cs="Arial"/>
        </w:rPr>
        <w:tab/>
        <w:t xml:space="preserve">Basu, R. High ambient temperature and mortality: a review of epidemiologic studies from 2001 to 2008. </w:t>
      </w:r>
      <w:r w:rsidRPr="001831EE">
        <w:rPr>
          <w:rFonts w:ascii="Arial" w:hAnsi="Arial" w:cs="Arial"/>
          <w:i/>
        </w:rPr>
        <w:t>Environ Health</w:t>
      </w:r>
      <w:r w:rsidRPr="001831EE">
        <w:rPr>
          <w:rFonts w:ascii="Arial" w:hAnsi="Arial" w:cs="Arial"/>
        </w:rPr>
        <w:t xml:space="preserve"> </w:t>
      </w:r>
      <w:r w:rsidRPr="001831EE">
        <w:rPr>
          <w:rFonts w:ascii="Arial" w:hAnsi="Arial" w:cs="Arial"/>
          <w:b/>
        </w:rPr>
        <w:t>8</w:t>
      </w:r>
      <w:r w:rsidRPr="001831EE">
        <w:rPr>
          <w:rFonts w:ascii="Arial" w:hAnsi="Arial" w:cs="Arial"/>
        </w:rPr>
        <w:t>, 40 (2009).</w:t>
      </w:r>
    </w:p>
    <w:p w14:paraId="532C1A6D"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60.</w:t>
      </w:r>
      <w:r w:rsidRPr="001831EE">
        <w:rPr>
          <w:rFonts w:ascii="Arial" w:hAnsi="Arial" w:cs="Arial"/>
        </w:rPr>
        <w:tab/>
        <w:t xml:space="preserve">Basu, R. &amp; Samet, J.M. Relation between elevated ambient temperature and mortality: a review of the epidemiologic evidence. </w:t>
      </w:r>
      <w:r w:rsidRPr="001831EE">
        <w:rPr>
          <w:rFonts w:ascii="Arial" w:hAnsi="Arial" w:cs="Arial"/>
          <w:i/>
        </w:rPr>
        <w:t>Epidemiol Rev</w:t>
      </w:r>
      <w:r w:rsidRPr="001831EE">
        <w:rPr>
          <w:rFonts w:ascii="Arial" w:hAnsi="Arial" w:cs="Arial"/>
        </w:rPr>
        <w:t xml:space="preserve"> </w:t>
      </w:r>
      <w:r w:rsidRPr="001831EE">
        <w:rPr>
          <w:rFonts w:ascii="Arial" w:hAnsi="Arial" w:cs="Arial"/>
          <w:b/>
        </w:rPr>
        <w:t>24</w:t>
      </w:r>
      <w:r w:rsidRPr="001831EE">
        <w:rPr>
          <w:rFonts w:ascii="Arial" w:hAnsi="Arial" w:cs="Arial"/>
        </w:rPr>
        <w:t>, 190-202 (2002).</w:t>
      </w:r>
    </w:p>
    <w:p w14:paraId="5DFEBB83"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61.</w:t>
      </w:r>
      <w:r w:rsidRPr="001831EE">
        <w:rPr>
          <w:rFonts w:ascii="Arial" w:hAnsi="Arial" w:cs="Arial"/>
        </w:rPr>
        <w:tab/>
        <w:t>Gasparrini, A.</w:t>
      </w:r>
      <w:r w:rsidRPr="001831EE">
        <w:rPr>
          <w:rFonts w:ascii="Arial" w:hAnsi="Arial" w:cs="Arial"/>
          <w:i/>
        </w:rPr>
        <w:t>, et al.</w:t>
      </w:r>
      <w:r w:rsidRPr="001831EE">
        <w:rPr>
          <w:rFonts w:ascii="Arial" w:hAnsi="Arial" w:cs="Arial"/>
        </w:rPr>
        <w:t xml:space="preserve"> Mortality risk attributable to high and low ambient temperature: a multicountry observational study. </w:t>
      </w:r>
      <w:r w:rsidRPr="001831EE">
        <w:rPr>
          <w:rFonts w:ascii="Arial" w:hAnsi="Arial" w:cs="Arial"/>
          <w:i/>
        </w:rPr>
        <w:t>Lancet</w:t>
      </w:r>
      <w:r w:rsidRPr="001831EE">
        <w:rPr>
          <w:rFonts w:ascii="Arial" w:hAnsi="Arial" w:cs="Arial"/>
        </w:rPr>
        <w:t xml:space="preserve"> </w:t>
      </w:r>
      <w:r w:rsidRPr="001831EE">
        <w:rPr>
          <w:rFonts w:ascii="Arial" w:hAnsi="Arial" w:cs="Arial"/>
          <w:b/>
        </w:rPr>
        <w:t>386</w:t>
      </w:r>
      <w:r w:rsidRPr="001831EE">
        <w:rPr>
          <w:rFonts w:ascii="Arial" w:hAnsi="Arial" w:cs="Arial"/>
        </w:rPr>
        <w:t>, 369-375 (2015).</w:t>
      </w:r>
    </w:p>
    <w:p w14:paraId="106C6A5B"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62.</w:t>
      </w:r>
      <w:r w:rsidRPr="001831EE">
        <w:rPr>
          <w:rFonts w:ascii="Arial" w:hAnsi="Arial" w:cs="Arial"/>
        </w:rPr>
        <w:tab/>
        <w:t>Song, X.</w:t>
      </w:r>
      <w:r w:rsidRPr="001831EE">
        <w:rPr>
          <w:rFonts w:ascii="Arial" w:hAnsi="Arial" w:cs="Arial"/>
          <w:i/>
        </w:rPr>
        <w:t>, et al.</w:t>
      </w:r>
      <w:r w:rsidRPr="001831EE">
        <w:rPr>
          <w:rFonts w:ascii="Arial" w:hAnsi="Arial" w:cs="Arial"/>
        </w:rPr>
        <w:t xml:space="preserve"> Impact of ambient temperature on morbidity and mortality: An overview of reviews. </w:t>
      </w:r>
      <w:r w:rsidRPr="001831EE">
        <w:rPr>
          <w:rFonts w:ascii="Arial" w:hAnsi="Arial" w:cs="Arial"/>
          <w:i/>
        </w:rPr>
        <w:t>Sci Total Environ</w:t>
      </w:r>
      <w:r w:rsidRPr="001831EE">
        <w:rPr>
          <w:rFonts w:ascii="Arial" w:hAnsi="Arial" w:cs="Arial"/>
        </w:rPr>
        <w:t xml:space="preserve"> </w:t>
      </w:r>
      <w:r w:rsidRPr="001831EE">
        <w:rPr>
          <w:rFonts w:ascii="Arial" w:hAnsi="Arial" w:cs="Arial"/>
          <w:b/>
        </w:rPr>
        <w:t>586</w:t>
      </w:r>
      <w:r w:rsidRPr="001831EE">
        <w:rPr>
          <w:rFonts w:ascii="Arial" w:hAnsi="Arial" w:cs="Arial"/>
        </w:rPr>
        <w:t>, 241-254 (2017).</w:t>
      </w:r>
    </w:p>
    <w:p w14:paraId="2A38EFC4"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63.</w:t>
      </w:r>
      <w:r w:rsidRPr="001831EE">
        <w:rPr>
          <w:rFonts w:ascii="Arial" w:hAnsi="Arial" w:cs="Arial"/>
        </w:rPr>
        <w:tab/>
        <w:t xml:space="preserve">Bennett, J.E., Blangiardo, M., Fecht, D., Elliott, P. &amp; Ezzati, M. Vulnerability to the mortality effects of warm temperature in the districts of England and Wales. </w:t>
      </w:r>
      <w:r w:rsidRPr="001831EE">
        <w:rPr>
          <w:rFonts w:ascii="Arial" w:hAnsi="Arial" w:cs="Arial"/>
          <w:i/>
        </w:rPr>
        <w:t>Nature Clim. Change</w:t>
      </w:r>
      <w:r w:rsidRPr="001831EE">
        <w:rPr>
          <w:rFonts w:ascii="Arial" w:hAnsi="Arial" w:cs="Arial"/>
        </w:rPr>
        <w:t xml:space="preserve"> </w:t>
      </w:r>
      <w:r w:rsidRPr="001831EE">
        <w:rPr>
          <w:rFonts w:ascii="Arial" w:hAnsi="Arial" w:cs="Arial"/>
          <w:b/>
        </w:rPr>
        <w:t>4</w:t>
      </w:r>
      <w:r w:rsidRPr="001831EE">
        <w:rPr>
          <w:rFonts w:ascii="Arial" w:hAnsi="Arial" w:cs="Arial"/>
        </w:rPr>
        <w:t>, 269-273 (2014).</w:t>
      </w:r>
    </w:p>
    <w:p w14:paraId="6552E959"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64.</w:t>
      </w:r>
      <w:r w:rsidRPr="001831EE">
        <w:rPr>
          <w:rFonts w:ascii="Arial" w:hAnsi="Arial" w:cs="Arial"/>
        </w:rPr>
        <w:tab/>
        <w:t>Parks, R.M.</w:t>
      </w:r>
      <w:r w:rsidRPr="001831EE">
        <w:rPr>
          <w:rFonts w:ascii="Arial" w:hAnsi="Arial" w:cs="Arial"/>
          <w:i/>
        </w:rPr>
        <w:t>, et al.</w:t>
      </w:r>
      <w:r w:rsidRPr="001831EE">
        <w:rPr>
          <w:rFonts w:ascii="Arial" w:hAnsi="Arial" w:cs="Arial"/>
        </w:rPr>
        <w:t xml:space="preserve"> Anomalously warm temperatures are associated with increased injury deaths. </w:t>
      </w:r>
      <w:r w:rsidRPr="001831EE">
        <w:rPr>
          <w:rFonts w:ascii="Arial" w:hAnsi="Arial" w:cs="Arial"/>
          <w:i/>
        </w:rPr>
        <w:t>Nat Med</w:t>
      </w:r>
      <w:r w:rsidRPr="001831EE">
        <w:rPr>
          <w:rFonts w:ascii="Arial" w:hAnsi="Arial" w:cs="Arial"/>
        </w:rPr>
        <w:t xml:space="preserve"> </w:t>
      </w:r>
      <w:r w:rsidRPr="001831EE">
        <w:rPr>
          <w:rFonts w:ascii="Arial" w:hAnsi="Arial" w:cs="Arial"/>
          <w:b/>
        </w:rPr>
        <w:t>26</w:t>
      </w:r>
      <w:r w:rsidRPr="001831EE">
        <w:rPr>
          <w:rFonts w:ascii="Arial" w:hAnsi="Arial" w:cs="Arial"/>
        </w:rPr>
        <w:t>, 65-70 (2020).</w:t>
      </w:r>
    </w:p>
    <w:p w14:paraId="38CEEF8C"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65.</w:t>
      </w:r>
      <w:r w:rsidRPr="001831EE">
        <w:rPr>
          <w:rFonts w:ascii="Arial" w:hAnsi="Arial" w:cs="Arial"/>
        </w:rPr>
        <w:tab/>
        <w:t xml:space="preserve">Holbek, S.S. &amp; Rue, H. Penalised Complexity Priors for Stationary Autoregressive Processes. </w:t>
      </w:r>
      <w:r w:rsidRPr="001831EE">
        <w:rPr>
          <w:rFonts w:ascii="Arial" w:hAnsi="Arial" w:cs="Arial"/>
          <w:i/>
        </w:rPr>
        <w:t>Journal of Time Series Analysis</w:t>
      </w:r>
      <w:r w:rsidRPr="001831EE">
        <w:rPr>
          <w:rFonts w:ascii="Arial" w:hAnsi="Arial" w:cs="Arial"/>
        </w:rPr>
        <w:t xml:space="preserve"> </w:t>
      </w:r>
      <w:r w:rsidRPr="001831EE">
        <w:rPr>
          <w:rFonts w:ascii="Arial" w:hAnsi="Arial" w:cs="Arial"/>
          <w:b/>
        </w:rPr>
        <w:t>38</w:t>
      </w:r>
      <w:r w:rsidRPr="001831EE">
        <w:rPr>
          <w:rFonts w:ascii="Arial" w:hAnsi="Arial" w:cs="Arial"/>
        </w:rPr>
        <w:t>, 923-935 (2017).</w:t>
      </w:r>
    </w:p>
    <w:p w14:paraId="75C89D21"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66.</w:t>
      </w:r>
      <w:r w:rsidRPr="001831EE">
        <w:rPr>
          <w:rFonts w:ascii="Arial" w:hAnsi="Arial" w:cs="Arial"/>
        </w:rPr>
        <w:tab/>
        <w:t xml:space="preserve">Rue, H., Martino, S. &amp; Chopin, N. Approximate Bayesian inference for latent Gaussian models using integrated nested Laplace approximations (with discussion). </w:t>
      </w:r>
      <w:r w:rsidRPr="001831EE">
        <w:rPr>
          <w:rFonts w:ascii="Arial" w:hAnsi="Arial" w:cs="Arial"/>
          <w:i/>
        </w:rPr>
        <w:t>Journal of the Royal Statistical Society, Series B</w:t>
      </w:r>
      <w:r w:rsidRPr="001831EE">
        <w:rPr>
          <w:rFonts w:ascii="Arial" w:hAnsi="Arial" w:cs="Arial"/>
        </w:rPr>
        <w:t xml:space="preserve"> </w:t>
      </w:r>
      <w:r w:rsidRPr="001831EE">
        <w:rPr>
          <w:rFonts w:ascii="Arial" w:hAnsi="Arial" w:cs="Arial"/>
          <w:b/>
        </w:rPr>
        <w:t>71</w:t>
      </w:r>
      <w:r w:rsidRPr="001831EE">
        <w:rPr>
          <w:rFonts w:ascii="Arial" w:hAnsi="Arial" w:cs="Arial"/>
        </w:rPr>
        <w:t>, 319-392 (2009).</w:t>
      </w:r>
    </w:p>
    <w:p w14:paraId="2C4101F0"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67.</w:t>
      </w:r>
      <w:r w:rsidRPr="001831EE">
        <w:rPr>
          <w:rFonts w:ascii="Arial" w:hAnsi="Arial" w:cs="Arial"/>
        </w:rPr>
        <w:tab/>
        <w:t xml:space="preserve">Timmermann, A. Forecast combinations. in </w:t>
      </w:r>
      <w:r w:rsidRPr="001831EE">
        <w:rPr>
          <w:rFonts w:ascii="Arial" w:hAnsi="Arial" w:cs="Arial"/>
          <w:i/>
        </w:rPr>
        <w:t>Handbook of Economic Forecasting, Volume 1</w:t>
      </w:r>
      <w:r w:rsidRPr="001831EE">
        <w:rPr>
          <w:rFonts w:ascii="Arial" w:hAnsi="Arial" w:cs="Arial"/>
        </w:rPr>
        <w:t xml:space="preserve"> (eds. Elliott, G., Granger, C. &amp; Timmermann, A.) 135-196 (2006).</w:t>
      </w:r>
    </w:p>
    <w:p w14:paraId="54F40CE8" w14:textId="77777777" w:rsidR="00474D86" w:rsidRPr="001831EE" w:rsidRDefault="00474D86" w:rsidP="001831EE">
      <w:pPr>
        <w:pStyle w:val="EndNoteBibliography"/>
        <w:spacing w:after="0"/>
        <w:ind w:left="720" w:hanging="720"/>
        <w:jc w:val="both"/>
        <w:rPr>
          <w:rFonts w:ascii="Arial" w:hAnsi="Arial" w:cs="Arial"/>
        </w:rPr>
      </w:pPr>
      <w:r w:rsidRPr="001831EE">
        <w:rPr>
          <w:rFonts w:ascii="Arial" w:hAnsi="Arial" w:cs="Arial"/>
        </w:rPr>
        <w:t>68.</w:t>
      </w:r>
      <w:r w:rsidRPr="001831EE">
        <w:rPr>
          <w:rFonts w:ascii="Arial" w:hAnsi="Arial" w:cs="Arial"/>
        </w:rPr>
        <w:tab/>
        <w:t xml:space="preserve">Graefe, A., Küchenhoff, H., Stierle, V. &amp; Riedl, B. Limitations of Ensemble Bayesian Model Averaging for forecasting social science problems. </w:t>
      </w:r>
      <w:r w:rsidRPr="001831EE">
        <w:rPr>
          <w:rFonts w:ascii="Arial" w:hAnsi="Arial" w:cs="Arial"/>
          <w:i/>
        </w:rPr>
        <w:t>International Journal of Forecasting</w:t>
      </w:r>
      <w:r w:rsidRPr="001831EE">
        <w:rPr>
          <w:rFonts w:ascii="Arial" w:hAnsi="Arial" w:cs="Arial"/>
        </w:rPr>
        <w:t xml:space="preserve"> </w:t>
      </w:r>
      <w:r w:rsidRPr="001831EE">
        <w:rPr>
          <w:rFonts w:ascii="Arial" w:hAnsi="Arial" w:cs="Arial"/>
          <w:b/>
        </w:rPr>
        <w:t>31</w:t>
      </w:r>
      <w:r w:rsidRPr="001831EE">
        <w:rPr>
          <w:rFonts w:ascii="Arial" w:hAnsi="Arial" w:cs="Arial"/>
        </w:rPr>
        <w:t>, 943–951 (2015).</w:t>
      </w:r>
    </w:p>
    <w:p w14:paraId="31A00D61" w14:textId="77777777" w:rsidR="00474D86" w:rsidRPr="001831EE" w:rsidRDefault="00474D86" w:rsidP="001831EE">
      <w:pPr>
        <w:pStyle w:val="EndNoteBibliography"/>
        <w:ind w:left="720" w:hanging="720"/>
        <w:jc w:val="both"/>
        <w:rPr>
          <w:rFonts w:ascii="Arial" w:hAnsi="Arial" w:cs="Arial"/>
        </w:rPr>
      </w:pPr>
      <w:r w:rsidRPr="001831EE">
        <w:rPr>
          <w:rFonts w:ascii="Arial" w:hAnsi="Arial" w:cs="Arial"/>
        </w:rPr>
        <w:t>69.</w:t>
      </w:r>
      <w:r w:rsidRPr="001831EE">
        <w:rPr>
          <w:rFonts w:ascii="Arial" w:hAnsi="Arial" w:cs="Arial"/>
        </w:rPr>
        <w:tab/>
        <w:t xml:space="preserve">Office for National Statistics. </w:t>
      </w:r>
      <w:r w:rsidRPr="001831EE">
        <w:rPr>
          <w:rFonts w:ascii="Arial" w:hAnsi="Arial" w:cs="Arial"/>
          <w:i/>
        </w:rPr>
        <w:t xml:space="preserve">Comparisons of all-cause mortality between European countries and regions: January to June 2020 </w:t>
      </w:r>
      <w:r w:rsidRPr="001831EE">
        <w:rPr>
          <w:rFonts w:ascii="Arial" w:hAnsi="Arial" w:cs="Arial"/>
        </w:rPr>
        <w:t>(2020).</w:t>
      </w:r>
    </w:p>
    <w:p w14:paraId="642E07B2" w14:textId="77777777" w:rsidR="00474D86" w:rsidRPr="001831EE" w:rsidRDefault="00474D86" w:rsidP="001831EE">
      <w:pPr>
        <w:spacing w:line="480" w:lineRule="auto"/>
        <w:jc w:val="both"/>
        <w:rPr>
          <w:rFonts w:ascii="Arial" w:hAnsi="Arial" w:cs="Arial"/>
          <w:b/>
          <w:sz w:val="22"/>
          <w:szCs w:val="22"/>
        </w:rPr>
      </w:pPr>
    </w:p>
    <w:p w14:paraId="54EA201D" w14:textId="77777777" w:rsidR="00CE604E" w:rsidRDefault="00CE604E"/>
    <w:sectPr w:rsidR="00CE604E" w:rsidSect="00A477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D5CF77" w14:textId="77777777" w:rsidR="00072AEA" w:rsidRDefault="00072AEA">
      <w:r>
        <w:separator/>
      </w:r>
    </w:p>
  </w:endnote>
  <w:endnote w:type="continuationSeparator" w:id="0">
    <w:p w14:paraId="10A5156C" w14:textId="77777777" w:rsidR="00072AEA" w:rsidRDefault="00072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nion Pro">
    <w:panose1 w:val="00000000000000000000"/>
    <w:charset w:val="00"/>
    <w:family w:val="roman"/>
    <w:notTrueType/>
    <w:pitch w:val="variable"/>
    <w:sig w:usb0="60000287" w:usb1="00000001" w:usb2="00000000" w:usb3="00000000" w:csb0="0000019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ScalaLancetPro">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haker 2 Lancet">
    <w:altName w:val="Shaker 2 Lance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06B72" w14:textId="77777777" w:rsidR="004C1529" w:rsidRDefault="00474D86" w:rsidP="00913C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56CBB5" w14:textId="77777777" w:rsidR="004C1529" w:rsidRDefault="00072AEA" w:rsidP="00913C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76AA1" w14:textId="77777777" w:rsidR="004C1529" w:rsidRDefault="00474D86" w:rsidP="00913C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7263F9" w14:textId="77777777" w:rsidR="004C1529" w:rsidRDefault="00072AEA" w:rsidP="00913C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37CE4C" w14:textId="77777777" w:rsidR="00072AEA" w:rsidRDefault="00072AEA">
      <w:r>
        <w:separator/>
      </w:r>
    </w:p>
  </w:footnote>
  <w:footnote w:type="continuationSeparator" w:id="0">
    <w:p w14:paraId="0243B51E" w14:textId="77777777" w:rsidR="00072AEA" w:rsidRDefault="00072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F91F9" w14:textId="77777777" w:rsidR="004C1529" w:rsidRDefault="00474D86" w:rsidP="00913C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9FDC8B" w14:textId="77777777" w:rsidR="004C1529" w:rsidRDefault="00072AEA" w:rsidP="00913C0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CA7E4" w14:textId="77777777" w:rsidR="004C1529" w:rsidRDefault="00072AEA" w:rsidP="00913C0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F3064"/>
    <w:multiLevelType w:val="hybridMultilevel"/>
    <w:tmpl w:val="5D44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E36D6"/>
    <w:multiLevelType w:val="hybridMultilevel"/>
    <w:tmpl w:val="D58AADC4"/>
    <w:lvl w:ilvl="0" w:tplc="EB26D6E8">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41213"/>
    <w:multiLevelType w:val="hybridMultilevel"/>
    <w:tmpl w:val="38AA2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C0FAF"/>
    <w:multiLevelType w:val="hybridMultilevel"/>
    <w:tmpl w:val="A55090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C8402A"/>
    <w:multiLevelType w:val="hybridMultilevel"/>
    <w:tmpl w:val="825ED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6714E"/>
    <w:multiLevelType w:val="multilevel"/>
    <w:tmpl w:val="FE4086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F232B4"/>
    <w:multiLevelType w:val="hybridMultilevel"/>
    <w:tmpl w:val="4A3C69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3D1E7F"/>
    <w:multiLevelType w:val="hybridMultilevel"/>
    <w:tmpl w:val="10225F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8B0DCA"/>
    <w:multiLevelType w:val="hybridMultilevel"/>
    <w:tmpl w:val="4B9AC932"/>
    <w:lvl w:ilvl="0" w:tplc="362EF108">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D618E"/>
    <w:multiLevelType w:val="hybridMultilevel"/>
    <w:tmpl w:val="7E749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5A76AB"/>
    <w:multiLevelType w:val="hybridMultilevel"/>
    <w:tmpl w:val="B7CA53D0"/>
    <w:lvl w:ilvl="0" w:tplc="D318D34A">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60547C"/>
    <w:multiLevelType w:val="hybridMultilevel"/>
    <w:tmpl w:val="501CAC4E"/>
    <w:lvl w:ilvl="0" w:tplc="444CAB2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E45A48"/>
    <w:multiLevelType w:val="hybridMultilevel"/>
    <w:tmpl w:val="381AB7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1B0FF6"/>
    <w:multiLevelType w:val="hybridMultilevel"/>
    <w:tmpl w:val="F29AA874"/>
    <w:lvl w:ilvl="0" w:tplc="4BD69FD0">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2C099D"/>
    <w:multiLevelType w:val="hybridMultilevel"/>
    <w:tmpl w:val="67605A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125E1A"/>
    <w:multiLevelType w:val="hybridMultilevel"/>
    <w:tmpl w:val="B002F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4B54F4"/>
    <w:multiLevelType w:val="hybridMultilevel"/>
    <w:tmpl w:val="A02C21B6"/>
    <w:lvl w:ilvl="0" w:tplc="F43ADF48">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B02AFF"/>
    <w:multiLevelType w:val="hybridMultilevel"/>
    <w:tmpl w:val="08CCE5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FF29A8"/>
    <w:multiLevelType w:val="hybridMultilevel"/>
    <w:tmpl w:val="F3EE73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A56815"/>
    <w:multiLevelType w:val="multilevel"/>
    <w:tmpl w:val="8F8E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004ABE"/>
    <w:multiLevelType w:val="hybridMultilevel"/>
    <w:tmpl w:val="A8880018"/>
    <w:lvl w:ilvl="0" w:tplc="2702BA40">
      <w:start w:val="1"/>
      <w:numFmt w:val="decimal"/>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DB4AA8"/>
    <w:multiLevelType w:val="hybridMultilevel"/>
    <w:tmpl w:val="013483CC"/>
    <w:lvl w:ilvl="0" w:tplc="B4DE4D76">
      <w:start w:val="1"/>
      <w:numFmt w:val="decimal"/>
      <w:lvlText w:val="%1."/>
      <w:lvlJc w:val="left"/>
      <w:pPr>
        <w:tabs>
          <w:tab w:val="num" w:pos="0"/>
        </w:tabs>
        <w:ind w:left="360" w:hanging="360"/>
      </w:pPr>
      <w:rPr>
        <w:rFonts w:hint="default"/>
        <w:b w:val="0"/>
        <w:i w:val="0"/>
      </w:rPr>
    </w:lvl>
    <w:lvl w:ilvl="1" w:tplc="0826E252">
      <w:start w:val="1"/>
      <w:numFmt w:val="decimal"/>
      <w:lvlText w:val="%2."/>
      <w:lvlJc w:val="left"/>
      <w:pPr>
        <w:tabs>
          <w:tab w:val="num" w:pos="0"/>
        </w:tabs>
        <w:ind w:left="36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CB698E"/>
    <w:multiLevelType w:val="hybridMultilevel"/>
    <w:tmpl w:val="5F6069CA"/>
    <w:lvl w:ilvl="0" w:tplc="E3FE3054">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8A03B4"/>
    <w:multiLevelType w:val="hybridMultilevel"/>
    <w:tmpl w:val="915CDA3C"/>
    <w:lvl w:ilvl="0" w:tplc="493CFCD8">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E50B77"/>
    <w:multiLevelType w:val="hybridMultilevel"/>
    <w:tmpl w:val="252C4B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2804DAB"/>
    <w:multiLevelType w:val="hybridMultilevel"/>
    <w:tmpl w:val="CEAAE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4B30B2"/>
    <w:multiLevelType w:val="hybridMultilevel"/>
    <w:tmpl w:val="C56C5F2C"/>
    <w:lvl w:ilvl="0" w:tplc="F0D47AC8">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AF0B01"/>
    <w:multiLevelType w:val="hybridMultilevel"/>
    <w:tmpl w:val="A9FE18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1D6E8F"/>
    <w:multiLevelType w:val="hybridMultilevel"/>
    <w:tmpl w:val="42ECD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BD2009"/>
    <w:multiLevelType w:val="hybridMultilevel"/>
    <w:tmpl w:val="B420DB48"/>
    <w:lvl w:ilvl="0" w:tplc="D1CAC8BE">
      <w:start w:val="20"/>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2117C2"/>
    <w:multiLevelType w:val="hybridMultilevel"/>
    <w:tmpl w:val="618CAE36"/>
    <w:lvl w:ilvl="0" w:tplc="70BC478A">
      <w:start w:val="1"/>
      <w:numFmt w:val="bullet"/>
      <w:lvlText w:val=""/>
      <w:lvlJc w:val="left"/>
      <w:pPr>
        <w:ind w:left="360" w:hanging="30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987EDA"/>
    <w:multiLevelType w:val="hybridMultilevel"/>
    <w:tmpl w:val="7BE0B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7D598A"/>
    <w:multiLevelType w:val="hybridMultilevel"/>
    <w:tmpl w:val="BBC29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B051DB"/>
    <w:multiLevelType w:val="hybridMultilevel"/>
    <w:tmpl w:val="E80A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27157A"/>
    <w:multiLevelType w:val="hybridMultilevel"/>
    <w:tmpl w:val="59903F1E"/>
    <w:lvl w:ilvl="0" w:tplc="949CBD2C">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AE14D1"/>
    <w:multiLevelType w:val="hybridMultilevel"/>
    <w:tmpl w:val="81761F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21"/>
  </w:num>
  <w:num w:numId="3">
    <w:abstractNumId w:val="27"/>
  </w:num>
  <w:num w:numId="4">
    <w:abstractNumId w:val="33"/>
  </w:num>
  <w:num w:numId="5">
    <w:abstractNumId w:val="34"/>
  </w:num>
  <w:num w:numId="6">
    <w:abstractNumId w:val="13"/>
  </w:num>
  <w:num w:numId="7">
    <w:abstractNumId w:val="16"/>
  </w:num>
  <w:num w:numId="8">
    <w:abstractNumId w:val="3"/>
  </w:num>
  <w:num w:numId="9">
    <w:abstractNumId w:val="24"/>
  </w:num>
  <w:num w:numId="10">
    <w:abstractNumId w:val="2"/>
  </w:num>
  <w:num w:numId="11">
    <w:abstractNumId w:val="26"/>
  </w:num>
  <w:num w:numId="12">
    <w:abstractNumId w:val="10"/>
  </w:num>
  <w:num w:numId="13">
    <w:abstractNumId w:val="0"/>
  </w:num>
  <w:num w:numId="14">
    <w:abstractNumId w:val="8"/>
  </w:num>
  <w:num w:numId="15">
    <w:abstractNumId w:val="19"/>
  </w:num>
  <w:num w:numId="16">
    <w:abstractNumId w:val="5"/>
  </w:num>
  <w:num w:numId="17">
    <w:abstractNumId w:val="29"/>
  </w:num>
  <w:num w:numId="18">
    <w:abstractNumId w:val="9"/>
  </w:num>
  <w:num w:numId="19">
    <w:abstractNumId w:val="32"/>
  </w:num>
  <w:num w:numId="20">
    <w:abstractNumId w:val="35"/>
  </w:num>
  <w:num w:numId="21">
    <w:abstractNumId w:val="18"/>
  </w:num>
  <w:num w:numId="22">
    <w:abstractNumId w:val="7"/>
  </w:num>
  <w:num w:numId="23">
    <w:abstractNumId w:val="25"/>
  </w:num>
  <w:num w:numId="24">
    <w:abstractNumId w:val="1"/>
  </w:num>
  <w:num w:numId="25">
    <w:abstractNumId w:val="11"/>
  </w:num>
  <w:num w:numId="26">
    <w:abstractNumId w:val="12"/>
  </w:num>
  <w:num w:numId="27">
    <w:abstractNumId w:val="4"/>
  </w:num>
  <w:num w:numId="28">
    <w:abstractNumId w:val="30"/>
  </w:num>
  <w:num w:numId="29">
    <w:abstractNumId w:val="15"/>
  </w:num>
  <w:num w:numId="30">
    <w:abstractNumId w:val="22"/>
  </w:num>
  <w:num w:numId="31">
    <w:abstractNumId w:val="28"/>
  </w:num>
  <w:num w:numId="32">
    <w:abstractNumId w:val="23"/>
  </w:num>
  <w:num w:numId="33">
    <w:abstractNumId w:val="6"/>
  </w:num>
  <w:num w:numId="34">
    <w:abstractNumId w:val="17"/>
  </w:num>
  <w:num w:numId="35">
    <w:abstractNumId w:val="20"/>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74D86"/>
    <w:rsid w:val="00072AEA"/>
    <w:rsid w:val="002F4D63"/>
    <w:rsid w:val="00474D86"/>
    <w:rsid w:val="00CE6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C0684"/>
  <w15:chartTrackingRefBased/>
  <w15:docId w15:val="{5B51B159-542B-4073-AEAB-C885A412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D86"/>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474D86"/>
    <w:pPr>
      <w:spacing w:before="100" w:beforeAutospacing="1" w:after="100" w:afterAutospacing="1"/>
      <w:outlineLvl w:val="0"/>
    </w:pPr>
    <w:rPr>
      <w:b/>
      <w:bCs/>
      <w:kern w:val="36"/>
      <w:sz w:val="48"/>
      <w:szCs w:val="48"/>
      <w:lang w:val="en-US" w:eastAsia="en-US"/>
    </w:rPr>
  </w:style>
  <w:style w:type="paragraph" w:styleId="Heading2">
    <w:name w:val="heading 2"/>
    <w:basedOn w:val="Normal"/>
    <w:next w:val="Normal"/>
    <w:link w:val="Heading2Char"/>
    <w:uiPriority w:val="9"/>
    <w:unhideWhenUsed/>
    <w:qFormat/>
    <w:rsid w:val="00474D86"/>
    <w:pPr>
      <w:keepNext/>
      <w:keepLines/>
      <w:spacing w:before="200" w:line="276" w:lineRule="auto"/>
      <w:outlineLvl w:val="1"/>
    </w:pPr>
    <w:rPr>
      <w:rFonts w:asciiTheme="majorHAnsi" w:eastAsiaTheme="majorEastAsia" w:hAnsiTheme="majorHAnsi" w:cstheme="majorBidi"/>
      <w:b/>
      <w:bCs/>
      <w:color w:val="4472C4"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D86"/>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474D86"/>
    <w:rPr>
      <w:rFonts w:asciiTheme="majorHAnsi" w:eastAsiaTheme="majorEastAsia" w:hAnsiTheme="majorHAnsi" w:cstheme="majorBidi"/>
      <w:b/>
      <w:bCs/>
      <w:color w:val="4472C4" w:themeColor="accent1"/>
      <w:sz w:val="26"/>
      <w:szCs w:val="26"/>
    </w:rPr>
  </w:style>
  <w:style w:type="character" w:styleId="CommentReference">
    <w:name w:val="annotation reference"/>
    <w:basedOn w:val="DefaultParagraphFont"/>
    <w:uiPriority w:val="99"/>
    <w:semiHidden/>
    <w:unhideWhenUsed/>
    <w:rsid w:val="00474D86"/>
    <w:rPr>
      <w:sz w:val="16"/>
      <w:szCs w:val="16"/>
    </w:rPr>
  </w:style>
  <w:style w:type="paragraph" w:styleId="CommentText">
    <w:name w:val="annotation text"/>
    <w:basedOn w:val="Normal"/>
    <w:link w:val="CommentTextChar"/>
    <w:uiPriority w:val="99"/>
    <w:unhideWhenUsed/>
    <w:rsid w:val="00474D86"/>
    <w:pPr>
      <w:spacing w:after="20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474D86"/>
    <w:rPr>
      <w:sz w:val="20"/>
      <w:szCs w:val="20"/>
    </w:rPr>
  </w:style>
  <w:style w:type="paragraph" w:styleId="CommentSubject">
    <w:name w:val="annotation subject"/>
    <w:basedOn w:val="CommentText"/>
    <w:next w:val="CommentText"/>
    <w:link w:val="CommentSubjectChar"/>
    <w:uiPriority w:val="99"/>
    <w:semiHidden/>
    <w:unhideWhenUsed/>
    <w:rsid w:val="00474D86"/>
    <w:rPr>
      <w:b/>
      <w:bCs/>
    </w:rPr>
  </w:style>
  <w:style w:type="character" w:customStyle="1" w:styleId="CommentSubjectChar">
    <w:name w:val="Comment Subject Char"/>
    <w:basedOn w:val="CommentTextChar"/>
    <w:link w:val="CommentSubject"/>
    <w:uiPriority w:val="99"/>
    <w:semiHidden/>
    <w:rsid w:val="00474D86"/>
    <w:rPr>
      <w:b/>
      <w:bCs/>
      <w:sz w:val="20"/>
      <w:szCs w:val="20"/>
    </w:rPr>
  </w:style>
  <w:style w:type="paragraph" w:styleId="BalloonText">
    <w:name w:val="Balloon Text"/>
    <w:basedOn w:val="Normal"/>
    <w:link w:val="BalloonTextChar"/>
    <w:uiPriority w:val="99"/>
    <w:semiHidden/>
    <w:unhideWhenUsed/>
    <w:rsid w:val="00474D86"/>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474D86"/>
    <w:rPr>
      <w:rFonts w:ascii="Segoe UI" w:hAnsi="Segoe UI" w:cs="Segoe UI"/>
      <w:sz w:val="18"/>
      <w:szCs w:val="18"/>
    </w:rPr>
  </w:style>
  <w:style w:type="paragraph" w:styleId="ListParagraph">
    <w:name w:val="List Paragraph"/>
    <w:basedOn w:val="Normal"/>
    <w:uiPriority w:val="34"/>
    <w:qFormat/>
    <w:rsid w:val="00474D86"/>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474D86"/>
    <w:rPr>
      <w:color w:val="0563C1" w:themeColor="hyperlink"/>
      <w:u w:val="single"/>
    </w:rPr>
  </w:style>
  <w:style w:type="paragraph" w:customStyle="1" w:styleId="EndNoteBibliographyTitle">
    <w:name w:val="EndNote Bibliography Title"/>
    <w:basedOn w:val="Normal"/>
    <w:link w:val="EndNoteBibliographyTitleChar"/>
    <w:rsid w:val="00474D86"/>
    <w:pPr>
      <w:spacing w:line="276" w:lineRule="auto"/>
      <w:jc w:val="center"/>
    </w:pPr>
    <w:rPr>
      <w:rFonts w:ascii="Calibri" w:eastAsiaTheme="minorHAnsi" w:hAnsi="Calibri" w:cs="Calibri"/>
      <w:noProof/>
      <w:sz w:val="22"/>
      <w:szCs w:val="22"/>
      <w:lang w:val="en-US" w:eastAsia="en-US"/>
    </w:rPr>
  </w:style>
  <w:style w:type="character" w:customStyle="1" w:styleId="EndNoteBibliographyTitleChar">
    <w:name w:val="EndNote Bibliography Title Char"/>
    <w:basedOn w:val="DefaultParagraphFont"/>
    <w:link w:val="EndNoteBibliographyTitle"/>
    <w:rsid w:val="00474D86"/>
    <w:rPr>
      <w:rFonts w:ascii="Calibri" w:hAnsi="Calibri" w:cs="Calibri"/>
      <w:noProof/>
      <w:lang w:val="en-US"/>
    </w:rPr>
  </w:style>
  <w:style w:type="paragraph" w:customStyle="1" w:styleId="EndNoteBibliography">
    <w:name w:val="EndNote Bibliography"/>
    <w:basedOn w:val="Normal"/>
    <w:link w:val="EndNoteBibliographyChar"/>
    <w:rsid w:val="00474D86"/>
    <w:pPr>
      <w:spacing w:after="200"/>
    </w:pPr>
    <w:rPr>
      <w:rFonts w:ascii="Calibri" w:eastAsiaTheme="minorHAnsi" w:hAnsi="Calibri" w:cs="Calibri"/>
      <w:noProof/>
      <w:sz w:val="22"/>
      <w:szCs w:val="22"/>
      <w:lang w:val="en-US" w:eastAsia="en-US"/>
    </w:rPr>
  </w:style>
  <w:style w:type="character" w:customStyle="1" w:styleId="EndNoteBibliographyChar">
    <w:name w:val="EndNote Bibliography Char"/>
    <w:basedOn w:val="DefaultParagraphFont"/>
    <w:link w:val="EndNoteBibliography"/>
    <w:rsid w:val="00474D86"/>
    <w:rPr>
      <w:rFonts w:ascii="Calibri" w:hAnsi="Calibri" w:cs="Calibri"/>
      <w:noProof/>
      <w:lang w:val="en-US"/>
    </w:rPr>
  </w:style>
  <w:style w:type="paragraph" w:customStyle="1" w:styleId="Default">
    <w:name w:val="Default"/>
    <w:rsid w:val="00474D86"/>
    <w:pPr>
      <w:autoSpaceDE w:val="0"/>
      <w:autoSpaceDN w:val="0"/>
      <w:adjustRightInd w:val="0"/>
    </w:pPr>
    <w:rPr>
      <w:rFonts w:ascii="Times New Roman" w:eastAsia="SimSun" w:hAnsi="Times New Roman" w:cs="Times New Roman"/>
      <w:color w:val="000000"/>
      <w:sz w:val="24"/>
      <w:szCs w:val="24"/>
    </w:rPr>
  </w:style>
  <w:style w:type="paragraph" w:styleId="Header">
    <w:name w:val="header"/>
    <w:basedOn w:val="Normal"/>
    <w:link w:val="HeaderChar"/>
    <w:uiPriority w:val="99"/>
    <w:unhideWhenUsed/>
    <w:rsid w:val="00474D86"/>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474D86"/>
  </w:style>
  <w:style w:type="paragraph" w:styleId="Footer">
    <w:name w:val="footer"/>
    <w:basedOn w:val="Normal"/>
    <w:link w:val="FooterChar"/>
    <w:uiPriority w:val="99"/>
    <w:unhideWhenUsed/>
    <w:rsid w:val="00474D86"/>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474D86"/>
  </w:style>
  <w:style w:type="character" w:customStyle="1" w:styleId="A12">
    <w:name w:val="A12"/>
    <w:uiPriority w:val="99"/>
    <w:rsid w:val="00474D86"/>
    <w:rPr>
      <w:rFonts w:cs="Minion Pro"/>
      <w:color w:val="211D1E"/>
      <w:sz w:val="11"/>
      <w:szCs w:val="11"/>
    </w:rPr>
  </w:style>
  <w:style w:type="paragraph" w:customStyle="1" w:styleId="Pa23">
    <w:name w:val="Pa23"/>
    <w:basedOn w:val="Default"/>
    <w:next w:val="Default"/>
    <w:uiPriority w:val="99"/>
    <w:rsid w:val="00474D86"/>
    <w:pPr>
      <w:spacing w:line="140" w:lineRule="atLeast"/>
    </w:pPr>
    <w:rPr>
      <w:rFonts w:ascii="ITC Franklin Gothic Std Book" w:hAnsi="ITC Franklin Gothic Std Book" w:cstheme="minorBidi"/>
      <w:color w:val="auto"/>
    </w:rPr>
  </w:style>
  <w:style w:type="character" w:styleId="FollowedHyperlink">
    <w:name w:val="FollowedHyperlink"/>
    <w:basedOn w:val="DefaultParagraphFont"/>
    <w:uiPriority w:val="99"/>
    <w:semiHidden/>
    <w:unhideWhenUsed/>
    <w:rsid w:val="00474D86"/>
    <w:rPr>
      <w:color w:val="954F72" w:themeColor="followedHyperlink"/>
      <w:u w:val="single"/>
    </w:rPr>
  </w:style>
  <w:style w:type="character" w:customStyle="1" w:styleId="apple-converted-space">
    <w:name w:val="apple-converted-space"/>
    <w:basedOn w:val="DefaultParagraphFont"/>
    <w:rsid w:val="00474D86"/>
  </w:style>
  <w:style w:type="paragraph" w:customStyle="1" w:styleId="Pa18">
    <w:name w:val="Pa18"/>
    <w:basedOn w:val="Default"/>
    <w:next w:val="Default"/>
    <w:uiPriority w:val="99"/>
    <w:rsid w:val="00474D86"/>
    <w:pPr>
      <w:spacing w:line="141" w:lineRule="atLeast"/>
    </w:pPr>
    <w:rPr>
      <w:rFonts w:ascii="ScalaLancetPro" w:hAnsi="ScalaLancetPro" w:cstheme="minorBidi"/>
      <w:color w:val="auto"/>
    </w:rPr>
  </w:style>
  <w:style w:type="table" w:styleId="TableGrid">
    <w:name w:val="Table Grid"/>
    <w:basedOn w:val="TableNormal"/>
    <w:uiPriority w:val="59"/>
    <w:rsid w:val="00474D86"/>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4D86"/>
  </w:style>
  <w:style w:type="paragraph" w:customStyle="1" w:styleId="p1">
    <w:name w:val="p1"/>
    <w:basedOn w:val="Normal"/>
    <w:rsid w:val="00474D86"/>
    <w:rPr>
      <w:rFonts w:ascii="Helvetica" w:eastAsiaTheme="minorHAnsi" w:hAnsi="Helvetica"/>
      <w:color w:val="454545"/>
      <w:sz w:val="18"/>
      <w:szCs w:val="18"/>
      <w:lang w:val="en-US" w:eastAsia="en-US"/>
    </w:rPr>
  </w:style>
  <w:style w:type="paragraph" w:customStyle="1" w:styleId="p2">
    <w:name w:val="p2"/>
    <w:basedOn w:val="Normal"/>
    <w:rsid w:val="00474D86"/>
    <w:rPr>
      <w:rFonts w:ascii="Helvetica" w:eastAsiaTheme="minorHAnsi" w:hAnsi="Helvetica"/>
      <w:color w:val="454545"/>
      <w:sz w:val="18"/>
      <w:szCs w:val="18"/>
      <w:lang w:val="en-US" w:eastAsia="en-US"/>
    </w:rPr>
  </w:style>
  <w:style w:type="paragraph" w:customStyle="1" w:styleId="Paragraph">
    <w:name w:val="Paragraph"/>
    <w:basedOn w:val="Normal"/>
    <w:rsid w:val="00474D86"/>
    <w:pPr>
      <w:spacing w:before="120"/>
      <w:ind w:firstLine="720"/>
    </w:pPr>
    <w:rPr>
      <w:lang w:val="en-US" w:eastAsia="en-US"/>
    </w:rPr>
  </w:style>
  <w:style w:type="character" w:styleId="Emphasis">
    <w:name w:val="Emphasis"/>
    <w:basedOn w:val="DefaultParagraphFont"/>
    <w:uiPriority w:val="20"/>
    <w:qFormat/>
    <w:rsid w:val="00474D86"/>
    <w:rPr>
      <w:i/>
      <w:iCs/>
    </w:rPr>
  </w:style>
  <w:style w:type="character" w:styleId="Strong">
    <w:name w:val="Strong"/>
    <w:basedOn w:val="DefaultParagraphFont"/>
    <w:uiPriority w:val="22"/>
    <w:qFormat/>
    <w:rsid w:val="00474D86"/>
    <w:rPr>
      <w:b/>
      <w:bCs/>
    </w:rPr>
  </w:style>
  <w:style w:type="paragraph" w:styleId="Revision">
    <w:name w:val="Revision"/>
    <w:hidden/>
    <w:uiPriority w:val="99"/>
    <w:semiHidden/>
    <w:rsid w:val="00474D86"/>
    <w:rPr>
      <w:rFonts w:eastAsia="SimSun"/>
    </w:rPr>
  </w:style>
  <w:style w:type="paragraph" w:customStyle="1" w:styleId="Body">
    <w:name w:val="Body"/>
    <w:rsid w:val="00474D86"/>
    <w:pPr>
      <w:pBdr>
        <w:top w:val="nil"/>
        <w:left w:val="nil"/>
        <w:bottom w:val="nil"/>
        <w:right w:val="nil"/>
        <w:between w:val="nil"/>
        <w:bar w:val="nil"/>
      </w:pBdr>
    </w:pPr>
    <w:rPr>
      <w:rFonts w:ascii="Helvetica Neue" w:eastAsia="Arial Unicode MS" w:hAnsi="Helvetica Neue" w:cs="Arial Unicode MS"/>
      <w:color w:val="000000"/>
      <w:bdr w:val="nil"/>
      <w:lang w:val="en-US"/>
    </w:rPr>
  </w:style>
  <w:style w:type="character" w:styleId="PageNumber">
    <w:name w:val="page number"/>
    <w:basedOn w:val="DefaultParagraphFont"/>
    <w:uiPriority w:val="99"/>
    <w:semiHidden/>
    <w:unhideWhenUsed/>
    <w:rsid w:val="00474D86"/>
  </w:style>
  <w:style w:type="paragraph" w:styleId="EndnoteText">
    <w:name w:val="endnote text"/>
    <w:basedOn w:val="Normal"/>
    <w:link w:val="EndnoteTextChar"/>
    <w:uiPriority w:val="99"/>
    <w:unhideWhenUsed/>
    <w:rsid w:val="00474D86"/>
    <w:rPr>
      <w:rFonts w:asciiTheme="minorHAnsi" w:eastAsiaTheme="minorEastAsia" w:hAnsiTheme="minorHAnsi" w:cstheme="minorBidi"/>
      <w:lang w:val="en-US" w:eastAsia="en-US"/>
    </w:rPr>
  </w:style>
  <w:style w:type="character" w:customStyle="1" w:styleId="EndnoteTextChar">
    <w:name w:val="Endnote Text Char"/>
    <w:basedOn w:val="DefaultParagraphFont"/>
    <w:link w:val="EndnoteText"/>
    <w:uiPriority w:val="99"/>
    <w:rsid w:val="00474D86"/>
    <w:rPr>
      <w:rFonts w:eastAsiaTheme="minorEastAsia"/>
      <w:sz w:val="24"/>
      <w:szCs w:val="24"/>
      <w:lang w:val="en-US"/>
    </w:rPr>
  </w:style>
  <w:style w:type="character" w:styleId="EndnoteReference">
    <w:name w:val="endnote reference"/>
    <w:basedOn w:val="DefaultParagraphFont"/>
    <w:uiPriority w:val="99"/>
    <w:unhideWhenUsed/>
    <w:rsid w:val="00474D86"/>
    <w:rPr>
      <w:vertAlign w:val="superscript"/>
    </w:rPr>
  </w:style>
  <w:style w:type="character" w:customStyle="1" w:styleId="textblueboldbig">
    <w:name w:val="textblueboldbig"/>
    <w:basedOn w:val="DefaultParagraphFont"/>
    <w:rsid w:val="00474D86"/>
  </w:style>
  <w:style w:type="paragraph" w:styleId="BodyText">
    <w:name w:val="Body Text"/>
    <w:basedOn w:val="Normal"/>
    <w:link w:val="BodyTextChar"/>
    <w:uiPriority w:val="99"/>
    <w:unhideWhenUsed/>
    <w:rsid w:val="00474D86"/>
    <w:pPr>
      <w:spacing w:after="120" w:line="276" w:lineRule="auto"/>
    </w:pPr>
    <w:rPr>
      <w:rFonts w:asciiTheme="minorHAnsi" w:eastAsiaTheme="minorHAnsi" w:hAnsiTheme="minorHAnsi" w:cstheme="minorBidi"/>
      <w:sz w:val="22"/>
      <w:szCs w:val="22"/>
      <w:lang w:eastAsia="en-US"/>
    </w:rPr>
  </w:style>
  <w:style w:type="character" w:customStyle="1" w:styleId="BodyTextChar">
    <w:name w:val="Body Text Char"/>
    <w:basedOn w:val="DefaultParagraphFont"/>
    <w:link w:val="BodyText"/>
    <w:uiPriority w:val="99"/>
    <w:rsid w:val="00474D86"/>
  </w:style>
  <w:style w:type="character" w:customStyle="1" w:styleId="label">
    <w:name w:val="label"/>
    <w:basedOn w:val="DefaultParagraphFont"/>
    <w:rsid w:val="00474D86"/>
  </w:style>
  <w:style w:type="character" w:customStyle="1" w:styleId="bibref">
    <w:name w:val="bibref"/>
    <w:basedOn w:val="DefaultParagraphFont"/>
    <w:rsid w:val="00474D86"/>
  </w:style>
  <w:style w:type="paragraph" w:customStyle="1" w:styleId="Pa6">
    <w:name w:val="Pa6"/>
    <w:basedOn w:val="Default"/>
    <w:next w:val="Default"/>
    <w:uiPriority w:val="99"/>
    <w:rsid w:val="00474D86"/>
    <w:pPr>
      <w:spacing w:line="131" w:lineRule="atLeast"/>
    </w:pPr>
    <w:rPr>
      <w:rFonts w:ascii="Shaker 2 Lancet" w:hAnsi="Shaker 2 Lancet" w:cstheme="minorBidi"/>
      <w:color w:val="auto"/>
    </w:rPr>
  </w:style>
  <w:style w:type="paragraph" w:customStyle="1" w:styleId="Title1">
    <w:name w:val="Title1"/>
    <w:basedOn w:val="Normal"/>
    <w:rsid w:val="00474D86"/>
    <w:pPr>
      <w:spacing w:before="100" w:beforeAutospacing="1" w:after="100" w:afterAutospacing="1"/>
    </w:pPr>
    <w:rPr>
      <w:lang w:val="en-US" w:eastAsia="en-US"/>
    </w:rPr>
  </w:style>
  <w:style w:type="paragraph" w:customStyle="1" w:styleId="desc">
    <w:name w:val="desc"/>
    <w:basedOn w:val="Normal"/>
    <w:rsid w:val="00474D86"/>
    <w:pPr>
      <w:spacing w:before="100" w:beforeAutospacing="1" w:after="100" w:afterAutospacing="1"/>
    </w:pPr>
    <w:rPr>
      <w:lang w:val="en-US" w:eastAsia="en-US"/>
    </w:rPr>
  </w:style>
  <w:style w:type="character" w:customStyle="1" w:styleId="jrnl">
    <w:name w:val="jrnl"/>
    <w:basedOn w:val="DefaultParagraphFont"/>
    <w:rsid w:val="00474D86"/>
  </w:style>
  <w:style w:type="paragraph" w:customStyle="1" w:styleId="details">
    <w:name w:val="details"/>
    <w:basedOn w:val="Normal"/>
    <w:rsid w:val="00474D86"/>
    <w:pPr>
      <w:spacing w:before="100" w:beforeAutospacing="1" w:after="100" w:afterAutospacing="1"/>
    </w:pPr>
    <w:rPr>
      <w:lang w:val="en-US" w:eastAsia="en-US"/>
    </w:rPr>
  </w:style>
  <w:style w:type="character" w:customStyle="1" w:styleId="gmail-highlight">
    <w:name w:val="gmail-highlight"/>
    <w:basedOn w:val="DefaultParagraphFont"/>
    <w:rsid w:val="00474D86"/>
  </w:style>
  <w:style w:type="character" w:customStyle="1" w:styleId="reference">
    <w:name w:val="reference"/>
    <w:basedOn w:val="DefaultParagraphFont"/>
    <w:rsid w:val="00474D86"/>
  </w:style>
  <w:style w:type="character" w:customStyle="1" w:styleId="refauthors">
    <w:name w:val="refauthors"/>
    <w:basedOn w:val="DefaultParagraphFont"/>
    <w:rsid w:val="00474D86"/>
  </w:style>
  <w:style w:type="character" w:customStyle="1" w:styleId="reftitle">
    <w:name w:val="reftitle"/>
    <w:basedOn w:val="DefaultParagraphFont"/>
    <w:rsid w:val="00474D86"/>
  </w:style>
  <w:style w:type="character" w:customStyle="1" w:styleId="refseriestitle">
    <w:name w:val="refseriestitle"/>
    <w:basedOn w:val="DefaultParagraphFont"/>
    <w:rsid w:val="00474D86"/>
  </w:style>
  <w:style w:type="character" w:customStyle="1" w:styleId="refseriesdate">
    <w:name w:val="refseriesdate"/>
    <w:basedOn w:val="DefaultParagraphFont"/>
    <w:rsid w:val="00474D86"/>
  </w:style>
  <w:style w:type="character" w:customStyle="1" w:styleId="refseriesvolume">
    <w:name w:val="refseriesvolume"/>
    <w:basedOn w:val="DefaultParagraphFont"/>
    <w:rsid w:val="00474D86"/>
  </w:style>
  <w:style w:type="character" w:customStyle="1" w:styleId="refpages">
    <w:name w:val="refpages"/>
    <w:basedOn w:val="DefaultParagraphFont"/>
    <w:rsid w:val="00474D86"/>
  </w:style>
  <w:style w:type="character" w:customStyle="1" w:styleId="highlight">
    <w:name w:val="highlight"/>
    <w:basedOn w:val="DefaultParagraphFont"/>
    <w:rsid w:val="00474D86"/>
  </w:style>
  <w:style w:type="character" w:customStyle="1" w:styleId="cit">
    <w:name w:val="cit"/>
    <w:basedOn w:val="DefaultParagraphFont"/>
    <w:rsid w:val="00474D86"/>
  </w:style>
  <w:style w:type="character" w:customStyle="1" w:styleId="fm-vol-iss-date">
    <w:name w:val="fm-vol-iss-date"/>
    <w:basedOn w:val="DefaultParagraphFont"/>
    <w:rsid w:val="00474D86"/>
  </w:style>
  <w:style w:type="character" w:customStyle="1" w:styleId="doi">
    <w:name w:val="doi"/>
    <w:basedOn w:val="DefaultParagraphFont"/>
    <w:rsid w:val="00474D86"/>
  </w:style>
  <w:style w:type="paragraph" w:customStyle="1" w:styleId="Pa7">
    <w:name w:val="Pa7"/>
    <w:basedOn w:val="Default"/>
    <w:next w:val="Default"/>
    <w:uiPriority w:val="99"/>
    <w:rsid w:val="00474D86"/>
    <w:pPr>
      <w:spacing w:line="181" w:lineRule="atLeast"/>
    </w:pPr>
    <w:rPr>
      <w:rFonts w:ascii="ScalaLancetPro" w:hAnsi="ScalaLancetPro" w:cstheme="minorBidi"/>
      <w:color w:val="auto"/>
    </w:rPr>
  </w:style>
  <w:style w:type="character" w:customStyle="1" w:styleId="A5">
    <w:name w:val="A5"/>
    <w:uiPriority w:val="99"/>
    <w:rsid w:val="00474D86"/>
    <w:rPr>
      <w:rFonts w:cs="ScalaLancetPro"/>
      <w:color w:val="211D1E"/>
      <w:sz w:val="9"/>
      <w:szCs w:val="9"/>
    </w:rPr>
  </w:style>
  <w:style w:type="paragraph" w:customStyle="1" w:styleId="Pa19">
    <w:name w:val="Pa19"/>
    <w:basedOn w:val="Default"/>
    <w:next w:val="Default"/>
    <w:uiPriority w:val="99"/>
    <w:rsid w:val="00474D86"/>
    <w:pPr>
      <w:spacing w:line="141" w:lineRule="atLeast"/>
    </w:pPr>
    <w:rPr>
      <w:rFonts w:ascii="ScalaLancetPro" w:hAnsi="ScalaLancetPro" w:cstheme="minorBidi"/>
      <w:color w:val="auto"/>
    </w:rPr>
  </w:style>
  <w:style w:type="character" w:customStyle="1" w:styleId="UnresolvedMention1">
    <w:name w:val="Unresolved Mention1"/>
    <w:basedOn w:val="DefaultParagraphFont"/>
    <w:uiPriority w:val="99"/>
    <w:semiHidden/>
    <w:unhideWhenUsed/>
    <w:rsid w:val="00474D86"/>
    <w:rPr>
      <w:color w:val="605E5C"/>
      <w:shd w:val="clear" w:color="auto" w:fill="E1DFDD"/>
    </w:rPr>
  </w:style>
  <w:style w:type="character" w:customStyle="1" w:styleId="UnresolvedMention2">
    <w:name w:val="Unresolved Mention2"/>
    <w:basedOn w:val="DefaultParagraphFont"/>
    <w:uiPriority w:val="99"/>
    <w:semiHidden/>
    <w:unhideWhenUsed/>
    <w:rsid w:val="00474D86"/>
    <w:rPr>
      <w:color w:val="605E5C"/>
      <w:shd w:val="clear" w:color="auto" w:fill="E1DFDD"/>
    </w:rPr>
  </w:style>
  <w:style w:type="character" w:customStyle="1" w:styleId="UnresolvedMention3">
    <w:name w:val="Unresolved Mention3"/>
    <w:basedOn w:val="DefaultParagraphFont"/>
    <w:uiPriority w:val="99"/>
    <w:semiHidden/>
    <w:unhideWhenUsed/>
    <w:rsid w:val="00474D86"/>
    <w:rPr>
      <w:color w:val="605E5C"/>
      <w:shd w:val="clear" w:color="auto" w:fill="E1DFDD"/>
    </w:rPr>
  </w:style>
  <w:style w:type="character" w:styleId="UnresolvedMention">
    <w:name w:val="Unresolved Mention"/>
    <w:basedOn w:val="DefaultParagraphFont"/>
    <w:uiPriority w:val="99"/>
    <w:semiHidden/>
    <w:unhideWhenUsed/>
    <w:rsid w:val="00474D86"/>
    <w:rPr>
      <w:color w:val="605E5C"/>
      <w:shd w:val="clear" w:color="auto" w:fill="E1DFDD"/>
    </w:rPr>
  </w:style>
  <w:style w:type="character" w:styleId="LineNumber">
    <w:name w:val="line number"/>
    <w:basedOn w:val="DefaultParagraphFont"/>
    <w:uiPriority w:val="99"/>
    <w:semiHidden/>
    <w:unhideWhenUsed/>
    <w:rsid w:val="00474D86"/>
  </w:style>
  <w:style w:type="paragraph" w:styleId="HTMLPreformatted">
    <w:name w:val="HTML Preformatted"/>
    <w:basedOn w:val="Normal"/>
    <w:link w:val="HTMLPreformattedChar"/>
    <w:uiPriority w:val="99"/>
    <w:semiHidden/>
    <w:unhideWhenUsed/>
    <w:rsid w:val="00474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74D86"/>
    <w:rPr>
      <w:rFonts w:ascii="Courier New" w:eastAsia="Times New Roman" w:hAnsi="Courier New" w:cs="Courier New"/>
      <w:sz w:val="20"/>
      <w:szCs w:val="20"/>
      <w:lang w:eastAsia="en-GB"/>
    </w:rPr>
  </w:style>
  <w:style w:type="character" w:customStyle="1" w:styleId="aceconstant">
    <w:name w:val="ace_constant"/>
    <w:basedOn w:val="DefaultParagraphFont"/>
    <w:rsid w:val="00474D86"/>
  </w:style>
  <w:style w:type="paragraph" w:customStyle="1" w:styleId="AbstractSummary">
    <w:name w:val="Abstract/Summary"/>
    <w:basedOn w:val="Normal"/>
    <w:rsid w:val="00474D86"/>
    <w:pPr>
      <w:spacing w:before="120"/>
    </w:pPr>
    <w:rPr>
      <w:lang w:val="en-US" w:eastAsia="en-US"/>
    </w:rPr>
  </w:style>
  <w:style w:type="character" w:customStyle="1" w:styleId="ggboefpdpvb">
    <w:name w:val="ggboefpdpvb"/>
    <w:basedOn w:val="DefaultParagraphFont"/>
    <w:rsid w:val="00474D86"/>
  </w:style>
  <w:style w:type="character" w:customStyle="1" w:styleId="ref-journal">
    <w:name w:val="ref-journal"/>
    <w:basedOn w:val="DefaultParagraphFont"/>
    <w:rsid w:val="00474D86"/>
  </w:style>
  <w:style w:type="character" w:styleId="PlaceholderText">
    <w:name w:val="Placeholder Text"/>
    <w:basedOn w:val="DefaultParagraphFont"/>
    <w:uiPriority w:val="99"/>
    <w:semiHidden/>
    <w:rsid w:val="00474D86"/>
    <w:rPr>
      <w:color w:val="808080"/>
    </w:rPr>
  </w:style>
  <w:style w:type="table" w:styleId="PlainTable1">
    <w:name w:val="Plain Table 1"/>
    <w:basedOn w:val="TableNormal"/>
    <w:uiPriority w:val="41"/>
    <w:rsid w:val="00474D86"/>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TMLCite">
    <w:name w:val="HTML Cite"/>
    <w:basedOn w:val="DefaultParagraphFont"/>
    <w:uiPriority w:val="99"/>
    <w:semiHidden/>
    <w:unhideWhenUsed/>
    <w:rsid w:val="00474D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s.gov.uk/peoplepopulationandcommunity/birthsdeathsandmarriages/deaths/datasets/weeklyprovisionalfiguresondeathsregisteredinenglandandwales" TargetMode="External"/><Relationship Id="rId13" Type="http://schemas.openxmlformats.org/officeDocument/2006/relationships/hyperlink" Target="https://ec.europa.eu/eurostat/data/database" TargetMode="External"/><Relationship Id="rId18" Type="http://schemas.openxmlformats.org/officeDocument/2006/relationships/hyperlink" Target="https://www.stats.govt.nz/experimental/covid-19-data-portal"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sedac.ciesin.columbia.edu/data/collection/gpw-v4" TargetMode="External"/><Relationship Id="rId12" Type="http://schemas.openxmlformats.org/officeDocument/2006/relationships/hyperlink" Target="https://population.un.org/wpp" TargetMode="External"/><Relationship Id="rId17" Type="http://schemas.openxmlformats.org/officeDocument/2006/relationships/hyperlink" Target="https://www.istat.it/it/archivio/24040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ons.gov.uk/peoplepopulationandcommunity/populationandmigration/populationestimates/datasets/populationestimatesforukenglandandwalesscotlandandnorthernireland"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bs.gov.au/AUSSTATS/abs@.nsf/DetailsPage/3303.0.55.004Jan%20-%20May%20202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ons.gov.uk/peoplepopulationandcommunity/birthsdeathsandmarriages/deaths/datasets/weeklyprovisionalfiguresondeathsregisteredinenglandandwales" TargetMode="External"/><Relationship Id="rId23" Type="http://schemas.openxmlformats.org/officeDocument/2006/relationships/footer" Target="footer2.xml"/><Relationship Id="rId10" Type="http://schemas.openxmlformats.org/officeDocument/2006/relationships/hyperlink" Target="https://www.ecdc.europa.eu/en/publications-data/download-todays-data-geographic-distribution-covid-19-cases-worldwide" TargetMode="External"/><Relationship Id="rId19" Type="http://schemas.openxmlformats.org/officeDocument/2006/relationships/hyperlink" Target="https://www.nrscotland.gov.uk/statistics-and-data/statistics/statistics-by-theme/vital-events/general-publications/weekly-and-monthly-data-on-births-and-deaths/deaths-involving-coronavirus-covid-19-in-scotland/related-statistics" TargetMode="External"/><Relationship Id="rId4" Type="http://schemas.openxmlformats.org/officeDocument/2006/relationships/webSettings" Target="webSettings.xml"/><Relationship Id="rId9" Type="http://schemas.openxmlformats.org/officeDocument/2006/relationships/hyperlink" Target="https://www.nrscotland.gov.uk/covid19stats" TargetMode="External"/><Relationship Id="rId14" Type="http://schemas.openxmlformats.org/officeDocument/2006/relationships/hyperlink" Target="https://ec.europa.eu/eurostat/data/databas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11142</Words>
  <Characters>63516</Characters>
  <Application>Microsoft Office Word</Application>
  <DocSecurity>0</DocSecurity>
  <Lines>529</Lines>
  <Paragraphs>149</Paragraphs>
  <ScaleCrop>false</ScaleCrop>
  <Company/>
  <LinksUpToDate>false</LinksUpToDate>
  <CharactersWithSpaces>74509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Ezzati, Majid</dc:creator>
  <cp:keywords/>
  <dc:description/>
  <cp:lastModifiedBy>Ezzati, Majid</cp:lastModifiedBy>
  <cp:revision>2</cp:revision>
  <dcterms:created xsi:type="dcterms:W3CDTF">2020-08-30T16:14:00Z</dcterms:created>
  <dcterms:modified xsi:type="dcterms:W3CDTF">2020-08-30T16:18:00Z</dcterms:modified>
</cp:coreProperties>
</file>