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8F2" w:rsidRPr="00031814" w:rsidRDefault="001E18F2" w:rsidP="001E18F2">
      <w:pPr>
        <w:pStyle w:val="Title-Paper"/>
        <w:spacing w:line="240" w:lineRule="auto"/>
      </w:pPr>
      <w:r w:rsidRPr="00031814">
        <w:t>Selective etching of injection molded zirconia-toughened alumina: towards osseointegrated and antibacterial ceramic implants</w:t>
      </w:r>
    </w:p>
    <w:p w:rsidR="001E18F2" w:rsidRPr="00031814" w:rsidRDefault="001E18F2" w:rsidP="001E18F2">
      <w:pPr>
        <w:jc w:val="center"/>
        <w:rPr>
          <w:rFonts w:ascii="Times New Roman" w:hAnsi="Times New Roman"/>
          <w:i/>
        </w:rPr>
      </w:pPr>
      <w:r w:rsidRPr="00031814">
        <w:rPr>
          <w:rFonts w:ascii="Times New Roman" w:hAnsi="Times New Roman"/>
          <w:i/>
        </w:rPr>
        <w:t>Quentin Flamant</w:t>
      </w:r>
      <w:r>
        <w:rPr>
          <w:rFonts w:ascii="Times New Roman" w:hAnsi="Times New Roman"/>
          <w:i/>
          <w:vertAlign w:val="superscript"/>
        </w:rPr>
        <w:t>a</w:t>
      </w:r>
      <w:r w:rsidRPr="00031814">
        <w:rPr>
          <w:rFonts w:ascii="Times New Roman" w:hAnsi="Times New Roman"/>
          <w:i/>
          <w:vertAlign w:val="superscript"/>
        </w:rPr>
        <w:t>,</w:t>
      </w:r>
      <w:r>
        <w:rPr>
          <w:rFonts w:ascii="Times New Roman" w:hAnsi="Times New Roman"/>
          <w:i/>
          <w:vertAlign w:val="superscript"/>
        </w:rPr>
        <w:t>b</w:t>
      </w:r>
      <w:r w:rsidRPr="00031814">
        <w:rPr>
          <w:rFonts w:ascii="Times New Roman" w:hAnsi="Times New Roman"/>
          <w:i/>
          <w:vertAlign w:val="superscript"/>
        </w:rPr>
        <w:t>,*</w:t>
      </w:r>
      <w:r w:rsidRPr="00031814">
        <w:rPr>
          <w:rFonts w:ascii="Times New Roman" w:hAnsi="Times New Roman"/>
          <w:i/>
        </w:rPr>
        <w:t>, Carlos Caravaca</w:t>
      </w:r>
      <w:r>
        <w:rPr>
          <w:rFonts w:ascii="Times New Roman" w:hAnsi="Times New Roman"/>
          <w:i/>
          <w:vertAlign w:val="superscript"/>
        </w:rPr>
        <w:t>c</w:t>
      </w:r>
      <w:r w:rsidRPr="00031814">
        <w:rPr>
          <w:rFonts w:ascii="Times New Roman" w:hAnsi="Times New Roman"/>
          <w:i/>
        </w:rPr>
        <w:t>, Sylvain Meille</w:t>
      </w:r>
      <w:r>
        <w:rPr>
          <w:rFonts w:ascii="Times New Roman" w:hAnsi="Times New Roman"/>
          <w:i/>
          <w:vertAlign w:val="superscript"/>
        </w:rPr>
        <w:t>c</w:t>
      </w:r>
      <w:r w:rsidRPr="00031814">
        <w:rPr>
          <w:rFonts w:ascii="Times New Roman" w:hAnsi="Times New Roman"/>
          <w:i/>
        </w:rPr>
        <w:t>, Laurent Gremillard</w:t>
      </w:r>
      <w:r>
        <w:rPr>
          <w:rFonts w:ascii="Times New Roman" w:hAnsi="Times New Roman"/>
          <w:i/>
          <w:vertAlign w:val="superscript"/>
        </w:rPr>
        <w:t>c</w:t>
      </w:r>
      <w:r w:rsidRPr="00031814">
        <w:rPr>
          <w:rFonts w:ascii="Times New Roman" w:hAnsi="Times New Roman"/>
          <w:i/>
        </w:rPr>
        <w:t>, Jérôme Chevalier</w:t>
      </w:r>
      <w:r>
        <w:rPr>
          <w:rFonts w:ascii="Times New Roman" w:hAnsi="Times New Roman"/>
          <w:i/>
          <w:vertAlign w:val="superscript"/>
        </w:rPr>
        <w:t>c</w:t>
      </w:r>
      <w:r w:rsidRPr="00031814">
        <w:rPr>
          <w:rFonts w:ascii="Times New Roman" w:hAnsi="Times New Roman"/>
          <w:i/>
        </w:rPr>
        <w:t>, Katia Biotteau-Deheuvels</w:t>
      </w:r>
      <w:r>
        <w:rPr>
          <w:rFonts w:ascii="Times New Roman" w:hAnsi="Times New Roman"/>
          <w:i/>
          <w:vertAlign w:val="superscript"/>
        </w:rPr>
        <w:t>d</w:t>
      </w:r>
      <w:r w:rsidRPr="00031814">
        <w:rPr>
          <w:rFonts w:ascii="Times New Roman" w:hAnsi="Times New Roman"/>
          <w:i/>
        </w:rPr>
        <w:t>, Meinhard Kuntz</w:t>
      </w:r>
      <w:r>
        <w:rPr>
          <w:rFonts w:ascii="Times New Roman" w:hAnsi="Times New Roman"/>
          <w:i/>
          <w:vertAlign w:val="superscript"/>
        </w:rPr>
        <w:t>d</w:t>
      </w:r>
      <w:r w:rsidRPr="00031814">
        <w:rPr>
          <w:rFonts w:ascii="Times New Roman" w:hAnsi="Times New Roman"/>
          <w:i/>
        </w:rPr>
        <w:t>, Rona Chandrawati</w:t>
      </w:r>
      <w:r>
        <w:rPr>
          <w:rFonts w:ascii="Times New Roman" w:hAnsi="Times New Roman"/>
          <w:i/>
          <w:vertAlign w:val="superscript"/>
        </w:rPr>
        <w:t>e</w:t>
      </w:r>
      <w:r w:rsidRPr="00031814">
        <w:rPr>
          <w:rFonts w:ascii="Times New Roman" w:hAnsi="Times New Roman"/>
          <w:i/>
          <w:vertAlign w:val="superscript"/>
        </w:rPr>
        <w:t>,</w:t>
      </w:r>
      <w:r>
        <w:rPr>
          <w:rFonts w:ascii="Times New Roman" w:hAnsi="Times New Roman"/>
          <w:i/>
          <w:vertAlign w:val="superscript"/>
        </w:rPr>
        <w:t>1</w:t>
      </w:r>
      <w:r w:rsidRPr="00031814">
        <w:rPr>
          <w:rFonts w:ascii="Times New Roman" w:hAnsi="Times New Roman"/>
          <w:i/>
        </w:rPr>
        <w:t>, Inge K. Herrmann</w:t>
      </w:r>
      <w:r>
        <w:rPr>
          <w:rFonts w:ascii="Times New Roman" w:hAnsi="Times New Roman"/>
          <w:i/>
          <w:vertAlign w:val="superscript"/>
        </w:rPr>
        <w:t>e</w:t>
      </w:r>
      <w:r w:rsidRPr="00031814">
        <w:rPr>
          <w:rFonts w:ascii="Times New Roman" w:hAnsi="Times New Roman"/>
          <w:i/>
          <w:vertAlign w:val="superscript"/>
        </w:rPr>
        <w:t>,</w:t>
      </w:r>
      <w:r>
        <w:rPr>
          <w:rFonts w:ascii="Times New Roman" w:hAnsi="Times New Roman"/>
          <w:i/>
          <w:vertAlign w:val="superscript"/>
        </w:rPr>
        <w:t>2</w:t>
      </w:r>
      <w:r w:rsidRPr="00031814">
        <w:rPr>
          <w:rFonts w:ascii="Times New Roman" w:hAnsi="Times New Roman"/>
          <w:i/>
        </w:rPr>
        <w:t>, Christopher D. Spicer</w:t>
      </w:r>
      <w:r>
        <w:rPr>
          <w:rFonts w:ascii="Times New Roman" w:hAnsi="Times New Roman"/>
          <w:i/>
          <w:vertAlign w:val="superscript"/>
        </w:rPr>
        <w:t>e</w:t>
      </w:r>
      <w:r w:rsidRPr="00031814">
        <w:rPr>
          <w:rFonts w:ascii="Times New Roman" w:hAnsi="Times New Roman"/>
          <w:i/>
        </w:rPr>
        <w:t>, Molly M. Stevens</w:t>
      </w:r>
      <w:r>
        <w:rPr>
          <w:rFonts w:ascii="Times New Roman" w:hAnsi="Times New Roman"/>
          <w:i/>
          <w:vertAlign w:val="superscript"/>
        </w:rPr>
        <w:t>e</w:t>
      </w:r>
      <w:r w:rsidRPr="00031814">
        <w:rPr>
          <w:rFonts w:ascii="Times New Roman" w:hAnsi="Times New Roman"/>
          <w:i/>
        </w:rPr>
        <w:t xml:space="preserve"> and Marc Anglada</w:t>
      </w:r>
      <w:r>
        <w:rPr>
          <w:rFonts w:ascii="Times New Roman" w:hAnsi="Times New Roman"/>
          <w:i/>
          <w:vertAlign w:val="superscript"/>
        </w:rPr>
        <w:t>a</w:t>
      </w:r>
      <w:r w:rsidRPr="00031814">
        <w:rPr>
          <w:rFonts w:ascii="Times New Roman" w:hAnsi="Times New Roman"/>
          <w:i/>
          <w:vertAlign w:val="superscript"/>
        </w:rPr>
        <w:t>,</w:t>
      </w:r>
      <w:r>
        <w:rPr>
          <w:rFonts w:ascii="Times New Roman" w:hAnsi="Times New Roman"/>
          <w:i/>
          <w:vertAlign w:val="superscript"/>
        </w:rPr>
        <w:t>b</w:t>
      </w:r>
      <w:r w:rsidRPr="00031814">
        <w:rPr>
          <w:rFonts w:ascii="Times New Roman" w:hAnsi="Times New Roman"/>
          <w:i/>
          <w:vertAlign w:val="superscript"/>
        </w:rPr>
        <w:t>,*</w:t>
      </w:r>
    </w:p>
    <w:p w:rsidR="001E18F2" w:rsidRPr="00031814" w:rsidRDefault="001E18F2" w:rsidP="001E18F2">
      <w:pPr>
        <w:jc w:val="left"/>
        <w:rPr>
          <w:rFonts w:ascii="Times New Roman" w:hAnsi="Times New Roman"/>
        </w:rPr>
      </w:pPr>
      <w:r>
        <w:rPr>
          <w:rFonts w:ascii="Times New Roman" w:hAnsi="Times New Roman"/>
          <w:vertAlign w:val="superscript"/>
        </w:rPr>
        <w:t>a</w:t>
      </w:r>
      <w:r w:rsidRPr="00031814">
        <w:rPr>
          <w:rFonts w:ascii="Times New Roman" w:hAnsi="Times New Roman"/>
        </w:rPr>
        <w:t xml:space="preserve"> Department of Materials Science and Metallurgical Engineering, Universitat Politècnica de Catalunya, Av. Diagonal 647, 08028 Barcelona, Spain.</w:t>
      </w:r>
    </w:p>
    <w:p w:rsidR="001E18F2" w:rsidRPr="00031814" w:rsidRDefault="001E18F2" w:rsidP="001E18F2">
      <w:pPr>
        <w:jc w:val="left"/>
        <w:rPr>
          <w:rFonts w:ascii="Times New Roman" w:hAnsi="Times New Roman"/>
        </w:rPr>
      </w:pPr>
      <w:r>
        <w:rPr>
          <w:rFonts w:ascii="Times New Roman" w:hAnsi="Times New Roman"/>
          <w:vertAlign w:val="superscript"/>
        </w:rPr>
        <w:t>b</w:t>
      </w:r>
      <w:r w:rsidRPr="00031814">
        <w:rPr>
          <w:rFonts w:ascii="Times New Roman" w:hAnsi="Times New Roman"/>
        </w:rPr>
        <w:t xml:space="preserve"> Center for Research in Nano-Engineering, CRNE, Universitat Politècnica de Catalunya, C. Pascual i Vila, 15, 08028 Barcelona, Spain.</w:t>
      </w:r>
    </w:p>
    <w:p w:rsidR="001E18F2" w:rsidRPr="00031814" w:rsidRDefault="001E18F2" w:rsidP="001E18F2">
      <w:pPr>
        <w:jc w:val="left"/>
        <w:rPr>
          <w:rFonts w:ascii="Times New Roman" w:hAnsi="Times New Roman"/>
          <w:lang w:val="fr-FR"/>
        </w:rPr>
      </w:pPr>
      <w:r>
        <w:rPr>
          <w:rFonts w:ascii="Times New Roman" w:hAnsi="Times New Roman"/>
          <w:vertAlign w:val="superscript"/>
          <w:lang w:val="fr-FR"/>
        </w:rPr>
        <w:t>c</w:t>
      </w:r>
      <w:r w:rsidRPr="00031814">
        <w:rPr>
          <w:rFonts w:ascii="Times New Roman" w:hAnsi="Times New Roman"/>
          <w:lang w:val="fr-FR"/>
        </w:rPr>
        <w:t xml:space="preserve"> Université de Lyon, INSA-Lyon, MATEIS UMR5510, 7 avenue J. Capelle, 69621, Villeurbanne Cedex, France.</w:t>
      </w:r>
    </w:p>
    <w:p w:rsidR="001E18F2" w:rsidRPr="00031814" w:rsidRDefault="001E18F2" w:rsidP="001E18F2">
      <w:pPr>
        <w:jc w:val="left"/>
        <w:rPr>
          <w:rFonts w:ascii="Times New Roman" w:hAnsi="Times New Roman"/>
        </w:rPr>
      </w:pPr>
      <w:r>
        <w:rPr>
          <w:rFonts w:ascii="Times New Roman" w:hAnsi="Times New Roman"/>
          <w:vertAlign w:val="superscript"/>
        </w:rPr>
        <w:t>d</w:t>
      </w:r>
      <w:r w:rsidRPr="00031814">
        <w:rPr>
          <w:rFonts w:ascii="Times New Roman" w:hAnsi="Times New Roman"/>
        </w:rPr>
        <w:t xml:space="preserve"> </w:t>
      </w:r>
      <w:r w:rsidRPr="00031814">
        <w:rPr>
          <w:rFonts w:ascii="Times New Roman" w:hAnsi="Times New Roman"/>
          <w:lang w:val="de-DE"/>
        </w:rPr>
        <w:t>CeramTec GmbH, 73207 Plochingen, CeramTec-Platz 1-9, Germany</w:t>
      </w:r>
    </w:p>
    <w:p w:rsidR="001E18F2" w:rsidRPr="00E34AAE" w:rsidRDefault="001E18F2" w:rsidP="001E18F2">
      <w:pPr>
        <w:jc w:val="left"/>
        <w:rPr>
          <w:rFonts w:ascii="Times New Roman" w:hAnsi="Times New Roman"/>
        </w:rPr>
      </w:pPr>
      <w:r>
        <w:rPr>
          <w:rFonts w:ascii="Times New Roman" w:hAnsi="Times New Roman"/>
          <w:vertAlign w:val="superscript"/>
        </w:rPr>
        <w:t>e</w:t>
      </w:r>
      <w:r w:rsidRPr="00031814">
        <w:rPr>
          <w:rFonts w:ascii="Times New Roman" w:hAnsi="Times New Roman"/>
        </w:rPr>
        <w:t xml:space="preserve"> Department of Materials, Department of Bioengineering and Institute of Biomedical Engineering, Imperial College London, London SW7 2AZ, United Kingdom.</w:t>
      </w:r>
    </w:p>
    <w:p w:rsidR="001E18F2" w:rsidRPr="00031814" w:rsidRDefault="001E18F2" w:rsidP="001E18F2">
      <w:pPr>
        <w:spacing w:after="0"/>
        <w:jc w:val="left"/>
        <w:rPr>
          <w:rFonts w:ascii="Times New Roman" w:hAnsi="Times New Roman"/>
        </w:rPr>
      </w:pPr>
      <w:r w:rsidRPr="00031814">
        <w:rPr>
          <w:rFonts w:ascii="Times New Roman" w:hAnsi="Times New Roman"/>
        </w:rPr>
        <w:t>Present addresses:</w:t>
      </w:r>
    </w:p>
    <w:p w:rsidR="001E18F2" w:rsidRPr="00031814" w:rsidRDefault="001E18F2" w:rsidP="001E18F2">
      <w:pPr>
        <w:spacing w:after="0"/>
        <w:jc w:val="left"/>
        <w:rPr>
          <w:rFonts w:ascii="Times New Roman" w:hAnsi="Times New Roman"/>
        </w:rPr>
      </w:pPr>
      <w:r>
        <w:rPr>
          <w:rFonts w:ascii="Times New Roman" w:hAnsi="Times New Roman"/>
          <w:vertAlign w:val="superscript"/>
        </w:rPr>
        <w:t>1</w:t>
      </w:r>
      <w:r w:rsidRPr="00031814">
        <w:rPr>
          <w:rFonts w:ascii="Times New Roman" w:hAnsi="Times New Roman"/>
        </w:rPr>
        <w:t xml:space="preserve"> Rona Chandrawati: School of Chemical and Biomolecular Engineering, The University of Sydney, Sydney, NSW 2006, Australia</w:t>
      </w:r>
    </w:p>
    <w:p w:rsidR="001E18F2" w:rsidRDefault="001E18F2" w:rsidP="001E18F2">
      <w:pPr>
        <w:spacing w:after="0"/>
        <w:jc w:val="left"/>
        <w:rPr>
          <w:rFonts w:ascii="Times New Roman" w:hAnsi="Times New Roman"/>
        </w:rPr>
      </w:pPr>
      <w:r>
        <w:rPr>
          <w:rFonts w:ascii="Times New Roman" w:hAnsi="Times New Roman"/>
          <w:vertAlign w:val="superscript"/>
        </w:rPr>
        <w:t>2</w:t>
      </w:r>
      <w:r w:rsidRPr="00031814">
        <w:rPr>
          <w:rFonts w:ascii="Times New Roman" w:hAnsi="Times New Roman"/>
        </w:rPr>
        <w:t xml:space="preserve"> Inge K. Herrmann: Department Materials Meet Life, Swiss Federal Laboratories for Materials Science and Technology (Empa), 9014 St Gallen, Switzerland</w:t>
      </w:r>
    </w:p>
    <w:p w:rsidR="001E18F2" w:rsidRDefault="001E18F2" w:rsidP="001E18F2">
      <w:pPr>
        <w:spacing w:after="0"/>
        <w:jc w:val="left"/>
        <w:rPr>
          <w:rFonts w:ascii="Times New Roman" w:hAnsi="Times New Roman"/>
        </w:rPr>
      </w:pPr>
    </w:p>
    <w:p w:rsidR="001E18F2" w:rsidRPr="00031814" w:rsidRDefault="001E18F2" w:rsidP="001E18F2">
      <w:pPr>
        <w:spacing w:after="0"/>
        <w:rPr>
          <w:rFonts w:ascii="Times New Roman" w:hAnsi="Times New Roman"/>
        </w:rPr>
      </w:pPr>
      <w:r w:rsidRPr="00031814">
        <w:rPr>
          <w:rFonts w:ascii="Times New Roman" w:hAnsi="Times New Roman"/>
        </w:rPr>
        <w:t>* Corresponding Authors</w:t>
      </w:r>
    </w:p>
    <w:p w:rsidR="001E18F2" w:rsidRPr="00031814" w:rsidRDefault="001E18F2" w:rsidP="001E18F2">
      <w:pPr>
        <w:spacing w:after="0"/>
        <w:jc w:val="left"/>
        <w:rPr>
          <w:rFonts w:ascii="Times New Roman" w:hAnsi="Times New Roman"/>
        </w:rPr>
      </w:pPr>
      <w:r w:rsidRPr="00031814">
        <w:rPr>
          <w:rFonts w:ascii="Times New Roman" w:hAnsi="Times New Roman"/>
        </w:rPr>
        <w:t>E-mail: quentin.flamant@upc.edu</w:t>
      </w:r>
    </w:p>
    <w:p w:rsidR="001E18F2" w:rsidRPr="00031814" w:rsidRDefault="001E18F2" w:rsidP="001E18F2">
      <w:pPr>
        <w:spacing w:after="0"/>
        <w:jc w:val="left"/>
        <w:rPr>
          <w:rFonts w:ascii="Times New Roman" w:hAnsi="Times New Roman"/>
        </w:rPr>
      </w:pPr>
      <w:r w:rsidRPr="00031814">
        <w:rPr>
          <w:rFonts w:ascii="Times New Roman" w:hAnsi="Times New Roman"/>
        </w:rPr>
        <w:t>E-mail: marc.j.anglada@upc.edu</w:t>
      </w:r>
    </w:p>
    <w:p w:rsidR="001E18F2" w:rsidRPr="00031814" w:rsidRDefault="001E18F2" w:rsidP="001E18F2">
      <w:pPr>
        <w:spacing w:after="0"/>
        <w:jc w:val="left"/>
        <w:rPr>
          <w:rFonts w:ascii="Times New Roman" w:hAnsi="Times New Roman"/>
        </w:rPr>
      </w:pPr>
      <w:r w:rsidRPr="00031814">
        <w:rPr>
          <w:rFonts w:ascii="Times New Roman" w:hAnsi="Times New Roman"/>
        </w:rPr>
        <w:t>Phone number: +34 934016701</w:t>
      </w:r>
    </w:p>
    <w:p w:rsidR="001E18F2" w:rsidRPr="00031814" w:rsidRDefault="001E18F2" w:rsidP="001E18F2">
      <w:pPr>
        <w:spacing w:after="0"/>
        <w:jc w:val="left"/>
        <w:rPr>
          <w:rFonts w:ascii="Times New Roman" w:hAnsi="Times New Roman"/>
          <w:szCs w:val="24"/>
        </w:rPr>
      </w:pPr>
      <w:r w:rsidRPr="00031814">
        <w:rPr>
          <w:rFonts w:ascii="Times New Roman" w:hAnsi="Times New Roman"/>
        </w:rPr>
        <w:t xml:space="preserve">Fax number: </w:t>
      </w:r>
      <w:r w:rsidRPr="00031814">
        <w:rPr>
          <w:rFonts w:ascii="Times New Roman" w:hAnsi="Times New Roman"/>
          <w:szCs w:val="24"/>
        </w:rPr>
        <w:t>+34 934016706</w:t>
      </w:r>
    </w:p>
    <w:p w:rsidR="001E18F2" w:rsidRPr="00031814" w:rsidRDefault="001E18F2" w:rsidP="001E18F2">
      <w:pPr>
        <w:spacing w:after="0"/>
        <w:jc w:val="left"/>
        <w:rPr>
          <w:rFonts w:ascii="Times New Roman" w:hAnsi="Times New Roman"/>
        </w:rPr>
      </w:pPr>
    </w:p>
    <w:p w:rsidR="001E18F2" w:rsidRPr="00031814" w:rsidRDefault="001E18F2" w:rsidP="001E18F2">
      <w:pPr>
        <w:spacing w:after="0"/>
        <w:jc w:val="left"/>
        <w:rPr>
          <w:rFonts w:ascii="Times New Roman" w:hAnsi="Times New Roman"/>
        </w:rPr>
      </w:pPr>
    </w:p>
    <w:p w:rsidR="001E18F2" w:rsidRPr="00031814" w:rsidRDefault="001E18F2" w:rsidP="001E18F2">
      <w:pPr>
        <w:spacing w:after="0" w:line="480" w:lineRule="auto"/>
        <w:jc w:val="left"/>
        <w:rPr>
          <w:rFonts w:ascii="Times New Roman" w:hAnsi="Times New Roman"/>
          <w:szCs w:val="24"/>
        </w:rPr>
      </w:pPr>
      <w:r w:rsidRPr="00031814">
        <w:rPr>
          <w:rFonts w:ascii="Times New Roman" w:hAnsi="Times New Roman"/>
          <w:i/>
          <w:szCs w:val="24"/>
        </w:rPr>
        <w:t xml:space="preserve">Keywords: </w:t>
      </w:r>
      <w:r w:rsidRPr="00031814">
        <w:rPr>
          <w:rFonts w:ascii="Times New Roman" w:hAnsi="Times New Roman"/>
          <w:szCs w:val="24"/>
        </w:rPr>
        <w:t xml:space="preserve">Surface modification, Roughness, Topography, </w:t>
      </w:r>
      <w:r>
        <w:rPr>
          <w:rFonts w:ascii="Times New Roman" w:hAnsi="Times New Roman"/>
          <w:szCs w:val="24"/>
        </w:rPr>
        <w:t>Bioceramic</w:t>
      </w:r>
      <w:r w:rsidRPr="00031814">
        <w:rPr>
          <w:rFonts w:ascii="Times New Roman" w:hAnsi="Times New Roman"/>
          <w:szCs w:val="24"/>
        </w:rPr>
        <w:t>, Drug delivery</w:t>
      </w:r>
    </w:p>
    <w:p w:rsidR="001E18F2" w:rsidRPr="00031814" w:rsidRDefault="001E18F2" w:rsidP="001E18F2">
      <w:pPr>
        <w:spacing w:after="0"/>
        <w:jc w:val="left"/>
        <w:rPr>
          <w:rFonts w:ascii="Times New Roman" w:hAnsi="Times New Roman"/>
          <w:szCs w:val="24"/>
        </w:rPr>
      </w:pPr>
      <w:r w:rsidRPr="00031814">
        <w:rPr>
          <w:rFonts w:ascii="Times New Roman" w:hAnsi="Times New Roman"/>
          <w:szCs w:val="24"/>
        </w:rPr>
        <w:br w:type="page"/>
      </w:r>
    </w:p>
    <w:p w:rsidR="001E18F2" w:rsidRPr="00031814" w:rsidRDefault="001E18F2" w:rsidP="001E18F2">
      <w:pPr>
        <w:spacing w:line="360" w:lineRule="auto"/>
        <w:rPr>
          <w:rFonts w:ascii="Times New Roman" w:hAnsi="Times New Roman"/>
          <w:szCs w:val="24"/>
        </w:rPr>
      </w:pPr>
      <w:r w:rsidRPr="00031814">
        <w:rPr>
          <w:rFonts w:ascii="Times New Roman" w:hAnsi="Times New Roman"/>
          <w:b/>
          <w:i/>
          <w:szCs w:val="24"/>
        </w:rPr>
        <w:lastRenderedPageBreak/>
        <w:t>Abstract</w:t>
      </w:r>
    </w:p>
    <w:p w:rsidR="001E18F2" w:rsidRPr="00031814" w:rsidRDefault="001E18F2" w:rsidP="001E18F2">
      <w:pPr>
        <w:spacing w:line="480" w:lineRule="auto"/>
        <w:ind w:firstLine="360"/>
        <w:rPr>
          <w:rFonts w:ascii="Times New Roman" w:hAnsi="Times New Roman"/>
        </w:rPr>
      </w:pPr>
      <w:r w:rsidRPr="00031814">
        <w:rPr>
          <w:rFonts w:ascii="Times New Roman" w:hAnsi="Times New Roman"/>
          <w:szCs w:val="24"/>
        </w:rPr>
        <w:t xml:space="preserve">Due to their outstanding mechanical properties and excellent biocompatibility, zirconia-toughened alumina (ZTA) ceramics have become the gold standard </w:t>
      </w:r>
      <w:r w:rsidRPr="00031814">
        <w:rPr>
          <w:rFonts w:ascii="Times New Roman" w:hAnsi="Times New Roman"/>
        </w:rPr>
        <w:t>in orthopedics for the fabrication of ceramic bearing components over the last decade. However, ZTA is bioinert, which hampers its implantation in direct contact with bone. Furthermore, periprosthetic joint infections are now the leading cause of failure for joint arthroplasty prostheses. To address both issues, an improved surface design is required: a controlled micro- and nano-roughness can promote osseointegration and limit bacterial adhesion whereas surface porosity allows loading and delivery of antibacterial compounds. In this work, we developed an integrated strategy aiming to provide both osseointegrative and antibacterial properties to ZTA surfaces. The micro-topography was controlled by injection molding. Meanwhile a novel process involving the selective dissolution of zirconia (selective etching) was used to produce nano-roughness and interconnected nanoporosity. Potential utilization of the porosity for loading and delivery of antibiotic molecules was demonstrated, and the impact of selective etching on mechanical properties and hydrothermal stability was shown to be limited. The combination of injection molding and selective etching thus appears promising for fabricating a new generation of ZTA components implantable in direct contact with bone.</w:t>
      </w:r>
    </w:p>
    <w:p w:rsidR="001E18F2" w:rsidRPr="00031814" w:rsidRDefault="001E18F2" w:rsidP="001E18F2">
      <w:pPr>
        <w:spacing w:after="0" w:line="480" w:lineRule="auto"/>
        <w:jc w:val="left"/>
        <w:rPr>
          <w:rFonts w:ascii="Times New Roman" w:hAnsi="Times New Roman"/>
          <w:szCs w:val="24"/>
        </w:rPr>
      </w:pPr>
      <w:r w:rsidRPr="00031814">
        <w:rPr>
          <w:rFonts w:ascii="Times New Roman" w:hAnsi="Times New Roman"/>
          <w:sz w:val="22"/>
          <w:szCs w:val="22"/>
        </w:rPr>
        <w:br w:type="page"/>
      </w:r>
    </w:p>
    <w:p w:rsidR="001E18F2" w:rsidRPr="00031814" w:rsidRDefault="001E18F2" w:rsidP="001E18F2">
      <w:pPr>
        <w:pStyle w:val="ListParagraph"/>
        <w:numPr>
          <w:ilvl w:val="0"/>
          <w:numId w:val="9"/>
        </w:numPr>
        <w:spacing w:line="480" w:lineRule="auto"/>
        <w:rPr>
          <w:rFonts w:ascii="Times New Roman" w:eastAsia="Times New Roman" w:hAnsi="Times New Roman"/>
          <w:b/>
          <w:sz w:val="24"/>
          <w:szCs w:val="24"/>
          <w:lang w:val="en-US"/>
        </w:rPr>
      </w:pPr>
      <w:r w:rsidRPr="00031814">
        <w:rPr>
          <w:rFonts w:ascii="Times New Roman" w:eastAsia="Times New Roman" w:hAnsi="Times New Roman"/>
          <w:b/>
          <w:sz w:val="24"/>
          <w:szCs w:val="24"/>
          <w:lang w:val="en-US"/>
        </w:rPr>
        <w:lastRenderedPageBreak/>
        <w:t>Introduction</w:t>
      </w:r>
    </w:p>
    <w:p w:rsidR="001E18F2" w:rsidRPr="00D029F7" w:rsidRDefault="001E18F2" w:rsidP="001E18F2">
      <w:pPr>
        <w:spacing w:line="480" w:lineRule="auto"/>
        <w:ind w:firstLine="360"/>
        <w:rPr>
          <w:rFonts w:ascii="Times New Roman" w:hAnsi="Times New Roman"/>
        </w:rPr>
      </w:pPr>
      <w:r w:rsidRPr="00031814">
        <w:rPr>
          <w:rFonts w:ascii="Times New Roman" w:hAnsi="Times New Roman"/>
        </w:rPr>
        <w:t xml:space="preserve">Zirconia-toughened alumina (ZTA) ceramics combine the advantageous properties of monolithic alumina and zirconia: they exhibit high strength, high toughness, outstanding wear resistance and excellent biocompatibility </w:t>
      </w:r>
      <w:r w:rsidRPr="00031814">
        <w:rPr>
          <w:rFonts w:ascii="Times New Roman" w:hAnsi="Times New Roman"/>
          <w:noProof/>
        </w:rPr>
        <w:t>[1–4]</w:t>
      </w:r>
      <w:r w:rsidRPr="00031814">
        <w:rPr>
          <w:rFonts w:ascii="Times New Roman" w:hAnsi="Times New Roman"/>
        </w:rPr>
        <w:t xml:space="preserve">. Thanks to these remarkable properties, in the last decade they have become the new gold standard in </w:t>
      </w:r>
      <w:r w:rsidRPr="00D029F7">
        <w:rPr>
          <w:rFonts w:ascii="Times New Roman" w:hAnsi="Times New Roman"/>
        </w:rPr>
        <w:t xml:space="preserve">orthopedics for the fabrication of ceramic bearing components. In particular, in the case of hip replacements, their superior mechanical properties when compared to alumina improve the reliability and enable the manufacture of larger femoral heads and thinner liners, providing a larger range of motion in the joint </w:t>
      </w:r>
      <w:r w:rsidRPr="00D029F7">
        <w:rPr>
          <w:rFonts w:ascii="Times New Roman" w:hAnsi="Times New Roman"/>
          <w:noProof/>
        </w:rPr>
        <w:t>[5,6]</w:t>
      </w:r>
      <w:r w:rsidRPr="00D029F7">
        <w:rPr>
          <w:rFonts w:ascii="Times New Roman" w:hAnsi="Times New Roman"/>
        </w:rPr>
        <w:t>.</w:t>
      </w:r>
    </w:p>
    <w:p w:rsidR="001E18F2" w:rsidRPr="00D029F7" w:rsidRDefault="001E18F2" w:rsidP="001E18F2">
      <w:pPr>
        <w:spacing w:line="480" w:lineRule="auto"/>
        <w:ind w:firstLine="360"/>
        <w:rPr>
          <w:rFonts w:ascii="Times New Roman" w:hAnsi="Times New Roman"/>
        </w:rPr>
      </w:pPr>
      <w:r w:rsidRPr="00D029F7">
        <w:rPr>
          <w:rFonts w:ascii="Times New Roman" w:hAnsi="Times New Roman"/>
        </w:rPr>
        <w:t xml:space="preserve">Nevertheless ZTA is a bioinert material, which means that the host tissue forms a non-adherent fibrous capsule around the implant </w:t>
      </w:r>
      <w:r w:rsidRPr="00D029F7">
        <w:rPr>
          <w:rFonts w:ascii="Times New Roman" w:hAnsi="Times New Roman"/>
          <w:noProof/>
        </w:rPr>
        <w:t>[7]</w:t>
      </w:r>
      <w:r w:rsidRPr="00D029F7">
        <w:rPr>
          <w:rFonts w:ascii="Times New Roman" w:hAnsi="Times New Roman"/>
        </w:rPr>
        <w:t xml:space="preserve">. In the absence of adequate surface modification, this can lead to poor osseointegration and subsequent aseptic loosening </w:t>
      </w:r>
      <w:r w:rsidRPr="00D029F7">
        <w:rPr>
          <w:rFonts w:ascii="Times New Roman" w:hAnsi="Times New Roman"/>
          <w:noProof/>
        </w:rPr>
        <w:t>[8]</w:t>
      </w:r>
      <w:r w:rsidRPr="00D029F7">
        <w:rPr>
          <w:rFonts w:ascii="Times New Roman" w:hAnsi="Times New Roman"/>
        </w:rPr>
        <w:t xml:space="preserve">. For this reason, in current hip replacement systems, a metal shell with an osseointegrative surface needs to be placed between the acetabular bone and the external surface of the ceramic liner, which restricts the maximal head diameter because of the limited anatomical space </w:t>
      </w:r>
      <w:r w:rsidRPr="00D029F7">
        <w:rPr>
          <w:rFonts w:ascii="Times New Roman" w:hAnsi="Times New Roman"/>
          <w:noProof/>
        </w:rPr>
        <w:t>[9]</w:t>
      </w:r>
      <w:r w:rsidRPr="00D029F7">
        <w:rPr>
          <w:rFonts w:ascii="Times New Roman" w:hAnsi="Times New Roman"/>
        </w:rPr>
        <w:t xml:space="preserve">. This limitation confines the range of motion of the patient for maximal positions and can cause impingement, which can be followed by subluxation or even luxation </w:t>
      </w:r>
      <w:r w:rsidRPr="00D029F7">
        <w:rPr>
          <w:rFonts w:ascii="Times New Roman" w:hAnsi="Times New Roman"/>
          <w:noProof/>
        </w:rPr>
        <w:t>[9]</w:t>
      </w:r>
      <w:r w:rsidRPr="00D029F7">
        <w:rPr>
          <w:rFonts w:ascii="Times New Roman" w:hAnsi="Times New Roman"/>
        </w:rPr>
        <w:t>. It would thus be beneficial to develop surface modification processes that enable the implantation of ZTA monoblock components in direct contact with bone.</w:t>
      </w:r>
    </w:p>
    <w:p w:rsidR="001E18F2" w:rsidRPr="00031814" w:rsidRDefault="001E18F2" w:rsidP="001E18F2">
      <w:pPr>
        <w:spacing w:line="480" w:lineRule="auto"/>
        <w:ind w:firstLine="360"/>
        <w:rPr>
          <w:rFonts w:ascii="Times New Roman" w:hAnsi="Times New Roman"/>
        </w:rPr>
      </w:pPr>
      <w:r w:rsidRPr="00D029F7">
        <w:rPr>
          <w:rFonts w:ascii="Times New Roman" w:hAnsi="Times New Roman"/>
        </w:rPr>
        <w:t xml:space="preserve">Despite the high success rate of joint replacement surgeries, approximately 10 % of implants still fail within the first 10-20 years </w:t>
      </w:r>
      <w:r w:rsidRPr="00D029F7">
        <w:rPr>
          <w:rFonts w:ascii="Times New Roman" w:hAnsi="Times New Roman"/>
          <w:noProof/>
        </w:rPr>
        <w:t>[10]</w:t>
      </w:r>
      <w:r w:rsidRPr="00D029F7">
        <w:rPr>
          <w:rFonts w:ascii="Times New Roman" w:hAnsi="Times New Roman"/>
        </w:rPr>
        <w:t>. Infections are responsible for</w:t>
      </w:r>
      <w:r w:rsidRPr="00031814">
        <w:rPr>
          <w:rFonts w:ascii="Times New Roman" w:hAnsi="Times New Roman"/>
        </w:rPr>
        <w:t xml:space="preserve"> approximately 20 % of these failures and have become the leading cause for arthroplasty revision </w:t>
      </w:r>
      <w:r w:rsidRPr="00031814">
        <w:rPr>
          <w:rFonts w:ascii="Times New Roman" w:hAnsi="Times New Roman"/>
          <w:noProof/>
        </w:rPr>
        <w:t>[11–13]</w:t>
      </w:r>
      <w:r w:rsidRPr="00031814">
        <w:rPr>
          <w:rFonts w:ascii="Times New Roman" w:hAnsi="Times New Roman"/>
        </w:rPr>
        <w:t xml:space="preserve">. Indeed, it is well known that biomedical implants provide a substrate for the adhesion of bacteria, which can proliferate and form biofilms, dramatically increasing the resistance to therapeutic agents </w:t>
      </w:r>
      <w:r w:rsidRPr="00031814">
        <w:rPr>
          <w:rFonts w:ascii="Times New Roman" w:hAnsi="Times New Roman"/>
          <w:noProof/>
        </w:rPr>
        <w:t>[14]</w:t>
      </w:r>
      <w:r w:rsidRPr="00031814">
        <w:rPr>
          <w:rFonts w:ascii="Times New Roman" w:hAnsi="Times New Roman"/>
        </w:rPr>
        <w:t xml:space="preserve">. </w:t>
      </w:r>
      <w:r w:rsidRPr="00031814">
        <w:rPr>
          <w:rFonts w:ascii="Times New Roman" w:hAnsi="Times New Roman"/>
        </w:rPr>
        <w:lastRenderedPageBreak/>
        <w:t xml:space="preserve">The so-called “race for the surface” between bacteria and host cells makes it therefore critical to eliminate or contain pathogens as early as possible </w:t>
      </w:r>
      <w:r w:rsidRPr="00031814">
        <w:rPr>
          <w:rFonts w:ascii="Times New Roman" w:hAnsi="Times New Roman"/>
          <w:noProof/>
        </w:rPr>
        <w:t>[15,16]</w:t>
      </w:r>
      <w:r w:rsidRPr="00031814">
        <w:rPr>
          <w:rFonts w:ascii="Times New Roman" w:hAnsi="Times New Roman"/>
        </w:rPr>
        <w:t xml:space="preserve"> and there is a strong interest in developing surfaces that can prevent infection.</w:t>
      </w:r>
    </w:p>
    <w:p w:rsidR="001E18F2" w:rsidRPr="00031814" w:rsidRDefault="001E18F2" w:rsidP="001E18F2">
      <w:pPr>
        <w:spacing w:line="480" w:lineRule="auto"/>
        <w:ind w:firstLine="360"/>
        <w:rPr>
          <w:rFonts w:ascii="Times New Roman" w:hAnsi="Times New Roman"/>
          <w:szCs w:val="24"/>
        </w:rPr>
      </w:pPr>
      <w:r w:rsidRPr="00031814">
        <w:rPr>
          <w:rFonts w:ascii="Times New Roman" w:hAnsi="Times New Roman"/>
        </w:rPr>
        <w:t xml:space="preserve">Osseointegration and infection prophylaxis are often treated as separated issues. However, as has been recently highlighted by Raphel </w:t>
      </w:r>
      <w:r w:rsidRPr="00031814">
        <w:rPr>
          <w:rFonts w:ascii="Times New Roman" w:hAnsi="Times New Roman"/>
          <w:i/>
        </w:rPr>
        <w:t>et al.</w:t>
      </w:r>
      <w:r w:rsidRPr="00031814">
        <w:rPr>
          <w:rFonts w:ascii="Times New Roman" w:hAnsi="Times New Roman"/>
        </w:rPr>
        <w:t xml:space="preserve">, they are intimately related and should be addressed simultaneously </w:t>
      </w:r>
      <w:r w:rsidRPr="00031814">
        <w:rPr>
          <w:rFonts w:ascii="Times New Roman" w:hAnsi="Times New Roman"/>
          <w:noProof/>
        </w:rPr>
        <w:t>[13]</w:t>
      </w:r>
      <w:r w:rsidRPr="00031814">
        <w:rPr>
          <w:rFonts w:ascii="Times New Roman" w:hAnsi="Times New Roman"/>
        </w:rPr>
        <w:t>. The key to achieve both objectives is an adequate surface design. On the one hand, controlling topography is crucial to obtain successful osseointegration</w:t>
      </w:r>
      <w:r w:rsidRPr="00031814">
        <w:rPr>
          <w:rFonts w:ascii="Times New Roman" w:hAnsi="Times New Roman"/>
          <w:szCs w:val="24"/>
        </w:rPr>
        <w:t xml:space="preserve">. In particular it has been shown that rough surfaces exhibit a better bone response than smooth ones and that the combination of micro- and nano-scale roughness can have synergistic effects </w:t>
      </w:r>
      <w:r w:rsidRPr="00031814">
        <w:rPr>
          <w:rFonts w:ascii="Times New Roman" w:hAnsi="Times New Roman"/>
          <w:noProof/>
          <w:szCs w:val="24"/>
        </w:rPr>
        <w:t>[17–19]</w:t>
      </w:r>
      <w:r w:rsidRPr="00031814">
        <w:rPr>
          <w:rFonts w:ascii="Times New Roman" w:hAnsi="Times New Roman"/>
          <w:szCs w:val="24"/>
        </w:rPr>
        <w:t xml:space="preserve">. On the other hand, numerous surface engineering strategies have been explored to prevent infection. Most of them involve coatings, either to prevent bacterial adhesion or to release antibacterial agents </w:t>
      </w:r>
      <w:r w:rsidRPr="00031814">
        <w:rPr>
          <w:rFonts w:ascii="Times New Roman" w:hAnsi="Times New Roman"/>
          <w:noProof/>
          <w:szCs w:val="24"/>
        </w:rPr>
        <w:t>[13]</w:t>
      </w:r>
      <w:r w:rsidRPr="00031814">
        <w:rPr>
          <w:rFonts w:ascii="Times New Roman" w:hAnsi="Times New Roman"/>
          <w:szCs w:val="24"/>
        </w:rPr>
        <w:t xml:space="preserve">. </w:t>
      </w:r>
    </w:p>
    <w:p w:rsidR="001E18F2" w:rsidRPr="00031814" w:rsidRDefault="001E18F2" w:rsidP="001E18F2">
      <w:pPr>
        <w:spacing w:line="480" w:lineRule="auto"/>
        <w:ind w:firstLine="360"/>
        <w:rPr>
          <w:rFonts w:ascii="Times New Roman" w:hAnsi="Times New Roman"/>
          <w:szCs w:val="24"/>
        </w:rPr>
      </w:pPr>
      <w:r w:rsidRPr="00031814">
        <w:rPr>
          <w:rFonts w:ascii="Times New Roman" w:hAnsi="Times New Roman"/>
          <w:szCs w:val="24"/>
        </w:rPr>
        <w:t xml:space="preserve">There is little literature regarding surface modifications of ZTA ceramics, and, as discussed above, it would be highly valuable to develop processes that allow the design of implants with controlled micro- and nano-topography and antibacterial properties. Among the diverse surface micro-structuring techniques existing for ceramics, injection molding appears very promising </w:t>
      </w:r>
      <w:r w:rsidRPr="00031814">
        <w:rPr>
          <w:rFonts w:ascii="Times New Roman" w:hAnsi="Times New Roman"/>
          <w:noProof/>
          <w:szCs w:val="24"/>
        </w:rPr>
        <w:t>[20]</w:t>
      </w:r>
      <w:r w:rsidRPr="00031814">
        <w:rPr>
          <w:rFonts w:ascii="Times New Roman" w:hAnsi="Times New Roman"/>
          <w:szCs w:val="24"/>
        </w:rPr>
        <w:t xml:space="preserve">. In contrast to grinding or sandblasting for instance, it does not induce additional surface defects. Besides, it provides a high flexibility since it is theoretically possible to obtain any kind of micro-topography. Finally, it enables the mass production of complex components, which is an advantage from an industrial point of view. In the last decade, injection molding of ZTA has been successfully implemented by several authors </w:t>
      </w:r>
      <w:r w:rsidRPr="00031814">
        <w:rPr>
          <w:rFonts w:ascii="Times New Roman" w:hAnsi="Times New Roman"/>
          <w:noProof/>
          <w:szCs w:val="24"/>
        </w:rPr>
        <w:t>[21–24]</w:t>
      </w:r>
      <w:r w:rsidRPr="00031814">
        <w:rPr>
          <w:rFonts w:ascii="Times New Roman" w:hAnsi="Times New Roman"/>
          <w:szCs w:val="24"/>
        </w:rPr>
        <w:t xml:space="preserve">. However it has not yet been applied to surface micro-structuring which shows the need for further development. On the other hand, among the numerous types of coating proposed for implants, alumina with pores in the 10 nm – 200 nm range (nanoporous alumina) appears an appealing solution for the combination of osseointegrative and </w:t>
      </w:r>
      <w:r w:rsidRPr="00031814">
        <w:rPr>
          <w:rFonts w:ascii="Times New Roman" w:hAnsi="Times New Roman"/>
          <w:szCs w:val="24"/>
        </w:rPr>
        <w:lastRenderedPageBreak/>
        <w:t xml:space="preserve">antibacterial properties: it can be used as a carrier for drug delivery </w:t>
      </w:r>
      <w:r w:rsidRPr="00031814">
        <w:rPr>
          <w:rFonts w:ascii="Times New Roman" w:hAnsi="Times New Roman"/>
          <w:noProof/>
          <w:szCs w:val="24"/>
        </w:rPr>
        <w:t>[25–28]</w:t>
      </w:r>
      <w:r w:rsidRPr="00031814">
        <w:rPr>
          <w:rFonts w:ascii="Times New Roman" w:hAnsi="Times New Roman"/>
          <w:szCs w:val="24"/>
        </w:rPr>
        <w:t xml:space="preserve"> and </w:t>
      </w:r>
      <w:r w:rsidRPr="00031814">
        <w:rPr>
          <w:rFonts w:ascii="Times New Roman" w:hAnsi="Times New Roman"/>
          <w:i/>
          <w:szCs w:val="24"/>
        </w:rPr>
        <w:t>in vitro</w:t>
      </w:r>
      <w:r w:rsidRPr="00031814">
        <w:rPr>
          <w:rFonts w:ascii="Times New Roman" w:hAnsi="Times New Roman"/>
          <w:szCs w:val="24"/>
        </w:rPr>
        <w:t xml:space="preserve"> studies have suggested that thanks to its nano-structure it could improve osteoblast adhesion and proliferation, increase matrix production and induce osteogenic differentiation </w:t>
      </w:r>
      <w:r w:rsidRPr="00031814">
        <w:rPr>
          <w:rFonts w:ascii="Times New Roman" w:hAnsi="Times New Roman"/>
          <w:noProof/>
          <w:szCs w:val="24"/>
        </w:rPr>
        <w:t>[29–31]</w:t>
      </w:r>
      <w:r w:rsidRPr="00031814">
        <w:rPr>
          <w:rFonts w:ascii="Times New Roman" w:hAnsi="Times New Roman"/>
          <w:szCs w:val="24"/>
        </w:rPr>
        <w:t>. Nevertheless, coatings present several disadvantages; in particular they induce residual stresses and risks of delamination, which may lead to implant failure.</w:t>
      </w:r>
    </w:p>
    <w:p w:rsidR="001E18F2" w:rsidRPr="00031814" w:rsidRDefault="001E18F2" w:rsidP="001E18F2">
      <w:pPr>
        <w:spacing w:line="480" w:lineRule="auto"/>
        <w:ind w:firstLine="360"/>
        <w:rPr>
          <w:rFonts w:ascii="Times New Roman" w:hAnsi="Times New Roman"/>
          <w:szCs w:val="24"/>
        </w:rPr>
      </w:pPr>
      <w:r w:rsidRPr="00031814">
        <w:rPr>
          <w:rFonts w:ascii="Times New Roman" w:hAnsi="Times New Roman"/>
          <w:szCs w:val="24"/>
        </w:rPr>
        <w:t xml:space="preserve">Long-term reliability is a major concern for orthopedic implants, and ceramics can be sensitive to surface alterations. In particular surface defects have a strong influence on their strength </w:t>
      </w:r>
      <w:r w:rsidRPr="00031814">
        <w:rPr>
          <w:rFonts w:ascii="Times New Roman" w:hAnsi="Times New Roman"/>
          <w:noProof/>
          <w:szCs w:val="24"/>
        </w:rPr>
        <w:t>[32]</w:t>
      </w:r>
      <w:r w:rsidRPr="00031814">
        <w:rPr>
          <w:rFonts w:ascii="Times New Roman" w:hAnsi="Times New Roman"/>
          <w:szCs w:val="24"/>
        </w:rPr>
        <w:t xml:space="preserve">. Furthermore, even a moderate porosity can have a substantial impact on their elastic modulus, strength and resistance to contact damage </w:t>
      </w:r>
      <w:r w:rsidRPr="00031814">
        <w:rPr>
          <w:rFonts w:ascii="Times New Roman" w:hAnsi="Times New Roman"/>
          <w:noProof/>
          <w:szCs w:val="24"/>
        </w:rPr>
        <w:t>[33–35]</w:t>
      </w:r>
      <w:r w:rsidRPr="00031814">
        <w:rPr>
          <w:rFonts w:ascii="Times New Roman" w:hAnsi="Times New Roman"/>
          <w:szCs w:val="24"/>
        </w:rPr>
        <w:t xml:space="preserve">. Finally, zirconia-containing ceramics require special attention: the tetragonal to monoclinic phase transformation, which accounts for their exceptional toughness, can occur spontaneously at low temperature in the presence of water, potentially deteriorating the material properties </w:t>
      </w:r>
      <w:r w:rsidRPr="00031814">
        <w:rPr>
          <w:rFonts w:ascii="Times New Roman" w:hAnsi="Times New Roman"/>
          <w:noProof/>
          <w:szCs w:val="24"/>
        </w:rPr>
        <w:t>[36,37]</w:t>
      </w:r>
      <w:r w:rsidRPr="00031814">
        <w:rPr>
          <w:rFonts w:ascii="Times New Roman" w:hAnsi="Times New Roman"/>
          <w:szCs w:val="24"/>
        </w:rPr>
        <w:t xml:space="preserve">. The kinetics of this phenomenon, known as low temperature degradation (LTD) or ageing, are highly sensitive to processing changes, as attested by the failure of Prozyr® zirconia femoral heads in 2002 </w:t>
      </w:r>
      <w:r w:rsidRPr="00031814">
        <w:rPr>
          <w:rFonts w:ascii="Times New Roman" w:hAnsi="Times New Roman"/>
          <w:noProof/>
          <w:szCs w:val="24"/>
        </w:rPr>
        <w:t>[38]</w:t>
      </w:r>
      <w:r w:rsidRPr="00031814">
        <w:rPr>
          <w:rFonts w:ascii="Times New Roman" w:hAnsi="Times New Roman"/>
          <w:szCs w:val="24"/>
        </w:rPr>
        <w:t xml:space="preserve">. Even if ZTA is much more resistant to LTD than monolithic zirconia, it has been shown that it can still present a certain degree of surface tetragonal to monoclinic phase transformation in the presence of water </w:t>
      </w:r>
      <w:r w:rsidRPr="00031814">
        <w:rPr>
          <w:rFonts w:ascii="Times New Roman" w:hAnsi="Times New Roman"/>
          <w:noProof/>
          <w:szCs w:val="24"/>
        </w:rPr>
        <w:t>[39–41]</w:t>
      </w:r>
      <w:r w:rsidRPr="00031814">
        <w:rPr>
          <w:rFonts w:ascii="Times New Roman" w:hAnsi="Times New Roman"/>
          <w:szCs w:val="24"/>
        </w:rPr>
        <w:t>. All these elements lead to the following conclusion: to ensure long-term reliability and patient safety, any change in the processing of zirconia-containing ceramics should be accompanied with a careful assessment of its impact on mechanical properties and ageing sensitivity, especially in the presence of porosity.</w:t>
      </w:r>
    </w:p>
    <w:p w:rsidR="001E18F2" w:rsidRPr="00D029F7" w:rsidRDefault="001E18F2" w:rsidP="001E18F2">
      <w:pPr>
        <w:spacing w:line="480" w:lineRule="auto"/>
        <w:ind w:firstLine="360"/>
        <w:rPr>
          <w:rFonts w:ascii="Times New Roman" w:hAnsi="Times New Roman"/>
          <w:szCs w:val="24"/>
        </w:rPr>
      </w:pPr>
      <w:r w:rsidRPr="00031814">
        <w:rPr>
          <w:rFonts w:ascii="Times New Roman" w:hAnsi="Times New Roman"/>
          <w:szCs w:val="24"/>
        </w:rPr>
        <w:t xml:space="preserve">To address the issues mentioned above, here we develop new methods for </w:t>
      </w:r>
      <w:r w:rsidRPr="00D029F7">
        <w:rPr>
          <w:rFonts w:ascii="Times New Roman" w:hAnsi="Times New Roman"/>
          <w:szCs w:val="24"/>
        </w:rPr>
        <w:t xml:space="preserve">the fabrication of reliable ZTA ceramics with surface properties tailored for promoting osseointegration and preventing infections, with the perspective of enabling the implantation of ZTA components in </w:t>
      </w:r>
      <w:r w:rsidRPr="00D029F7">
        <w:rPr>
          <w:rFonts w:ascii="Times New Roman" w:hAnsi="Times New Roman"/>
          <w:szCs w:val="24"/>
        </w:rPr>
        <w:lastRenderedPageBreak/>
        <w:t>direct contact with bone in the future. To achieve this goal, we hypothesize that surface topography should be controlled at both the micro- and the nano-scale to induce an adequate bone response, and that local drug delivery can reduce dramatically the risk of infections. Our approach was the following: samples with a tailored micro-topography were obtained by injection molding and a novel process, based on the selective dissolution of the zirconia phase (selective etching), allowed the induction of nano-roughness and the formation of an interconnected porous alumina layer. A careful assessment of the impact of selective etching on mechanical properties and ageing sensitivity was conducted and a proof of concept that the porous layer can be used as a carrier for drug delivery was demonstrated.</w:t>
      </w:r>
    </w:p>
    <w:p w:rsidR="001E18F2" w:rsidRPr="00D029F7" w:rsidRDefault="001E18F2" w:rsidP="001E18F2">
      <w:pPr>
        <w:pStyle w:val="ListParagraph"/>
        <w:numPr>
          <w:ilvl w:val="0"/>
          <w:numId w:val="9"/>
        </w:numPr>
        <w:spacing w:line="480" w:lineRule="auto"/>
        <w:rPr>
          <w:rFonts w:ascii="Times New Roman" w:eastAsia="Times New Roman" w:hAnsi="Times New Roman"/>
          <w:b/>
          <w:sz w:val="24"/>
          <w:szCs w:val="24"/>
          <w:lang w:val="fr-FR"/>
        </w:rPr>
      </w:pPr>
      <w:r w:rsidRPr="00D029F7">
        <w:rPr>
          <w:rFonts w:ascii="Times New Roman" w:eastAsia="Times New Roman" w:hAnsi="Times New Roman"/>
          <w:b/>
          <w:sz w:val="24"/>
          <w:szCs w:val="24"/>
          <w:lang w:val="fr-FR"/>
        </w:rPr>
        <w:t>Materials and methods</w:t>
      </w:r>
    </w:p>
    <w:p w:rsidR="001E18F2" w:rsidRPr="00D029F7" w:rsidRDefault="001E18F2" w:rsidP="001E18F2">
      <w:pPr>
        <w:pStyle w:val="ListParagraph"/>
        <w:numPr>
          <w:ilvl w:val="1"/>
          <w:numId w:val="9"/>
        </w:numPr>
        <w:spacing w:line="480" w:lineRule="auto"/>
        <w:ind w:left="426"/>
        <w:rPr>
          <w:rFonts w:ascii="Times New Roman" w:eastAsia="Times New Roman" w:hAnsi="Times New Roman"/>
          <w:b/>
          <w:sz w:val="24"/>
          <w:szCs w:val="24"/>
          <w:lang w:val="en-US"/>
        </w:rPr>
      </w:pPr>
      <w:r w:rsidRPr="00D029F7">
        <w:rPr>
          <w:rFonts w:ascii="Times New Roman" w:eastAsia="Times New Roman" w:hAnsi="Times New Roman"/>
          <w:b/>
          <w:sz w:val="24"/>
          <w:szCs w:val="24"/>
          <w:lang w:val="en-US"/>
        </w:rPr>
        <w:t>Fabrication of samples with a controlled micro-topography by injection molding</w:t>
      </w:r>
    </w:p>
    <w:p w:rsidR="001E18F2" w:rsidRPr="00D029F7" w:rsidRDefault="001E18F2" w:rsidP="001E18F2">
      <w:pPr>
        <w:spacing w:line="480" w:lineRule="auto"/>
        <w:ind w:firstLine="426"/>
        <w:rPr>
          <w:rFonts w:ascii="Times New Roman" w:hAnsi="Times New Roman"/>
          <w:szCs w:val="24"/>
        </w:rPr>
      </w:pPr>
      <w:r w:rsidRPr="00D029F7">
        <w:rPr>
          <w:rFonts w:ascii="Times New Roman" w:hAnsi="Times New Roman"/>
          <w:szCs w:val="24"/>
        </w:rPr>
        <w:t>The ZTA composites produced in this study were fabricated at CeramTec GmbH (Plochingen, Germany) and consisted of an alumina matrix (80 vol. %) containing a small amount of chromia (about 0.3 wt. %) reinforced with a secondary phase composed of yttria-stabilized zirconia (Y-TZP, 17 vol. %) and SrAl</w:t>
      </w:r>
      <w:r w:rsidRPr="00D029F7">
        <w:rPr>
          <w:rFonts w:ascii="Times New Roman" w:hAnsi="Times New Roman"/>
          <w:szCs w:val="24"/>
          <w:vertAlign w:val="subscript"/>
        </w:rPr>
        <w:t>12</w:t>
      </w:r>
      <w:r w:rsidRPr="00D029F7">
        <w:rPr>
          <w:rFonts w:ascii="Times New Roman" w:hAnsi="Times New Roman"/>
          <w:szCs w:val="24"/>
        </w:rPr>
        <w:t>O</w:t>
      </w:r>
      <w:r w:rsidRPr="00D029F7">
        <w:rPr>
          <w:rFonts w:ascii="Times New Roman" w:hAnsi="Times New Roman"/>
          <w:szCs w:val="24"/>
          <w:vertAlign w:val="subscript"/>
        </w:rPr>
        <w:t>19</w:t>
      </w:r>
      <w:r w:rsidRPr="00D029F7">
        <w:rPr>
          <w:rFonts w:ascii="Times New Roman" w:hAnsi="Times New Roman"/>
          <w:szCs w:val="24"/>
        </w:rPr>
        <w:t xml:space="preserve"> platelets (3 vol. %).</w:t>
      </w:r>
    </w:p>
    <w:p w:rsidR="001E18F2" w:rsidRPr="00D029F7" w:rsidRDefault="001E18F2" w:rsidP="001E18F2">
      <w:pPr>
        <w:spacing w:line="480" w:lineRule="auto"/>
        <w:ind w:firstLine="426"/>
        <w:rPr>
          <w:rFonts w:ascii="Times New Roman" w:hAnsi="Times New Roman"/>
          <w:szCs w:val="24"/>
        </w:rPr>
      </w:pPr>
      <w:r w:rsidRPr="00D029F7">
        <w:rPr>
          <w:rFonts w:ascii="Times New Roman" w:hAnsi="Times New Roman"/>
          <w:szCs w:val="24"/>
        </w:rPr>
        <w:t xml:space="preserve">An aqueous slurry containing a mixture of alumina, zirconia, strontia, chromia and yttria  powders was prepared using electrosteric dispersants. Wet milling was performed in a rotary mill, using zirconia milling balls. The slurry was spray-dried without any organic additive. The ceramic powder was then mixed with an organic binder system (about 45 vol.%), mainly consisting of polyethylene glycol, polyvinyl butyral and stearic acid (proprietary, confidential composition). Homogenization was achieved in a shear roller plant, where the powder-binder mixture was heated up to about 100 °C and then sheared and compressed between two rotating rollers. </w:t>
      </w:r>
    </w:p>
    <w:p w:rsidR="001E18F2" w:rsidRPr="00D029F7" w:rsidRDefault="001E18F2" w:rsidP="001E18F2">
      <w:pPr>
        <w:spacing w:line="480" w:lineRule="auto"/>
        <w:ind w:firstLine="426"/>
        <w:rPr>
          <w:rFonts w:ascii="Times New Roman" w:hAnsi="Times New Roman"/>
          <w:szCs w:val="24"/>
        </w:rPr>
      </w:pPr>
      <w:r w:rsidRPr="00D029F7">
        <w:rPr>
          <w:rFonts w:ascii="Times New Roman" w:hAnsi="Times New Roman"/>
          <w:szCs w:val="24"/>
        </w:rPr>
        <w:lastRenderedPageBreak/>
        <w:t xml:space="preserve">Green bodies in the shape of disks were obtained by high pressure injection molding (P ≈ 1000 bar, temperature up to 150 °C). The air contained in the feedstock was evacuated prior to injection. The injection molding process is represented in Figure 1 and is carried out as follows: the feedstock granules are poured into the barrel of the molding machine. They are gravity fed towards the screw unit and driven along the screw until the nozzle. All along the screw unit, the feedstock is heated to get a good flowability. Then, the screw is pushed forward and injects the material through the nozzle into the mold. When the mold cavity is completely filled, the machine opens the tools and the ejector pins are activated to push the green body out of the mold. </w:t>
      </w:r>
    </w:p>
    <w:p w:rsidR="001E18F2" w:rsidRPr="00D029F7" w:rsidRDefault="001E18F2" w:rsidP="001E18F2">
      <w:pPr>
        <w:spacing w:line="480" w:lineRule="auto"/>
        <w:ind w:firstLine="426"/>
        <w:rPr>
          <w:rFonts w:ascii="Times New Roman" w:hAnsi="Times New Roman"/>
          <w:szCs w:val="24"/>
        </w:rPr>
      </w:pPr>
      <w:r w:rsidRPr="00D029F7">
        <w:rPr>
          <w:rFonts w:ascii="Times New Roman" w:hAnsi="Times New Roman"/>
          <w:szCs w:val="24"/>
        </w:rPr>
        <w:t xml:space="preserve">Debinding, </w:t>
      </w:r>
      <w:r w:rsidRPr="00D029F7">
        <w:rPr>
          <w:rFonts w:ascii="Times New Roman" w:hAnsi="Times New Roman"/>
          <w:i/>
          <w:szCs w:val="24"/>
        </w:rPr>
        <w:t>i.e.</w:t>
      </w:r>
      <w:r w:rsidRPr="00D029F7">
        <w:rPr>
          <w:rFonts w:ascii="Times New Roman" w:hAnsi="Times New Roman"/>
          <w:szCs w:val="24"/>
        </w:rPr>
        <w:t xml:space="preserve"> evaporation of the polymer from the green body was achieved with extremely slow and well controlled heating up to 350 °C. The green bodies were then subjected to a three-step heat treatment. The first sintering step was performed in a gas furnace at T ≈ 1500 °C, obtaining a relative density of 96 – 99 %. Further densification and elimination of the defects was achieved by hot isostatic pressing (T ≈ 1400 °C, P ≈ 1200 bar) in argon atmosphere. To compensate the depletion of oxygen ions in the lattice related to the previous step, specimens were subjected to a final whitening step at T ≈ 1200 °C. Total linear shrinkage after debinding and sintering was about 18 % (final disk diameter: 20 mm, final disk thickness: 2 mm).</w:t>
      </w:r>
    </w:p>
    <w:p w:rsidR="001E18F2" w:rsidRPr="00D029F7" w:rsidRDefault="001E18F2" w:rsidP="001E18F2">
      <w:pPr>
        <w:spacing w:line="480" w:lineRule="auto"/>
        <w:ind w:firstLine="426"/>
        <w:rPr>
          <w:rFonts w:ascii="Times New Roman" w:hAnsi="Times New Roman"/>
          <w:szCs w:val="24"/>
        </w:rPr>
      </w:pPr>
      <w:r w:rsidRPr="00D029F7">
        <w:rPr>
          <w:rFonts w:ascii="Times New Roman" w:hAnsi="Times New Roman"/>
          <w:szCs w:val="24"/>
        </w:rPr>
        <w:t>To achieve different micro-topographies, the surfaces of three molds were sandblasted (Sandmaster FG 2-94, Zofingen, Switzerland; blasting material: SiC; particle size: 180 µm; angle: 45 º; distance: 20 mm) with increasing pressures (1 bar, 2 bar and 7 bar). The resulting surfaces, ordered from smoothest to roughest (</w:t>
      </w:r>
      <w:r w:rsidRPr="00D029F7">
        <w:rPr>
          <w:rFonts w:ascii="Times New Roman" w:hAnsi="Times New Roman"/>
          <w:i/>
          <w:szCs w:val="24"/>
        </w:rPr>
        <w:t>i.e.</w:t>
      </w:r>
      <w:r w:rsidRPr="00D029F7">
        <w:rPr>
          <w:rFonts w:ascii="Times New Roman" w:hAnsi="Times New Roman"/>
          <w:szCs w:val="24"/>
        </w:rPr>
        <w:t>, lowest to highest pressure), will be referred to as “low”, “medium” and “high” in the rest of the manuscript. Additionally, a batch of samples injected in a flat mold and a batch of polished samples were produced. The back surface of all disks was ground in order to remove the “gate”, which is inherent to the injection molding process.</w:t>
      </w:r>
    </w:p>
    <w:p w:rsidR="001E18F2" w:rsidRPr="00D029F7" w:rsidRDefault="001E18F2" w:rsidP="001E18F2">
      <w:pPr>
        <w:spacing w:line="480" w:lineRule="auto"/>
        <w:ind w:firstLine="426"/>
        <w:jc w:val="center"/>
        <w:rPr>
          <w:rFonts w:ascii="Times New Roman" w:hAnsi="Times New Roman"/>
          <w:szCs w:val="24"/>
        </w:rPr>
      </w:pPr>
      <w:r w:rsidRPr="00D029F7">
        <w:rPr>
          <w:rFonts w:ascii="Times New Roman" w:hAnsi="Times New Roman"/>
          <w:noProof/>
          <w:szCs w:val="24"/>
          <w:lang w:val="en-GB" w:eastAsia="en-GB"/>
        </w:rPr>
        <w:lastRenderedPageBreak/>
        <w:drawing>
          <wp:inline distT="0" distB="0" distL="0" distR="0" wp14:anchorId="3A512D49" wp14:editId="574313FF">
            <wp:extent cx="4505325" cy="4555865"/>
            <wp:effectExtent l="0" t="0" r="0" b="0"/>
            <wp:docPr id="4" name="Imagen 4" descr="C:\Users\Quentin Flamant\Documents\Rapport-articles\Selective etching ZTA\Revision\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uentin Flamant\Documents\Rapport-articles\Selective etching ZTA\Revision\Figure 1.tif"/>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4515874" cy="4566533"/>
                    </a:xfrm>
                    <a:prstGeom prst="rect">
                      <a:avLst/>
                    </a:prstGeom>
                    <a:noFill/>
                    <a:ln>
                      <a:noFill/>
                    </a:ln>
                  </pic:spPr>
                </pic:pic>
              </a:graphicData>
            </a:graphic>
          </wp:inline>
        </w:drawing>
      </w:r>
    </w:p>
    <w:p w:rsidR="001E18F2" w:rsidRPr="00D029F7" w:rsidRDefault="001E18F2" w:rsidP="001E18F2">
      <w:pPr>
        <w:spacing w:line="276" w:lineRule="auto"/>
        <w:rPr>
          <w:rFonts w:ascii="Times New Roman" w:hAnsi="Times New Roman"/>
        </w:rPr>
      </w:pPr>
      <w:bookmarkStart w:id="0" w:name="_Ref457504411"/>
      <w:r w:rsidRPr="00D029F7">
        <w:rPr>
          <w:rFonts w:ascii="Times New Roman" w:hAnsi="Times New Roman"/>
          <w:b/>
          <w:szCs w:val="24"/>
        </w:rPr>
        <w:t xml:space="preserve">Figure </w:t>
      </w:r>
      <w:r w:rsidRPr="00D029F7">
        <w:rPr>
          <w:rFonts w:ascii="Times New Roman" w:hAnsi="Times New Roman"/>
          <w:b/>
          <w:noProof/>
          <w:szCs w:val="24"/>
        </w:rPr>
        <w:t>1</w:t>
      </w:r>
      <w:bookmarkEnd w:id="0"/>
      <w:r w:rsidRPr="00D029F7">
        <w:rPr>
          <w:rFonts w:ascii="Times New Roman" w:hAnsi="Times New Roman"/>
          <w:b/>
          <w:szCs w:val="24"/>
        </w:rPr>
        <w:t>.</w:t>
      </w:r>
      <w:r w:rsidRPr="00D029F7">
        <w:rPr>
          <w:rFonts w:ascii="Times New Roman" w:hAnsi="Times New Roman"/>
          <w:szCs w:val="24"/>
        </w:rPr>
        <w:t xml:space="preserve"> </w:t>
      </w:r>
      <w:r w:rsidRPr="00D029F7">
        <w:rPr>
          <w:rFonts w:ascii="Times New Roman" w:hAnsi="Times New Roman"/>
        </w:rPr>
        <w:t>a) Sketch of the injection molding process; b) example of mold part with a roughened surface; c) example of injected zirconia-toughened alumina disk after sintering.</w:t>
      </w:r>
    </w:p>
    <w:p w:rsidR="001E18F2" w:rsidRPr="00D029F7" w:rsidRDefault="001E18F2" w:rsidP="001E18F2">
      <w:pPr>
        <w:pStyle w:val="ListParagraph"/>
        <w:numPr>
          <w:ilvl w:val="1"/>
          <w:numId w:val="9"/>
        </w:numPr>
        <w:spacing w:line="480" w:lineRule="auto"/>
        <w:rPr>
          <w:rFonts w:ascii="Times New Roman" w:eastAsia="Times New Roman" w:hAnsi="Times New Roman"/>
          <w:b/>
          <w:sz w:val="24"/>
          <w:szCs w:val="24"/>
          <w:lang w:val="en-US"/>
        </w:rPr>
      </w:pPr>
      <w:r w:rsidRPr="00D029F7">
        <w:rPr>
          <w:rFonts w:ascii="Times New Roman" w:eastAsia="Times New Roman" w:hAnsi="Times New Roman"/>
          <w:b/>
          <w:sz w:val="24"/>
          <w:szCs w:val="24"/>
          <w:lang w:val="en-US"/>
        </w:rPr>
        <w:t>Generation of nano-roughness and interconnected porosity by selective etching</w:t>
      </w:r>
    </w:p>
    <w:p w:rsidR="001E18F2" w:rsidRPr="00D029F7" w:rsidRDefault="001E18F2" w:rsidP="001E18F2">
      <w:pPr>
        <w:spacing w:line="480" w:lineRule="auto"/>
        <w:ind w:left="61" w:firstLine="365"/>
        <w:rPr>
          <w:rFonts w:ascii="Times New Roman" w:hAnsi="Times New Roman"/>
          <w:szCs w:val="24"/>
        </w:rPr>
      </w:pPr>
      <w:r w:rsidRPr="00D029F7">
        <w:rPr>
          <w:rFonts w:ascii="Times New Roman" w:hAnsi="Times New Roman"/>
        </w:rPr>
        <w:t xml:space="preserve">Specimens obtained by injection molding were successively cleaned by sonication in pure acetone, pure ethanol and deionized water in order to remove contaminants (5 min for each step). Based on the fact that zirconium dioxide can be dissolved in hydrofluoric acid (HF) </w:t>
      </w:r>
      <w:r w:rsidRPr="00D029F7">
        <w:rPr>
          <w:rFonts w:ascii="Times New Roman" w:hAnsi="Times New Roman"/>
          <w:noProof/>
        </w:rPr>
        <w:t>[42]</w:t>
      </w:r>
      <w:r w:rsidRPr="00D029F7">
        <w:rPr>
          <w:rFonts w:ascii="Times New Roman" w:hAnsi="Times New Roman"/>
        </w:rPr>
        <w:t xml:space="preserve"> while α-alumina is highly resistant to HF </w:t>
      </w:r>
      <w:r w:rsidRPr="00D029F7">
        <w:rPr>
          <w:rFonts w:ascii="Times New Roman" w:hAnsi="Times New Roman"/>
          <w:noProof/>
        </w:rPr>
        <w:t>[43]</w:t>
      </w:r>
      <w:r w:rsidRPr="00D029F7">
        <w:rPr>
          <w:rFonts w:ascii="Times New Roman" w:hAnsi="Times New Roman"/>
        </w:rPr>
        <w:t xml:space="preserve">, </w:t>
      </w:r>
      <w:r w:rsidRPr="00D029F7">
        <w:rPr>
          <w:rFonts w:ascii="Times New Roman" w:hAnsi="Times New Roman"/>
          <w:szCs w:val="24"/>
        </w:rPr>
        <w:t xml:space="preserve">a selective removal of the zirconia phase was achieved by immersing the samples in </w:t>
      </w:r>
      <w:r w:rsidRPr="00D029F7">
        <w:rPr>
          <w:rFonts w:ascii="Times New Roman" w:hAnsi="Times New Roman"/>
        </w:rPr>
        <w:t xml:space="preserve">concentrated HF (Hydrofluoric Acid 40% QP, Panreac, Barcelona, Spain) at room temperature for times comprised between 6 h, 1, 2, 4, 8 and 12 days. Each sample was placed in an individual high-density polyethylene flask with 4 mL of solution. After etching, </w:t>
      </w:r>
      <w:r w:rsidRPr="00D029F7">
        <w:rPr>
          <w:rFonts w:ascii="Times New Roman" w:hAnsi="Times New Roman"/>
        </w:rPr>
        <w:lastRenderedPageBreak/>
        <w:t xml:space="preserve">the samples were rinsed and sonicated in deionized water. </w:t>
      </w:r>
      <w:r w:rsidRPr="00D029F7">
        <w:rPr>
          <w:rFonts w:ascii="Times New Roman" w:hAnsi="Times New Roman"/>
          <w:szCs w:val="24"/>
        </w:rPr>
        <w:t>The formation of fluoride precipitates, which remained trapped into the pores, was detected when observing the surface by scanning electron microscopy (SEM, Neon40, Carl Zeiss AG, Oberkochen, Germany). To dissolve them, the specimens were immersed in 8 mL of concentrated HCl (Hydrochloric acid 37%,</w:t>
      </w:r>
      <w:r w:rsidRPr="00D029F7">
        <w:rPr>
          <w:rFonts w:ascii="Times New Roman" w:hAnsi="Times New Roman"/>
        </w:rPr>
        <w:t xml:space="preserve"> Panreac, Barcelona, Spain</w:t>
      </w:r>
      <w:r w:rsidRPr="00D029F7">
        <w:rPr>
          <w:rFonts w:ascii="Times New Roman" w:hAnsi="Times New Roman"/>
          <w:szCs w:val="24"/>
        </w:rPr>
        <w:t xml:space="preserve">) for 1 h. </w:t>
      </w:r>
      <w:r w:rsidRPr="00D029F7">
        <w:rPr>
          <w:rFonts w:ascii="Times New Roman" w:hAnsi="Times New Roman"/>
        </w:rPr>
        <w:t>As will be discussed later, monitoring etching time made possible to obtain either a superficial removal of zirconia, inducing nano-roughness, or an in-depth removal which resulted in the formation of both nano-roughness and interconnected porosity in a surface layer.</w:t>
      </w:r>
    </w:p>
    <w:p w:rsidR="001E18F2" w:rsidRPr="00D029F7" w:rsidRDefault="001E18F2" w:rsidP="001E18F2">
      <w:pPr>
        <w:pStyle w:val="ListParagraph"/>
        <w:numPr>
          <w:ilvl w:val="1"/>
          <w:numId w:val="9"/>
        </w:numPr>
        <w:spacing w:line="480" w:lineRule="auto"/>
        <w:ind w:left="426"/>
        <w:rPr>
          <w:rFonts w:ascii="Times New Roman" w:eastAsia="Times New Roman" w:hAnsi="Times New Roman"/>
          <w:b/>
          <w:sz w:val="24"/>
          <w:szCs w:val="24"/>
          <w:lang w:val="en-US"/>
        </w:rPr>
      </w:pPr>
      <w:r w:rsidRPr="00D029F7">
        <w:rPr>
          <w:rFonts w:ascii="Times New Roman" w:eastAsia="Times New Roman" w:hAnsi="Times New Roman"/>
          <w:b/>
          <w:sz w:val="24"/>
          <w:szCs w:val="24"/>
          <w:lang w:val="en-US"/>
        </w:rPr>
        <w:t>Surface characterization</w:t>
      </w:r>
    </w:p>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r w:rsidRPr="00D029F7">
        <w:rPr>
          <w:rFonts w:ascii="Times New Roman" w:eastAsia="Times New Roman" w:hAnsi="Times New Roman"/>
          <w:i/>
          <w:sz w:val="24"/>
          <w:szCs w:val="24"/>
          <w:lang w:val="en-US"/>
        </w:rPr>
        <w:t>Surface morphology</w:t>
      </w:r>
    </w:p>
    <w:p w:rsidR="001E18F2" w:rsidRPr="00D029F7" w:rsidRDefault="001E18F2" w:rsidP="001E18F2">
      <w:pPr>
        <w:spacing w:line="480" w:lineRule="auto"/>
        <w:ind w:left="63" w:firstLine="504"/>
        <w:rPr>
          <w:rFonts w:ascii="Times New Roman" w:hAnsi="Times New Roman"/>
          <w:szCs w:val="24"/>
        </w:rPr>
      </w:pPr>
      <w:r w:rsidRPr="00D029F7">
        <w:rPr>
          <w:rFonts w:ascii="Times New Roman" w:hAnsi="Times New Roman"/>
          <w:szCs w:val="24"/>
        </w:rPr>
        <w:t>The surface morphology of polished and micro-rough specimens was observed by SEM after the main steps of the fabrication process (sintering, etching in HF, dissolution of the reaction precipitates in HCl; two samples per step and per surface type).</w:t>
      </w:r>
    </w:p>
    <w:p w:rsidR="001E18F2" w:rsidRPr="00D029F7" w:rsidRDefault="001E18F2" w:rsidP="001E18F2">
      <w:pPr>
        <w:spacing w:line="480" w:lineRule="auto"/>
        <w:ind w:left="63" w:firstLine="504"/>
        <w:rPr>
          <w:rFonts w:ascii="Times New Roman" w:hAnsi="Times New Roman"/>
          <w:szCs w:val="24"/>
        </w:rPr>
      </w:pPr>
    </w:p>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r w:rsidRPr="00D029F7">
        <w:rPr>
          <w:rFonts w:ascii="Times New Roman" w:eastAsia="Times New Roman" w:hAnsi="Times New Roman"/>
          <w:i/>
          <w:sz w:val="24"/>
          <w:szCs w:val="24"/>
          <w:lang w:val="en-US"/>
        </w:rPr>
        <w:t>Surface topography</w:t>
      </w:r>
    </w:p>
    <w:p w:rsidR="001E18F2" w:rsidRPr="00D029F7" w:rsidRDefault="001E18F2" w:rsidP="001E18F2">
      <w:pPr>
        <w:spacing w:line="480" w:lineRule="auto"/>
        <w:ind w:firstLine="426"/>
        <w:rPr>
          <w:rFonts w:ascii="Times New Roman" w:hAnsi="Times New Roman"/>
        </w:rPr>
      </w:pPr>
      <w:r w:rsidRPr="00D029F7">
        <w:rPr>
          <w:rFonts w:ascii="Times New Roman" w:hAnsi="Times New Roman"/>
        </w:rPr>
        <w:t xml:space="preserve">White light interferometry (WLI, Wyko 9300NT, Veeco, Oyster Bay, USA) and atomic force microscopy (AFM, Dimension 3100, Veeco, Oyster Bay, USA) in tapping mode were used to characterize micro- and nano-topography, respectively. WLI measurements were performed before selective etching on ten polished specimens and ten micro-rough specimens for each type of injection mold surface (“low”, “medium”, “high”; area of observation: 150 µm x 150 µm obtained by stitching of four images acquired at magnification 50x, resolution: 758 x 758 pixels). AFM measurements were performed on five polished samples before and after selective etching </w:t>
      </w:r>
      <w:r w:rsidRPr="00D029F7">
        <w:rPr>
          <w:rFonts w:ascii="Times New Roman" w:hAnsi="Times New Roman"/>
        </w:rPr>
        <w:lastRenderedPageBreak/>
        <w:t>(area of observation: 50 µm x 50 µm for roughness analysis and 10 µm x 10 µm for imaging, resolution: 512 x 512 pixels). The roughness analysis of the data from WLI and AFM was carried out using Veeco's Vision® software. Tilt was corrected and a robust short wavelength pass Gaussian filter was applied to the data in order to separate waviness from roughness. The cut-off wavelength of the filter was set to 10 µm for WLI and 1 µm for AFM. In order to fully characterize the topography, one 3D roughness parameter of each of the usual categories was determined</w:t>
      </w:r>
      <w:r w:rsidRPr="00D029F7">
        <w:rPr>
          <w:rFonts w:ascii="Times New Roman" w:hAnsi="Times New Roman"/>
          <w:szCs w:val="24"/>
        </w:rPr>
        <w:t xml:space="preserve"> as recommended by</w:t>
      </w:r>
      <w:r w:rsidRPr="00D029F7">
        <w:rPr>
          <w:rFonts w:ascii="Times New Roman" w:hAnsi="Times New Roman"/>
        </w:rPr>
        <w:t xml:space="preserve"> Wennerberg </w:t>
      </w:r>
      <w:r w:rsidRPr="00D029F7">
        <w:rPr>
          <w:rFonts w:ascii="Times New Roman" w:hAnsi="Times New Roman"/>
          <w:i/>
        </w:rPr>
        <w:t>et al.</w:t>
      </w:r>
      <w:r w:rsidRPr="00D029F7">
        <w:rPr>
          <w:rFonts w:ascii="Times New Roman" w:hAnsi="Times New Roman"/>
        </w:rPr>
        <w:t xml:space="preserve"> </w:t>
      </w:r>
      <w:r w:rsidRPr="00D029F7">
        <w:rPr>
          <w:rFonts w:ascii="Times New Roman" w:hAnsi="Times New Roman"/>
          <w:noProof/>
        </w:rPr>
        <w:t>[44,45]</w:t>
      </w:r>
      <w:r w:rsidRPr="00D029F7">
        <w:rPr>
          <w:rFonts w:ascii="Times New Roman" w:hAnsi="Times New Roman"/>
        </w:rPr>
        <w:t xml:space="preserve"> (</w:t>
      </w:r>
      <w:r w:rsidRPr="00D029F7">
        <w:rPr>
          <w:rFonts w:ascii="Times New Roman" w:hAnsi="Times New Roman"/>
          <w:szCs w:val="24"/>
        </w:rPr>
        <w:t xml:space="preserve">Table 1). Considering the cut-off wavelengths </w:t>
      </w:r>
      <w:r w:rsidRPr="00D029F7">
        <w:rPr>
          <w:rFonts w:ascii="Times New Roman" w:hAnsi="Times New Roman"/>
        </w:rPr>
        <w:t>and the lateral resolutions (micrometric for WLI, nanometric for AFM) associated to each device, the roughness measurements obtained from AFM data analysis will be referred to as “nano-roughness” whereas the measurements obtained from WLI data will be referred to as “micro-roughness”.</w:t>
      </w:r>
    </w:p>
    <w:p w:rsidR="001E18F2" w:rsidRPr="00D029F7" w:rsidRDefault="001E18F2" w:rsidP="001E18F2">
      <w:pPr>
        <w:spacing w:line="480" w:lineRule="auto"/>
        <w:ind w:firstLine="426"/>
        <w:rPr>
          <w:rFonts w:ascii="Times New Roman" w:hAnsi="Times New Roman"/>
          <w:szCs w:val="24"/>
        </w:rPr>
      </w:pPr>
      <w:r w:rsidRPr="00D029F7">
        <w:rPr>
          <w:rFonts w:ascii="Times New Roman" w:hAnsi="Times New Roman"/>
          <w:szCs w:val="24"/>
        </w:rPr>
        <w:t>Statistical analysis of the roughness data was performed using SPSS® software (version 20, SPSS Inc., Chicago, USA). The normality of variances was verified with a Shapiro-Wilk test. The data failed to pass Levene’s test of homogeneity of variances. Consequently, a one-way Welch’s ANOVA with Games-Howell multiple comparison tests was carried out with a significance level set at p &lt; 0.05.</w:t>
      </w:r>
    </w:p>
    <w:p w:rsidR="001E18F2" w:rsidRPr="00D029F7" w:rsidRDefault="001E18F2" w:rsidP="001E18F2">
      <w:pPr>
        <w:spacing w:line="480" w:lineRule="auto"/>
        <w:rPr>
          <w:rFonts w:ascii="Times New Roman" w:hAnsi="Times New Roman"/>
          <w:szCs w:val="24"/>
        </w:rPr>
      </w:pPr>
      <w:bookmarkStart w:id="1" w:name="_Ref423626843"/>
      <w:r w:rsidRPr="00D029F7">
        <w:rPr>
          <w:rFonts w:ascii="Times New Roman" w:hAnsi="Times New Roman"/>
          <w:b/>
          <w:szCs w:val="24"/>
        </w:rPr>
        <w:t xml:space="preserve">Table </w:t>
      </w:r>
      <w:r w:rsidRPr="00D029F7">
        <w:rPr>
          <w:rFonts w:ascii="Times New Roman" w:hAnsi="Times New Roman"/>
          <w:b/>
          <w:noProof/>
          <w:szCs w:val="24"/>
        </w:rPr>
        <w:t>1</w:t>
      </w:r>
      <w:bookmarkEnd w:id="1"/>
      <w:r w:rsidRPr="00D029F7">
        <w:rPr>
          <w:rFonts w:ascii="Times New Roman" w:hAnsi="Times New Roman"/>
          <w:b/>
          <w:szCs w:val="24"/>
        </w:rPr>
        <w:t>.</w:t>
      </w:r>
      <w:r w:rsidRPr="00D029F7">
        <w:rPr>
          <w:rFonts w:ascii="Times New Roman" w:hAnsi="Times New Roman"/>
          <w:szCs w:val="24"/>
        </w:rPr>
        <w:t xml:space="preserve"> Description of the 3D roughness parameters used in this study </w:t>
      </w:r>
      <w:r w:rsidRPr="00D029F7">
        <w:rPr>
          <w:rFonts w:ascii="Times New Roman" w:hAnsi="Times New Roman"/>
          <w:noProof/>
          <w:szCs w:val="24"/>
        </w:rPr>
        <w:t>[46–48]</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275"/>
        <w:gridCol w:w="2977"/>
        <w:gridCol w:w="3260"/>
      </w:tblGrid>
      <w:tr w:rsidR="001E18F2" w:rsidRPr="00D029F7" w:rsidTr="00B96D2F">
        <w:tc>
          <w:tcPr>
            <w:tcW w:w="1101" w:type="dxa"/>
            <w:shd w:val="clear" w:color="auto" w:fill="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Symbol</w:t>
            </w:r>
          </w:p>
        </w:tc>
        <w:tc>
          <w:tcPr>
            <w:tcW w:w="1275" w:type="dxa"/>
            <w:shd w:val="clear" w:color="auto" w:fill="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Category</w:t>
            </w:r>
          </w:p>
        </w:tc>
        <w:tc>
          <w:tcPr>
            <w:tcW w:w="2977" w:type="dxa"/>
            <w:shd w:val="clear" w:color="auto" w:fill="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Name of the parameter</w:t>
            </w:r>
          </w:p>
        </w:tc>
        <w:tc>
          <w:tcPr>
            <w:tcW w:w="3260" w:type="dxa"/>
            <w:shd w:val="clear" w:color="auto" w:fill="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Description</w:t>
            </w:r>
          </w:p>
        </w:tc>
      </w:tr>
      <w:tr w:rsidR="001E18F2" w:rsidRPr="00D029F7" w:rsidTr="00B96D2F">
        <w:trPr>
          <w:trHeight w:val="259"/>
        </w:trPr>
        <w:tc>
          <w:tcPr>
            <w:tcW w:w="1101"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S</w:t>
            </w:r>
            <w:r w:rsidRPr="00D029F7">
              <w:rPr>
                <w:rFonts w:ascii="Times New Roman" w:hAnsi="Times New Roman"/>
                <w:szCs w:val="24"/>
                <w:vertAlign w:val="subscript"/>
              </w:rPr>
              <w:t>a</w:t>
            </w:r>
          </w:p>
        </w:tc>
        <w:tc>
          <w:tcPr>
            <w:tcW w:w="1275"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Amplitude</w:t>
            </w:r>
          </w:p>
        </w:tc>
        <w:tc>
          <w:tcPr>
            <w:tcW w:w="2977"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Average roughness</w:t>
            </w:r>
          </w:p>
        </w:tc>
        <w:tc>
          <w:tcPr>
            <w:tcW w:w="3260"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Average of height values</w:t>
            </w:r>
          </w:p>
        </w:tc>
      </w:tr>
      <w:tr w:rsidR="001E18F2" w:rsidRPr="00D029F7" w:rsidTr="00B96D2F">
        <w:tc>
          <w:tcPr>
            <w:tcW w:w="1101"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S</w:t>
            </w:r>
            <w:r w:rsidRPr="00D029F7">
              <w:rPr>
                <w:rFonts w:ascii="Times New Roman" w:hAnsi="Times New Roman"/>
                <w:szCs w:val="24"/>
                <w:vertAlign w:val="subscript"/>
              </w:rPr>
              <w:t>ds</w:t>
            </w:r>
          </w:p>
        </w:tc>
        <w:tc>
          <w:tcPr>
            <w:tcW w:w="1275"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Spatial</w:t>
            </w:r>
          </w:p>
        </w:tc>
        <w:tc>
          <w:tcPr>
            <w:tcW w:w="2977" w:type="dxa"/>
            <w:vAlign w:val="center"/>
          </w:tcPr>
          <w:p w:rsidR="001E18F2" w:rsidRPr="00D029F7" w:rsidRDefault="001E18F2" w:rsidP="00B96D2F">
            <w:pPr>
              <w:spacing w:after="0"/>
              <w:ind w:left="720" w:hanging="720"/>
              <w:jc w:val="center"/>
              <w:rPr>
                <w:rFonts w:ascii="Times New Roman" w:hAnsi="Times New Roman"/>
                <w:szCs w:val="24"/>
              </w:rPr>
            </w:pPr>
            <w:r w:rsidRPr="00D029F7">
              <w:rPr>
                <w:rFonts w:ascii="Times New Roman" w:hAnsi="Times New Roman"/>
                <w:szCs w:val="24"/>
              </w:rPr>
              <w:t>Density of summits</w:t>
            </w:r>
          </w:p>
        </w:tc>
        <w:tc>
          <w:tcPr>
            <w:tcW w:w="3260"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Number of summits per unit area</w:t>
            </w:r>
          </w:p>
        </w:tc>
      </w:tr>
      <w:tr w:rsidR="001E18F2" w:rsidRPr="00D029F7" w:rsidTr="00B96D2F">
        <w:tc>
          <w:tcPr>
            <w:tcW w:w="1101"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S</w:t>
            </w:r>
            <w:r w:rsidRPr="00D029F7">
              <w:rPr>
                <w:rFonts w:ascii="Times New Roman" w:hAnsi="Times New Roman"/>
                <w:szCs w:val="24"/>
                <w:vertAlign w:val="subscript"/>
              </w:rPr>
              <w:t>dr</w:t>
            </w:r>
          </w:p>
        </w:tc>
        <w:tc>
          <w:tcPr>
            <w:tcW w:w="1275"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Hybrid</w:t>
            </w:r>
          </w:p>
        </w:tc>
        <w:tc>
          <w:tcPr>
            <w:tcW w:w="2977"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Developed interfacial area ratio</w:t>
            </w:r>
          </w:p>
        </w:tc>
        <w:tc>
          <w:tcPr>
            <w:tcW w:w="3260"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Percentage of additional surface area contributed by the texture as compared to an ideal plane the size of the measurement region</w:t>
            </w:r>
          </w:p>
        </w:tc>
      </w:tr>
      <w:tr w:rsidR="001E18F2" w:rsidRPr="00D029F7" w:rsidTr="00B96D2F">
        <w:tc>
          <w:tcPr>
            <w:tcW w:w="1101"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S</w:t>
            </w:r>
            <w:r w:rsidRPr="00D029F7">
              <w:rPr>
                <w:rFonts w:ascii="Times New Roman" w:hAnsi="Times New Roman"/>
                <w:szCs w:val="24"/>
                <w:vertAlign w:val="subscript"/>
              </w:rPr>
              <w:t>ci</w:t>
            </w:r>
          </w:p>
        </w:tc>
        <w:tc>
          <w:tcPr>
            <w:tcW w:w="1275"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Functional</w:t>
            </w:r>
          </w:p>
        </w:tc>
        <w:tc>
          <w:tcPr>
            <w:tcW w:w="2977"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Core fluid retention index</w:t>
            </w:r>
          </w:p>
        </w:tc>
        <w:tc>
          <w:tcPr>
            <w:tcW w:w="3260"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Measure, relative to S</w:t>
            </w:r>
            <w:r w:rsidRPr="00D029F7">
              <w:rPr>
                <w:rFonts w:ascii="Times New Roman" w:hAnsi="Times New Roman"/>
                <w:szCs w:val="24"/>
                <w:vertAlign w:val="subscript"/>
              </w:rPr>
              <w:t>q</w:t>
            </w:r>
            <w:r w:rsidRPr="00D029F7">
              <w:rPr>
                <w:rFonts w:ascii="Times New Roman" w:hAnsi="Times New Roman"/>
                <w:szCs w:val="24"/>
              </w:rPr>
              <w:t xml:space="preserve"> (RMS roughness), of the volume (for example, of a fluid filling the </w:t>
            </w:r>
            <w:r w:rsidRPr="00D029F7">
              <w:rPr>
                <w:rFonts w:ascii="Times New Roman" w:hAnsi="Times New Roman"/>
                <w:szCs w:val="24"/>
              </w:rPr>
              <w:lastRenderedPageBreak/>
              <w:t>core surface) that the surface would support from 5% - 80% of the bearing ratio</w:t>
            </w:r>
          </w:p>
        </w:tc>
      </w:tr>
    </w:tbl>
    <w:p w:rsidR="001E18F2" w:rsidRPr="00D029F7" w:rsidRDefault="001E18F2" w:rsidP="001E18F2">
      <w:pPr>
        <w:spacing w:line="480" w:lineRule="auto"/>
        <w:rPr>
          <w:rFonts w:ascii="Times New Roman" w:hAnsi="Times New Roman"/>
        </w:rPr>
      </w:pPr>
    </w:p>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r w:rsidRPr="00D029F7">
        <w:rPr>
          <w:rFonts w:ascii="Times New Roman" w:eastAsia="Times New Roman" w:hAnsi="Times New Roman"/>
          <w:i/>
          <w:sz w:val="24"/>
          <w:szCs w:val="24"/>
          <w:lang w:val="en-US"/>
        </w:rPr>
        <w:t>Surface chemistry</w:t>
      </w:r>
    </w:p>
    <w:p w:rsidR="001E18F2" w:rsidRPr="00D029F7" w:rsidRDefault="001E18F2" w:rsidP="001E18F2">
      <w:pPr>
        <w:spacing w:line="480" w:lineRule="auto"/>
        <w:ind w:left="63" w:firstLine="363"/>
        <w:rPr>
          <w:rFonts w:ascii="Times New Roman" w:hAnsi="Times New Roman"/>
        </w:rPr>
      </w:pPr>
      <w:r w:rsidRPr="00D029F7">
        <w:rPr>
          <w:rFonts w:ascii="Times New Roman" w:hAnsi="Times New Roman"/>
        </w:rPr>
        <w:t>To determine the influence of selective etching on the elemental composition and the chemical state of the surface, one disk was cut into three pieces, which were subjected to X-ray photoelectron spectroscopy (XPS) after respectively: cleaning, etching in HF (4 days) and immersion in HCl. The etching time was chosen to be consistent with bacterial experiments and strength and ageing tests. The analysis was conducted using a SPECS system (Berlin, Germany) equipped with an Al anode XR50 source operating at 150 W and a Phoibos 150 MCD-9 detector XP. Spectra were recorded with pass energy of 25 eV, 0.1 eV steps and a pressure below 7.5 x 10</w:t>
      </w:r>
      <w:r w:rsidRPr="00D029F7">
        <w:rPr>
          <w:rFonts w:ascii="Times New Roman" w:hAnsi="Times New Roman"/>
          <w:vertAlign w:val="superscript"/>
        </w:rPr>
        <w:t>-9</w:t>
      </w:r>
      <w:r w:rsidRPr="00D029F7">
        <w:rPr>
          <w:rFonts w:ascii="Times New Roman" w:hAnsi="Times New Roman"/>
        </w:rPr>
        <w:t xml:space="preserve"> mbar. Binding energies were referred to the adventitious C1s signal and background was subtracted. The identification of the local bonding environment of each element was performed by comparing the experimental peak positions with the data from the NIST Standard Reference Database 20, Version 4.1 (http://srdata.nist.gov/xps/).</w:t>
      </w:r>
    </w:p>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bookmarkStart w:id="2" w:name="_Ref443088294"/>
      <w:r w:rsidRPr="00D029F7">
        <w:rPr>
          <w:rFonts w:ascii="Times New Roman" w:eastAsia="Times New Roman" w:hAnsi="Times New Roman"/>
          <w:i/>
          <w:sz w:val="24"/>
          <w:szCs w:val="24"/>
          <w:lang w:val="en-US"/>
        </w:rPr>
        <w:t>Porous layer thickness</w:t>
      </w:r>
      <w:bookmarkEnd w:id="2"/>
    </w:p>
    <w:p w:rsidR="001E18F2" w:rsidRPr="00D029F7" w:rsidRDefault="001E18F2" w:rsidP="001E18F2">
      <w:pPr>
        <w:spacing w:line="480" w:lineRule="auto"/>
        <w:ind w:left="63" w:firstLine="504"/>
        <w:rPr>
          <w:rFonts w:ascii="Times New Roman" w:hAnsi="Times New Roman"/>
          <w:szCs w:val="24"/>
        </w:rPr>
      </w:pPr>
      <w:r w:rsidRPr="00D029F7">
        <w:rPr>
          <w:rFonts w:ascii="Times New Roman" w:hAnsi="Times New Roman"/>
          <w:szCs w:val="24"/>
        </w:rPr>
        <w:t xml:space="preserve">To monitor the evolution of the interconnected porous layer produced by selective etching over time, polished samples were cross-sectioned (two samples per time point). For short times (6 h, 1 day and 2 days), which resulted in thin layers, 10 µm wide transversal sections were milled with a Focused Ion Beam (FIB, Neon40, Carl Zeiss AG, Oberkochen, Germany). Sample surfaces were protected with a thin platinum coating to flatten the surface and minimize ion-beam damage and curtain effect during milling. The final polishing of the cross-sections was performed at 500 </w:t>
      </w:r>
      <w:r w:rsidRPr="00D029F7">
        <w:rPr>
          <w:rFonts w:ascii="Times New Roman" w:hAnsi="Times New Roman"/>
          <w:szCs w:val="24"/>
        </w:rPr>
        <w:lastRenderedPageBreak/>
        <w:t>pA. For long times (4 days, 8 days, 12 days), which resulted in thick layers, full cross-sections were obtained by cutting the entire specimens with a diamond wheel. The transversal sections were ground and polished down to a 3 µm diamond suspension and subsequently observed by SEM. The mean value and standard deviation of the thickness of the layer for each individual sample were computed using the ImageJ software.</w:t>
      </w:r>
    </w:p>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r w:rsidRPr="00D029F7">
        <w:rPr>
          <w:rFonts w:ascii="Times New Roman" w:eastAsia="Times New Roman" w:hAnsi="Times New Roman"/>
          <w:i/>
          <w:sz w:val="24"/>
          <w:szCs w:val="24"/>
          <w:lang w:val="en-US"/>
        </w:rPr>
        <w:t xml:space="preserve">3D microstructure </w:t>
      </w:r>
    </w:p>
    <w:p w:rsidR="001E18F2" w:rsidRPr="00D029F7" w:rsidRDefault="001E18F2" w:rsidP="001E18F2">
      <w:pPr>
        <w:spacing w:line="480" w:lineRule="auto"/>
        <w:ind w:left="63" w:firstLine="504"/>
        <w:rPr>
          <w:rFonts w:ascii="Times New Roman" w:hAnsi="Times New Roman"/>
          <w:szCs w:val="24"/>
        </w:rPr>
      </w:pPr>
      <w:r w:rsidRPr="00D029F7">
        <w:rPr>
          <w:rFonts w:ascii="Times New Roman" w:hAnsi="Times New Roman"/>
          <w:szCs w:val="24"/>
        </w:rPr>
        <w:t>To characterize the interconnected porosity induced by selective etching, a stack of 50 transversal section images (width: 15 µm, height: 10 µm, spacing: 20 nm) was obtained by automatizing the FIB milling procedure described in 2.3.4. Alignment, segmentation and 3D reconstruction of the stack were performed using the Avizo</w:t>
      </w:r>
      <w:r w:rsidRPr="00D029F7">
        <w:rPr>
          <w:rFonts w:ascii="Times New Roman" w:hAnsi="Times New Roman"/>
        </w:rPr>
        <w:t>®</w:t>
      </w:r>
      <w:r w:rsidRPr="00D029F7">
        <w:rPr>
          <w:rFonts w:ascii="Times New Roman" w:hAnsi="Times New Roman"/>
          <w:szCs w:val="24"/>
        </w:rPr>
        <w:t xml:space="preserve"> software (FEI Software, Hillsboro, Oregon) with a voxel size of 16 nm x 16 nm x 20 nm. The porous structure was skeletonized using Avizo</w:t>
      </w:r>
      <w:r w:rsidRPr="00D029F7">
        <w:rPr>
          <w:rFonts w:ascii="Times New Roman" w:hAnsi="Times New Roman"/>
        </w:rPr>
        <w:t>®</w:t>
      </w:r>
      <w:r w:rsidRPr="00D029F7">
        <w:rPr>
          <w:rFonts w:ascii="Times New Roman" w:hAnsi="Times New Roman"/>
          <w:szCs w:val="24"/>
        </w:rPr>
        <w:t xml:space="preserve"> XSkeleton Pack to determine the distribution of the local radius, which is a measurement of the distance to the nearest boundary at every point of the skeleton. The results were used to estimate the pore size.</w:t>
      </w:r>
    </w:p>
    <w:p w:rsidR="001E18F2" w:rsidRPr="00D029F7" w:rsidRDefault="001E18F2" w:rsidP="001E18F2">
      <w:pPr>
        <w:pStyle w:val="ListParagraph"/>
        <w:numPr>
          <w:ilvl w:val="1"/>
          <w:numId w:val="9"/>
        </w:numPr>
        <w:spacing w:line="480" w:lineRule="auto"/>
        <w:ind w:left="426"/>
        <w:rPr>
          <w:rFonts w:ascii="Times New Roman" w:eastAsia="Times New Roman" w:hAnsi="Times New Roman"/>
          <w:b/>
          <w:sz w:val="24"/>
          <w:szCs w:val="24"/>
          <w:lang w:val="en-US"/>
        </w:rPr>
      </w:pPr>
      <w:r w:rsidRPr="00D029F7">
        <w:rPr>
          <w:rFonts w:ascii="Times New Roman" w:eastAsia="Times New Roman" w:hAnsi="Times New Roman"/>
          <w:b/>
          <w:sz w:val="24"/>
          <w:szCs w:val="24"/>
          <w:lang w:val="en-US"/>
        </w:rPr>
        <w:t>Porous layer as a carrier for drug delivery</w:t>
      </w:r>
    </w:p>
    <w:p w:rsidR="001E18F2" w:rsidRPr="00D029F7" w:rsidRDefault="001E18F2" w:rsidP="001E18F2">
      <w:pPr>
        <w:spacing w:line="480" w:lineRule="auto"/>
        <w:ind w:firstLine="567"/>
        <w:rPr>
          <w:rFonts w:ascii="Times New Roman" w:hAnsi="Times New Roman"/>
          <w:b/>
          <w:szCs w:val="24"/>
        </w:rPr>
      </w:pPr>
      <w:r w:rsidRPr="00D029F7">
        <w:rPr>
          <w:rFonts w:ascii="Times New Roman" w:hAnsi="Times New Roman"/>
          <w:szCs w:val="24"/>
        </w:rPr>
        <w:t>To demonstrate that the porous layer produced by selective etching could be used as a carrier for drug delivery, micro-rough samples (with the “medium” topography) were subjected to selective etching for times comprised between 4, 8 and 12 days to achieve different porous layer thicknesses. The antibiotic gentamicin (Sigma-Aldrich, UK), commonly used in orthopedic surgery for systemic application or local delivery, was loaded either in solution or encapsulated in liposomes.</w:t>
      </w:r>
    </w:p>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r w:rsidRPr="00D029F7">
        <w:rPr>
          <w:rFonts w:ascii="Times New Roman" w:eastAsia="Times New Roman" w:hAnsi="Times New Roman"/>
          <w:i/>
          <w:sz w:val="24"/>
          <w:szCs w:val="24"/>
          <w:lang w:val="en-US"/>
        </w:rPr>
        <w:t>Preparation of the gentamicin solutions and the gentamicin-loaded liposomes</w:t>
      </w:r>
    </w:p>
    <w:p w:rsidR="001E18F2" w:rsidRPr="00D029F7" w:rsidRDefault="001E18F2" w:rsidP="001E18F2">
      <w:pPr>
        <w:spacing w:line="480" w:lineRule="auto"/>
        <w:ind w:left="63" w:firstLine="504"/>
        <w:rPr>
          <w:rFonts w:ascii="Times New Roman" w:hAnsi="Times New Roman"/>
          <w:szCs w:val="24"/>
        </w:rPr>
      </w:pPr>
      <w:r w:rsidRPr="00D029F7">
        <w:rPr>
          <w:rFonts w:ascii="Times New Roman" w:hAnsi="Times New Roman"/>
          <w:szCs w:val="24"/>
        </w:rPr>
        <w:lastRenderedPageBreak/>
        <w:t>Solutions of the gentamicin sulfate at 10 mg/mL (stock solution), 100, 50, 25, 10, 5, 2.5 and 1 µg/mL were prepared by dissolution and successive dilutions in phosphate buffered saline (PBS, Sigma-Aldrich, UK). Unilamellar gentamicin-loaded liposomes were prepared by evaporation of the chloroform from a lipid solution at 50 mg/mL of DPPC (1,2-dipalmitoyl-</w:t>
      </w:r>
      <w:r w:rsidRPr="00D029F7">
        <w:rPr>
          <w:rFonts w:ascii="Times New Roman" w:hAnsi="Times New Roman"/>
          <w:i/>
          <w:szCs w:val="24"/>
        </w:rPr>
        <w:t>sn</w:t>
      </w:r>
      <w:r w:rsidRPr="00D029F7">
        <w:rPr>
          <w:rFonts w:ascii="Times New Roman" w:hAnsi="Times New Roman"/>
          <w:szCs w:val="24"/>
        </w:rPr>
        <w:t>-glycero-3-phosphocholine, phase transition temperature: 41 °C, Avanti Polar Lipids, Alabaster, USA) under nitrogen for 1 h, followed by hydration with 10 mg/mL gentamicin solution. The solutions obtained were extruded through 100 nm filters (9 times) and 50 nm filters (11 times) to obtain liposomes with a monodisperse diameter close to the pore size, and subsequently passed through Sephadex® G-25 columns (GE Healthcare, Little Chalfont, UK) to remove excess non-loaded antibiotic. About 20 % of the initial gentamicin quantity was encapsulated. Solutions were reconcentrated using Amicon® Ultra Centrifugal Filter Units (MWCO 100 kDa, Merck Milipore, Darmstadt, Germany), and the volume was adjusted with PBS to obtain liposomes with a lipid concentration of 1 mg/mL.</w:t>
      </w:r>
    </w:p>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r w:rsidRPr="00D029F7">
        <w:rPr>
          <w:rFonts w:ascii="Times New Roman" w:eastAsia="Times New Roman" w:hAnsi="Times New Roman"/>
          <w:i/>
          <w:sz w:val="24"/>
          <w:szCs w:val="24"/>
          <w:lang w:val="en-US"/>
        </w:rPr>
        <w:t xml:space="preserve">Loading procedure </w:t>
      </w:r>
    </w:p>
    <w:p w:rsidR="001E18F2" w:rsidRPr="00D029F7" w:rsidRDefault="001E18F2" w:rsidP="001E18F2">
      <w:pPr>
        <w:spacing w:line="480" w:lineRule="auto"/>
        <w:ind w:left="63" w:firstLine="504"/>
        <w:rPr>
          <w:rFonts w:ascii="Times New Roman" w:hAnsi="Times New Roman"/>
          <w:szCs w:val="24"/>
        </w:rPr>
      </w:pPr>
      <w:r w:rsidRPr="00D029F7">
        <w:rPr>
          <w:rFonts w:ascii="Times New Roman" w:hAnsi="Times New Roman"/>
          <w:szCs w:val="24"/>
        </w:rPr>
        <w:t>The loading of the gentamicin into the ZTA samples (two per etching time for each loading method) was performed in 12-well culture plates. The samples were placed in wells with 1.5 mL of either a gentamicin solution at 100 µg/mL or a gentamicin-encapsulated liposome solution at 1 mg/mL DPPC, and left overnight on a shaking plate (50 cycles/min). The samples were rinsed three times in PBS after loading.</w:t>
      </w:r>
    </w:p>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r w:rsidRPr="00D029F7">
        <w:rPr>
          <w:rFonts w:ascii="Times New Roman" w:eastAsia="Times New Roman" w:hAnsi="Times New Roman"/>
          <w:i/>
          <w:sz w:val="24"/>
          <w:szCs w:val="24"/>
          <w:lang w:val="en-US"/>
        </w:rPr>
        <w:t>In vitro drug release experiments</w:t>
      </w:r>
    </w:p>
    <w:p w:rsidR="001E18F2" w:rsidRPr="00D029F7" w:rsidRDefault="001E18F2" w:rsidP="001E18F2">
      <w:pPr>
        <w:spacing w:line="480" w:lineRule="auto"/>
        <w:ind w:left="63" w:firstLine="504"/>
        <w:rPr>
          <w:rFonts w:ascii="Times New Roman" w:hAnsi="Times New Roman"/>
          <w:szCs w:val="24"/>
        </w:rPr>
      </w:pPr>
      <w:r w:rsidRPr="00D029F7">
        <w:rPr>
          <w:rFonts w:ascii="Times New Roman" w:hAnsi="Times New Roman"/>
          <w:i/>
          <w:szCs w:val="24"/>
        </w:rPr>
        <w:t>In vitro</w:t>
      </w:r>
      <w:r w:rsidRPr="00D029F7">
        <w:rPr>
          <w:rFonts w:ascii="Times New Roman" w:hAnsi="Times New Roman"/>
          <w:szCs w:val="24"/>
        </w:rPr>
        <w:t xml:space="preserve"> drug release experiments were carried out in duplicate in 12-well culture plates at 37 ºC. Each sample loaded with gentamicin or gentamicin-encapsulated liposomes was placed into </w:t>
      </w:r>
      <w:r w:rsidRPr="00D029F7">
        <w:rPr>
          <w:rFonts w:ascii="Times New Roman" w:hAnsi="Times New Roman"/>
          <w:szCs w:val="24"/>
        </w:rPr>
        <w:lastRenderedPageBreak/>
        <w:t xml:space="preserve">an individual well with 3 mL of PBS. For each time point an aliquot of 500 µL was taken from the solution and replaced by 500 µL of fresh PBS. Gentamicin was quantified by adapting an existing method </w:t>
      </w:r>
      <w:r w:rsidRPr="00D029F7">
        <w:rPr>
          <w:rFonts w:ascii="Times New Roman" w:hAnsi="Times New Roman"/>
          <w:noProof/>
          <w:szCs w:val="24"/>
        </w:rPr>
        <w:t>[49–51]</w:t>
      </w:r>
      <w:r w:rsidRPr="00D029F7">
        <w:rPr>
          <w:rFonts w:ascii="Times New Roman" w:hAnsi="Times New Roman"/>
          <w:szCs w:val="24"/>
        </w:rPr>
        <w:t xml:space="preserve">. An </w:t>
      </w:r>
      <w:r w:rsidRPr="00D029F7">
        <w:rPr>
          <w:rFonts w:ascii="Times New Roman" w:hAnsi="Times New Roman"/>
          <w:i/>
          <w:szCs w:val="24"/>
        </w:rPr>
        <w:t>o</w:t>
      </w:r>
      <w:r w:rsidRPr="00D029F7">
        <w:rPr>
          <w:rFonts w:ascii="Times New Roman" w:hAnsi="Times New Roman"/>
          <w:szCs w:val="24"/>
        </w:rPr>
        <w:t xml:space="preserve">-phtaldialdehyde reagent (OPA reagent) was formulated by adding 0.8 g </w:t>
      </w:r>
      <w:r w:rsidRPr="00D029F7">
        <w:rPr>
          <w:rFonts w:ascii="Times New Roman" w:hAnsi="Times New Roman"/>
          <w:i/>
          <w:szCs w:val="24"/>
        </w:rPr>
        <w:t>o</w:t>
      </w:r>
      <w:r w:rsidRPr="00D029F7">
        <w:rPr>
          <w:rFonts w:ascii="Times New Roman" w:hAnsi="Times New Roman"/>
          <w:szCs w:val="24"/>
        </w:rPr>
        <w:t>-phtaldialdehyde, 20 mL methanol and 0.96 mL 2-mercaptoethanol to 180 mL of 40 mM sodium borate in distilled water (all reagents from Sigma-Aldrich, UK). Aliquots of the solution to analyze were mixed in equal proportions with isopropanol and OPA reagent. Fluorescence readings were carried out in duplicate in 96-well plates with a SpectraMax M5 microplate reader (Molecular Devices, Sunnyvale, USA; excitation wavelength: 340 nm; emission wavelength: 455 nm). For each plate a calibration curve was obtained from gentamicin solutions at 100, 50, 25, 10, 5, 2.5 and 1 µg/mL. A kinetic study of the reaction indicated that 5 min was a suitable time for the reading and that the presence of DPPC did not interfere with the measurement. To determine the cumulative release profiles, correction factors were applied in order to take into account the evaporation of the solution in the well and the replacement of aliquots by fresh PBS, and the total quantity released was divided by the average total sample surface area (7.9 cm</w:t>
      </w:r>
      <w:r w:rsidRPr="00D029F7">
        <w:rPr>
          <w:rFonts w:ascii="Times New Roman" w:hAnsi="Times New Roman"/>
          <w:szCs w:val="24"/>
          <w:vertAlign w:val="superscript"/>
        </w:rPr>
        <w:t>2</w:t>
      </w:r>
      <w:r w:rsidRPr="00D029F7">
        <w:rPr>
          <w:rFonts w:ascii="Times New Roman" w:hAnsi="Times New Roman"/>
          <w:szCs w:val="24"/>
        </w:rPr>
        <w:t>).</w:t>
      </w:r>
    </w:p>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bookmarkStart w:id="3" w:name="_Ref444528820"/>
      <w:r w:rsidRPr="00D029F7">
        <w:rPr>
          <w:rFonts w:ascii="Times New Roman" w:eastAsia="Times New Roman" w:hAnsi="Times New Roman"/>
          <w:i/>
          <w:sz w:val="24"/>
          <w:szCs w:val="24"/>
          <w:lang w:val="en-US"/>
        </w:rPr>
        <w:t>Assessment of antibacterial properties against E. coli</w:t>
      </w:r>
      <w:bookmarkEnd w:id="3"/>
    </w:p>
    <w:p w:rsidR="001E18F2" w:rsidRPr="00D029F7" w:rsidRDefault="001E18F2" w:rsidP="001E18F2">
      <w:pPr>
        <w:spacing w:line="480" w:lineRule="auto"/>
        <w:rPr>
          <w:rFonts w:ascii="Times New Roman" w:eastAsia="Calibri" w:hAnsi="Times New Roman"/>
          <w:sz w:val="22"/>
          <w:szCs w:val="24"/>
        </w:rPr>
      </w:pPr>
      <w:bookmarkStart w:id="4" w:name="_Ref443328301"/>
      <w:r w:rsidRPr="00D029F7">
        <w:rPr>
          <w:rFonts w:ascii="Times New Roman" w:hAnsi="Times New Roman"/>
          <w:b/>
          <w:szCs w:val="24"/>
        </w:rPr>
        <w:t xml:space="preserve">Table </w:t>
      </w:r>
      <w:r w:rsidRPr="00D029F7">
        <w:rPr>
          <w:rFonts w:ascii="Times New Roman" w:hAnsi="Times New Roman"/>
          <w:b/>
          <w:noProof/>
          <w:szCs w:val="24"/>
        </w:rPr>
        <w:t>2</w:t>
      </w:r>
      <w:bookmarkEnd w:id="4"/>
      <w:r w:rsidRPr="00D029F7">
        <w:rPr>
          <w:rFonts w:ascii="Times New Roman" w:hAnsi="Times New Roman"/>
          <w:b/>
          <w:szCs w:val="24"/>
        </w:rPr>
        <w:t>.</w:t>
      </w:r>
      <w:r w:rsidRPr="00D029F7">
        <w:rPr>
          <w:rFonts w:ascii="Times New Roman" w:hAnsi="Times New Roman"/>
          <w:szCs w:val="24"/>
        </w:rPr>
        <w:t xml:space="preserve"> Nomenclature of the samples used for the assessment of antibacterial properties</w:t>
      </w:r>
    </w:p>
    <w:tbl>
      <w:tblPr>
        <w:tblStyle w:val="TableGrid"/>
        <w:tblW w:w="0" w:type="auto"/>
        <w:tblInd w:w="-6" w:type="dxa"/>
        <w:tblLook w:val="04A0" w:firstRow="1" w:lastRow="0" w:firstColumn="1" w:lastColumn="0" w:noHBand="0" w:noVBand="1"/>
      </w:tblPr>
      <w:tblGrid>
        <w:gridCol w:w="1738"/>
        <w:gridCol w:w="7618"/>
      </w:tblGrid>
      <w:tr w:rsidR="001E18F2" w:rsidRPr="00D029F7" w:rsidTr="00B96D2F">
        <w:trPr>
          <w:trHeight w:val="584"/>
        </w:trPr>
        <w:tc>
          <w:tcPr>
            <w:tcW w:w="0" w:type="auto"/>
            <w:vAlign w:val="center"/>
          </w:tcPr>
          <w:p w:rsidR="001E18F2" w:rsidRPr="00D029F7" w:rsidRDefault="001E18F2" w:rsidP="00B96D2F">
            <w:pPr>
              <w:jc w:val="center"/>
              <w:rPr>
                <w:rFonts w:ascii="Times New Roman" w:hAnsi="Times New Roman"/>
                <w:szCs w:val="24"/>
              </w:rPr>
            </w:pPr>
            <w:r w:rsidRPr="00D029F7">
              <w:rPr>
                <w:rFonts w:ascii="Times New Roman" w:hAnsi="Times New Roman"/>
                <w:szCs w:val="24"/>
              </w:rPr>
              <w:t>Name</w:t>
            </w:r>
          </w:p>
        </w:tc>
        <w:tc>
          <w:tcPr>
            <w:tcW w:w="0" w:type="auto"/>
            <w:vAlign w:val="center"/>
          </w:tcPr>
          <w:p w:rsidR="001E18F2" w:rsidRPr="00D029F7" w:rsidRDefault="001E18F2" w:rsidP="00B96D2F">
            <w:pPr>
              <w:jc w:val="center"/>
              <w:rPr>
                <w:rFonts w:ascii="Times New Roman" w:hAnsi="Times New Roman"/>
                <w:szCs w:val="24"/>
              </w:rPr>
            </w:pPr>
            <w:r w:rsidRPr="00D029F7">
              <w:rPr>
                <w:rFonts w:ascii="Times New Roman" w:hAnsi="Times New Roman"/>
                <w:szCs w:val="24"/>
              </w:rPr>
              <w:t>Surface treatment</w:t>
            </w:r>
          </w:p>
        </w:tc>
      </w:tr>
      <w:tr w:rsidR="001E18F2" w:rsidRPr="00D029F7" w:rsidTr="00B96D2F">
        <w:trPr>
          <w:trHeight w:val="584"/>
        </w:trPr>
        <w:tc>
          <w:tcPr>
            <w:tcW w:w="0" w:type="auto"/>
            <w:vAlign w:val="center"/>
          </w:tcPr>
          <w:p w:rsidR="001E18F2" w:rsidRPr="00D029F7" w:rsidRDefault="001E18F2" w:rsidP="00B96D2F">
            <w:pPr>
              <w:jc w:val="center"/>
              <w:rPr>
                <w:rFonts w:ascii="Times New Roman" w:hAnsi="Times New Roman"/>
                <w:szCs w:val="24"/>
              </w:rPr>
            </w:pPr>
            <w:r w:rsidRPr="00D029F7">
              <w:rPr>
                <w:rFonts w:ascii="Times New Roman" w:hAnsi="Times New Roman"/>
                <w:szCs w:val="24"/>
              </w:rPr>
              <w:t>As sintered</w:t>
            </w:r>
          </w:p>
        </w:tc>
        <w:tc>
          <w:tcPr>
            <w:tcW w:w="0" w:type="auto"/>
            <w:vAlign w:val="center"/>
          </w:tcPr>
          <w:p w:rsidR="001E18F2" w:rsidRPr="00D029F7" w:rsidRDefault="001E18F2" w:rsidP="00B96D2F">
            <w:pPr>
              <w:jc w:val="center"/>
              <w:rPr>
                <w:rFonts w:ascii="Times New Roman" w:hAnsi="Times New Roman"/>
                <w:szCs w:val="24"/>
              </w:rPr>
            </w:pPr>
            <w:r w:rsidRPr="00D029F7">
              <w:rPr>
                <w:rFonts w:ascii="Times New Roman" w:hAnsi="Times New Roman"/>
                <w:szCs w:val="24"/>
              </w:rPr>
              <w:t>None</w:t>
            </w:r>
          </w:p>
        </w:tc>
      </w:tr>
      <w:tr w:rsidR="001E18F2" w:rsidRPr="00D029F7" w:rsidTr="00B96D2F">
        <w:trPr>
          <w:trHeight w:val="584"/>
        </w:trPr>
        <w:tc>
          <w:tcPr>
            <w:tcW w:w="0" w:type="auto"/>
            <w:vAlign w:val="center"/>
          </w:tcPr>
          <w:p w:rsidR="001E18F2" w:rsidRPr="00D029F7" w:rsidRDefault="001E18F2" w:rsidP="00B96D2F">
            <w:pPr>
              <w:jc w:val="center"/>
              <w:rPr>
                <w:rFonts w:ascii="Times New Roman" w:hAnsi="Times New Roman"/>
                <w:szCs w:val="24"/>
              </w:rPr>
            </w:pPr>
            <w:r w:rsidRPr="00D029F7">
              <w:rPr>
                <w:rFonts w:ascii="Times New Roman" w:hAnsi="Times New Roman"/>
                <w:szCs w:val="24"/>
              </w:rPr>
              <w:t>Etched</w:t>
            </w:r>
          </w:p>
        </w:tc>
        <w:tc>
          <w:tcPr>
            <w:tcW w:w="0" w:type="auto"/>
            <w:vAlign w:val="center"/>
          </w:tcPr>
          <w:p w:rsidR="001E18F2" w:rsidRPr="00D029F7" w:rsidRDefault="001E18F2" w:rsidP="00B96D2F">
            <w:pPr>
              <w:jc w:val="center"/>
              <w:rPr>
                <w:rFonts w:ascii="Times New Roman" w:hAnsi="Times New Roman"/>
                <w:szCs w:val="24"/>
              </w:rPr>
            </w:pPr>
            <w:r w:rsidRPr="00D029F7">
              <w:rPr>
                <w:rFonts w:ascii="Times New Roman" w:hAnsi="Times New Roman"/>
                <w:szCs w:val="24"/>
              </w:rPr>
              <w:t>Selective etching (4 days)</w:t>
            </w:r>
          </w:p>
        </w:tc>
      </w:tr>
      <w:tr w:rsidR="001E18F2" w:rsidRPr="00D029F7" w:rsidTr="00B96D2F">
        <w:trPr>
          <w:trHeight w:val="584"/>
        </w:trPr>
        <w:tc>
          <w:tcPr>
            <w:tcW w:w="0" w:type="auto"/>
            <w:vAlign w:val="center"/>
          </w:tcPr>
          <w:p w:rsidR="001E18F2" w:rsidRPr="00D029F7" w:rsidRDefault="001E18F2" w:rsidP="00B96D2F">
            <w:pPr>
              <w:jc w:val="center"/>
              <w:rPr>
                <w:rFonts w:ascii="Times New Roman" w:hAnsi="Times New Roman"/>
                <w:szCs w:val="24"/>
              </w:rPr>
            </w:pPr>
            <w:r w:rsidRPr="00D029F7">
              <w:rPr>
                <w:rFonts w:ascii="Times New Roman" w:hAnsi="Times New Roman"/>
                <w:szCs w:val="24"/>
              </w:rPr>
              <w:t>Etched+Loaded</w:t>
            </w:r>
          </w:p>
        </w:tc>
        <w:tc>
          <w:tcPr>
            <w:tcW w:w="0" w:type="auto"/>
            <w:vAlign w:val="center"/>
          </w:tcPr>
          <w:p w:rsidR="001E18F2" w:rsidRPr="00D029F7" w:rsidRDefault="001E18F2" w:rsidP="00B96D2F">
            <w:pPr>
              <w:jc w:val="center"/>
              <w:rPr>
                <w:rFonts w:ascii="Times New Roman" w:hAnsi="Times New Roman"/>
                <w:szCs w:val="24"/>
              </w:rPr>
            </w:pPr>
            <w:r w:rsidRPr="00D029F7">
              <w:rPr>
                <w:rFonts w:ascii="Times New Roman" w:hAnsi="Times New Roman"/>
                <w:szCs w:val="24"/>
              </w:rPr>
              <w:t>Selective etching (4 days) + loading with gentamicin-encapsulated liposomes</w:t>
            </w:r>
          </w:p>
        </w:tc>
      </w:tr>
    </w:tbl>
    <w:p w:rsidR="001E18F2" w:rsidRPr="00D029F7" w:rsidRDefault="001E18F2" w:rsidP="001E18F2">
      <w:pPr>
        <w:spacing w:line="480" w:lineRule="auto"/>
        <w:ind w:left="63" w:firstLine="297"/>
        <w:rPr>
          <w:rFonts w:ascii="Times New Roman" w:hAnsi="Times New Roman"/>
          <w:szCs w:val="24"/>
        </w:rPr>
      </w:pPr>
    </w:p>
    <w:p w:rsidR="001E18F2" w:rsidRPr="00D029F7" w:rsidRDefault="001E18F2" w:rsidP="001E18F2">
      <w:pPr>
        <w:spacing w:line="480" w:lineRule="auto"/>
        <w:ind w:left="63" w:firstLine="297"/>
        <w:rPr>
          <w:rFonts w:ascii="Times New Roman" w:hAnsi="Times New Roman"/>
          <w:szCs w:val="24"/>
        </w:rPr>
      </w:pPr>
      <w:r w:rsidRPr="00D029F7">
        <w:rPr>
          <w:rFonts w:ascii="Times New Roman" w:hAnsi="Times New Roman"/>
          <w:szCs w:val="24"/>
        </w:rPr>
        <w:lastRenderedPageBreak/>
        <w:t xml:space="preserve">Based on the </w:t>
      </w:r>
      <w:r w:rsidRPr="00D029F7">
        <w:rPr>
          <w:rFonts w:ascii="Times New Roman" w:hAnsi="Times New Roman"/>
          <w:i/>
          <w:szCs w:val="24"/>
        </w:rPr>
        <w:t>in vitro</w:t>
      </w:r>
      <w:r w:rsidRPr="00D029F7">
        <w:rPr>
          <w:rFonts w:ascii="Times New Roman" w:hAnsi="Times New Roman"/>
          <w:szCs w:val="24"/>
        </w:rPr>
        <w:t xml:space="preserve"> release experiments, loading with gentamicin-encapsulated liposomes was selected as the best method to test antibacterial properties against </w:t>
      </w:r>
      <w:r w:rsidRPr="00D029F7">
        <w:rPr>
          <w:rFonts w:ascii="Times New Roman" w:hAnsi="Times New Roman"/>
          <w:i/>
          <w:szCs w:val="24"/>
        </w:rPr>
        <w:t>E. coli</w:t>
      </w:r>
      <w:r w:rsidRPr="00D029F7">
        <w:rPr>
          <w:rFonts w:ascii="Times New Roman" w:hAnsi="Times New Roman"/>
          <w:szCs w:val="24"/>
        </w:rPr>
        <w:t xml:space="preserve">, which is the most frequently isolated microorganism from gram-negative periprosthetic joint infections </w:t>
      </w:r>
      <w:r w:rsidRPr="00D029F7">
        <w:rPr>
          <w:rFonts w:ascii="Times New Roman" w:hAnsi="Times New Roman"/>
          <w:noProof/>
          <w:szCs w:val="24"/>
        </w:rPr>
        <w:t>[52–54]</w:t>
      </w:r>
      <w:r w:rsidRPr="00D029F7">
        <w:rPr>
          <w:rFonts w:ascii="Times New Roman" w:hAnsi="Times New Roman"/>
          <w:szCs w:val="24"/>
        </w:rPr>
        <w:t>. Three types of samples were prepared as described in Table 2</w:t>
      </w:r>
      <w:r w:rsidRPr="00D029F7">
        <w:t xml:space="preserve"> (two samples per condition)</w:t>
      </w:r>
      <w:r w:rsidRPr="00D029F7">
        <w:rPr>
          <w:rFonts w:ascii="Times New Roman" w:hAnsi="Times New Roman"/>
          <w:szCs w:val="24"/>
        </w:rPr>
        <w:t xml:space="preserve">. An etching time of 4 days was selected, since it was estimated that it could lead to a good compromise between the need for a thick porous layer and a limited impact on reliability. A small amount of a glycerol stock of </w:t>
      </w:r>
      <w:r w:rsidRPr="00D029F7">
        <w:rPr>
          <w:rFonts w:ascii="Times New Roman" w:hAnsi="Times New Roman"/>
          <w:i/>
          <w:szCs w:val="24"/>
        </w:rPr>
        <w:t>E. coli</w:t>
      </w:r>
      <w:r w:rsidRPr="00D029F7">
        <w:rPr>
          <w:rFonts w:ascii="Times New Roman" w:hAnsi="Times New Roman"/>
          <w:szCs w:val="24"/>
        </w:rPr>
        <w:t xml:space="preserve"> (strain: Rosetta(DE3)pLysS, Novagen, Merck Biosciences, Nottingham, UK) was incubated in LB medium (Sigma-Aldrich, UK) at 37 ºC under constant shaking overnight. The suspension was subsequently diluted to 2x10</w:t>
      </w:r>
      <w:r w:rsidRPr="00D029F7">
        <w:rPr>
          <w:rFonts w:ascii="Times New Roman" w:hAnsi="Times New Roman"/>
          <w:szCs w:val="24"/>
          <w:vertAlign w:val="superscript"/>
        </w:rPr>
        <w:t>7</w:t>
      </w:r>
      <w:r w:rsidRPr="00D029F7">
        <w:rPr>
          <w:rFonts w:ascii="Times New Roman" w:hAnsi="Times New Roman"/>
          <w:szCs w:val="24"/>
        </w:rPr>
        <w:t xml:space="preserve"> cells/mL in fresh medium. Samples were incubated in 3 mL of this bacterial suspension for 4 h at 37 ºC in 12-well culture plates. To evaluate bacteria concentration, 1 mL aliquots were taken from the supernatants for flow cytometry (Fortessa, BD Biosciences, Franklin Lakes, USA) and fixed with 2 % paraformaldehyde (PFA, Sigma-Aldrich, UK) in PBS. To assess bacterial adhesion and viability on the different surfaces, staining solutions were prepared in individual wells by adding 3 µL of SYTO® 9 and 3 µL of ethidium bromide (both from Thermo Fisher Scientific, Waltham, USA) to 2 mL of a NaCl aqueous solution at 0.85 wt%. The samples were rinsed with the NaCl solution three times and then immersed in the staining solutions for 15 min at 37 °C. Fluorescence imaging of the stained samples was carried out on a confocal microscope (Leica SP5, </w:t>
      </w:r>
      <w:r w:rsidRPr="00D029F7">
        <w:rPr>
          <w:rFonts w:ascii="Times New Roman" w:hAnsi="Times New Roman"/>
        </w:rPr>
        <w:t>Leica Microsystems, Wetzlar, Germany</w:t>
      </w:r>
      <w:r w:rsidRPr="00D029F7">
        <w:rPr>
          <w:rFonts w:ascii="Times New Roman" w:hAnsi="Times New Roman"/>
          <w:szCs w:val="24"/>
        </w:rPr>
        <w:t xml:space="preserve">) with a 20x dry objective. Measurements of surface area covered by living </w:t>
      </w:r>
      <w:r w:rsidRPr="00D029F7">
        <w:rPr>
          <w:rFonts w:ascii="Times New Roman" w:hAnsi="Times New Roman"/>
          <w:i/>
          <w:szCs w:val="24"/>
        </w:rPr>
        <w:t>E. coli</w:t>
      </w:r>
      <w:r w:rsidRPr="00D029F7">
        <w:rPr>
          <w:rFonts w:ascii="Times New Roman" w:hAnsi="Times New Roman"/>
          <w:szCs w:val="24"/>
        </w:rPr>
        <w:t xml:space="preserve"> cells were carried out using the ImageJ software (three images per specimen).</w:t>
      </w:r>
    </w:p>
    <w:p w:rsidR="001E18F2" w:rsidRPr="00D029F7" w:rsidRDefault="001E18F2" w:rsidP="001E18F2">
      <w:pPr>
        <w:pStyle w:val="ListParagraph"/>
        <w:numPr>
          <w:ilvl w:val="1"/>
          <w:numId w:val="9"/>
        </w:numPr>
        <w:spacing w:line="480" w:lineRule="auto"/>
        <w:rPr>
          <w:rFonts w:ascii="Times New Roman" w:eastAsia="Times New Roman" w:hAnsi="Times New Roman"/>
          <w:b/>
          <w:sz w:val="24"/>
          <w:szCs w:val="24"/>
          <w:lang w:val="en-US"/>
        </w:rPr>
      </w:pPr>
      <w:r w:rsidRPr="00D029F7">
        <w:rPr>
          <w:rFonts w:ascii="Times New Roman" w:eastAsia="Times New Roman" w:hAnsi="Times New Roman"/>
          <w:b/>
          <w:sz w:val="24"/>
          <w:szCs w:val="24"/>
          <w:lang w:val="en-US"/>
        </w:rPr>
        <w:t>Contact behavior and mechanical properties of the porous layer</w:t>
      </w:r>
    </w:p>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r w:rsidRPr="00D029F7">
        <w:rPr>
          <w:rFonts w:ascii="Times New Roman" w:eastAsia="Times New Roman" w:hAnsi="Times New Roman"/>
          <w:i/>
          <w:sz w:val="24"/>
          <w:szCs w:val="24"/>
          <w:lang w:val="en-US"/>
        </w:rPr>
        <w:t>Experiments</w:t>
      </w:r>
    </w:p>
    <w:p w:rsidR="001E18F2" w:rsidRPr="00D029F7" w:rsidRDefault="001E18F2" w:rsidP="001E18F2">
      <w:pPr>
        <w:spacing w:line="480" w:lineRule="auto"/>
        <w:ind w:left="63" w:firstLine="363"/>
        <w:rPr>
          <w:rFonts w:ascii="Times New Roman" w:hAnsi="Times New Roman"/>
          <w:szCs w:val="24"/>
        </w:rPr>
      </w:pPr>
      <w:r w:rsidRPr="00D029F7">
        <w:rPr>
          <w:rFonts w:ascii="Times New Roman" w:hAnsi="Times New Roman"/>
          <w:szCs w:val="24"/>
        </w:rPr>
        <w:lastRenderedPageBreak/>
        <w:t>For the study of the mechanical properties and local contact behavior of the porous layer produced by selective etching, two polished samples were fabricated and one of them was selectively etched for 12 days (</w:t>
      </w:r>
      <w:r w:rsidRPr="00D029F7">
        <w:rPr>
          <w:rFonts w:ascii="Times New Roman" w:hAnsi="Times New Roman"/>
        </w:rPr>
        <w:t>thickness of the porous layer: 27 µm</w:t>
      </w:r>
      <w:r w:rsidRPr="00D029F7">
        <w:rPr>
          <w:rFonts w:ascii="Times New Roman" w:hAnsi="Times New Roman"/>
          <w:szCs w:val="24"/>
        </w:rPr>
        <w:t xml:space="preserve">). Instrumented nanoindentation tests were carried out with a MTS Nanoindenter XP (Eden Prairie, USA) equipped with a continuous stiffness measurement (CSM) module and a diamond spherical tip (nominal radius: 50 µm). Due to the difficulty to machine diamond at such a small scale, the real shape of the tip can differ substantially from a perfect sphere. For this reason, the real tip shape was measured by AFM. A Python script was developed and used to extract the curve </w:t>
      </w:r>
      <m:oMath>
        <m:r>
          <w:rPr>
            <w:rFonts w:ascii="Cambria Math" w:hAnsi="Cambria Math"/>
            <w:szCs w:val="24"/>
          </w:rPr>
          <m:t>a</m:t>
        </m:r>
        <m:r>
          <w:rPr>
            <w:rFonts w:ascii="Cambria Math" w:hAnsi="Times New Roman"/>
            <w:szCs w:val="24"/>
          </w:rPr>
          <m:t>=</m:t>
        </m:r>
        <m:r>
          <w:rPr>
            <w:rFonts w:ascii="Cambria Math" w:hAnsi="Cambria Math"/>
            <w:szCs w:val="24"/>
          </w:rPr>
          <m:t>f</m:t>
        </m:r>
        <m:r>
          <w:rPr>
            <w:rFonts w:ascii="Cambria Math" w:hAnsi="Times New Roman"/>
            <w:szCs w:val="24"/>
          </w:rPr>
          <m:t>(</m:t>
        </m:r>
        <m:sSub>
          <m:sSubPr>
            <m:ctrlPr>
              <w:rPr>
                <w:rFonts w:ascii="Cambria Math" w:hAnsi="Times New Roman"/>
                <w:i/>
                <w:szCs w:val="24"/>
              </w:rPr>
            </m:ctrlPr>
          </m:sSubPr>
          <m:e>
            <m:r>
              <w:rPr>
                <w:rFonts w:ascii="Cambria Math" w:hAnsi="Cambria Math"/>
                <w:szCs w:val="24"/>
              </w:rPr>
              <m:t>h</m:t>
            </m:r>
          </m:e>
          <m:sub>
            <m:r>
              <w:rPr>
                <w:rFonts w:ascii="Cambria Math" w:hAnsi="Cambria Math"/>
                <w:szCs w:val="24"/>
              </w:rPr>
              <m:t>c</m:t>
            </m:r>
          </m:sub>
        </m:sSub>
        <m:r>
          <w:rPr>
            <w:rFonts w:ascii="Cambria Math" w:hAnsi="Times New Roman"/>
            <w:szCs w:val="24"/>
          </w:rPr>
          <m:t>)</m:t>
        </m:r>
      </m:oMath>
      <w:r w:rsidRPr="00D029F7">
        <w:rPr>
          <w:rFonts w:ascii="Times New Roman" w:hAnsi="Times New Roman"/>
          <w:szCs w:val="24"/>
        </w:rPr>
        <w:t xml:space="preserve"> with </w:t>
      </w:r>
      <w:r w:rsidRPr="00D029F7">
        <w:rPr>
          <w:rFonts w:ascii="Times New Roman" w:hAnsi="Times New Roman"/>
          <w:i/>
          <w:szCs w:val="24"/>
        </w:rPr>
        <w:t>a</w:t>
      </w:r>
      <w:r w:rsidRPr="00D029F7">
        <w:rPr>
          <w:rFonts w:ascii="Times New Roman" w:hAnsi="Times New Roman"/>
          <w:szCs w:val="24"/>
        </w:rPr>
        <w:t xml:space="preserve"> the contact radius and </w:t>
      </w:r>
      <w:r w:rsidRPr="00D029F7">
        <w:rPr>
          <w:rFonts w:ascii="Times New Roman" w:hAnsi="Times New Roman"/>
          <w:i/>
          <w:szCs w:val="24"/>
        </w:rPr>
        <w:t>h</w:t>
      </w:r>
      <w:r w:rsidRPr="00D029F7">
        <w:rPr>
          <w:rFonts w:ascii="Times New Roman" w:hAnsi="Times New Roman"/>
          <w:i/>
          <w:szCs w:val="24"/>
          <w:vertAlign w:val="subscript"/>
        </w:rPr>
        <w:t>c</w:t>
      </w:r>
      <w:r w:rsidRPr="00D029F7">
        <w:rPr>
          <w:rFonts w:ascii="Times New Roman" w:hAnsi="Times New Roman"/>
          <w:i/>
          <w:szCs w:val="24"/>
        </w:rPr>
        <w:t xml:space="preserve"> </w:t>
      </w:r>
      <w:r w:rsidRPr="00D029F7">
        <w:rPr>
          <w:rFonts w:ascii="Times New Roman" w:hAnsi="Times New Roman"/>
          <w:szCs w:val="24"/>
        </w:rPr>
        <w:t xml:space="preserve">the contact depth, which was fitted with a power law of the type </w:t>
      </w:r>
      <m:oMath>
        <m:r>
          <w:rPr>
            <w:rFonts w:ascii="Cambria Math" w:hAnsi="Cambria Math"/>
            <w:szCs w:val="24"/>
          </w:rPr>
          <m:t>a</m:t>
        </m:r>
        <m:r>
          <w:rPr>
            <w:rFonts w:ascii="Cambria Math" w:hAnsi="Times New Roman"/>
            <w:szCs w:val="24"/>
          </w:rPr>
          <m:t>=</m:t>
        </m:r>
        <m:r>
          <w:rPr>
            <w:rFonts w:ascii="Cambria Math" w:hAnsi="Cambria Math"/>
            <w:szCs w:val="24"/>
          </w:rPr>
          <m:t>A</m:t>
        </m:r>
        <m:r>
          <w:rPr>
            <w:rFonts w:ascii="Cambria Math" w:hAnsi="Times New Roman"/>
            <w:szCs w:val="24"/>
          </w:rPr>
          <m:t>+</m:t>
        </m:r>
        <m:r>
          <w:rPr>
            <w:rFonts w:ascii="Cambria Math" w:hAnsi="Cambria Math"/>
            <w:szCs w:val="24"/>
          </w:rPr>
          <m:t>B</m:t>
        </m:r>
        <m:r>
          <w:rPr>
            <w:rFonts w:ascii="Cambria Math" w:hAnsi="Times New Roman"/>
            <w:szCs w:val="24"/>
          </w:rPr>
          <m:t>×</m:t>
        </m:r>
        <m:sSup>
          <m:sSupPr>
            <m:ctrlPr>
              <w:rPr>
                <w:rFonts w:ascii="Cambria Math" w:hAnsi="Times New Roman"/>
                <w:i/>
                <w:szCs w:val="24"/>
              </w:rPr>
            </m:ctrlPr>
          </m:sSupPr>
          <m:e>
            <m:sSub>
              <m:sSubPr>
                <m:ctrlPr>
                  <w:rPr>
                    <w:rFonts w:ascii="Cambria Math" w:hAnsi="Times New Roman"/>
                    <w:i/>
                    <w:szCs w:val="24"/>
                  </w:rPr>
                </m:ctrlPr>
              </m:sSubPr>
              <m:e>
                <m:r>
                  <w:rPr>
                    <w:rFonts w:ascii="Cambria Math" w:hAnsi="Cambria Math"/>
                    <w:szCs w:val="24"/>
                  </w:rPr>
                  <m:t>h</m:t>
                </m:r>
              </m:e>
              <m:sub>
                <m:r>
                  <w:rPr>
                    <w:rFonts w:ascii="Cambria Math" w:hAnsi="Cambria Math"/>
                    <w:szCs w:val="24"/>
                  </w:rPr>
                  <m:t>c</m:t>
                </m:r>
              </m:sub>
            </m:sSub>
          </m:e>
          <m:sup>
            <m:r>
              <w:rPr>
                <w:rFonts w:ascii="Cambria Math" w:hAnsi="Cambria Math"/>
                <w:szCs w:val="24"/>
              </w:rPr>
              <m:t>C</m:t>
            </m:r>
          </m:sup>
        </m:sSup>
      </m:oMath>
      <w:r w:rsidRPr="00D029F7">
        <w:rPr>
          <w:rFonts w:ascii="Times New Roman" w:hAnsi="Times New Roman"/>
          <w:szCs w:val="24"/>
        </w:rPr>
        <w:t>. The best fitting parameters were adjusted by performing calibration tests against reference materials with well-known elastic moduli (pyrocarbon, fused silica and tungsten, see supplementary information).</w:t>
      </w:r>
    </w:p>
    <w:p w:rsidR="001E18F2" w:rsidRPr="00D029F7" w:rsidRDefault="001E18F2" w:rsidP="001E18F2">
      <w:pPr>
        <w:spacing w:line="480" w:lineRule="auto"/>
        <w:ind w:left="63" w:firstLine="363"/>
        <w:rPr>
          <w:rFonts w:ascii="Times New Roman" w:hAnsi="Times New Roman"/>
          <w:szCs w:val="24"/>
        </w:rPr>
      </w:pPr>
      <w:r w:rsidRPr="00D029F7">
        <w:rPr>
          <w:rFonts w:ascii="Times New Roman" w:hAnsi="Times New Roman"/>
          <w:szCs w:val="24"/>
        </w:rPr>
        <w:t>Indentations of the porous layer were performed up to a maximum load of 7.5 N (maximum indentation depth: ~ 3.5 µm) and under a constant deformation rate of 0.05 s</w:t>
      </w:r>
      <w:r w:rsidRPr="00D029F7">
        <w:rPr>
          <w:rFonts w:ascii="Times New Roman" w:hAnsi="Times New Roman"/>
          <w:szCs w:val="24"/>
          <w:vertAlign w:val="superscript"/>
        </w:rPr>
        <w:t>−1</w:t>
      </w:r>
      <w:r w:rsidRPr="00D029F7">
        <w:rPr>
          <w:rFonts w:ascii="Times New Roman" w:hAnsi="Times New Roman"/>
          <w:szCs w:val="24"/>
        </w:rPr>
        <w:t xml:space="preserve"> with an inter-indentation spacing of 100 µm (3x3 arrays). At maximum penetration, the circular contact area was very large in comparison to the pore size (contact radius: ~ 17 µm). The contact point was corrected implementing the method proposed by Moseson </w:t>
      </w:r>
      <w:r w:rsidRPr="00D029F7">
        <w:rPr>
          <w:rFonts w:ascii="Times New Roman" w:hAnsi="Times New Roman"/>
          <w:i/>
          <w:szCs w:val="24"/>
        </w:rPr>
        <w:t>et al.</w:t>
      </w:r>
      <w:r w:rsidRPr="00D029F7">
        <w:rPr>
          <w:rFonts w:ascii="Times New Roman" w:hAnsi="Times New Roman"/>
          <w:szCs w:val="24"/>
        </w:rPr>
        <w:t xml:space="preserve"> </w:t>
      </w:r>
      <w:r w:rsidRPr="00D029F7">
        <w:rPr>
          <w:rFonts w:ascii="Times New Roman" w:hAnsi="Times New Roman"/>
          <w:noProof/>
          <w:szCs w:val="24"/>
        </w:rPr>
        <w:t>[55]</w:t>
      </w:r>
      <w:r w:rsidRPr="00D029F7">
        <w:rPr>
          <w:rFonts w:ascii="Times New Roman" w:hAnsi="Times New Roman"/>
          <w:szCs w:val="24"/>
        </w:rPr>
        <w:t xml:space="preserve"> and the polished sample was used as a reference for stiffness correction. The models chosen to interpret analytically the indentation data were those of Hertz, Oliver and Pharr and Tabor, following the approach of He and Swain </w:t>
      </w:r>
      <w:r w:rsidRPr="00D029F7">
        <w:rPr>
          <w:rFonts w:ascii="Times New Roman" w:hAnsi="Times New Roman"/>
          <w:noProof/>
          <w:szCs w:val="24"/>
        </w:rPr>
        <w:t>[56]</w:t>
      </w:r>
      <w:r w:rsidRPr="00D029F7">
        <w:rPr>
          <w:rFonts w:ascii="Times New Roman" w:hAnsi="Times New Roman"/>
          <w:szCs w:val="24"/>
        </w:rPr>
        <w:t>.</w:t>
      </w:r>
    </w:p>
    <w:p w:rsidR="001E18F2" w:rsidRPr="00D029F7" w:rsidRDefault="001E18F2" w:rsidP="001E18F2">
      <w:pPr>
        <w:spacing w:line="480" w:lineRule="auto"/>
        <w:ind w:left="63" w:firstLine="363"/>
        <w:rPr>
          <w:rFonts w:ascii="Times New Roman" w:hAnsi="Times New Roman"/>
          <w:szCs w:val="24"/>
        </w:rPr>
      </w:pPr>
      <w:r w:rsidRPr="00D029F7">
        <w:rPr>
          <w:rFonts w:ascii="Times New Roman" w:hAnsi="Times New Roman"/>
          <w:szCs w:val="24"/>
        </w:rPr>
        <w:t xml:space="preserve">Finally, profiles of residual indents were measured with a laser scanning confocal microscope (LEXT, Olympus, Tokyo, Japan) and a FIB cross-section of an indentation was realized in order </w:t>
      </w:r>
      <w:r w:rsidRPr="00D029F7">
        <w:rPr>
          <w:rFonts w:ascii="Times New Roman" w:hAnsi="Times New Roman"/>
          <w:szCs w:val="24"/>
        </w:rPr>
        <w:lastRenderedPageBreak/>
        <w:t xml:space="preserve">to identify the deformation mechanism of the porous layer under compression and to detect potential damage and densification. </w:t>
      </w:r>
    </w:p>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r w:rsidRPr="00D029F7">
        <w:rPr>
          <w:rFonts w:ascii="Times New Roman" w:eastAsia="Times New Roman" w:hAnsi="Times New Roman"/>
          <w:i/>
          <w:sz w:val="24"/>
          <w:szCs w:val="24"/>
          <w:lang w:val="en-US"/>
        </w:rPr>
        <w:t>Numerical analysis</w:t>
      </w:r>
    </w:p>
    <w:p w:rsidR="001E18F2" w:rsidRPr="00D029F7" w:rsidRDefault="001E18F2" w:rsidP="001E18F2">
      <w:pPr>
        <w:spacing w:line="480" w:lineRule="auto"/>
        <w:ind w:left="63" w:firstLine="363"/>
        <w:rPr>
          <w:rFonts w:ascii="Times New Roman" w:hAnsi="Times New Roman"/>
        </w:rPr>
      </w:pPr>
      <w:r w:rsidRPr="00D029F7">
        <w:rPr>
          <w:rFonts w:ascii="Times New Roman" w:hAnsi="Times New Roman"/>
          <w:szCs w:val="24"/>
        </w:rPr>
        <w:t xml:space="preserve">Based on previous works on porous ceramics </w:t>
      </w:r>
      <w:r w:rsidRPr="00D029F7">
        <w:rPr>
          <w:rFonts w:ascii="Times New Roman" w:hAnsi="Times New Roman"/>
          <w:noProof/>
          <w:szCs w:val="24"/>
        </w:rPr>
        <w:t>[57,58]</w:t>
      </w:r>
      <w:r w:rsidRPr="00D029F7">
        <w:rPr>
          <w:rFonts w:ascii="Times New Roman" w:hAnsi="Times New Roman"/>
          <w:szCs w:val="24"/>
        </w:rPr>
        <w:t>, an inverse finite element (FE) analysis was used to identify the properties of the porous layer. Lowest, average and highest experimental load-displacement curves were used for the identification, and the plateau separating loading and unloading sections was removed. The FE simulation was carried out using the ABAQUS/Standard software</w:t>
      </w:r>
      <w:r w:rsidRPr="00D029F7">
        <w:rPr>
          <w:rFonts w:ascii="Times New Roman" w:hAnsi="Times New Roman"/>
        </w:rPr>
        <w:t xml:space="preserve"> (Dassault Systèmes, Simulia, Vélizy-Villacoublay, France). The model consisted of a 2D axisymmetric mesh (available in supplementary information) which contained approximately 6000 elements (CAX8 and CAX8-R) and was refined towards the contact zone with an element size of about 0.5 µm. Loading was achieved by imposing a quasi-static vertical displacement (“hard contact”, sliding formulation: finite sliding, discretization method: surface to surface). The indenter and the bulk of the sample were modeled as elastic materials, whereas the porous layer was modeled using a modified Drucker-Prager/cap-plasticity criterion which accounts for hydrostatic pressure sensitivity of material failure through two surfaces: the Drucker-Prager surface for shear failure and the cap surface for high hydrostatic pressure failure </w:t>
      </w:r>
      <w:r w:rsidRPr="00D029F7">
        <w:rPr>
          <w:rFonts w:ascii="Times New Roman" w:hAnsi="Times New Roman"/>
          <w:noProof/>
        </w:rPr>
        <w:t>[59]</w:t>
      </w:r>
      <w:r w:rsidRPr="00D029F7">
        <w:rPr>
          <w:rFonts w:ascii="Times New Roman" w:hAnsi="Times New Roman"/>
        </w:rPr>
        <w:t xml:space="preserve"> (see Appendix A for the definition of the model and of the related parameters). The increase in elastic modulus associated to densification of the porous material was taken into account using ABAQUS user subroutine USDFLD (time increment was kept small enough to maintain the accuracy of the solution).</w:t>
      </w:r>
    </w:p>
    <w:p w:rsidR="001E18F2" w:rsidRPr="00D029F7" w:rsidRDefault="001E18F2" w:rsidP="001E18F2">
      <w:pPr>
        <w:spacing w:line="480" w:lineRule="auto"/>
        <w:ind w:left="63" w:firstLine="363"/>
        <w:rPr>
          <w:rFonts w:ascii="Times New Roman" w:hAnsi="Times New Roman"/>
        </w:rPr>
      </w:pPr>
      <w:r w:rsidRPr="00D029F7">
        <w:rPr>
          <w:rFonts w:ascii="Times New Roman" w:hAnsi="Times New Roman"/>
        </w:rPr>
        <w:t xml:space="preserve">The inverse identification was carried out using the MIC2M software (http://mic2m.univ-fcomte.fr/). The Poisson ratio </w:t>
      </w:r>
      <w:r w:rsidRPr="00D029F7">
        <w:rPr>
          <w:rFonts w:ascii="Times New Roman" w:hAnsi="Times New Roman"/>
          <w:i/>
          <w:szCs w:val="24"/>
          <w:lang w:val="el-GR" w:eastAsia="es-ES"/>
        </w:rPr>
        <w:t>ν</w:t>
      </w:r>
      <w:r w:rsidRPr="00D029F7">
        <w:rPr>
          <w:rFonts w:ascii="Times New Roman" w:hAnsi="Times New Roman"/>
        </w:rPr>
        <w:t xml:space="preserve"> of the porous layer was set to </w:t>
      </w:r>
      <w:r w:rsidRPr="00D029F7">
        <w:rPr>
          <w:rFonts w:ascii="Times New Roman" w:hAnsi="Times New Roman"/>
          <w:szCs w:val="24"/>
          <w:lang w:eastAsia="es-ES"/>
        </w:rPr>
        <w:t xml:space="preserve">0.22 (taken from literature for porous </w:t>
      </w:r>
      <w:r w:rsidRPr="00D029F7">
        <w:rPr>
          <w:rFonts w:ascii="Times New Roman" w:hAnsi="Times New Roman"/>
          <w:szCs w:val="24"/>
          <w:lang w:eastAsia="es-ES"/>
        </w:rPr>
        <w:lastRenderedPageBreak/>
        <w:t>alumina</w:t>
      </w:r>
      <w:r w:rsidRPr="00D029F7">
        <w:rPr>
          <w:rFonts w:ascii="Times New Roman" w:hAnsi="Times New Roman"/>
        </w:rPr>
        <w:t xml:space="preserve"> </w:t>
      </w:r>
      <w:r w:rsidRPr="00D029F7">
        <w:rPr>
          <w:rFonts w:ascii="Times New Roman" w:hAnsi="Times New Roman"/>
          <w:noProof/>
        </w:rPr>
        <w:t>[35]</w:t>
      </w:r>
      <w:r w:rsidRPr="00D029F7">
        <w:rPr>
          <w:rFonts w:ascii="Times New Roman" w:hAnsi="Times New Roman"/>
        </w:rPr>
        <w:t xml:space="preserve">), the cap eccentricity </w:t>
      </w:r>
      <w:r w:rsidRPr="00D029F7">
        <w:rPr>
          <w:rFonts w:ascii="Times New Roman" w:hAnsi="Times New Roman"/>
          <w:i/>
        </w:rPr>
        <w:t>R</w:t>
      </w:r>
      <w:r w:rsidRPr="00D029F7">
        <w:rPr>
          <w:rFonts w:ascii="Times New Roman" w:hAnsi="Times New Roman"/>
        </w:rPr>
        <w:t xml:space="preserve"> was set to 0.25 to obtain a cap yield surface neither too circular nor too steep, </w:t>
      </w:r>
      <w:r w:rsidRPr="00D029F7">
        <w:rPr>
          <w:rFonts w:ascii="Times New Roman" w:hAnsi="Times New Roman"/>
          <w:i/>
        </w:rPr>
        <w:t>α</w:t>
      </w:r>
      <w:r w:rsidRPr="00D029F7">
        <w:rPr>
          <w:rFonts w:ascii="Times New Roman" w:hAnsi="Times New Roman"/>
        </w:rPr>
        <w:t xml:space="preserve"> (a small number used to define the transition yield surface) was set to 0.01 and </w:t>
      </w:r>
      <w:r w:rsidRPr="00D029F7">
        <w:rPr>
          <w:rFonts w:ascii="Times New Roman" w:hAnsi="Times New Roman"/>
          <w:i/>
        </w:rPr>
        <w:t>W</w:t>
      </w:r>
      <w:r w:rsidRPr="00D029F7">
        <w:rPr>
          <w:rFonts w:ascii="Times New Roman" w:hAnsi="Times New Roman"/>
        </w:rPr>
        <w:t xml:space="preserve"> (the porous volume fraction) was set to 0.17. A preliminary calculation showed that variation of the friction coefficient </w:t>
      </w:r>
      <w:r w:rsidRPr="00D029F7">
        <w:rPr>
          <w:rFonts w:ascii="Times New Roman" w:hAnsi="Times New Roman"/>
          <w:i/>
        </w:rPr>
        <w:t>f</w:t>
      </w:r>
      <w:r w:rsidRPr="00D029F7">
        <w:rPr>
          <w:rFonts w:ascii="Times New Roman" w:hAnsi="Times New Roman"/>
        </w:rPr>
        <w:t xml:space="preserve"> between the indenter and the sample surface had negligible effect on the results and </w:t>
      </w:r>
      <w:r w:rsidRPr="00D029F7">
        <w:rPr>
          <w:rFonts w:ascii="Times New Roman" w:hAnsi="Times New Roman"/>
          <w:i/>
        </w:rPr>
        <w:t>f</w:t>
      </w:r>
      <w:r w:rsidRPr="00D029F7">
        <w:rPr>
          <w:rFonts w:ascii="Times New Roman" w:hAnsi="Times New Roman"/>
        </w:rPr>
        <w:t xml:space="preserve"> was set to 0.1. The parameters to identify were the elastic modulus of the porous layer (</w:t>
      </w:r>
      <w:r w:rsidRPr="00D029F7">
        <w:rPr>
          <w:rFonts w:ascii="Times New Roman" w:hAnsi="Times New Roman"/>
          <w:i/>
        </w:rPr>
        <w:t>E</w:t>
      </w:r>
      <w:r w:rsidRPr="00D029F7">
        <w:rPr>
          <w:rFonts w:ascii="Times New Roman" w:hAnsi="Times New Roman"/>
        </w:rPr>
        <w:t>), the yield stress in simple compression (</w:t>
      </w:r>
      <w:r w:rsidRPr="00D029F7">
        <w:rPr>
          <w:rFonts w:ascii="Times New Roman" w:hAnsi="Times New Roman"/>
          <w:i/>
        </w:rPr>
        <w:t>σ</w:t>
      </w:r>
      <w:r w:rsidRPr="00D029F7">
        <w:rPr>
          <w:rFonts w:ascii="Times New Roman" w:hAnsi="Times New Roman"/>
          <w:i/>
          <w:vertAlign w:val="subscript"/>
        </w:rPr>
        <w:t>c</w:t>
      </w:r>
      <w:r w:rsidRPr="00D029F7">
        <w:rPr>
          <w:rFonts w:ascii="Times New Roman" w:hAnsi="Times New Roman"/>
        </w:rPr>
        <w:t>), the angle of friction (</w:t>
      </w:r>
      <w:r w:rsidRPr="00D029F7">
        <w:rPr>
          <w:rFonts w:ascii="Times New Roman" w:hAnsi="Times New Roman"/>
          <w:i/>
        </w:rPr>
        <w:t>β</w:t>
      </w:r>
      <w:r w:rsidRPr="00D029F7">
        <w:rPr>
          <w:rFonts w:ascii="Times New Roman" w:hAnsi="Times New Roman"/>
        </w:rPr>
        <w:t>), the initial hydrostatic compression yield stress (</w:t>
      </w:r>
      <w:r w:rsidRPr="00D029F7">
        <w:rPr>
          <w:rFonts w:ascii="Times New Roman" w:hAnsi="Times New Roman"/>
          <w:i/>
        </w:rPr>
        <w:t>p</w:t>
      </w:r>
      <w:r w:rsidRPr="00D029F7">
        <w:rPr>
          <w:rFonts w:ascii="Times New Roman" w:hAnsi="Times New Roman"/>
          <w:i/>
          <w:vertAlign w:val="subscript"/>
        </w:rPr>
        <w:t>b0</w:t>
      </w:r>
      <w:r w:rsidRPr="00D029F7">
        <w:rPr>
          <w:rFonts w:ascii="Times New Roman" w:hAnsi="Times New Roman"/>
        </w:rPr>
        <w:t>) and the maximum plastic volumetric strain rate (</w:t>
      </w:r>
      <w:r w:rsidRPr="00D029F7">
        <w:rPr>
          <w:rFonts w:ascii="Times New Roman" w:hAnsi="Times New Roman"/>
          <w:i/>
        </w:rPr>
        <w:t>D</w:t>
      </w:r>
      <w:r w:rsidRPr="00D029F7">
        <w:rPr>
          <w:rFonts w:ascii="Times New Roman" w:hAnsi="Times New Roman"/>
        </w:rPr>
        <w:t>).</w:t>
      </w:r>
    </w:p>
    <w:p w:rsidR="001E18F2" w:rsidRPr="00D029F7" w:rsidRDefault="001E18F2" w:rsidP="001E18F2">
      <w:pPr>
        <w:spacing w:line="480" w:lineRule="auto"/>
        <w:ind w:left="63" w:firstLine="363"/>
        <w:rPr>
          <w:rFonts w:ascii="Times New Roman" w:hAnsi="Times New Roman"/>
        </w:rPr>
      </w:pPr>
    </w:p>
    <w:p w:rsidR="001E18F2" w:rsidRPr="00D029F7" w:rsidRDefault="001E18F2" w:rsidP="001E18F2">
      <w:pPr>
        <w:spacing w:line="480" w:lineRule="auto"/>
        <w:ind w:left="63" w:firstLine="363"/>
        <w:rPr>
          <w:rFonts w:ascii="Times New Roman" w:hAnsi="Times New Roman"/>
        </w:rPr>
      </w:pPr>
    </w:p>
    <w:p w:rsidR="001E18F2" w:rsidRPr="00D029F7" w:rsidRDefault="001E18F2" w:rsidP="001E18F2">
      <w:pPr>
        <w:pStyle w:val="ListParagraph"/>
        <w:numPr>
          <w:ilvl w:val="1"/>
          <w:numId w:val="9"/>
        </w:numPr>
        <w:spacing w:line="480" w:lineRule="auto"/>
        <w:ind w:left="426"/>
        <w:rPr>
          <w:rFonts w:ascii="Times New Roman" w:eastAsia="Times New Roman" w:hAnsi="Times New Roman"/>
          <w:b/>
          <w:sz w:val="24"/>
          <w:szCs w:val="24"/>
          <w:lang w:val="en-US"/>
        </w:rPr>
      </w:pPr>
      <w:r w:rsidRPr="00D029F7">
        <w:rPr>
          <w:rFonts w:ascii="Times New Roman" w:eastAsia="Times New Roman" w:hAnsi="Times New Roman"/>
          <w:b/>
          <w:sz w:val="24"/>
          <w:szCs w:val="24"/>
          <w:lang w:val="en-US"/>
        </w:rPr>
        <w:t>Impact of selective etching on strength and ageing kinetics</w:t>
      </w:r>
    </w:p>
    <w:p w:rsidR="001E18F2" w:rsidRPr="00D029F7" w:rsidRDefault="001E18F2" w:rsidP="001E18F2">
      <w:pPr>
        <w:spacing w:line="480" w:lineRule="auto"/>
        <w:ind w:left="-6" w:firstLine="432"/>
        <w:rPr>
          <w:rFonts w:ascii="Times New Roman" w:hAnsi="Times New Roman"/>
          <w:szCs w:val="24"/>
          <w:lang w:val="en-GB"/>
        </w:rPr>
      </w:pPr>
      <w:r w:rsidRPr="00D029F7">
        <w:rPr>
          <w:rFonts w:ascii="Times New Roman" w:hAnsi="Times New Roman"/>
          <w:szCs w:val="24"/>
        </w:rPr>
        <w:t xml:space="preserve">To assess the impact of selective etching on strength and ageing sensitivity, 48 flat samples were fabricated. Half of them were polished down to a 1 µm diamond suspension and annealed at 1200 °C for 10 min in air using heating and cooling rates of 5 °C/min, and they were divided into four groups as described in Table 3. The polishing was introduced to remove surface defects and the annealing to remove residual stresses. The annealing temperature was chosen based on a preliminary study involving an indentation technique </w:t>
      </w:r>
      <w:r w:rsidRPr="00D029F7">
        <w:rPr>
          <w:rFonts w:ascii="Times New Roman" w:hAnsi="Times New Roman"/>
          <w:noProof/>
          <w:szCs w:val="24"/>
        </w:rPr>
        <w:t>[60]</w:t>
      </w:r>
      <w:r w:rsidRPr="00D029F7">
        <w:rPr>
          <w:rFonts w:ascii="Times New Roman" w:hAnsi="Times New Roman"/>
          <w:szCs w:val="24"/>
        </w:rPr>
        <w:t xml:space="preserve"> in which </w:t>
      </w:r>
      <w:r w:rsidRPr="00D029F7">
        <w:rPr>
          <w:rFonts w:ascii="Times New Roman" w:hAnsi="Times New Roman"/>
          <w:szCs w:val="24"/>
          <w:lang w:val="en-GB"/>
        </w:rPr>
        <w:t>1200 °C was found to be the minimum annealing temperature capable of removing the majority of residual stresses without affecting significantly the grain size. The etching time was chosen to be the same as for the testing of antibacterial properties (2.4.4), and the thickness of the porous layer was measured by performing cross-sections on three samples from each etched group (same procedure as described in 2.3.4).</w:t>
      </w:r>
    </w:p>
    <w:p w:rsidR="001E18F2" w:rsidRPr="00D029F7" w:rsidRDefault="001E18F2" w:rsidP="001E18F2">
      <w:pPr>
        <w:spacing w:line="480" w:lineRule="auto"/>
        <w:ind w:left="63" w:firstLine="79"/>
        <w:jc w:val="left"/>
        <w:rPr>
          <w:rFonts w:ascii="Times New Roman" w:hAnsi="Times New Roman"/>
          <w:szCs w:val="24"/>
        </w:rPr>
      </w:pPr>
      <w:bookmarkStart w:id="5" w:name="_Ref442121779"/>
      <w:r w:rsidRPr="00D029F7">
        <w:rPr>
          <w:rFonts w:ascii="Times New Roman" w:hAnsi="Times New Roman"/>
          <w:b/>
          <w:szCs w:val="24"/>
        </w:rPr>
        <w:t xml:space="preserve">Table </w:t>
      </w:r>
      <w:r w:rsidRPr="00D029F7">
        <w:rPr>
          <w:rFonts w:ascii="Times New Roman" w:hAnsi="Times New Roman"/>
          <w:b/>
          <w:noProof/>
          <w:szCs w:val="24"/>
        </w:rPr>
        <w:t>3</w:t>
      </w:r>
      <w:bookmarkEnd w:id="5"/>
      <w:r w:rsidRPr="00D029F7">
        <w:rPr>
          <w:rFonts w:ascii="Times New Roman" w:hAnsi="Times New Roman"/>
          <w:b/>
          <w:szCs w:val="24"/>
        </w:rPr>
        <w:t>.</w:t>
      </w:r>
      <w:r w:rsidRPr="00D029F7">
        <w:rPr>
          <w:rFonts w:ascii="Times New Roman" w:hAnsi="Times New Roman"/>
          <w:szCs w:val="24"/>
        </w:rPr>
        <w:t xml:space="preserve"> Nomenclature of the sample groups used for strength and ageing kinetics testing</w:t>
      </w:r>
    </w:p>
    <w:tbl>
      <w:tblPr>
        <w:tblStyle w:val="TableGrid"/>
        <w:tblW w:w="0" w:type="auto"/>
        <w:tblLook w:val="04A0" w:firstRow="1" w:lastRow="0" w:firstColumn="1" w:lastColumn="0" w:noHBand="0" w:noVBand="1"/>
      </w:tblPr>
      <w:tblGrid>
        <w:gridCol w:w="3645"/>
        <w:gridCol w:w="5705"/>
      </w:tblGrid>
      <w:tr w:rsidR="001E18F2" w:rsidRPr="00D029F7" w:rsidTr="00B96D2F">
        <w:tc>
          <w:tcPr>
            <w:tcW w:w="0" w:type="auto"/>
            <w:vAlign w:val="center"/>
          </w:tcPr>
          <w:p w:rsidR="001E18F2" w:rsidRPr="00D029F7" w:rsidRDefault="001E18F2" w:rsidP="00B96D2F">
            <w:pPr>
              <w:jc w:val="center"/>
              <w:rPr>
                <w:rFonts w:ascii="Times New Roman" w:hAnsi="Times New Roman"/>
              </w:rPr>
            </w:pPr>
            <w:r w:rsidRPr="00D029F7">
              <w:rPr>
                <w:rFonts w:ascii="Times New Roman" w:hAnsi="Times New Roman"/>
              </w:rPr>
              <w:lastRenderedPageBreak/>
              <w:t>Name of the group</w:t>
            </w:r>
          </w:p>
        </w:tc>
        <w:tc>
          <w:tcPr>
            <w:tcW w:w="0" w:type="auto"/>
            <w:vAlign w:val="center"/>
          </w:tcPr>
          <w:p w:rsidR="001E18F2" w:rsidRPr="00D029F7" w:rsidRDefault="001E18F2" w:rsidP="00B96D2F">
            <w:pPr>
              <w:jc w:val="center"/>
              <w:rPr>
                <w:rFonts w:ascii="Times New Roman" w:hAnsi="Times New Roman"/>
                <w:lang w:eastAsia="fr-FR"/>
              </w:rPr>
            </w:pPr>
            <w:r w:rsidRPr="00D029F7">
              <w:rPr>
                <w:rFonts w:ascii="Times New Roman" w:hAnsi="Times New Roman"/>
                <w:lang w:eastAsia="fr-FR"/>
              </w:rPr>
              <w:t>Surface treatment</w:t>
            </w:r>
          </w:p>
        </w:tc>
      </w:tr>
      <w:tr w:rsidR="001E18F2" w:rsidRPr="00D029F7" w:rsidTr="00B96D2F">
        <w:tc>
          <w:tcPr>
            <w:tcW w:w="0" w:type="auto"/>
            <w:vAlign w:val="center"/>
          </w:tcPr>
          <w:p w:rsidR="001E18F2" w:rsidRPr="00D029F7" w:rsidRDefault="001E18F2" w:rsidP="00B96D2F">
            <w:pPr>
              <w:jc w:val="center"/>
              <w:rPr>
                <w:rFonts w:ascii="Times New Roman" w:hAnsi="Times New Roman"/>
              </w:rPr>
            </w:pPr>
            <w:r w:rsidRPr="00D029F7">
              <w:rPr>
                <w:rFonts w:ascii="Times New Roman" w:hAnsi="Times New Roman"/>
              </w:rPr>
              <w:t>As sintered (AS)</w:t>
            </w:r>
          </w:p>
        </w:tc>
        <w:tc>
          <w:tcPr>
            <w:tcW w:w="0" w:type="auto"/>
            <w:vAlign w:val="center"/>
          </w:tcPr>
          <w:p w:rsidR="001E18F2" w:rsidRPr="00D029F7" w:rsidRDefault="001E18F2" w:rsidP="00B96D2F">
            <w:pPr>
              <w:jc w:val="center"/>
              <w:rPr>
                <w:rFonts w:ascii="Times New Roman" w:hAnsi="Times New Roman"/>
              </w:rPr>
            </w:pPr>
            <w:r w:rsidRPr="00D029F7">
              <w:rPr>
                <w:rFonts w:ascii="Times New Roman" w:hAnsi="Times New Roman"/>
              </w:rPr>
              <w:t>None</w:t>
            </w:r>
          </w:p>
        </w:tc>
      </w:tr>
      <w:tr w:rsidR="001E18F2" w:rsidRPr="00D029F7" w:rsidTr="00B96D2F">
        <w:tc>
          <w:tcPr>
            <w:tcW w:w="0" w:type="auto"/>
            <w:vAlign w:val="center"/>
          </w:tcPr>
          <w:p w:rsidR="001E18F2" w:rsidRPr="00D029F7" w:rsidRDefault="001E18F2" w:rsidP="00B96D2F">
            <w:pPr>
              <w:jc w:val="center"/>
              <w:rPr>
                <w:rFonts w:ascii="Times New Roman" w:hAnsi="Times New Roman"/>
              </w:rPr>
            </w:pPr>
            <w:r w:rsidRPr="00D029F7">
              <w:rPr>
                <w:rFonts w:ascii="Times New Roman" w:hAnsi="Times New Roman"/>
              </w:rPr>
              <w:t>Polished+Annealed (P+A)</w:t>
            </w:r>
          </w:p>
        </w:tc>
        <w:tc>
          <w:tcPr>
            <w:tcW w:w="0" w:type="auto"/>
            <w:vAlign w:val="center"/>
          </w:tcPr>
          <w:p w:rsidR="001E18F2" w:rsidRPr="00D029F7" w:rsidRDefault="001E18F2" w:rsidP="00B96D2F">
            <w:pPr>
              <w:jc w:val="center"/>
              <w:rPr>
                <w:rFonts w:ascii="Times New Roman" w:hAnsi="Times New Roman"/>
              </w:rPr>
            </w:pPr>
            <w:r w:rsidRPr="00D029F7">
              <w:rPr>
                <w:rFonts w:ascii="Times New Roman" w:hAnsi="Times New Roman"/>
              </w:rPr>
              <w:t>Polishing + Annealing (1200 ºC, 10 min)</w:t>
            </w:r>
          </w:p>
        </w:tc>
      </w:tr>
      <w:tr w:rsidR="001E18F2" w:rsidRPr="00D029F7" w:rsidTr="00B96D2F">
        <w:tc>
          <w:tcPr>
            <w:tcW w:w="0" w:type="auto"/>
            <w:vAlign w:val="center"/>
          </w:tcPr>
          <w:p w:rsidR="001E18F2" w:rsidRPr="00D029F7" w:rsidRDefault="001E18F2" w:rsidP="00B96D2F">
            <w:pPr>
              <w:jc w:val="center"/>
              <w:rPr>
                <w:rFonts w:ascii="Times New Roman" w:hAnsi="Times New Roman"/>
              </w:rPr>
            </w:pPr>
            <w:r w:rsidRPr="00D029F7">
              <w:rPr>
                <w:rFonts w:ascii="Times New Roman" w:hAnsi="Times New Roman"/>
              </w:rPr>
              <w:t>As sintered+Etched (AS+E)</w:t>
            </w:r>
          </w:p>
        </w:tc>
        <w:tc>
          <w:tcPr>
            <w:tcW w:w="0" w:type="auto"/>
            <w:vAlign w:val="center"/>
          </w:tcPr>
          <w:p w:rsidR="001E18F2" w:rsidRPr="00D029F7" w:rsidRDefault="001E18F2" w:rsidP="00B96D2F">
            <w:pPr>
              <w:jc w:val="center"/>
              <w:rPr>
                <w:rFonts w:ascii="Times New Roman" w:hAnsi="Times New Roman"/>
              </w:rPr>
            </w:pPr>
            <w:r w:rsidRPr="00D029F7">
              <w:rPr>
                <w:rFonts w:ascii="Times New Roman" w:hAnsi="Times New Roman"/>
              </w:rPr>
              <w:t>Selective etching (4 days)</w:t>
            </w:r>
          </w:p>
        </w:tc>
      </w:tr>
      <w:tr w:rsidR="001E18F2" w:rsidRPr="00D029F7" w:rsidTr="00B96D2F">
        <w:tc>
          <w:tcPr>
            <w:tcW w:w="0" w:type="auto"/>
            <w:vAlign w:val="center"/>
          </w:tcPr>
          <w:p w:rsidR="001E18F2" w:rsidRPr="00D029F7" w:rsidRDefault="001E18F2" w:rsidP="00B96D2F">
            <w:pPr>
              <w:jc w:val="center"/>
              <w:rPr>
                <w:rFonts w:ascii="Times New Roman" w:hAnsi="Times New Roman"/>
              </w:rPr>
            </w:pPr>
            <w:r w:rsidRPr="00D029F7">
              <w:rPr>
                <w:rFonts w:ascii="Times New Roman" w:hAnsi="Times New Roman"/>
              </w:rPr>
              <w:t>Polished+Annealed+Etched (P+A+E)</w:t>
            </w:r>
          </w:p>
        </w:tc>
        <w:tc>
          <w:tcPr>
            <w:tcW w:w="0" w:type="auto"/>
            <w:vAlign w:val="center"/>
          </w:tcPr>
          <w:p w:rsidR="001E18F2" w:rsidRPr="00D029F7" w:rsidRDefault="001E18F2" w:rsidP="00B96D2F">
            <w:pPr>
              <w:jc w:val="center"/>
              <w:rPr>
                <w:rFonts w:ascii="Times New Roman" w:hAnsi="Times New Roman"/>
              </w:rPr>
            </w:pPr>
            <w:r w:rsidRPr="00D029F7">
              <w:rPr>
                <w:rFonts w:ascii="Times New Roman" w:hAnsi="Times New Roman"/>
              </w:rPr>
              <w:t>Polishing + Annealing (1200 ºC, 10 min) + Selective etching (4 days)</w:t>
            </w:r>
          </w:p>
        </w:tc>
      </w:tr>
    </w:tbl>
    <w:p w:rsidR="001E18F2" w:rsidRPr="00D029F7" w:rsidRDefault="001E18F2" w:rsidP="001E18F2">
      <w:pPr>
        <w:spacing w:line="480" w:lineRule="auto"/>
        <w:ind w:left="-6" w:firstLine="432"/>
        <w:rPr>
          <w:rFonts w:ascii="Times New Roman" w:hAnsi="Times New Roman"/>
          <w:szCs w:val="24"/>
        </w:rPr>
      </w:pPr>
    </w:p>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r w:rsidRPr="00D029F7">
        <w:rPr>
          <w:rFonts w:ascii="Times New Roman" w:eastAsia="Times New Roman" w:hAnsi="Times New Roman"/>
          <w:i/>
          <w:sz w:val="24"/>
          <w:szCs w:val="24"/>
          <w:lang w:val="en-US"/>
        </w:rPr>
        <w:t>Biaxial flexural strength testing</w:t>
      </w:r>
    </w:p>
    <w:p w:rsidR="001E18F2" w:rsidRPr="00D029F7" w:rsidRDefault="001E18F2" w:rsidP="001E18F2">
      <w:pPr>
        <w:spacing w:line="480" w:lineRule="auto"/>
        <w:ind w:firstLine="426"/>
        <w:rPr>
          <w:rFonts w:ascii="Times New Roman" w:hAnsi="Times New Roman"/>
          <w:szCs w:val="24"/>
        </w:rPr>
      </w:pPr>
      <w:r w:rsidRPr="00D029F7">
        <w:rPr>
          <w:rFonts w:ascii="Times New Roman" w:hAnsi="Times New Roman"/>
          <w:szCs w:val="24"/>
        </w:rPr>
        <w:t xml:space="preserve">The biaxial flexural strength of ten samples from each group was assessed by 3-balls-on-3-balls testing with a “sphere-in-line” configuration </w:t>
      </w:r>
      <w:r w:rsidRPr="00D029F7">
        <w:rPr>
          <w:rFonts w:ascii="Times New Roman" w:hAnsi="Times New Roman"/>
          <w:noProof/>
          <w:szCs w:val="24"/>
        </w:rPr>
        <w:t>[61]</w:t>
      </w:r>
      <w:r w:rsidRPr="00D029F7">
        <w:rPr>
          <w:rFonts w:ascii="Times New Roman" w:hAnsi="Times New Roman"/>
          <w:szCs w:val="24"/>
        </w:rPr>
        <w:t>. The specimens were tested in a universal testing machine</w:t>
      </w:r>
      <w:r w:rsidRPr="00D029F7">
        <w:rPr>
          <w:rFonts w:ascii="Times New Roman" w:hAnsi="Times New Roman"/>
        </w:rPr>
        <w:t xml:space="preserve"> (Model 8502, Instron Corp., Canton, USA) in air up to fracture of the specimen, using a constant test speed of 0.5 mm/min</w:t>
      </w:r>
      <w:r w:rsidRPr="00D029F7">
        <w:rPr>
          <w:rFonts w:ascii="Times New Roman" w:hAnsi="Times New Roman"/>
          <w:szCs w:val="24"/>
        </w:rPr>
        <w:t xml:space="preserve">. The radius of the inner sphere location circle was </w:t>
      </w:r>
      <w:r w:rsidRPr="00D029F7">
        <w:rPr>
          <w:rFonts w:ascii="Times New Roman" w:hAnsi="Times New Roman"/>
          <w:i/>
          <w:szCs w:val="24"/>
        </w:rPr>
        <w:t>R</w:t>
      </w:r>
      <w:r w:rsidRPr="00D029F7">
        <w:rPr>
          <w:rFonts w:ascii="Times New Roman" w:hAnsi="Times New Roman"/>
          <w:i/>
          <w:szCs w:val="24"/>
          <w:vertAlign w:val="subscript"/>
        </w:rPr>
        <w:t>1</w:t>
      </w:r>
      <w:r w:rsidRPr="00D029F7">
        <w:rPr>
          <w:rFonts w:ascii="Times New Roman" w:hAnsi="Times New Roman"/>
          <w:i/>
          <w:szCs w:val="24"/>
        </w:rPr>
        <w:t xml:space="preserve"> = 4.08 mm</w:t>
      </w:r>
      <w:r w:rsidRPr="00D029F7">
        <w:rPr>
          <w:rFonts w:ascii="Times New Roman" w:hAnsi="Times New Roman"/>
          <w:szCs w:val="24"/>
        </w:rPr>
        <w:t xml:space="preserve"> and the ratio of outer to inner sphere circles was R</w:t>
      </w:r>
      <w:r w:rsidRPr="00D029F7">
        <w:rPr>
          <w:rFonts w:ascii="Times New Roman" w:hAnsi="Times New Roman"/>
          <w:szCs w:val="24"/>
          <w:vertAlign w:val="subscript"/>
        </w:rPr>
        <w:t>1</w:t>
      </w:r>
      <w:r w:rsidRPr="00D029F7">
        <w:rPr>
          <w:rFonts w:ascii="Times New Roman" w:hAnsi="Times New Roman"/>
          <w:szCs w:val="24"/>
        </w:rPr>
        <w:t>/R</w:t>
      </w:r>
      <w:r w:rsidRPr="00D029F7">
        <w:rPr>
          <w:rFonts w:ascii="Times New Roman" w:hAnsi="Times New Roman"/>
          <w:szCs w:val="24"/>
          <w:vertAlign w:val="subscript"/>
        </w:rPr>
        <w:t>2</w:t>
      </w:r>
      <w:r w:rsidRPr="00D029F7">
        <w:rPr>
          <w:rFonts w:ascii="Times New Roman" w:hAnsi="Times New Roman"/>
          <w:szCs w:val="24"/>
        </w:rPr>
        <w:t xml:space="preserve"> = 2. The fracture strength was calculated using a numerical approximation of the maximum tensile stress:</w:t>
      </w:r>
    </w:p>
    <w:p w:rsidR="001E18F2" w:rsidRPr="00D029F7" w:rsidRDefault="001E18F2" w:rsidP="001E18F2">
      <w:pPr>
        <w:spacing w:line="480" w:lineRule="auto"/>
        <w:jc w:val="center"/>
        <w:rPr>
          <w:rFonts w:ascii="Times New Roman" w:hAnsi="Times New Roman"/>
          <w:szCs w:val="24"/>
        </w:rPr>
      </w:pPr>
      <m:oMath>
        <m:sSub>
          <m:sSubPr>
            <m:ctrlPr>
              <w:rPr>
                <w:rFonts w:ascii="Cambria Math" w:hAnsi="Times New Roman"/>
                <w:i/>
                <w:szCs w:val="24"/>
              </w:rPr>
            </m:ctrlPr>
          </m:sSubPr>
          <m:e>
            <m:r>
              <w:rPr>
                <w:rFonts w:ascii="Cambria Math" w:hAnsi="Cambria Math"/>
                <w:szCs w:val="24"/>
              </w:rPr>
              <m:t>σ</m:t>
            </m:r>
          </m:e>
          <m:sub>
            <m:r>
              <w:rPr>
                <w:rFonts w:ascii="Cambria Math" w:hAnsi="Cambria Math"/>
                <w:szCs w:val="24"/>
              </w:rPr>
              <m:t>max</m:t>
            </m:r>
          </m:sub>
        </m:sSub>
        <m:r>
          <w:rPr>
            <w:rFonts w:ascii="Cambria Math" w:hAnsi="Times New Roman"/>
            <w:szCs w:val="24"/>
          </w:rPr>
          <m:t>=</m:t>
        </m:r>
        <m:r>
          <w:rPr>
            <w:rFonts w:ascii="Cambria Math" w:hAnsi="Cambria Math"/>
            <w:szCs w:val="24"/>
          </w:rPr>
          <m:t>f</m:t>
        </m:r>
        <m:r>
          <w:rPr>
            <w:rFonts w:ascii="Cambria Math" w:hAnsi="Times New Roman"/>
            <w:szCs w:val="24"/>
          </w:rPr>
          <m:t>×</m:t>
        </m:r>
        <m:f>
          <m:fPr>
            <m:ctrlPr>
              <w:rPr>
                <w:rFonts w:ascii="Cambria Math" w:hAnsi="Times New Roman"/>
                <w:i/>
                <w:szCs w:val="24"/>
              </w:rPr>
            </m:ctrlPr>
          </m:fPr>
          <m:num>
            <m:r>
              <w:rPr>
                <w:rFonts w:ascii="Cambria Math" w:hAnsi="Cambria Math"/>
                <w:szCs w:val="24"/>
              </w:rPr>
              <m:t>F</m:t>
            </m:r>
          </m:num>
          <m:den>
            <m:sSup>
              <m:sSupPr>
                <m:ctrlPr>
                  <w:rPr>
                    <w:rFonts w:ascii="Cambria Math" w:hAnsi="Times New Roman"/>
                    <w:i/>
                    <w:szCs w:val="24"/>
                  </w:rPr>
                </m:ctrlPr>
              </m:sSupPr>
              <m:e>
                <m:r>
                  <w:rPr>
                    <w:rFonts w:ascii="Cambria Math" w:hAnsi="Cambria Math"/>
                    <w:szCs w:val="24"/>
                  </w:rPr>
                  <m:t>t</m:t>
                </m:r>
              </m:e>
              <m:sup>
                <m:r>
                  <w:rPr>
                    <w:rFonts w:ascii="Cambria Math" w:hAnsi="Times New Roman"/>
                    <w:szCs w:val="24"/>
                  </w:rPr>
                  <m:t>2</m:t>
                </m:r>
              </m:sup>
            </m:sSup>
          </m:den>
        </m:f>
      </m:oMath>
      <w:r w:rsidRPr="00D029F7">
        <w:rPr>
          <w:rFonts w:ascii="Times New Roman" w:hAnsi="Times New Roman"/>
          <w:szCs w:val="24"/>
        </w:rPr>
        <w:tab/>
      </w:r>
      <w:r w:rsidRPr="00D029F7">
        <w:rPr>
          <w:rFonts w:ascii="Times New Roman" w:hAnsi="Times New Roman"/>
          <w:szCs w:val="24"/>
        </w:rPr>
        <w:tab/>
        <w:t>(</w:t>
      </w:r>
      <w:r w:rsidRPr="00D029F7">
        <w:rPr>
          <w:rFonts w:ascii="Times New Roman" w:hAnsi="Times New Roman"/>
          <w:noProof/>
          <w:szCs w:val="24"/>
        </w:rPr>
        <w:t>1</w:t>
      </w:r>
      <w:r w:rsidRPr="00D029F7">
        <w:rPr>
          <w:rFonts w:ascii="Times New Roman" w:hAnsi="Times New Roman"/>
          <w:szCs w:val="24"/>
        </w:rPr>
        <w:t>)</w:t>
      </w:r>
    </w:p>
    <w:p w:rsidR="001E18F2" w:rsidRPr="00D029F7" w:rsidRDefault="001E18F2" w:rsidP="001E18F2">
      <w:pPr>
        <w:spacing w:line="480" w:lineRule="auto"/>
        <w:rPr>
          <w:rFonts w:ascii="Times New Roman" w:hAnsi="Times New Roman"/>
          <w:szCs w:val="24"/>
        </w:rPr>
      </w:pPr>
      <w:r w:rsidRPr="00D029F7">
        <w:rPr>
          <w:rFonts w:ascii="Times New Roman" w:hAnsi="Times New Roman"/>
          <w:szCs w:val="24"/>
        </w:rPr>
        <w:t xml:space="preserve">where </w:t>
      </w:r>
      <w:r w:rsidRPr="00D029F7">
        <w:rPr>
          <w:rFonts w:ascii="Times New Roman" w:hAnsi="Times New Roman"/>
          <w:i/>
          <w:szCs w:val="24"/>
        </w:rPr>
        <w:t>F</w:t>
      </w:r>
      <w:r w:rsidRPr="00D029F7">
        <w:rPr>
          <w:rFonts w:ascii="Times New Roman" w:hAnsi="Times New Roman"/>
          <w:szCs w:val="24"/>
        </w:rPr>
        <w:t xml:space="preserve"> is the applied load on failure, </w:t>
      </w:r>
      <w:r w:rsidRPr="00D029F7">
        <w:rPr>
          <w:rFonts w:ascii="Times New Roman" w:hAnsi="Times New Roman"/>
          <w:i/>
          <w:szCs w:val="24"/>
        </w:rPr>
        <w:t>t</w:t>
      </w:r>
      <w:r w:rsidRPr="00D029F7">
        <w:rPr>
          <w:rFonts w:ascii="Times New Roman" w:hAnsi="Times New Roman"/>
          <w:szCs w:val="24"/>
        </w:rPr>
        <w:t xml:space="preserve"> the sample thickness and </w:t>
      </w:r>
      <w:r w:rsidRPr="00D029F7">
        <w:rPr>
          <w:rFonts w:ascii="Times New Roman" w:hAnsi="Times New Roman"/>
          <w:i/>
          <w:szCs w:val="24"/>
        </w:rPr>
        <w:t>f</w:t>
      </w:r>
      <w:r w:rsidRPr="00D029F7">
        <w:rPr>
          <w:rFonts w:ascii="Times New Roman" w:hAnsi="Times New Roman"/>
          <w:szCs w:val="24"/>
        </w:rPr>
        <w:t xml:space="preserve"> a dimensionless factor. For </w:t>
      </w:r>
      <w:r w:rsidRPr="00D029F7">
        <w:rPr>
          <w:rFonts w:ascii="Times New Roman" w:hAnsi="Times New Roman"/>
          <w:i/>
          <w:szCs w:val="24"/>
        </w:rPr>
        <w:t>R/R</w:t>
      </w:r>
      <w:r w:rsidRPr="00D029F7">
        <w:rPr>
          <w:rFonts w:ascii="Times New Roman" w:hAnsi="Times New Roman"/>
          <w:i/>
          <w:szCs w:val="24"/>
          <w:vertAlign w:val="subscript"/>
        </w:rPr>
        <w:t>1</w:t>
      </w:r>
      <w:r w:rsidRPr="00D029F7">
        <w:rPr>
          <w:rFonts w:ascii="Times New Roman" w:hAnsi="Times New Roman"/>
          <w:i/>
          <w:szCs w:val="24"/>
        </w:rPr>
        <w:t xml:space="preserve"> = 2.25</w:t>
      </w:r>
      <w:r w:rsidRPr="00D029F7">
        <w:rPr>
          <w:rFonts w:ascii="Times New Roman" w:hAnsi="Times New Roman"/>
          <w:szCs w:val="24"/>
        </w:rPr>
        <w:t xml:space="preserve"> (</w:t>
      </w:r>
      <w:r w:rsidRPr="00D029F7">
        <w:rPr>
          <w:rFonts w:ascii="Times New Roman" w:hAnsi="Times New Roman"/>
          <w:i/>
          <w:szCs w:val="24"/>
        </w:rPr>
        <w:t>R</w:t>
      </w:r>
      <w:r w:rsidRPr="00D029F7">
        <w:rPr>
          <w:rFonts w:ascii="Times New Roman" w:hAnsi="Times New Roman"/>
          <w:szCs w:val="24"/>
        </w:rPr>
        <w:t xml:space="preserve"> being the diameter of the test samples), </w:t>
      </w:r>
      <w:r w:rsidRPr="00D029F7">
        <w:rPr>
          <w:rFonts w:ascii="Times New Roman" w:hAnsi="Times New Roman"/>
          <w:i/>
          <w:szCs w:val="24"/>
        </w:rPr>
        <w:t>f</w:t>
      </w:r>
      <w:r w:rsidRPr="00D029F7">
        <w:rPr>
          <w:rFonts w:ascii="Times New Roman" w:hAnsi="Times New Roman"/>
          <w:szCs w:val="24"/>
        </w:rPr>
        <w:t xml:space="preserve"> can be calculated with the following formula </w:t>
      </w:r>
      <w:r w:rsidRPr="00D029F7">
        <w:rPr>
          <w:rFonts w:ascii="Times New Roman" w:hAnsi="Times New Roman"/>
          <w:noProof/>
          <w:szCs w:val="24"/>
        </w:rPr>
        <w:t>[61]</w:t>
      </w:r>
      <w:r w:rsidRPr="00D029F7">
        <w:rPr>
          <w:rFonts w:ascii="Times New Roman" w:hAnsi="Times New Roman"/>
          <w:szCs w:val="24"/>
        </w:rPr>
        <w:t>:</w:t>
      </w:r>
    </w:p>
    <w:p w:rsidR="001E18F2" w:rsidRPr="00D029F7" w:rsidRDefault="001E18F2" w:rsidP="001E18F2">
      <w:pPr>
        <w:spacing w:line="480" w:lineRule="auto"/>
        <w:jc w:val="center"/>
        <w:rPr>
          <w:rFonts w:ascii="Times New Roman" w:hAnsi="Times New Roman"/>
          <w:szCs w:val="24"/>
        </w:rPr>
      </w:pPr>
      <m:oMath>
        <m:r>
          <w:rPr>
            <w:rFonts w:ascii="Cambria Math" w:hAnsi="Cambria Math"/>
            <w:szCs w:val="24"/>
          </w:rPr>
          <m:t>f</m:t>
        </m:r>
        <m:r>
          <w:rPr>
            <w:rFonts w:ascii="Cambria Math" w:hAnsi="Times New Roman"/>
            <w:szCs w:val="24"/>
          </w:rPr>
          <m:t>=0.656</m:t>
        </m:r>
        <m:sSup>
          <m:sSupPr>
            <m:ctrlPr>
              <w:rPr>
                <w:rFonts w:ascii="Cambria Math" w:hAnsi="Times New Roman"/>
                <w:i/>
                <w:szCs w:val="24"/>
              </w:rPr>
            </m:ctrlPr>
          </m:sSupPr>
          <m:e>
            <m:d>
              <m:dPr>
                <m:ctrlPr>
                  <w:rPr>
                    <w:rFonts w:ascii="Cambria Math" w:hAnsi="Times New Roman"/>
                    <w:i/>
                    <w:szCs w:val="24"/>
                  </w:rPr>
                </m:ctrlPr>
              </m:dPr>
              <m:e>
                <m:f>
                  <m:fPr>
                    <m:ctrlPr>
                      <w:rPr>
                        <w:rFonts w:ascii="Cambria Math" w:hAnsi="Times New Roman"/>
                        <w:i/>
                        <w:szCs w:val="24"/>
                      </w:rPr>
                    </m:ctrlPr>
                  </m:fPr>
                  <m:num>
                    <m:r>
                      <w:rPr>
                        <w:rFonts w:ascii="Cambria Math" w:hAnsi="Cambria Math"/>
                        <w:szCs w:val="24"/>
                      </w:rPr>
                      <m:t>t</m:t>
                    </m:r>
                  </m:num>
                  <m:den>
                    <m:sSub>
                      <m:sSubPr>
                        <m:ctrlPr>
                          <w:rPr>
                            <w:rFonts w:ascii="Cambria Math" w:hAnsi="Times New Roman"/>
                            <w:i/>
                            <w:szCs w:val="24"/>
                          </w:rPr>
                        </m:ctrlPr>
                      </m:sSubPr>
                      <m:e>
                        <m:r>
                          <w:rPr>
                            <w:rFonts w:ascii="Cambria Math" w:hAnsi="Cambria Math"/>
                            <w:szCs w:val="24"/>
                          </w:rPr>
                          <m:t>R</m:t>
                        </m:r>
                      </m:e>
                      <m:sub>
                        <m:r>
                          <w:rPr>
                            <w:rFonts w:ascii="Cambria Math" w:hAnsi="Times New Roman"/>
                            <w:szCs w:val="24"/>
                          </w:rPr>
                          <m:t>1</m:t>
                        </m:r>
                      </m:sub>
                    </m:sSub>
                  </m:den>
                </m:f>
              </m:e>
            </m:d>
          </m:e>
          <m:sup>
            <m:r>
              <w:rPr>
                <w:rFonts w:ascii="Cambria Math" w:hAnsi="Cambria Math"/>
                <w:szCs w:val="24"/>
              </w:rPr>
              <m:t>-</m:t>
            </m:r>
            <m:r>
              <w:rPr>
                <w:rFonts w:ascii="Cambria Math" w:hAnsi="Times New Roman"/>
                <w:szCs w:val="24"/>
              </w:rPr>
              <m:t>0.196</m:t>
            </m:r>
          </m:sup>
        </m:sSup>
        <m:r>
          <w:rPr>
            <w:rFonts w:ascii="Cambria Math" w:hAnsi="Times New Roman"/>
            <w:szCs w:val="24"/>
          </w:rPr>
          <m:t>+0.274(</m:t>
        </m:r>
        <m:sSup>
          <m:sSupPr>
            <m:ctrlPr>
              <w:rPr>
                <w:rFonts w:ascii="Cambria Math" w:hAnsi="Times New Roman"/>
                <w:i/>
                <w:szCs w:val="24"/>
              </w:rPr>
            </m:ctrlPr>
          </m:sSupPr>
          <m:e>
            <m:f>
              <m:fPr>
                <m:ctrlPr>
                  <w:rPr>
                    <w:rFonts w:ascii="Cambria Math" w:hAnsi="Times New Roman"/>
                    <w:i/>
                    <w:szCs w:val="24"/>
                  </w:rPr>
                </m:ctrlPr>
              </m:fPr>
              <m:num>
                <m:r>
                  <w:rPr>
                    <w:rFonts w:ascii="Cambria Math" w:hAnsi="Cambria Math"/>
                    <w:szCs w:val="24"/>
                  </w:rPr>
                  <m:t>t</m:t>
                </m:r>
              </m:num>
              <m:den>
                <m:sSub>
                  <m:sSubPr>
                    <m:ctrlPr>
                      <w:rPr>
                        <w:rFonts w:ascii="Cambria Math" w:hAnsi="Times New Roman"/>
                        <w:i/>
                        <w:szCs w:val="24"/>
                      </w:rPr>
                    </m:ctrlPr>
                  </m:sSubPr>
                  <m:e>
                    <m:r>
                      <w:rPr>
                        <w:rFonts w:ascii="Cambria Math" w:hAnsi="Cambria Math"/>
                        <w:szCs w:val="24"/>
                      </w:rPr>
                      <m:t>R</m:t>
                    </m:r>
                  </m:e>
                  <m:sub>
                    <m:r>
                      <w:rPr>
                        <w:rFonts w:ascii="Cambria Math" w:hAnsi="Times New Roman"/>
                        <w:szCs w:val="24"/>
                      </w:rPr>
                      <m:t>1</m:t>
                    </m:r>
                  </m:sub>
                </m:sSub>
              </m:den>
            </m:f>
            <m:r>
              <w:rPr>
                <w:rFonts w:ascii="Cambria Math" w:hAnsi="Times New Roman"/>
                <w:szCs w:val="24"/>
              </w:rPr>
              <m:t>)</m:t>
            </m:r>
          </m:e>
          <m:sup>
            <m:r>
              <w:rPr>
                <w:rFonts w:ascii="Cambria Math" w:hAnsi="Times New Roman"/>
                <w:szCs w:val="24"/>
              </w:rPr>
              <m:t>-</m:t>
            </m:r>
            <m:r>
              <w:rPr>
                <w:rFonts w:ascii="Cambria Math" w:hAnsi="Times New Roman"/>
                <w:szCs w:val="24"/>
              </w:rPr>
              <m:t>0.448</m:t>
            </m:r>
          </m:sup>
        </m:sSup>
        <m:r>
          <w:rPr>
            <w:rFonts w:ascii="Cambria Math" w:hAnsi="Times New Roman"/>
            <w:szCs w:val="24"/>
          </w:rPr>
          <m:t>×</m:t>
        </m:r>
        <m:r>
          <m:rPr>
            <m:sty m:val="p"/>
          </m:rPr>
          <w:rPr>
            <w:rFonts w:ascii="Cambria Math" w:hAnsi="Times New Roman"/>
            <w:szCs w:val="24"/>
            <w:lang w:val="el-GR" w:eastAsia="es-ES"/>
          </w:rPr>
          <m:t>ν</m:t>
        </m:r>
      </m:oMath>
      <w:r w:rsidRPr="00D029F7">
        <w:rPr>
          <w:rFonts w:ascii="Times New Roman" w:hAnsi="Times New Roman"/>
          <w:szCs w:val="24"/>
        </w:rPr>
        <w:tab/>
      </w:r>
      <w:r w:rsidRPr="00D029F7">
        <w:rPr>
          <w:rFonts w:ascii="Times New Roman" w:hAnsi="Times New Roman"/>
          <w:szCs w:val="24"/>
        </w:rPr>
        <w:tab/>
        <w:t>(</w:t>
      </w:r>
      <w:bookmarkStart w:id="6" w:name="eq2"/>
      <w:r w:rsidRPr="00D029F7">
        <w:rPr>
          <w:rFonts w:ascii="Times New Roman" w:hAnsi="Times New Roman"/>
          <w:noProof/>
          <w:szCs w:val="24"/>
        </w:rPr>
        <w:t>2</w:t>
      </w:r>
      <w:bookmarkEnd w:id="6"/>
      <w:r w:rsidRPr="00D029F7">
        <w:rPr>
          <w:rFonts w:ascii="Times New Roman" w:hAnsi="Times New Roman"/>
          <w:szCs w:val="24"/>
        </w:rPr>
        <w:t>)</w:t>
      </w:r>
    </w:p>
    <w:p w:rsidR="001E18F2" w:rsidRPr="00D029F7" w:rsidRDefault="001E18F2" w:rsidP="001E18F2">
      <w:pPr>
        <w:spacing w:line="480" w:lineRule="auto"/>
        <w:rPr>
          <w:rFonts w:ascii="Times New Roman" w:hAnsi="Times New Roman"/>
          <w:szCs w:val="24"/>
        </w:rPr>
      </w:pPr>
      <w:r w:rsidRPr="00D029F7">
        <w:rPr>
          <w:rFonts w:ascii="Times New Roman" w:hAnsi="Times New Roman"/>
          <w:szCs w:val="24"/>
        </w:rPr>
        <w:t xml:space="preserve">where </w:t>
      </w:r>
      <w:r w:rsidRPr="00D029F7">
        <w:rPr>
          <w:rFonts w:ascii="Times New Roman" w:hAnsi="Times New Roman"/>
          <w:i/>
          <w:szCs w:val="24"/>
        </w:rPr>
        <w:t>t</w:t>
      </w:r>
      <w:r w:rsidRPr="00D029F7">
        <w:rPr>
          <w:rFonts w:ascii="Times New Roman" w:hAnsi="Times New Roman"/>
          <w:szCs w:val="24"/>
        </w:rPr>
        <w:t xml:space="preserve"> is the thickness of the sample and </w:t>
      </w:r>
      <w:r w:rsidRPr="00D029F7">
        <w:rPr>
          <w:rFonts w:ascii="Times New Roman" w:hAnsi="Times New Roman"/>
          <w:i/>
          <w:szCs w:val="24"/>
          <w:lang w:val="el-GR" w:eastAsia="es-ES"/>
        </w:rPr>
        <w:t>ν</w:t>
      </w:r>
      <w:r w:rsidRPr="00D029F7">
        <w:rPr>
          <w:rFonts w:ascii="Times New Roman" w:hAnsi="Times New Roman"/>
          <w:szCs w:val="24"/>
        </w:rPr>
        <w:t xml:space="preserve"> is the Poisson ratio. In the present study, </w:t>
      </w:r>
      <w:r w:rsidRPr="00D029F7">
        <w:rPr>
          <w:rFonts w:ascii="Times New Roman" w:hAnsi="Times New Roman"/>
          <w:i/>
          <w:szCs w:val="24"/>
        </w:rPr>
        <w:t>R/R</w:t>
      </w:r>
      <w:r w:rsidRPr="00D029F7">
        <w:rPr>
          <w:rFonts w:ascii="Times New Roman" w:hAnsi="Times New Roman"/>
          <w:i/>
          <w:szCs w:val="24"/>
          <w:vertAlign w:val="subscript"/>
        </w:rPr>
        <w:t>1</w:t>
      </w:r>
      <w:r w:rsidRPr="00D029F7">
        <w:rPr>
          <w:rFonts w:ascii="Times New Roman" w:hAnsi="Times New Roman"/>
          <w:i/>
          <w:szCs w:val="24"/>
        </w:rPr>
        <w:t xml:space="preserve"> = 2.45</w:t>
      </w:r>
      <w:r w:rsidRPr="00D029F7">
        <w:rPr>
          <w:rFonts w:ascii="Times New Roman" w:hAnsi="Times New Roman"/>
          <w:szCs w:val="24"/>
        </w:rPr>
        <w:t>, nevertheless it is still possible to use equation (</w:t>
      </w:r>
      <w:r w:rsidRPr="00D029F7">
        <w:t>2</w:t>
      </w:r>
      <w:r w:rsidRPr="00D029F7">
        <w:rPr>
          <w:rFonts w:ascii="Times New Roman" w:hAnsi="Times New Roman"/>
          <w:szCs w:val="24"/>
        </w:rPr>
        <w:t xml:space="preserve">) with an error inferior to 5 % </w:t>
      </w:r>
      <w:r w:rsidRPr="00D029F7">
        <w:rPr>
          <w:rFonts w:ascii="Times New Roman" w:hAnsi="Times New Roman"/>
          <w:noProof/>
          <w:szCs w:val="24"/>
        </w:rPr>
        <w:t>[62]</w:t>
      </w:r>
      <w:r w:rsidRPr="00D029F7">
        <w:rPr>
          <w:rFonts w:ascii="Times New Roman" w:hAnsi="Times New Roman"/>
          <w:szCs w:val="24"/>
        </w:rPr>
        <w:t>.</w:t>
      </w:r>
    </w:p>
    <w:p w:rsidR="001E18F2" w:rsidRPr="00D029F7" w:rsidRDefault="001E18F2" w:rsidP="001E18F2">
      <w:pPr>
        <w:spacing w:line="480" w:lineRule="auto"/>
        <w:ind w:firstLine="426"/>
        <w:rPr>
          <w:rFonts w:ascii="Times New Roman" w:hAnsi="Times New Roman"/>
          <w:szCs w:val="24"/>
        </w:rPr>
      </w:pPr>
      <w:r w:rsidRPr="00D029F7">
        <w:rPr>
          <w:rFonts w:ascii="Times New Roman" w:hAnsi="Times New Roman"/>
          <w:szCs w:val="24"/>
        </w:rPr>
        <w:lastRenderedPageBreak/>
        <w:t>Statistical analysis of the strength testing results was performed using SPSS® software (version 20, SPSS Inc., Chicago, USA). A two-way ANOVA with a 5% significance level was used to evaluate the effects of polishing and selective etching. The data was log-transformed prior to analysis. The normality and the homogeneity of variances were verified with respectively a Shapiro-Wilk test and a Levene test.</w:t>
      </w:r>
    </w:p>
    <w:p w:rsidR="001E18F2" w:rsidRPr="00D029F7" w:rsidRDefault="001E18F2" w:rsidP="001E18F2">
      <w:pPr>
        <w:spacing w:line="480" w:lineRule="auto"/>
        <w:ind w:firstLine="426"/>
        <w:rPr>
          <w:rFonts w:ascii="Times New Roman" w:hAnsi="Times New Roman"/>
          <w:szCs w:val="24"/>
        </w:rPr>
      </w:pPr>
      <w:r w:rsidRPr="00D029F7">
        <w:rPr>
          <w:rFonts w:ascii="Times New Roman" w:hAnsi="Times New Roman"/>
          <w:szCs w:val="24"/>
        </w:rPr>
        <w:t>The variability of the strength was analyzed using the Weibull distribution function:</w:t>
      </w:r>
    </w:p>
    <w:p w:rsidR="001E18F2" w:rsidRPr="00D029F7" w:rsidRDefault="001E18F2" w:rsidP="001E18F2">
      <w:pPr>
        <w:spacing w:line="480" w:lineRule="auto"/>
        <w:jc w:val="center"/>
        <w:rPr>
          <w:rFonts w:ascii="Times New Roman" w:hAnsi="Times New Roman"/>
          <w:szCs w:val="24"/>
        </w:rPr>
      </w:pPr>
      <m:oMath>
        <m:sSub>
          <m:sSubPr>
            <m:ctrlPr>
              <w:rPr>
                <w:rFonts w:ascii="Cambria Math" w:hAnsi="Times New Roman"/>
                <w:szCs w:val="24"/>
              </w:rPr>
            </m:ctrlPr>
          </m:sSubPr>
          <m:e>
            <m:r>
              <w:rPr>
                <w:rFonts w:ascii="Cambria Math" w:hAnsi="Cambria Math"/>
                <w:szCs w:val="24"/>
              </w:rPr>
              <m:t>P</m:t>
            </m:r>
          </m:e>
          <m:sub>
            <m:r>
              <w:rPr>
                <w:rFonts w:ascii="Cambria Math" w:hAnsi="Cambria Math"/>
                <w:szCs w:val="24"/>
              </w:rPr>
              <m:t>F</m:t>
            </m:r>
          </m:sub>
        </m:sSub>
        <m:d>
          <m:dPr>
            <m:ctrlPr>
              <w:rPr>
                <w:rFonts w:ascii="Cambria Math" w:hAnsi="Times New Roman"/>
                <w:szCs w:val="24"/>
              </w:rPr>
            </m:ctrlPr>
          </m:dPr>
          <m:e>
            <m:r>
              <m:rPr>
                <m:sty m:val="p"/>
              </m:rPr>
              <w:rPr>
                <w:rFonts w:ascii="Cambria Math" w:hAnsi="Times New Roman"/>
                <w:szCs w:val="24"/>
              </w:rPr>
              <m:t>σ</m:t>
            </m:r>
          </m:e>
        </m:d>
        <m:r>
          <m:rPr>
            <m:sty m:val="p"/>
          </m:rPr>
          <w:rPr>
            <w:rFonts w:ascii="Cambria Math" w:hAnsi="Times New Roman"/>
            <w:szCs w:val="24"/>
          </w:rPr>
          <m:t>=1</m:t>
        </m:r>
        <m:r>
          <m:rPr>
            <m:sty m:val="p"/>
          </m:rPr>
          <w:rPr>
            <w:rFonts w:ascii="Cambria Math" w:hAnsi="Times New Roman"/>
            <w:szCs w:val="24"/>
          </w:rPr>
          <m:t>-</m:t>
        </m:r>
        <m:r>
          <m:rPr>
            <m:sty m:val="p"/>
          </m:rPr>
          <w:rPr>
            <w:rFonts w:ascii="Cambria Math" w:hAnsi="Times New Roman"/>
            <w:szCs w:val="24"/>
          </w:rPr>
          <m:t xml:space="preserve"> exp</m:t>
        </m:r>
        <m:r>
          <m:rPr>
            <m:sty m:val="p"/>
          </m:rPr>
          <w:rPr>
            <w:rFonts w:ascii="Cambria Math" w:hAnsi="Cambria Math"/>
            <w:szCs w:val="24"/>
          </w:rPr>
          <m:t>⁡</m:t>
        </m:r>
        <m:r>
          <m:rPr>
            <m:sty m:val="p"/>
          </m:rPr>
          <w:rPr>
            <w:rFonts w:ascii="Cambria Math" w:hAnsi="Times New Roman"/>
            <w:szCs w:val="24"/>
          </w:rPr>
          <m:t>(</m:t>
        </m:r>
        <m:r>
          <m:rPr>
            <m:sty m:val="p"/>
          </m:rPr>
          <w:rPr>
            <w:rFonts w:ascii="Cambria Math" w:hAnsi="Times New Roman"/>
            <w:szCs w:val="24"/>
          </w:rPr>
          <m:t>-</m:t>
        </m:r>
        <m:sSup>
          <m:sSupPr>
            <m:ctrlPr>
              <w:rPr>
                <w:rFonts w:ascii="Cambria Math" w:hAnsi="Times New Roman"/>
                <w:szCs w:val="24"/>
              </w:rPr>
            </m:ctrlPr>
          </m:sSupPr>
          <m:e>
            <m:d>
              <m:dPr>
                <m:ctrlPr>
                  <w:rPr>
                    <w:rFonts w:ascii="Cambria Math" w:hAnsi="Times New Roman"/>
                    <w:szCs w:val="24"/>
                  </w:rPr>
                </m:ctrlPr>
              </m:dPr>
              <m:e>
                <m:f>
                  <m:fPr>
                    <m:ctrlPr>
                      <w:rPr>
                        <w:rFonts w:ascii="Cambria Math" w:hAnsi="Times New Roman"/>
                        <w:szCs w:val="24"/>
                      </w:rPr>
                    </m:ctrlPr>
                  </m:fPr>
                  <m:num>
                    <m:r>
                      <m:rPr>
                        <m:sty m:val="p"/>
                      </m:rPr>
                      <w:rPr>
                        <w:rFonts w:ascii="Cambria Math" w:hAnsi="Times New Roman"/>
                        <w:szCs w:val="24"/>
                      </w:rPr>
                      <m:t>σ</m:t>
                    </m:r>
                  </m:num>
                  <m:den>
                    <m:sSub>
                      <m:sSubPr>
                        <m:ctrlPr>
                          <w:rPr>
                            <w:rFonts w:ascii="Cambria Math" w:hAnsi="Times New Roman"/>
                            <w:i/>
                            <w:szCs w:val="24"/>
                          </w:rPr>
                        </m:ctrlPr>
                      </m:sSubPr>
                      <m:e>
                        <m:r>
                          <m:rPr>
                            <m:sty m:val="p"/>
                          </m:rPr>
                          <w:rPr>
                            <w:rFonts w:ascii="Cambria Math" w:hAnsi="Times New Roman"/>
                            <w:szCs w:val="24"/>
                          </w:rPr>
                          <m:t>σ</m:t>
                        </m:r>
                      </m:e>
                      <m:sub>
                        <m:r>
                          <w:rPr>
                            <w:rFonts w:ascii="Cambria Math" w:hAnsi="Times New Roman"/>
                            <w:szCs w:val="24"/>
                          </w:rPr>
                          <m:t>0</m:t>
                        </m:r>
                      </m:sub>
                    </m:sSub>
                  </m:den>
                </m:f>
                <m:ctrlPr>
                  <w:rPr>
                    <w:rFonts w:ascii="Cambria Math" w:hAnsi="Times New Roman"/>
                    <w:i/>
                    <w:szCs w:val="24"/>
                  </w:rPr>
                </m:ctrlPr>
              </m:e>
            </m:d>
          </m:e>
          <m:sup>
            <m:r>
              <w:rPr>
                <w:rFonts w:ascii="Cambria Math" w:hAnsi="Cambria Math"/>
                <w:szCs w:val="24"/>
              </w:rPr>
              <m:t>m</m:t>
            </m:r>
          </m:sup>
        </m:sSup>
        <m:r>
          <m:rPr>
            <m:sty m:val="p"/>
          </m:rPr>
          <w:rPr>
            <w:rFonts w:ascii="Cambria Math" w:hAnsi="Times New Roman"/>
            <w:szCs w:val="24"/>
          </w:rPr>
          <m:t>)</m:t>
        </m:r>
      </m:oMath>
      <w:r w:rsidRPr="00D029F7">
        <w:rPr>
          <w:rFonts w:ascii="Times New Roman" w:hAnsi="Times New Roman"/>
          <w:szCs w:val="24"/>
        </w:rPr>
        <w:tab/>
      </w:r>
      <w:r w:rsidRPr="00D029F7">
        <w:rPr>
          <w:rFonts w:ascii="Times New Roman" w:hAnsi="Times New Roman"/>
          <w:szCs w:val="24"/>
        </w:rPr>
        <w:tab/>
        <w:t>(</w:t>
      </w:r>
      <w:r w:rsidRPr="00D029F7">
        <w:rPr>
          <w:rFonts w:ascii="Times New Roman" w:hAnsi="Times New Roman"/>
          <w:noProof/>
          <w:szCs w:val="24"/>
        </w:rPr>
        <w:t>3</w:t>
      </w:r>
      <w:r w:rsidRPr="00D029F7">
        <w:rPr>
          <w:rFonts w:ascii="Times New Roman" w:hAnsi="Times New Roman"/>
          <w:szCs w:val="24"/>
        </w:rPr>
        <w:t>)</w:t>
      </w:r>
    </w:p>
    <w:p w:rsidR="001E18F2" w:rsidRPr="00D029F7" w:rsidRDefault="001E18F2" w:rsidP="001E18F2">
      <w:pPr>
        <w:spacing w:line="480" w:lineRule="auto"/>
        <w:rPr>
          <w:rFonts w:ascii="Times New Roman" w:hAnsi="Times New Roman"/>
          <w:szCs w:val="24"/>
        </w:rPr>
      </w:pPr>
      <w:r w:rsidRPr="00D029F7">
        <w:rPr>
          <w:rFonts w:ascii="Times New Roman" w:hAnsi="Times New Roman"/>
          <w:szCs w:val="24"/>
        </w:rPr>
        <w:t xml:space="preserve">where </w:t>
      </w:r>
      <w:r w:rsidRPr="00D029F7">
        <w:rPr>
          <w:rFonts w:ascii="Times New Roman" w:hAnsi="Times New Roman"/>
          <w:i/>
          <w:szCs w:val="24"/>
        </w:rPr>
        <w:t>P</w:t>
      </w:r>
      <w:r w:rsidRPr="00D029F7">
        <w:rPr>
          <w:rFonts w:ascii="Times New Roman" w:hAnsi="Times New Roman"/>
          <w:i/>
          <w:szCs w:val="24"/>
          <w:vertAlign w:val="subscript"/>
        </w:rPr>
        <w:t>F</w:t>
      </w:r>
      <w:r w:rsidRPr="00D029F7">
        <w:rPr>
          <w:rFonts w:ascii="Times New Roman" w:hAnsi="Times New Roman"/>
          <w:szCs w:val="24"/>
        </w:rPr>
        <w:t xml:space="preserve"> is the cumulative probability of failure, </w:t>
      </w:r>
      <w:r w:rsidRPr="00D029F7">
        <w:rPr>
          <w:rFonts w:ascii="Times New Roman" w:hAnsi="Times New Roman"/>
          <w:i/>
          <w:szCs w:val="24"/>
        </w:rPr>
        <w:t>σ</w:t>
      </w:r>
      <w:r w:rsidRPr="00D029F7">
        <w:rPr>
          <w:rFonts w:ascii="Times New Roman" w:hAnsi="Times New Roman"/>
          <w:szCs w:val="24"/>
        </w:rPr>
        <w:t xml:space="preserve"> is the fracture strength, </w:t>
      </w:r>
      <w:r w:rsidRPr="00D029F7">
        <w:rPr>
          <w:rFonts w:ascii="Times New Roman" w:hAnsi="Times New Roman"/>
          <w:i/>
          <w:szCs w:val="24"/>
        </w:rPr>
        <w:t>σ</w:t>
      </w:r>
      <w:r w:rsidRPr="00D029F7">
        <w:rPr>
          <w:rFonts w:ascii="Times New Roman" w:hAnsi="Times New Roman"/>
          <w:i/>
          <w:szCs w:val="24"/>
          <w:vertAlign w:val="subscript"/>
        </w:rPr>
        <w:t>0</w:t>
      </w:r>
      <w:r w:rsidRPr="00D029F7">
        <w:rPr>
          <w:rFonts w:ascii="Times New Roman" w:hAnsi="Times New Roman"/>
          <w:szCs w:val="24"/>
        </w:rPr>
        <w:t xml:space="preserve"> is the Weibull characteristic strength, and </w:t>
      </w:r>
      <w:r w:rsidRPr="00D029F7">
        <w:rPr>
          <w:rFonts w:ascii="Times New Roman" w:hAnsi="Times New Roman"/>
          <w:i/>
          <w:szCs w:val="24"/>
        </w:rPr>
        <w:t>m</w:t>
      </w:r>
      <w:r w:rsidRPr="00D029F7">
        <w:rPr>
          <w:rFonts w:ascii="Times New Roman" w:hAnsi="Times New Roman"/>
          <w:szCs w:val="24"/>
        </w:rPr>
        <w:t xml:space="preserve"> is the Weibull modulus. For the evaluation of </w:t>
      </w:r>
      <w:r w:rsidRPr="00D029F7">
        <w:rPr>
          <w:rFonts w:ascii="Times New Roman" w:hAnsi="Times New Roman"/>
          <w:i/>
          <w:szCs w:val="24"/>
        </w:rPr>
        <w:t>m</w:t>
      </w:r>
      <w:r w:rsidRPr="00D029F7">
        <w:rPr>
          <w:rFonts w:ascii="Times New Roman" w:hAnsi="Times New Roman"/>
          <w:szCs w:val="24"/>
        </w:rPr>
        <w:t xml:space="preserve"> and </w:t>
      </w:r>
      <w:r w:rsidRPr="00D029F7">
        <w:rPr>
          <w:rFonts w:ascii="Times New Roman" w:hAnsi="Times New Roman"/>
          <w:i/>
          <w:szCs w:val="24"/>
        </w:rPr>
        <w:t>σ</w:t>
      </w:r>
      <w:r w:rsidRPr="00D029F7">
        <w:rPr>
          <w:rFonts w:ascii="Times New Roman" w:hAnsi="Times New Roman"/>
          <w:i/>
          <w:szCs w:val="24"/>
          <w:vertAlign w:val="subscript"/>
        </w:rPr>
        <w:t>0</w:t>
      </w:r>
      <w:r w:rsidRPr="00D029F7">
        <w:rPr>
          <w:rFonts w:ascii="Times New Roman" w:hAnsi="Times New Roman"/>
          <w:szCs w:val="24"/>
        </w:rPr>
        <w:t xml:space="preserve"> the measured strength data were ranked in increasing order and numbered from 1 to </w:t>
      </w:r>
      <w:r w:rsidRPr="00D029F7">
        <w:rPr>
          <w:rFonts w:ascii="Times New Roman" w:hAnsi="Times New Roman"/>
          <w:i/>
          <w:szCs w:val="24"/>
        </w:rPr>
        <w:t>N</w:t>
      </w:r>
      <w:r w:rsidRPr="00D029F7">
        <w:rPr>
          <w:rFonts w:ascii="Times New Roman" w:hAnsi="Times New Roman"/>
          <w:szCs w:val="24"/>
        </w:rPr>
        <w:t xml:space="preserve">. Then the single strength values </w:t>
      </w:r>
      <w:r w:rsidRPr="00D029F7">
        <w:rPr>
          <w:rFonts w:ascii="Times New Roman" w:hAnsi="Times New Roman"/>
          <w:i/>
          <w:szCs w:val="24"/>
        </w:rPr>
        <w:t>σ</w:t>
      </w:r>
      <w:r w:rsidRPr="00D029F7">
        <w:rPr>
          <w:rFonts w:ascii="Times New Roman" w:hAnsi="Times New Roman"/>
          <w:i/>
          <w:szCs w:val="24"/>
          <w:vertAlign w:val="subscript"/>
        </w:rPr>
        <w:t>i</w:t>
      </w:r>
      <w:r w:rsidRPr="00D029F7">
        <w:rPr>
          <w:rFonts w:ascii="Times New Roman" w:hAnsi="Times New Roman"/>
          <w:szCs w:val="24"/>
        </w:rPr>
        <w:t xml:space="preserve"> were related to the failure probability </w:t>
      </w:r>
      <w:r w:rsidRPr="00D029F7">
        <w:rPr>
          <w:rFonts w:ascii="Times New Roman" w:hAnsi="Times New Roman"/>
          <w:i/>
          <w:szCs w:val="24"/>
        </w:rPr>
        <w:t>P</w:t>
      </w:r>
      <w:r w:rsidRPr="00D029F7">
        <w:rPr>
          <w:rFonts w:ascii="Times New Roman" w:hAnsi="Times New Roman"/>
          <w:i/>
          <w:szCs w:val="24"/>
          <w:vertAlign w:val="subscript"/>
        </w:rPr>
        <w:t>Fi</w:t>
      </w:r>
      <w:r w:rsidRPr="00D029F7">
        <w:rPr>
          <w:rFonts w:ascii="Times New Roman" w:hAnsi="Times New Roman"/>
          <w:szCs w:val="24"/>
        </w:rPr>
        <w:t xml:space="preserve"> according to the following relation: </w:t>
      </w:r>
    </w:p>
    <w:p w:rsidR="001E18F2" w:rsidRPr="00D029F7" w:rsidRDefault="001E18F2" w:rsidP="001E18F2">
      <w:pPr>
        <w:spacing w:line="480" w:lineRule="auto"/>
        <w:jc w:val="center"/>
        <w:rPr>
          <w:rFonts w:ascii="Times New Roman" w:hAnsi="Times New Roman"/>
          <w:szCs w:val="24"/>
        </w:rPr>
      </w:pPr>
      <m:oMath>
        <m:sSub>
          <m:sSubPr>
            <m:ctrlPr>
              <w:rPr>
                <w:rFonts w:ascii="Cambria Math" w:hAnsi="Times New Roman"/>
                <w:szCs w:val="24"/>
              </w:rPr>
            </m:ctrlPr>
          </m:sSubPr>
          <m:e>
            <m:r>
              <w:rPr>
                <w:rFonts w:ascii="Cambria Math" w:hAnsi="Cambria Math"/>
                <w:szCs w:val="24"/>
              </w:rPr>
              <m:t>P</m:t>
            </m:r>
          </m:e>
          <m:sub>
            <m:r>
              <w:rPr>
                <w:rFonts w:ascii="Cambria Math" w:hAnsi="Cambria Math"/>
                <w:szCs w:val="24"/>
              </w:rPr>
              <m:t>Fi</m:t>
            </m:r>
          </m:sub>
        </m:sSub>
        <m:r>
          <w:rPr>
            <w:rFonts w:ascii="Cambria Math" w:hAnsi="Times New Roman"/>
            <w:szCs w:val="24"/>
          </w:rPr>
          <m:t xml:space="preserve">= </m:t>
        </m:r>
        <m:f>
          <m:fPr>
            <m:ctrlPr>
              <w:rPr>
                <w:rFonts w:ascii="Cambria Math" w:hAnsi="Times New Roman"/>
                <w:i/>
                <w:szCs w:val="24"/>
              </w:rPr>
            </m:ctrlPr>
          </m:fPr>
          <m:num>
            <m:r>
              <w:rPr>
                <w:rFonts w:ascii="Cambria Math" w:hAnsi="Cambria Math"/>
                <w:szCs w:val="24"/>
              </w:rPr>
              <m:t>i-</m:t>
            </m:r>
            <m:r>
              <w:rPr>
                <w:rFonts w:ascii="Cambria Math" w:hAnsi="Times New Roman"/>
                <w:szCs w:val="24"/>
              </w:rPr>
              <m:t>0.5</m:t>
            </m:r>
          </m:num>
          <m:den>
            <m:r>
              <w:rPr>
                <w:rFonts w:ascii="Cambria Math" w:hAnsi="Cambria Math"/>
                <w:szCs w:val="24"/>
              </w:rPr>
              <m:t>N</m:t>
            </m:r>
          </m:den>
        </m:f>
      </m:oMath>
      <w:r w:rsidRPr="00D029F7">
        <w:rPr>
          <w:rFonts w:ascii="Times New Roman" w:hAnsi="Times New Roman"/>
          <w:szCs w:val="24"/>
        </w:rPr>
        <w:tab/>
      </w:r>
      <w:r w:rsidRPr="00D029F7">
        <w:rPr>
          <w:rFonts w:ascii="Times New Roman" w:hAnsi="Times New Roman"/>
          <w:szCs w:val="24"/>
        </w:rPr>
        <w:tab/>
        <w:t>(</w:t>
      </w:r>
      <w:r w:rsidRPr="00D029F7">
        <w:rPr>
          <w:rFonts w:ascii="Times New Roman" w:hAnsi="Times New Roman"/>
          <w:noProof/>
          <w:szCs w:val="24"/>
        </w:rPr>
        <w:t>4</w:t>
      </w:r>
      <w:r w:rsidRPr="00D029F7">
        <w:rPr>
          <w:rFonts w:ascii="Times New Roman" w:hAnsi="Times New Roman"/>
          <w:szCs w:val="24"/>
        </w:rPr>
        <w:t>)</w:t>
      </w:r>
    </w:p>
    <w:p w:rsidR="001E18F2" w:rsidRPr="00D029F7" w:rsidRDefault="001E18F2" w:rsidP="001E18F2">
      <w:pPr>
        <w:spacing w:line="480" w:lineRule="auto"/>
        <w:rPr>
          <w:rFonts w:ascii="Times New Roman" w:hAnsi="Times New Roman"/>
          <w:szCs w:val="24"/>
        </w:rPr>
      </w:pPr>
      <w:r w:rsidRPr="00D029F7">
        <w:rPr>
          <w:rFonts w:ascii="Times New Roman" w:hAnsi="Times New Roman"/>
          <w:szCs w:val="24"/>
        </w:rPr>
        <w:t xml:space="preserve">where </w:t>
      </w:r>
      <w:r w:rsidRPr="00D029F7">
        <w:rPr>
          <w:rFonts w:ascii="Times New Roman" w:hAnsi="Times New Roman"/>
          <w:i/>
          <w:szCs w:val="24"/>
        </w:rPr>
        <w:t>i</w:t>
      </w:r>
      <w:r w:rsidRPr="00D029F7">
        <w:rPr>
          <w:rFonts w:ascii="Times New Roman" w:hAnsi="Times New Roman"/>
          <w:szCs w:val="24"/>
        </w:rPr>
        <w:t xml:space="preserve"> is the ranking number and </w:t>
      </w:r>
      <w:r w:rsidRPr="00D029F7">
        <w:rPr>
          <w:rFonts w:ascii="Times New Roman" w:hAnsi="Times New Roman"/>
          <w:i/>
          <w:szCs w:val="24"/>
        </w:rPr>
        <w:t>N</w:t>
      </w:r>
      <w:r w:rsidRPr="00D029F7">
        <w:rPr>
          <w:rFonts w:ascii="Times New Roman" w:hAnsi="Times New Roman"/>
          <w:szCs w:val="24"/>
        </w:rPr>
        <w:t xml:space="preserve"> is the total number of measurements (for a more detailed description of the methodology, see for instance Munz </w:t>
      </w:r>
      <w:r w:rsidRPr="00D029F7">
        <w:rPr>
          <w:rFonts w:ascii="Times New Roman" w:hAnsi="Times New Roman"/>
          <w:i/>
          <w:szCs w:val="24"/>
        </w:rPr>
        <w:t>et al.</w:t>
      </w:r>
      <w:r w:rsidRPr="00D029F7">
        <w:rPr>
          <w:rFonts w:ascii="Times New Roman" w:hAnsi="Times New Roman"/>
          <w:szCs w:val="24"/>
        </w:rPr>
        <w:t xml:space="preserve"> </w:t>
      </w:r>
      <w:r w:rsidRPr="00D029F7">
        <w:rPr>
          <w:rFonts w:ascii="Times New Roman" w:hAnsi="Times New Roman"/>
          <w:noProof/>
          <w:szCs w:val="24"/>
        </w:rPr>
        <w:t>[63]</w:t>
      </w:r>
      <w:r w:rsidRPr="00D029F7">
        <w:rPr>
          <w:rFonts w:ascii="Times New Roman" w:hAnsi="Times New Roman"/>
          <w:szCs w:val="24"/>
        </w:rPr>
        <w:t xml:space="preserve">). Finally, the 90% confidence bounds for </w:t>
      </w:r>
      <w:r w:rsidRPr="00D029F7">
        <w:rPr>
          <w:rFonts w:ascii="Times New Roman" w:hAnsi="Times New Roman"/>
          <w:i/>
          <w:szCs w:val="24"/>
        </w:rPr>
        <w:t>m</w:t>
      </w:r>
      <w:r w:rsidRPr="00D029F7">
        <w:rPr>
          <w:rFonts w:ascii="Times New Roman" w:hAnsi="Times New Roman"/>
          <w:szCs w:val="24"/>
        </w:rPr>
        <w:t xml:space="preserve"> and </w:t>
      </w:r>
      <w:r w:rsidRPr="00D029F7">
        <w:rPr>
          <w:rFonts w:ascii="Times New Roman" w:hAnsi="Times New Roman"/>
          <w:i/>
          <w:szCs w:val="24"/>
        </w:rPr>
        <w:t>σ</w:t>
      </w:r>
      <w:r w:rsidRPr="00D029F7">
        <w:rPr>
          <w:rFonts w:ascii="Times New Roman" w:hAnsi="Times New Roman"/>
          <w:i/>
          <w:szCs w:val="24"/>
          <w:vertAlign w:val="subscript"/>
        </w:rPr>
        <w:t>0</w:t>
      </w:r>
      <w:r w:rsidRPr="00D029F7">
        <w:rPr>
          <w:rFonts w:ascii="Times New Roman" w:hAnsi="Times New Roman"/>
          <w:szCs w:val="24"/>
        </w:rPr>
        <w:t xml:space="preserve"> were determined according to ASTM C1239-00.</w:t>
      </w:r>
    </w:p>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r w:rsidRPr="00D029F7">
        <w:rPr>
          <w:rFonts w:ascii="Times New Roman" w:eastAsia="Times New Roman" w:hAnsi="Times New Roman"/>
          <w:i/>
          <w:sz w:val="24"/>
          <w:szCs w:val="24"/>
          <w:lang w:val="en-US"/>
        </w:rPr>
        <w:t>Ageing kinetics</w:t>
      </w:r>
    </w:p>
    <w:p w:rsidR="001E18F2" w:rsidRPr="00D029F7" w:rsidRDefault="001E18F2" w:rsidP="001E18F2">
      <w:pPr>
        <w:spacing w:line="480" w:lineRule="auto"/>
        <w:ind w:firstLine="426"/>
        <w:rPr>
          <w:rFonts w:ascii="Times New Roman" w:hAnsi="Times New Roman"/>
          <w:szCs w:val="24"/>
        </w:rPr>
      </w:pPr>
      <w:r w:rsidRPr="00D029F7">
        <w:rPr>
          <w:rFonts w:ascii="Times New Roman" w:hAnsi="Times New Roman"/>
          <w:szCs w:val="24"/>
        </w:rPr>
        <w:t xml:space="preserve">Two samples from each group were subjected to hydrothermal degradation tests. The tests were performed in an autoclave, at 134 ºC, 100% steam atmosphere at 0.2 MPa pressure for times up to 600 h. This time is far beyond the requirement of 10 h recommended by the </w:t>
      </w:r>
      <w:r w:rsidRPr="00D029F7">
        <w:rPr>
          <w:rFonts w:ascii="Times New Roman" w:hAnsi="Times New Roman"/>
        </w:rPr>
        <w:t xml:space="preserve">ISO 6474-2 standard and according to Chevalier </w:t>
      </w:r>
      <w:r w:rsidRPr="00D029F7">
        <w:rPr>
          <w:rFonts w:ascii="Times New Roman" w:hAnsi="Times New Roman"/>
          <w:i/>
        </w:rPr>
        <w:t>et al</w:t>
      </w:r>
      <w:r w:rsidRPr="00D029F7">
        <w:rPr>
          <w:rFonts w:ascii="Times New Roman" w:hAnsi="Times New Roman"/>
        </w:rPr>
        <w:t xml:space="preserve">. (2009) </w:t>
      </w:r>
      <w:r w:rsidRPr="00D029F7">
        <w:rPr>
          <w:rFonts w:ascii="Times New Roman" w:hAnsi="Times New Roman"/>
          <w:noProof/>
        </w:rPr>
        <w:t>[41]</w:t>
      </w:r>
      <w:r w:rsidRPr="00D029F7">
        <w:rPr>
          <w:rFonts w:ascii="Times New Roman" w:hAnsi="Times New Roman"/>
        </w:rPr>
        <w:t xml:space="preserve"> it is equivalent to about 1500 years at 37 ºC. </w:t>
      </w:r>
      <w:r w:rsidRPr="00D029F7">
        <w:rPr>
          <w:rFonts w:ascii="Times New Roman" w:hAnsi="Times New Roman"/>
          <w:szCs w:val="24"/>
        </w:rPr>
        <w:lastRenderedPageBreak/>
        <w:t>It is thus extremely conservative but monitoring the long-term evolution of the monoclinic phase content allows amplifying potential differences between groups. The specimens were analyzed by X-ray diffraction (XRD) (Model D8, Bruker AXS, Madison, USA) using Cu-K</w:t>
      </w:r>
      <w:r w:rsidRPr="00D029F7">
        <w:rPr>
          <w:rFonts w:ascii="Times New Roman" w:hAnsi="Times New Roman"/>
          <w:szCs w:val="24"/>
          <w:vertAlign w:val="subscript"/>
        </w:rPr>
        <w:t>α</w:t>
      </w:r>
      <w:r w:rsidRPr="00D029F7">
        <w:rPr>
          <w:rFonts w:ascii="Times New Roman" w:hAnsi="Times New Roman"/>
          <w:szCs w:val="24"/>
        </w:rPr>
        <w:t xml:space="preserve"> radiation to detect and quantify the tetragonal–monoclinic transformation. The monoclinic fraction was determined using the relation proposed by Toraya </w:t>
      </w:r>
      <w:r w:rsidRPr="00D029F7">
        <w:rPr>
          <w:rFonts w:ascii="Times New Roman" w:hAnsi="Times New Roman"/>
          <w:i/>
          <w:szCs w:val="24"/>
        </w:rPr>
        <w:t>et al.</w:t>
      </w:r>
      <w:r w:rsidRPr="00D029F7">
        <w:rPr>
          <w:rFonts w:ascii="Times New Roman" w:hAnsi="Times New Roman"/>
          <w:szCs w:val="24"/>
        </w:rPr>
        <w:t xml:space="preserve"> </w:t>
      </w:r>
      <w:r w:rsidRPr="00D029F7">
        <w:rPr>
          <w:rFonts w:ascii="Times New Roman" w:hAnsi="Times New Roman"/>
          <w:noProof/>
          <w:szCs w:val="24"/>
        </w:rPr>
        <w:t>[64]</w:t>
      </w:r>
      <w:r w:rsidRPr="00D029F7">
        <w:rPr>
          <w:rFonts w:ascii="Times New Roman" w:hAnsi="Times New Roman"/>
          <w:szCs w:val="24"/>
        </w:rPr>
        <w:t>:</w:t>
      </w:r>
    </w:p>
    <w:p w:rsidR="001E18F2" w:rsidRPr="00D029F7" w:rsidRDefault="001E18F2" w:rsidP="001E18F2">
      <w:pPr>
        <w:spacing w:line="480" w:lineRule="auto"/>
        <w:jc w:val="center"/>
        <w:rPr>
          <w:rFonts w:ascii="Times New Roman" w:hAnsi="Times New Roman"/>
          <w:szCs w:val="24"/>
        </w:rPr>
      </w:pPr>
      <m:oMath>
        <m:sSub>
          <m:sSubPr>
            <m:ctrlPr>
              <w:rPr>
                <w:rFonts w:ascii="Cambria Math" w:hAnsi="Times New Roman"/>
                <w:i/>
                <w:szCs w:val="24"/>
              </w:rPr>
            </m:ctrlPr>
          </m:sSubPr>
          <m:e>
            <m:r>
              <w:rPr>
                <w:rFonts w:ascii="Cambria Math" w:hAnsi="Cambria Math"/>
                <w:szCs w:val="24"/>
              </w:rPr>
              <m:t>V</m:t>
            </m:r>
          </m:e>
          <m:sub>
            <m:r>
              <w:rPr>
                <w:rFonts w:ascii="Cambria Math" w:hAnsi="Cambria Math"/>
                <w:szCs w:val="24"/>
              </w:rPr>
              <m:t>m</m:t>
            </m:r>
          </m:sub>
        </m:sSub>
        <m:r>
          <w:rPr>
            <w:rFonts w:ascii="Cambria Math" w:hAnsi="Times New Roman"/>
            <w:szCs w:val="24"/>
          </w:rPr>
          <m:t xml:space="preserve">=1.311 </m:t>
        </m:r>
        <m:f>
          <m:fPr>
            <m:ctrlPr>
              <w:rPr>
                <w:rFonts w:ascii="Cambria Math" w:hAnsi="Times New Roman"/>
                <w:i/>
                <w:szCs w:val="24"/>
              </w:rPr>
            </m:ctrlPr>
          </m:fPr>
          <m:num>
            <m:sSub>
              <m:sSubPr>
                <m:ctrlPr>
                  <w:rPr>
                    <w:rFonts w:ascii="Cambria Math" w:hAnsi="Times New Roman"/>
                    <w:i/>
                    <w:szCs w:val="24"/>
                  </w:rPr>
                </m:ctrlPr>
              </m:sSubPr>
              <m:e>
                <m:r>
                  <w:rPr>
                    <w:rFonts w:ascii="Cambria Math" w:hAnsi="Cambria Math"/>
                    <w:szCs w:val="24"/>
                  </w:rPr>
                  <m:t>I</m:t>
                </m:r>
              </m:e>
              <m:sub>
                <m:r>
                  <w:rPr>
                    <w:rFonts w:ascii="Cambria Math" w:hAnsi="Cambria Math"/>
                    <w:szCs w:val="24"/>
                  </w:rPr>
                  <m:t>m</m:t>
                </m:r>
              </m:sub>
            </m:sSub>
            <m:d>
              <m:dPr>
                <m:ctrlPr>
                  <w:rPr>
                    <w:rFonts w:ascii="Cambria Math" w:hAnsi="Times New Roman"/>
                    <w:i/>
                    <w:szCs w:val="24"/>
                  </w:rPr>
                </m:ctrlPr>
              </m:dPr>
              <m:e>
                <m:acc>
                  <m:accPr>
                    <m:chr m:val="̅"/>
                    <m:ctrlPr>
                      <w:rPr>
                        <w:rFonts w:ascii="Cambria Math" w:hAnsi="Times New Roman"/>
                        <w:i/>
                        <w:szCs w:val="24"/>
                      </w:rPr>
                    </m:ctrlPr>
                  </m:accPr>
                  <m:e>
                    <m:r>
                      <w:rPr>
                        <w:rFonts w:ascii="Cambria Math" w:hAnsi="Times New Roman"/>
                        <w:szCs w:val="24"/>
                      </w:rPr>
                      <m:t>1</m:t>
                    </m:r>
                  </m:e>
                </m:acc>
                <m:r>
                  <w:rPr>
                    <w:rFonts w:ascii="Cambria Math" w:hAnsi="Times New Roman"/>
                    <w:szCs w:val="24"/>
                  </w:rPr>
                  <m:t>11</m:t>
                </m:r>
              </m:e>
            </m:d>
            <m:r>
              <w:rPr>
                <w:rFonts w:ascii="Cambria Math" w:hAnsi="Times New Roman"/>
                <w:szCs w:val="24"/>
              </w:rPr>
              <m:t>+</m:t>
            </m:r>
            <m:sSub>
              <m:sSubPr>
                <m:ctrlPr>
                  <w:rPr>
                    <w:rFonts w:ascii="Cambria Math" w:hAnsi="Times New Roman"/>
                    <w:i/>
                    <w:szCs w:val="24"/>
                  </w:rPr>
                </m:ctrlPr>
              </m:sSubPr>
              <m:e>
                <m:r>
                  <w:rPr>
                    <w:rFonts w:ascii="Cambria Math" w:hAnsi="Cambria Math"/>
                    <w:szCs w:val="24"/>
                  </w:rPr>
                  <m:t>I</m:t>
                </m:r>
              </m:e>
              <m:sub>
                <m:r>
                  <w:rPr>
                    <w:rFonts w:ascii="Cambria Math" w:hAnsi="Cambria Math"/>
                    <w:szCs w:val="24"/>
                  </w:rPr>
                  <m:t>m</m:t>
                </m:r>
              </m:sub>
            </m:sSub>
            <m:r>
              <w:rPr>
                <w:rFonts w:ascii="Cambria Math" w:hAnsi="Times New Roman"/>
                <w:szCs w:val="24"/>
              </w:rPr>
              <m:t>(111)</m:t>
            </m:r>
          </m:num>
          <m:den>
            <m:sSub>
              <m:sSubPr>
                <m:ctrlPr>
                  <w:rPr>
                    <w:rFonts w:ascii="Cambria Math" w:hAnsi="Times New Roman"/>
                    <w:i/>
                    <w:szCs w:val="24"/>
                  </w:rPr>
                </m:ctrlPr>
              </m:sSubPr>
              <m:e>
                <m:r>
                  <w:rPr>
                    <w:rFonts w:ascii="Cambria Math" w:hAnsi="Cambria Math"/>
                    <w:szCs w:val="24"/>
                  </w:rPr>
                  <m:t>I</m:t>
                </m:r>
              </m:e>
              <m:sub>
                <m:r>
                  <w:rPr>
                    <w:rFonts w:ascii="Cambria Math" w:hAnsi="Cambria Math"/>
                    <w:szCs w:val="24"/>
                  </w:rPr>
                  <m:t>t</m:t>
                </m:r>
              </m:sub>
            </m:sSub>
            <m:d>
              <m:dPr>
                <m:ctrlPr>
                  <w:rPr>
                    <w:rFonts w:ascii="Cambria Math" w:hAnsi="Times New Roman"/>
                    <w:i/>
                    <w:szCs w:val="24"/>
                  </w:rPr>
                </m:ctrlPr>
              </m:dPr>
              <m:e>
                <m:r>
                  <w:rPr>
                    <w:rFonts w:ascii="Cambria Math" w:hAnsi="Times New Roman"/>
                    <w:szCs w:val="24"/>
                  </w:rPr>
                  <m:t>101</m:t>
                </m:r>
              </m:e>
            </m:d>
            <m:r>
              <w:rPr>
                <w:rFonts w:ascii="Cambria Math" w:hAnsi="Times New Roman"/>
                <w:szCs w:val="24"/>
              </w:rPr>
              <m:t>+1.311[</m:t>
            </m:r>
            <m:sSub>
              <m:sSubPr>
                <m:ctrlPr>
                  <w:rPr>
                    <w:rFonts w:ascii="Cambria Math" w:hAnsi="Times New Roman"/>
                    <w:i/>
                    <w:szCs w:val="24"/>
                  </w:rPr>
                </m:ctrlPr>
              </m:sSubPr>
              <m:e>
                <m:r>
                  <w:rPr>
                    <w:rFonts w:ascii="Cambria Math" w:hAnsi="Cambria Math"/>
                    <w:szCs w:val="24"/>
                  </w:rPr>
                  <m:t>I</m:t>
                </m:r>
              </m:e>
              <m:sub>
                <m:r>
                  <w:rPr>
                    <w:rFonts w:ascii="Cambria Math" w:hAnsi="Cambria Math"/>
                    <w:szCs w:val="24"/>
                  </w:rPr>
                  <m:t>m</m:t>
                </m:r>
              </m:sub>
            </m:sSub>
            <m:d>
              <m:dPr>
                <m:ctrlPr>
                  <w:rPr>
                    <w:rFonts w:ascii="Cambria Math" w:hAnsi="Times New Roman"/>
                    <w:i/>
                    <w:szCs w:val="24"/>
                  </w:rPr>
                </m:ctrlPr>
              </m:dPr>
              <m:e>
                <m:acc>
                  <m:accPr>
                    <m:chr m:val="̅"/>
                    <m:ctrlPr>
                      <w:rPr>
                        <w:rFonts w:ascii="Cambria Math" w:hAnsi="Times New Roman"/>
                        <w:i/>
                        <w:szCs w:val="24"/>
                      </w:rPr>
                    </m:ctrlPr>
                  </m:accPr>
                  <m:e>
                    <m:r>
                      <w:rPr>
                        <w:rFonts w:ascii="Cambria Math" w:hAnsi="Times New Roman"/>
                        <w:szCs w:val="24"/>
                      </w:rPr>
                      <m:t>1</m:t>
                    </m:r>
                  </m:e>
                </m:acc>
                <m:r>
                  <w:rPr>
                    <w:rFonts w:ascii="Cambria Math" w:hAnsi="Times New Roman"/>
                    <w:szCs w:val="24"/>
                  </w:rPr>
                  <m:t>11</m:t>
                </m:r>
              </m:e>
            </m:d>
            <m:r>
              <w:rPr>
                <w:rFonts w:ascii="Cambria Math" w:hAnsi="Times New Roman"/>
                <w:szCs w:val="24"/>
              </w:rPr>
              <m:t>+</m:t>
            </m:r>
            <m:sSub>
              <m:sSubPr>
                <m:ctrlPr>
                  <w:rPr>
                    <w:rFonts w:ascii="Cambria Math" w:hAnsi="Times New Roman"/>
                    <w:i/>
                    <w:szCs w:val="24"/>
                  </w:rPr>
                </m:ctrlPr>
              </m:sSubPr>
              <m:e>
                <m:r>
                  <w:rPr>
                    <w:rFonts w:ascii="Cambria Math" w:hAnsi="Cambria Math"/>
                    <w:szCs w:val="24"/>
                  </w:rPr>
                  <m:t>I</m:t>
                </m:r>
              </m:e>
              <m:sub>
                <m:r>
                  <w:rPr>
                    <w:rFonts w:ascii="Cambria Math" w:hAnsi="Cambria Math"/>
                    <w:szCs w:val="24"/>
                  </w:rPr>
                  <m:t>m</m:t>
                </m:r>
              </m:sub>
            </m:sSub>
            <m:d>
              <m:dPr>
                <m:ctrlPr>
                  <w:rPr>
                    <w:rFonts w:ascii="Cambria Math" w:hAnsi="Times New Roman"/>
                    <w:i/>
                    <w:szCs w:val="24"/>
                  </w:rPr>
                </m:ctrlPr>
              </m:dPr>
              <m:e>
                <m:r>
                  <w:rPr>
                    <w:rFonts w:ascii="Cambria Math" w:hAnsi="Times New Roman"/>
                    <w:szCs w:val="24"/>
                  </w:rPr>
                  <m:t>111</m:t>
                </m:r>
              </m:e>
            </m:d>
            <m:r>
              <w:rPr>
                <w:rFonts w:ascii="Cambria Math" w:hAnsi="Times New Roman"/>
                <w:szCs w:val="24"/>
              </w:rPr>
              <m:t>]</m:t>
            </m:r>
          </m:den>
        </m:f>
        <m:r>
          <w:rPr>
            <w:rFonts w:ascii="Cambria Math" w:hAnsi="Times New Roman"/>
            <w:szCs w:val="24"/>
          </w:rPr>
          <m:t xml:space="preserve"> </m:t>
        </m:r>
      </m:oMath>
      <w:r w:rsidRPr="00D029F7">
        <w:rPr>
          <w:rFonts w:ascii="Times New Roman" w:hAnsi="Times New Roman"/>
          <w:szCs w:val="24"/>
        </w:rPr>
        <w:tab/>
      </w:r>
      <w:r w:rsidRPr="00D029F7">
        <w:rPr>
          <w:rFonts w:ascii="Times New Roman" w:hAnsi="Times New Roman"/>
          <w:szCs w:val="24"/>
        </w:rPr>
        <w:tab/>
        <w:t>(</w:t>
      </w:r>
      <w:r w:rsidRPr="00D029F7">
        <w:rPr>
          <w:rFonts w:ascii="Times New Roman" w:hAnsi="Times New Roman"/>
          <w:noProof/>
          <w:szCs w:val="24"/>
        </w:rPr>
        <w:t>5</w:t>
      </w:r>
      <w:r w:rsidRPr="00D029F7">
        <w:rPr>
          <w:rFonts w:ascii="Times New Roman" w:hAnsi="Times New Roman"/>
          <w:szCs w:val="24"/>
        </w:rPr>
        <w:t>)</w:t>
      </w:r>
    </w:p>
    <w:p w:rsidR="001E18F2" w:rsidRPr="00D029F7" w:rsidRDefault="001E18F2" w:rsidP="001E18F2">
      <w:pPr>
        <w:spacing w:line="480" w:lineRule="auto"/>
        <w:rPr>
          <w:rFonts w:ascii="Times New Roman" w:hAnsi="Times New Roman"/>
          <w:szCs w:val="24"/>
        </w:rPr>
      </w:pPr>
      <w:r w:rsidRPr="00D029F7">
        <w:rPr>
          <w:rFonts w:ascii="Times New Roman" w:hAnsi="Times New Roman"/>
          <w:szCs w:val="24"/>
        </w:rPr>
        <w:t xml:space="preserve">where </w:t>
      </w:r>
      <w:r w:rsidRPr="00D029F7">
        <w:rPr>
          <w:rFonts w:ascii="Times New Roman" w:hAnsi="Times New Roman"/>
          <w:i/>
          <w:szCs w:val="24"/>
        </w:rPr>
        <w:t>V</w:t>
      </w:r>
      <w:r w:rsidRPr="00D029F7">
        <w:rPr>
          <w:rFonts w:ascii="Times New Roman" w:hAnsi="Times New Roman"/>
          <w:i/>
          <w:szCs w:val="24"/>
          <w:vertAlign w:val="subscript"/>
        </w:rPr>
        <w:t>m</w:t>
      </w:r>
      <w:r w:rsidRPr="00D029F7">
        <w:rPr>
          <w:rFonts w:ascii="Times New Roman" w:hAnsi="Times New Roman"/>
          <w:szCs w:val="24"/>
        </w:rPr>
        <w:t xml:space="preserve"> is the monoclinic volume fraction, </w:t>
      </w:r>
      <m:oMath>
        <m:sSub>
          <m:sSubPr>
            <m:ctrlPr>
              <w:rPr>
                <w:rFonts w:ascii="Cambria Math" w:hAnsi="Times New Roman"/>
                <w:i/>
                <w:szCs w:val="24"/>
              </w:rPr>
            </m:ctrlPr>
          </m:sSubPr>
          <m:e>
            <m:r>
              <w:rPr>
                <w:rFonts w:ascii="Cambria Math" w:hAnsi="Cambria Math"/>
                <w:szCs w:val="24"/>
              </w:rPr>
              <m:t>I</m:t>
            </m:r>
          </m:e>
          <m:sub>
            <m:r>
              <w:rPr>
                <w:rFonts w:ascii="Cambria Math" w:hAnsi="Cambria Math"/>
                <w:szCs w:val="24"/>
              </w:rPr>
              <m:t>m</m:t>
            </m:r>
          </m:sub>
        </m:sSub>
        <m:d>
          <m:dPr>
            <m:ctrlPr>
              <w:rPr>
                <w:rFonts w:ascii="Cambria Math" w:hAnsi="Times New Roman"/>
                <w:i/>
                <w:szCs w:val="24"/>
              </w:rPr>
            </m:ctrlPr>
          </m:dPr>
          <m:e>
            <m:acc>
              <m:accPr>
                <m:chr m:val="̅"/>
                <m:ctrlPr>
                  <w:rPr>
                    <w:rFonts w:ascii="Cambria Math" w:hAnsi="Times New Roman"/>
                    <w:i/>
                    <w:szCs w:val="24"/>
                  </w:rPr>
                </m:ctrlPr>
              </m:accPr>
              <m:e>
                <m:r>
                  <w:rPr>
                    <w:rFonts w:ascii="Cambria Math" w:hAnsi="Times New Roman"/>
                    <w:szCs w:val="24"/>
                  </w:rPr>
                  <m:t>1</m:t>
                </m:r>
              </m:e>
            </m:acc>
            <m:r>
              <w:rPr>
                <w:rFonts w:ascii="Cambria Math" w:hAnsi="Times New Roman"/>
                <w:szCs w:val="24"/>
              </w:rPr>
              <m:t>11</m:t>
            </m:r>
          </m:e>
        </m:d>
      </m:oMath>
      <w:r w:rsidRPr="00D029F7">
        <w:rPr>
          <w:rFonts w:ascii="Times New Roman" w:hAnsi="Times New Roman"/>
          <w:szCs w:val="24"/>
        </w:rPr>
        <w:t xml:space="preserve"> and </w:t>
      </w:r>
      <m:oMath>
        <m:sSub>
          <m:sSubPr>
            <m:ctrlPr>
              <w:rPr>
                <w:rFonts w:ascii="Cambria Math" w:hAnsi="Times New Roman"/>
                <w:i/>
                <w:szCs w:val="24"/>
              </w:rPr>
            </m:ctrlPr>
          </m:sSubPr>
          <m:e>
            <m:r>
              <w:rPr>
                <w:rFonts w:ascii="Cambria Math" w:hAnsi="Cambria Math"/>
                <w:szCs w:val="24"/>
              </w:rPr>
              <m:t>I</m:t>
            </m:r>
          </m:e>
          <m:sub>
            <m:r>
              <w:rPr>
                <w:rFonts w:ascii="Cambria Math" w:hAnsi="Cambria Math"/>
                <w:szCs w:val="24"/>
              </w:rPr>
              <m:t>m</m:t>
            </m:r>
          </m:sub>
        </m:sSub>
        <m:r>
          <w:rPr>
            <w:rFonts w:ascii="Cambria Math" w:hAnsi="Times New Roman"/>
            <w:szCs w:val="24"/>
          </w:rPr>
          <m:t>(111)</m:t>
        </m:r>
      </m:oMath>
      <w:r w:rsidRPr="00D029F7">
        <w:rPr>
          <w:rFonts w:ascii="Times New Roman" w:hAnsi="Times New Roman"/>
          <w:szCs w:val="24"/>
        </w:rPr>
        <w:t xml:space="preserve"> are the intensities of the monoclinic peaks and </w:t>
      </w:r>
      <m:oMath>
        <m:sSub>
          <m:sSubPr>
            <m:ctrlPr>
              <w:rPr>
                <w:rFonts w:ascii="Cambria Math" w:hAnsi="Times New Roman"/>
                <w:i/>
                <w:szCs w:val="24"/>
              </w:rPr>
            </m:ctrlPr>
          </m:sSubPr>
          <m:e>
            <m:r>
              <w:rPr>
                <w:rFonts w:ascii="Cambria Math" w:hAnsi="Cambria Math"/>
                <w:szCs w:val="24"/>
              </w:rPr>
              <m:t>I</m:t>
            </m:r>
          </m:e>
          <m:sub>
            <m:r>
              <w:rPr>
                <w:rFonts w:ascii="Cambria Math" w:hAnsi="Cambria Math"/>
                <w:szCs w:val="24"/>
              </w:rPr>
              <m:t>t</m:t>
            </m:r>
          </m:sub>
        </m:sSub>
        <m:r>
          <w:rPr>
            <w:rFonts w:ascii="Cambria Math" w:hAnsi="Times New Roman"/>
            <w:szCs w:val="24"/>
          </w:rPr>
          <m:t>(101)</m:t>
        </m:r>
      </m:oMath>
      <w:r w:rsidRPr="00D029F7">
        <w:rPr>
          <w:rFonts w:ascii="Times New Roman" w:hAnsi="Times New Roman"/>
          <w:szCs w:val="24"/>
        </w:rPr>
        <w:t xml:space="preserve"> is the intensity of the tetragonal peak.</w:t>
      </w:r>
    </w:p>
    <w:p w:rsidR="001E18F2" w:rsidRPr="00D029F7" w:rsidRDefault="001E18F2" w:rsidP="001E18F2">
      <w:pPr>
        <w:pStyle w:val="ListParagraph"/>
        <w:numPr>
          <w:ilvl w:val="0"/>
          <w:numId w:val="9"/>
        </w:numPr>
        <w:spacing w:line="480" w:lineRule="auto"/>
        <w:rPr>
          <w:rFonts w:ascii="Times New Roman" w:eastAsia="Times New Roman" w:hAnsi="Times New Roman"/>
          <w:b/>
          <w:sz w:val="24"/>
          <w:szCs w:val="24"/>
          <w:lang w:val="en-US"/>
        </w:rPr>
      </w:pPr>
      <w:r w:rsidRPr="00D029F7">
        <w:rPr>
          <w:rFonts w:ascii="Times New Roman" w:eastAsia="Times New Roman" w:hAnsi="Times New Roman"/>
          <w:b/>
          <w:sz w:val="24"/>
          <w:szCs w:val="24"/>
          <w:lang w:val="en-US"/>
        </w:rPr>
        <w:t>Results</w:t>
      </w:r>
    </w:p>
    <w:p w:rsidR="001E18F2" w:rsidRPr="00D029F7" w:rsidRDefault="001E18F2" w:rsidP="001E18F2">
      <w:pPr>
        <w:pStyle w:val="ListParagraph"/>
        <w:numPr>
          <w:ilvl w:val="1"/>
          <w:numId w:val="9"/>
        </w:numPr>
        <w:spacing w:line="480" w:lineRule="auto"/>
        <w:rPr>
          <w:rFonts w:ascii="Times New Roman" w:eastAsia="Times New Roman" w:hAnsi="Times New Roman"/>
          <w:b/>
          <w:sz w:val="24"/>
          <w:szCs w:val="24"/>
          <w:lang w:val="en-US"/>
        </w:rPr>
      </w:pPr>
      <w:r w:rsidRPr="00D029F7">
        <w:rPr>
          <w:rFonts w:ascii="Times New Roman" w:eastAsia="Times New Roman" w:hAnsi="Times New Roman"/>
          <w:b/>
          <w:sz w:val="24"/>
          <w:szCs w:val="24"/>
          <w:lang w:val="en-US"/>
        </w:rPr>
        <w:t>Surface characterization of injection molded and selectively etched samples</w:t>
      </w:r>
    </w:p>
    <w:p w:rsidR="001E18F2" w:rsidRPr="00D029F7" w:rsidRDefault="001E18F2" w:rsidP="001E18F2">
      <w:pPr>
        <w:spacing w:line="480" w:lineRule="auto"/>
        <w:ind w:left="63" w:firstLine="369"/>
        <w:rPr>
          <w:rFonts w:ascii="Times New Roman" w:hAnsi="Times New Roman"/>
          <w:szCs w:val="24"/>
        </w:rPr>
      </w:pPr>
      <w:r w:rsidRPr="00D029F7">
        <w:rPr>
          <w:rFonts w:ascii="Times New Roman" w:hAnsi="Times New Roman"/>
          <w:szCs w:val="24"/>
        </w:rPr>
        <w:t xml:space="preserve">3D topographical images obtained by WLI showed that injection molded ZTA samples presented very diverse micro-topographies (Figure 2). As can be observed on the WLI images, increasing pressure during sandblasting led to an increased roughening of the mold surface and consequently of the surface of injected samples: the “high” surface displayed the broadest and deepest valleys / highest peaks, whereas the “low” surface appeared relatively flat (but rougher than the polished surface), and the “medium” surface was an intermediary between both. Furthermore, the micro-roughness analysis showed that a large range of values could be obtained for the average roughness (“low” surface: </w:t>
      </w:r>
      <w:r w:rsidRPr="00D029F7">
        <w:rPr>
          <w:rFonts w:ascii="Times New Roman" w:hAnsi="Times New Roman"/>
          <w:i/>
          <w:szCs w:val="24"/>
        </w:rPr>
        <w:t>S</w:t>
      </w:r>
      <w:r w:rsidRPr="00D029F7">
        <w:rPr>
          <w:rFonts w:ascii="Times New Roman" w:hAnsi="Times New Roman"/>
          <w:i/>
          <w:szCs w:val="24"/>
          <w:vertAlign w:val="subscript"/>
        </w:rPr>
        <w:t>a</w:t>
      </w:r>
      <w:r w:rsidRPr="00D029F7">
        <w:rPr>
          <w:rFonts w:ascii="Times New Roman" w:hAnsi="Times New Roman"/>
          <w:szCs w:val="24"/>
        </w:rPr>
        <w:t xml:space="preserve"> = 176 </w:t>
      </w:r>
      <w:r w:rsidRPr="00D029F7">
        <w:rPr>
          <w:rFonts w:cs="Times"/>
        </w:rPr>
        <w:t>±</w:t>
      </w:r>
      <w:r w:rsidRPr="00D029F7">
        <w:t xml:space="preserve"> 15</w:t>
      </w:r>
      <w:r w:rsidRPr="00D029F7">
        <w:rPr>
          <w:rFonts w:ascii="Times New Roman" w:hAnsi="Times New Roman"/>
          <w:szCs w:val="24"/>
        </w:rPr>
        <w:t xml:space="preserve"> nm; “medium” surface: </w:t>
      </w:r>
      <w:r w:rsidRPr="00D029F7">
        <w:rPr>
          <w:rFonts w:ascii="Times New Roman" w:hAnsi="Times New Roman"/>
          <w:i/>
          <w:szCs w:val="24"/>
        </w:rPr>
        <w:t>S</w:t>
      </w:r>
      <w:r w:rsidRPr="00D029F7">
        <w:rPr>
          <w:rFonts w:ascii="Times New Roman" w:hAnsi="Times New Roman"/>
          <w:i/>
          <w:szCs w:val="24"/>
          <w:vertAlign w:val="subscript"/>
        </w:rPr>
        <w:t>a</w:t>
      </w:r>
      <w:r w:rsidRPr="00D029F7">
        <w:rPr>
          <w:rFonts w:ascii="Times New Roman" w:hAnsi="Times New Roman"/>
          <w:szCs w:val="24"/>
        </w:rPr>
        <w:t xml:space="preserve"> = 330 </w:t>
      </w:r>
      <w:r w:rsidRPr="00D029F7">
        <w:rPr>
          <w:rFonts w:cs="Times"/>
        </w:rPr>
        <w:t>±</w:t>
      </w:r>
      <w:r w:rsidRPr="00D029F7">
        <w:t xml:space="preserve"> 28</w:t>
      </w:r>
      <w:r w:rsidRPr="00D029F7">
        <w:rPr>
          <w:rFonts w:ascii="Times New Roman" w:hAnsi="Times New Roman"/>
          <w:szCs w:val="24"/>
        </w:rPr>
        <w:t xml:space="preserve"> nm; “high” surface: </w:t>
      </w:r>
      <w:r w:rsidRPr="00D029F7">
        <w:rPr>
          <w:rFonts w:ascii="Times New Roman" w:hAnsi="Times New Roman"/>
          <w:i/>
          <w:szCs w:val="24"/>
        </w:rPr>
        <w:t>S</w:t>
      </w:r>
      <w:r w:rsidRPr="00D029F7">
        <w:rPr>
          <w:rFonts w:ascii="Times New Roman" w:hAnsi="Times New Roman"/>
          <w:i/>
          <w:szCs w:val="24"/>
          <w:vertAlign w:val="subscript"/>
        </w:rPr>
        <w:t>a</w:t>
      </w:r>
      <w:r w:rsidRPr="00D029F7">
        <w:rPr>
          <w:rFonts w:ascii="Times New Roman" w:hAnsi="Times New Roman"/>
          <w:szCs w:val="24"/>
        </w:rPr>
        <w:t xml:space="preserve"> = 417 </w:t>
      </w:r>
      <w:r w:rsidRPr="00D029F7">
        <w:rPr>
          <w:rFonts w:cs="Times"/>
        </w:rPr>
        <w:t>±</w:t>
      </w:r>
      <w:r w:rsidRPr="00D029F7">
        <w:t xml:space="preserve"> 16</w:t>
      </w:r>
      <w:r w:rsidRPr="00D029F7">
        <w:rPr>
          <w:rFonts w:ascii="Times New Roman" w:hAnsi="Times New Roman"/>
          <w:szCs w:val="24"/>
        </w:rPr>
        <w:t xml:space="preserve"> nm; polished surface, for reference: </w:t>
      </w:r>
      <w:r w:rsidRPr="00D029F7">
        <w:rPr>
          <w:rFonts w:ascii="Times New Roman" w:hAnsi="Times New Roman"/>
          <w:i/>
          <w:szCs w:val="24"/>
        </w:rPr>
        <w:t>S</w:t>
      </w:r>
      <w:r w:rsidRPr="00D029F7">
        <w:rPr>
          <w:rFonts w:ascii="Times New Roman" w:hAnsi="Times New Roman"/>
          <w:i/>
          <w:szCs w:val="24"/>
          <w:vertAlign w:val="subscript"/>
        </w:rPr>
        <w:t>a</w:t>
      </w:r>
      <w:r w:rsidRPr="00D029F7">
        <w:rPr>
          <w:rFonts w:ascii="Times New Roman" w:hAnsi="Times New Roman"/>
          <w:szCs w:val="24"/>
        </w:rPr>
        <w:t xml:space="preserve"> = 13 </w:t>
      </w:r>
      <w:r w:rsidRPr="00D029F7">
        <w:rPr>
          <w:rFonts w:cs="Times"/>
        </w:rPr>
        <w:t>±</w:t>
      </w:r>
      <w:r w:rsidRPr="00D029F7">
        <w:t xml:space="preserve"> 1</w:t>
      </w:r>
      <w:r w:rsidRPr="00D029F7">
        <w:rPr>
          <w:rFonts w:ascii="Times New Roman" w:hAnsi="Times New Roman"/>
          <w:szCs w:val="24"/>
        </w:rPr>
        <w:t xml:space="preserve"> nm) and the developed interfacial area ratio (“low” surface: </w:t>
      </w:r>
      <w:r w:rsidRPr="00D029F7">
        <w:rPr>
          <w:rFonts w:ascii="Times New Roman" w:hAnsi="Times New Roman"/>
          <w:i/>
          <w:szCs w:val="24"/>
        </w:rPr>
        <w:t>S</w:t>
      </w:r>
      <w:r w:rsidRPr="00D029F7">
        <w:rPr>
          <w:rFonts w:ascii="Times New Roman" w:hAnsi="Times New Roman"/>
          <w:i/>
          <w:szCs w:val="24"/>
          <w:vertAlign w:val="subscript"/>
        </w:rPr>
        <w:t>dr</w:t>
      </w:r>
      <w:r w:rsidRPr="00D029F7">
        <w:rPr>
          <w:rFonts w:ascii="Times New Roman" w:hAnsi="Times New Roman"/>
          <w:szCs w:val="24"/>
        </w:rPr>
        <w:t xml:space="preserve"> = 45 </w:t>
      </w:r>
      <w:r w:rsidRPr="00D029F7">
        <w:rPr>
          <w:rFonts w:cs="Times"/>
        </w:rPr>
        <w:t>±</w:t>
      </w:r>
      <w:r w:rsidRPr="00D029F7">
        <w:t xml:space="preserve"> 6</w:t>
      </w:r>
      <w:r w:rsidRPr="00D029F7">
        <w:rPr>
          <w:rFonts w:ascii="Times New Roman" w:hAnsi="Times New Roman"/>
          <w:szCs w:val="24"/>
        </w:rPr>
        <w:t xml:space="preserve"> %; “medium” surface: </w:t>
      </w:r>
      <w:r w:rsidRPr="00D029F7">
        <w:rPr>
          <w:rFonts w:ascii="Times New Roman" w:hAnsi="Times New Roman"/>
          <w:i/>
          <w:szCs w:val="24"/>
        </w:rPr>
        <w:t>S</w:t>
      </w:r>
      <w:r w:rsidRPr="00D029F7">
        <w:rPr>
          <w:rFonts w:ascii="Times New Roman" w:hAnsi="Times New Roman"/>
          <w:i/>
          <w:szCs w:val="24"/>
          <w:vertAlign w:val="subscript"/>
        </w:rPr>
        <w:t>dr</w:t>
      </w:r>
      <w:r w:rsidRPr="00D029F7">
        <w:rPr>
          <w:rFonts w:ascii="Times New Roman" w:hAnsi="Times New Roman"/>
          <w:szCs w:val="24"/>
        </w:rPr>
        <w:t xml:space="preserve"> = 82 </w:t>
      </w:r>
      <w:r w:rsidRPr="00D029F7">
        <w:rPr>
          <w:rFonts w:cs="Times"/>
        </w:rPr>
        <w:t>±</w:t>
      </w:r>
      <w:r w:rsidRPr="00D029F7">
        <w:t xml:space="preserve"> 12</w:t>
      </w:r>
      <w:r w:rsidRPr="00D029F7">
        <w:rPr>
          <w:rFonts w:ascii="Times New Roman" w:hAnsi="Times New Roman"/>
          <w:szCs w:val="24"/>
        </w:rPr>
        <w:t xml:space="preserve"> %; “high” surface: </w:t>
      </w:r>
      <w:r w:rsidRPr="00D029F7">
        <w:rPr>
          <w:rFonts w:ascii="Times New Roman" w:hAnsi="Times New Roman"/>
          <w:i/>
          <w:szCs w:val="24"/>
        </w:rPr>
        <w:t>S</w:t>
      </w:r>
      <w:r w:rsidRPr="00D029F7">
        <w:rPr>
          <w:rFonts w:ascii="Times New Roman" w:hAnsi="Times New Roman"/>
          <w:i/>
          <w:szCs w:val="24"/>
          <w:vertAlign w:val="subscript"/>
        </w:rPr>
        <w:t>dr</w:t>
      </w:r>
      <w:r w:rsidRPr="00D029F7">
        <w:rPr>
          <w:rFonts w:ascii="Times New Roman" w:hAnsi="Times New Roman"/>
          <w:szCs w:val="24"/>
        </w:rPr>
        <w:t xml:space="preserve"> = 99  </w:t>
      </w:r>
      <w:r w:rsidRPr="00D029F7">
        <w:rPr>
          <w:rFonts w:cs="Times"/>
        </w:rPr>
        <w:t>±</w:t>
      </w:r>
      <w:r w:rsidRPr="00D029F7">
        <w:t xml:space="preserve"> 11</w:t>
      </w:r>
      <w:r w:rsidRPr="00D029F7">
        <w:rPr>
          <w:rFonts w:ascii="Times New Roman" w:hAnsi="Times New Roman"/>
          <w:szCs w:val="24"/>
        </w:rPr>
        <w:t xml:space="preserve"> %; polished surface, for reference: </w:t>
      </w:r>
      <w:r w:rsidRPr="00D029F7">
        <w:rPr>
          <w:rFonts w:ascii="Times New Roman" w:hAnsi="Times New Roman"/>
          <w:i/>
          <w:szCs w:val="24"/>
        </w:rPr>
        <w:t>S</w:t>
      </w:r>
      <w:r w:rsidRPr="00D029F7">
        <w:rPr>
          <w:rFonts w:ascii="Times New Roman" w:hAnsi="Times New Roman"/>
          <w:i/>
          <w:szCs w:val="24"/>
          <w:vertAlign w:val="subscript"/>
        </w:rPr>
        <w:t>dr</w:t>
      </w:r>
      <w:r w:rsidRPr="00D029F7">
        <w:rPr>
          <w:rFonts w:ascii="Times New Roman" w:hAnsi="Times New Roman"/>
          <w:szCs w:val="24"/>
        </w:rPr>
        <w:t xml:space="preserve"> = 0.4 </w:t>
      </w:r>
      <w:r w:rsidRPr="00D029F7">
        <w:rPr>
          <w:rFonts w:cs="Times"/>
        </w:rPr>
        <w:t>±</w:t>
      </w:r>
      <w:r w:rsidRPr="00D029F7">
        <w:t xml:space="preserve"> 0.2 </w:t>
      </w:r>
      <w:r w:rsidRPr="00D029F7">
        <w:rPr>
          <w:rFonts w:ascii="Times New Roman" w:hAnsi="Times New Roman"/>
          <w:szCs w:val="24"/>
        </w:rPr>
        <w:t xml:space="preserve">%). Statistical analysis of the roughness data evidenced that differences between groups were significant </w:t>
      </w:r>
      <w:r w:rsidRPr="00D029F7">
        <w:rPr>
          <w:rFonts w:ascii="Times New Roman" w:hAnsi="Times New Roman"/>
          <w:szCs w:val="24"/>
        </w:rPr>
        <w:lastRenderedPageBreak/>
        <w:t xml:space="preserve">(Welch’s ANOVA resulted in p &lt; 0.001 for each roughness parameter). For both </w:t>
      </w:r>
      <w:r w:rsidRPr="00D029F7">
        <w:rPr>
          <w:rFonts w:ascii="Times New Roman" w:hAnsi="Times New Roman"/>
          <w:i/>
          <w:szCs w:val="24"/>
        </w:rPr>
        <w:t>S</w:t>
      </w:r>
      <w:r w:rsidRPr="00D029F7">
        <w:rPr>
          <w:rFonts w:ascii="Times New Roman" w:hAnsi="Times New Roman"/>
          <w:i/>
          <w:szCs w:val="24"/>
          <w:vertAlign w:val="subscript"/>
        </w:rPr>
        <w:t>a</w:t>
      </w:r>
      <w:r w:rsidRPr="00D029F7">
        <w:rPr>
          <w:rFonts w:ascii="Times New Roman" w:hAnsi="Times New Roman"/>
          <w:szCs w:val="24"/>
        </w:rPr>
        <w:t xml:space="preserve"> and </w:t>
      </w:r>
      <w:r w:rsidRPr="00D029F7">
        <w:rPr>
          <w:rFonts w:ascii="Times New Roman" w:hAnsi="Times New Roman"/>
          <w:i/>
          <w:szCs w:val="24"/>
        </w:rPr>
        <w:t>S</w:t>
      </w:r>
      <w:r w:rsidRPr="00D029F7">
        <w:rPr>
          <w:rFonts w:ascii="Times New Roman" w:hAnsi="Times New Roman"/>
          <w:i/>
          <w:szCs w:val="24"/>
          <w:vertAlign w:val="subscript"/>
        </w:rPr>
        <w:t>dr</w:t>
      </w:r>
      <w:r w:rsidRPr="00D029F7">
        <w:rPr>
          <w:rFonts w:ascii="Times New Roman" w:hAnsi="Times New Roman"/>
          <w:i/>
          <w:szCs w:val="24"/>
        </w:rPr>
        <w:t>,</w:t>
      </w:r>
      <w:r w:rsidRPr="00D029F7">
        <w:rPr>
          <w:rFonts w:ascii="Times New Roman" w:hAnsi="Times New Roman"/>
          <w:szCs w:val="24"/>
        </w:rPr>
        <w:t xml:space="preserve"> differences between each type of surface were strongly significant (p ≤ 0.001 for each pairwise comparison using Games-Howell test), while for </w:t>
      </w:r>
      <w:r w:rsidRPr="00D029F7">
        <w:rPr>
          <w:rFonts w:ascii="Times New Roman" w:hAnsi="Times New Roman"/>
          <w:i/>
          <w:szCs w:val="24"/>
        </w:rPr>
        <w:t>S</w:t>
      </w:r>
      <w:r w:rsidRPr="00D029F7">
        <w:rPr>
          <w:rFonts w:ascii="Times New Roman" w:hAnsi="Times New Roman"/>
          <w:i/>
          <w:szCs w:val="24"/>
          <w:vertAlign w:val="subscript"/>
        </w:rPr>
        <w:t>ds</w:t>
      </w:r>
      <w:r w:rsidRPr="00D029F7">
        <w:rPr>
          <w:rFonts w:ascii="Times New Roman" w:hAnsi="Times New Roman"/>
          <w:szCs w:val="24"/>
        </w:rPr>
        <w:t xml:space="preserve"> differences were significant only when comparing the polished surface to the others (p ≤ 0.001 in each case) and for </w:t>
      </w:r>
      <w:r w:rsidRPr="00D029F7">
        <w:rPr>
          <w:rFonts w:ascii="Times New Roman" w:hAnsi="Times New Roman"/>
          <w:i/>
          <w:szCs w:val="24"/>
        </w:rPr>
        <w:t>S</w:t>
      </w:r>
      <w:r w:rsidRPr="00D029F7">
        <w:rPr>
          <w:rFonts w:ascii="Times New Roman" w:hAnsi="Times New Roman"/>
          <w:i/>
          <w:szCs w:val="24"/>
          <w:vertAlign w:val="subscript"/>
        </w:rPr>
        <w:t>ci</w:t>
      </w:r>
      <w:r w:rsidRPr="00D029F7">
        <w:rPr>
          <w:rFonts w:ascii="Times New Roman" w:hAnsi="Times New Roman"/>
          <w:szCs w:val="24"/>
        </w:rPr>
        <w:t xml:space="preserve"> differences were significant only when comparing the “medium” surface to the others  (p ≤ 0.001 in each case). Finally, the best correlation between mold and sample roughness was obtained for the “low” surface, while the “medium” and “high” sample surfaces were slightly smoother than the “medium” and “high” mold surfaces, respectively (see supplementary information).</w:t>
      </w:r>
    </w:p>
    <w:p w:rsidR="001E18F2" w:rsidRPr="00D029F7" w:rsidRDefault="001E18F2" w:rsidP="001E18F2">
      <w:pPr>
        <w:spacing w:line="480" w:lineRule="auto"/>
        <w:jc w:val="center"/>
        <w:rPr>
          <w:rFonts w:ascii="Times New Roman" w:hAnsi="Times New Roman"/>
          <w:b/>
        </w:rPr>
      </w:pPr>
      <w:bookmarkStart w:id="7" w:name="_Ref395189247"/>
      <w:r w:rsidRPr="00D029F7">
        <w:rPr>
          <w:rFonts w:ascii="Times New Roman" w:hAnsi="Times New Roman"/>
          <w:noProof/>
          <w:lang w:val="en-GB" w:eastAsia="en-GB"/>
        </w:rPr>
        <w:lastRenderedPageBreak/>
        <w:drawing>
          <wp:inline distT="0" distB="0" distL="0" distR="0" wp14:anchorId="43630C9B" wp14:editId="49E77086">
            <wp:extent cx="5648325" cy="7123770"/>
            <wp:effectExtent l="0" t="0" r="0" b="0"/>
            <wp:docPr id="3" name="Image 2" descr="F:\these\Documents\Rapport-articles\Selective etching ZTA\Figures\Figure 1 - Micro-topograph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hese\Documents\Rapport-articles\Selective etching ZTA\Figures\Figure 1 - Micro-topography.tif"/>
                    <pic:cNvPicPr>
                      <a:picLocks noChangeAspect="1" noChangeArrowheads="1"/>
                    </pic:cNvPicPr>
                  </pic:nvPicPr>
                  <pic:blipFill>
                    <a:blip r:embed="rId6" cstate="print"/>
                    <a:srcRect/>
                    <a:stretch>
                      <a:fillRect/>
                    </a:stretch>
                  </pic:blipFill>
                  <pic:spPr bwMode="auto">
                    <a:xfrm>
                      <a:off x="0" y="0"/>
                      <a:ext cx="5658525" cy="7136634"/>
                    </a:xfrm>
                    <a:prstGeom prst="rect">
                      <a:avLst/>
                    </a:prstGeom>
                    <a:noFill/>
                    <a:ln w="9525">
                      <a:noFill/>
                      <a:miter lim="800000"/>
                      <a:headEnd/>
                      <a:tailEnd/>
                    </a:ln>
                  </pic:spPr>
                </pic:pic>
              </a:graphicData>
            </a:graphic>
          </wp:inline>
        </w:drawing>
      </w:r>
    </w:p>
    <w:p w:rsidR="001E18F2" w:rsidRPr="00D029F7" w:rsidRDefault="001E18F2" w:rsidP="001E18F2">
      <w:pPr>
        <w:spacing w:line="276" w:lineRule="auto"/>
        <w:rPr>
          <w:rFonts w:ascii="Times New Roman" w:hAnsi="Times New Roman"/>
        </w:rPr>
      </w:pPr>
      <w:bookmarkStart w:id="8" w:name="_Ref440555234"/>
      <w:bookmarkEnd w:id="7"/>
      <w:r w:rsidRPr="00D029F7">
        <w:rPr>
          <w:rFonts w:ascii="Times New Roman" w:hAnsi="Times New Roman"/>
          <w:b/>
          <w:szCs w:val="24"/>
        </w:rPr>
        <w:t xml:space="preserve">Figure </w:t>
      </w:r>
      <w:r w:rsidRPr="00D029F7">
        <w:rPr>
          <w:rFonts w:ascii="Times New Roman" w:hAnsi="Times New Roman"/>
          <w:b/>
          <w:noProof/>
          <w:szCs w:val="24"/>
        </w:rPr>
        <w:t>2</w:t>
      </w:r>
      <w:bookmarkEnd w:id="8"/>
      <w:r w:rsidRPr="00D029F7">
        <w:rPr>
          <w:rFonts w:ascii="Times New Roman" w:hAnsi="Times New Roman"/>
          <w:b/>
          <w:szCs w:val="24"/>
        </w:rPr>
        <w:t>.</w:t>
      </w:r>
      <w:r w:rsidRPr="00D029F7">
        <w:rPr>
          <w:rFonts w:ascii="Times New Roman" w:hAnsi="Times New Roman"/>
          <w:szCs w:val="24"/>
        </w:rPr>
        <w:t xml:space="preserve"> </w:t>
      </w:r>
      <w:r w:rsidRPr="00D029F7">
        <w:rPr>
          <w:rFonts w:ascii="Times New Roman" w:hAnsi="Times New Roman"/>
        </w:rPr>
        <w:t>White light interferometry measurements at the surface of injection molded zirconia toughened alumina samples with different induced micro-topographies: a) roughness analysis (10 samples per group); b) 3D topographical images. “Low”, “Medium” and “High” designate micro-topographies obtained from increasingly rough molds.</w:t>
      </w:r>
    </w:p>
    <w:p w:rsidR="001E18F2" w:rsidRPr="00D029F7" w:rsidRDefault="001E18F2" w:rsidP="001E18F2">
      <w:pPr>
        <w:spacing w:line="480" w:lineRule="auto"/>
        <w:ind w:left="63" w:firstLine="369"/>
        <w:rPr>
          <w:rFonts w:ascii="Times New Roman" w:hAnsi="Times New Roman"/>
          <w:szCs w:val="24"/>
        </w:rPr>
      </w:pPr>
      <w:r w:rsidRPr="00D029F7">
        <w:rPr>
          <w:rFonts w:ascii="Times New Roman" w:hAnsi="Times New Roman"/>
          <w:szCs w:val="24"/>
        </w:rPr>
        <w:lastRenderedPageBreak/>
        <w:t>Regarding selective etching, the zirconia phase was successfully removed by immersion in HF whereas neither the alumina matrix nor the SrAl</w:t>
      </w:r>
      <w:r w:rsidRPr="00D029F7">
        <w:rPr>
          <w:rFonts w:ascii="Times New Roman" w:hAnsi="Times New Roman"/>
          <w:szCs w:val="24"/>
          <w:vertAlign w:val="subscript"/>
        </w:rPr>
        <w:t>12</w:t>
      </w:r>
      <w:r w:rsidRPr="00D029F7">
        <w:rPr>
          <w:rFonts w:ascii="Times New Roman" w:hAnsi="Times New Roman"/>
          <w:szCs w:val="24"/>
        </w:rPr>
        <w:t>O</w:t>
      </w:r>
      <w:r w:rsidRPr="00D029F7">
        <w:rPr>
          <w:rFonts w:ascii="Times New Roman" w:hAnsi="Times New Roman"/>
          <w:szCs w:val="24"/>
          <w:vertAlign w:val="subscript"/>
        </w:rPr>
        <w:t>19</w:t>
      </w:r>
      <w:r w:rsidRPr="00D029F7">
        <w:rPr>
          <w:rFonts w:ascii="Times New Roman" w:hAnsi="Times New Roman"/>
          <w:szCs w:val="24"/>
        </w:rPr>
        <w:t xml:space="preserve"> platelets were affected, which allowed the integrity of the micro-topography obtained by injection molding to be preserved (Figure 3). The formation of fluoride precipitates, which remained trapped in the pores of the surface, was detected. Energy dispersive spectroscopy evidenced that they were mainly composed of yttrium and fluorine. Some of them had an octahedral shape suggesting the presence of YF</w:t>
      </w:r>
      <w:r w:rsidRPr="00D029F7">
        <w:rPr>
          <w:rFonts w:ascii="Times New Roman" w:hAnsi="Times New Roman"/>
          <w:szCs w:val="24"/>
          <w:vertAlign w:val="subscript"/>
        </w:rPr>
        <w:t>3</w:t>
      </w:r>
      <w:r w:rsidRPr="00D029F7">
        <w:rPr>
          <w:rFonts w:ascii="Times New Roman" w:hAnsi="Times New Roman"/>
          <w:szCs w:val="24"/>
        </w:rPr>
        <w:t xml:space="preserve"> crystals, similar to those observed when etching Y-TZP </w:t>
      </w:r>
      <w:r w:rsidRPr="00D029F7">
        <w:rPr>
          <w:rFonts w:ascii="Times New Roman" w:hAnsi="Times New Roman"/>
          <w:noProof/>
          <w:szCs w:val="24"/>
        </w:rPr>
        <w:t>[65]</w:t>
      </w:r>
      <w:r w:rsidRPr="00D029F7">
        <w:rPr>
          <w:rFonts w:ascii="Times New Roman" w:hAnsi="Times New Roman"/>
          <w:szCs w:val="24"/>
        </w:rPr>
        <w:t>. XPS analysis confirmed the presence of YF</w:t>
      </w:r>
      <w:r w:rsidRPr="00D029F7">
        <w:rPr>
          <w:rFonts w:ascii="Times New Roman" w:hAnsi="Times New Roman"/>
          <w:szCs w:val="24"/>
          <w:vertAlign w:val="subscript"/>
        </w:rPr>
        <w:t xml:space="preserve">3 </w:t>
      </w:r>
      <w:r w:rsidRPr="00D029F7">
        <w:rPr>
          <w:rFonts w:ascii="Times New Roman" w:hAnsi="Times New Roman"/>
          <w:szCs w:val="24"/>
        </w:rPr>
        <w:t>chemical bonds and additionally suggested the existence of zirconium oxyfluorides (Table 4). Inspection of the specimens by SEM evidenced that all precipitates were successfully removed by immersion in HCl (Figure 3).</w:t>
      </w:r>
    </w:p>
    <w:p w:rsidR="001E18F2" w:rsidRPr="00D029F7" w:rsidRDefault="001E18F2" w:rsidP="001E18F2">
      <w:pPr>
        <w:spacing w:line="480" w:lineRule="auto"/>
        <w:ind w:left="63" w:firstLine="369"/>
        <w:rPr>
          <w:rFonts w:ascii="Times New Roman" w:hAnsi="Times New Roman"/>
          <w:szCs w:val="24"/>
        </w:rPr>
      </w:pPr>
      <w:r w:rsidRPr="00D029F7">
        <w:rPr>
          <w:rFonts w:ascii="Times New Roman" w:hAnsi="Times New Roman"/>
          <w:szCs w:val="24"/>
        </w:rPr>
        <w:t>The selective etching process induced a substantial increase in nano-roughness of the polished samples (Figure 4). Indeed, the average roughness (</w:t>
      </w:r>
      <w:r w:rsidRPr="00D029F7">
        <w:rPr>
          <w:rFonts w:ascii="Times New Roman" w:hAnsi="Times New Roman"/>
          <w:i/>
          <w:szCs w:val="24"/>
        </w:rPr>
        <w:t>S</w:t>
      </w:r>
      <w:r w:rsidRPr="00D029F7">
        <w:rPr>
          <w:rFonts w:ascii="Times New Roman" w:hAnsi="Times New Roman"/>
          <w:i/>
          <w:szCs w:val="24"/>
          <w:vertAlign w:val="subscript"/>
        </w:rPr>
        <w:t>a</w:t>
      </w:r>
      <w:r w:rsidRPr="00D029F7">
        <w:rPr>
          <w:rFonts w:ascii="Times New Roman" w:hAnsi="Times New Roman"/>
          <w:szCs w:val="24"/>
        </w:rPr>
        <w:t xml:space="preserve">) was multiplied by 10 with respect to the polished surface (polished: </w:t>
      </w:r>
      <w:r w:rsidRPr="00D029F7">
        <w:rPr>
          <w:rFonts w:ascii="Times New Roman" w:hAnsi="Times New Roman"/>
          <w:i/>
          <w:szCs w:val="24"/>
        </w:rPr>
        <w:t>S</w:t>
      </w:r>
      <w:r w:rsidRPr="00D029F7">
        <w:rPr>
          <w:rFonts w:ascii="Times New Roman" w:hAnsi="Times New Roman"/>
          <w:i/>
          <w:szCs w:val="24"/>
          <w:vertAlign w:val="subscript"/>
        </w:rPr>
        <w:t>a</w:t>
      </w:r>
      <w:r w:rsidRPr="00D029F7">
        <w:rPr>
          <w:rFonts w:ascii="Times New Roman" w:hAnsi="Times New Roman"/>
          <w:szCs w:val="24"/>
        </w:rPr>
        <w:t xml:space="preserve"> = 2.1 </w:t>
      </w:r>
      <w:r w:rsidRPr="00D029F7">
        <w:rPr>
          <w:rFonts w:cs="Times"/>
        </w:rPr>
        <w:t>±</w:t>
      </w:r>
      <w:r w:rsidRPr="00D029F7">
        <w:t xml:space="preserve"> 0.3</w:t>
      </w:r>
      <w:r w:rsidRPr="00D029F7">
        <w:rPr>
          <w:rFonts w:ascii="Times New Roman" w:hAnsi="Times New Roman"/>
          <w:szCs w:val="24"/>
        </w:rPr>
        <w:t xml:space="preserve"> nm; selectively etched:</w:t>
      </w:r>
      <w:r w:rsidRPr="00D029F7">
        <w:rPr>
          <w:rFonts w:ascii="Times New Roman" w:hAnsi="Times New Roman"/>
          <w:i/>
          <w:szCs w:val="24"/>
        </w:rPr>
        <w:t xml:space="preserve"> S</w:t>
      </w:r>
      <w:r w:rsidRPr="00D029F7">
        <w:rPr>
          <w:rFonts w:ascii="Times New Roman" w:hAnsi="Times New Roman"/>
          <w:i/>
          <w:szCs w:val="24"/>
          <w:vertAlign w:val="subscript"/>
        </w:rPr>
        <w:t>a</w:t>
      </w:r>
      <w:r w:rsidRPr="00D029F7">
        <w:rPr>
          <w:rFonts w:ascii="Times New Roman" w:hAnsi="Times New Roman"/>
          <w:szCs w:val="24"/>
        </w:rPr>
        <w:t xml:space="preserve"> = 21 </w:t>
      </w:r>
      <w:r w:rsidRPr="00D029F7">
        <w:rPr>
          <w:rFonts w:cs="Times"/>
        </w:rPr>
        <w:t>±</w:t>
      </w:r>
      <w:r w:rsidRPr="00D029F7">
        <w:t xml:space="preserve"> 4.6</w:t>
      </w:r>
      <w:r w:rsidRPr="00D029F7">
        <w:rPr>
          <w:rFonts w:ascii="Times New Roman" w:hAnsi="Times New Roman"/>
          <w:szCs w:val="24"/>
        </w:rPr>
        <w:t xml:space="preserve"> nm) and the developed interfacial area ratio (</w:t>
      </w:r>
      <w:r w:rsidRPr="00D029F7">
        <w:rPr>
          <w:rFonts w:ascii="Times New Roman" w:hAnsi="Times New Roman"/>
          <w:i/>
          <w:szCs w:val="24"/>
        </w:rPr>
        <w:t>S</w:t>
      </w:r>
      <w:r w:rsidRPr="00D029F7">
        <w:rPr>
          <w:rFonts w:ascii="Times New Roman" w:hAnsi="Times New Roman"/>
          <w:i/>
          <w:szCs w:val="24"/>
          <w:vertAlign w:val="subscript"/>
        </w:rPr>
        <w:t>dr</w:t>
      </w:r>
      <w:r w:rsidRPr="00D029F7">
        <w:rPr>
          <w:rFonts w:ascii="Times New Roman" w:hAnsi="Times New Roman"/>
          <w:szCs w:val="24"/>
        </w:rPr>
        <w:t xml:space="preserve">) was multiplied by 100 (polished: </w:t>
      </w:r>
      <w:r w:rsidRPr="00D029F7">
        <w:rPr>
          <w:rFonts w:ascii="Times New Roman" w:hAnsi="Times New Roman"/>
          <w:i/>
          <w:szCs w:val="24"/>
        </w:rPr>
        <w:t>S</w:t>
      </w:r>
      <w:r w:rsidRPr="00D029F7">
        <w:rPr>
          <w:rFonts w:ascii="Times New Roman" w:hAnsi="Times New Roman"/>
          <w:i/>
          <w:szCs w:val="24"/>
          <w:vertAlign w:val="subscript"/>
        </w:rPr>
        <w:t>dr</w:t>
      </w:r>
      <w:r w:rsidRPr="00D029F7">
        <w:rPr>
          <w:rFonts w:ascii="Times New Roman" w:hAnsi="Times New Roman"/>
          <w:szCs w:val="24"/>
        </w:rPr>
        <w:t xml:space="preserve"> = 0.06 </w:t>
      </w:r>
      <w:r w:rsidRPr="00D029F7">
        <w:rPr>
          <w:rFonts w:cs="Times"/>
        </w:rPr>
        <w:t>±</w:t>
      </w:r>
      <w:r w:rsidRPr="00D029F7">
        <w:t xml:space="preserve"> 0.03</w:t>
      </w:r>
      <w:r w:rsidRPr="00D029F7">
        <w:rPr>
          <w:rFonts w:ascii="Times New Roman" w:hAnsi="Times New Roman"/>
          <w:szCs w:val="24"/>
        </w:rPr>
        <w:t xml:space="preserve"> %; selectively etched:</w:t>
      </w:r>
      <w:r w:rsidRPr="00D029F7">
        <w:rPr>
          <w:rFonts w:ascii="Times New Roman" w:hAnsi="Times New Roman"/>
          <w:i/>
          <w:szCs w:val="24"/>
        </w:rPr>
        <w:t xml:space="preserve"> S</w:t>
      </w:r>
      <w:r w:rsidRPr="00D029F7">
        <w:rPr>
          <w:rFonts w:ascii="Times New Roman" w:hAnsi="Times New Roman"/>
          <w:i/>
          <w:szCs w:val="24"/>
          <w:vertAlign w:val="subscript"/>
        </w:rPr>
        <w:t>dr</w:t>
      </w:r>
      <w:r w:rsidRPr="00D029F7">
        <w:rPr>
          <w:rFonts w:ascii="Times New Roman" w:hAnsi="Times New Roman"/>
          <w:szCs w:val="24"/>
        </w:rPr>
        <w:t xml:space="preserve"> = 5.4 </w:t>
      </w:r>
      <w:r w:rsidRPr="00D029F7">
        <w:rPr>
          <w:rFonts w:cs="Times"/>
        </w:rPr>
        <w:t>±</w:t>
      </w:r>
      <w:r w:rsidRPr="00D029F7">
        <w:t xml:space="preserve"> 1.7</w:t>
      </w:r>
      <w:r w:rsidRPr="00D029F7">
        <w:rPr>
          <w:rFonts w:ascii="Times New Roman" w:hAnsi="Times New Roman"/>
          <w:szCs w:val="24"/>
        </w:rPr>
        <w:t xml:space="preserve"> %). On the other hand, the density of summits </w:t>
      </w:r>
      <w:r w:rsidRPr="00D029F7">
        <w:rPr>
          <w:rFonts w:ascii="Times New Roman" w:hAnsi="Times New Roman"/>
          <w:i/>
          <w:szCs w:val="24"/>
        </w:rPr>
        <w:t>S</w:t>
      </w:r>
      <w:r w:rsidRPr="00D029F7">
        <w:rPr>
          <w:rFonts w:ascii="Times New Roman" w:hAnsi="Times New Roman"/>
          <w:i/>
          <w:szCs w:val="24"/>
          <w:vertAlign w:val="subscript"/>
        </w:rPr>
        <w:t>ds</w:t>
      </w:r>
      <w:r w:rsidRPr="00D029F7">
        <w:rPr>
          <w:rFonts w:ascii="Times New Roman" w:hAnsi="Times New Roman"/>
          <w:szCs w:val="24"/>
        </w:rPr>
        <w:t xml:space="preserve"> (polished: </w:t>
      </w:r>
      <w:r w:rsidRPr="00D029F7">
        <w:rPr>
          <w:rFonts w:ascii="Times New Roman" w:hAnsi="Times New Roman"/>
          <w:i/>
          <w:szCs w:val="24"/>
        </w:rPr>
        <w:t>S</w:t>
      </w:r>
      <w:r w:rsidRPr="00D029F7">
        <w:rPr>
          <w:rFonts w:ascii="Times New Roman" w:hAnsi="Times New Roman"/>
          <w:i/>
          <w:szCs w:val="24"/>
          <w:vertAlign w:val="subscript"/>
        </w:rPr>
        <w:t>ds</w:t>
      </w:r>
      <w:r w:rsidRPr="00D029F7">
        <w:rPr>
          <w:rFonts w:ascii="Times New Roman" w:hAnsi="Times New Roman"/>
          <w:szCs w:val="24"/>
        </w:rPr>
        <w:t xml:space="preserve"> = 2.4x10</w:t>
      </w:r>
      <w:r w:rsidRPr="00D029F7">
        <w:rPr>
          <w:rFonts w:ascii="Times New Roman" w:hAnsi="Times New Roman"/>
          <w:szCs w:val="24"/>
          <w:vertAlign w:val="superscript"/>
        </w:rPr>
        <w:t>5</w:t>
      </w:r>
      <w:r w:rsidRPr="00D029F7">
        <w:rPr>
          <w:rFonts w:ascii="Times New Roman" w:hAnsi="Times New Roman"/>
          <w:szCs w:val="24"/>
        </w:rPr>
        <w:t xml:space="preserve"> </w:t>
      </w:r>
      <w:r w:rsidRPr="00D029F7">
        <w:rPr>
          <w:rFonts w:cs="Times"/>
        </w:rPr>
        <w:t>±</w:t>
      </w:r>
      <w:r w:rsidRPr="00D029F7">
        <w:t xml:space="preserve"> 1.9x10</w:t>
      </w:r>
      <w:r w:rsidRPr="00D029F7">
        <w:rPr>
          <w:vertAlign w:val="superscript"/>
        </w:rPr>
        <w:t>5</w:t>
      </w:r>
      <w:r w:rsidRPr="00D029F7">
        <w:rPr>
          <w:rFonts w:ascii="Times New Roman" w:hAnsi="Times New Roman"/>
          <w:szCs w:val="24"/>
        </w:rPr>
        <w:t xml:space="preserve"> mm</w:t>
      </w:r>
      <w:r w:rsidRPr="00D029F7">
        <w:rPr>
          <w:rFonts w:ascii="Times New Roman" w:hAnsi="Times New Roman"/>
          <w:szCs w:val="24"/>
          <w:vertAlign w:val="superscript"/>
        </w:rPr>
        <w:t>-2</w:t>
      </w:r>
      <w:r w:rsidRPr="00D029F7">
        <w:rPr>
          <w:rFonts w:ascii="Times New Roman" w:hAnsi="Times New Roman"/>
          <w:szCs w:val="24"/>
        </w:rPr>
        <w:t>; selectively etched:</w:t>
      </w:r>
      <w:r w:rsidRPr="00D029F7">
        <w:rPr>
          <w:rFonts w:ascii="Times New Roman" w:hAnsi="Times New Roman"/>
          <w:i/>
          <w:szCs w:val="24"/>
        </w:rPr>
        <w:t xml:space="preserve"> S</w:t>
      </w:r>
      <w:r w:rsidRPr="00D029F7">
        <w:rPr>
          <w:rFonts w:ascii="Times New Roman" w:hAnsi="Times New Roman"/>
          <w:i/>
          <w:szCs w:val="24"/>
          <w:vertAlign w:val="subscript"/>
        </w:rPr>
        <w:t>ds</w:t>
      </w:r>
      <w:r w:rsidRPr="00D029F7">
        <w:rPr>
          <w:rFonts w:ascii="Times New Roman" w:hAnsi="Times New Roman"/>
          <w:szCs w:val="24"/>
        </w:rPr>
        <w:t xml:space="preserve"> = 1.2x10</w:t>
      </w:r>
      <w:r w:rsidRPr="00D029F7">
        <w:rPr>
          <w:rFonts w:ascii="Times New Roman" w:hAnsi="Times New Roman"/>
          <w:szCs w:val="24"/>
          <w:vertAlign w:val="superscript"/>
        </w:rPr>
        <w:t>5</w:t>
      </w:r>
      <w:r w:rsidRPr="00D029F7">
        <w:rPr>
          <w:rFonts w:ascii="Times New Roman" w:hAnsi="Times New Roman"/>
          <w:szCs w:val="24"/>
        </w:rPr>
        <w:t xml:space="preserve"> </w:t>
      </w:r>
      <w:r w:rsidRPr="00D029F7">
        <w:rPr>
          <w:rFonts w:cs="Times"/>
        </w:rPr>
        <w:t>±</w:t>
      </w:r>
      <w:r w:rsidRPr="00D029F7">
        <w:t xml:space="preserve"> 1.1x10</w:t>
      </w:r>
      <w:r w:rsidRPr="00D029F7">
        <w:rPr>
          <w:vertAlign w:val="superscript"/>
        </w:rPr>
        <w:t>5</w:t>
      </w:r>
      <w:r w:rsidRPr="00D029F7">
        <w:rPr>
          <w:rFonts w:ascii="Times New Roman" w:hAnsi="Times New Roman"/>
          <w:szCs w:val="24"/>
        </w:rPr>
        <w:t xml:space="preserve"> mm</w:t>
      </w:r>
      <w:r w:rsidRPr="00D029F7">
        <w:rPr>
          <w:rFonts w:ascii="Times New Roman" w:hAnsi="Times New Roman"/>
          <w:szCs w:val="24"/>
          <w:vertAlign w:val="superscript"/>
        </w:rPr>
        <w:t>-2</w:t>
      </w:r>
      <w:r w:rsidRPr="00D029F7">
        <w:rPr>
          <w:rFonts w:ascii="Times New Roman" w:hAnsi="Times New Roman"/>
          <w:szCs w:val="24"/>
        </w:rPr>
        <w:t xml:space="preserve">) and the core fluid retention index </w:t>
      </w:r>
      <w:r w:rsidRPr="00D029F7">
        <w:rPr>
          <w:rFonts w:ascii="Times New Roman" w:hAnsi="Times New Roman"/>
          <w:i/>
          <w:szCs w:val="24"/>
        </w:rPr>
        <w:t>S</w:t>
      </w:r>
      <w:r w:rsidRPr="00D029F7">
        <w:rPr>
          <w:rFonts w:ascii="Times New Roman" w:hAnsi="Times New Roman"/>
          <w:i/>
          <w:szCs w:val="24"/>
          <w:vertAlign w:val="subscript"/>
        </w:rPr>
        <w:t>ci</w:t>
      </w:r>
      <w:r w:rsidRPr="00D029F7">
        <w:rPr>
          <w:rFonts w:ascii="Times New Roman" w:hAnsi="Times New Roman"/>
          <w:szCs w:val="24"/>
        </w:rPr>
        <w:t xml:space="preserve"> (polished: </w:t>
      </w:r>
      <w:r w:rsidRPr="00D029F7">
        <w:rPr>
          <w:rFonts w:ascii="Times New Roman" w:hAnsi="Times New Roman"/>
          <w:i/>
          <w:szCs w:val="24"/>
        </w:rPr>
        <w:t>S</w:t>
      </w:r>
      <w:r w:rsidRPr="00D029F7">
        <w:rPr>
          <w:rFonts w:ascii="Times New Roman" w:hAnsi="Times New Roman"/>
          <w:i/>
          <w:szCs w:val="24"/>
          <w:vertAlign w:val="subscript"/>
        </w:rPr>
        <w:t>ci</w:t>
      </w:r>
      <w:r w:rsidRPr="00D029F7">
        <w:rPr>
          <w:rFonts w:ascii="Times New Roman" w:hAnsi="Times New Roman"/>
          <w:szCs w:val="24"/>
        </w:rPr>
        <w:t xml:space="preserve"> = 0.91 </w:t>
      </w:r>
      <w:r w:rsidRPr="00D029F7">
        <w:rPr>
          <w:rFonts w:cs="Times"/>
        </w:rPr>
        <w:t>±</w:t>
      </w:r>
      <w:r w:rsidRPr="00D029F7">
        <w:t xml:space="preserve"> 0.19</w:t>
      </w:r>
      <w:r w:rsidRPr="00D029F7">
        <w:rPr>
          <w:rFonts w:ascii="Times New Roman" w:hAnsi="Times New Roman"/>
          <w:szCs w:val="24"/>
        </w:rPr>
        <w:t>; selectively etched:</w:t>
      </w:r>
      <w:r w:rsidRPr="00D029F7">
        <w:rPr>
          <w:rFonts w:ascii="Times New Roman" w:hAnsi="Times New Roman"/>
          <w:i/>
          <w:szCs w:val="24"/>
        </w:rPr>
        <w:t xml:space="preserve"> S</w:t>
      </w:r>
      <w:r w:rsidRPr="00D029F7">
        <w:rPr>
          <w:rFonts w:ascii="Times New Roman" w:hAnsi="Times New Roman"/>
          <w:i/>
          <w:szCs w:val="24"/>
          <w:vertAlign w:val="subscript"/>
        </w:rPr>
        <w:t>ci</w:t>
      </w:r>
      <w:r w:rsidRPr="00D029F7">
        <w:rPr>
          <w:rFonts w:ascii="Times New Roman" w:hAnsi="Times New Roman"/>
          <w:szCs w:val="24"/>
        </w:rPr>
        <w:t xml:space="preserve"> = 0.39 </w:t>
      </w:r>
      <w:r w:rsidRPr="00D029F7">
        <w:rPr>
          <w:rFonts w:cs="Times"/>
        </w:rPr>
        <w:t>±</w:t>
      </w:r>
      <w:r w:rsidRPr="00D029F7">
        <w:t xml:space="preserve"> 0.06)</w:t>
      </w:r>
      <w:r w:rsidRPr="00D029F7">
        <w:rPr>
          <w:rFonts w:ascii="Times New Roman" w:hAnsi="Times New Roman"/>
          <w:szCs w:val="24"/>
        </w:rPr>
        <w:t xml:space="preserve"> decreased.  In terms of surface chemistry, the most notable changes were an increase in the fluorine content and a decrease in the zirconium content (Figure 5).</w:t>
      </w:r>
    </w:p>
    <w:p w:rsidR="001E18F2" w:rsidRPr="00D029F7" w:rsidRDefault="001E18F2" w:rsidP="001E18F2">
      <w:pPr>
        <w:spacing w:line="480" w:lineRule="auto"/>
        <w:ind w:firstLine="432"/>
        <w:rPr>
          <w:rFonts w:ascii="Times New Roman" w:hAnsi="Times New Roman"/>
          <w:szCs w:val="24"/>
        </w:rPr>
      </w:pPr>
      <w:r w:rsidRPr="00D029F7">
        <w:rPr>
          <w:rFonts w:ascii="Times New Roman" w:hAnsi="Times New Roman"/>
        </w:rPr>
        <w:t>The thickness of the layer affected by selective etching depended on etching ti</w:t>
      </w:r>
      <w:r w:rsidRPr="00D029F7">
        <w:rPr>
          <w:rFonts w:ascii="Times New Roman" w:hAnsi="Times New Roman"/>
          <w:szCs w:val="24"/>
        </w:rPr>
        <w:t xml:space="preserve">me (Figure 6-a,c). During a short time period (t = 6 h), only the superficial zirconia grains were dissolved, leaving the bulk unaffected. For longer etching times (t ≥ 24 h), an interconnected porous layer was produced. The FIB/SEM tomography provided evidence that with the exception of some </w:t>
      </w:r>
      <w:r w:rsidRPr="00D029F7">
        <w:rPr>
          <w:rFonts w:ascii="Times New Roman" w:hAnsi="Times New Roman"/>
          <w:szCs w:val="24"/>
        </w:rPr>
        <w:lastRenderedPageBreak/>
        <w:t>isolated grains the zirconia phase was percolated (Figure 6-b). The local radius distribution appeared to be centered at approximately 50 nm with a maximum at 160 nm, which can be considered as the maximal pore size (Figure 6-d). It was not possible to determine the minimum of the distribution with certainty because of the limit of resolution fixed by the voxel size.</w:t>
      </w:r>
    </w:p>
    <w:p w:rsidR="001E18F2" w:rsidRPr="00D029F7" w:rsidRDefault="001E18F2" w:rsidP="001E18F2">
      <w:pPr>
        <w:spacing w:line="480" w:lineRule="auto"/>
        <w:ind w:firstLine="432"/>
        <w:rPr>
          <w:rFonts w:ascii="Times New Roman" w:hAnsi="Times New Roman"/>
          <w:szCs w:val="24"/>
        </w:rPr>
      </w:pPr>
    </w:p>
    <w:p w:rsidR="001E18F2" w:rsidRPr="00D029F7" w:rsidRDefault="001E18F2" w:rsidP="001E18F2">
      <w:pPr>
        <w:rPr>
          <w:rFonts w:ascii="Times New Roman" w:hAnsi="Times New Roman"/>
        </w:rPr>
      </w:pPr>
      <w:r w:rsidRPr="00D029F7">
        <w:rPr>
          <w:rFonts w:ascii="Times New Roman" w:hAnsi="Times New Roman"/>
          <w:noProof/>
          <w:lang w:val="en-GB" w:eastAsia="en-GB"/>
        </w:rPr>
        <w:drawing>
          <wp:inline distT="0" distB="0" distL="0" distR="0" wp14:anchorId="4ED492D4" wp14:editId="4C11BA2A">
            <wp:extent cx="5972175" cy="3269383"/>
            <wp:effectExtent l="0" t="0" r="0" b="0"/>
            <wp:docPr id="6" name="Image 3" descr="F:\these\Documents\Rapport-articles\Selective etching ZTA\Figures\Figure 2 - SE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these\Documents\Rapport-articles\Selective etching ZTA\Figures\Figure 2 - SEM.tif"/>
                    <pic:cNvPicPr>
                      <a:picLocks noChangeAspect="1" noChangeArrowheads="1"/>
                    </pic:cNvPicPr>
                  </pic:nvPicPr>
                  <pic:blipFill>
                    <a:blip r:embed="rId7" cstate="print"/>
                    <a:srcRect/>
                    <a:stretch>
                      <a:fillRect/>
                    </a:stretch>
                  </pic:blipFill>
                  <pic:spPr bwMode="auto">
                    <a:xfrm>
                      <a:off x="0" y="0"/>
                      <a:ext cx="5972175" cy="3269383"/>
                    </a:xfrm>
                    <a:prstGeom prst="rect">
                      <a:avLst/>
                    </a:prstGeom>
                    <a:noFill/>
                    <a:ln w="9525">
                      <a:noFill/>
                      <a:miter lim="800000"/>
                      <a:headEnd/>
                      <a:tailEnd/>
                    </a:ln>
                  </pic:spPr>
                </pic:pic>
              </a:graphicData>
            </a:graphic>
          </wp:inline>
        </w:drawing>
      </w:r>
    </w:p>
    <w:p w:rsidR="001E18F2" w:rsidRPr="00D029F7" w:rsidRDefault="001E18F2" w:rsidP="001E18F2">
      <w:pPr>
        <w:spacing w:line="276" w:lineRule="auto"/>
        <w:rPr>
          <w:rFonts w:ascii="Times New Roman" w:hAnsi="Times New Roman"/>
        </w:rPr>
      </w:pPr>
      <w:bookmarkStart w:id="9" w:name="_Ref443093260"/>
      <w:r w:rsidRPr="00D029F7">
        <w:rPr>
          <w:rFonts w:ascii="Times New Roman" w:hAnsi="Times New Roman"/>
          <w:b/>
          <w:szCs w:val="24"/>
        </w:rPr>
        <w:t xml:space="preserve">Figure </w:t>
      </w:r>
      <w:r w:rsidRPr="00D029F7">
        <w:rPr>
          <w:rFonts w:ascii="Times New Roman" w:hAnsi="Times New Roman"/>
          <w:b/>
          <w:noProof/>
          <w:szCs w:val="24"/>
        </w:rPr>
        <w:t>3</w:t>
      </w:r>
      <w:bookmarkEnd w:id="9"/>
      <w:r w:rsidRPr="00D029F7">
        <w:rPr>
          <w:rFonts w:ascii="Times New Roman" w:hAnsi="Times New Roman"/>
          <w:b/>
          <w:szCs w:val="24"/>
        </w:rPr>
        <w:t>.</w:t>
      </w:r>
      <w:r w:rsidRPr="00D029F7">
        <w:rPr>
          <w:rFonts w:ascii="Times New Roman" w:hAnsi="Times New Roman"/>
        </w:rPr>
        <w:t xml:space="preserve"> a) Scanning electron microscopy observations of the surface of zirconia toughened alumina at the different steps of the selective etching process, evidencing the formation of fluoride precipitates during HF etching and their subsequent removal in HCl; b) scanning electron microscopy observations of the surface of injection molded samples with different micro-topographies before and after selective etching. “Low”, “Medium” and “High” designate micro-topographies obtained from increasingly rough molds. Scale bars: 5 µm.</w:t>
      </w:r>
    </w:p>
    <w:p w:rsidR="001E18F2" w:rsidRPr="00D029F7" w:rsidRDefault="001E18F2" w:rsidP="001E18F2">
      <w:pPr>
        <w:spacing w:line="480" w:lineRule="auto"/>
        <w:rPr>
          <w:rFonts w:ascii="Times New Roman" w:hAnsi="Times New Roman"/>
        </w:rPr>
      </w:pPr>
      <w:r w:rsidRPr="00D029F7">
        <w:rPr>
          <w:rFonts w:ascii="Times New Roman" w:hAnsi="Times New Roman"/>
          <w:noProof/>
          <w:lang w:val="en-GB" w:eastAsia="en-GB"/>
        </w:rPr>
        <w:lastRenderedPageBreak/>
        <w:drawing>
          <wp:inline distT="0" distB="0" distL="0" distR="0" wp14:anchorId="5F1FAD5B" wp14:editId="5D4A5C91">
            <wp:extent cx="5943600" cy="5591175"/>
            <wp:effectExtent l="0" t="0" r="0" b="0"/>
            <wp:docPr id="8" name="Imagen 8" descr="C:\Users\Quentin Flamant\Documents\Rapport-articles\Selective etching ZTA\Revision\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uentin Flamant\Documents\Rapport-articles\Selective etching ZTA\Revision\Figure 3.tif"/>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5943600" cy="5591175"/>
                    </a:xfrm>
                    <a:prstGeom prst="rect">
                      <a:avLst/>
                    </a:prstGeom>
                    <a:noFill/>
                    <a:ln>
                      <a:noFill/>
                    </a:ln>
                  </pic:spPr>
                </pic:pic>
              </a:graphicData>
            </a:graphic>
          </wp:inline>
        </w:drawing>
      </w:r>
    </w:p>
    <w:p w:rsidR="001E18F2" w:rsidRPr="00D029F7" w:rsidRDefault="001E18F2" w:rsidP="001E18F2">
      <w:pPr>
        <w:spacing w:line="276" w:lineRule="auto"/>
        <w:rPr>
          <w:rFonts w:ascii="Times New Roman" w:hAnsi="Times New Roman"/>
        </w:rPr>
      </w:pPr>
      <w:bookmarkStart w:id="10" w:name="_Ref443093819"/>
      <w:r w:rsidRPr="00D029F7">
        <w:rPr>
          <w:rFonts w:ascii="Times New Roman" w:hAnsi="Times New Roman"/>
          <w:b/>
          <w:szCs w:val="24"/>
        </w:rPr>
        <w:t xml:space="preserve">Figure </w:t>
      </w:r>
      <w:r w:rsidRPr="00D029F7">
        <w:rPr>
          <w:rFonts w:ascii="Times New Roman" w:hAnsi="Times New Roman"/>
          <w:b/>
          <w:noProof/>
          <w:szCs w:val="24"/>
        </w:rPr>
        <w:t>4</w:t>
      </w:r>
      <w:bookmarkEnd w:id="10"/>
      <w:r w:rsidRPr="00D029F7">
        <w:rPr>
          <w:rFonts w:ascii="Times New Roman" w:hAnsi="Times New Roman"/>
          <w:b/>
          <w:szCs w:val="24"/>
        </w:rPr>
        <w:t>.</w:t>
      </w:r>
      <w:r w:rsidRPr="00D029F7">
        <w:rPr>
          <w:rFonts w:ascii="Times New Roman" w:hAnsi="Times New Roman"/>
        </w:rPr>
        <w:t xml:space="preserve"> Atomic force microscopy measurements at the surface of polished zirconia toughened alumina samples before and after HF and HCl treatment: a) roughness analysis (5 samples per group, area of measurement: 50 µm x 50 µm); b) 3D topographical images (area of measurement: 10 µm x 10 µm).</w:t>
      </w:r>
    </w:p>
    <w:p w:rsidR="001E18F2" w:rsidRPr="00D029F7" w:rsidRDefault="001E18F2" w:rsidP="001E18F2">
      <w:pPr>
        <w:spacing w:line="480" w:lineRule="auto"/>
        <w:jc w:val="center"/>
        <w:rPr>
          <w:rFonts w:ascii="Times New Roman" w:hAnsi="Times New Roman"/>
        </w:rPr>
      </w:pPr>
      <w:r w:rsidRPr="00D029F7">
        <w:rPr>
          <w:rFonts w:ascii="Times New Roman" w:hAnsi="Times New Roman"/>
          <w:noProof/>
          <w:lang w:val="en-GB" w:eastAsia="en-GB"/>
        </w:rPr>
        <w:lastRenderedPageBreak/>
        <w:drawing>
          <wp:inline distT="0" distB="0" distL="0" distR="0" wp14:anchorId="08CDFEB8" wp14:editId="61B19CBA">
            <wp:extent cx="4706111" cy="7096125"/>
            <wp:effectExtent l="0" t="0" r="0" b="0"/>
            <wp:docPr id="10" name="Imagen 10" descr="C:\Users\Quentin Flamant\Documents\Rapport-articles\Selective etching ZTA\Revision\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Quentin Flamant\Documents\Rapport-articles\Selective etching ZTA\Revision\Figure 4.tif"/>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4709754" cy="7101618"/>
                    </a:xfrm>
                    <a:prstGeom prst="rect">
                      <a:avLst/>
                    </a:prstGeom>
                    <a:noFill/>
                    <a:ln>
                      <a:noFill/>
                    </a:ln>
                  </pic:spPr>
                </pic:pic>
              </a:graphicData>
            </a:graphic>
          </wp:inline>
        </w:drawing>
      </w:r>
    </w:p>
    <w:p w:rsidR="001E18F2" w:rsidRPr="00D029F7" w:rsidRDefault="001E18F2" w:rsidP="001E18F2">
      <w:pPr>
        <w:spacing w:line="276" w:lineRule="auto"/>
        <w:rPr>
          <w:rFonts w:ascii="Times New Roman" w:hAnsi="Times New Roman"/>
        </w:rPr>
      </w:pPr>
      <w:bookmarkStart w:id="11" w:name="_Ref443260412"/>
      <w:bookmarkStart w:id="12" w:name="_Ref443260407"/>
      <w:r w:rsidRPr="00D029F7">
        <w:rPr>
          <w:rFonts w:ascii="Times New Roman" w:hAnsi="Times New Roman"/>
          <w:b/>
          <w:szCs w:val="24"/>
        </w:rPr>
        <w:t xml:space="preserve">Figure </w:t>
      </w:r>
      <w:r w:rsidRPr="00D029F7">
        <w:rPr>
          <w:rFonts w:ascii="Times New Roman" w:hAnsi="Times New Roman"/>
          <w:b/>
          <w:noProof/>
          <w:szCs w:val="24"/>
        </w:rPr>
        <w:t>5</w:t>
      </w:r>
      <w:bookmarkEnd w:id="11"/>
      <w:r w:rsidRPr="00D029F7">
        <w:rPr>
          <w:rFonts w:ascii="Times New Roman" w:hAnsi="Times New Roman"/>
          <w:b/>
          <w:szCs w:val="24"/>
        </w:rPr>
        <w:t>.</w:t>
      </w:r>
      <w:r w:rsidRPr="00D029F7">
        <w:rPr>
          <w:rFonts w:ascii="Times New Roman" w:hAnsi="Times New Roman"/>
          <w:szCs w:val="24"/>
        </w:rPr>
        <w:t xml:space="preserve"> </w:t>
      </w:r>
      <w:r w:rsidRPr="00D029F7">
        <w:rPr>
          <w:rFonts w:ascii="Times New Roman" w:hAnsi="Times New Roman"/>
        </w:rPr>
        <w:t>XPS analysis of the surfaces of an “as sintered” zirconia toughened alumina sample, an HF treated sample and an HF+HCl treated sample: a) full spectra normalized to the O1s peak intensity; b) quantitative elemental analysis.</w:t>
      </w:r>
      <w:bookmarkEnd w:id="12"/>
      <w:r w:rsidRPr="00D029F7">
        <w:rPr>
          <w:rFonts w:ascii="Times New Roman" w:hAnsi="Times New Roman"/>
        </w:rPr>
        <w:t xml:space="preserve"> Error bars represent the typical uncertainty (10 %) associated to XPS quantitative measurements.</w:t>
      </w:r>
    </w:p>
    <w:p w:rsidR="001E18F2" w:rsidRPr="00D029F7" w:rsidRDefault="001E18F2" w:rsidP="001E18F2">
      <w:pPr>
        <w:spacing w:line="480" w:lineRule="auto"/>
        <w:rPr>
          <w:rFonts w:ascii="Times New Roman" w:hAnsi="Times New Roman"/>
          <w:szCs w:val="24"/>
        </w:rPr>
      </w:pPr>
      <w:bookmarkStart w:id="13" w:name="_Ref443257366"/>
      <w:r w:rsidRPr="00D029F7">
        <w:rPr>
          <w:rFonts w:ascii="Times New Roman" w:hAnsi="Times New Roman"/>
          <w:b/>
          <w:szCs w:val="24"/>
        </w:rPr>
        <w:lastRenderedPageBreak/>
        <w:t xml:space="preserve">Table </w:t>
      </w:r>
      <w:r w:rsidRPr="00D029F7">
        <w:rPr>
          <w:rFonts w:ascii="Times New Roman" w:hAnsi="Times New Roman"/>
          <w:b/>
          <w:noProof/>
          <w:szCs w:val="24"/>
        </w:rPr>
        <w:t>4</w:t>
      </w:r>
      <w:bookmarkEnd w:id="13"/>
      <w:r w:rsidRPr="00D029F7">
        <w:rPr>
          <w:rFonts w:ascii="Times New Roman" w:hAnsi="Times New Roman"/>
          <w:b/>
          <w:szCs w:val="24"/>
        </w:rPr>
        <w:t>.</w:t>
      </w:r>
      <w:r w:rsidRPr="00D029F7">
        <w:rPr>
          <w:rFonts w:ascii="Times New Roman" w:hAnsi="Times New Roman"/>
          <w:szCs w:val="24"/>
        </w:rPr>
        <w:t xml:space="preserve"> Identification of the peaks of the XPS high-resolution spectra of Figure 5</w:t>
      </w:r>
    </w:p>
    <w:tbl>
      <w:tblPr>
        <w:tblW w:w="0" w:type="auto"/>
        <w:tblCellMar>
          <w:left w:w="70" w:type="dxa"/>
          <w:right w:w="70" w:type="dxa"/>
        </w:tblCellMar>
        <w:tblLook w:val="04A0" w:firstRow="1" w:lastRow="0" w:firstColumn="1" w:lastColumn="0" w:noHBand="0" w:noVBand="1"/>
      </w:tblPr>
      <w:tblGrid>
        <w:gridCol w:w="2692"/>
        <w:gridCol w:w="900"/>
        <w:gridCol w:w="570"/>
        <w:gridCol w:w="1572"/>
        <w:gridCol w:w="773"/>
        <w:gridCol w:w="773"/>
        <w:gridCol w:w="773"/>
        <w:gridCol w:w="651"/>
        <w:gridCol w:w="651"/>
      </w:tblGrid>
      <w:tr w:rsidR="001E18F2" w:rsidRPr="00D029F7" w:rsidTr="00B96D2F">
        <w:trPr>
          <w:trHeight w:val="300"/>
        </w:trPr>
        <w:tc>
          <w:tcPr>
            <w:tcW w:w="0" w:type="auto"/>
            <w:tcBorders>
              <w:bottom w:val="single" w:sz="4" w:space="0" w:color="auto"/>
              <w:right w:val="single" w:sz="4" w:space="0" w:color="auto"/>
            </w:tcBorders>
            <w:shd w:val="clear" w:color="auto" w:fill="auto"/>
            <w:vAlign w:val="center"/>
          </w:tcPr>
          <w:p w:rsidR="001E18F2" w:rsidRPr="00D029F7" w:rsidRDefault="001E18F2" w:rsidP="00B96D2F">
            <w:pPr>
              <w:spacing w:after="0"/>
              <w:jc w:val="center"/>
              <w:rPr>
                <w:rFonts w:ascii="Times New Roman" w:hAnsi="Times New Roman"/>
                <w:sz w:val="20"/>
                <w:lang w:eastAsia="fr-FR"/>
              </w:rPr>
            </w:pPr>
          </w:p>
        </w:tc>
        <w:tc>
          <w:tcPr>
            <w:tcW w:w="0" w:type="auto"/>
            <w:tcBorders>
              <w:top w:val="single" w:sz="4" w:space="0" w:color="auto"/>
              <w:left w:val="nil"/>
              <w:bottom w:val="single" w:sz="4" w:space="0" w:color="auto"/>
              <w:right w:val="single" w:sz="4" w:space="0" w:color="auto"/>
            </w:tcBorders>
            <w:shd w:val="clear" w:color="000000" w:fill="FFFFFF" w:themeFill="background1"/>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Sample</w:t>
            </w:r>
          </w:p>
        </w:tc>
        <w:tc>
          <w:tcPr>
            <w:tcW w:w="0" w:type="auto"/>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Al2p</w:t>
            </w:r>
          </w:p>
        </w:tc>
        <w:tc>
          <w:tcPr>
            <w:tcW w:w="0" w:type="auto"/>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O1s</w:t>
            </w:r>
          </w:p>
        </w:tc>
        <w:tc>
          <w:tcPr>
            <w:tcW w:w="0" w:type="auto"/>
            <w:tcBorders>
              <w:top w:val="single" w:sz="4" w:space="0" w:color="auto"/>
              <w:left w:val="nil"/>
              <w:bottom w:val="single" w:sz="4" w:space="0" w:color="auto"/>
              <w:right w:val="single" w:sz="4" w:space="0" w:color="auto"/>
            </w:tcBorders>
            <w:shd w:val="clear" w:color="000000" w:fill="FFFFFF" w:themeFill="background1"/>
            <w:noWrap/>
            <w:vAlign w:val="center"/>
            <w:hideMark/>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F1s</w:t>
            </w:r>
          </w:p>
        </w:tc>
        <w:tc>
          <w:tcPr>
            <w:tcW w:w="0" w:type="auto"/>
            <w:tcBorders>
              <w:top w:val="single" w:sz="4" w:space="0" w:color="auto"/>
              <w:left w:val="nil"/>
              <w:bottom w:val="single" w:sz="4" w:space="0" w:color="auto"/>
              <w:right w:val="single" w:sz="4" w:space="0" w:color="auto"/>
            </w:tcBorders>
            <w:shd w:val="clear" w:color="000000" w:fill="FFFFFF" w:themeFill="background1"/>
            <w:noWrap/>
            <w:vAlign w:val="center"/>
            <w:hideMark/>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Zr3d</w:t>
            </w:r>
            <w:r w:rsidRPr="00D029F7">
              <w:rPr>
                <w:rFonts w:ascii="Times New Roman" w:hAnsi="Times New Roman"/>
                <w:sz w:val="20"/>
                <w:vertAlign w:val="subscript"/>
                <w:lang w:eastAsia="fr-FR"/>
              </w:rPr>
              <w:t>5/2</w:t>
            </w:r>
          </w:p>
        </w:tc>
        <w:tc>
          <w:tcPr>
            <w:tcW w:w="0" w:type="auto"/>
            <w:tcBorders>
              <w:top w:val="single" w:sz="4" w:space="0" w:color="auto"/>
              <w:left w:val="nil"/>
              <w:bottom w:val="single" w:sz="4" w:space="0" w:color="auto"/>
              <w:right w:val="single" w:sz="4" w:space="0" w:color="auto"/>
            </w:tcBorders>
            <w:shd w:val="clear" w:color="000000" w:fill="FFFFFF" w:themeFill="background1"/>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Zr3d</w:t>
            </w:r>
            <w:r w:rsidRPr="00D029F7">
              <w:rPr>
                <w:rFonts w:ascii="Times New Roman" w:hAnsi="Times New Roman"/>
                <w:sz w:val="20"/>
                <w:vertAlign w:val="subscript"/>
                <w:lang w:eastAsia="fr-FR"/>
              </w:rPr>
              <w:t>3/2</w:t>
            </w:r>
          </w:p>
        </w:tc>
        <w:tc>
          <w:tcPr>
            <w:tcW w:w="0" w:type="auto"/>
            <w:tcBorders>
              <w:top w:val="single" w:sz="4" w:space="0" w:color="auto"/>
              <w:left w:val="nil"/>
              <w:bottom w:val="single" w:sz="4" w:space="0" w:color="auto"/>
              <w:right w:val="single" w:sz="4" w:space="0" w:color="auto"/>
            </w:tcBorders>
            <w:shd w:val="clear" w:color="000000" w:fill="FFFFFF" w:themeFill="background1"/>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Y3d</w:t>
            </w:r>
            <w:r w:rsidRPr="00D029F7">
              <w:rPr>
                <w:rFonts w:ascii="Times New Roman" w:hAnsi="Times New Roman"/>
                <w:sz w:val="20"/>
                <w:vertAlign w:val="subscript"/>
                <w:lang w:eastAsia="fr-FR"/>
              </w:rPr>
              <w:t>5/2</w:t>
            </w:r>
          </w:p>
        </w:tc>
        <w:tc>
          <w:tcPr>
            <w:tcW w:w="0" w:type="auto"/>
            <w:tcBorders>
              <w:top w:val="single" w:sz="4" w:space="0" w:color="auto"/>
              <w:left w:val="nil"/>
              <w:bottom w:val="single" w:sz="4" w:space="0" w:color="auto"/>
              <w:right w:val="single" w:sz="4" w:space="0" w:color="auto"/>
            </w:tcBorders>
            <w:shd w:val="clear" w:color="000000" w:fill="FFFFFF" w:themeFill="background1"/>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Y3d</w:t>
            </w:r>
            <w:r w:rsidRPr="00D029F7">
              <w:rPr>
                <w:rFonts w:ascii="Times New Roman" w:hAnsi="Times New Roman"/>
                <w:sz w:val="20"/>
                <w:vertAlign w:val="subscript"/>
                <w:lang w:eastAsia="fr-FR"/>
              </w:rPr>
              <w:t>3/2</w:t>
            </w:r>
          </w:p>
        </w:tc>
      </w:tr>
      <w:tr w:rsidR="001E18F2" w:rsidRPr="00D029F7" w:rsidTr="00B96D2F">
        <w:trPr>
          <w:trHeight w:val="255"/>
        </w:trPr>
        <w:tc>
          <w:tcPr>
            <w:tcW w:w="0" w:type="auto"/>
            <w:vMerge w:val="restart"/>
            <w:tcBorders>
              <w:top w:val="single" w:sz="4" w:space="0" w:color="auto"/>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Binding energies (eV)</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As sintered</w:t>
            </w:r>
          </w:p>
        </w:tc>
        <w:tc>
          <w:tcPr>
            <w:tcW w:w="0" w:type="auto"/>
            <w:vMerge w:val="restart"/>
            <w:tcBorders>
              <w:top w:val="single" w:sz="4" w:space="0" w:color="auto"/>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74.3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529.5</w:t>
            </w:r>
          </w:p>
        </w:tc>
        <w:tc>
          <w:tcPr>
            <w:tcW w:w="0" w:type="auto"/>
            <w:vMerge w:val="restart"/>
            <w:tcBorders>
              <w:top w:val="single" w:sz="4" w:space="0" w:color="auto"/>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685.2</w:t>
            </w:r>
          </w:p>
        </w:tc>
        <w:tc>
          <w:tcPr>
            <w:tcW w:w="0" w:type="auto"/>
            <w:vMerge w:val="restart"/>
            <w:tcBorders>
              <w:top w:val="single" w:sz="4" w:space="0" w:color="auto"/>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181.5</w:t>
            </w:r>
          </w:p>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181.9</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183.9</w:t>
            </w:r>
          </w:p>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184.3</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157.7</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159.8</w:t>
            </w:r>
          </w:p>
        </w:tc>
      </w:tr>
      <w:tr w:rsidR="001E18F2" w:rsidRPr="00D029F7" w:rsidTr="00B96D2F">
        <w:trPr>
          <w:trHeight w:val="255"/>
        </w:trPr>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531.2</w:t>
            </w:r>
          </w:p>
        </w:tc>
        <w:tc>
          <w:tcPr>
            <w:tcW w:w="0" w:type="auto"/>
            <w:vMerge/>
            <w:tcBorders>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r>
      <w:tr w:rsidR="001E18F2" w:rsidRPr="00D029F7" w:rsidTr="00B96D2F">
        <w:trPr>
          <w:trHeight w:val="255"/>
        </w:trPr>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single" w:sz="4" w:space="0" w:color="auto"/>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532.7</w:t>
            </w:r>
          </w:p>
        </w:tc>
        <w:tc>
          <w:tcPr>
            <w:tcW w:w="0" w:type="auto"/>
            <w:vMerge/>
            <w:tcBorders>
              <w:left w:val="nil"/>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r>
      <w:tr w:rsidR="001E18F2" w:rsidRPr="00D029F7" w:rsidTr="00B96D2F">
        <w:trPr>
          <w:trHeight w:val="255"/>
        </w:trPr>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HF</w:t>
            </w:r>
          </w:p>
        </w:tc>
        <w:tc>
          <w:tcPr>
            <w:tcW w:w="0" w:type="auto"/>
            <w:vMerge w:val="restart"/>
            <w:tcBorders>
              <w:top w:val="single" w:sz="4" w:space="0" w:color="auto"/>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74.3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529.2</w:t>
            </w:r>
          </w:p>
        </w:tc>
        <w:tc>
          <w:tcPr>
            <w:tcW w:w="0" w:type="auto"/>
            <w:vMerge w:val="restart"/>
            <w:tcBorders>
              <w:top w:val="single" w:sz="4" w:space="0" w:color="auto"/>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684.9</w:t>
            </w:r>
          </w:p>
        </w:tc>
        <w:tc>
          <w:tcPr>
            <w:tcW w:w="0" w:type="auto"/>
            <w:vMerge w:val="restart"/>
            <w:tcBorders>
              <w:top w:val="single" w:sz="4" w:space="0" w:color="auto"/>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182.5</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184.9</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158.7</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160.7</w:t>
            </w:r>
          </w:p>
        </w:tc>
      </w:tr>
      <w:tr w:rsidR="001E18F2" w:rsidRPr="00D029F7" w:rsidTr="00B96D2F">
        <w:trPr>
          <w:trHeight w:val="255"/>
        </w:trPr>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531.2</w:t>
            </w:r>
          </w:p>
        </w:tc>
        <w:tc>
          <w:tcPr>
            <w:tcW w:w="0" w:type="auto"/>
            <w:vMerge/>
            <w:tcBorders>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r>
      <w:tr w:rsidR="001E18F2" w:rsidRPr="00D029F7" w:rsidTr="00B96D2F">
        <w:trPr>
          <w:trHeight w:val="255"/>
        </w:trPr>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single" w:sz="4" w:space="0" w:color="auto"/>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532.8</w:t>
            </w:r>
          </w:p>
        </w:tc>
        <w:tc>
          <w:tcPr>
            <w:tcW w:w="0" w:type="auto"/>
            <w:vMerge/>
            <w:tcBorders>
              <w:left w:val="nil"/>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r>
      <w:tr w:rsidR="001E18F2" w:rsidRPr="00D029F7" w:rsidTr="00B96D2F">
        <w:trPr>
          <w:trHeight w:val="255"/>
        </w:trPr>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HF + HCl</w:t>
            </w:r>
          </w:p>
        </w:tc>
        <w:tc>
          <w:tcPr>
            <w:tcW w:w="0" w:type="auto"/>
            <w:vMerge w:val="restart"/>
            <w:tcBorders>
              <w:top w:val="single" w:sz="4" w:space="0" w:color="auto"/>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74.2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529.0</w:t>
            </w:r>
          </w:p>
        </w:tc>
        <w:tc>
          <w:tcPr>
            <w:tcW w:w="0" w:type="auto"/>
            <w:vMerge w:val="restart"/>
            <w:tcBorders>
              <w:top w:val="single" w:sz="4" w:space="0" w:color="auto"/>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685.1</w:t>
            </w:r>
          </w:p>
        </w:tc>
        <w:tc>
          <w:tcPr>
            <w:tcW w:w="0" w:type="auto"/>
            <w:vMerge w:val="restart"/>
            <w:tcBorders>
              <w:top w:val="single" w:sz="4" w:space="0" w:color="auto"/>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182.2</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184.6</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158.7</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160.7</w:t>
            </w:r>
          </w:p>
        </w:tc>
      </w:tr>
      <w:tr w:rsidR="001E18F2" w:rsidRPr="00D029F7" w:rsidTr="00B96D2F">
        <w:trPr>
          <w:trHeight w:val="255"/>
        </w:trPr>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531.0</w:t>
            </w:r>
          </w:p>
        </w:tc>
        <w:tc>
          <w:tcPr>
            <w:tcW w:w="0" w:type="auto"/>
            <w:vMerge/>
            <w:tcBorders>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r>
      <w:tr w:rsidR="001E18F2" w:rsidRPr="00D029F7" w:rsidTr="00B96D2F">
        <w:trPr>
          <w:trHeight w:val="255"/>
        </w:trPr>
        <w:tc>
          <w:tcPr>
            <w:tcW w:w="0" w:type="auto"/>
            <w:vMerge/>
            <w:tcBorders>
              <w:left w:val="single" w:sz="4" w:space="0" w:color="auto"/>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single" w:sz="4" w:space="0" w:color="auto"/>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532.4</w:t>
            </w:r>
          </w:p>
        </w:tc>
        <w:tc>
          <w:tcPr>
            <w:tcW w:w="0" w:type="auto"/>
            <w:vMerge/>
            <w:tcBorders>
              <w:left w:val="nil"/>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r>
      <w:tr w:rsidR="001E18F2" w:rsidRPr="00D029F7" w:rsidTr="00B96D2F">
        <w:trPr>
          <w:trHeight w:val="425"/>
        </w:trPr>
        <w:tc>
          <w:tcPr>
            <w:tcW w:w="0" w:type="auto"/>
            <w:vMerge w:val="restart"/>
            <w:tcBorders>
              <w:top w:val="single" w:sz="4" w:space="0" w:color="auto"/>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Identified chemical environment</w:t>
            </w:r>
          </w:p>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(references available in supplementary information)</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As sintered</w:t>
            </w:r>
          </w:p>
        </w:tc>
        <w:tc>
          <w:tcPr>
            <w:tcW w:w="0" w:type="auto"/>
            <w:vMerge w:val="restart"/>
            <w:tcBorders>
              <w:top w:val="single" w:sz="4" w:space="0" w:color="auto"/>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Al</w:t>
            </w:r>
            <w:r w:rsidRPr="00D029F7">
              <w:rPr>
                <w:rFonts w:ascii="Times New Roman" w:hAnsi="Times New Roman"/>
                <w:sz w:val="20"/>
                <w:vertAlign w:val="subscript"/>
                <w:lang w:eastAsia="fr-FR"/>
              </w:rPr>
              <w:t>2</w:t>
            </w:r>
            <w:r w:rsidRPr="00D029F7">
              <w:rPr>
                <w:rFonts w:ascii="Times New Roman" w:hAnsi="Times New Roman"/>
                <w:sz w:val="20"/>
                <w:lang w:eastAsia="fr-FR"/>
              </w:rPr>
              <w:t>0</w:t>
            </w:r>
            <w:r w:rsidRPr="00D029F7">
              <w:rPr>
                <w:rFonts w:ascii="Times New Roman" w:hAnsi="Times New Roman"/>
                <w:sz w:val="20"/>
                <w:vertAlign w:val="subscript"/>
                <w:lang w:eastAsia="fr-FR"/>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YSZ</w:t>
            </w:r>
          </w:p>
        </w:tc>
        <w:tc>
          <w:tcPr>
            <w:tcW w:w="0" w:type="auto"/>
            <w:vMerge w:val="restart"/>
            <w:tcBorders>
              <w:top w:val="single" w:sz="4" w:space="0" w:color="auto"/>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ZrF</w:t>
            </w:r>
            <w:r w:rsidRPr="00D029F7">
              <w:rPr>
                <w:rFonts w:ascii="Times New Roman" w:hAnsi="Times New Roman"/>
                <w:sz w:val="20"/>
                <w:vertAlign w:val="subscript"/>
                <w:lang w:eastAsia="fr-FR"/>
              </w:rPr>
              <w:t>4</w:t>
            </w:r>
            <w:r w:rsidRPr="00D029F7">
              <w:rPr>
                <w:rFonts w:ascii="Times New Roman" w:hAnsi="Times New Roman"/>
                <w:sz w:val="20"/>
                <w:lang w:eastAsia="fr-FR"/>
              </w:rPr>
              <w:t xml:space="preserve"> or</w:t>
            </w:r>
          </w:p>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YF</w:t>
            </w:r>
            <w:r w:rsidRPr="00D029F7">
              <w:rPr>
                <w:rFonts w:ascii="Times New Roman" w:hAnsi="Times New Roman"/>
                <w:sz w:val="20"/>
                <w:vertAlign w:val="subscript"/>
                <w:lang w:eastAsia="fr-FR"/>
              </w:rPr>
              <w:t>3</w:t>
            </w:r>
          </w:p>
        </w:tc>
        <w:tc>
          <w:tcPr>
            <w:tcW w:w="0" w:type="auto"/>
            <w:vMerge w:val="restart"/>
            <w:tcBorders>
              <w:top w:val="single" w:sz="4" w:space="0" w:color="auto"/>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YSZ</w:t>
            </w:r>
          </w:p>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ZrO</w:t>
            </w:r>
            <w:r w:rsidRPr="00D029F7">
              <w:rPr>
                <w:rFonts w:ascii="Times New Roman" w:hAnsi="Times New Roman"/>
                <w:sz w:val="20"/>
                <w:vertAlign w:val="subscript"/>
                <w:lang w:eastAsia="fr-FR"/>
              </w:rPr>
              <w:t>2</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YSZ</w:t>
            </w:r>
          </w:p>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ZrO</w:t>
            </w:r>
            <w:r w:rsidRPr="00D029F7">
              <w:rPr>
                <w:rFonts w:ascii="Times New Roman" w:hAnsi="Times New Roman"/>
                <w:sz w:val="20"/>
                <w:vertAlign w:val="subscript"/>
                <w:lang w:eastAsia="fr-FR"/>
              </w:rPr>
              <w:t>2</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YSZ</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YSZ</w:t>
            </w:r>
          </w:p>
        </w:tc>
      </w:tr>
      <w:tr w:rsidR="001E18F2" w:rsidRPr="00D029F7" w:rsidTr="00B96D2F">
        <w:trPr>
          <w:trHeight w:val="425"/>
        </w:trPr>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rPr>
            </w:pPr>
            <w:r w:rsidRPr="00D029F7">
              <w:rPr>
                <w:rFonts w:ascii="Times New Roman" w:hAnsi="Times New Roman"/>
                <w:sz w:val="20"/>
                <w:lang w:eastAsia="fr-FR"/>
              </w:rPr>
              <w:t>Al</w:t>
            </w:r>
            <w:r w:rsidRPr="00D029F7">
              <w:rPr>
                <w:rFonts w:ascii="Times New Roman" w:hAnsi="Times New Roman"/>
                <w:sz w:val="20"/>
                <w:vertAlign w:val="subscript"/>
                <w:lang w:eastAsia="fr-FR"/>
              </w:rPr>
              <w:t>2</w:t>
            </w:r>
            <w:r w:rsidRPr="00D029F7">
              <w:rPr>
                <w:rFonts w:ascii="Times New Roman" w:hAnsi="Times New Roman"/>
                <w:sz w:val="20"/>
                <w:lang w:eastAsia="fr-FR"/>
              </w:rPr>
              <w:t>0</w:t>
            </w:r>
            <w:r w:rsidRPr="00D029F7">
              <w:rPr>
                <w:rFonts w:ascii="Times New Roman" w:hAnsi="Times New Roman"/>
                <w:sz w:val="20"/>
                <w:vertAlign w:val="subscript"/>
                <w:lang w:eastAsia="fr-FR"/>
              </w:rPr>
              <w:t>3</w:t>
            </w:r>
            <w:r w:rsidRPr="00D029F7">
              <w:rPr>
                <w:rFonts w:ascii="Times New Roman" w:hAnsi="Times New Roman"/>
                <w:sz w:val="20"/>
                <w:lang w:eastAsia="fr-FR"/>
              </w:rPr>
              <w:t xml:space="preserve"> / ZrO</w:t>
            </w:r>
            <w:r w:rsidRPr="00D029F7">
              <w:rPr>
                <w:rFonts w:ascii="Times New Roman" w:hAnsi="Times New Roman"/>
                <w:sz w:val="20"/>
                <w:vertAlign w:val="subscript"/>
                <w:lang w:eastAsia="fr-FR"/>
              </w:rPr>
              <w:t>2</w:t>
            </w:r>
          </w:p>
        </w:tc>
        <w:tc>
          <w:tcPr>
            <w:tcW w:w="0" w:type="auto"/>
            <w:vMerge/>
            <w:tcBorders>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r>
      <w:tr w:rsidR="001E18F2" w:rsidRPr="00D029F7" w:rsidTr="00B96D2F">
        <w:trPr>
          <w:trHeight w:val="425"/>
        </w:trPr>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single" w:sz="4" w:space="0" w:color="auto"/>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rPr>
              <w:t>H</w:t>
            </w:r>
            <w:r w:rsidRPr="00D029F7">
              <w:rPr>
                <w:rFonts w:ascii="Times New Roman" w:hAnsi="Times New Roman"/>
                <w:sz w:val="20"/>
                <w:vertAlign w:val="subscript"/>
              </w:rPr>
              <w:t>2</w:t>
            </w:r>
            <w:r w:rsidRPr="00D029F7">
              <w:rPr>
                <w:rFonts w:ascii="Times New Roman" w:hAnsi="Times New Roman"/>
                <w:sz w:val="20"/>
              </w:rPr>
              <w:t xml:space="preserve">O </w:t>
            </w:r>
            <w:r w:rsidRPr="00D029F7">
              <w:rPr>
                <w:rFonts w:ascii="Times New Roman" w:hAnsi="Times New Roman"/>
                <w:sz w:val="20"/>
                <w:lang w:eastAsia="fr-FR"/>
              </w:rPr>
              <w:t>or hydroxide</w:t>
            </w:r>
          </w:p>
        </w:tc>
        <w:tc>
          <w:tcPr>
            <w:tcW w:w="0" w:type="auto"/>
            <w:vMerge/>
            <w:tcBorders>
              <w:left w:val="nil"/>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r>
      <w:tr w:rsidR="001E18F2" w:rsidRPr="00D029F7" w:rsidTr="00B96D2F">
        <w:trPr>
          <w:trHeight w:val="425"/>
        </w:trPr>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HF</w:t>
            </w:r>
          </w:p>
        </w:tc>
        <w:tc>
          <w:tcPr>
            <w:tcW w:w="0" w:type="auto"/>
            <w:vMerge w:val="restart"/>
            <w:tcBorders>
              <w:top w:val="single" w:sz="4" w:space="0" w:color="auto"/>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Al</w:t>
            </w:r>
            <w:r w:rsidRPr="00D029F7">
              <w:rPr>
                <w:rFonts w:ascii="Times New Roman" w:hAnsi="Times New Roman"/>
                <w:sz w:val="20"/>
                <w:vertAlign w:val="subscript"/>
                <w:lang w:eastAsia="fr-FR"/>
              </w:rPr>
              <w:t>2</w:t>
            </w:r>
            <w:r w:rsidRPr="00D029F7">
              <w:rPr>
                <w:rFonts w:ascii="Times New Roman" w:hAnsi="Times New Roman"/>
                <w:sz w:val="20"/>
                <w:lang w:eastAsia="fr-FR"/>
              </w:rPr>
              <w:t>0</w:t>
            </w:r>
            <w:r w:rsidRPr="00D029F7">
              <w:rPr>
                <w:rFonts w:ascii="Times New Roman" w:hAnsi="Times New Roman"/>
                <w:sz w:val="20"/>
                <w:vertAlign w:val="subscript"/>
                <w:lang w:eastAsia="fr-FR"/>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w:t>
            </w:r>
            <w:r w:rsidRPr="00D029F7">
              <w:rPr>
                <w:rFonts w:ascii="Times New Roman" w:hAnsi="Times New Roman"/>
                <w:sz w:val="20"/>
                <w:vertAlign w:val="subscript"/>
                <w:lang w:eastAsia="fr-FR"/>
              </w:rPr>
              <w:t>2</w:t>
            </w:r>
            <w:r w:rsidRPr="00D029F7">
              <w:rPr>
                <w:rFonts w:ascii="Times New Roman" w:hAnsi="Times New Roman"/>
                <w:sz w:val="20"/>
                <w:lang w:eastAsia="fr-FR"/>
              </w:rPr>
              <w:t>O</w:t>
            </w:r>
            <w:r w:rsidRPr="00D029F7">
              <w:rPr>
                <w:rFonts w:ascii="Times New Roman" w:hAnsi="Times New Roman"/>
                <w:sz w:val="20"/>
                <w:vertAlign w:val="subscript"/>
                <w:lang w:eastAsia="fr-FR"/>
              </w:rPr>
              <w:t>3</w:t>
            </w:r>
          </w:p>
        </w:tc>
        <w:tc>
          <w:tcPr>
            <w:tcW w:w="0" w:type="auto"/>
            <w:vMerge w:val="restart"/>
            <w:tcBorders>
              <w:top w:val="single" w:sz="4" w:space="0" w:color="auto"/>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Zr</w:t>
            </w:r>
            <w:r w:rsidRPr="00D029F7">
              <w:rPr>
                <w:rFonts w:ascii="Times New Roman" w:hAnsi="Times New Roman"/>
                <w:sz w:val="20"/>
                <w:vertAlign w:val="subscript"/>
                <w:lang w:eastAsia="fr-FR"/>
              </w:rPr>
              <w:t>x</w:t>
            </w:r>
            <w:r w:rsidRPr="00D029F7">
              <w:rPr>
                <w:rFonts w:ascii="Times New Roman" w:hAnsi="Times New Roman"/>
                <w:sz w:val="20"/>
                <w:lang w:eastAsia="fr-FR"/>
              </w:rPr>
              <w:t>O</w:t>
            </w:r>
            <w:r w:rsidRPr="00D029F7">
              <w:rPr>
                <w:rFonts w:ascii="Times New Roman" w:hAnsi="Times New Roman"/>
                <w:sz w:val="20"/>
                <w:vertAlign w:val="subscript"/>
                <w:lang w:eastAsia="fr-FR"/>
              </w:rPr>
              <w:t>y</w:t>
            </w:r>
            <w:r w:rsidRPr="00D029F7">
              <w:rPr>
                <w:rFonts w:ascii="Times New Roman" w:hAnsi="Times New Roman"/>
                <w:sz w:val="20"/>
                <w:lang w:eastAsia="fr-FR"/>
              </w:rPr>
              <w:t>F</w:t>
            </w:r>
            <w:r w:rsidRPr="00D029F7">
              <w:rPr>
                <w:rFonts w:ascii="Times New Roman" w:hAnsi="Times New Roman"/>
                <w:sz w:val="20"/>
                <w:vertAlign w:val="subscript"/>
                <w:lang w:eastAsia="fr-FR"/>
              </w:rPr>
              <w:t>z</w:t>
            </w:r>
          </w:p>
        </w:tc>
        <w:tc>
          <w:tcPr>
            <w:tcW w:w="0" w:type="auto"/>
            <w:vMerge w:val="restart"/>
            <w:tcBorders>
              <w:top w:val="single" w:sz="4" w:space="0" w:color="auto"/>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Zr</w:t>
            </w:r>
            <w:r w:rsidRPr="00D029F7">
              <w:rPr>
                <w:rFonts w:ascii="Times New Roman" w:hAnsi="Times New Roman"/>
                <w:sz w:val="20"/>
                <w:vertAlign w:val="subscript"/>
                <w:lang w:eastAsia="fr-FR"/>
              </w:rPr>
              <w:t>x</w:t>
            </w:r>
            <w:r w:rsidRPr="00D029F7">
              <w:rPr>
                <w:rFonts w:ascii="Times New Roman" w:hAnsi="Times New Roman"/>
                <w:sz w:val="20"/>
                <w:lang w:eastAsia="fr-FR"/>
              </w:rPr>
              <w:t>O</w:t>
            </w:r>
            <w:r w:rsidRPr="00D029F7">
              <w:rPr>
                <w:rFonts w:ascii="Times New Roman" w:hAnsi="Times New Roman"/>
                <w:sz w:val="20"/>
                <w:vertAlign w:val="subscript"/>
                <w:lang w:eastAsia="fr-FR"/>
              </w:rPr>
              <w:t>y</w:t>
            </w:r>
            <w:r w:rsidRPr="00D029F7">
              <w:rPr>
                <w:rFonts w:ascii="Times New Roman" w:hAnsi="Times New Roman"/>
                <w:sz w:val="20"/>
                <w:lang w:eastAsia="fr-FR"/>
              </w:rPr>
              <w:t>F</w:t>
            </w:r>
            <w:r w:rsidRPr="00D029F7">
              <w:rPr>
                <w:rFonts w:ascii="Times New Roman" w:hAnsi="Times New Roman"/>
                <w:sz w:val="20"/>
                <w:vertAlign w:val="subscript"/>
                <w:lang w:eastAsia="fr-FR"/>
              </w:rPr>
              <w:t>z</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Zr</w:t>
            </w:r>
            <w:r w:rsidRPr="00D029F7">
              <w:rPr>
                <w:rFonts w:ascii="Times New Roman" w:hAnsi="Times New Roman"/>
                <w:sz w:val="20"/>
                <w:vertAlign w:val="subscript"/>
                <w:lang w:eastAsia="fr-FR"/>
              </w:rPr>
              <w:t>x</w:t>
            </w:r>
            <w:r w:rsidRPr="00D029F7">
              <w:rPr>
                <w:rFonts w:ascii="Times New Roman" w:hAnsi="Times New Roman"/>
                <w:sz w:val="20"/>
                <w:lang w:eastAsia="fr-FR"/>
              </w:rPr>
              <w:t>O</w:t>
            </w:r>
            <w:r w:rsidRPr="00D029F7">
              <w:rPr>
                <w:rFonts w:ascii="Times New Roman" w:hAnsi="Times New Roman"/>
                <w:sz w:val="20"/>
                <w:vertAlign w:val="subscript"/>
                <w:lang w:eastAsia="fr-FR"/>
              </w:rPr>
              <w:t>y</w:t>
            </w:r>
            <w:r w:rsidRPr="00D029F7">
              <w:rPr>
                <w:rFonts w:ascii="Times New Roman" w:hAnsi="Times New Roman"/>
                <w:sz w:val="20"/>
                <w:lang w:eastAsia="fr-FR"/>
              </w:rPr>
              <w:t>F</w:t>
            </w:r>
            <w:r w:rsidRPr="00D029F7">
              <w:rPr>
                <w:rFonts w:ascii="Times New Roman" w:hAnsi="Times New Roman"/>
                <w:sz w:val="20"/>
                <w:vertAlign w:val="subscript"/>
                <w:lang w:eastAsia="fr-FR"/>
              </w:rPr>
              <w:t>z</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YF</w:t>
            </w:r>
            <w:r w:rsidRPr="00D029F7">
              <w:rPr>
                <w:rFonts w:ascii="Times New Roman" w:hAnsi="Times New Roman"/>
                <w:sz w:val="20"/>
                <w:vertAlign w:val="subscript"/>
                <w:lang w:eastAsia="fr-FR"/>
              </w:rPr>
              <w:t>3</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YF</w:t>
            </w:r>
            <w:r w:rsidRPr="00D029F7">
              <w:rPr>
                <w:rFonts w:ascii="Times New Roman" w:hAnsi="Times New Roman"/>
                <w:sz w:val="20"/>
                <w:vertAlign w:val="subscript"/>
                <w:lang w:eastAsia="fr-FR"/>
              </w:rPr>
              <w:t>3</w:t>
            </w:r>
          </w:p>
        </w:tc>
      </w:tr>
      <w:tr w:rsidR="001E18F2" w:rsidRPr="00D029F7" w:rsidTr="00B96D2F">
        <w:trPr>
          <w:trHeight w:val="425"/>
        </w:trPr>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rPr>
            </w:pPr>
            <w:r w:rsidRPr="00D029F7">
              <w:rPr>
                <w:rFonts w:ascii="Times New Roman" w:hAnsi="Times New Roman"/>
                <w:sz w:val="20"/>
                <w:lang w:eastAsia="fr-FR"/>
              </w:rPr>
              <w:t>Al</w:t>
            </w:r>
            <w:r w:rsidRPr="00D029F7">
              <w:rPr>
                <w:rFonts w:ascii="Times New Roman" w:hAnsi="Times New Roman"/>
                <w:sz w:val="20"/>
                <w:vertAlign w:val="subscript"/>
                <w:lang w:eastAsia="fr-FR"/>
              </w:rPr>
              <w:t>2</w:t>
            </w:r>
            <w:r w:rsidRPr="00D029F7">
              <w:rPr>
                <w:rFonts w:ascii="Times New Roman" w:hAnsi="Times New Roman"/>
                <w:sz w:val="20"/>
                <w:lang w:eastAsia="fr-FR"/>
              </w:rPr>
              <w:t>0</w:t>
            </w:r>
            <w:r w:rsidRPr="00D029F7">
              <w:rPr>
                <w:rFonts w:ascii="Times New Roman" w:hAnsi="Times New Roman"/>
                <w:sz w:val="20"/>
                <w:vertAlign w:val="subscript"/>
                <w:lang w:eastAsia="fr-FR"/>
              </w:rPr>
              <w:t>3</w:t>
            </w:r>
            <w:r w:rsidRPr="00D029F7">
              <w:rPr>
                <w:rFonts w:ascii="Times New Roman" w:hAnsi="Times New Roman"/>
                <w:sz w:val="20"/>
                <w:lang w:eastAsia="fr-FR"/>
              </w:rPr>
              <w:t xml:space="preserve"> / ZrO</w:t>
            </w:r>
            <w:r w:rsidRPr="00D029F7">
              <w:rPr>
                <w:rFonts w:ascii="Times New Roman" w:hAnsi="Times New Roman"/>
                <w:sz w:val="20"/>
                <w:vertAlign w:val="subscript"/>
                <w:lang w:eastAsia="fr-FR"/>
              </w:rPr>
              <w:t>2</w:t>
            </w:r>
          </w:p>
        </w:tc>
        <w:tc>
          <w:tcPr>
            <w:tcW w:w="0" w:type="auto"/>
            <w:vMerge/>
            <w:tcBorders>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r>
      <w:tr w:rsidR="001E18F2" w:rsidRPr="00D029F7" w:rsidTr="00B96D2F">
        <w:trPr>
          <w:trHeight w:val="425"/>
        </w:trPr>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single" w:sz="4" w:space="0" w:color="auto"/>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rPr>
              <w:t>H</w:t>
            </w:r>
            <w:r w:rsidRPr="00D029F7">
              <w:rPr>
                <w:rFonts w:ascii="Times New Roman" w:hAnsi="Times New Roman"/>
                <w:sz w:val="20"/>
                <w:vertAlign w:val="subscript"/>
              </w:rPr>
              <w:t>2</w:t>
            </w:r>
            <w:r w:rsidRPr="00D029F7">
              <w:rPr>
                <w:rFonts w:ascii="Times New Roman" w:hAnsi="Times New Roman"/>
                <w:sz w:val="20"/>
              </w:rPr>
              <w:t xml:space="preserve">O </w:t>
            </w:r>
            <w:r w:rsidRPr="00D029F7">
              <w:rPr>
                <w:rFonts w:ascii="Times New Roman" w:hAnsi="Times New Roman"/>
                <w:sz w:val="20"/>
                <w:lang w:eastAsia="fr-FR"/>
              </w:rPr>
              <w:t>or hydroxide</w:t>
            </w:r>
          </w:p>
        </w:tc>
        <w:tc>
          <w:tcPr>
            <w:tcW w:w="0" w:type="auto"/>
            <w:vMerge/>
            <w:tcBorders>
              <w:left w:val="nil"/>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r>
      <w:tr w:rsidR="001E18F2" w:rsidRPr="00D029F7" w:rsidTr="00B96D2F">
        <w:trPr>
          <w:trHeight w:val="510"/>
        </w:trPr>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HF + HCl</w:t>
            </w:r>
          </w:p>
        </w:tc>
        <w:tc>
          <w:tcPr>
            <w:tcW w:w="0" w:type="auto"/>
            <w:vMerge w:val="restart"/>
            <w:tcBorders>
              <w:top w:val="single" w:sz="4" w:space="0" w:color="auto"/>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Al</w:t>
            </w:r>
            <w:r w:rsidRPr="00D029F7">
              <w:rPr>
                <w:rFonts w:ascii="Times New Roman" w:hAnsi="Times New Roman"/>
                <w:sz w:val="20"/>
                <w:vertAlign w:val="subscript"/>
                <w:lang w:eastAsia="fr-FR"/>
              </w:rPr>
              <w:t>2</w:t>
            </w:r>
            <w:r w:rsidRPr="00D029F7">
              <w:rPr>
                <w:rFonts w:ascii="Times New Roman" w:hAnsi="Times New Roman"/>
                <w:sz w:val="20"/>
                <w:lang w:eastAsia="fr-FR"/>
              </w:rPr>
              <w:t>0</w:t>
            </w:r>
            <w:r w:rsidRPr="00D029F7">
              <w:rPr>
                <w:rFonts w:ascii="Times New Roman" w:hAnsi="Times New Roman"/>
                <w:sz w:val="20"/>
                <w:vertAlign w:val="subscript"/>
                <w:lang w:eastAsia="fr-FR"/>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w:t>
            </w:r>
            <w:r w:rsidRPr="00D029F7">
              <w:rPr>
                <w:rFonts w:ascii="Times New Roman" w:hAnsi="Times New Roman"/>
                <w:sz w:val="20"/>
                <w:vertAlign w:val="subscript"/>
                <w:lang w:eastAsia="fr-FR"/>
              </w:rPr>
              <w:t>2</w:t>
            </w:r>
            <w:r w:rsidRPr="00D029F7">
              <w:rPr>
                <w:rFonts w:ascii="Times New Roman" w:hAnsi="Times New Roman"/>
                <w:sz w:val="20"/>
                <w:lang w:eastAsia="fr-FR"/>
              </w:rPr>
              <w:t>O</w:t>
            </w:r>
            <w:r w:rsidRPr="00D029F7">
              <w:rPr>
                <w:rFonts w:ascii="Times New Roman" w:hAnsi="Times New Roman"/>
                <w:sz w:val="20"/>
                <w:vertAlign w:val="subscript"/>
                <w:lang w:eastAsia="fr-FR"/>
              </w:rPr>
              <w:t>3</w:t>
            </w:r>
            <w:r w:rsidRPr="00D029F7">
              <w:rPr>
                <w:rFonts w:ascii="Times New Roman" w:hAnsi="Times New Roman"/>
                <w:sz w:val="20"/>
                <w:lang w:eastAsia="fr-FR"/>
              </w:rPr>
              <w:t xml:space="preserve"> </w:t>
            </w:r>
            <w:r w:rsidRPr="00D029F7">
              <w:rPr>
                <w:rFonts w:ascii="Times New Roman" w:hAnsi="Times New Roman"/>
                <w:noProof/>
                <w:sz w:val="20"/>
                <w:lang w:eastAsia="fr-FR"/>
              </w:rPr>
              <w:t>[66]</w:t>
            </w:r>
          </w:p>
        </w:tc>
        <w:tc>
          <w:tcPr>
            <w:tcW w:w="0" w:type="auto"/>
            <w:vMerge w:val="restart"/>
            <w:tcBorders>
              <w:top w:val="single" w:sz="4" w:space="0" w:color="auto"/>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ZrF</w:t>
            </w:r>
            <w:r w:rsidRPr="00D029F7">
              <w:rPr>
                <w:rFonts w:ascii="Times New Roman" w:hAnsi="Times New Roman"/>
                <w:sz w:val="20"/>
                <w:vertAlign w:val="subscript"/>
                <w:lang w:eastAsia="fr-FR"/>
              </w:rPr>
              <w:t>4</w:t>
            </w:r>
            <w:r w:rsidRPr="00D029F7">
              <w:rPr>
                <w:rFonts w:ascii="Times New Roman" w:hAnsi="Times New Roman"/>
                <w:sz w:val="20"/>
                <w:lang w:eastAsia="fr-FR"/>
              </w:rPr>
              <w:t xml:space="preserve"> or</w:t>
            </w:r>
          </w:p>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YF</w:t>
            </w:r>
            <w:r w:rsidRPr="00D029F7">
              <w:rPr>
                <w:rFonts w:ascii="Times New Roman" w:hAnsi="Times New Roman"/>
                <w:sz w:val="20"/>
                <w:vertAlign w:val="subscript"/>
                <w:lang w:eastAsia="fr-FR"/>
              </w:rPr>
              <w:t>3</w:t>
            </w:r>
          </w:p>
        </w:tc>
        <w:tc>
          <w:tcPr>
            <w:tcW w:w="0" w:type="auto"/>
            <w:vMerge w:val="restart"/>
            <w:tcBorders>
              <w:top w:val="single" w:sz="4" w:space="0" w:color="auto"/>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ZrO</w:t>
            </w:r>
            <w:r w:rsidRPr="00D029F7">
              <w:rPr>
                <w:rFonts w:ascii="Times New Roman" w:hAnsi="Times New Roman"/>
                <w:sz w:val="20"/>
                <w:vertAlign w:val="subscript"/>
                <w:lang w:eastAsia="fr-FR"/>
              </w:rPr>
              <w:t>2</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ZrO</w:t>
            </w:r>
            <w:r w:rsidRPr="00D029F7">
              <w:rPr>
                <w:rFonts w:ascii="Times New Roman" w:hAnsi="Times New Roman"/>
                <w:sz w:val="20"/>
                <w:vertAlign w:val="subscript"/>
                <w:lang w:eastAsia="fr-FR"/>
              </w:rPr>
              <w:t>2</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YF</w:t>
            </w:r>
            <w:r w:rsidRPr="00D029F7">
              <w:rPr>
                <w:rFonts w:ascii="Times New Roman" w:hAnsi="Times New Roman"/>
                <w:sz w:val="20"/>
                <w:vertAlign w:val="subscript"/>
                <w:lang w:eastAsia="fr-FR"/>
              </w:rPr>
              <w:t>3</w:t>
            </w:r>
          </w:p>
        </w:tc>
        <w:tc>
          <w:tcPr>
            <w:tcW w:w="0" w:type="auto"/>
            <w:vMerge w:val="restart"/>
            <w:tcBorders>
              <w:top w:val="single" w:sz="4" w:space="0" w:color="auto"/>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YF</w:t>
            </w:r>
            <w:r w:rsidRPr="00D029F7">
              <w:rPr>
                <w:rFonts w:ascii="Times New Roman" w:hAnsi="Times New Roman"/>
                <w:sz w:val="20"/>
                <w:vertAlign w:val="subscript"/>
                <w:lang w:eastAsia="fr-FR"/>
              </w:rPr>
              <w:t>3</w:t>
            </w:r>
          </w:p>
        </w:tc>
      </w:tr>
      <w:tr w:rsidR="001E18F2" w:rsidRPr="00D029F7" w:rsidTr="00B96D2F">
        <w:trPr>
          <w:trHeight w:val="510"/>
        </w:trPr>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lang w:eastAsia="fr-FR"/>
              </w:rPr>
              <w:t>Al</w:t>
            </w:r>
            <w:r w:rsidRPr="00D029F7">
              <w:rPr>
                <w:rFonts w:ascii="Times New Roman" w:hAnsi="Times New Roman"/>
                <w:sz w:val="20"/>
                <w:vertAlign w:val="subscript"/>
                <w:lang w:eastAsia="fr-FR"/>
              </w:rPr>
              <w:t>2</w:t>
            </w:r>
            <w:r w:rsidRPr="00D029F7">
              <w:rPr>
                <w:rFonts w:ascii="Times New Roman" w:hAnsi="Times New Roman"/>
                <w:sz w:val="20"/>
                <w:lang w:eastAsia="fr-FR"/>
              </w:rPr>
              <w:t>0</w:t>
            </w:r>
            <w:r w:rsidRPr="00D029F7">
              <w:rPr>
                <w:rFonts w:ascii="Times New Roman" w:hAnsi="Times New Roman"/>
                <w:sz w:val="20"/>
                <w:vertAlign w:val="subscript"/>
                <w:lang w:eastAsia="fr-FR"/>
              </w:rPr>
              <w:t>3</w:t>
            </w:r>
            <w:r w:rsidRPr="00D029F7">
              <w:rPr>
                <w:rFonts w:ascii="Times New Roman" w:hAnsi="Times New Roman"/>
                <w:sz w:val="20"/>
                <w:lang w:eastAsia="fr-FR"/>
              </w:rPr>
              <w:t xml:space="preserve"> / ZrO</w:t>
            </w:r>
            <w:r w:rsidRPr="00D029F7">
              <w:rPr>
                <w:rFonts w:ascii="Times New Roman" w:hAnsi="Times New Roman"/>
                <w:sz w:val="20"/>
                <w:vertAlign w:val="subscript"/>
                <w:lang w:eastAsia="fr-FR"/>
              </w:rPr>
              <w:t>2</w:t>
            </w:r>
          </w:p>
        </w:tc>
        <w:tc>
          <w:tcPr>
            <w:tcW w:w="0" w:type="auto"/>
            <w:vMerge/>
            <w:tcBorders>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r>
      <w:tr w:rsidR="001E18F2" w:rsidRPr="00D029F7" w:rsidTr="00B96D2F">
        <w:trPr>
          <w:trHeight w:val="510"/>
        </w:trPr>
        <w:tc>
          <w:tcPr>
            <w:tcW w:w="0" w:type="auto"/>
            <w:vMerge/>
            <w:tcBorders>
              <w:left w:val="single" w:sz="4" w:space="0" w:color="auto"/>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single" w:sz="4" w:space="0" w:color="auto"/>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r w:rsidRPr="00D029F7">
              <w:rPr>
                <w:rFonts w:ascii="Times New Roman" w:hAnsi="Times New Roman"/>
                <w:sz w:val="20"/>
              </w:rPr>
              <w:t>H</w:t>
            </w:r>
            <w:r w:rsidRPr="00D029F7">
              <w:rPr>
                <w:rFonts w:ascii="Times New Roman" w:hAnsi="Times New Roman"/>
                <w:sz w:val="20"/>
                <w:vertAlign w:val="subscript"/>
              </w:rPr>
              <w:t>2</w:t>
            </w:r>
            <w:r w:rsidRPr="00D029F7">
              <w:rPr>
                <w:rFonts w:ascii="Times New Roman" w:hAnsi="Times New Roman"/>
                <w:sz w:val="20"/>
              </w:rPr>
              <w:t>O</w:t>
            </w:r>
            <w:r w:rsidRPr="00D029F7">
              <w:rPr>
                <w:rFonts w:ascii="Times New Roman" w:hAnsi="Times New Roman"/>
                <w:sz w:val="20"/>
                <w:lang w:eastAsia="fr-FR"/>
              </w:rPr>
              <w:t xml:space="preserve"> or hydroxide</w:t>
            </w:r>
          </w:p>
        </w:tc>
        <w:tc>
          <w:tcPr>
            <w:tcW w:w="0" w:type="auto"/>
            <w:vMerge/>
            <w:tcBorders>
              <w:left w:val="nil"/>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shd w:val="clear" w:color="auto" w:fill="auto"/>
            <w:noWrap/>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c>
          <w:tcPr>
            <w:tcW w:w="0" w:type="auto"/>
            <w:vMerge/>
            <w:tcBorders>
              <w:left w:val="nil"/>
              <w:bottom w:val="single" w:sz="4" w:space="0" w:color="auto"/>
              <w:right w:val="single" w:sz="4" w:space="0" w:color="auto"/>
            </w:tcBorders>
            <w:vAlign w:val="center"/>
          </w:tcPr>
          <w:p w:rsidR="001E18F2" w:rsidRPr="00D029F7" w:rsidRDefault="001E18F2" w:rsidP="00B96D2F">
            <w:pPr>
              <w:spacing w:after="0"/>
              <w:jc w:val="center"/>
              <w:rPr>
                <w:rFonts w:ascii="Times New Roman" w:hAnsi="Times New Roman"/>
                <w:sz w:val="20"/>
                <w:lang w:eastAsia="fr-FR"/>
              </w:rPr>
            </w:pPr>
          </w:p>
        </w:tc>
      </w:tr>
    </w:tbl>
    <w:p w:rsidR="001E18F2" w:rsidRPr="00D029F7" w:rsidRDefault="001E18F2" w:rsidP="001E18F2">
      <w:pPr>
        <w:spacing w:line="480" w:lineRule="auto"/>
        <w:rPr>
          <w:rFonts w:ascii="Times New Roman" w:hAnsi="Times New Roman"/>
          <w:sz w:val="20"/>
        </w:rPr>
      </w:pPr>
      <w:r w:rsidRPr="00D029F7">
        <w:rPr>
          <w:rFonts w:ascii="Times New Roman" w:hAnsi="Times New Roman"/>
          <w:sz w:val="20"/>
        </w:rPr>
        <w:t>YSZ: Yttria stabilized zirconia</w:t>
      </w:r>
    </w:p>
    <w:p w:rsidR="001E18F2" w:rsidRPr="00D029F7" w:rsidRDefault="001E18F2" w:rsidP="001E18F2">
      <w:pPr>
        <w:jc w:val="center"/>
        <w:rPr>
          <w:rFonts w:ascii="Times New Roman" w:hAnsi="Times New Roman"/>
        </w:rPr>
      </w:pPr>
      <w:r w:rsidRPr="00D029F7">
        <w:rPr>
          <w:rFonts w:ascii="Times New Roman" w:hAnsi="Times New Roman"/>
          <w:noProof/>
          <w:lang w:val="en-GB" w:eastAsia="en-GB"/>
        </w:rPr>
        <w:lastRenderedPageBreak/>
        <w:drawing>
          <wp:inline distT="0" distB="0" distL="0" distR="0" wp14:anchorId="75D67B23" wp14:editId="403ED950">
            <wp:extent cx="5989127" cy="6181725"/>
            <wp:effectExtent l="0" t="0" r="0" b="0"/>
            <wp:docPr id="5" name="Imagen 5" descr="C:\Users\Quentin Flamant\Documents\Rapport-articles\Selective etching ZTA\Figures\Figure 5 - FIB-tomograph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uentin Flamant\Documents\Rapport-articles\Selective etching ZTA\Figures\Figure 5 - FIB-tomography.tif"/>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6008190" cy="6201401"/>
                    </a:xfrm>
                    <a:prstGeom prst="rect">
                      <a:avLst/>
                    </a:prstGeom>
                    <a:noFill/>
                    <a:ln>
                      <a:noFill/>
                    </a:ln>
                  </pic:spPr>
                </pic:pic>
              </a:graphicData>
            </a:graphic>
          </wp:inline>
        </w:drawing>
      </w:r>
    </w:p>
    <w:p w:rsidR="001E18F2" w:rsidRPr="00D029F7" w:rsidRDefault="001E18F2" w:rsidP="001E18F2">
      <w:pPr>
        <w:spacing w:line="276" w:lineRule="auto"/>
        <w:rPr>
          <w:rFonts w:ascii="Times New Roman" w:hAnsi="Times New Roman"/>
        </w:rPr>
      </w:pPr>
      <w:bookmarkStart w:id="14" w:name="_Ref443093268"/>
      <w:r w:rsidRPr="00D029F7">
        <w:rPr>
          <w:rFonts w:ascii="Times New Roman" w:hAnsi="Times New Roman"/>
          <w:b/>
          <w:szCs w:val="24"/>
        </w:rPr>
        <w:t xml:space="preserve">Figure </w:t>
      </w:r>
      <w:r w:rsidRPr="00D029F7">
        <w:rPr>
          <w:rFonts w:ascii="Times New Roman" w:hAnsi="Times New Roman"/>
          <w:b/>
          <w:noProof/>
          <w:szCs w:val="24"/>
        </w:rPr>
        <w:t>6</w:t>
      </w:r>
      <w:bookmarkEnd w:id="14"/>
      <w:r w:rsidRPr="00D029F7">
        <w:rPr>
          <w:rFonts w:ascii="Times New Roman" w:hAnsi="Times New Roman"/>
          <w:b/>
          <w:szCs w:val="24"/>
        </w:rPr>
        <w:t>.</w:t>
      </w:r>
      <w:r w:rsidRPr="00D029F7">
        <w:rPr>
          <w:rFonts w:ascii="Times New Roman" w:hAnsi="Times New Roman"/>
          <w:szCs w:val="24"/>
        </w:rPr>
        <w:t xml:space="preserve"> </w:t>
      </w:r>
      <w:r w:rsidRPr="00D029F7">
        <w:rPr>
          <w:rFonts w:ascii="Times New Roman" w:hAnsi="Times New Roman"/>
        </w:rPr>
        <w:t>a) FIB cross-sections of polished zirconia toughened alumina samples after 6 h (left), 24 h (middle) and 48 h (right) of immersion in HF, evidencing the progressive removal of zirconia over time (zirconia appears in white, alumina in grey and pores in black); b) FIB/SEM tomography of the surface after selective etching (4 days): external view (left), internal structure with pores in black and zirconia in white (middle), skeleton of the porous structure (right); c) evolution of the porous layer thickness over time for a polished surface. Error bars represent the combined standard deviations of single samples; d) local radius distribution of the porous structure.</w:t>
      </w:r>
    </w:p>
    <w:p w:rsidR="001E18F2" w:rsidRPr="00D029F7" w:rsidRDefault="001E18F2" w:rsidP="001E18F2">
      <w:pPr>
        <w:spacing w:after="0"/>
        <w:jc w:val="left"/>
        <w:rPr>
          <w:rFonts w:ascii="Times New Roman" w:hAnsi="Times New Roman"/>
        </w:rPr>
      </w:pPr>
      <w:r w:rsidRPr="00D029F7">
        <w:rPr>
          <w:rFonts w:ascii="Times New Roman" w:hAnsi="Times New Roman"/>
        </w:rPr>
        <w:br w:type="page"/>
      </w:r>
    </w:p>
    <w:p w:rsidR="001E18F2" w:rsidRPr="00D029F7" w:rsidRDefault="001E18F2" w:rsidP="001E18F2">
      <w:pPr>
        <w:pStyle w:val="ListParagraph"/>
        <w:numPr>
          <w:ilvl w:val="1"/>
          <w:numId w:val="9"/>
        </w:numPr>
        <w:spacing w:line="480" w:lineRule="auto"/>
        <w:ind w:left="426"/>
        <w:rPr>
          <w:rFonts w:ascii="Times New Roman" w:eastAsia="Times New Roman" w:hAnsi="Times New Roman"/>
          <w:b/>
          <w:sz w:val="24"/>
          <w:szCs w:val="24"/>
          <w:lang w:val="en-US"/>
        </w:rPr>
      </w:pPr>
      <w:r w:rsidRPr="00D029F7">
        <w:rPr>
          <w:rFonts w:ascii="Times New Roman" w:eastAsia="Times New Roman" w:hAnsi="Times New Roman"/>
          <w:b/>
          <w:sz w:val="24"/>
          <w:szCs w:val="24"/>
          <w:lang w:val="en-US"/>
        </w:rPr>
        <w:lastRenderedPageBreak/>
        <w:t>Proof of concept: use of the porous layer as a carrier for drug delivery</w:t>
      </w:r>
    </w:p>
    <w:p w:rsidR="001E18F2" w:rsidRPr="00D029F7" w:rsidRDefault="001E18F2" w:rsidP="001E18F2">
      <w:pPr>
        <w:spacing w:line="480" w:lineRule="auto"/>
        <w:ind w:left="63" w:firstLine="504"/>
        <w:rPr>
          <w:rFonts w:ascii="Times New Roman" w:hAnsi="Times New Roman"/>
          <w:szCs w:val="24"/>
        </w:rPr>
      </w:pPr>
      <w:r w:rsidRPr="00D029F7">
        <w:rPr>
          <w:rFonts w:ascii="Times New Roman" w:hAnsi="Times New Roman"/>
          <w:szCs w:val="24"/>
        </w:rPr>
        <w:t>It was found that the thickness of the porous layer strongly depended on the surface state. In particular the layer was much thicker on the back surface of the disks, which was ground after sintering (see supplementary information), possibly because of combined effects of residual stresses and machining defects. Because this surface has to be taken into account for the release, each sample used for drug delivery was cross-sectioned and observed following the procedure described in 2.3.4 and the thickness value was reported as an average over the whole specimen (Figure 7).</w:t>
      </w:r>
    </w:p>
    <w:p w:rsidR="001E18F2" w:rsidRPr="00D029F7" w:rsidRDefault="001E18F2" w:rsidP="001E18F2">
      <w:pPr>
        <w:spacing w:line="480" w:lineRule="auto"/>
        <w:ind w:left="-6" w:firstLine="366"/>
        <w:rPr>
          <w:rFonts w:ascii="Times New Roman" w:hAnsi="Times New Roman"/>
          <w:szCs w:val="24"/>
        </w:rPr>
      </w:pPr>
      <w:r w:rsidRPr="00D029F7">
        <w:rPr>
          <w:rFonts w:ascii="Times New Roman" w:hAnsi="Times New Roman"/>
          <w:szCs w:val="24"/>
        </w:rPr>
        <w:t>Impregnation of the samples with gentamicin solution led to small quantities of drug loaded and released (about 16 µg/sample which corresponds to 2 µg/cm</w:t>
      </w:r>
      <w:r w:rsidRPr="00D029F7">
        <w:rPr>
          <w:rFonts w:ascii="Times New Roman" w:hAnsi="Times New Roman"/>
          <w:szCs w:val="24"/>
          <w:vertAlign w:val="superscript"/>
        </w:rPr>
        <w:t>2</w:t>
      </w:r>
      <w:r w:rsidRPr="00D029F7">
        <w:rPr>
          <w:rFonts w:ascii="Times New Roman" w:hAnsi="Times New Roman"/>
          <w:szCs w:val="24"/>
        </w:rPr>
        <w:t>), and there was no substantial influence of the porous layer thickness (Figure 7-a). This is probably due to the fact that alumina surface and gentamicin are both positively charged, which leads to poor adsorption. Liposome encapsulation enabled an increased amount of gentamicin loaded (up to about 80 µg which corresponds to 10 µg/cm</w:t>
      </w:r>
      <w:r w:rsidRPr="00D029F7">
        <w:rPr>
          <w:rFonts w:ascii="Times New Roman" w:hAnsi="Times New Roman"/>
          <w:szCs w:val="24"/>
          <w:vertAlign w:val="superscript"/>
        </w:rPr>
        <w:t>2</w:t>
      </w:r>
      <w:r w:rsidRPr="00D029F7">
        <w:rPr>
          <w:rFonts w:ascii="Times New Roman" w:hAnsi="Times New Roman"/>
          <w:szCs w:val="24"/>
        </w:rPr>
        <w:t>), and the quantity loaded and released was roughly proportional to the porous layer thickness (Figure 7-b). This likely results from the higher affinity of the lipid to the alumina surface, as attested by quartz crystal microbalance measurements (see supplementary information), and from the greater size of the liposomes compared to the free gentamicin, which may thus remain trapped in the pores.</w:t>
      </w:r>
    </w:p>
    <w:p w:rsidR="001E18F2" w:rsidRPr="00D029F7" w:rsidRDefault="001E18F2" w:rsidP="001E18F2">
      <w:pPr>
        <w:spacing w:line="480" w:lineRule="auto"/>
        <w:ind w:left="-6" w:firstLine="366"/>
        <w:rPr>
          <w:rFonts w:ascii="Times New Roman" w:hAnsi="Times New Roman"/>
          <w:szCs w:val="24"/>
        </w:rPr>
      </w:pPr>
      <w:r w:rsidRPr="00D029F7">
        <w:rPr>
          <w:rFonts w:ascii="Times New Roman" w:hAnsi="Times New Roman"/>
          <w:szCs w:val="24"/>
        </w:rPr>
        <w:t xml:space="preserve">Bacteria cultures evidenced two effects (Figure 7-c,d). On the one hand the selectively etched surface reduced the bacterial adhesion as compared to the “as sintered” surface, even in the absence of loaded antibiotic (surface area covered by living </w:t>
      </w:r>
      <w:r w:rsidRPr="00D029F7">
        <w:rPr>
          <w:rFonts w:ascii="Times New Roman" w:hAnsi="Times New Roman"/>
          <w:i/>
          <w:szCs w:val="24"/>
        </w:rPr>
        <w:t xml:space="preserve">E. coli </w:t>
      </w:r>
      <w:r w:rsidRPr="00D029F7">
        <w:rPr>
          <w:rFonts w:ascii="Times New Roman" w:hAnsi="Times New Roman"/>
          <w:szCs w:val="24"/>
        </w:rPr>
        <w:t xml:space="preserve">after 4 h: 5 % vs. 12 %). On the other hand, samples loaded with gentamicin-encapsulated liposomes limited the growth of bacteria in </w:t>
      </w:r>
      <w:r w:rsidRPr="00D029F7">
        <w:rPr>
          <w:rFonts w:ascii="Times New Roman" w:hAnsi="Times New Roman"/>
          <w:szCs w:val="24"/>
        </w:rPr>
        <w:lastRenderedPageBreak/>
        <w:t xml:space="preserve">the medium and consequently reduced the surface area covered by living </w:t>
      </w:r>
      <w:r w:rsidRPr="00D029F7">
        <w:rPr>
          <w:rFonts w:ascii="Times New Roman" w:hAnsi="Times New Roman"/>
          <w:i/>
          <w:szCs w:val="24"/>
        </w:rPr>
        <w:t>E. coli</w:t>
      </w:r>
      <w:r w:rsidRPr="00D029F7">
        <w:rPr>
          <w:rFonts w:ascii="Times New Roman" w:hAnsi="Times New Roman"/>
          <w:szCs w:val="24"/>
        </w:rPr>
        <w:t xml:space="preserve"> as compared to non-loaded specimens (bacterial concentration after 4 h: 2.8x10</w:t>
      </w:r>
      <w:r w:rsidRPr="00D029F7">
        <w:rPr>
          <w:rFonts w:ascii="Times New Roman" w:hAnsi="Times New Roman"/>
          <w:szCs w:val="24"/>
          <w:vertAlign w:val="superscript"/>
        </w:rPr>
        <w:t>7</w:t>
      </w:r>
      <w:r w:rsidRPr="00D029F7">
        <w:rPr>
          <w:rFonts w:ascii="Times New Roman" w:hAnsi="Times New Roman"/>
          <w:szCs w:val="24"/>
        </w:rPr>
        <w:t xml:space="preserve"> cells/mL vs. 1.8x10</w:t>
      </w:r>
      <w:r w:rsidRPr="00D029F7">
        <w:rPr>
          <w:rFonts w:ascii="Times New Roman" w:hAnsi="Times New Roman"/>
          <w:szCs w:val="24"/>
          <w:vertAlign w:val="superscript"/>
        </w:rPr>
        <w:t>8</w:t>
      </w:r>
      <w:r w:rsidRPr="00D029F7">
        <w:rPr>
          <w:rFonts w:ascii="Times New Roman" w:hAnsi="Times New Roman"/>
          <w:szCs w:val="24"/>
        </w:rPr>
        <w:t xml:space="preserve"> cells/mL; surface area covered by living </w:t>
      </w:r>
      <w:r w:rsidRPr="00D029F7">
        <w:rPr>
          <w:rFonts w:ascii="Times New Roman" w:hAnsi="Times New Roman"/>
          <w:i/>
          <w:szCs w:val="24"/>
        </w:rPr>
        <w:t xml:space="preserve">E. coli </w:t>
      </w:r>
      <w:r w:rsidRPr="00D029F7">
        <w:rPr>
          <w:rFonts w:ascii="Times New Roman" w:hAnsi="Times New Roman"/>
          <w:szCs w:val="24"/>
        </w:rPr>
        <w:t>after 4 h: 0.4 % vs. 5 %).</w:t>
      </w:r>
    </w:p>
    <w:p w:rsidR="001E18F2" w:rsidRPr="00D029F7" w:rsidRDefault="001E18F2" w:rsidP="001E18F2">
      <w:pPr>
        <w:pStyle w:val="ListParagraph"/>
        <w:numPr>
          <w:ilvl w:val="1"/>
          <w:numId w:val="9"/>
        </w:numPr>
        <w:spacing w:line="480" w:lineRule="auto"/>
        <w:ind w:left="426"/>
        <w:rPr>
          <w:rFonts w:ascii="Times New Roman" w:eastAsia="Times New Roman" w:hAnsi="Times New Roman"/>
          <w:b/>
          <w:sz w:val="24"/>
          <w:szCs w:val="24"/>
          <w:lang w:val="en-US"/>
        </w:rPr>
      </w:pPr>
      <w:r w:rsidRPr="00D029F7">
        <w:rPr>
          <w:rFonts w:ascii="Times New Roman" w:eastAsia="Times New Roman" w:hAnsi="Times New Roman"/>
          <w:b/>
          <w:sz w:val="24"/>
          <w:szCs w:val="24"/>
          <w:lang w:val="en-US"/>
        </w:rPr>
        <w:t>Impact of selective etching on reliability</w:t>
      </w:r>
    </w:p>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r w:rsidRPr="00D029F7">
        <w:rPr>
          <w:rFonts w:ascii="Times New Roman" w:eastAsia="Times New Roman" w:hAnsi="Times New Roman"/>
          <w:i/>
          <w:sz w:val="24"/>
          <w:szCs w:val="24"/>
          <w:lang w:val="en-US"/>
        </w:rPr>
        <w:t>Contact behavior and mechanical properties of the porous layer</w:t>
      </w:r>
    </w:p>
    <w:p w:rsidR="001E18F2" w:rsidRPr="00D029F7" w:rsidRDefault="001E18F2" w:rsidP="001E18F2">
      <w:pPr>
        <w:spacing w:line="480" w:lineRule="auto"/>
        <w:ind w:firstLine="426"/>
        <w:rPr>
          <w:rFonts w:ascii="Times New Roman" w:hAnsi="Times New Roman"/>
          <w:szCs w:val="24"/>
        </w:rPr>
      </w:pPr>
      <w:r w:rsidRPr="00D029F7">
        <w:rPr>
          <w:rFonts w:ascii="Times New Roman" w:hAnsi="Times New Roman"/>
          <w:szCs w:val="24"/>
        </w:rPr>
        <w:t>Indentation hardness vs. strain analytical curves showed a plateau at 8 GPa for the selectively etched sample and 20 GPa for the polished sample (see supplementary information). The observation of the surface and cross-section of an indentation demonstrated that the deformation of the porous layer was quasi-plastic with a limited elastic recovery (Figure 8-a,b,c). No cracks were detected on the surface around the indent and densification could be observed below the residual imprint, which justifies the introduction of a cap in the Drucker-Prager plasticity model. The inverse FE identification carried out with the different experimental curves led to stable values for the elastic modulus (</w:t>
      </w:r>
      <w:r w:rsidRPr="00D029F7">
        <w:rPr>
          <w:rFonts w:ascii="Times New Roman" w:hAnsi="Times New Roman"/>
          <w:i/>
          <w:szCs w:val="24"/>
        </w:rPr>
        <w:t>E</w:t>
      </w:r>
      <w:r w:rsidRPr="00D029F7">
        <w:rPr>
          <w:rFonts w:ascii="Times New Roman" w:hAnsi="Times New Roman"/>
          <w:szCs w:val="24"/>
        </w:rPr>
        <w:t>) and the yield stress in simple compression (</w:t>
      </w:r>
      <w:r w:rsidRPr="00D029F7">
        <w:rPr>
          <w:rFonts w:ascii="Times New Roman" w:hAnsi="Times New Roman"/>
          <w:i/>
        </w:rPr>
        <w:t>σ</w:t>
      </w:r>
      <w:r w:rsidRPr="00D029F7">
        <w:rPr>
          <w:rFonts w:ascii="Times New Roman" w:hAnsi="Times New Roman"/>
          <w:i/>
          <w:vertAlign w:val="subscript"/>
        </w:rPr>
        <w:t>c</w:t>
      </w:r>
      <w:r w:rsidRPr="00D029F7">
        <w:rPr>
          <w:rFonts w:ascii="Times New Roman" w:hAnsi="Times New Roman"/>
        </w:rPr>
        <w:t>)</w:t>
      </w:r>
      <w:r w:rsidRPr="00D029F7">
        <w:rPr>
          <w:rFonts w:ascii="Times New Roman" w:hAnsi="Times New Roman"/>
          <w:szCs w:val="24"/>
        </w:rPr>
        <w:t xml:space="preserve"> whereas a moderate fluctuation was observed for the initial hydrostatic compression yield stress (</w:t>
      </w:r>
      <w:r w:rsidRPr="00D029F7">
        <w:rPr>
          <w:rFonts w:ascii="Times New Roman" w:hAnsi="Times New Roman"/>
          <w:i/>
        </w:rPr>
        <w:t>p</w:t>
      </w:r>
      <w:r w:rsidRPr="00D029F7">
        <w:rPr>
          <w:rFonts w:ascii="Times New Roman" w:hAnsi="Times New Roman"/>
          <w:i/>
          <w:vertAlign w:val="subscript"/>
        </w:rPr>
        <w:t>b0</w:t>
      </w:r>
      <w:r w:rsidRPr="00D029F7">
        <w:rPr>
          <w:rFonts w:ascii="Times New Roman" w:hAnsi="Times New Roman"/>
        </w:rPr>
        <w:t>), and</w:t>
      </w:r>
      <w:r w:rsidRPr="00D029F7">
        <w:rPr>
          <w:rFonts w:ascii="Times New Roman" w:hAnsi="Times New Roman"/>
          <w:szCs w:val="24"/>
        </w:rPr>
        <w:t xml:space="preserve"> important variations occurred for the friction angle and the maximum plastic volumetric strain rate (</w:t>
      </w:r>
      <w:r w:rsidRPr="00D029F7">
        <w:rPr>
          <w:rFonts w:ascii="Times New Roman" w:hAnsi="Times New Roman"/>
          <w:i/>
          <w:szCs w:val="24"/>
        </w:rPr>
        <w:t>D</w:t>
      </w:r>
      <w:r w:rsidRPr="00D029F7">
        <w:rPr>
          <w:rFonts w:ascii="Times New Roman" w:hAnsi="Times New Roman"/>
          <w:szCs w:val="24"/>
        </w:rPr>
        <w:t xml:space="preserve">) (Table 5). The elastic modulus values were in good agreement with that obtained by theoretical calculation for porous alumina using Roberts and Garboczi model </w:t>
      </w:r>
      <w:r w:rsidRPr="00D029F7">
        <w:rPr>
          <w:rFonts w:ascii="Times New Roman" w:hAnsi="Times New Roman"/>
          <w:noProof/>
          <w:szCs w:val="24"/>
        </w:rPr>
        <w:t>[35]</w:t>
      </w:r>
      <w:r w:rsidRPr="00D029F7">
        <w:rPr>
          <w:rFonts w:ascii="Times New Roman" w:hAnsi="Times New Roman"/>
          <w:szCs w:val="24"/>
        </w:rPr>
        <w:t xml:space="preserve"> (</w:t>
      </w:r>
      <w:r w:rsidRPr="00D029F7">
        <w:rPr>
          <w:rFonts w:ascii="Times New Roman" w:hAnsi="Times New Roman"/>
          <w:i/>
          <w:szCs w:val="24"/>
        </w:rPr>
        <w:t>E</w:t>
      </w:r>
      <w:r w:rsidRPr="00D029F7">
        <w:rPr>
          <w:rFonts w:ascii="Times New Roman" w:hAnsi="Times New Roman"/>
          <w:i/>
          <w:szCs w:val="24"/>
          <w:vertAlign w:val="subscript"/>
        </w:rPr>
        <w:t>theoretical</w:t>
      </w:r>
      <w:r w:rsidRPr="00D029F7">
        <w:rPr>
          <w:rFonts w:ascii="Times New Roman" w:hAnsi="Times New Roman"/>
          <w:i/>
          <w:szCs w:val="24"/>
        </w:rPr>
        <w:t xml:space="preserve"> = 277 GPa</w:t>
      </w:r>
      <w:r w:rsidRPr="00D029F7">
        <w:rPr>
          <w:rFonts w:ascii="Times New Roman" w:hAnsi="Times New Roman"/>
          <w:szCs w:val="24"/>
        </w:rPr>
        <w:t>, considering overlapping spherical pores), but slightly superior to that computed from the analytical analysis of the indentation data (</w:t>
      </w:r>
      <w:r w:rsidRPr="00D029F7">
        <w:rPr>
          <w:rFonts w:ascii="Times New Roman" w:hAnsi="Times New Roman"/>
          <w:i/>
          <w:szCs w:val="24"/>
        </w:rPr>
        <w:t>E</w:t>
      </w:r>
      <w:r w:rsidRPr="00D029F7">
        <w:rPr>
          <w:rFonts w:ascii="Times New Roman" w:hAnsi="Times New Roman"/>
          <w:i/>
          <w:szCs w:val="24"/>
          <w:vertAlign w:val="subscript"/>
        </w:rPr>
        <w:t>analytical</w:t>
      </w:r>
      <w:r w:rsidRPr="00D029F7">
        <w:rPr>
          <w:rFonts w:ascii="Times New Roman" w:hAnsi="Times New Roman"/>
          <w:i/>
          <w:szCs w:val="24"/>
        </w:rPr>
        <w:t xml:space="preserve"> = 215 GPa</w:t>
      </w:r>
      <w:r w:rsidRPr="00D029F7">
        <w:rPr>
          <w:rFonts w:ascii="Times New Roman" w:hAnsi="Times New Roman"/>
          <w:szCs w:val="24"/>
        </w:rPr>
        <w:t>, see supplementary information). Simulations with the identified parameters led to realistic results, with good consistency between experimental and numerical load-displacement curves, residual imprints and densification behavior (Figure 8-d,e,f).</w:t>
      </w:r>
    </w:p>
    <w:p w:rsidR="001E18F2" w:rsidRPr="00D029F7" w:rsidRDefault="001E18F2" w:rsidP="001E18F2">
      <w:pPr>
        <w:spacing w:line="480" w:lineRule="auto"/>
        <w:ind w:left="-6"/>
        <w:jc w:val="center"/>
        <w:rPr>
          <w:rFonts w:ascii="Times New Roman" w:hAnsi="Times New Roman"/>
          <w:szCs w:val="24"/>
        </w:rPr>
      </w:pPr>
      <w:bookmarkStart w:id="15" w:name="_Ref446076339"/>
      <w:r w:rsidRPr="00D029F7">
        <w:rPr>
          <w:rFonts w:ascii="Times New Roman" w:hAnsi="Times New Roman"/>
          <w:noProof/>
          <w:szCs w:val="24"/>
          <w:lang w:val="en-GB" w:eastAsia="en-GB"/>
        </w:rPr>
        <w:lastRenderedPageBreak/>
        <w:drawing>
          <wp:inline distT="0" distB="0" distL="0" distR="0" wp14:anchorId="4623A59C" wp14:editId="60951974">
            <wp:extent cx="5038725" cy="6298407"/>
            <wp:effectExtent l="19050" t="0" r="9525" b="0"/>
            <wp:docPr id="7" name="Imagen 7" descr="C:\Users\Quentin Flamant\Documents\Rapport-articles\Selective etching ZTA\Figures\Figure 6 - drug deliver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uentin Flamant\Documents\Rapport-articles\Selective etching ZTA\Figures\Figure 6 - drug delivery.tif"/>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038725" cy="6298407"/>
                    </a:xfrm>
                    <a:prstGeom prst="rect">
                      <a:avLst/>
                    </a:prstGeom>
                    <a:noFill/>
                    <a:ln>
                      <a:noFill/>
                    </a:ln>
                  </pic:spPr>
                </pic:pic>
              </a:graphicData>
            </a:graphic>
          </wp:inline>
        </w:drawing>
      </w:r>
    </w:p>
    <w:p w:rsidR="001E18F2" w:rsidRPr="00D029F7" w:rsidRDefault="001E18F2" w:rsidP="001E18F2">
      <w:pPr>
        <w:spacing w:line="276" w:lineRule="auto"/>
        <w:ind w:left="-6"/>
        <w:rPr>
          <w:rFonts w:ascii="Times New Roman" w:hAnsi="Times New Roman"/>
          <w:szCs w:val="24"/>
        </w:rPr>
      </w:pPr>
      <w:bookmarkStart w:id="16" w:name="_Ref444530419"/>
      <w:bookmarkStart w:id="17" w:name="_Ref447302905"/>
      <w:r w:rsidRPr="00D029F7">
        <w:rPr>
          <w:rFonts w:ascii="Times New Roman" w:hAnsi="Times New Roman"/>
          <w:b/>
          <w:szCs w:val="24"/>
        </w:rPr>
        <w:t xml:space="preserve">Figure </w:t>
      </w:r>
      <w:r w:rsidRPr="00D029F7">
        <w:rPr>
          <w:rFonts w:ascii="Times New Roman" w:hAnsi="Times New Roman"/>
          <w:b/>
          <w:noProof/>
          <w:szCs w:val="24"/>
        </w:rPr>
        <w:t>7</w:t>
      </w:r>
      <w:bookmarkEnd w:id="16"/>
      <w:r w:rsidRPr="00D029F7">
        <w:rPr>
          <w:rFonts w:ascii="Times New Roman" w:hAnsi="Times New Roman"/>
          <w:b/>
          <w:szCs w:val="24"/>
        </w:rPr>
        <w:t>.</w:t>
      </w:r>
      <w:r w:rsidRPr="00D029F7">
        <w:rPr>
          <w:rFonts w:ascii="Times New Roman" w:hAnsi="Times New Roman"/>
          <w:szCs w:val="24"/>
        </w:rPr>
        <w:t xml:space="preserve"> Cumulative drug release profiles from selectively etched zirconia toughened alumina samples loaded with a) gentamicin solution and b) gentamicin-encapsulated liposomes. Legend indicates the average thickness of the porous layer. Two samples had to be discarded because of large debinding defects. Results from </w:t>
      </w:r>
      <w:r w:rsidRPr="00D029F7">
        <w:rPr>
          <w:rFonts w:ascii="Times New Roman" w:hAnsi="Times New Roman"/>
          <w:i/>
          <w:szCs w:val="24"/>
        </w:rPr>
        <w:t xml:space="preserve">E. coli </w:t>
      </w:r>
      <w:r w:rsidRPr="00D029F7">
        <w:rPr>
          <w:rFonts w:ascii="Times New Roman" w:hAnsi="Times New Roman"/>
          <w:szCs w:val="24"/>
        </w:rPr>
        <w:t>cultures (t = 4 h) on the surface of “as sintered” (control), selectively etched, and selectively etched liposome-loaded zirconia toughened alumina samples (average porous layer thickness: 35 µm): c) fluorescence microscopy images of living bacteria on the surface; d) bacterial concentration in the medium monitored by flow cytometry and surface area covered by living bacteria.</w:t>
      </w:r>
      <w:bookmarkEnd w:id="17"/>
      <w:r w:rsidRPr="00D029F7">
        <w:rPr>
          <w:rFonts w:ascii="Times New Roman" w:hAnsi="Times New Roman"/>
          <w:szCs w:val="24"/>
        </w:rPr>
        <w:t xml:space="preserve"> Error bars represent the standard deviations.</w:t>
      </w:r>
    </w:p>
    <w:bookmarkEnd w:id="15"/>
    <w:p w:rsidR="001E18F2" w:rsidRPr="00D029F7" w:rsidRDefault="001E18F2" w:rsidP="001E18F2">
      <w:pPr>
        <w:pStyle w:val="ListParagraph"/>
        <w:numPr>
          <w:ilvl w:val="2"/>
          <w:numId w:val="9"/>
        </w:numPr>
        <w:spacing w:line="480" w:lineRule="auto"/>
        <w:ind w:left="567"/>
        <w:rPr>
          <w:rFonts w:ascii="Times New Roman" w:eastAsia="Times New Roman" w:hAnsi="Times New Roman"/>
          <w:i/>
          <w:sz w:val="24"/>
          <w:szCs w:val="24"/>
          <w:lang w:val="en-US"/>
        </w:rPr>
      </w:pPr>
      <w:r w:rsidRPr="00D029F7">
        <w:rPr>
          <w:rFonts w:ascii="Times New Roman" w:eastAsia="Times New Roman" w:hAnsi="Times New Roman"/>
          <w:i/>
          <w:sz w:val="24"/>
          <w:szCs w:val="24"/>
          <w:lang w:val="en-US"/>
        </w:rPr>
        <w:lastRenderedPageBreak/>
        <w:t>Biaxial flexural strength and ageing kinetics</w:t>
      </w:r>
    </w:p>
    <w:p w:rsidR="001E18F2" w:rsidRPr="00D029F7" w:rsidRDefault="001E18F2" w:rsidP="001E18F2">
      <w:pPr>
        <w:spacing w:line="480" w:lineRule="auto"/>
        <w:ind w:left="63" w:firstLine="504"/>
        <w:rPr>
          <w:rFonts w:ascii="Times New Roman" w:hAnsi="Times New Roman"/>
          <w:szCs w:val="24"/>
        </w:rPr>
      </w:pPr>
      <w:r w:rsidRPr="00D029F7">
        <w:rPr>
          <w:rFonts w:ascii="Times New Roman" w:hAnsi="Times New Roman"/>
          <w:szCs w:val="24"/>
        </w:rPr>
        <w:t>The thickness of the layer produced by selective etching was about 11 µm for both the “as sintered+etched” and the “polished+annealed+etched” samples. Two-way ANOVA analysis of the strength testing results evidenced a significant main effect of polishing (p=0.007) and a significant main effect of selective etching (p=0.015), but no interaction (p=0.307), which indicates that the effects of polishing and selective etching were independent. Etching induced a moderate decrease in the average strength, which was more important for the “polished+annealed” samples (-25 %) than for the “as sintered” samples (-11 %) (Table 6</w:t>
      </w:r>
      <w:r w:rsidRPr="00D029F7">
        <w:t xml:space="preserve">, </w:t>
      </w:r>
      <w:r w:rsidRPr="00D029F7">
        <w:rPr>
          <w:rFonts w:ascii="Times New Roman" w:hAnsi="Times New Roman"/>
          <w:szCs w:val="24"/>
        </w:rPr>
        <w:t xml:space="preserve">Figure 9-a,b). This can be explained by the presence of pre-existing surface defects in the “as sintered” specimens: the impact of the new defects produced by etching is thus relatively less important in this case. Furthermore, for both the “as sintered” and “polished+annealed” surfaces, selective etching induced an increase in the Weibull modulus (Table 6) and no decrease in the minimum strength (Figure 9-b). Therefore, the flaws created by selective etching were not the most critical. Indeed, the “polished+annealed” group had the highest mean strength and </w:t>
      </w:r>
      <w:r w:rsidRPr="00D029F7">
        <w:rPr>
          <w:rFonts w:ascii="Times New Roman" w:hAnsi="Times New Roman"/>
          <w:i/>
          <w:szCs w:val="24"/>
        </w:rPr>
        <w:t>σ</w:t>
      </w:r>
      <w:r w:rsidRPr="00D029F7">
        <w:rPr>
          <w:rFonts w:ascii="Times New Roman" w:hAnsi="Times New Roman"/>
          <w:i/>
          <w:szCs w:val="24"/>
          <w:vertAlign w:val="subscript"/>
        </w:rPr>
        <w:t>0</w:t>
      </w:r>
      <w:r w:rsidRPr="00D029F7">
        <w:rPr>
          <w:rFonts w:ascii="Times New Roman" w:hAnsi="Times New Roman"/>
          <w:szCs w:val="24"/>
        </w:rPr>
        <w:t xml:space="preserve"> but the lowest Weibull modulus (Figure 9-a,b, Table 6</w:t>
      </w:r>
      <w:r w:rsidRPr="00D029F7">
        <w:rPr>
          <w:rFonts w:ascii="Times New Roman" w:hAnsi="Times New Roman"/>
        </w:rPr>
        <w:t>)</w:t>
      </w:r>
      <w:r w:rsidRPr="00D029F7">
        <w:rPr>
          <w:rFonts w:ascii="Times New Roman" w:hAnsi="Times New Roman"/>
          <w:szCs w:val="24"/>
        </w:rPr>
        <w:t>, which suggests the presence of intrinsic defects in the bulk related to injection molding. The process would thus require further optimization to obtain samples with the same reliability as those obtained by conventional pressing.</w:t>
      </w:r>
    </w:p>
    <w:p w:rsidR="001E18F2" w:rsidRPr="00D029F7" w:rsidRDefault="001E18F2" w:rsidP="001E18F2">
      <w:pPr>
        <w:spacing w:line="480" w:lineRule="auto"/>
        <w:ind w:left="63" w:firstLine="504"/>
        <w:rPr>
          <w:rFonts w:ascii="Times New Roman" w:hAnsi="Times New Roman"/>
          <w:szCs w:val="24"/>
        </w:rPr>
      </w:pPr>
      <w:r w:rsidRPr="00D029F7">
        <w:rPr>
          <w:rFonts w:ascii="Times New Roman" w:hAnsi="Times New Roman"/>
          <w:szCs w:val="24"/>
        </w:rPr>
        <w:t xml:space="preserve">Regarding phase transformation, it can be observed that selective etching induced a small increase in the initial monoclinic phase content in the “as sintered” samples (“as sintered”: </w:t>
      </w:r>
      <w:r w:rsidRPr="00D029F7">
        <w:rPr>
          <w:rFonts w:ascii="Times New Roman" w:hAnsi="Times New Roman"/>
          <w:i/>
          <w:szCs w:val="24"/>
        </w:rPr>
        <w:t>V</w:t>
      </w:r>
      <w:r w:rsidRPr="00D029F7">
        <w:rPr>
          <w:rFonts w:ascii="Times New Roman" w:hAnsi="Times New Roman"/>
          <w:i/>
          <w:szCs w:val="24"/>
          <w:vertAlign w:val="subscript"/>
        </w:rPr>
        <w:t>m</w:t>
      </w:r>
      <w:r w:rsidRPr="00D029F7">
        <w:rPr>
          <w:rFonts w:ascii="Times New Roman" w:hAnsi="Times New Roman"/>
          <w:i/>
          <w:szCs w:val="24"/>
        </w:rPr>
        <w:t xml:space="preserve"> </w:t>
      </w:r>
      <w:r w:rsidRPr="00D029F7">
        <w:rPr>
          <w:rFonts w:ascii="Times New Roman" w:hAnsi="Times New Roman"/>
          <w:szCs w:val="24"/>
        </w:rPr>
        <w:t xml:space="preserve">= 0.08; ”as sintered+etched”: </w:t>
      </w:r>
      <w:r w:rsidRPr="00D029F7">
        <w:rPr>
          <w:rFonts w:ascii="Times New Roman" w:hAnsi="Times New Roman"/>
          <w:i/>
          <w:szCs w:val="24"/>
        </w:rPr>
        <w:t>V</w:t>
      </w:r>
      <w:r w:rsidRPr="00D029F7">
        <w:rPr>
          <w:rFonts w:ascii="Times New Roman" w:hAnsi="Times New Roman"/>
          <w:i/>
          <w:szCs w:val="24"/>
          <w:vertAlign w:val="subscript"/>
        </w:rPr>
        <w:t>m</w:t>
      </w:r>
      <w:r w:rsidRPr="00D029F7">
        <w:rPr>
          <w:rFonts w:ascii="Times New Roman" w:hAnsi="Times New Roman"/>
          <w:i/>
          <w:szCs w:val="24"/>
        </w:rPr>
        <w:t xml:space="preserve"> </w:t>
      </w:r>
      <w:r w:rsidRPr="00D029F7">
        <w:rPr>
          <w:rFonts w:ascii="Times New Roman" w:hAnsi="Times New Roman"/>
          <w:szCs w:val="24"/>
        </w:rPr>
        <w:t>= 0.14),</w:t>
      </w:r>
      <w:r w:rsidRPr="00D029F7">
        <w:rPr>
          <w:rFonts w:ascii="Times New Roman" w:hAnsi="Times New Roman"/>
          <w:i/>
          <w:szCs w:val="24"/>
        </w:rPr>
        <w:t xml:space="preserve"> </w:t>
      </w:r>
      <w:r w:rsidRPr="00D029F7">
        <w:rPr>
          <w:rFonts w:ascii="Times New Roman" w:hAnsi="Times New Roman"/>
          <w:szCs w:val="24"/>
        </w:rPr>
        <w:t xml:space="preserve">but not in the “polished+annealed” samples, which contained a comparable amount of monoclinic phase (“polished+annealed”: </w:t>
      </w:r>
      <w:r w:rsidRPr="00D029F7">
        <w:rPr>
          <w:rFonts w:ascii="Times New Roman" w:hAnsi="Times New Roman"/>
          <w:i/>
          <w:szCs w:val="24"/>
        </w:rPr>
        <w:t>V</w:t>
      </w:r>
      <w:r w:rsidRPr="00D029F7">
        <w:rPr>
          <w:rFonts w:ascii="Times New Roman" w:hAnsi="Times New Roman"/>
          <w:i/>
          <w:szCs w:val="24"/>
          <w:vertAlign w:val="subscript"/>
        </w:rPr>
        <w:t>m</w:t>
      </w:r>
      <w:r w:rsidRPr="00D029F7">
        <w:rPr>
          <w:rFonts w:ascii="Times New Roman" w:hAnsi="Times New Roman"/>
          <w:i/>
          <w:szCs w:val="24"/>
        </w:rPr>
        <w:t xml:space="preserve"> </w:t>
      </w:r>
      <w:r w:rsidRPr="00D029F7">
        <w:rPr>
          <w:rFonts w:ascii="Times New Roman" w:hAnsi="Times New Roman"/>
          <w:szCs w:val="24"/>
        </w:rPr>
        <w:t xml:space="preserve">= 0.18; ”polished+annealed+etched”: </w:t>
      </w:r>
      <w:r w:rsidRPr="00D029F7">
        <w:rPr>
          <w:rFonts w:ascii="Times New Roman" w:hAnsi="Times New Roman"/>
          <w:i/>
          <w:szCs w:val="24"/>
        </w:rPr>
        <w:t>V</w:t>
      </w:r>
      <w:r w:rsidRPr="00D029F7">
        <w:rPr>
          <w:rFonts w:ascii="Times New Roman" w:hAnsi="Times New Roman"/>
          <w:i/>
          <w:szCs w:val="24"/>
          <w:vertAlign w:val="subscript"/>
        </w:rPr>
        <w:t>m</w:t>
      </w:r>
      <w:r w:rsidRPr="00D029F7">
        <w:rPr>
          <w:rFonts w:ascii="Times New Roman" w:hAnsi="Times New Roman"/>
          <w:i/>
          <w:szCs w:val="24"/>
        </w:rPr>
        <w:t xml:space="preserve"> </w:t>
      </w:r>
      <w:r w:rsidRPr="00D029F7">
        <w:rPr>
          <w:rFonts w:ascii="Times New Roman" w:hAnsi="Times New Roman"/>
          <w:szCs w:val="24"/>
        </w:rPr>
        <w:t xml:space="preserve">= 0.16). In terms of kinetics, the trend was similar for all the </w:t>
      </w:r>
      <w:r w:rsidRPr="00D029F7">
        <w:rPr>
          <w:rFonts w:ascii="Times New Roman" w:hAnsi="Times New Roman"/>
          <w:szCs w:val="24"/>
        </w:rPr>
        <w:lastRenderedPageBreak/>
        <w:t>groups tested and thus the ageing sensitivity does not appear to be significantly affected by selective etching (Figure 9</w:t>
      </w:r>
      <w:r w:rsidRPr="00D029F7">
        <w:t>-c)</w:t>
      </w:r>
      <w:r w:rsidRPr="00D029F7">
        <w:rPr>
          <w:rFonts w:ascii="Times New Roman" w:hAnsi="Times New Roman"/>
          <w:szCs w:val="24"/>
        </w:rPr>
        <w:t>.</w:t>
      </w:r>
      <w:bookmarkStart w:id="18" w:name="_Ref444531168"/>
      <w:bookmarkStart w:id="19" w:name="_Ref444619215"/>
    </w:p>
    <w:p w:rsidR="001E18F2" w:rsidRPr="00D029F7" w:rsidRDefault="001E18F2" w:rsidP="001E18F2">
      <w:pPr>
        <w:spacing w:line="480" w:lineRule="auto"/>
        <w:jc w:val="center"/>
        <w:rPr>
          <w:rFonts w:ascii="Times New Roman" w:hAnsi="Times New Roman"/>
          <w:szCs w:val="24"/>
        </w:rPr>
      </w:pPr>
      <w:r w:rsidRPr="00D029F7">
        <w:rPr>
          <w:rFonts w:ascii="Times New Roman" w:hAnsi="Times New Roman"/>
          <w:noProof/>
          <w:szCs w:val="24"/>
          <w:lang w:val="en-GB" w:eastAsia="en-GB"/>
        </w:rPr>
        <w:drawing>
          <wp:inline distT="0" distB="0" distL="0" distR="0" wp14:anchorId="52FE516E" wp14:editId="0186BE15">
            <wp:extent cx="5972175" cy="3269383"/>
            <wp:effectExtent l="0" t="0" r="0" b="0"/>
            <wp:docPr id="14" name="Image 5" descr="F:\these\Documents\Rapport-articles\Selective etching ZTA\Figures\Figure 7 - Nanoindent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these\Documents\Rapport-articles\Selective etching ZTA\Figures\Figure 7 - Nanoindentation.tif"/>
                    <pic:cNvPicPr>
                      <a:picLocks noChangeAspect="1" noChangeArrowheads="1"/>
                    </pic:cNvPicPr>
                  </pic:nvPicPr>
                  <pic:blipFill>
                    <a:blip r:embed="rId12" cstate="print"/>
                    <a:srcRect/>
                    <a:stretch>
                      <a:fillRect/>
                    </a:stretch>
                  </pic:blipFill>
                  <pic:spPr bwMode="auto">
                    <a:xfrm>
                      <a:off x="0" y="0"/>
                      <a:ext cx="5972175" cy="3269383"/>
                    </a:xfrm>
                    <a:prstGeom prst="rect">
                      <a:avLst/>
                    </a:prstGeom>
                    <a:noFill/>
                    <a:ln w="9525">
                      <a:noFill/>
                      <a:miter lim="800000"/>
                      <a:headEnd/>
                      <a:tailEnd/>
                    </a:ln>
                  </pic:spPr>
                </pic:pic>
              </a:graphicData>
            </a:graphic>
          </wp:inline>
        </w:drawing>
      </w:r>
    </w:p>
    <w:p w:rsidR="001E18F2" w:rsidRPr="00D029F7" w:rsidRDefault="001E18F2" w:rsidP="001E18F2">
      <w:pPr>
        <w:spacing w:line="276" w:lineRule="auto"/>
        <w:ind w:left="-6"/>
        <w:rPr>
          <w:rFonts w:ascii="Times New Roman" w:hAnsi="Times New Roman"/>
        </w:rPr>
      </w:pPr>
      <w:bookmarkStart w:id="20" w:name="_Ref446013085"/>
      <w:bookmarkStart w:id="21" w:name="_Ref446078050"/>
      <w:r w:rsidRPr="00D029F7">
        <w:rPr>
          <w:rFonts w:ascii="Times New Roman" w:hAnsi="Times New Roman"/>
          <w:b/>
          <w:szCs w:val="24"/>
        </w:rPr>
        <w:t xml:space="preserve">Figure </w:t>
      </w:r>
      <w:r w:rsidRPr="00D029F7">
        <w:rPr>
          <w:rFonts w:ascii="Times New Roman" w:hAnsi="Times New Roman"/>
          <w:b/>
          <w:noProof/>
          <w:szCs w:val="24"/>
        </w:rPr>
        <w:t>8</w:t>
      </w:r>
      <w:bookmarkEnd w:id="20"/>
      <w:r w:rsidRPr="00D029F7">
        <w:rPr>
          <w:rFonts w:ascii="Times New Roman" w:hAnsi="Times New Roman"/>
          <w:b/>
          <w:szCs w:val="24"/>
        </w:rPr>
        <w:t>.</w:t>
      </w:r>
      <w:r w:rsidRPr="00D029F7">
        <w:rPr>
          <w:rFonts w:ascii="Times New Roman" w:hAnsi="Times New Roman"/>
          <w:szCs w:val="24"/>
        </w:rPr>
        <w:t xml:space="preserve"> Results from </w:t>
      </w:r>
      <w:r w:rsidRPr="00D029F7">
        <w:rPr>
          <w:rFonts w:ascii="Times New Roman" w:hAnsi="Times New Roman"/>
        </w:rPr>
        <w:t>spherical nanoindentation testing of a 27 µm thick porous layer obtained by selective etching of polished zirconia toughened alumina: a) surface of an indentation observed by SEM; b), c) FIB cross-section of an indentation displaying densification of the porous layer which presents a quasi-plastic behavior; d) experimental (average) and simulated load-displacement curves; e) experimental (average) and simulated residual imprint; f) finite element calculation of the volumetric plastic strain (which corresponds to densification).</w:t>
      </w:r>
      <w:bookmarkEnd w:id="21"/>
    </w:p>
    <w:p w:rsidR="001E18F2" w:rsidRPr="00D029F7" w:rsidRDefault="001E18F2" w:rsidP="001E18F2">
      <w:pPr>
        <w:spacing w:line="276" w:lineRule="auto"/>
        <w:ind w:left="-6"/>
        <w:rPr>
          <w:rFonts w:ascii="Times New Roman" w:hAnsi="Times New Roman"/>
        </w:rPr>
      </w:pPr>
    </w:p>
    <w:p w:rsidR="001E18F2" w:rsidRPr="00D029F7" w:rsidRDefault="001E18F2" w:rsidP="001E18F2">
      <w:pPr>
        <w:spacing w:line="480" w:lineRule="auto"/>
        <w:rPr>
          <w:rFonts w:ascii="Times New Roman" w:hAnsi="Times New Roman"/>
          <w:szCs w:val="24"/>
        </w:rPr>
      </w:pPr>
      <w:bookmarkStart w:id="22" w:name="_Ref447310075"/>
      <w:bookmarkEnd w:id="18"/>
      <w:bookmarkEnd w:id="19"/>
      <w:r w:rsidRPr="00D029F7">
        <w:rPr>
          <w:rFonts w:ascii="Times New Roman" w:hAnsi="Times New Roman"/>
          <w:b/>
          <w:bCs/>
        </w:rPr>
        <w:t xml:space="preserve">Table </w:t>
      </w:r>
      <w:r w:rsidRPr="00D029F7">
        <w:rPr>
          <w:rFonts w:ascii="Times New Roman" w:hAnsi="Times New Roman"/>
          <w:b/>
          <w:bCs/>
          <w:noProof/>
        </w:rPr>
        <w:t>5</w:t>
      </w:r>
      <w:bookmarkEnd w:id="22"/>
      <w:r w:rsidRPr="00D029F7">
        <w:rPr>
          <w:rFonts w:ascii="Times New Roman" w:hAnsi="Times New Roman"/>
          <w:b/>
          <w:bCs/>
        </w:rPr>
        <w:t>.</w:t>
      </w:r>
      <w:r w:rsidRPr="00D029F7">
        <w:rPr>
          <w:rFonts w:ascii="Times New Roman" w:hAnsi="Times New Roman"/>
        </w:rPr>
        <w:t xml:space="preserve"> </w:t>
      </w:r>
      <w:r w:rsidRPr="00D029F7">
        <w:rPr>
          <w:rFonts w:ascii="Times New Roman" w:hAnsi="Times New Roman"/>
          <w:szCs w:val="24"/>
        </w:rPr>
        <w:t>Parameters identified by inverse finite element analysis describing the mechanical behavior of the porous layer obtained by selective etching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1010"/>
        <w:gridCol w:w="1029"/>
        <w:gridCol w:w="1010"/>
      </w:tblGrid>
      <w:tr w:rsidR="001E18F2" w:rsidRPr="00D029F7" w:rsidTr="00B96D2F">
        <w:tc>
          <w:tcPr>
            <w:tcW w:w="0" w:type="auto"/>
            <w:shd w:val="clear" w:color="auto" w:fill="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Experimental curve</w:t>
            </w:r>
          </w:p>
        </w:tc>
        <w:tc>
          <w:tcPr>
            <w:tcW w:w="0" w:type="auto"/>
            <w:shd w:val="clear" w:color="auto" w:fill="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Lowest</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Average</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Highest</w:t>
            </w:r>
          </w:p>
        </w:tc>
      </w:tr>
      <w:tr w:rsidR="001E18F2" w:rsidRPr="00D029F7" w:rsidTr="00B96D2F">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i/>
                <w:szCs w:val="24"/>
              </w:rPr>
              <w:t xml:space="preserve">E </w:t>
            </w:r>
            <w:r w:rsidRPr="00D029F7">
              <w:rPr>
                <w:rFonts w:ascii="Times New Roman" w:hAnsi="Times New Roman"/>
                <w:szCs w:val="24"/>
              </w:rPr>
              <w:t>(GPa)</w:t>
            </w:r>
          </w:p>
        </w:tc>
        <w:tc>
          <w:tcPr>
            <w:tcW w:w="0" w:type="auto"/>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272</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278</w:t>
            </w:r>
          </w:p>
        </w:tc>
        <w:tc>
          <w:tcPr>
            <w:tcW w:w="1010" w:type="dxa"/>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279</w:t>
            </w:r>
          </w:p>
        </w:tc>
      </w:tr>
      <w:tr w:rsidR="001E18F2" w:rsidRPr="00D029F7" w:rsidTr="00B96D2F">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rPr>
              <w:t>β (º)</w:t>
            </w:r>
          </w:p>
        </w:tc>
        <w:tc>
          <w:tcPr>
            <w:tcW w:w="0" w:type="auto"/>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0.3</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15.4</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0.6</w:t>
            </w:r>
          </w:p>
        </w:tc>
      </w:tr>
      <w:tr w:rsidR="001E18F2" w:rsidRPr="00D029F7" w:rsidTr="00B96D2F">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rPr>
              <w:t>σ</w:t>
            </w:r>
            <w:r w:rsidRPr="00D029F7">
              <w:rPr>
                <w:rFonts w:ascii="Times New Roman" w:hAnsi="Times New Roman"/>
                <w:vertAlign w:val="subscript"/>
              </w:rPr>
              <w:t>c</w:t>
            </w:r>
            <w:r w:rsidRPr="00D029F7">
              <w:rPr>
                <w:rFonts w:ascii="Times New Roman" w:hAnsi="Times New Roman"/>
              </w:rPr>
              <w:t xml:space="preserve"> (MPa)</w:t>
            </w:r>
          </w:p>
        </w:tc>
        <w:tc>
          <w:tcPr>
            <w:tcW w:w="0" w:type="auto"/>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3300</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3210</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3460</w:t>
            </w:r>
          </w:p>
        </w:tc>
      </w:tr>
      <w:tr w:rsidR="001E18F2" w:rsidRPr="00D029F7" w:rsidTr="00B96D2F">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rPr>
              <w:t>p</w:t>
            </w:r>
            <w:r w:rsidRPr="00D029F7">
              <w:rPr>
                <w:rFonts w:ascii="Times New Roman" w:hAnsi="Times New Roman"/>
                <w:vertAlign w:val="subscript"/>
              </w:rPr>
              <w:t>b0</w:t>
            </w:r>
            <w:r w:rsidRPr="00D029F7">
              <w:rPr>
                <w:rFonts w:ascii="Times New Roman" w:hAnsi="Times New Roman"/>
              </w:rPr>
              <w:t xml:space="preserve"> (MPa)</w:t>
            </w:r>
          </w:p>
        </w:tc>
        <w:tc>
          <w:tcPr>
            <w:tcW w:w="0" w:type="auto"/>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4930</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4680</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5730</w:t>
            </w:r>
          </w:p>
        </w:tc>
      </w:tr>
      <w:tr w:rsidR="001E18F2" w:rsidRPr="00D029F7" w:rsidTr="00B96D2F">
        <w:tc>
          <w:tcPr>
            <w:tcW w:w="0" w:type="auto"/>
            <w:vAlign w:val="center"/>
          </w:tcPr>
          <w:p w:rsidR="001E18F2" w:rsidRPr="00D029F7" w:rsidRDefault="001E18F2" w:rsidP="00B96D2F">
            <w:pPr>
              <w:spacing w:after="0"/>
              <w:jc w:val="center"/>
              <w:rPr>
                <w:rFonts w:ascii="Times New Roman" w:hAnsi="Times New Roman"/>
              </w:rPr>
            </w:pPr>
            <w:r w:rsidRPr="00D029F7">
              <w:rPr>
                <w:rFonts w:ascii="Times New Roman" w:hAnsi="Times New Roman"/>
              </w:rPr>
              <w:t>D (MPa</w:t>
            </w:r>
            <w:r w:rsidRPr="00D029F7">
              <w:rPr>
                <w:rFonts w:ascii="Times New Roman" w:hAnsi="Times New Roman"/>
                <w:vertAlign w:val="superscript"/>
              </w:rPr>
              <w:t>-1</w:t>
            </w:r>
            <w:r w:rsidRPr="00D029F7">
              <w:rPr>
                <w:rFonts w:ascii="Times New Roman" w:hAnsi="Times New Roman"/>
              </w:rPr>
              <w:t>)</w:t>
            </w:r>
          </w:p>
        </w:tc>
        <w:tc>
          <w:tcPr>
            <w:tcW w:w="0" w:type="auto"/>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2.6x10</w:t>
            </w:r>
            <w:r w:rsidRPr="00D029F7">
              <w:rPr>
                <w:rFonts w:ascii="Times New Roman" w:hAnsi="Times New Roman"/>
                <w:szCs w:val="24"/>
                <w:vertAlign w:val="superscript"/>
              </w:rPr>
              <w:t>-4</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5.3x10</w:t>
            </w:r>
            <w:r w:rsidRPr="00D029F7">
              <w:rPr>
                <w:rFonts w:ascii="Times New Roman" w:hAnsi="Times New Roman"/>
                <w:szCs w:val="24"/>
                <w:vertAlign w:val="superscript"/>
              </w:rPr>
              <w:t>-4</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1.2x10</w:t>
            </w:r>
            <w:r w:rsidRPr="00D029F7">
              <w:rPr>
                <w:rFonts w:ascii="Times New Roman" w:hAnsi="Times New Roman"/>
                <w:szCs w:val="24"/>
                <w:vertAlign w:val="superscript"/>
              </w:rPr>
              <w:t>-3</w:t>
            </w:r>
          </w:p>
        </w:tc>
      </w:tr>
    </w:tbl>
    <w:p w:rsidR="001E18F2" w:rsidRPr="00D029F7" w:rsidRDefault="001E18F2" w:rsidP="001E18F2">
      <w:pPr>
        <w:spacing w:line="480" w:lineRule="auto"/>
        <w:rPr>
          <w:rFonts w:ascii="Times New Roman" w:hAnsi="Times New Roman"/>
          <w:szCs w:val="24"/>
        </w:rPr>
      </w:pPr>
    </w:p>
    <w:p w:rsidR="001E18F2" w:rsidRPr="00D029F7" w:rsidRDefault="001E18F2" w:rsidP="001E18F2">
      <w:pPr>
        <w:spacing w:line="480" w:lineRule="auto"/>
        <w:jc w:val="center"/>
        <w:rPr>
          <w:rFonts w:ascii="Times New Roman" w:hAnsi="Times New Roman"/>
        </w:rPr>
      </w:pPr>
      <w:r w:rsidRPr="00D029F7">
        <w:rPr>
          <w:rFonts w:ascii="Times New Roman" w:hAnsi="Times New Roman"/>
          <w:noProof/>
          <w:lang w:val="en-GB" w:eastAsia="en-GB"/>
        </w:rPr>
        <w:lastRenderedPageBreak/>
        <w:drawing>
          <wp:inline distT="0" distB="0" distL="0" distR="0" wp14:anchorId="2936EC4B" wp14:editId="3B13C9B9">
            <wp:extent cx="3330307" cy="7029450"/>
            <wp:effectExtent l="0" t="0" r="0" b="0"/>
            <wp:docPr id="1" name="Imagen 1" descr="C:\Users\Quentin Flamant\Documents\Rapport-articles\Selective etching ZTA\Figures\Figure 7 - strength-age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uentin Flamant\Documents\Rapport-articles\Selective etching ZTA\Figures\Figure 7 - strength-ageing.tif"/>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3335908" cy="7041272"/>
                    </a:xfrm>
                    <a:prstGeom prst="rect">
                      <a:avLst/>
                    </a:prstGeom>
                    <a:noFill/>
                    <a:ln>
                      <a:noFill/>
                    </a:ln>
                  </pic:spPr>
                </pic:pic>
              </a:graphicData>
            </a:graphic>
          </wp:inline>
        </w:drawing>
      </w:r>
    </w:p>
    <w:p w:rsidR="001E18F2" w:rsidRPr="00D029F7" w:rsidRDefault="001E18F2" w:rsidP="001E18F2">
      <w:pPr>
        <w:spacing w:line="276" w:lineRule="auto"/>
        <w:rPr>
          <w:rFonts w:ascii="Times New Roman" w:hAnsi="Times New Roman"/>
        </w:rPr>
      </w:pPr>
      <w:bookmarkStart w:id="23" w:name="_Ref443269026"/>
      <w:r w:rsidRPr="00D029F7">
        <w:rPr>
          <w:rFonts w:ascii="Times New Roman" w:hAnsi="Times New Roman"/>
          <w:b/>
          <w:szCs w:val="24"/>
        </w:rPr>
        <w:t xml:space="preserve">Figure </w:t>
      </w:r>
      <w:r w:rsidRPr="00D029F7">
        <w:rPr>
          <w:rFonts w:ascii="Times New Roman" w:hAnsi="Times New Roman"/>
          <w:b/>
          <w:noProof/>
          <w:szCs w:val="24"/>
        </w:rPr>
        <w:t>9</w:t>
      </w:r>
      <w:bookmarkEnd w:id="23"/>
      <w:r w:rsidRPr="00D029F7">
        <w:rPr>
          <w:rFonts w:ascii="Times New Roman" w:hAnsi="Times New Roman"/>
          <w:b/>
          <w:szCs w:val="24"/>
        </w:rPr>
        <w:t>.</w:t>
      </w:r>
      <w:r w:rsidRPr="00D029F7">
        <w:rPr>
          <w:rFonts w:ascii="Times New Roman" w:hAnsi="Times New Roman"/>
          <w:szCs w:val="24"/>
        </w:rPr>
        <w:t xml:space="preserve"> Assessment of the effect of selective etching on </w:t>
      </w:r>
      <w:r w:rsidRPr="00D029F7">
        <w:rPr>
          <w:rFonts w:ascii="Times New Roman" w:hAnsi="Times New Roman"/>
        </w:rPr>
        <w:t>strength and ageing sensitivity of zirconia toughened alumina samples: a) mean strength (error bars represent the standard deviations), b) Weibull analysis of the strength, c) evolution of the monoclinic phase content during accelerated ageing tests.</w:t>
      </w:r>
      <w:bookmarkStart w:id="24" w:name="_Ref443270227"/>
    </w:p>
    <w:p w:rsidR="001E18F2" w:rsidRPr="00D029F7" w:rsidRDefault="001E18F2" w:rsidP="001E18F2">
      <w:pPr>
        <w:spacing w:line="480" w:lineRule="auto"/>
        <w:rPr>
          <w:rFonts w:ascii="Times New Roman" w:hAnsi="Times New Roman"/>
          <w:szCs w:val="24"/>
        </w:rPr>
      </w:pPr>
      <w:bookmarkStart w:id="25" w:name="_Ref447310254"/>
      <w:r w:rsidRPr="00D029F7">
        <w:rPr>
          <w:rFonts w:ascii="Times New Roman" w:hAnsi="Times New Roman"/>
          <w:b/>
          <w:bCs/>
        </w:rPr>
        <w:lastRenderedPageBreak/>
        <w:t xml:space="preserve">Table </w:t>
      </w:r>
      <w:r w:rsidRPr="00D029F7">
        <w:rPr>
          <w:rFonts w:ascii="Times New Roman" w:hAnsi="Times New Roman"/>
          <w:b/>
          <w:bCs/>
          <w:noProof/>
        </w:rPr>
        <w:t>6</w:t>
      </w:r>
      <w:bookmarkEnd w:id="25"/>
      <w:r w:rsidRPr="00D029F7">
        <w:rPr>
          <w:rFonts w:ascii="Times New Roman" w:hAnsi="Times New Roman"/>
          <w:b/>
          <w:bCs/>
        </w:rPr>
        <w:t>.</w:t>
      </w:r>
      <w:r w:rsidRPr="00D029F7">
        <w:rPr>
          <w:rFonts w:ascii="Times New Roman" w:hAnsi="Times New Roman"/>
        </w:rPr>
        <w:t xml:space="preserve"> Mean strength, </w:t>
      </w:r>
      <w:r w:rsidRPr="00D029F7">
        <w:rPr>
          <w:rFonts w:ascii="Times New Roman" w:hAnsi="Times New Roman"/>
          <w:szCs w:val="24"/>
        </w:rPr>
        <w:t>Weibull modulus (biased) and Weibull characteristic strength resulting from 3-balls-on-3-balls testing of zirconia toughened alumina specimens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2350"/>
        <w:gridCol w:w="2196"/>
        <w:gridCol w:w="2576"/>
      </w:tblGrid>
      <w:tr w:rsidR="001E18F2" w:rsidRPr="00D029F7" w:rsidTr="00B96D2F">
        <w:tc>
          <w:tcPr>
            <w:tcW w:w="0" w:type="auto"/>
            <w:shd w:val="clear" w:color="auto" w:fill="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Sample group</w:t>
            </w:r>
          </w:p>
        </w:tc>
        <w:tc>
          <w:tcPr>
            <w:tcW w:w="0" w:type="auto"/>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σ</w:t>
            </w:r>
            <w:r w:rsidRPr="00D029F7">
              <w:rPr>
                <w:rFonts w:ascii="Times New Roman" w:hAnsi="Times New Roman"/>
                <w:szCs w:val="24"/>
                <w:vertAlign w:val="subscript"/>
              </w:rPr>
              <w:t>mean</w:t>
            </w:r>
            <w:r w:rsidRPr="00D029F7">
              <w:rPr>
                <w:rFonts w:ascii="Times New Roman" w:hAnsi="Times New Roman"/>
                <w:szCs w:val="24"/>
              </w:rPr>
              <w:t xml:space="preserve"> [MPa] ± standard deviation</w:t>
            </w:r>
          </w:p>
        </w:tc>
        <w:tc>
          <w:tcPr>
            <w:tcW w:w="0" w:type="auto"/>
            <w:shd w:val="clear" w:color="auto" w:fill="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m (90% confidence interval)</w:t>
            </w:r>
          </w:p>
        </w:tc>
        <w:tc>
          <w:tcPr>
            <w:tcW w:w="0" w:type="auto"/>
            <w:shd w:val="clear" w:color="auto" w:fill="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σ</w:t>
            </w:r>
            <w:r w:rsidRPr="00D029F7">
              <w:rPr>
                <w:rFonts w:ascii="Times New Roman" w:hAnsi="Times New Roman"/>
                <w:szCs w:val="24"/>
                <w:vertAlign w:val="subscript"/>
              </w:rPr>
              <w:t>0</w:t>
            </w:r>
            <w:r w:rsidRPr="00D029F7">
              <w:rPr>
                <w:rFonts w:ascii="Times New Roman" w:hAnsi="Times New Roman"/>
                <w:szCs w:val="24"/>
              </w:rPr>
              <w:t xml:space="preserve"> [MPa] (90% confidence interval)</w:t>
            </w:r>
          </w:p>
        </w:tc>
      </w:tr>
      <w:tr w:rsidR="001E18F2" w:rsidRPr="00D029F7" w:rsidTr="00B96D2F">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Polished + Annealed</w:t>
            </w:r>
          </w:p>
        </w:tc>
        <w:tc>
          <w:tcPr>
            <w:tcW w:w="0" w:type="auto"/>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922 ± 238</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3.7 (2 – 5)</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1029 (865 – 1232)</w:t>
            </w:r>
          </w:p>
        </w:tc>
      </w:tr>
      <w:tr w:rsidR="001E18F2" w:rsidRPr="00D029F7" w:rsidTr="00B96D2F">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Polished + Annealed + Etched</w:t>
            </w:r>
          </w:p>
        </w:tc>
        <w:tc>
          <w:tcPr>
            <w:tcW w:w="0" w:type="auto"/>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694 ± 74</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10 (4.6 – 14.1)</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729 (671 – 796)</w:t>
            </w:r>
          </w:p>
        </w:tc>
      </w:tr>
      <w:tr w:rsidR="001E18F2" w:rsidRPr="00D029F7" w:rsidTr="00B96D2F">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As sintered</w:t>
            </w:r>
          </w:p>
        </w:tc>
        <w:tc>
          <w:tcPr>
            <w:tcW w:w="0" w:type="auto"/>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686 ± 115</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6.5 (3.6 – 8.8)</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736 (667 - 815)</w:t>
            </w:r>
          </w:p>
        </w:tc>
      </w:tr>
      <w:tr w:rsidR="001E18F2" w:rsidRPr="00D029F7" w:rsidTr="00B96D2F">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As sintered + Etched</w:t>
            </w:r>
          </w:p>
        </w:tc>
        <w:tc>
          <w:tcPr>
            <w:tcW w:w="0" w:type="auto"/>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613 ± 70</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9.5 (5.5 – 12.8)</w:t>
            </w:r>
          </w:p>
        </w:tc>
        <w:tc>
          <w:tcPr>
            <w:tcW w:w="0" w:type="auto"/>
            <w:vAlign w:val="center"/>
          </w:tcPr>
          <w:p w:rsidR="001E18F2" w:rsidRPr="00D029F7" w:rsidRDefault="001E18F2" w:rsidP="00B96D2F">
            <w:pPr>
              <w:spacing w:after="0"/>
              <w:jc w:val="center"/>
              <w:rPr>
                <w:rFonts w:ascii="Times New Roman" w:hAnsi="Times New Roman"/>
                <w:szCs w:val="24"/>
              </w:rPr>
            </w:pPr>
            <w:r w:rsidRPr="00D029F7">
              <w:rPr>
                <w:rFonts w:ascii="Times New Roman" w:hAnsi="Times New Roman"/>
                <w:szCs w:val="24"/>
              </w:rPr>
              <w:t>669 (628 – 714)</w:t>
            </w:r>
          </w:p>
        </w:tc>
      </w:tr>
    </w:tbl>
    <w:p w:rsidR="001E18F2" w:rsidRPr="00D029F7" w:rsidRDefault="001E18F2" w:rsidP="001E18F2">
      <w:pPr>
        <w:spacing w:line="480" w:lineRule="auto"/>
        <w:rPr>
          <w:rFonts w:ascii="Times New Roman" w:hAnsi="Times New Roman"/>
        </w:rPr>
      </w:pPr>
    </w:p>
    <w:bookmarkEnd w:id="24"/>
    <w:p w:rsidR="001E18F2" w:rsidRPr="00D029F7" w:rsidRDefault="001E18F2" w:rsidP="001E18F2">
      <w:pPr>
        <w:pStyle w:val="ListParagraph"/>
        <w:numPr>
          <w:ilvl w:val="0"/>
          <w:numId w:val="9"/>
        </w:numPr>
        <w:spacing w:line="480" w:lineRule="auto"/>
        <w:rPr>
          <w:rFonts w:ascii="Times New Roman" w:eastAsia="Times New Roman" w:hAnsi="Times New Roman"/>
          <w:b/>
          <w:sz w:val="24"/>
          <w:szCs w:val="24"/>
          <w:lang w:val="en-US"/>
        </w:rPr>
      </w:pPr>
      <w:r w:rsidRPr="00D029F7">
        <w:rPr>
          <w:rFonts w:ascii="Times New Roman" w:eastAsia="Times New Roman" w:hAnsi="Times New Roman"/>
          <w:b/>
          <w:sz w:val="24"/>
          <w:szCs w:val="24"/>
          <w:lang w:val="en-US"/>
        </w:rPr>
        <w:t>Discussion</w:t>
      </w:r>
    </w:p>
    <w:p w:rsidR="001E18F2" w:rsidRPr="00D029F7" w:rsidRDefault="001E18F2" w:rsidP="001E18F2">
      <w:pPr>
        <w:spacing w:line="480" w:lineRule="auto"/>
        <w:ind w:firstLine="432"/>
        <w:rPr>
          <w:rFonts w:ascii="Times New Roman" w:hAnsi="Times New Roman"/>
          <w:szCs w:val="24"/>
        </w:rPr>
      </w:pPr>
      <w:r w:rsidRPr="00D029F7">
        <w:rPr>
          <w:rFonts w:ascii="Times New Roman" w:hAnsi="Times New Roman"/>
          <w:szCs w:val="24"/>
        </w:rPr>
        <w:t>The combination of surface modifications proposed in this work is promising for the design of ZTA components implantable in direct contact with bone, with tailored surface properties for promoting osseointegration and preventing infections.</w:t>
      </w:r>
    </w:p>
    <w:p w:rsidR="001E18F2" w:rsidRPr="00D029F7" w:rsidRDefault="001E18F2" w:rsidP="001E18F2">
      <w:pPr>
        <w:spacing w:line="480" w:lineRule="auto"/>
        <w:ind w:firstLine="432"/>
        <w:rPr>
          <w:rFonts w:ascii="Times New Roman" w:hAnsi="Times New Roman"/>
          <w:szCs w:val="24"/>
        </w:rPr>
      </w:pPr>
      <w:r w:rsidRPr="00D029F7">
        <w:rPr>
          <w:rFonts w:ascii="Times New Roman" w:hAnsi="Times New Roman"/>
          <w:szCs w:val="24"/>
        </w:rPr>
        <w:t>Injection molding was shown to be a versatile process for surface micro-structuring, with a large possible range of values for roughness parameters (Figure 2). Additionally, as discussed in the introduction, it presents several advantages over other roughening treatments and has a high potential for industrialization. The values obtained for the average roughness (</w:t>
      </w:r>
      <w:r w:rsidRPr="00D029F7">
        <w:rPr>
          <w:rFonts w:ascii="Times New Roman" w:hAnsi="Times New Roman"/>
          <w:i/>
          <w:szCs w:val="24"/>
        </w:rPr>
        <w:t>Sa</w:t>
      </w:r>
      <w:r w:rsidRPr="00D029F7">
        <w:rPr>
          <w:rFonts w:ascii="Times New Roman" w:hAnsi="Times New Roman"/>
          <w:szCs w:val="24"/>
        </w:rPr>
        <w:t xml:space="preserve">) might appear small as compared to the “moderately rough” range (1 µm – 2 µm) that was suggested to induce the strongest bone response by Albrektsson and Wennerberg (2004) </w:t>
      </w:r>
      <w:r w:rsidRPr="00D029F7">
        <w:rPr>
          <w:rFonts w:ascii="Times New Roman" w:hAnsi="Times New Roman"/>
          <w:noProof/>
          <w:szCs w:val="24"/>
        </w:rPr>
        <w:t>[67]</w:t>
      </w:r>
      <w:r w:rsidRPr="00D029F7">
        <w:rPr>
          <w:rFonts w:ascii="Times New Roman" w:hAnsi="Times New Roman"/>
          <w:szCs w:val="24"/>
        </w:rPr>
        <w:t xml:space="preserve">. Nevertheless, the values reported in this study were numerically filtered, which is omitted by many authors. The </w:t>
      </w:r>
      <w:r w:rsidRPr="00D029F7">
        <w:rPr>
          <w:rFonts w:ascii="Times New Roman" w:hAnsi="Times New Roman"/>
          <w:i/>
          <w:szCs w:val="24"/>
        </w:rPr>
        <w:t>Sa</w:t>
      </w:r>
      <w:r w:rsidRPr="00D029F7">
        <w:rPr>
          <w:rFonts w:ascii="Times New Roman" w:hAnsi="Times New Roman"/>
          <w:szCs w:val="24"/>
        </w:rPr>
        <w:t xml:space="preserve"> values obtained before filtering were substantially higher (“low” surface: </w:t>
      </w:r>
      <w:r w:rsidRPr="00D029F7">
        <w:rPr>
          <w:rFonts w:ascii="Times New Roman" w:hAnsi="Times New Roman"/>
          <w:i/>
          <w:szCs w:val="24"/>
        </w:rPr>
        <w:t>S</w:t>
      </w:r>
      <w:r w:rsidRPr="00D029F7">
        <w:rPr>
          <w:rFonts w:ascii="Times New Roman" w:hAnsi="Times New Roman"/>
          <w:i/>
          <w:szCs w:val="24"/>
          <w:vertAlign w:val="subscript"/>
        </w:rPr>
        <w:t>a</w:t>
      </w:r>
      <w:r w:rsidRPr="00D029F7">
        <w:rPr>
          <w:rFonts w:ascii="Times New Roman" w:hAnsi="Times New Roman"/>
          <w:szCs w:val="24"/>
        </w:rPr>
        <w:t xml:space="preserve"> = 224 </w:t>
      </w:r>
      <w:r w:rsidRPr="00D029F7">
        <w:rPr>
          <w:rFonts w:cs="Times"/>
        </w:rPr>
        <w:t>±</w:t>
      </w:r>
      <w:r w:rsidRPr="00D029F7">
        <w:t xml:space="preserve"> 16</w:t>
      </w:r>
      <w:r w:rsidRPr="00D029F7">
        <w:rPr>
          <w:rFonts w:ascii="Times New Roman" w:hAnsi="Times New Roman"/>
          <w:szCs w:val="24"/>
        </w:rPr>
        <w:t xml:space="preserve"> nm ; “medium” surface: </w:t>
      </w:r>
      <w:r w:rsidRPr="00D029F7">
        <w:rPr>
          <w:rFonts w:ascii="Times New Roman" w:hAnsi="Times New Roman"/>
          <w:i/>
          <w:szCs w:val="24"/>
        </w:rPr>
        <w:t>S</w:t>
      </w:r>
      <w:r w:rsidRPr="00D029F7">
        <w:rPr>
          <w:rFonts w:ascii="Times New Roman" w:hAnsi="Times New Roman"/>
          <w:i/>
          <w:szCs w:val="24"/>
          <w:vertAlign w:val="subscript"/>
        </w:rPr>
        <w:t>a</w:t>
      </w:r>
      <w:r w:rsidRPr="00D029F7">
        <w:rPr>
          <w:rFonts w:ascii="Times New Roman" w:hAnsi="Times New Roman"/>
          <w:szCs w:val="24"/>
        </w:rPr>
        <w:t xml:space="preserve"> = 720 </w:t>
      </w:r>
      <w:r w:rsidRPr="00D029F7">
        <w:rPr>
          <w:rFonts w:cs="Times"/>
        </w:rPr>
        <w:t>±</w:t>
      </w:r>
      <w:r w:rsidRPr="00D029F7">
        <w:t xml:space="preserve"> 60</w:t>
      </w:r>
      <w:r w:rsidRPr="00D029F7">
        <w:rPr>
          <w:rFonts w:ascii="Times New Roman" w:hAnsi="Times New Roman"/>
          <w:szCs w:val="24"/>
        </w:rPr>
        <w:t xml:space="preserve"> nm; “high” surface: </w:t>
      </w:r>
      <w:r w:rsidRPr="00D029F7">
        <w:rPr>
          <w:rFonts w:ascii="Times New Roman" w:hAnsi="Times New Roman"/>
          <w:i/>
          <w:szCs w:val="24"/>
        </w:rPr>
        <w:t>S</w:t>
      </w:r>
      <w:r w:rsidRPr="00D029F7">
        <w:rPr>
          <w:rFonts w:ascii="Times New Roman" w:hAnsi="Times New Roman"/>
          <w:i/>
          <w:szCs w:val="24"/>
          <w:vertAlign w:val="subscript"/>
        </w:rPr>
        <w:t>a</w:t>
      </w:r>
      <w:r w:rsidRPr="00D029F7">
        <w:rPr>
          <w:rFonts w:ascii="Times New Roman" w:hAnsi="Times New Roman"/>
          <w:szCs w:val="24"/>
        </w:rPr>
        <w:t xml:space="preserve"> = 1370 </w:t>
      </w:r>
      <w:r w:rsidRPr="00D029F7">
        <w:rPr>
          <w:rFonts w:cs="Times"/>
        </w:rPr>
        <w:t>±</w:t>
      </w:r>
      <w:r w:rsidRPr="00D029F7">
        <w:t xml:space="preserve"> 111</w:t>
      </w:r>
      <w:r w:rsidRPr="00D029F7">
        <w:rPr>
          <w:rFonts w:ascii="Times New Roman" w:hAnsi="Times New Roman"/>
          <w:szCs w:val="24"/>
        </w:rPr>
        <w:t xml:space="preserve"> nm), and it can thus be considered that the “high” surface falls within the recommended range. Finally, strength testing suggested the existence of intrinsic defects in the material related to injection molding (Figure 9-a,b). The </w:t>
      </w:r>
      <w:r w:rsidRPr="00D029F7">
        <w:rPr>
          <w:rFonts w:ascii="Times New Roman" w:hAnsi="Times New Roman"/>
          <w:szCs w:val="24"/>
        </w:rPr>
        <w:lastRenderedPageBreak/>
        <w:t>presence of these defects shows the need for further optimization of the injection process to achieve mechanical performances similar to those obtained with standard processing (</w:t>
      </w:r>
      <w:r w:rsidRPr="00D029F7">
        <w:rPr>
          <w:rFonts w:ascii="Times New Roman" w:hAnsi="Times New Roman"/>
          <w:i/>
          <w:szCs w:val="24"/>
        </w:rPr>
        <w:t>e.g</w:t>
      </w:r>
      <w:r w:rsidRPr="00D029F7">
        <w:rPr>
          <w:rFonts w:ascii="Times New Roman" w:hAnsi="Times New Roman"/>
          <w:szCs w:val="24"/>
        </w:rPr>
        <w:t>., dry pressing).</w:t>
      </w:r>
    </w:p>
    <w:p w:rsidR="001E18F2" w:rsidRPr="00D029F7" w:rsidRDefault="001E18F2" w:rsidP="001E18F2">
      <w:pPr>
        <w:spacing w:line="480" w:lineRule="auto"/>
        <w:ind w:firstLine="432"/>
        <w:rPr>
          <w:rFonts w:ascii="Times New Roman" w:hAnsi="Times New Roman"/>
          <w:szCs w:val="24"/>
        </w:rPr>
      </w:pPr>
      <w:r w:rsidRPr="00D029F7">
        <w:rPr>
          <w:rFonts w:ascii="Times New Roman" w:hAnsi="Times New Roman"/>
          <w:szCs w:val="24"/>
        </w:rPr>
        <w:t>On the other hand, selective etching is a totally novel process for ZTA, which can be used for two purposes:</w:t>
      </w:r>
    </w:p>
    <w:p w:rsidR="001E18F2" w:rsidRPr="00D029F7" w:rsidRDefault="001E18F2" w:rsidP="001E18F2">
      <w:pPr>
        <w:spacing w:line="480" w:lineRule="auto"/>
        <w:ind w:firstLine="432"/>
        <w:rPr>
          <w:rFonts w:ascii="Times New Roman" w:hAnsi="Times New Roman"/>
          <w:szCs w:val="24"/>
        </w:rPr>
      </w:pPr>
      <w:r w:rsidRPr="00D029F7">
        <w:rPr>
          <w:rFonts w:ascii="Times New Roman" w:hAnsi="Times New Roman"/>
          <w:szCs w:val="24"/>
        </w:rPr>
        <w:t xml:space="preserve">- With a short etching time, it allows superposing of a substantial nano-roughness to the micro-topography produced by injection molding (Figure 3, Figure 4), without affecting the bulk of the material (Figure 6-a). According to the literature, this combination of micro- and nano-roughness should be favorable in terms of osseointegration </w:t>
      </w:r>
      <w:r w:rsidRPr="00D029F7">
        <w:rPr>
          <w:rFonts w:ascii="Times New Roman" w:hAnsi="Times New Roman"/>
          <w:noProof/>
          <w:szCs w:val="24"/>
        </w:rPr>
        <w:t>[17–19]</w:t>
      </w:r>
      <w:r w:rsidRPr="00D029F7">
        <w:rPr>
          <w:rFonts w:ascii="Times New Roman" w:hAnsi="Times New Roman"/>
          <w:szCs w:val="24"/>
        </w:rPr>
        <w:t xml:space="preserve">. Besides, the increase in the fluorine content of the surface (Figure 5) could enhance osteoblastic differentiation and interfacial bone formation as it does for titanium </w:t>
      </w:r>
      <w:r w:rsidRPr="00D029F7">
        <w:rPr>
          <w:rFonts w:ascii="Times New Roman" w:hAnsi="Times New Roman"/>
          <w:noProof/>
          <w:szCs w:val="24"/>
        </w:rPr>
        <w:t>[68]</w:t>
      </w:r>
      <w:r w:rsidRPr="00D029F7">
        <w:rPr>
          <w:rFonts w:ascii="Times New Roman" w:hAnsi="Times New Roman"/>
          <w:szCs w:val="24"/>
        </w:rPr>
        <w:t xml:space="preserve">. Finally, the selectively etched surface might reduce bacterial adhesion (Figure 7-c,d). This could be explained either by the nano-roughness (Figure 4) or the changes observed in the surface chemistry, in particular the increase in the fluorine content (Figure 5, Table 4), or a combination of both </w:t>
      </w:r>
      <w:r w:rsidRPr="00D029F7">
        <w:rPr>
          <w:rFonts w:ascii="Times New Roman" w:hAnsi="Times New Roman"/>
          <w:noProof/>
          <w:szCs w:val="24"/>
        </w:rPr>
        <w:t>[69,70]</w:t>
      </w:r>
      <w:r w:rsidRPr="00D029F7">
        <w:rPr>
          <w:rFonts w:ascii="Times New Roman" w:hAnsi="Times New Roman"/>
          <w:szCs w:val="24"/>
        </w:rPr>
        <w:t>.</w:t>
      </w:r>
    </w:p>
    <w:p w:rsidR="001E18F2" w:rsidRPr="00D029F7" w:rsidRDefault="001E18F2" w:rsidP="001E18F2">
      <w:pPr>
        <w:spacing w:line="480" w:lineRule="auto"/>
        <w:ind w:firstLine="432"/>
        <w:rPr>
          <w:rFonts w:ascii="Times New Roman" w:hAnsi="Times New Roman"/>
          <w:szCs w:val="24"/>
        </w:rPr>
      </w:pPr>
      <w:r w:rsidRPr="00D029F7">
        <w:rPr>
          <w:rFonts w:ascii="Times New Roman" w:hAnsi="Times New Roman"/>
          <w:szCs w:val="24"/>
        </w:rPr>
        <w:t xml:space="preserve">- With a longer etching time, it allows the production of an interconnected nanoporous alumina layer with controlled thickness (Figure 6). As described previously, it has been suggested that nanoporous alumina can improve osteoblast adhesion and proliferation, increase matrix production and induce osteogenic differentiation </w:t>
      </w:r>
      <w:r w:rsidRPr="00D029F7">
        <w:rPr>
          <w:rFonts w:ascii="Times New Roman" w:hAnsi="Times New Roman"/>
          <w:noProof/>
          <w:szCs w:val="24"/>
        </w:rPr>
        <w:t>[29–31]</w:t>
      </w:r>
      <w:r w:rsidRPr="00D029F7">
        <w:rPr>
          <w:rFonts w:ascii="Times New Roman" w:hAnsi="Times New Roman"/>
          <w:szCs w:val="24"/>
        </w:rPr>
        <w:t xml:space="preserve">. Furthermore, the porous layer has the potential to be used as a carrier for drug delivery, providing antibacterial properties to the surface (Figure 7). The liposome encapsulation technique proposed in this work improves the loading of gentamicin. Besides, since liposomes can be loaded with both hydrophobic and hydrophilic molecules the method is potentially applicable to many other therapeutic agents </w:t>
      </w:r>
      <w:r w:rsidRPr="00D029F7">
        <w:rPr>
          <w:rFonts w:ascii="Times New Roman" w:hAnsi="Times New Roman"/>
          <w:noProof/>
          <w:szCs w:val="24"/>
        </w:rPr>
        <w:t>[71]</w:t>
      </w:r>
      <w:r w:rsidRPr="00D029F7">
        <w:rPr>
          <w:rFonts w:ascii="Times New Roman" w:hAnsi="Times New Roman"/>
          <w:szCs w:val="24"/>
        </w:rPr>
        <w:t xml:space="preserve"> (for an example with vancomycin, see supplementary information). Nevertheless, the quantities loaded which represent </w:t>
      </w:r>
      <w:r w:rsidRPr="00D029F7">
        <w:rPr>
          <w:rFonts w:ascii="Times New Roman" w:hAnsi="Times New Roman"/>
          <w:szCs w:val="24"/>
        </w:rPr>
        <w:lastRenderedPageBreak/>
        <w:t>about 0.5%-1% of the total porous volume available still appear small and there is thus room for optimization: in particular it should be possible to increase the quantity of drug loaded and the sustainability of the release by tuning liposome size.</w:t>
      </w:r>
    </w:p>
    <w:p w:rsidR="001E18F2" w:rsidRPr="00D029F7" w:rsidRDefault="001E18F2" w:rsidP="001E18F2">
      <w:pPr>
        <w:spacing w:line="480" w:lineRule="auto"/>
        <w:ind w:firstLine="432"/>
        <w:rPr>
          <w:rFonts w:ascii="Times New Roman" w:hAnsi="Times New Roman"/>
          <w:szCs w:val="24"/>
        </w:rPr>
      </w:pPr>
      <w:r w:rsidRPr="00D029F7">
        <w:rPr>
          <w:rFonts w:ascii="Times New Roman" w:hAnsi="Times New Roman"/>
          <w:szCs w:val="24"/>
        </w:rPr>
        <w:t xml:space="preserve">The main benefit of selective etching when compared to other existing processes to produce nanoporous alumina on implants, such as for instance anodization </w:t>
      </w:r>
      <w:r w:rsidRPr="00D029F7">
        <w:rPr>
          <w:rFonts w:ascii="Times New Roman" w:hAnsi="Times New Roman"/>
          <w:noProof/>
          <w:szCs w:val="24"/>
        </w:rPr>
        <w:t>[28,72]</w:t>
      </w:r>
      <w:r w:rsidRPr="00D029F7">
        <w:rPr>
          <w:rFonts w:ascii="Times New Roman" w:hAnsi="Times New Roman"/>
          <w:szCs w:val="24"/>
        </w:rPr>
        <w:t>, is that the layer obtained is not a coating. There is no interface with the bulk, which is highly beneficial in terms of reliability since it avoids any problem related to lack of adhesion or delamination. Furthermore, the contact behavior of the porous layer obtained is quasi-plastic (no cracks were observed under indentations). The yield stress (</w:t>
      </w:r>
      <w:r w:rsidRPr="00D029F7">
        <w:rPr>
          <w:rFonts w:ascii="Times New Roman" w:hAnsi="Times New Roman"/>
          <w:i/>
          <w:szCs w:val="24"/>
        </w:rPr>
        <w:t>σ</w:t>
      </w:r>
      <w:r w:rsidRPr="00D029F7">
        <w:rPr>
          <w:rFonts w:ascii="Times New Roman" w:hAnsi="Times New Roman"/>
          <w:i/>
          <w:szCs w:val="24"/>
          <w:vertAlign w:val="subscript"/>
        </w:rPr>
        <w:t>y</w:t>
      </w:r>
      <w:r w:rsidRPr="00D029F7">
        <w:rPr>
          <w:rFonts w:ascii="Times New Roman" w:hAnsi="Times New Roman"/>
          <w:i/>
          <w:szCs w:val="24"/>
        </w:rPr>
        <w:t xml:space="preserve"> ≈ 3300 MPa</w:t>
      </w:r>
      <w:r w:rsidRPr="00D029F7">
        <w:rPr>
          <w:rFonts w:ascii="Times New Roman" w:hAnsi="Times New Roman"/>
          <w:szCs w:val="24"/>
        </w:rPr>
        <w:t>) and the indentation hardness (plateau at 8 GPa) are maintained at high values whereas the decrease in the elastic modulus (</w:t>
      </w:r>
      <w:r w:rsidRPr="00D029F7">
        <w:rPr>
          <w:rFonts w:ascii="Times New Roman" w:hAnsi="Times New Roman"/>
          <w:i/>
          <w:szCs w:val="24"/>
        </w:rPr>
        <w:t>E ≈ 275 GPa</w:t>
      </w:r>
      <w:r w:rsidRPr="00D029F7">
        <w:rPr>
          <w:rFonts w:ascii="Times New Roman" w:hAnsi="Times New Roman"/>
          <w:szCs w:val="24"/>
        </w:rPr>
        <w:t xml:space="preserve">) could be beneficial since it reduces the mismatch with the bone modulus (Figure 8, Table 5). Besides, it was shown that the presence of the porous layer does not impair flexural strength: the decrease in average strength, which was moderate, was compensated by an increase in Weibull modulus and the minimum strength was not affected (Figure 9, Table 6). Therefore, in a component larger than the tested specimens (e.g., an acetabular cup), the failure would likely be governed by intrinsic flaws, whose maximum size statistically increases with material volume. Since the pore size is too small for the cells to enter, the layer thickness tested (11 µm) can be considered as a conservative estimate of the thickness necessary to promote osseointegration. Nevertheless, depending on the quantity of antibiotic which needs to be released and on the loading efficiency, a thicker layer might be required for drug loading. In this case, further study of the influence of the layer thickness on strength would be required. Finally, regarding phase transformation, the influence of selective etching is limited to a small increase in the initial volume of monoclinic phase content, without </w:t>
      </w:r>
      <w:r w:rsidRPr="00D029F7">
        <w:rPr>
          <w:rFonts w:ascii="Times New Roman" w:hAnsi="Times New Roman"/>
          <w:szCs w:val="24"/>
        </w:rPr>
        <w:lastRenderedPageBreak/>
        <w:t>any impact on LTD kinetics. The excellent resistance to ageing of ZTA is thus not compromised by the treatment.</w:t>
      </w:r>
    </w:p>
    <w:p w:rsidR="001E18F2" w:rsidRPr="00D029F7" w:rsidRDefault="001E18F2" w:rsidP="001E18F2">
      <w:pPr>
        <w:pStyle w:val="ListParagraph"/>
        <w:numPr>
          <w:ilvl w:val="0"/>
          <w:numId w:val="9"/>
        </w:numPr>
        <w:spacing w:line="480" w:lineRule="auto"/>
        <w:rPr>
          <w:rFonts w:ascii="Times New Roman" w:eastAsia="Times New Roman" w:hAnsi="Times New Roman"/>
          <w:b/>
          <w:sz w:val="24"/>
          <w:szCs w:val="24"/>
          <w:lang w:val="en-US"/>
        </w:rPr>
      </w:pPr>
      <w:r w:rsidRPr="00D029F7">
        <w:rPr>
          <w:rFonts w:ascii="Times New Roman" w:eastAsia="Times New Roman" w:hAnsi="Times New Roman"/>
          <w:b/>
          <w:sz w:val="24"/>
          <w:szCs w:val="24"/>
          <w:lang w:val="en-US"/>
        </w:rPr>
        <w:t>Conclusion</w:t>
      </w:r>
    </w:p>
    <w:p w:rsidR="001E18F2" w:rsidRPr="00D029F7" w:rsidRDefault="001E18F2" w:rsidP="001E18F2">
      <w:pPr>
        <w:spacing w:line="480" w:lineRule="auto"/>
        <w:ind w:firstLine="360"/>
        <w:rPr>
          <w:rFonts w:ascii="Times New Roman" w:hAnsi="Times New Roman"/>
          <w:szCs w:val="24"/>
        </w:rPr>
      </w:pPr>
      <w:r w:rsidRPr="00D029F7">
        <w:rPr>
          <w:rFonts w:ascii="Times New Roman" w:hAnsi="Times New Roman"/>
          <w:szCs w:val="24"/>
        </w:rPr>
        <w:t xml:space="preserve">The combination of injection molding and selective etching allows the manufacture of ZTA samples with a substantial nano-roughness superposed to a controlled micro-topography. Selective etching also enables the formation of an interconnected porous alumina layer, which can be used as a carrier for drug delivery. </w:t>
      </w:r>
      <w:r w:rsidRPr="00D029F7">
        <w:rPr>
          <w:rFonts w:ascii="Times New Roman" w:hAnsi="Times New Roman"/>
        </w:rPr>
        <w:t>The impact of selective etching on mechanical properties and hydrothermal stability is limited</w:t>
      </w:r>
      <w:r w:rsidRPr="00D029F7">
        <w:rPr>
          <w:rFonts w:ascii="Times New Roman" w:hAnsi="Times New Roman"/>
          <w:szCs w:val="24"/>
        </w:rPr>
        <w:t>. Future studies will aim to optimize drug loading and to assess the impact of these surface modifications on cell and bone response.</w:t>
      </w:r>
      <w:r w:rsidRPr="00D029F7">
        <w:rPr>
          <w:rFonts w:ascii="Times New Roman" w:hAnsi="Times New Roman"/>
          <w:b/>
          <w:szCs w:val="24"/>
        </w:rPr>
        <w:br w:type="page"/>
      </w:r>
    </w:p>
    <w:p w:rsidR="001E18F2" w:rsidRPr="00D029F7" w:rsidRDefault="001E18F2" w:rsidP="001E18F2">
      <w:pPr>
        <w:spacing w:line="480" w:lineRule="auto"/>
        <w:rPr>
          <w:rFonts w:ascii="Times New Roman" w:hAnsi="Times New Roman"/>
          <w:color w:val="000000"/>
        </w:rPr>
      </w:pPr>
      <w:r w:rsidRPr="00D029F7">
        <w:rPr>
          <w:rFonts w:ascii="Times New Roman" w:hAnsi="Times New Roman"/>
          <w:b/>
          <w:szCs w:val="24"/>
        </w:rPr>
        <w:lastRenderedPageBreak/>
        <w:t>Acknowledgement</w:t>
      </w:r>
    </w:p>
    <w:p w:rsidR="001E18F2" w:rsidRPr="00D029F7" w:rsidRDefault="001E18F2" w:rsidP="001E18F2">
      <w:pPr>
        <w:spacing w:line="480" w:lineRule="auto"/>
        <w:rPr>
          <w:rFonts w:ascii="Times New Roman" w:hAnsi="Times New Roman"/>
          <w:szCs w:val="24"/>
        </w:rPr>
      </w:pPr>
      <w:r w:rsidRPr="00D029F7">
        <w:rPr>
          <w:rFonts w:ascii="Times New Roman" w:hAnsi="Times New Roman"/>
          <w:szCs w:val="24"/>
        </w:rPr>
        <w:t>The authors would like to acknowledge the European Commission funding under the 7th Framework Programme (Marie Curie Initial Training Networks; grant number: 289958, Bioceramics for bone repair), the support of the Ministry of Economy and Competitiveness (MINECO) of Spain (project ref. MAT2014-60720-R) and the Government of Catalonia for the grant 2014SGR0137. The authors would also like to thank Dr. Trifon Trifonov for his help related to FIB sessions, Dr. Montserrat Dominguez for her help related to XPS analysis, and Dr. Yassine Maazouz and Dr. David Pastorino for their valuable advice regarding the drug delivery experiments.</w:t>
      </w:r>
    </w:p>
    <w:p w:rsidR="001E18F2" w:rsidRPr="00D029F7" w:rsidRDefault="001E18F2" w:rsidP="001E18F2">
      <w:pPr>
        <w:spacing w:line="480" w:lineRule="auto"/>
        <w:rPr>
          <w:rFonts w:ascii="Times New Roman" w:hAnsi="Times New Roman"/>
          <w:b/>
          <w:szCs w:val="24"/>
        </w:rPr>
      </w:pPr>
      <w:r w:rsidRPr="00D029F7">
        <w:rPr>
          <w:rFonts w:ascii="Times New Roman" w:hAnsi="Times New Roman"/>
          <w:b/>
          <w:szCs w:val="24"/>
        </w:rPr>
        <w:t>Disclosures</w:t>
      </w:r>
    </w:p>
    <w:p w:rsidR="001E18F2" w:rsidRPr="00D029F7" w:rsidRDefault="001E18F2" w:rsidP="001E18F2">
      <w:pPr>
        <w:spacing w:line="480" w:lineRule="auto"/>
        <w:rPr>
          <w:rFonts w:ascii="Times New Roman" w:hAnsi="Times New Roman"/>
          <w:szCs w:val="24"/>
        </w:rPr>
      </w:pPr>
      <w:r w:rsidRPr="00D029F7">
        <w:rPr>
          <w:rFonts w:ascii="Times New Roman" w:hAnsi="Times New Roman"/>
          <w:color w:val="000000"/>
        </w:rPr>
        <w:t xml:space="preserve">Meinhard Kuntz is employed full time by the German company CeramTec GmbH, which produces ceramic components for joint replacements. Katia Biotteau was employed by CeramTec GmbH for 12 months. Other authors have no conflict of interest </w:t>
      </w:r>
      <w:r w:rsidRPr="00D029F7">
        <w:rPr>
          <w:rFonts w:ascii="Times New Roman" w:hAnsi="Times New Roman"/>
          <w:szCs w:val="24"/>
        </w:rPr>
        <w:t>to declare.</w:t>
      </w:r>
    </w:p>
    <w:p w:rsidR="001E18F2" w:rsidRPr="00D029F7" w:rsidRDefault="001E18F2" w:rsidP="001E18F2">
      <w:pPr>
        <w:spacing w:line="480" w:lineRule="auto"/>
        <w:rPr>
          <w:rFonts w:ascii="Times New Roman" w:hAnsi="Times New Roman"/>
          <w:szCs w:val="24"/>
        </w:rPr>
      </w:pPr>
      <w:r w:rsidRPr="00D029F7">
        <w:rPr>
          <w:rFonts w:ascii="Times New Roman" w:hAnsi="Times New Roman"/>
          <w:b/>
          <w:szCs w:val="24"/>
        </w:rPr>
        <w:t>Abbreviations</w:t>
      </w:r>
    </w:p>
    <w:p w:rsidR="001E18F2" w:rsidRPr="00D029F7" w:rsidRDefault="001E18F2" w:rsidP="001E18F2">
      <w:pPr>
        <w:spacing w:line="480" w:lineRule="auto"/>
        <w:rPr>
          <w:rFonts w:ascii="Times New Roman" w:hAnsi="Times New Roman"/>
          <w:szCs w:val="24"/>
        </w:rPr>
      </w:pPr>
      <w:r w:rsidRPr="00D029F7">
        <w:rPr>
          <w:rFonts w:ascii="Times New Roman" w:hAnsi="Times New Roman"/>
          <w:szCs w:val="24"/>
        </w:rPr>
        <w:t>AFM, Atomic Force Microscopy; DPPC, 1,2-dipalmitoyl-</w:t>
      </w:r>
      <w:r w:rsidRPr="00D029F7">
        <w:rPr>
          <w:rFonts w:ascii="Times New Roman" w:hAnsi="Times New Roman"/>
          <w:i/>
          <w:szCs w:val="24"/>
        </w:rPr>
        <w:t>sn</w:t>
      </w:r>
      <w:r w:rsidRPr="00D029F7">
        <w:rPr>
          <w:rFonts w:ascii="Times New Roman" w:hAnsi="Times New Roman"/>
          <w:szCs w:val="24"/>
        </w:rPr>
        <w:t xml:space="preserve">-glycero-3-phosphocholine; FE, Finite Elements; FIB, Focused Ion Beam; HCl, Hydrochloric acid; HF, Hydrofluoric acid; LTD, Low Temperature Degradation; OPA, </w:t>
      </w:r>
      <w:r w:rsidRPr="00D029F7">
        <w:rPr>
          <w:rFonts w:ascii="Times New Roman" w:hAnsi="Times New Roman"/>
          <w:i/>
          <w:szCs w:val="24"/>
        </w:rPr>
        <w:t>o</w:t>
      </w:r>
      <w:r w:rsidRPr="00D029F7">
        <w:rPr>
          <w:rFonts w:ascii="Times New Roman" w:hAnsi="Times New Roman"/>
          <w:szCs w:val="24"/>
        </w:rPr>
        <w:t xml:space="preserve">-phtaldialdehyde; PBS, Phosphate Buffered Saline; SEM, Scanning Electron Microscopy; WLI, White Light Interferometry; XPS, X-ray Photoelectron Spectroscopy; Y-TZP, </w:t>
      </w:r>
      <w:r w:rsidRPr="00D029F7">
        <w:rPr>
          <w:rFonts w:ascii="Times New Roman" w:hAnsi="Times New Roman"/>
        </w:rPr>
        <w:t>Yttria-stabilized Tetragonal Zirconia Polycrystal</w:t>
      </w:r>
      <w:r w:rsidRPr="00D029F7">
        <w:rPr>
          <w:rFonts w:ascii="Times New Roman" w:hAnsi="Times New Roman"/>
          <w:szCs w:val="24"/>
        </w:rPr>
        <w:t>; ZTA, Zirconia Toughened Alumina</w:t>
      </w:r>
    </w:p>
    <w:p w:rsidR="001E18F2" w:rsidRPr="00D029F7" w:rsidRDefault="001E18F2" w:rsidP="001E18F2">
      <w:pPr>
        <w:spacing w:after="0"/>
        <w:jc w:val="left"/>
        <w:rPr>
          <w:rFonts w:ascii="Times New Roman" w:hAnsi="Times New Roman"/>
          <w:szCs w:val="24"/>
        </w:rPr>
      </w:pPr>
      <w:r w:rsidRPr="00D029F7">
        <w:rPr>
          <w:rFonts w:ascii="Times New Roman" w:hAnsi="Times New Roman"/>
          <w:szCs w:val="24"/>
        </w:rPr>
        <w:br w:type="page"/>
      </w:r>
    </w:p>
    <w:p w:rsidR="001E18F2" w:rsidRPr="00D029F7" w:rsidRDefault="001E18F2" w:rsidP="001E18F2">
      <w:pPr>
        <w:spacing w:after="0" w:line="480" w:lineRule="auto"/>
        <w:rPr>
          <w:rFonts w:ascii="Times New Roman" w:hAnsi="Times New Roman"/>
          <w:b/>
          <w:szCs w:val="24"/>
        </w:rPr>
      </w:pPr>
      <w:r w:rsidRPr="00D029F7">
        <w:rPr>
          <w:rFonts w:ascii="Times New Roman" w:hAnsi="Times New Roman"/>
          <w:b/>
          <w:szCs w:val="24"/>
        </w:rPr>
        <w:lastRenderedPageBreak/>
        <w:t>References</w:t>
      </w:r>
    </w:p>
    <w:p w:rsidR="001E18F2" w:rsidRPr="00D029F7" w:rsidRDefault="001E18F2" w:rsidP="001E18F2">
      <w:pPr>
        <w:pStyle w:val="NormalWeb"/>
        <w:ind w:left="640" w:hanging="640"/>
        <w:rPr>
          <w:noProof/>
          <w:lang w:val="en-US"/>
        </w:rPr>
      </w:pPr>
      <w:r w:rsidRPr="00D029F7">
        <w:rPr>
          <w:noProof/>
          <w:lang w:val="en-US"/>
        </w:rPr>
        <w:t>[1]</w:t>
      </w:r>
      <w:r w:rsidRPr="00D029F7">
        <w:rPr>
          <w:noProof/>
          <w:lang w:val="en-US"/>
        </w:rPr>
        <w:tab/>
        <w:t>S.M. Kurtz, S. Kocagöz, C. Arnholt, R. Huet, M. Ueno, W.L. Walter, Advances in zirconia toughened alumina biomaterials for total joint replacement, J. Mech. Behav. Biomed. Mater. 31 (2014) 107–116.</w:t>
      </w:r>
    </w:p>
    <w:p w:rsidR="001E18F2" w:rsidRPr="00D029F7" w:rsidRDefault="001E18F2" w:rsidP="001E18F2">
      <w:pPr>
        <w:pStyle w:val="NormalWeb"/>
        <w:ind w:left="640" w:hanging="640"/>
        <w:rPr>
          <w:noProof/>
          <w:lang w:val="en-US"/>
        </w:rPr>
      </w:pPr>
      <w:r w:rsidRPr="00D029F7">
        <w:rPr>
          <w:noProof/>
          <w:lang w:val="en-US"/>
        </w:rPr>
        <w:t>[2]</w:t>
      </w:r>
      <w:r w:rsidRPr="00D029F7">
        <w:rPr>
          <w:noProof/>
          <w:lang w:val="en-US"/>
        </w:rPr>
        <w:tab/>
        <w:t>O. Roualdes, M.E. Duclos, D. Gutknecht, L. Frappart, J. Chevalier, D.J. Hartmann, In vitro and in vivo evaluation of an alumina-zirconia composite for arthroplasty applications, Biomaterials. 31 (2010) 2043–2054.</w:t>
      </w:r>
    </w:p>
    <w:p w:rsidR="001E18F2" w:rsidRPr="00D029F7" w:rsidRDefault="001E18F2" w:rsidP="001E18F2">
      <w:pPr>
        <w:pStyle w:val="NormalWeb"/>
        <w:ind w:left="640" w:hanging="640"/>
        <w:rPr>
          <w:noProof/>
          <w:lang w:val="en-US"/>
        </w:rPr>
      </w:pPr>
      <w:r w:rsidRPr="00D029F7">
        <w:rPr>
          <w:noProof/>
          <w:lang w:val="en-US"/>
        </w:rPr>
        <w:t>[3]</w:t>
      </w:r>
      <w:r w:rsidRPr="00D029F7">
        <w:rPr>
          <w:noProof/>
          <w:lang w:val="en-US"/>
        </w:rPr>
        <w:tab/>
        <w:t>G. Pezzotti, K. Yamada, A.A. Porporati, M. Kuntz, K. Yamamoto, Fracture toughness analysis of advanced ceramic composite for hip prosthesis, J. Am. Ceram. Soc. 92 (2009) 1817–1822.</w:t>
      </w:r>
    </w:p>
    <w:p w:rsidR="001E18F2" w:rsidRPr="00D029F7" w:rsidRDefault="001E18F2" w:rsidP="001E18F2">
      <w:pPr>
        <w:pStyle w:val="NormalWeb"/>
        <w:ind w:left="640" w:hanging="640"/>
        <w:rPr>
          <w:noProof/>
          <w:lang w:val="en-US"/>
        </w:rPr>
      </w:pPr>
      <w:r w:rsidRPr="00D029F7">
        <w:rPr>
          <w:noProof/>
          <w:lang w:val="en-US"/>
        </w:rPr>
        <w:t>[4]</w:t>
      </w:r>
      <w:r w:rsidRPr="00D029F7">
        <w:rPr>
          <w:noProof/>
          <w:lang w:val="en-US"/>
        </w:rPr>
        <w:tab/>
        <w:t>A.H. De Aza, J. Chevalier, G. Fantozzi, M. Schehl, R. Torrecillas, Crack growth resistance of alumina, zirconia and zirconia toughened alumina ceramics for joint prostheses, Biomaterials. 23 (2002) 937–945.</w:t>
      </w:r>
    </w:p>
    <w:p w:rsidR="001E18F2" w:rsidRPr="00D029F7" w:rsidRDefault="001E18F2" w:rsidP="001E18F2">
      <w:pPr>
        <w:pStyle w:val="NormalWeb"/>
        <w:ind w:left="640" w:hanging="640"/>
        <w:rPr>
          <w:noProof/>
          <w:lang w:val="en-US"/>
        </w:rPr>
      </w:pPr>
      <w:r w:rsidRPr="00D029F7">
        <w:rPr>
          <w:noProof/>
          <w:lang w:val="en-US"/>
        </w:rPr>
        <w:t>[5]</w:t>
      </w:r>
      <w:r w:rsidRPr="00D029F7">
        <w:rPr>
          <w:noProof/>
          <w:lang w:val="en-US"/>
        </w:rPr>
        <w:tab/>
        <w:t>C. Piconi, G. Maccauro, F. Muratori, Alumina Matrix Composites in Arthroplasty, Key Eng. Mater. 284-286 (2005) 979–982. doi:10.4028/www.scientific.net/KEM.284-286.979.</w:t>
      </w:r>
    </w:p>
    <w:p w:rsidR="001E18F2" w:rsidRPr="00D029F7" w:rsidRDefault="001E18F2" w:rsidP="001E18F2">
      <w:pPr>
        <w:pStyle w:val="NormalWeb"/>
        <w:ind w:left="640" w:hanging="640"/>
        <w:rPr>
          <w:noProof/>
          <w:lang w:val="en-US"/>
        </w:rPr>
      </w:pPr>
      <w:r w:rsidRPr="00D029F7">
        <w:rPr>
          <w:noProof/>
          <w:lang w:val="en-US"/>
        </w:rPr>
        <w:t>[6]</w:t>
      </w:r>
      <w:r w:rsidRPr="00D029F7">
        <w:rPr>
          <w:noProof/>
          <w:lang w:val="en-US"/>
        </w:rPr>
        <w:tab/>
        <w:t>K. Lee, S.B. Goodman, Current state and future of joint replacements in the hip and knee., Expert Rev. Med. Devices. 5 (2008) 383–93.</w:t>
      </w:r>
    </w:p>
    <w:p w:rsidR="001E18F2" w:rsidRPr="00D029F7" w:rsidRDefault="001E18F2" w:rsidP="001E18F2">
      <w:pPr>
        <w:pStyle w:val="NormalWeb"/>
        <w:ind w:left="640" w:hanging="640"/>
        <w:rPr>
          <w:noProof/>
          <w:lang w:val="en-US"/>
        </w:rPr>
      </w:pPr>
      <w:r w:rsidRPr="00D029F7">
        <w:rPr>
          <w:noProof/>
          <w:lang w:val="en-US"/>
        </w:rPr>
        <w:t>[7]</w:t>
      </w:r>
      <w:r w:rsidRPr="00D029F7">
        <w:rPr>
          <w:noProof/>
          <w:lang w:val="en-US"/>
        </w:rPr>
        <w:tab/>
        <w:t>L.L. Hench, Bioceramics: From Concept to Clinic, J. Am. Ceram. Soc. 74 (1991) 1487–1510.</w:t>
      </w:r>
    </w:p>
    <w:p w:rsidR="001E18F2" w:rsidRPr="00D029F7" w:rsidRDefault="001E18F2" w:rsidP="001E18F2">
      <w:pPr>
        <w:pStyle w:val="NormalWeb"/>
        <w:ind w:left="640" w:hanging="640"/>
        <w:rPr>
          <w:noProof/>
          <w:lang w:val="en-US"/>
        </w:rPr>
      </w:pPr>
      <w:r w:rsidRPr="00D029F7">
        <w:rPr>
          <w:noProof/>
          <w:lang w:val="en-US"/>
        </w:rPr>
        <w:t>[8]</w:t>
      </w:r>
      <w:r w:rsidRPr="00D029F7">
        <w:rPr>
          <w:noProof/>
          <w:lang w:val="en-US"/>
        </w:rPr>
        <w:tab/>
        <w:t>M. Sundfeldt, L. V Carlsson, C.B. Johansson, P. Thomsen, C. Gretzer, Aseptic loosening, not only a question of wear: a review of different theories., Acta Orthop. 77 (2006) 177–97.</w:t>
      </w:r>
    </w:p>
    <w:p w:rsidR="001E18F2" w:rsidRPr="00D029F7" w:rsidRDefault="001E18F2" w:rsidP="001E18F2">
      <w:pPr>
        <w:pStyle w:val="NormalWeb"/>
        <w:ind w:left="640" w:hanging="640"/>
        <w:rPr>
          <w:noProof/>
          <w:lang w:val="en-US"/>
        </w:rPr>
      </w:pPr>
      <w:r w:rsidRPr="00D029F7">
        <w:rPr>
          <w:noProof/>
          <w:lang w:val="en-US"/>
        </w:rPr>
        <w:t>[9]</w:t>
      </w:r>
      <w:r w:rsidRPr="00D029F7">
        <w:rPr>
          <w:noProof/>
          <w:lang w:val="en-US"/>
        </w:rPr>
        <w:tab/>
        <w:t>R. Burgkart, E. Steinhauser, M. Grassel, M. Kuntz, Direct to bone - possible ceramic solutions for monolithic hip implants, Biol. Symp. 11 (2006) 259–262.</w:t>
      </w:r>
    </w:p>
    <w:p w:rsidR="001E18F2" w:rsidRPr="00D029F7" w:rsidRDefault="001E18F2" w:rsidP="001E18F2">
      <w:pPr>
        <w:pStyle w:val="NormalWeb"/>
        <w:ind w:left="640" w:hanging="640"/>
        <w:rPr>
          <w:noProof/>
          <w:lang w:val="en-US"/>
        </w:rPr>
      </w:pPr>
      <w:r w:rsidRPr="00D029F7">
        <w:rPr>
          <w:noProof/>
          <w:lang w:val="en-US"/>
        </w:rPr>
        <w:t>[10]</w:t>
      </w:r>
      <w:r w:rsidRPr="00D029F7">
        <w:rPr>
          <w:noProof/>
          <w:lang w:val="en-US"/>
        </w:rPr>
        <w:tab/>
        <w:t>S. Kurtz, Prevalence of Primary and Revision Total Hip and Knee Arthroplasty in the United States From 1990 Through 2002, J. Bone Jt. Surg. 87 (2005) 1487. doi:10.2106/JBJS.D.02441.</w:t>
      </w:r>
    </w:p>
    <w:p w:rsidR="001E18F2" w:rsidRPr="00D029F7" w:rsidRDefault="001E18F2" w:rsidP="001E18F2">
      <w:pPr>
        <w:pStyle w:val="NormalWeb"/>
        <w:ind w:left="640" w:hanging="640"/>
        <w:rPr>
          <w:noProof/>
          <w:lang w:val="en-US"/>
        </w:rPr>
      </w:pPr>
      <w:r w:rsidRPr="00D029F7">
        <w:rPr>
          <w:noProof/>
          <w:lang w:val="en-US"/>
        </w:rPr>
        <w:t>[11]</w:t>
      </w:r>
      <w:r w:rsidRPr="00D029F7">
        <w:rPr>
          <w:noProof/>
          <w:lang w:val="en-US"/>
        </w:rPr>
        <w:tab/>
        <w:t>K.J. Bozic, S.M. Kurtz, E. Lau, K. Ong, T.P. Vail, D.J. Berry, The Epidemiology of Revision Total Hip Arthroplasty in the United States, J. Bone Jt. Surg. 91 (2009) 128–133.</w:t>
      </w:r>
    </w:p>
    <w:p w:rsidR="001E18F2" w:rsidRPr="00D029F7" w:rsidRDefault="001E18F2" w:rsidP="001E18F2">
      <w:pPr>
        <w:pStyle w:val="NormalWeb"/>
        <w:ind w:left="640" w:hanging="640"/>
        <w:rPr>
          <w:noProof/>
          <w:lang w:val="en-US"/>
        </w:rPr>
      </w:pPr>
      <w:r w:rsidRPr="00D029F7">
        <w:rPr>
          <w:noProof/>
          <w:lang w:val="en-US"/>
        </w:rPr>
        <w:t>[12]</w:t>
      </w:r>
      <w:r w:rsidRPr="00D029F7">
        <w:rPr>
          <w:noProof/>
          <w:lang w:val="en-US"/>
        </w:rPr>
        <w:tab/>
        <w:t>K.J. Bozic, S.M. Kurtz, E. Lau, K. Ong, V. Chiu, T.P. Vail, H.E. Rubash, D.J. Berry, The epidemiology of revision total knee arthroplasty in the united states, in: Clin. Orthop. Relat. Res., 2010: pp. 45–51.</w:t>
      </w:r>
    </w:p>
    <w:p w:rsidR="001E18F2" w:rsidRPr="00D029F7" w:rsidRDefault="001E18F2" w:rsidP="001E18F2">
      <w:pPr>
        <w:pStyle w:val="NormalWeb"/>
        <w:ind w:left="640" w:hanging="640"/>
        <w:rPr>
          <w:noProof/>
          <w:lang w:val="en-US"/>
        </w:rPr>
      </w:pPr>
      <w:r w:rsidRPr="00D029F7">
        <w:rPr>
          <w:noProof/>
          <w:lang w:val="en-US"/>
        </w:rPr>
        <w:lastRenderedPageBreak/>
        <w:t>[13]</w:t>
      </w:r>
      <w:r w:rsidRPr="00D029F7">
        <w:rPr>
          <w:noProof/>
          <w:lang w:val="en-US"/>
        </w:rPr>
        <w:tab/>
        <w:t>J. Raphel, M. Holodniy, S.B. Goodman, S.C. Heilshorn, Multifunctional Coatings to Simultaneously Promote Osseointegration and Prevent Infection of Orthopaedic Implants, Elsevier Ltd, 2016. doi:10.1016/j.biomaterials.2016.01.016.</w:t>
      </w:r>
    </w:p>
    <w:p w:rsidR="001E18F2" w:rsidRPr="00D029F7" w:rsidRDefault="001E18F2" w:rsidP="001E18F2">
      <w:pPr>
        <w:pStyle w:val="NormalWeb"/>
        <w:ind w:left="640" w:hanging="640"/>
        <w:rPr>
          <w:noProof/>
          <w:lang w:val="en-US"/>
        </w:rPr>
      </w:pPr>
      <w:r w:rsidRPr="00D029F7">
        <w:rPr>
          <w:noProof/>
          <w:lang w:val="en-US"/>
        </w:rPr>
        <w:t>[14]</w:t>
      </w:r>
      <w:r w:rsidRPr="00D029F7">
        <w:rPr>
          <w:noProof/>
          <w:lang w:val="en-US"/>
        </w:rPr>
        <w:tab/>
        <w:t>J.W. Costerton, Bacterial bofilms: a common cause of persistent infections, Science (80-. ). 284 (1999) 1318–1322.</w:t>
      </w:r>
    </w:p>
    <w:p w:rsidR="001E18F2" w:rsidRPr="00D029F7" w:rsidRDefault="001E18F2" w:rsidP="001E18F2">
      <w:pPr>
        <w:pStyle w:val="NormalWeb"/>
        <w:ind w:left="640" w:hanging="640"/>
        <w:rPr>
          <w:noProof/>
          <w:lang w:val="en-US"/>
        </w:rPr>
      </w:pPr>
      <w:r w:rsidRPr="00D029F7">
        <w:rPr>
          <w:noProof/>
          <w:lang w:val="en-US"/>
        </w:rPr>
        <w:t>[15]</w:t>
      </w:r>
      <w:r w:rsidRPr="00D029F7">
        <w:rPr>
          <w:noProof/>
          <w:lang w:val="en-US"/>
        </w:rPr>
        <w:tab/>
        <w:t>A.G. Gristina, P. Naylor, Q. Myrvik, Infections from biomaterials and implants: a race for the surface., Med. Prog. Technol. 14 (1987) 205–224.</w:t>
      </w:r>
    </w:p>
    <w:p w:rsidR="001E18F2" w:rsidRPr="00D029F7" w:rsidRDefault="001E18F2" w:rsidP="001E18F2">
      <w:pPr>
        <w:pStyle w:val="NormalWeb"/>
        <w:ind w:left="640" w:hanging="640"/>
        <w:rPr>
          <w:noProof/>
          <w:lang w:val="en-US"/>
        </w:rPr>
      </w:pPr>
      <w:r w:rsidRPr="00D029F7">
        <w:rPr>
          <w:noProof/>
          <w:lang w:val="en-US"/>
        </w:rPr>
        <w:t>[16]</w:t>
      </w:r>
      <w:r w:rsidRPr="00D029F7">
        <w:rPr>
          <w:noProof/>
          <w:lang w:val="en-US"/>
        </w:rPr>
        <w:tab/>
        <w:t>H.J. Busscher, H.C. van der Mei, G. Subbiahdoss, P.C. Jutte, J.J. a. M. van den Dungen, S. a. J. Zaat, M.J. Schultz, D.W. Grainger, Biomaterial-Associated Infection: Locating the Finish Line in the Race for the Surface, Sci. Transl. Med. 4 (2012) 153rv10–153rv10.</w:t>
      </w:r>
    </w:p>
    <w:p w:rsidR="001E18F2" w:rsidRPr="00D029F7" w:rsidRDefault="001E18F2" w:rsidP="001E18F2">
      <w:pPr>
        <w:pStyle w:val="NormalWeb"/>
        <w:ind w:left="640" w:hanging="640"/>
        <w:rPr>
          <w:noProof/>
          <w:lang w:val="en-US"/>
        </w:rPr>
      </w:pPr>
      <w:r w:rsidRPr="00D029F7">
        <w:rPr>
          <w:noProof/>
          <w:lang w:val="en-US"/>
        </w:rPr>
        <w:t>[17]</w:t>
      </w:r>
      <w:r w:rsidRPr="00D029F7">
        <w:rPr>
          <w:noProof/>
          <w:lang w:val="en-US"/>
        </w:rPr>
        <w:tab/>
        <w:t>C. Zink, H. Hall, D.M. Brunette, N.D. Spencer, Orthogonal nanometer-micrometer roughness gradients probe morphological influences on cell behavior., Biomaterials. 33 (2012) 8055–61.</w:t>
      </w:r>
    </w:p>
    <w:p w:rsidR="001E18F2" w:rsidRPr="00D029F7" w:rsidRDefault="001E18F2" w:rsidP="001E18F2">
      <w:pPr>
        <w:pStyle w:val="NormalWeb"/>
        <w:ind w:left="640" w:hanging="640"/>
        <w:rPr>
          <w:noProof/>
          <w:lang w:val="en-US"/>
        </w:rPr>
      </w:pPr>
      <w:r w:rsidRPr="00D029F7">
        <w:rPr>
          <w:noProof/>
          <w:lang w:val="en-US"/>
        </w:rPr>
        <w:t>[18]</w:t>
      </w:r>
      <w:r w:rsidRPr="00D029F7">
        <w:rPr>
          <w:noProof/>
          <w:lang w:val="en-US"/>
        </w:rPr>
        <w:tab/>
        <w:t>A. Wennerberg, T. Albrektsson, On implant surfaces: a review of current knowledge and opinions., Int. J. Oral Maxillofac. Implants. 25 (2009) 63–74.</w:t>
      </w:r>
    </w:p>
    <w:p w:rsidR="001E18F2" w:rsidRPr="00D029F7" w:rsidRDefault="001E18F2" w:rsidP="001E18F2">
      <w:pPr>
        <w:pStyle w:val="NormalWeb"/>
        <w:ind w:left="640" w:hanging="640"/>
        <w:rPr>
          <w:noProof/>
          <w:lang w:val="en-US"/>
        </w:rPr>
      </w:pPr>
      <w:r w:rsidRPr="00D029F7">
        <w:rPr>
          <w:noProof/>
          <w:lang w:val="en-US"/>
        </w:rPr>
        <w:t>[19]</w:t>
      </w:r>
      <w:r w:rsidRPr="00D029F7">
        <w:rPr>
          <w:noProof/>
          <w:lang w:val="en-US"/>
        </w:rPr>
        <w:tab/>
        <w:t>P.G. Coelho, R. Jimbo, N. Tovar, E. a Bonfante, Osseointegration: hierarchical designing encompassing the macrometer, micrometer, and nanometer length scales., Dent. Mater. 31 (2015) 37–52.</w:t>
      </w:r>
    </w:p>
    <w:p w:rsidR="001E18F2" w:rsidRPr="00D029F7" w:rsidRDefault="001E18F2" w:rsidP="001E18F2">
      <w:pPr>
        <w:pStyle w:val="NormalWeb"/>
        <w:ind w:left="640" w:hanging="640"/>
        <w:rPr>
          <w:noProof/>
          <w:lang w:val="en-US"/>
        </w:rPr>
      </w:pPr>
      <w:r w:rsidRPr="00D029F7">
        <w:rPr>
          <w:noProof/>
          <w:lang w:val="en-US"/>
        </w:rPr>
        <w:t>[20]</w:t>
      </w:r>
      <w:r w:rsidRPr="00D029F7">
        <w:rPr>
          <w:noProof/>
          <w:lang w:val="en-US"/>
        </w:rPr>
        <w:tab/>
        <w:t>Y.S. Park, S.H. Chung, W.J. Shon, Peri-implant bone formation and surface characteristics of rough surface zirconia implants manufactured by powder injection molding technique in rabbit tibiae, Clin. Oral Implants Res. 24 (2013) 586–591.</w:t>
      </w:r>
    </w:p>
    <w:p w:rsidR="001E18F2" w:rsidRPr="00D029F7" w:rsidRDefault="001E18F2" w:rsidP="001E18F2">
      <w:pPr>
        <w:pStyle w:val="NormalWeb"/>
        <w:ind w:left="640" w:hanging="640"/>
        <w:rPr>
          <w:noProof/>
          <w:lang w:val="en-US"/>
        </w:rPr>
      </w:pPr>
      <w:r w:rsidRPr="00D029F7">
        <w:rPr>
          <w:noProof/>
          <w:lang w:val="en-US"/>
        </w:rPr>
        <w:t>[21]</w:t>
      </w:r>
      <w:r w:rsidRPr="00D029F7">
        <w:rPr>
          <w:noProof/>
          <w:lang w:val="en-US"/>
        </w:rPr>
        <w:tab/>
        <w:t>R. Gadow, F. Kern, Pressureless Sintering of Injection Molded Zirconia Toughened Alumina Nanocomposites, J. Ceram. Soc. Japan. 114 (2006) 958–962.</w:t>
      </w:r>
    </w:p>
    <w:p w:rsidR="001E18F2" w:rsidRPr="00D029F7" w:rsidRDefault="001E18F2" w:rsidP="001E18F2">
      <w:pPr>
        <w:pStyle w:val="NormalWeb"/>
        <w:ind w:left="640" w:hanging="640"/>
        <w:rPr>
          <w:noProof/>
          <w:lang w:val="en-US"/>
        </w:rPr>
      </w:pPr>
      <w:r w:rsidRPr="00D029F7">
        <w:rPr>
          <w:noProof/>
          <w:lang w:val="en-US"/>
        </w:rPr>
        <w:t>[22]</w:t>
      </w:r>
      <w:r w:rsidRPr="00D029F7">
        <w:rPr>
          <w:noProof/>
          <w:lang w:val="en-US"/>
        </w:rPr>
        <w:tab/>
        <w:t>M.A. Elezz, F. Kern, R. Gadow, Manufacturing of ZTA composites for biomedical applications, in: Int. Conf. Eng. Technol. ICET 2012 - Conf. Bookl., 2012: pp. 10–14. doi:10.1109/ICEngTechnol.2012.6396123.</w:t>
      </w:r>
    </w:p>
    <w:p w:rsidR="001E18F2" w:rsidRPr="00D029F7" w:rsidRDefault="001E18F2" w:rsidP="001E18F2">
      <w:pPr>
        <w:pStyle w:val="NormalWeb"/>
        <w:ind w:left="640" w:hanging="640"/>
        <w:rPr>
          <w:noProof/>
          <w:lang w:val="en-US"/>
        </w:rPr>
      </w:pPr>
      <w:r w:rsidRPr="00D029F7">
        <w:rPr>
          <w:noProof/>
          <w:lang w:val="en-US"/>
        </w:rPr>
        <w:t>[23]</w:t>
      </w:r>
      <w:r w:rsidRPr="00D029F7">
        <w:rPr>
          <w:noProof/>
          <w:lang w:val="en-US"/>
        </w:rPr>
        <w:tab/>
        <w:t>F. Sommer, H. Walcher, F. Kern, M. Maetzig, R. Gadow, Influence of feedstock preparation on ceramic injection molding and microstructural features of zirconia toughened alumina, J. Eur. Ceram. Soc. 34 (2014) 745–751.</w:t>
      </w:r>
    </w:p>
    <w:p w:rsidR="001E18F2" w:rsidRPr="00D029F7" w:rsidRDefault="001E18F2" w:rsidP="001E18F2">
      <w:pPr>
        <w:pStyle w:val="NormalWeb"/>
        <w:ind w:left="640" w:hanging="640"/>
        <w:rPr>
          <w:noProof/>
          <w:lang w:val="en-US"/>
        </w:rPr>
      </w:pPr>
      <w:r w:rsidRPr="00D029F7">
        <w:rPr>
          <w:noProof/>
          <w:lang w:val="en-US"/>
        </w:rPr>
        <w:t>[24]</w:t>
      </w:r>
      <w:r w:rsidRPr="00D029F7">
        <w:rPr>
          <w:noProof/>
          <w:lang w:val="en-US"/>
        </w:rPr>
        <w:tab/>
        <w:t>S. Md Ani, A. Muchtar, N. Muhamad, J. a. Ghani, Fabrication of zirconia-toughened alumina parts by powder injection molding process: Optimized processing parameters, Ceram. Int. 40 (2014) 273–280.</w:t>
      </w:r>
    </w:p>
    <w:p w:rsidR="001E18F2" w:rsidRPr="00D029F7" w:rsidRDefault="001E18F2" w:rsidP="001E18F2">
      <w:pPr>
        <w:pStyle w:val="NormalWeb"/>
        <w:ind w:left="640" w:hanging="640"/>
        <w:rPr>
          <w:noProof/>
          <w:lang w:val="en-US"/>
        </w:rPr>
      </w:pPr>
      <w:r w:rsidRPr="00D029F7">
        <w:rPr>
          <w:noProof/>
          <w:lang w:val="en-US"/>
        </w:rPr>
        <w:lastRenderedPageBreak/>
        <w:t>[25]</w:t>
      </w:r>
      <w:r w:rsidRPr="00D029F7">
        <w:rPr>
          <w:noProof/>
          <w:lang w:val="en-US"/>
        </w:rPr>
        <w:tab/>
        <w:t>S. Kapoor, R. Hegde, A.J. Bhattacharyya, Influence of surface chemistry of mesoporous alumina with wide pore distribution on controlled drug release, J. Control. Release. 140 (2009) 34–39.</w:t>
      </w:r>
    </w:p>
    <w:p w:rsidR="001E18F2" w:rsidRPr="00D029F7" w:rsidRDefault="001E18F2" w:rsidP="001E18F2">
      <w:pPr>
        <w:pStyle w:val="NormalWeb"/>
        <w:ind w:left="640" w:hanging="640"/>
        <w:rPr>
          <w:noProof/>
          <w:lang w:val="en-US"/>
        </w:rPr>
      </w:pPr>
      <w:r w:rsidRPr="00D029F7">
        <w:rPr>
          <w:noProof/>
          <w:lang w:val="en-US"/>
        </w:rPr>
        <w:t>[26]</w:t>
      </w:r>
      <w:r w:rsidRPr="00D029F7">
        <w:rPr>
          <w:noProof/>
          <w:lang w:val="en-US"/>
        </w:rPr>
        <w:tab/>
        <w:t>E. Gultepe, D. Nagesha, S. Sridhar, M. Amiji, Nanoporous inorganic membranes or coatings for sustained drug delivery in implantable devices, Adv. Drug Deliv. Rev. 62 (2010) 305–315.</w:t>
      </w:r>
    </w:p>
    <w:p w:rsidR="001E18F2" w:rsidRPr="00D029F7" w:rsidRDefault="001E18F2" w:rsidP="001E18F2">
      <w:pPr>
        <w:pStyle w:val="NormalWeb"/>
        <w:ind w:left="640" w:hanging="640"/>
        <w:rPr>
          <w:noProof/>
          <w:lang w:val="en-US"/>
        </w:rPr>
      </w:pPr>
      <w:r w:rsidRPr="00D029F7">
        <w:rPr>
          <w:noProof/>
          <w:lang w:val="en-US"/>
        </w:rPr>
        <w:t>[27]</w:t>
      </w:r>
      <w:r w:rsidRPr="00D029F7">
        <w:rPr>
          <w:noProof/>
          <w:lang w:val="en-US"/>
        </w:rPr>
        <w:tab/>
        <w:t>A. Krajewski, A. Ravaglioli, E. Roncari, P. Pinasco, L. Montanari, Porous ceramic bodies for drug delivery, J. Mater. Sci. Mater. Med. 11 (2000) 763–771.</w:t>
      </w:r>
    </w:p>
    <w:p w:rsidR="001E18F2" w:rsidRPr="00D029F7" w:rsidRDefault="001E18F2" w:rsidP="001E18F2">
      <w:pPr>
        <w:pStyle w:val="NormalWeb"/>
        <w:ind w:left="640" w:hanging="640"/>
        <w:rPr>
          <w:noProof/>
          <w:lang w:val="en-US"/>
        </w:rPr>
      </w:pPr>
      <w:r w:rsidRPr="00D029F7">
        <w:rPr>
          <w:noProof/>
          <w:lang w:val="en-US"/>
        </w:rPr>
        <w:t>[28]</w:t>
      </w:r>
      <w:r w:rsidRPr="00D029F7">
        <w:rPr>
          <w:noProof/>
          <w:lang w:val="en-US"/>
        </w:rPr>
        <w:tab/>
        <w:t>A.R. Walpole, Z. Xia, C.W. Wilson, J.T. Triffitt, P.R. Wilshaw, A novel nano-porous alumina biomaterial with potential for loading with bioactive materials, J. Biomed. Mater. Res. - Part A. 90 (2009) 46–54.</w:t>
      </w:r>
    </w:p>
    <w:p w:rsidR="001E18F2" w:rsidRPr="00D029F7" w:rsidRDefault="001E18F2" w:rsidP="001E18F2">
      <w:pPr>
        <w:pStyle w:val="NormalWeb"/>
        <w:ind w:left="640" w:hanging="640"/>
        <w:rPr>
          <w:noProof/>
          <w:lang w:val="en-US"/>
        </w:rPr>
      </w:pPr>
      <w:r w:rsidRPr="00D029F7">
        <w:rPr>
          <w:noProof/>
          <w:lang w:val="en-US"/>
        </w:rPr>
        <w:t>[29]</w:t>
      </w:r>
      <w:r w:rsidRPr="00D029F7">
        <w:rPr>
          <w:noProof/>
          <w:lang w:val="en-US"/>
        </w:rPr>
        <w:tab/>
        <w:t>S. Pujari-Palmer, T. Lind, W. Xia, L. Tang, M.K. Ott, Controlling Osteogenic Differentiation through Nanoporous Alumina, J. Biomater. Nanobiotechnol. 5 (2014) 98–104. doi:10.4236/jbnb.2014.52012.</w:t>
      </w:r>
    </w:p>
    <w:p w:rsidR="001E18F2" w:rsidRPr="00D029F7" w:rsidRDefault="001E18F2" w:rsidP="001E18F2">
      <w:pPr>
        <w:pStyle w:val="NormalWeb"/>
        <w:ind w:left="640" w:hanging="640"/>
        <w:rPr>
          <w:noProof/>
          <w:lang w:val="en-US"/>
        </w:rPr>
      </w:pPr>
      <w:r w:rsidRPr="00D029F7">
        <w:rPr>
          <w:noProof/>
          <w:lang w:val="en-US"/>
        </w:rPr>
        <w:t>[30]</w:t>
      </w:r>
      <w:r w:rsidRPr="00D029F7">
        <w:rPr>
          <w:noProof/>
          <w:lang w:val="en-US"/>
        </w:rPr>
        <w:tab/>
        <w:t>K.C. Popat, E.E. Leary, V. Mukhatyar, K. Chatvanichkul, G.K. Mor, C.A. Grimes, T.A. Desai, Influence of nanoporous alumina membranes on long-term osteoblast response, 26 (2005) 4516–4522. doi:10.1016/j.biomaterials.2004.11.026.</w:t>
      </w:r>
    </w:p>
    <w:p w:rsidR="001E18F2" w:rsidRPr="00D029F7" w:rsidRDefault="001E18F2" w:rsidP="001E18F2">
      <w:pPr>
        <w:pStyle w:val="NormalWeb"/>
        <w:ind w:left="640" w:hanging="640"/>
        <w:rPr>
          <w:noProof/>
          <w:lang w:val="en-US"/>
        </w:rPr>
      </w:pPr>
      <w:r w:rsidRPr="00D029F7">
        <w:rPr>
          <w:noProof/>
          <w:lang w:val="en-US"/>
        </w:rPr>
        <w:t>[31]</w:t>
      </w:r>
      <w:r w:rsidRPr="00D029F7">
        <w:rPr>
          <w:noProof/>
          <w:lang w:val="en-US"/>
        </w:rPr>
        <w:tab/>
        <w:t>K. Popat, Osteogenic differentiation of marrow stromal cells cultured on nanoporous alumina, J. Biomed. Mater. Res. A. 81 (2007) 771–780.</w:t>
      </w:r>
    </w:p>
    <w:p w:rsidR="001E18F2" w:rsidRPr="00D029F7" w:rsidRDefault="001E18F2" w:rsidP="001E18F2">
      <w:pPr>
        <w:pStyle w:val="NormalWeb"/>
        <w:ind w:left="640" w:hanging="640"/>
        <w:rPr>
          <w:noProof/>
          <w:lang w:val="en-US"/>
        </w:rPr>
      </w:pPr>
      <w:r w:rsidRPr="00D029F7">
        <w:rPr>
          <w:noProof/>
          <w:lang w:val="en-US"/>
        </w:rPr>
        <w:t>[32]</w:t>
      </w:r>
      <w:r w:rsidRPr="00D029F7">
        <w:rPr>
          <w:noProof/>
          <w:lang w:val="en-US"/>
        </w:rPr>
        <w:tab/>
        <w:t>S. Usami, H. Kimoto, I. Takahashi, S. Shida, Strength of ceramic materials containing small flaws, Eng. Fract. Mech. 23 (1986) 745–761.</w:t>
      </w:r>
    </w:p>
    <w:p w:rsidR="001E18F2" w:rsidRPr="00D029F7" w:rsidRDefault="001E18F2" w:rsidP="001E18F2">
      <w:pPr>
        <w:pStyle w:val="NormalWeb"/>
        <w:ind w:left="640" w:hanging="640"/>
        <w:rPr>
          <w:noProof/>
          <w:lang w:val="en-US"/>
        </w:rPr>
      </w:pPr>
      <w:r w:rsidRPr="00D029F7">
        <w:rPr>
          <w:noProof/>
          <w:lang w:val="en-US"/>
        </w:rPr>
        <w:t>[33]</w:t>
      </w:r>
      <w:r w:rsidRPr="00D029F7">
        <w:rPr>
          <w:noProof/>
          <w:lang w:val="en-US"/>
        </w:rPr>
        <w:tab/>
        <w:t>E. Ryshkewitch, Compression Strength of Porous Sintered Alumina and Zirconia, J. Am. Ceram. Soc. 36 (1953) 65–68.</w:t>
      </w:r>
    </w:p>
    <w:p w:rsidR="001E18F2" w:rsidRPr="00D029F7" w:rsidRDefault="001E18F2" w:rsidP="001E18F2">
      <w:pPr>
        <w:pStyle w:val="NormalWeb"/>
        <w:ind w:left="640" w:hanging="640"/>
        <w:rPr>
          <w:noProof/>
          <w:lang w:val="en-US"/>
        </w:rPr>
      </w:pPr>
      <w:r w:rsidRPr="00D029F7">
        <w:rPr>
          <w:noProof/>
          <w:lang w:val="en-US"/>
        </w:rPr>
        <w:t>[34]</w:t>
      </w:r>
      <w:r w:rsidRPr="00D029F7">
        <w:rPr>
          <w:noProof/>
          <w:lang w:val="en-US"/>
        </w:rPr>
        <w:tab/>
        <w:t>B.A. Latella, B.H. OConnor, N.P. Padture, B.R. Lawn, Hertzian Contact Damage in Porous Alumina Ceramics, J. Am. Ceram. Soc. 80 (2005) 1027–1031. doi:10.1111/j.1151-2916.1997.tb02940.x.</w:t>
      </w:r>
    </w:p>
    <w:p w:rsidR="001E18F2" w:rsidRPr="00D029F7" w:rsidRDefault="001E18F2" w:rsidP="001E18F2">
      <w:pPr>
        <w:pStyle w:val="NormalWeb"/>
        <w:ind w:left="640" w:hanging="640"/>
        <w:rPr>
          <w:noProof/>
          <w:lang w:val="en-US"/>
        </w:rPr>
      </w:pPr>
      <w:r w:rsidRPr="00D029F7">
        <w:rPr>
          <w:noProof/>
          <w:lang w:val="en-US"/>
        </w:rPr>
        <w:t>[35]</w:t>
      </w:r>
      <w:r w:rsidRPr="00D029F7">
        <w:rPr>
          <w:noProof/>
          <w:lang w:val="en-US"/>
        </w:rPr>
        <w:tab/>
        <w:t>A.P. Roberts, E.J. Garboczi, Elastic Properties of Model Porous Ceramics, J. Am. Ceram. Soc. 83 (2000) 3041–3048.</w:t>
      </w:r>
    </w:p>
    <w:p w:rsidR="001E18F2" w:rsidRPr="00D029F7" w:rsidRDefault="001E18F2" w:rsidP="001E18F2">
      <w:pPr>
        <w:pStyle w:val="NormalWeb"/>
        <w:ind w:left="640" w:hanging="640"/>
        <w:rPr>
          <w:noProof/>
          <w:lang w:val="en-US"/>
        </w:rPr>
      </w:pPr>
      <w:r w:rsidRPr="00D029F7">
        <w:rPr>
          <w:noProof/>
          <w:lang w:val="en-US"/>
        </w:rPr>
        <w:t>[36]</w:t>
      </w:r>
      <w:r w:rsidRPr="00D029F7">
        <w:rPr>
          <w:noProof/>
          <w:lang w:val="en-US"/>
        </w:rPr>
        <w:tab/>
        <w:t>A.H. Heuer, Transformation Toughening in ZrO2-Containing Ceramics, J. Am. Ceram. Soc. 70 (1987) 689–698.</w:t>
      </w:r>
    </w:p>
    <w:p w:rsidR="001E18F2" w:rsidRPr="00D029F7" w:rsidRDefault="001E18F2" w:rsidP="001E18F2">
      <w:pPr>
        <w:pStyle w:val="NormalWeb"/>
        <w:ind w:left="640" w:hanging="640"/>
        <w:rPr>
          <w:noProof/>
          <w:lang w:val="en-US"/>
        </w:rPr>
      </w:pPr>
      <w:r w:rsidRPr="00D029F7">
        <w:rPr>
          <w:noProof/>
          <w:lang w:val="en-US"/>
        </w:rPr>
        <w:t>[37]</w:t>
      </w:r>
      <w:r w:rsidRPr="00D029F7">
        <w:rPr>
          <w:noProof/>
          <w:lang w:val="en-US"/>
        </w:rPr>
        <w:tab/>
        <w:t>S. Lawson, Environmental degradation of zirconia ceramics, J. Eur. Ceram. Soc. 15 (1995) 485–502.</w:t>
      </w:r>
    </w:p>
    <w:p w:rsidR="001E18F2" w:rsidRPr="00D029F7" w:rsidRDefault="001E18F2" w:rsidP="001E18F2">
      <w:pPr>
        <w:pStyle w:val="NormalWeb"/>
        <w:ind w:left="640" w:hanging="640"/>
        <w:rPr>
          <w:noProof/>
          <w:lang w:val="en-US"/>
        </w:rPr>
      </w:pPr>
      <w:r w:rsidRPr="00D029F7">
        <w:rPr>
          <w:noProof/>
          <w:lang w:val="en-US"/>
        </w:rPr>
        <w:t>[38]</w:t>
      </w:r>
      <w:r w:rsidRPr="00D029F7">
        <w:rPr>
          <w:noProof/>
          <w:lang w:val="en-US"/>
        </w:rPr>
        <w:tab/>
        <w:t>J. Chevalier, What future for zirconia as a biomaterial?, Biomaterials. 27 (2006) 535–543.</w:t>
      </w:r>
    </w:p>
    <w:p w:rsidR="001E18F2" w:rsidRPr="00D029F7" w:rsidRDefault="001E18F2" w:rsidP="001E18F2">
      <w:pPr>
        <w:pStyle w:val="NormalWeb"/>
        <w:ind w:left="640" w:hanging="640"/>
        <w:rPr>
          <w:noProof/>
          <w:lang w:val="en-US"/>
        </w:rPr>
      </w:pPr>
      <w:r w:rsidRPr="00D029F7">
        <w:rPr>
          <w:noProof/>
          <w:lang w:val="en-US"/>
        </w:rPr>
        <w:lastRenderedPageBreak/>
        <w:t>[39]</w:t>
      </w:r>
      <w:r w:rsidRPr="00D029F7">
        <w:rPr>
          <w:noProof/>
          <w:lang w:val="en-US"/>
        </w:rPr>
        <w:tab/>
        <w:t>P. Fabbri, C. Piconi, E. Burresi, G. Magnani, F. Mazzanti, C. Mingazzini, Lifetime estimation of a zirconia-alumina composite for biomedical applications, Dent. Mater. 30 (2014) 138–142.</w:t>
      </w:r>
    </w:p>
    <w:p w:rsidR="001E18F2" w:rsidRPr="00D029F7" w:rsidRDefault="001E18F2" w:rsidP="001E18F2">
      <w:pPr>
        <w:pStyle w:val="NormalWeb"/>
        <w:ind w:left="640" w:hanging="640"/>
        <w:rPr>
          <w:noProof/>
          <w:lang w:val="en-US"/>
        </w:rPr>
      </w:pPr>
      <w:r w:rsidRPr="00D029F7">
        <w:rPr>
          <w:noProof/>
          <w:lang w:val="en-US"/>
        </w:rPr>
        <w:t>[40]</w:t>
      </w:r>
      <w:r w:rsidRPr="00D029F7">
        <w:rPr>
          <w:noProof/>
          <w:lang w:val="en-US"/>
        </w:rPr>
        <w:tab/>
        <w:t>S. Deville, J. Chevalier, G. Fantozzi, J.F. Bartolomé, J. Requena, J.S. Moya, R. Torrecillas, L.A. Díaz, Low-temperature ageing of zirconia-toughened alumina ceramics and its implication in biomedical implants, J. Eur. Ceram. Soc. 23 (2003) 2975–2982.</w:t>
      </w:r>
    </w:p>
    <w:p w:rsidR="001E18F2" w:rsidRPr="00D029F7" w:rsidRDefault="001E18F2" w:rsidP="001E18F2">
      <w:pPr>
        <w:pStyle w:val="NormalWeb"/>
        <w:ind w:left="640" w:hanging="640"/>
        <w:rPr>
          <w:noProof/>
          <w:lang w:val="en-US"/>
        </w:rPr>
      </w:pPr>
      <w:r w:rsidRPr="00D029F7">
        <w:rPr>
          <w:noProof/>
          <w:lang w:val="en-US"/>
        </w:rPr>
        <w:t>[41]</w:t>
      </w:r>
      <w:r w:rsidRPr="00D029F7">
        <w:rPr>
          <w:noProof/>
          <w:lang w:val="en-US"/>
        </w:rPr>
        <w:tab/>
        <w:t>J. Chevalier, S. Grandjean, M. Kuntz, G. Pezzotti, On the kinetics and impact of tetragonal to monoclinic transformation in an alumina/zirconia composite for arthroplasty applications, Biomaterials. 30 (2009) 5279–5282.</w:t>
      </w:r>
    </w:p>
    <w:p w:rsidR="001E18F2" w:rsidRPr="00D029F7" w:rsidRDefault="001E18F2" w:rsidP="001E18F2">
      <w:pPr>
        <w:pStyle w:val="NormalWeb"/>
        <w:ind w:left="640" w:hanging="640"/>
        <w:rPr>
          <w:noProof/>
          <w:lang w:val="en-US"/>
        </w:rPr>
      </w:pPr>
      <w:r w:rsidRPr="00D029F7">
        <w:rPr>
          <w:noProof/>
          <w:lang w:val="en-US"/>
        </w:rPr>
        <w:t>[42]</w:t>
      </w:r>
      <w:r w:rsidRPr="00D029F7">
        <w:rPr>
          <w:noProof/>
          <w:lang w:val="en-US"/>
        </w:rPr>
        <w:tab/>
        <w:t>V. Lowalekar, S. Raghavan, Etching of Zirconium Oxide, Hafnium Oxide, and Hafnium Silicates in Dilute Hydrofluoric Acid Solutions, J. Mater. Res. 19 (2004) 1149–1156.</w:t>
      </w:r>
    </w:p>
    <w:p w:rsidR="001E18F2" w:rsidRPr="00D029F7" w:rsidRDefault="001E18F2" w:rsidP="001E18F2">
      <w:pPr>
        <w:pStyle w:val="NormalWeb"/>
        <w:ind w:left="640" w:hanging="640"/>
        <w:rPr>
          <w:noProof/>
          <w:lang w:val="en-US"/>
        </w:rPr>
      </w:pPr>
      <w:r w:rsidRPr="00D029F7">
        <w:rPr>
          <w:noProof/>
          <w:lang w:val="en-US"/>
        </w:rPr>
        <w:t>[43]</w:t>
      </w:r>
      <w:r w:rsidRPr="00D029F7">
        <w:rPr>
          <w:noProof/>
          <w:lang w:val="en-US"/>
        </w:rPr>
        <w:tab/>
        <w:t>K.R. Williams, K. Gupta, M. Wasilik, Etch rates for micromachining processing - Part II, J. Microelectromechanical Syst. 12 (2003) 761–778.</w:t>
      </w:r>
    </w:p>
    <w:p w:rsidR="001E18F2" w:rsidRPr="00D029F7" w:rsidRDefault="001E18F2" w:rsidP="001E18F2">
      <w:pPr>
        <w:pStyle w:val="NormalWeb"/>
        <w:ind w:left="640" w:hanging="640"/>
        <w:rPr>
          <w:noProof/>
          <w:lang w:val="en-US"/>
        </w:rPr>
      </w:pPr>
      <w:r w:rsidRPr="00D029F7">
        <w:rPr>
          <w:noProof/>
          <w:lang w:val="en-US"/>
        </w:rPr>
        <w:t>[44]</w:t>
      </w:r>
      <w:r w:rsidRPr="00D029F7">
        <w:rPr>
          <w:noProof/>
          <w:lang w:val="en-US"/>
        </w:rPr>
        <w:tab/>
        <w:t>A. Wennerberg, T. Albrektsson, A.T. Wennerberg A, Suggested guidelines for the topographic evaluation of implant surfaces., Int. J. Oral Maxillofac. Implants. 15 (2000) 331–344.</w:t>
      </w:r>
    </w:p>
    <w:p w:rsidR="001E18F2" w:rsidRPr="00D029F7" w:rsidRDefault="001E18F2" w:rsidP="001E18F2">
      <w:pPr>
        <w:pStyle w:val="NormalWeb"/>
        <w:ind w:left="640" w:hanging="640"/>
        <w:rPr>
          <w:noProof/>
          <w:lang w:val="en-US"/>
        </w:rPr>
      </w:pPr>
      <w:r w:rsidRPr="00D029F7">
        <w:rPr>
          <w:noProof/>
          <w:lang w:val="en-US"/>
        </w:rPr>
        <w:t>[45]</w:t>
      </w:r>
      <w:r w:rsidRPr="00D029F7">
        <w:rPr>
          <w:noProof/>
          <w:lang w:val="en-US"/>
        </w:rPr>
        <w:tab/>
        <w:t>L.M. Svanborg, M. Andersson, A. Wennerberg, Surface characterization of commercial oral implants on the nanometer level, J. Biomed. Mater. Res. - Part B Appl. Biomater. 92 (2010) 462–469.</w:t>
      </w:r>
    </w:p>
    <w:p w:rsidR="001E18F2" w:rsidRPr="00D029F7" w:rsidRDefault="001E18F2" w:rsidP="001E18F2">
      <w:pPr>
        <w:pStyle w:val="NormalWeb"/>
        <w:ind w:left="640" w:hanging="640"/>
        <w:rPr>
          <w:noProof/>
          <w:lang w:val="en-US"/>
        </w:rPr>
      </w:pPr>
      <w:r w:rsidRPr="00D029F7">
        <w:rPr>
          <w:noProof/>
          <w:lang w:val="en-US"/>
        </w:rPr>
        <w:t>[46]</w:t>
      </w:r>
      <w:r w:rsidRPr="00D029F7">
        <w:rPr>
          <w:noProof/>
          <w:lang w:val="en-US"/>
        </w:rPr>
        <w:tab/>
        <w:t>W.P. Dong, P.J. Sullivan, K.J. Stout, Comprehensive study of parameters for characterising three- dimensional surface topography. III: Parameters for characterising amplitude and some functional properties, Wear. 178 (1994) 29–43.</w:t>
      </w:r>
    </w:p>
    <w:p w:rsidR="001E18F2" w:rsidRPr="00D029F7" w:rsidRDefault="001E18F2" w:rsidP="001E18F2">
      <w:pPr>
        <w:pStyle w:val="NormalWeb"/>
        <w:ind w:left="640" w:hanging="640"/>
        <w:rPr>
          <w:noProof/>
          <w:lang w:val="en-US"/>
        </w:rPr>
      </w:pPr>
      <w:r w:rsidRPr="00D029F7">
        <w:rPr>
          <w:noProof/>
          <w:lang w:val="en-US"/>
        </w:rPr>
        <w:t>[47]</w:t>
      </w:r>
      <w:r w:rsidRPr="00D029F7">
        <w:rPr>
          <w:noProof/>
          <w:lang w:val="en-US"/>
        </w:rPr>
        <w:tab/>
        <w:t>W.P. Dong, P.J. Sullivan, K.J. Stout, Comprehensive study of parameters for characterising three-dimensional surface topography. IV: Parameters for characterising spatial and hybrid properties, Wear. 178 (1994) 45–60.</w:t>
      </w:r>
    </w:p>
    <w:p w:rsidR="001E18F2" w:rsidRPr="00D029F7" w:rsidRDefault="001E18F2" w:rsidP="001E18F2">
      <w:pPr>
        <w:pStyle w:val="NormalWeb"/>
        <w:ind w:left="640" w:hanging="640"/>
        <w:rPr>
          <w:noProof/>
          <w:lang w:val="en-US"/>
        </w:rPr>
      </w:pPr>
      <w:r w:rsidRPr="00D029F7">
        <w:rPr>
          <w:noProof/>
          <w:lang w:val="en-US"/>
        </w:rPr>
        <w:t>[48]</w:t>
      </w:r>
      <w:r w:rsidRPr="00D029F7">
        <w:rPr>
          <w:noProof/>
          <w:lang w:val="en-US"/>
        </w:rPr>
        <w:tab/>
        <w:t>K.J. Stout, L. Blunt, Three Dimensional Surface Topography, Elsevier, 2000. doi:10.1016/B978-185718026-8/50119-3.</w:t>
      </w:r>
    </w:p>
    <w:p w:rsidR="001E18F2" w:rsidRPr="00D029F7" w:rsidRDefault="001E18F2" w:rsidP="001E18F2">
      <w:pPr>
        <w:pStyle w:val="NormalWeb"/>
        <w:ind w:left="640" w:hanging="640"/>
        <w:rPr>
          <w:noProof/>
          <w:lang w:val="en-US"/>
        </w:rPr>
      </w:pPr>
      <w:r w:rsidRPr="00D029F7">
        <w:rPr>
          <w:noProof/>
          <w:lang w:val="en-US"/>
        </w:rPr>
        <w:t>[49]</w:t>
      </w:r>
      <w:r w:rsidRPr="00D029F7">
        <w:rPr>
          <w:noProof/>
          <w:lang w:val="en-US"/>
        </w:rPr>
        <w:tab/>
        <w:t>S.S. Sampath, D.H. Robinson, Comparison of new and existing spectrophotometric methods for the analysis of tobramycin and other aminoglycosides, J. Pharm. Sci. 79 (1990) 428–431.</w:t>
      </w:r>
    </w:p>
    <w:p w:rsidR="001E18F2" w:rsidRPr="00D029F7" w:rsidRDefault="001E18F2" w:rsidP="001E18F2">
      <w:pPr>
        <w:pStyle w:val="NormalWeb"/>
        <w:ind w:left="640" w:hanging="640"/>
        <w:rPr>
          <w:noProof/>
          <w:lang w:val="en-US"/>
        </w:rPr>
      </w:pPr>
      <w:r w:rsidRPr="00D029F7">
        <w:rPr>
          <w:noProof/>
          <w:lang w:val="en-US"/>
        </w:rPr>
        <w:t>[50]</w:t>
      </w:r>
      <w:r w:rsidRPr="00D029F7">
        <w:rPr>
          <w:noProof/>
          <w:lang w:val="en-US"/>
        </w:rPr>
        <w:tab/>
        <w:t>P. Frutos Cabanillas, E. Díez Peña, J.M. Barrales-Rienda, G. Frutos, Validation and in vitro characterization of antibiotic-loaded bone cement release, Int. J. Pharm. 209 (2000) 15–26.</w:t>
      </w:r>
    </w:p>
    <w:p w:rsidR="001E18F2" w:rsidRPr="00D029F7" w:rsidRDefault="001E18F2" w:rsidP="001E18F2">
      <w:pPr>
        <w:pStyle w:val="NormalWeb"/>
        <w:ind w:left="640" w:hanging="640"/>
        <w:rPr>
          <w:noProof/>
          <w:lang w:val="en-US"/>
        </w:rPr>
      </w:pPr>
      <w:r w:rsidRPr="00D029F7">
        <w:rPr>
          <w:noProof/>
          <w:lang w:val="en-US"/>
        </w:rPr>
        <w:lastRenderedPageBreak/>
        <w:t>[51]</w:t>
      </w:r>
      <w:r w:rsidRPr="00D029F7">
        <w:rPr>
          <w:noProof/>
          <w:lang w:val="en-US"/>
        </w:rPr>
        <w:tab/>
        <w:t>J. Gubernator, Z. Drulis-Kawa, A. Kozubek, A simply and sensitive fluorometric method for determination of gentamicin in liposomal suspensions, Int. J. Pharm. 327 (2006) 104–109.</w:t>
      </w:r>
    </w:p>
    <w:p w:rsidR="001E18F2" w:rsidRPr="00D029F7" w:rsidRDefault="001E18F2" w:rsidP="001E18F2">
      <w:pPr>
        <w:pStyle w:val="NormalWeb"/>
        <w:ind w:left="640" w:hanging="640"/>
        <w:rPr>
          <w:noProof/>
          <w:lang w:val="en-US"/>
        </w:rPr>
      </w:pPr>
      <w:r w:rsidRPr="00D029F7">
        <w:rPr>
          <w:noProof/>
          <w:lang w:val="en-US"/>
        </w:rPr>
        <w:t>[52]</w:t>
      </w:r>
      <w:r w:rsidRPr="00D029F7">
        <w:rPr>
          <w:noProof/>
          <w:lang w:val="en-US"/>
        </w:rPr>
        <w:tab/>
        <w:t>B. Zmistowski, C.J. Fedorka, E. Sheehan, G. Deirmengian, M.S. Austin, J. Parvizi, Prosthetic joint infection caused by gram-negative organisms., J. Arthroplasty. 26 (2011) 104–108.</w:t>
      </w:r>
    </w:p>
    <w:p w:rsidR="001E18F2" w:rsidRPr="00D029F7" w:rsidRDefault="001E18F2" w:rsidP="001E18F2">
      <w:pPr>
        <w:pStyle w:val="NormalWeb"/>
        <w:ind w:left="640" w:hanging="640"/>
        <w:rPr>
          <w:noProof/>
          <w:lang w:val="en-US"/>
        </w:rPr>
      </w:pPr>
      <w:r w:rsidRPr="00D029F7">
        <w:rPr>
          <w:noProof/>
          <w:lang w:val="en-US"/>
        </w:rPr>
        <w:t>[53]</w:t>
      </w:r>
      <w:r w:rsidRPr="00D029F7">
        <w:rPr>
          <w:noProof/>
          <w:lang w:val="en-US"/>
        </w:rPr>
        <w:tab/>
        <w:t>T.N. Peel, A.C. Cheng, K.L. Buising, P.F.M. Choong, Microbiological aetiology, epidemiology, and clinical profile of prosthetic joint infections: Are current antibiotic prophylaxis guidelines effective?, Antimicrob. Agents Chemother. 56 (2012) 2386–2391.</w:t>
      </w:r>
    </w:p>
    <w:p w:rsidR="001E18F2" w:rsidRPr="00D029F7" w:rsidRDefault="001E18F2" w:rsidP="001E18F2">
      <w:pPr>
        <w:pStyle w:val="NormalWeb"/>
        <w:ind w:left="640" w:hanging="640"/>
        <w:rPr>
          <w:noProof/>
          <w:lang w:val="en-US"/>
        </w:rPr>
      </w:pPr>
      <w:r w:rsidRPr="00D029F7">
        <w:rPr>
          <w:noProof/>
          <w:lang w:val="en-US"/>
        </w:rPr>
        <w:t>[54]</w:t>
      </w:r>
      <w:r w:rsidRPr="00D029F7">
        <w:rPr>
          <w:noProof/>
          <w:lang w:val="en-US"/>
        </w:rPr>
        <w:tab/>
        <w:t>D. Rodríguez-Pardo, C. Pigrau, J. Lora-Tamayo, A. Soriano, M.D. del Toro, J. Cobo, J. Palomino, G. Euba, M. Riera, M. Sánchez-Somolinos, N. Benito, M. Fernández-Sampedro, L. Sorli, L. Guio, J.A. Iribarren, J.M. Baraia-Etxaburu, A. Ramos, A. Bahamonde, X. Flores-Sánchez, P.S. Corona, J. Ariza, C. Amat, M.N. Larrosa, M. Puig, O. Murillo, X. Cabo, M.Á. Goenaga, M. Elola, G. De la Herrán, J.M. Garcia-Arenzana, S. García-Ramiro, J.C. Martínez-Pastor, E. Tornero, J.M. García-Lechuz, M. Marín, M. Villanueva, I. López, R. Cisterna, J.M. Santamaría, M.J. Gómez, A. Puente, P. Cano, J.P. Horcajada, P. González-Mínguez, E. Portillo, L. Puig, M. Franco, M. Jordán, P. Coll, J. Amador-Mellado, C. Fuster-Foz, L. García-Paíno, I. Nieto, M.Á. Muniain, A.I. Suárez, J. Praena, M.J. Gómez, A. Puente, M.A. Maseguer, E. Garagorri, V. Pintado, C. Marinescu, A. Ramírez, F. Montaner, E. Múñez, T. Álvarez, R. García, E. Puente, C. Salas, M.C. Fariñas, J.M. Pérez, B.V. Achabal, J.M. Montejo Baranda, Gram-negative prosthetic joint infection: Outcome of a debridement, antibiotics and implant retention approach. A large multicentre study, Clin. Microbiol. Infect. 20 (2014) O911–O919.</w:t>
      </w:r>
    </w:p>
    <w:p w:rsidR="001E18F2" w:rsidRPr="00D029F7" w:rsidRDefault="001E18F2" w:rsidP="001E18F2">
      <w:pPr>
        <w:pStyle w:val="NormalWeb"/>
        <w:ind w:left="640" w:hanging="640"/>
        <w:rPr>
          <w:noProof/>
          <w:lang w:val="en-US"/>
        </w:rPr>
      </w:pPr>
      <w:r w:rsidRPr="00D029F7">
        <w:rPr>
          <w:noProof/>
          <w:lang w:val="en-US"/>
        </w:rPr>
        <w:t>[55]</w:t>
      </w:r>
      <w:r w:rsidRPr="00D029F7">
        <w:rPr>
          <w:noProof/>
          <w:lang w:val="en-US"/>
        </w:rPr>
        <w:tab/>
        <w:t>A.J. Moseson, S. Basu, M.W. Barsoum, Determination of the effective zero point of contact for spherical nanoindentation, J. Mater. Res. 23 (2008) 204–209.</w:t>
      </w:r>
    </w:p>
    <w:p w:rsidR="001E18F2" w:rsidRPr="00D029F7" w:rsidRDefault="001E18F2" w:rsidP="001E18F2">
      <w:pPr>
        <w:pStyle w:val="NormalWeb"/>
        <w:ind w:left="640" w:hanging="640"/>
        <w:rPr>
          <w:noProof/>
          <w:lang w:val="en-US"/>
        </w:rPr>
      </w:pPr>
      <w:r w:rsidRPr="00D029F7">
        <w:rPr>
          <w:noProof/>
          <w:lang w:val="en-US"/>
        </w:rPr>
        <w:t>[56]</w:t>
      </w:r>
      <w:r w:rsidRPr="00D029F7">
        <w:rPr>
          <w:noProof/>
          <w:lang w:val="en-US"/>
        </w:rPr>
        <w:tab/>
        <w:t>L.H. He, N. Fujisawa, M. V Swain, Elastic modulus and stress-strain response of human enamel by nano-indentation, Biomaterials. 27 (2006) 4388–4398.</w:t>
      </w:r>
    </w:p>
    <w:p w:rsidR="001E18F2" w:rsidRPr="00D029F7" w:rsidRDefault="001E18F2" w:rsidP="001E18F2">
      <w:pPr>
        <w:pStyle w:val="NormalWeb"/>
        <w:ind w:left="640" w:hanging="640"/>
        <w:rPr>
          <w:noProof/>
          <w:lang w:val="en-US"/>
        </w:rPr>
      </w:pPr>
      <w:r w:rsidRPr="00D029F7">
        <w:rPr>
          <w:noProof/>
          <w:lang w:val="en-US"/>
        </w:rPr>
        <w:t>[57]</w:t>
      </w:r>
      <w:r w:rsidRPr="00D029F7">
        <w:rPr>
          <w:noProof/>
          <w:lang w:val="en-US"/>
        </w:rPr>
        <w:tab/>
        <w:t>P. Clément, S. Meille, J. Chevalier, C. Olagnon, Mechanical characterization of highly porous inorganic solids materials by instrumented micro-indentation, Acta Mater. 61 (2013) 6649–6660.</w:t>
      </w:r>
    </w:p>
    <w:p w:rsidR="001E18F2" w:rsidRPr="00D029F7" w:rsidRDefault="001E18F2" w:rsidP="001E18F2">
      <w:pPr>
        <w:pStyle w:val="NormalWeb"/>
        <w:ind w:left="640" w:hanging="640"/>
        <w:rPr>
          <w:noProof/>
          <w:lang w:val="en-US"/>
        </w:rPr>
      </w:pPr>
      <w:r w:rsidRPr="00D029F7">
        <w:rPr>
          <w:noProof/>
          <w:lang w:val="en-US"/>
        </w:rPr>
        <w:t>[58]</w:t>
      </w:r>
      <w:r w:rsidRPr="00D029F7">
        <w:rPr>
          <w:noProof/>
          <w:lang w:val="en-US"/>
        </w:rPr>
        <w:tab/>
        <w:t>D. Staub, S. Meille, V. Le Corre, L. Rouleau, J. Chevalier, Identification of a damage criterion of a highly porous alumina ceramic, Acta Mater. 107 (2016) 261–272.</w:t>
      </w:r>
    </w:p>
    <w:p w:rsidR="001E18F2" w:rsidRPr="00D029F7" w:rsidRDefault="001E18F2" w:rsidP="001E18F2">
      <w:pPr>
        <w:pStyle w:val="NormalWeb"/>
        <w:ind w:left="640" w:hanging="640"/>
        <w:rPr>
          <w:noProof/>
          <w:lang w:val="en-US"/>
        </w:rPr>
      </w:pPr>
      <w:r w:rsidRPr="00D029F7">
        <w:rPr>
          <w:noProof/>
          <w:lang w:val="en-US"/>
        </w:rPr>
        <w:t>[59]</w:t>
      </w:r>
      <w:r w:rsidRPr="00D029F7">
        <w:rPr>
          <w:noProof/>
          <w:lang w:val="en-US"/>
        </w:rPr>
        <w:tab/>
        <w:t>F.L. DiMaggio, I.S. Sandler, Material model for granular soils, J. Eng. Mech. Div. 97 (1971) 935–950.</w:t>
      </w:r>
    </w:p>
    <w:p w:rsidR="001E18F2" w:rsidRPr="00D029F7" w:rsidRDefault="001E18F2" w:rsidP="001E18F2">
      <w:pPr>
        <w:pStyle w:val="NormalWeb"/>
        <w:ind w:left="640" w:hanging="640"/>
        <w:rPr>
          <w:noProof/>
          <w:lang w:val="en-US"/>
        </w:rPr>
      </w:pPr>
      <w:r w:rsidRPr="00D029F7">
        <w:rPr>
          <w:noProof/>
          <w:lang w:val="en-US"/>
        </w:rPr>
        <w:t>[60]</w:t>
      </w:r>
      <w:r w:rsidRPr="00D029F7">
        <w:rPr>
          <w:noProof/>
          <w:lang w:val="en-US"/>
        </w:rPr>
        <w:tab/>
        <w:t>J. Chevalier, C. Olagnon, G. Fantozzi, Study of the residual stress field around Vickers indentations in a 3Y-TZP, J. Mater. Sci. 31 (1996) 2711–2717.</w:t>
      </w:r>
    </w:p>
    <w:p w:rsidR="001E18F2" w:rsidRPr="00D029F7" w:rsidRDefault="001E18F2" w:rsidP="001E18F2">
      <w:pPr>
        <w:pStyle w:val="NormalWeb"/>
        <w:ind w:left="640" w:hanging="640"/>
        <w:rPr>
          <w:noProof/>
          <w:lang w:val="en-US"/>
        </w:rPr>
      </w:pPr>
      <w:r w:rsidRPr="00D029F7">
        <w:rPr>
          <w:noProof/>
          <w:lang w:val="en-US"/>
        </w:rPr>
        <w:lastRenderedPageBreak/>
        <w:t>[61]</w:t>
      </w:r>
      <w:r w:rsidRPr="00D029F7">
        <w:rPr>
          <w:noProof/>
          <w:lang w:val="en-US"/>
        </w:rPr>
        <w:tab/>
        <w:t>T. Fett, G. Rizzi, E. Ernst, R. M??ller, R. Oberacker, A 3-balls-on-3-balls strength test for ceramic disks, J. Eur. Ceram. Soc. 27 (2007) 1–12.</w:t>
      </w:r>
    </w:p>
    <w:p w:rsidR="001E18F2" w:rsidRPr="00D029F7" w:rsidRDefault="001E18F2" w:rsidP="001E18F2">
      <w:pPr>
        <w:pStyle w:val="NormalWeb"/>
        <w:ind w:left="640" w:hanging="640"/>
        <w:rPr>
          <w:noProof/>
          <w:lang w:val="en-US"/>
        </w:rPr>
      </w:pPr>
      <w:r w:rsidRPr="00D029F7">
        <w:rPr>
          <w:noProof/>
          <w:lang w:val="en-US"/>
        </w:rPr>
        <w:t>[62]</w:t>
      </w:r>
      <w:r w:rsidRPr="00D029F7">
        <w:rPr>
          <w:noProof/>
          <w:lang w:val="en-US"/>
        </w:rPr>
        <w:tab/>
        <w:t>T. Fett, G. Rizzi, 3-balls-on-3-balls test for ceramic disks: A finite element study, 2004.</w:t>
      </w:r>
    </w:p>
    <w:p w:rsidR="001E18F2" w:rsidRPr="00D029F7" w:rsidRDefault="001E18F2" w:rsidP="001E18F2">
      <w:pPr>
        <w:pStyle w:val="NormalWeb"/>
        <w:ind w:left="640" w:hanging="640"/>
        <w:rPr>
          <w:noProof/>
          <w:lang w:val="en-US"/>
        </w:rPr>
      </w:pPr>
      <w:r w:rsidRPr="00D029F7">
        <w:rPr>
          <w:noProof/>
          <w:lang w:val="en-US"/>
        </w:rPr>
        <w:t>[63]</w:t>
      </w:r>
      <w:r w:rsidRPr="00D029F7">
        <w:rPr>
          <w:noProof/>
          <w:lang w:val="en-US"/>
        </w:rPr>
        <w:tab/>
        <w:t>D. Munz, T. Fett, Ceramics: mechanical properties, failure behaviour, materials selection, Springer Science &amp; Business Media, 1999.</w:t>
      </w:r>
    </w:p>
    <w:p w:rsidR="001E18F2" w:rsidRPr="00D029F7" w:rsidRDefault="001E18F2" w:rsidP="001E18F2">
      <w:pPr>
        <w:pStyle w:val="NormalWeb"/>
        <w:ind w:left="640" w:hanging="640"/>
        <w:rPr>
          <w:noProof/>
          <w:lang w:val="en-US"/>
        </w:rPr>
      </w:pPr>
      <w:r w:rsidRPr="00D029F7">
        <w:rPr>
          <w:noProof/>
          <w:lang w:val="en-US"/>
        </w:rPr>
        <w:t>[64]</w:t>
      </w:r>
      <w:r w:rsidRPr="00D029F7">
        <w:rPr>
          <w:noProof/>
          <w:lang w:val="en-US"/>
        </w:rPr>
        <w:tab/>
        <w:t>H. Toraya, M. Yoshimura, S. Somiya, Calibration Curve for Quantitative Analysis of the Monoclinic-Tetragonal ZrO2 System by X-Ray Diffraction, Commun. Am. Ceram. Soc. 67 (1984) 119–121.</w:t>
      </w:r>
    </w:p>
    <w:p w:rsidR="001E18F2" w:rsidRPr="00D029F7" w:rsidRDefault="001E18F2" w:rsidP="001E18F2">
      <w:pPr>
        <w:pStyle w:val="NormalWeb"/>
        <w:ind w:left="640" w:hanging="640"/>
        <w:rPr>
          <w:noProof/>
          <w:lang w:val="en-US"/>
        </w:rPr>
      </w:pPr>
      <w:r w:rsidRPr="00D029F7">
        <w:rPr>
          <w:noProof/>
          <w:lang w:val="en-US"/>
        </w:rPr>
        <w:t>[65]</w:t>
      </w:r>
      <w:r w:rsidRPr="00D029F7">
        <w:rPr>
          <w:noProof/>
          <w:lang w:val="en-US"/>
        </w:rPr>
        <w:tab/>
        <w:t>Q. Flamant, F. García Marro, J.J. Roa Rovira, M. Anglada, Hydrofluoric acid etching of dental zirconia. Part 1: Etching mechanism and surface characterization, J. Eur. Ceram. Soc. 36 (2016) 121–134.</w:t>
      </w:r>
    </w:p>
    <w:p w:rsidR="001E18F2" w:rsidRPr="00D029F7" w:rsidRDefault="001E18F2" w:rsidP="001E18F2">
      <w:pPr>
        <w:pStyle w:val="NormalWeb"/>
        <w:ind w:left="640" w:hanging="640"/>
        <w:rPr>
          <w:noProof/>
          <w:lang w:val="en-US"/>
        </w:rPr>
      </w:pPr>
      <w:r w:rsidRPr="00D029F7">
        <w:rPr>
          <w:noProof/>
          <w:lang w:val="en-US"/>
        </w:rPr>
        <w:t>[66]</w:t>
      </w:r>
      <w:r w:rsidRPr="00D029F7">
        <w:rPr>
          <w:noProof/>
          <w:lang w:val="en-US"/>
        </w:rPr>
        <w:tab/>
        <w:t>D. Majumdar, D. Chatterjee, X-ray photoelectron spectroscopic studies on yttria, zirconia, and yttria-stabilized zirconia, J. Appl. Phys. 70 (1991) 988–992. doi:10.1063/1.349611.</w:t>
      </w:r>
    </w:p>
    <w:p w:rsidR="001E18F2" w:rsidRPr="00D029F7" w:rsidRDefault="001E18F2" w:rsidP="001E18F2">
      <w:pPr>
        <w:pStyle w:val="NormalWeb"/>
        <w:ind w:left="640" w:hanging="640"/>
        <w:rPr>
          <w:noProof/>
          <w:lang w:val="en-US"/>
        </w:rPr>
      </w:pPr>
      <w:r w:rsidRPr="00D029F7">
        <w:rPr>
          <w:noProof/>
          <w:lang w:val="en-US"/>
        </w:rPr>
        <w:t>[67]</w:t>
      </w:r>
      <w:r w:rsidRPr="00D029F7">
        <w:rPr>
          <w:noProof/>
          <w:lang w:val="en-US"/>
        </w:rPr>
        <w:tab/>
        <w:t>T. Albrektsson, A. Wennerberg, Oral implant surfaces: Part 1--review focusing on topographic and chemical properties of different surfaces and in vivo responses to them., Int. J. Prosthodont. 17 (2004) 536–43.</w:t>
      </w:r>
    </w:p>
    <w:p w:rsidR="001E18F2" w:rsidRPr="00D029F7" w:rsidRDefault="001E18F2" w:rsidP="001E18F2">
      <w:pPr>
        <w:pStyle w:val="NormalWeb"/>
        <w:ind w:left="640" w:hanging="640"/>
        <w:rPr>
          <w:noProof/>
          <w:lang w:val="en-US"/>
        </w:rPr>
      </w:pPr>
      <w:r w:rsidRPr="00D029F7">
        <w:rPr>
          <w:noProof/>
          <w:lang w:val="en-US"/>
        </w:rPr>
        <w:t>[68]</w:t>
      </w:r>
      <w:r w:rsidRPr="00D029F7">
        <w:rPr>
          <w:noProof/>
          <w:lang w:val="en-US"/>
        </w:rPr>
        <w:tab/>
        <w:t>L. Cooper, Y. Zhou, J. Takebe, J. Guo, A. Abron, A. Holmen, J. Ellingsen, Fluoride modification effects on osteoblast behavior and bone formation at TiO grit-blasted c.p. titanium endosseous implants, Biomaterials. 27 (2006) 926–936.</w:t>
      </w:r>
    </w:p>
    <w:p w:rsidR="001E18F2" w:rsidRPr="00D029F7" w:rsidRDefault="001E18F2" w:rsidP="001E18F2">
      <w:pPr>
        <w:pStyle w:val="NormalWeb"/>
        <w:ind w:left="640" w:hanging="640"/>
        <w:rPr>
          <w:noProof/>
          <w:lang w:val="en-US"/>
        </w:rPr>
      </w:pPr>
      <w:r w:rsidRPr="00D029F7">
        <w:rPr>
          <w:noProof/>
          <w:lang w:val="en-US"/>
        </w:rPr>
        <w:t>[69]</w:t>
      </w:r>
      <w:r w:rsidRPr="00D029F7">
        <w:rPr>
          <w:noProof/>
          <w:lang w:val="en-US"/>
        </w:rPr>
        <w:tab/>
        <w:t>K. Bazaka, R.J. Crawford, E.P. Ivanova, Do bacteria differentiate between degrees of nanoscale surface roughness?, Biotechnol. J. 6 (2011) 1103–1114.</w:t>
      </w:r>
    </w:p>
    <w:p w:rsidR="001E18F2" w:rsidRPr="00D029F7" w:rsidRDefault="001E18F2" w:rsidP="001E18F2">
      <w:pPr>
        <w:pStyle w:val="NormalWeb"/>
        <w:ind w:left="640" w:hanging="640"/>
        <w:rPr>
          <w:noProof/>
          <w:lang w:val="en-US"/>
        </w:rPr>
      </w:pPr>
      <w:r w:rsidRPr="00D029F7">
        <w:rPr>
          <w:noProof/>
          <w:lang w:val="en-US"/>
        </w:rPr>
        <w:t>[70]</w:t>
      </w:r>
      <w:r w:rsidRPr="00D029F7">
        <w:rPr>
          <w:noProof/>
          <w:lang w:val="en-US"/>
        </w:rPr>
        <w:tab/>
        <w:t>M. Yoshinari, Y. Oda, T. Kato, K. Okuda, Influence of surface modifications to titanium on antibacterial activity in vitro, Biomaterials. 22 (2001) 2043–2048.</w:t>
      </w:r>
    </w:p>
    <w:p w:rsidR="001E18F2" w:rsidRPr="00D029F7" w:rsidRDefault="001E18F2" w:rsidP="001E18F2">
      <w:pPr>
        <w:pStyle w:val="NormalWeb"/>
        <w:ind w:left="640" w:hanging="640"/>
        <w:rPr>
          <w:noProof/>
          <w:lang w:val="en-US"/>
        </w:rPr>
      </w:pPr>
      <w:r w:rsidRPr="00D029F7">
        <w:rPr>
          <w:noProof/>
          <w:lang w:val="en-US"/>
        </w:rPr>
        <w:t>[71]</w:t>
      </w:r>
      <w:r w:rsidRPr="00D029F7">
        <w:rPr>
          <w:noProof/>
          <w:lang w:val="en-US"/>
        </w:rPr>
        <w:tab/>
        <w:t>H. Pinto-Alphandary, A. Andremont, P. Couvreur, Targeted delivery of antibiotics using liposomes and nanoparticles: Research and applications, Int. J. Antimicrob. Agents. 13 (2000) 155–168.</w:t>
      </w:r>
    </w:p>
    <w:p w:rsidR="001E18F2" w:rsidRPr="00D029F7" w:rsidRDefault="001E18F2" w:rsidP="001E18F2">
      <w:pPr>
        <w:pStyle w:val="NormalWeb"/>
        <w:ind w:left="640" w:hanging="640"/>
        <w:rPr>
          <w:noProof/>
          <w:lang w:val="en-US"/>
        </w:rPr>
      </w:pPr>
      <w:r w:rsidRPr="00D029F7">
        <w:rPr>
          <w:noProof/>
          <w:lang w:val="en-US"/>
        </w:rPr>
        <w:t>[72]</w:t>
      </w:r>
      <w:r w:rsidRPr="00D029F7">
        <w:rPr>
          <w:noProof/>
          <w:lang w:val="en-US"/>
        </w:rPr>
        <w:tab/>
        <w:t>A.R. Walpole, E.P. Briggs, M. Karlsson, E. Pålsgård, P.R. Wilshaw, Nano-porous Alumina Coatings for Improved Bone Implant Interfaces, in: Materwiss. Werksttech., 2003: pp. 1064–1068.</w:t>
      </w:r>
    </w:p>
    <w:p w:rsidR="001E18F2" w:rsidRPr="00D029F7" w:rsidRDefault="001E18F2" w:rsidP="001E18F2">
      <w:pPr>
        <w:pStyle w:val="NormalWeb"/>
        <w:ind w:left="640" w:hanging="640"/>
        <w:rPr>
          <w:noProof/>
        </w:rPr>
      </w:pPr>
      <w:r w:rsidRPr="00D029F7">
        <w:rPr>
          <w:noProof/>
          <w:lang w:val="en-US"/>
        </w:rPr>
        <w:t>[73]</w:t>
      </w:r>
      <w:r w:rsidRPr="00D029F7">
        <w:rPr>
          <w:noProof/>
          <w:lang w:val="en-US"/>
        </w:rPr>
        <w:tab/>
        <w:t xml:space="preserve">S. Dolarevic, A. Ibrahimbegovic, A modified three-surface elasto-plastic cap model and its numerical implementation, Comput. </w:t>
      </w:r>
      <w:r w:rsidRPr="00D029F7">
        <w:rPr>
          <w:noProof/>
        </w:rPr>
        <w:t xml:space="preserve">Struct. 85 (2007) 419–430. </w:t>
      </w:r>
    </w:p>
    <w:p w:rsidR="001E18F2" w:rsidRPr="00D029F7" w:rsidRDefault="001E18F2" w:rsidP="001E18F2">
      <w:pPr>
        <w:pStyle w:val="NormalWeb"/>
        <w:ind w:left="640" w:hanging="640"/>
        <w:rPr>
          <w:b/>
          <w:lang w:val="en-US"/>
        </w:rPr>
      </w:pPr>
    </w:p>
    <w:p w:rsidR="001E18F2" w:rsidRPr="00D029F7" w:rsidRDefault="001E18F2" w:rsidP="001E18F2">
      <w:pPr>
        <w:pStyle w:val="NormalWeb"/>
        <w:ind w:left="640" w:hanging="640"/>
        <w:rPr>
          <w:b/>
          <w:lang w:val="en-US"/>
        </w:rPr>
      </w:pPr>
      <w:r w:rsidRPr="00D029F7">
        <w:rPr>
          <w:b/>
          <w:lang w:val="en-US"/>
        </w:rPr>
        <w:lastRenderedPageBreak/>
        <w:t>Appendix A – Modified Drucker-Prager/cap model</w:t>
      </w:r>
      <w:r w:rsidRPr="00D029F7">
        <w:rPr>
          <w:lang w:val="en-US"/>
        </w:rPr>
        <w:t xml:space="preserve"> </w:t>
      </w:r>
      <w:r w:rsidRPr="00D029F7">
        <w:rPr>
          <w:noProof/>
          <w:lang w:val="en-US"/>
        </w:rPr>
        <w:t>[58]</w:t>
      </w:r>
    </w:p>
    <w:p w:rsidR="001E18F2" w:rsidRPr="00D029F7" w:rsidRDefault="001E18F2" w:rsidP="001E18F2">
      <w:pPr>
        <w:spacing w:line="480" w:lineRule="auto"/>
        <w:rPr>
          <w:rFonts w:ascii="Times New Roman" w:hAnsi="Times New Roman"/>
        </w:rPr>
      </w:pPr>
      <w:r w:rsidRPr="00D029F7">
        <w:rPr>
          <w:rFonts w:ascii="Times New Roman" w:hAnsi="Times New Roman"/>
        </w:rPr>
        <w:t>The Drucker-Prager failure surface is defined in the meridional (p-t) plane by:</w:t>
      </w:r>
    </w:p>
    <w:p w:rsidR="001E18F2" w:rsidRPr="00D029F7" w:rsidRDefault="001E18F2" w:rsidP="001E18F2">
      <w:pPr>
        <w:spacing w:line="480" w:lineRule="auto"/>
        <w:ind w:left="63" w:firstLine="363"/>
        <w:jc w:val="center"/>
        <w:rPr>
          <w:rFonts w:ascii="Times New Roman" w:hAnsi="Times New Roman"/>
        </w:rPr>
      </w:pPr>
      <m:oMath>
        <m:sSub>
          <m:sSubPr>
            <m:ctrlPr>
              <w:rPr>
                <w:rFonts w:ascii="Cambria Math" w:hAnsi="Times New Roman"/>
                <w:i/>
              </w:rPr>
            </m:ctrlPr>
          </m:sSubPr>
          <m:e>
            <m:r>
              <w:rPr>
                <w:rFonts w:ascii="Cambria Math" w:hAnsi="Cambria Math"/>
              </w:rPr>
              <m:t>F</m:t>
            </m:r>
          </m:e>
          <m:sub>
            <m:r>
              <w:rPr>
                <w:rFonts w:ascii="Cambria Math" w:hAnsi="Cambria Math"/>
              </w:rPr>
              <m:t>s</m:t>
            </m:r>
          </m:sub>
        </m:sSub>
        <m:r>
          <w:rPr>
            <w:rFonts w:ascii="Cambria Math" w:hAnsi="Times New Roman"/>
          </w:rPr>
          <m:t>=</m:t>
        </m:r>
        <m:r>
          <w:rPr>
            <w:rFonts w:ascii="Cambria Math" w:hAnsi="Cambria Math"/>
          </w:rPr>
          <m:t>t-p</m:t>
        </m:r>
        <m:func>
          <m:funcPr>
            <m:ctrlPr>
              <w:rPr>
                <w:rFonts w:ascii="Cambria Math" w:hAnsi="Times New Roman"/>
                <w:i/>
              </w:rPr>
            </m:ctrlPr>
          </m:funcPr>
          <m:fName>
            <m:r>
              <m:rPr>
                <m:sty m:val="p"/>
              </m:rPr>
              <w:rPr>
                <w:rFonts w:ascii="Cambria Math" w:hAnsi="Times New Roman"/>
              </w:rPr>
              <m:t>tan</m:t>
            </m:r>
          </m:fName>
          <m:e>
            <m:r>
              <w:rPr>
                <w:rFonts w:ascii="Cambria Math" w:hAnsi="Cambria Math"/>
              </w:rPr>
              <m:t>β</m:t>
            </m:r>
          </m:e>
        </m:func>
        <m:r>
          <w:rPr>
            <w:rFonts w:ascii="Cambria Math" w:hAnsi="Cambria Math"/>
          </w:rPr>
          <m:t>-d</m:t>
        </m:r>
        <m:r>
          <w:rPr>
            <w:rFonts w:ascii="Cambria Math" w:hAnsi="Times New Roman"/>
          </w:rPr>
          <m:t>=0</m:t>
        </m:r>
      </m:oMath>
      <w:r w:rsidRPr="00D029F7">
        <w:rPr>
          <w:rFonts w:ascii="Times New Roman" w:hAnsi="Times New Roman"/>
        </w:rPr>
        <w:tab/>
        <w:t>(A.1)</w:t>
      </w:r>
    </w:p>
    <w:p w:rsidR="001E18F2" w:rsidRPr="00D029F7" w:rsidRDefault="001E18F2" w:rsidP="001E18F2">
      <w:pPr>
        <w:spacing w:line="480" w:lineRule="auto"/>
        <w:rPr>
          <w:rFonts w:ascii="Times New Roman" w:hAnsi="Times New Roman"/>
        </w:rPr>
      </w:pPr>
      <w:r w:rsidRPr="00D029F7">
        <w:rPr>
          <w:rFonts w:ascii="Times New Roman" w:hAnsi="Times New Roman"/>
        </w:rPr>
        <w:t xml:space="preserve">where </w:t>
      </w:r>
      <w:r w:rsidRPr="00D029F7">
        <w:rPr>
          <w:rFonts w:ascii="Times New Roman" w:hAnsi="Times New Roman"/>
          <w:i/>
        </w:rPr>
        <w:t>p</w:t>
      </w:r>
      <w:r w:rsidRPr="00D029F7">
        <w:rPr>
          <w:rFonts w:ascii="Times New Roman" w:hAnsi="Times New Roman"/>
        </w:rPr>
        <w:t xml:space="preserve"> is the equivalent pressure stress, </w:t>
      </w:r>
      <w:r w:rsidRPr="00D029F7">
        <w:rPr>
          <w:rFonts w:ascii="Times New Roman" w:hAnsi="Times New Roman"/>
          <w:i/>
        </w:rPr>
        <w:t>t</w:t>
      </w:r>
      <w:r w:rsidRPr="00D029F7">
        <w:rPr>
          <w:rFonts w:ascii="Times New Roman" w:hAnsi="Times New Roman"/>
        </w:rPr>
        <w:t xml:space="preserve"> is the deviatoric stress, </w:t>
      </w:r>
      <w:r w:rsidRPr="00D029F7">
        <w:rPr>
          <w:rFonts w:ascii="Times New Roman" w:hAnsi="Times New Roman"/>
          <w:i/>
        </w:rPr>
        <w:t>β</w:t>
      </w:r>
      <w:r w:rsidRPr="00D029F7">
        <w:rPr>
          <w:rFonts w:ascii="Times New Roman" w:hAnsi="Times New Roman"/>
        </w:rPr>
        <w:t xml:space="preserve"> is the angle of friction of the material and </w:t>
      </w:r>
      <w:r w:rsidRPr="00D029F7">
        <w:rPr>
          <w:rFonts w:ascii="Times New Roman" w:hAnsi="Times New Roman"/>
          <w:i/>
        </w:rPr>
        <w:t>d</w:t>
      </w:r>
      <w:r w:rsidRPr="00D029F7">
        <w:rPr>
          <w:rFonts w:ascii="Times New Roman" w:hAnsi="Times New Roman"/>
        </w:rPr>
        <w:t xml:space="preserve"> is its cohesion which can be expressed as a function of the yield stress in simple compression </w:t>
      </w:r>
      <w:r w:rsidRPr="00D029F7">
        <w:rPr>
          <w:rFonts w:ascii="Times New Roman" w:hAnsi="Times New Roman"/>
          <w:i/>
        </w:rPr>
        <w:t>σ</w:t>
      </w:r>
      <w:r w:rsidRPr="00D029F7">
        <w:rPr>
          <w:rFonts w:ascii="Times New Roman" w:hAnsi="Times New Roman"/>
          <w:i/>
          <w:vertAlign w:val="subscript"/>
        </w:rPr>
        <w:t>c</w:t>
      </w:r>
      <w:r w:rsidRPr="00D029F7">
        <w:rPr>
          <w:rFonts w:ascii="Times New Roman" w:hAnsi="Times New Roman"/>
        </w:rPr>
        <w:t xml:space="preserve"> as:</w:t>
      </w:r>
    </w:p>
    <w:p w:rsidR="001E18F2" w:rsidRPr="00D029F7" w:rsidRDefault="001E18F2" w:rsidP="001E18F2">
      <w:pPr>
        <w:spacing w:line="480" w:lineRule="auto"/>
        <w:ind w:left="63" w:firstLine="363"/>
        <w:jc w:val="center"/>
        <w:rPr>
          <w:rFonts w:ascii="Times New Roman" w:hAnsi="Times New Roman"/>
        </w:rPr>
      </w:pPr>
      <m:oMath>
        <m:r>
          <w:rPr>
            <w:rFonts w:ascii="Cambria Math" w:hAnsi="Cambria Math"/>
          </w:rPr>
          <m:t>d</m:t>
        </m:r>
        <m:r>
          <w:rPr>
            <w:rFonts w:ascii="Cambria Math" w:hAnsi="Times New Roman"/>
          </w:rPr>
          <m:t>=(1</m:t>
        </m:r>
        <m:r>
          <w:rPr>
            <w:rFonts w:ascii="Cambria Math" w:hAnsi="Cambria Math"/>
          </w:rPr>
          <m:t>-</m:t>
        </m:r>
        <m:f>
          <m:fPr>
            <m:ctrlPr>
              <w:rPr>
                <w:rFonts w:ascii="Cambria Math" w:hAnsi="Times New Roman"/>
                <w:i/>
              </w:rPr>
            </m:ctrlPr>
          </m:fPr>
          <m:num>
            <m:r>
              <w:rPr>
                <w:rFonts w:ascii="Cambria Math" w:hAnsi="Times New Roman"/>
              </w:rPr>
              <m:t>1</m:t>
            </m:r>
          </m:num>
          <m:den>
            <m:r>
              <w:rPr>
                <w:rFonts w:ascii="Cambria Math" w:hAnsi="Times New Roman"/>
              </w:rPr>
              <m:t>3</m:t>
            </m:r>
          </m:den>
        </m:f>
        <m:func>
          <m:funcPr>
            <m:ctrlPr>
              <w:rPr>
                <w:rFonts w:ascii="Cambria Math" w:hAnsi="Times New Roman"/>
                <w:i/>
              </w:rPr>
            </m:ctrlPr>
          </m:funcPr>
          <m:fName>
            <m:r>
              <m:rPr>
                <m:sty m:val="p"/>
              </m:rPr>
              <w:rPr>
                <w:rFonts w:ascii="Cambria Math" w:hAnsi="Times New Roman"/>
              </w:rPr>
              <m:t>tan</m:t>
            </m:r>
          </m:fName>
          <m:e>
            <m:r>
              <w:rPr>
                <w:rFonts w:ascii="Cambria Math" w:hAnsi="Cambria Math"/>
              </w:rPr>
              <m:t>β</m:t>
            </m:r>
          </m:e>
        </m:func>
        <m:r>
          <w:rPr>
            <w:rFonts w:ascii="Cambria Math" w:hAnsi="Times New Roman"/>
          </w:rPr>
          <m:t>)</m:t>
        </m:r>
        <m:sSub>
          <m:sSubPr>
            <m:ctrlPr>
              <w:rPr>
                <w:rFonts w:ascii="Cambria Math" w:hAnsi="Times New Roman"/>
                <w:i/>
              </w:rPr>
            </m:ctrlPr>
          </m:sSubPr>
          <m:e>
            <m:r>
              <w:rPr>
                <w:rFonts w:ascii="Cambria Math" w:hAnsi="Cambria Math"/>
              </w:rPr>
              <m:t>σ</m:t>
            </m:r>
          </m:e>
          <m:sub>
            <m:r>
              <w:rPr>
                <w:rFonts w:ascii="Cambria Math" w:hAnsi="Cambria Math"/>
              </w:rPr>
              <m:t>c</m:t>
            </m:r>
          </m:sub>
        </m:sSub>
      </m:oMath>
      <w:r w:rsidRPr="00D029F7">
        <w:rPr>
          <w:rFonts w:ascii="Times New Roman" w:hAnsi="Times New Roman"/>
        </w:rPr>
        <w:t xml:space="preserve"> </w:t>
      </w:r>
      <w:r w:rsidRPr="00D029F7">
        <w:rPr>
          <w:rFonts w:ascii="Times New Roman" w:hAnsi="Times New Roman"/>
        </w:rPr>
        <w:tab/>
      </w:r>
      <w:r w:rsidRPr="00D029F7">
        <w:rPr>
          <w:rFonts w:ascii="Times New Roman" w:hAnsi="Times New Roman"/>
        </w:rPr>
        <w:tab/>
        <w:t>(A.2)</w:t>
      </w:r>
    </w:p>
    <w:p w:rsidR="001E18F2" w:rsidRPr="00D029F7" w:rsidRDefault="001E18F2" w:rsidP="001E18F2">
      <w:pPr>
        <w:spacing w:line="480" w:lineRule="auto"/>
        <w:rPr>
          <w:rFonts w:ascii="Times New Roman" w:hAnsi="Times New Roman"/>
        </w:rPr>
      </w:pPr>
      <w:r w:rsidRPr="00D029F7">
        <w:rPr>
          <w:rFonts w:ascii="Times New Roman" w:hAnsi="Times New Roman"/>
        </w:rPr>
        <w:t>The cap yield failure surface, which binds the yield surface in hydrostatic compression, is defined in the p-t plane by:</w:t>
      </w:r>
    </w:p>
    <w:p w:rsidR="001E18F2" w:rsidRPr="00D029F7" w:rsidRDefault="001E18F2" w:rsidP="001E18F2">
      <w:pPr>
        <w:spacing w:line="480" w:lineRule="auto"/>
        <w:ind w:left="63" w:firstLine="363"/>
        <w:jc w:val="center"/>
        <w:rPr>
          <w:rFonts w:ascii="Times New Roman" w:hAnsi="Times New Roman"/>
        </w:rPr>
      </w:pPr>
      <m:oMath>
        <m:sSub>
          <m:sSubPr>
            <m:ctrlPr>
              <w:rPr>
                <w:rFonts w:ascii="Cambria Math" w:hAnsi="Times New Roman"/>
                <w:i/>
              </w:rPr>
            </m:ctrlPr>
          </m:sSubPr>
          <m:e>
            <m:r>
              <w:rPr>
                <w:rFonts w:ascii="Cambria Math" w:hAnsi="Cambria Math"/>
              </w:rPr>
              <m:t>F</m:t>
            </m:r>
          </m:e>
          <m:sub>
            <m:r>
              <w:rPr>
                <w:rFonts w:ascii="Cambria Math" w:hAnsi="Cambria Math"/>
              </w:rPr>
              <m:t>c</m:t>
            </m:r>
          </m:sub>
        </m:sSub>
        <m:r>
          <w:rPr>
            <w:rFonts w:ascii="Cambria Math" w:hAnsi="Times New Roman"/>
          </w:rPr>
          <m:t>=</m:t>
        </m:r>
        <m:rad>
          <m:radPr>
            <m:degHide m:val="1"/>
            <m:ctrlPr>
              <w:rPr>
                <w:rFonts w:ascii="Cambria Math" w:hAnsi="Times New Roman"/>
                <w:i/>
              </w:rPr>
            </m:ctrlPr>
          </m:radPr>
          <m:deg/>
          <m:e>
            <m:sSup>
              <m:sSupPr>
                <m:ctrlPr>
                  <w:rPr>
                    <w:rFonts w:ascii="Cambria Math" w:hAnsi="Times New Roman"/>
                    <w:i/>
                  </w:rPr>
                </m:ctrlPr>
              </m:sSupPr>
              <m:e>
                <m:d>
                  <m:dPr>
                    <m:ctrlPr>
                      <w:rPr>
                        <w:rFonts w:ascii="Cambria Math" w:hAnsi="Times New Roman"/>
                        <w:i/>
                      </w:rPr>
                    </m:ctrlPr>
                  </m:dPr>
                  <m:e>
                    <m:r>
                      <w:rPr>
                        <w:rFonts w:ascii="Cambria Math" w:hAnsi="Cambria Math"/>
                      </w:rPr>
                      <m:t>p-</m:t>
                    </m:r>
                    <m:sSub>
                      <m:sSubPr>
                        <m:ctrlPr>
                          <w:rPr>
                            <w:rFonts w:ascii="Cambria Math" w:hAnsi="Times New Roman"/>
                            <w:i/>
                          </w:rPr>
                        </m:ctrlPr>
                      </m:sSubPr>
                      <m:e>
                        <m:r>
                          <w:rPr>
                            <w:rFonts w:ascii="Cambria Math" w:hAnsi="Cambria Math"/>
                          </w:rPr>
                          <m:t>p</m:t>
                        </m:r>
                      </m:e>
                      <m:sub>
                        <m:r>
                          <w:rPr>
                            <w:rFonts w:ascii="Cambria Math" w:hAnsi="Cambria Math"/>
                          </w:rPr>
                          <m:t>a</m:t>
                        </m:r>
                      </m:sub>
                    </m:sSub>
                  </m:e>
                </m:d>
              </m:e>
              <m:sup>
                <m:r>
                  <w:rPr>
                    <w:rFonts w:ascii="Cambria Math" w:hAnsi="Times New Roman"/>
                  </w:rPr>
                  <m:t>2</m:t>
                </m:r>
              </m:sup>
            </m:sSup>
            <m:r>
              <w:rPr>
                <w:rFonts w:ascii="Cambria Math" w:hAnsi="Times New Roman"/>
              </w:rPr>
              <m:t>+</m:t>
            </m:r>
            <m:sSup>
              <m:sSupPr>
                <m:ctrlPr>
                  <w:rPr>
                    <w:rFonts w:ascii="Cambria Math" w:hAnsi="Times New Roman"/>
                    <w:i/>
                  </w:rPr>
                </m:ctrlPr>
              </m:sSupPr>
              <m:e>
                <m:d>
                  <m:dPr>
                    <m:ctrlPr>
                      <w:rPr>
                        <w:rFonts w:ascii="Cambria Math" w:hAnsi="Times New Roman"/>
                        <w:i/>
                      </w:rPr>
                    </m:ctrlPr>
                  </m:dPr>
                  <m:e>
                    <m:f>
                      <m:fPr>
                        <m:ctrlPr>
                          <w:rPr>
                            <w:rFonts w:ascii="Cambria Math" w:hAnsi="Times New Roman"/>
                            <w:i/>
                          </w:rPr>
                        </m:ctrlPr>
                      </m:fPr>
                      <m:num>
                        <m:r>
                          <w:rPr>
                            <w:rFonts w:ascii="Cambria Math" w:hAnsi="Cambria Math"/>
                          </w:rPr>
                          <m:t>Rt</m:t>
                        </m:r>
                      </m:num>
                      <m:den>
                        <m:r>
                          <w:rPr>
                            <w:rFonts w:ascii="Cambria Math" w:hAnsi="Times New Roman"/>
                          </w:rPr>
                          <m:t>1+</m:t>
                        </m:r>
                        <m:r>
                          <w:rPr>
                            <w:rFonts w:ascii="Cambria Math" w:hAnsi="Cambria Math"/>
                          </w:rPr>
                          <m:t>α-</m:t>
                        </m:r>
                        <m:f>
                          <m:fPr>
                            <m:ctrlPr>
                              <w:rPr>
                                <w:rFonts w:ascii="Cambria Math" w:hAnsi="Times New Roman"/>
                                <w:i/>
                              </w:rPr>
                            </m:ctrlPr>
                          </m:fPr>
                          <m:num>
                            <m:r>
                              <w:rPr>
                                <w:rFonts w:ascii="Cambria Math" w:hAnsi="Cambria Math"/>
                              </w:rPr>
                              <m:t>α</m:t>
                            </m:r>
                          </m:num>
                          <m:den>
                            <m:func>
                              <m:funcPr>
                                <m:ctrlPr>
                                  <w:rPr>
                                    <w:rFonts w:ascii="Cambria Math" w:hAnsi="Times New Roman"/>
                                    <w:i/>
                                  </w:rPr>
                                </m:ctrlPr>
                              </m:funcPr>
                              <m:fName>
                                <m:r>
                                  <m:rPr>
                                    <m:sty m:val="p"/>
                                  </m:rPr>
                                  <w:rPr>
                                    <w:rFonts w:ascii="Cambria Math" w:hAnsi="Times New Roman"/>
                                  </w:rPr>
                                  <m:t>cos</m:t>
                                </m:r>
                              </m:fName>
                              <m:e>
                                <m:r>
                                  <w:rPr>
                                    <w:rFonts w:ascii="Cambria Math" w:hAnsi="Cambria Math"/>
                                  </w:rPr>
                                  <m:t>β</m:t>
                                </m:r>
                              </m:e>
                            </m:func>
                          </m:den>
                        </m:f>
                      </m:den>
                    </m:f>
                  </m:e>
                </m:d>
              </m:e>
              <m:sup>
                <m:r>
                  <w:rPr>
                    <w:rFonts w:ascii="Cambria Math" w:hAnsi="Times New Roman"/>
                  </w:rPr>
                  <m:t>2</m:t>
                </m:r>
              </m:sup>
            </m:sSup>
          </m:e>
        </m:rad>
        <m:r>
          <w:rPr>
            <w:rFonts w:ascii="Cambria Math" w:hAnsi="Cambria Math"/>
          </w:rPr>
          <m:t>-R</m:t>
        </m:r>
        <m:d>
          <m:dPr>
            <m:ctrlPr>
              <w:rPr>
                <w:rFonts w:ascii="Cambria Math" w:hAnsi="Times New Roman"/>
                <w:i/>
              </w:rPr>
            </m:ctrlPr>
          </m:dPr>
          <m:e>
            <m:r>
              <w:rPr>
                <w:rFonts w:ascii="Cambria Math" w:hAnsi="Cambria Math"/>
              </w:rPr>
              <m:t>d</m:t>
            </m:r>
            <m:r>
              <w:rPr>
                <w:rFonts w:ascii="Cambria Math" w:hAnsi="Times New Roman"/>
              </w:rPr>
              <m:t>+</m:t>
            </m:r>
            <m:sSub>
              <m:sSubPr>
                <m:ctrlPr>
                  <w:rPr>
                    <w:rFonts w:ascii="Cambria Math" w:hAnsi="Times New Roman"/>
                    <w:i/>
                  </w:rPr>
                </m:ctrlPr>
              </m:sSubPr>
              <m:e>
                <m:r>
                  <w:rPr>
                    <w:rFonts w:ascii="Cambria Math" w:hAnsi="Cambria Math"/>
                  </w:rPr>
                  <m:t>p</m:t>
                </m:r>
              </m:e>
              <m:sub>
                <m:r>
                  <w:rPr>
                    <w:rFonts w:ascii="Cambria Math" w:hAnsi="Cambria Math"/>
                  </w:rPr>
                  <m:t>a</m:t>
                </m:r>
              </m:sub>
            </m:sSub>
            <m:func>
              <m:funcPr>
                <m:ctrlPr>
                  <w:rPr>
                    <w:rFonts w:ascii="Cambria Math" w:hAnsi="Times New Roman"/>
                    <w:i/>
                  </w:rPr>
                </m:ctrlPr>
              </m:funcPr>
              <m:fName>
                <m:r>
                  <m:rPr>
                    <m:sty m:val="p"/>
                  </m:rPr>
                  <w:rPr>
                    <w:rFonts w:ascii="Cambria Math" w:hAnsi="Times New Roman"/>
                  </w:rPr>
                  <m:t>tan</m:t>
                </m:r>
              </m:fName>
              <m:e>
                <m:r>
                  <w:rPr>
                    <w:rFonts w:ascii="Cambria Math" w:hAnsi="Cambria Math"/>
                  </w:rPr>
                  <m:t>β</m:t>
                </m:r>
              </m:e>
            </m:func>
          </m:e>
        </m:d>
        <m:r>
          <w:rPr>
            <w:rFonts w:ascii="Cambria Math" w:hAnsi="Times New Roman"/>
          </w:rPr>
          <m:t xml:space="preserve">=0 </m:t>
        </m:r>
      </m:oMath>
      <w:r w:rsidRPr="00D029F7">
        <w:rPr>
          <w:rFonts w:ascii="Times New Roman" w:hAnsi="Times New Roman"/>
        </w:rPr>
        <w:tab/>
      </w:r>
      <w:r w:rsidRPr="00D029F7">
        <w:rPr>
          <w:rFonts w:ascii="Times New Roman" w:hAnsi="Times New Roman"/>
        </w:rPr>
        <w:tab/>
        <w:t>(A.3)</w:t>
      </w:r>
    </w:p>
    <w:p w:rsidR="001E18F2" w:rsidRPr="00D029F7" w:rsidRDefault="001E18F2" w:rsidP="001E18F2">
      <w:pPr>
        <w:spacing w:line="480" w:lineRule="auto"/>
        <w:rPr>
          <w:rFonts w:ascii="Times New Roman" w:hAnsi="Times New Roman"/>
        </w:rPr>
      </w:pPr>
      <w:r w:rsidRPr="00D029F7">
        <w:rPr>
          <w:rFonts w:ascii="Times New Roman" w:hAnsi="Times New Roman"/>
        </w:rPr>
        <w:t xml:space="preserve">where </w:t>
      </w:r>
      <w:r w:rsidRPr="00D029F7">
        <w:rPr>
          <w:rFonts w:ascii="Times New Roman" w:hAnsi="Times New Roman"/>
          <w:i/>
        </w:rPr>
        <w:t>R</w:t>
      </w:r>
      <w:r w:rsidRPr="00D029F7">
        <w:rPr>
          <w:rFonts w:ascii="Times New Roman" w:hAnsi="Times New Roman"/>
        </w:rPr>
        <w:t xml:space="preserve"> is the cap eccentricity (which controls the shape of the cap), α is a small number (typically comprised between 0.01 and 0.05) used to define the transition yield surface and </w:t>
      </w:r>
      <w:r w:rsidRPr="00D029F7">
        <w:rPr>
          <w:rFonts w:ascii="Times New Roman" w:hAnsi="Times New Roman"/>
          <w:i/>
        </w:rPr>
        <w:t>p</w:t>
      </w:r>
      <w:r w:rsidRPr="00D029F7">
        <w:rPr>
          <w:rFonts w:ascii="Times New Roman" w:hAnsi="Times New Roman"/>
          <w:i/>
          <w:vertAlign w:val="subscript"/>
        </w:rPr>
        <w:t>a</w:t>
      </w:r>
      <w:r w:rsidRPr="00D029F7">
        <w:rPr>
          <w:rFonts w:ascii="Times New Roman" w:hAnsi="Times New Roman"/>
        </w:rPr>
        <w:t xml:space="preserve"> is an evolution parameter that represents the volumetric inelastic strain driven hardening given as:</w:t>
      </w:r>
    </w:p>
    <w:p w:rsidR="001E18F2" w:rsidRPr="00D029F7" w:rsidRDefault="001E18F2" w:rsidP="001E18F2">
      <w:pPr>
        <w:spacing w:line="480" w:lineRule="auto"/>
        <w:ind w:left="63" w:firstLine="363"/>
        <w:jc w:val="center"/>
        <w:rPr>
          <w:rFonts w:ascii="Times New Roman" w:hAnsi="Times New Roman"/>
        </w:rPr>
      </w:pPr>
      <m:oMath>
        <m:sSub>
          <m:sSubPr>
            <m:ctrlPr>
              <w:rPr>
                <w:rFonts w:ascii="Cambria Math" w:hAnsi="Times New Roman"/>
                <w:i/>
              </w:rPr>
            </m:ctrlPr>
          </m:sSubPr>
          <m:e>
            <m:r>
              <w:rPr>
                <w:rFonts w:ascii="Cambria Math" w:hAnsi="Cambria Math"/>
              </w:rPr>
              <m:t>p</m:t>
            </m:r>
          </m:e>
          <m:sub>
            <m:r>
              <w:rPr>
                <w:rFonts w:ascii="Cambria Math" w:hAnsi="Cambria Math"/>
              </w:rPr>
              <m:t>a</m:t>
            </m:r>
          </m:sub>
        </m:sSub>
        <m:r>
          <w:rPr>
            <w:rFonts w:ascii="Cambria Math" w:hAnsi="Times New Roman"/>
          </w:rPr>
          <m:t>=</m:t>
        </m:r>
        <m:f>
          <m:fPr>
            <m:ctrlPr>
              <w:rPr>
                <w:rFonts w:ascii="Cambria Math" w:hAnsi="Times New Roman"/>
                <w:i/>
              </w:rPr>
            </m:ctrlPr>
          </m:fPr>
          <m:num>
            <m:sSub>
              <m:sSubPr>
                <m:ctrlPr>
                  <w:rPr>
                    <w:rFonts w:ascii="Cambria Math" w:hAnsi="Times New Roman"/>
                    <w:i/>
                  </w:rPr>
                </m:ctrlPr>
              </m:sSubPr>
              <m:e>
                <m:r>
                  <w:rPr>
                    <w:rFonts w:ascii="Cambria Math" w:hAnsi="Cambria Math"/>
                  </w:rPr>
                  <m:t>p</m:t>
                </m:r>
              </m:e>
              <m:sub>
                <m:r>
                  <w:rPr>
                    <w:rFonts w:ascii="Cambria Math" w:hAnsi="Cambria Math"/>
                  </w:rPr>
                  <m:t>b</m:t>
                </m:r>
              </m:sub>
            </m:sSub>
            <m:r>
              <w:rPr>
                <w:rFonts w:ascii="Cambria Math" w:hAnsi="Cambria Math"/>
              </w:rPr>
              <m:t>-Rd</m:t>
            </m:r>
          </m:num>
          <m:den>
            <m:r>
              <w:rPr>
                <w:rFonts w:ascii="Cambria Math" w:hAnsi="Times New Roman"/>
              </w:rPr>
              <m:t>(1+</m:t>
            </m:r>
            <m:r>
              <w:rPr>
                <w:rFonts w:ascii="Cambria Math" w:hAnsi="Cambria Math"/>
              </w:rPr>
              <m:t>R</m:t>
            </m:r>
            <m:func>
              <m:funcPr>
                <m:ctrlPr>
                  <w:rPr>
                    <w:rFonts w:ascii="Cambria Math" w:hAnsi="Times New Roman"/>
                    <w:i/>
                  </w:rPr>
                </m:ctrlPr>
              </m:funcPr>
              <m:fName>
                <m:r>
                  <m:rPr>
                    <m:sty m:val="p"/>
                  </m:rPr>
                  <w:rPr>
                    <w:rFonts w:ascii="Cambria Math" w:hAnsi="Times New Roman"/>
                  </w:rPr>
                  <m:t>tan</m:t>
                </m:r>
              </m:fName>
              <m:e>
                <m:r>
                  <w:rPr>
                    <w:rFonts w:ascii="Cambria Math" w:hAnsi="Cambria Math"/>
                  </w:rPr>
                  <m:t>β</m:t>
                </m:r>
              </m:e>
            </m:func>
            <m:r>
              <w:rPr>
                <w:rFonts w:ascii="Cambria Math" w:hAnsi="Times New Roman"/>
              </w:rPr>
              <m:t>)</m:t>
            </m:r>
          </m:den>
        </m:f>
      </m:oMath>
      <w:r w:rsidRPr="00D029F7">
        <w:rPr>
          <w:rFonts w:ascii="Times New Roman" w:hAnsi="Times New Roman"/>
        </w:rPr>
        <w:t xml:space="preserve"> </w:t>
      </w:r>
      <w:r w:rsidRPr="00D029F7">
        <w:rPr>
          <w:rFonts w:ascii="Times New Roman" w:hAnsi="Times New Roman"/>
        </w:rPr>
        <w:tab/>
      </w:r>
      <w:r w:rsidRPr="00D029F7">
        <w:rPr>
          <w:rFonts w:ascii="Times New Roman" w:hAnsi="Times New Roman"/>
        </w:rPr>
        <w:tab/>
        <w:t>(A.4)</w:t>
      </w:r>
    </w:p>
    <w:p w:rsidR="001E18F2" w:rsidRPr="00D029F7" w:rsidRDefault="001E18F2" w:rsidP="001E18F2">
      <w:pPr>
        <w:spacing w:line="480" w:lineRule="auto"/>
        <w:rPr>
          <w:rFonts w:ascii="Times New Roman" w:hAnsi="Times New Roman"/>
          <w:szCs w:val="24"/>
        </w:rPr>
      </w:pPr>
      <w:r w:rsidRPr="00D029F7">
        <w:rPr>
          <w:rFonts w:ascii="Times New Roman" w:hAnsi="Times New Roman"/>
        </w:rPr>
        <w:t xml:space="preserve">where </w:t>
      </w:r>
      <w:r w:rsidRPr="00D029F7">
        <w:rPr>
          <w:rFonts w:ascii="Times New Roman" w:hAnsi="Times New Roman"/>
          <w:i/>
        </w:rPr>
        <w:t>p</w:t>
      </w:r>
      <w:r w:rsidRPr="00D029F7">
        <w:rPr>
          <w:rFonts w:ascii="Times New Roman" w:hAnsi="Times New Roman"/>
          <w:i/>
          <w:vertAlign w:val="subscript"/>
        </w:rPr>
        <w:t>b</w:t>
      </w:r>
      <w:r w:rsidRPr="00D029F7">
        <w:rPr>
          <w:rFonts w:ascii="Times New Roman" w:hAnsi="Times New Roman"/>
          <w:i/>
        </w:rPr>
        <w:t xml:space="preserve"> </w:t>
      </w:r>
      <w:r w:rsidRPr="00D029F7">
        <w:rPr>
          <w:rFonts w:ascii="Times New Roman" w:hAnsi="Times New Roman"/>
        </w:rPr>
        <w:t xml:space="preserve">is the hydrostatic compression yield stress. In this work, the evolution of </w:t>
      </w:r>
      <w:r w:rsidRPr="00D029F7">
        <w:rPr>
          <w:rFonts w:ascii="Times New Roman" w:hAnsi="Times New Roman"/>
          <w:i/>
        </w:rPr>
        <w:t>p</w:t>
      </w:r>
      <w:r w:rsidRPr="00D029F7">
        <w:rPr>
          <w:rFonts w:ascii="Times New Roman" w:hAnsi="Times New Roman"/>
          <w:i/>
          <w:vertAlign w:val="subscript"/>
        </w:rPr>
        <w:t>b</w:t>
      </w:r>
      <w:r w:rsidRPr="00D029F7">
        <w:rPr>
          <w:rFonts w:ascii="Times New Roman" w:hAnsi="Times New Roman"/>
        </w:rPr>
        <w:t xml:space="preserve"> was modeled with the following law:</w:t>
      </w:r>
    </w:p>
    <w:p w:rsidR="001E18F2" w:rsidRPr="00D029F7" w:rsidRDefault="001E18F2" w:rsidP="001E18F2">
      <w:pPr>
        <w:spacing w:line="480" w:lineRule="auto"/>
        <w:jc w:val="center"/>
        <w:rPr>
          <w:rFonts w:ascii="Times New Roman" w:hAnsi="Times New Roman"/>
        </w:rPr>
      </w:pPr>
      <m:oMath>
        <m:sSub>
          <m:sSubPr>
            <m:ctrlPr>
              <w:rPr>
                <w:rFonts w:ascii="Cambria Math" w:hAnsi="Times New Roman"/>
                <w:i/>
              </w:rPr>
            </m:ctrlPr>
          </m:sSubPr>
          <m:e>
            <m:r>
              <w:rPr>
                <w:rFonts w:ascii="Cambria Math" w:hAnsi="Cambria Math"/>
              </w:rPr>
              <m:t>p</m:t>
            </m:r>
          </m:e>
          <m:sub>
            <m:r>
              <w:rPr>
                <w:rFonts w:ascii="Cambria Math" w:hAnsi="Cambria Math"/>
              </w:rPr>
              <m:t>b</m:t>
            </m:r>
          </m:sub>
        </m:sSub>
        <m:d>
          <m:dPr>
            <m:ctrlPr>
              <w:rPr>
                <w:rFonts w:ascii="Cambria Math" w:hAnsi="Times New Roman"/>
                <w:i/>
              </w:rPr>
            </m:ctrlPr>
          </m:dPr>
          <m:e>
            <m:sSub>
              <m:sSubPr>
                <m:ctrlPr>
                  <w:rPr>
                    <w:rFonts w:ascii="Cambria Math" w:hAnsi="Times New Roman"/>
                    <w:i/>
                  </w:rPr>
                </m:ctrlPr>
              </m:sSubPr>
              <m:e>
                <m:r>
                  <w:rPr>
                    <w:rFonts w:ascii="Cambria Math" w:hAnsi="Cambria Math"/>
                  </w:rPr>
                  <m:t>ε</m:t>
                </m:r>
              </m:e>
              <m:sub>
                <m:r>
                  <w:rPr>
                    <w:rFonts w:ascii="Cambria Math" w:hAnsi="Cambria Math"/>
                  </w:rPr>
                  <m:t>V</m:t>
                </m:r>
              </m:sub>
            </m:sSub>
          </m:e>
        </m:d>
        <m:r>
          <w:rPr>
            <w:rFonts w:ascii="Cambria Math" w:hAnsi="Times New Roman"/>
          </w:rPr>
          <m:t xml:space="preserve">= </m:t>
        </m:r>
        <m:f>
          <m:fPr>
            <m:ctrlPr>
              <w:rPr>
                <w:rFonts w:ascii="Cambria Math" w:hAnsi="Times New Roman"/>
                <w:i/>
              </w:rPr>
            </m:ctrlPr>
          </m:fPr>
          <m:num>
            <m:r>
              <w:rPr>
                <w:rFonts w:ascii="Cambria Math" w:hAnsi="Times New Roman"/>
              </w:rPr>
              <m:t>1</m:t>
            </m:r>
          </m:num>
          <m:den>
            <m:r>
              <w:rPr>
                <w:rFonts w:ascii="Cambria Math" w:hAnsi="Cambria Math"/>
              </w:rPr>
              <m:t>D</m:t>
            </m:r>
          </m:den>
        </m:f>
        <m:func>
          <m:funcPr>
            <m:ctrlPr>
              <w:rPr>
                <w:rFonts w:ascii="Cambria Math" w:hAnsi="Times New Roman"/>
                <w:i/>
              </w:rPr>
            </m:ctrlPr>
          </m:funcPr>
          <m:fName>
            <m:r>
              <m:rPr>
                <m:sty m:val="p"/>
              </m:rPr>
              <w:rPr>
                <w:rFonts w:ascii="Cambria Math" w:hAnsi="Times New Roman"/>
              </w:rPr>
              <m:t>ln</m:t>
            </m:r>
          </m:fName>
          <m:e>
            <m:d>
              <m:dPr>
                <m:ctrlPr>
                  <w:rPr>
                    <w:rFonts w:ascii="Cambria Math" w:hAnsi="Times New Roman"/>
                    <w:i/>
                  </w:rPr>
                </m:ctrlPr>
              </m:dPr>
              <m:e>
                <m:r>
                  <w:rPr>
                    <w:rFonts w:ascii="Cambria Math" w:hAnsi="Times New Roman"/>
                  </w:rPr>
                  <m:t>1+</m:t>
                </m:r>
                <m:f>
                  <m:fPr>
                    <m:ctrlPr>
                      <w:rPr>
                        <w:rFonts w:ascii="Cambria Math" w:hAnsi="Times New Roman"/>
                        <w:i/>
                      </w:rPr>
                    </m:ctrlPr>
                  </m:fPr>
                  <m:num>
                    <m:sSub>
                      <m:sSubPr>
                        <m:ctrlPr>
                          <w:rPr>
                            <w:rFonts w:ascii="Cambria Math" w:hAnsi="Times New Roman"/>
                            <w:i/>
                          </w:rPr>
                        </m:ctrlPr>
                      </m:sSubPr>
                      <m:e>
                        <m:r>
                          <w:rPr>
                            <w:rFonts w:ascii="Cambria Math" w:hAnsi="Cambria Math"/>
                          </w:rPr>
                          <m:t>ε</m:t>
                        </m:r>
                      </m:e>
                      <m:sub>
                        <m:r>
                          <w:rPr>
                            <w:rFonts w:ascii="Cambria Math" w:hAnsi="Cambria Math"/>
                          </w:rPr>
                          <m:t>V</m:t>
                        </m:r>
                      </m:sub>
                    </m:sSub>
                  </m:num>
                  <m:den>
                    <m:r>
                      <w:rPr>
                        <w:rFonts w:ascii="Cambria Math" w:hAnsi="Cambria Math"/>
                      </w:rPr>
                      <m:t>W</m:t>
                    </m:r>
                  </m:den>
                </m:f>
              </m:e>
            </m:d>
          </m:e>
        </m:func>
        <m:r>
          <w:rPr>
            <w:rFonts w:ascii="Cambria Math" w:hAnsi="Times New Roman"/>
          </w:rPr>
          <m:t>+</m:t>
        </m:r>
        <m:sSub>
          <m:sSubPr>
            <m:ctrlPr>
              <w:rPr>
                <w:rFonts w:ascii="Cambria Math" w:hAnsi="Times New Roman"/>
                <w:i/>
              </w:rPr>
            </m:ctrlPr>
          </m:sSubPr>
          <m:e>
            <m:r>
              <w:rPr>
                <w:rFonts w:ascii="Cambria Math" w:hAnsi="Cambria Math"/>
              </w:rPr>
              <m:t>P</m:t>
            </m:r>
          </m:e>
          <m:sub>
            <m:r>
              <w:rPr>
                <w:rFonts w:ascii="Cambria Math" w:hAnsi="Cambria Math"/>
              </w:rPr>
              <m:t>b</m:t>
            </m:r>
            <m:r>
              <w:rPr>
                <w:rFonts w:ascii="Cambria Math" w:hAnsi="Times New Roman"/>
              </w:rPr>
              <m:t>0</m:t>
            </m:r>
          </m:sub>
        </m:sSub>
      </m:oMath>
      <w:r w:rsidRPr="00D029F7">
        <w:rPr>
          <w:rFonts w:ascii="Times New Roman" w:hAnsi="Times New Roman"/>
        </w:rPr>
        <w:t xml:space="preserve"> </w:t>
      </w:r>
      <w:r w:rsidRPr="00D029F7">
        <w:rPr>
          <w:rFonts w:ascii="Times New Roman" w:hAnsi="Times New Roman"/>
        </w:rPr>
        <w:tab/>
      </w:r>
      <w:r w:rsidRPr="00D029F7">
        <w:rPr>
          <w:rFonts w:ascii="Times New Roman" w:hAnsi="Times New Roman"/>
        </w:rPr>
        <w:tab/>
        <w:t>(A.5)</w:t>
      </w:r>
    </w:p>
    <w:p w:rsidR="001E18F2" w:rsidRPr="00D029F7" w:rsidRDefault="001E18F2" w:rsidP="001E18F2">
      <w:pPr>
        <w:spacing w:line="480" w:lineRule="auto"/>
        <w:rPr>
          <w:rFonts w:ascii="Times New Roman" w:hAnsi="Times New Roman"/>
        </w:rPr>
      </w:pPr>
      <w:r w:rsidRPr="00D029F7">
        <w:rPr>
          <w:rFonts w:ascii="Times New Roman" w:hAnsi="Times New Roman"/>
        </w:rPr>
        <w:lastRenderedPageBreak/>
        <w:t xml:space="preserve"> where </w:t>
      </w:r>
      <w:r w:rsidRPr="00D029F7">
        <w:rPr>
          <w:rFonts w:ascii="Times New Roman" w:hAnsi="Times New Roman"/>
          <w:i/>
        </w:rPr>
        <w:t>ε</w:t>
      </w:r>
      <w:r w:rsidRPr="00D029F7">
        <w:rPr>
          <w:rFonts w:ascii="Times New Roman" w:hAnsi="Times New Roman"/>
          <w:i/>
          <w:vertAlign w:val="subscript"/>
        </w:rPr>
        <w:t>V</w:t>
      </w:r>
      <w:r w:rsidRPr="00D029F7">
        <w:rPr>
          <w:rFonts w:ascii="Times New Roman" w:hAnsi="Times New Roman"/>
        </w:rPr>
        <w:t xml:space="preserve"> is the hydrostatic plastic strain, </w:t>
      </w:r>
      <w:r w:rsidRPr="00D029F7">
        <w:rPr>
          <w:rFonts w:ascii="Times New Roman" w:hAnsi="Times New Roman"/>
          <w:i/>
        </w:rPr>
        <w:t>p</w:t>
      </w:r>
      <w:r w:rsidRPr="00D029F7">
        <w:rPr>
          <w:rFonts w:ascii="Times New Roman" w:hAnsi="Times New Roman"/>
          <w:i/>
          <w:vertAlign w:val="subscript"/>
        </w:rPr>
        <w:t>b0</w:t>
      </w:r>
      <w:r w:rsidRPr="00D029F7">
        <w:rPr>
          <w:rFonts w:ascii="Times New Roman" w:hAnsi="Times New Roman"/>
        </w:rPr>
        <w:t xml:space="preserve"> the initial hydrostatic compression yield stress, </w:t>
      </w:r>
      <w:r w:rsidRPr="00D029F7">
        <w:rPr>
          <w:rFonts w:ascii="Times New Roman" w:hAnsi="Times New Roman"/>
          <w:i/>
        </w:rPr>
        <w:t>W</w:t>
      </w:r>
      <w:r w:rsidRPr="00D029F7">
        <w:rPr>
          <w:rFonts w:ascii="Times New Roman" w:hAnsi="Times New Roman"/>
        </w:rPr>
        <w:t xml:space="preserve"> is the maximum plastic volumetric strain (which theoretically corresponds to the porosity) and </w:t>
      </w:r>
      <w:r w:rsidRPr="00D029F7">
        <w:rPr>
          <w:rFonts w:ascii="Times New Roman" w:hAnsi="Times New Roman"/>
          <w:i/>
        </w:rPr>
        <w:t>D</w:t>
      </w:r>
      <w:r w:rsidRPr="00D029F7">
        <w:rPr>
          <w:rFonts w:ascii="Times New Roman" w:hAnsi="Times New Roman"/>
        </w:rPr>
        <w:t xml:space="preserve"> is the maximum plastic volumetric strain rate </w:t>
      </w:r>
      <w:r w:rsidRPr="00D029F7">
        <w:rPr>
          <w:rFonts w:ascii="Times New Roman" w:hAnsi="Times New Roman"/>
          <w:noProof/>
        </w:rPr>
        <w:t>[73]</w:t>
      </w:r>
      <w:r w:rsidRPr="00D029F7">
        <w:rPr>
          <w:rFonts w:ascii="Times New Roman" w:hAnsi="Times New Roman"/>
        </w:rPr>
        <w:t>.</w:t>
      </w:r>
    </w:p>
    <w:p w:rsidR="001E18F2" w:rsidRPr="00D029F7" w:rsidRDefault="001E18F2" w:rsidP="001E18F2">
      <w:pPr>
        <w:spacing w:line="480" w:lineRule="auto"/>
        <w:rPr>
          <w:rFonts w:ascii="Times New Roman" w:hAnsi="Times New Roman"/>
        </w:rPr>
      </w:pPr>
      <w:r w:rsidRPr="00D029F7">
        <w:rPr>
          <w:rFonts w:ascii="Times New Roman" w:hAnsi="Times New Roman"/>
        </w:rPr>
        <w:t>To provide a smooth intersection between the cap and the Drucker-Prager failure surfaces, a transition yield surface is defined as:</w:t>
      </w:r>
    </w:p>
    <w:p w:rsidR="001E18F2" w:rsidRPr="00D029F7" w:rsidRDefault="001E18F2" w:rsidP="001E18F2">
      <w:pPr>
        <w:spacing w:line="480" w:lineRule="auto"/>
        <w:ind w:left="63" w:firstLine="363"/>
        <w:jc w:val="center"/>
        <w:rPr>
          <w:rFonts w:ascii="Times New Roman" w:hAnsi="Times New Roman"/>
        </w:rPr>
      </w:pPr>
      <m:oMath>
        <m:sSub>
          <m:sSubPr>
            <m:ctrlPr>
              <w:rPr>
                <w:rFonts w:ascii="Cambria Math" w:hAnsi="Times New Roman"/>
                <w:i/>
              </w:rPr>
            </m:ctrlPr>
          </m:sSubPr>
          <m:e>
            <m:r>
              <w:rPr>
                <w:rFonts w:ascii="Cambria Math" w:hAnsi="Cambria Math"/>
              </w:rPr>
              <m:t>F</m:t>
            </m:r>
          </m:e>
          <m:sub>
            <m:r>
              <w:rPr>
                <w:rFonts w:ascii="Cambria Math" w:hAnsi="Cambria Math"/>
              </w:rPr>
              <m:t>t</m:t>
            </m:r>
          </m:sub>
        </m:sSub>
        <m:r>
          <w:rPr>
            <w:rFonts w:ascii="Cambria Math" w:hAnsi="Times New Roman"/>
          </w:rPr>
          <m:t>=</m:t>
        </m:r>
        <m:rad>
          <m:radPr>
            <m:degHide m:val="1"/>
            <m:ctrlPr>
              <w:rPr>
                <w:rFonts w:ascii="Cambria Math" w:hAnsi="Times New Roman"/>
                <w:i/>
              </w:rPr>
            </m:ctrlPr>
          </m:radPr>
          <m:deg/>
          <m:e>
            <m:sSup>
              <m:sSupPr>
                <m:ctrlPr>
                  <w:rPr>
                    <w:rFonts w:ascii="Cambria Math" w:hAnsi="Times New Roman"/>
                    <w:i/>
                  </w:rPr>
                </m:ctrlPr>
              </m:sSupPr>
              <m:e>
                <m:d>
                  <m:dPr>
                    <m:ctrlPr>
                      <w:rPr>
                        <w:rFonts w:ascii="Cambria Math" w:hAnsi="Times New Roman"/>
                        <w:i/>
                      </w:rPr>
                    </m:ctrlPr>
                  </m:dPr>
                  <m:e>
                    <m:r>
                      <w:rPr>
                        <w:rFonts w:ascii="Cambria Math" w:hAnsi="Cambria Math"/>
                      </w:rPr>
                      <m:t>p-</m:t>
                    </m:r>
                    <m:sSub>
                      <m:sSubPr>
                        <m:ctrlPr>
                          <w:rPr>
                            <w:rFonts w:ascii="Cambria Math" w:hAnsi="Times New Roman"/>
                            <w:i/>
                          </w:rPr>
                        </m:ctrlPr>
                      </m:sSubPr>
                      <m:e>
                        <m:r>
                          <w:rPr>
                            <w:rFonts w:ascii="Cambria Math" w:hAnsi="Cambria Math"/>
                          </w:rPr>
                          <m:t>p</m:t>
                        </m:r>
                      </m:e>
                      <m:sub>
                        <m:r>
                          <w:rPr>
                            <w:rFonts w:ascii="Cambria Math" w:hAnsi="Cambria Math"/>
                          </w:rPr>
                          <m:t>a</m:t>
                        </m:r>
                      </m:sub>
                    </m:sSub>
                  </m:e>
                </m:d>
              </m:e>
              <m:sup>
                <m:r>
                  <w:rPr>
                    <w:rFonts w:ascii="Cambria Math" w:hAnsi="Times New Roman"/>
                  </w:rPr>
                  <m:t>2</m:t>
                </m:r>
              </m:sup>
            </m:sSup>
            <m:r>
              <w:rPr>
                <w:rFonts w:ascii="Cambria Math" w:hAnsi="Times New Roman"/>
              </w:rPr>
              <m:t>+</m:t>
            </m:r>
            <m:sSup>
              <m:sSupPr>
                <m:ctrlPr>
                  <w:rPr>
                    <w:rFonts w:ascii="Cambria Math" w:hAnsi="Times New Roman"/>
                    <w:i/>
                  </w:rPr>
                </m:ctrlPr>
              </m:sSupPr>
              <m:e>
                <m:d>
                  <m:dPr>
                    <m:begChr m:val="["/>
                    <m:endChr m:val="]"/>
                    <m:ctrlPr>
                      <w:rPr>
                        <w:rFonts w:ascii="Cambria Math" w:hAnsi="Times New Roman"/>
                        <w:i/>
                      </w:rPr>
                    </m:ctrlPr>
                  </m:dPr>
                  <m:e>
                    <m:r>
                      <w:rPr>
                        <w:rFonts w:ascii="Cambria Math" w:hAnsi="Cambria Math"/>
                      </w:rPr>
                      <m:t>t-</m:t>
                    </m:r>
                    <m:r>
                      <w:rPr>
                        <w:rFonts w:ascii="Cambria Math" w:hAnsi="Times New Roman"/>
                      </w:rPr>
                      <m:t>(1</m:t>
                    </m:r>
                    <m:r>
                      <w:rPr>
                        <w:rFonts w:ascii="Cambria Math" w:hAnsi="Cambria Math"/>
                      </w:rPr>
                      <m:t>-</m:t>
                    </m:r>
                    <m:f>
                      <m:fPr>
                        <m:ctrlPr>
                          <w:rPr>
                            <w:rFonts w:ascii="Cambria Math" w:hAnsi="Times New Roman"/>
                            <w:i/>
                          </w:rPr>
                        </m:ctrlPr>
                      </m:fPr>
                      <m:num>
                        <m:r>
                          <w:rPr>
                            <w:rFonts w:ascii="Cambria Math" w:hAnsi="Cambria Math"/>
                          </w:rPr>
                          <m:t>α</m:t>
                        </m:r>
                      </m:num>
                      <m:den>
                        <m:func>
                          <m:funcPr>
                            <m:ctrlPr>
                              <w:rPr>
                                <w:rFonts w:ascii="Cambria Math" w:hAnsi="Times New Roman"/>
                                <w:i/>
                              </w:rPr>
                            </m:ctrlPr>
                          </m:funcPr>
                          <m:fName>
                            <m:r>
                              <m:rPr>
                                <m:sty m:val="p"/>
                              </m:rPr>
                              <w:rPr>
                                <w:rFonts w:ascii="Cambria Math" w:hAnsi="Times New Roman"/>
                              </w:rPr>
                              <m:t>cos</m:t>
                            </m:r>
                          </m:fName>
                          <m:e>
                            <m:r>
                              <w:rPr>
                                <w:rFonts w:ascii="Cambria Math" w:hAnsi="Cambria Math"/>
                              </w:rPr>
                              <m:t>β</m:t>
                            </m:r>
                          </m:e>
                        </m:func>
                      </m:den>
                    </m:f>
                    <m:r>
                      <w:rPr>
                        <w:rFonts w:ascii="Cambria Math" w:hAnsi="Times New Roman"/>
                      </w:rPr>
                      <m:t>)(</m:t>
                    </m:r>
                    <m:r>
                      <w:rPr>
                        <w:rFonts w:ascii="Cambria Math" w:hAnsi="Cambria Math"/>
                      </w:rPr>
                      <m:t>d</m:t>
                    </m:r>
                    <m:r>
                      <w:rPr>
                        <w:rFonts w:ascii="Cambria Math" w:hAnsi="Times New Roman"/>
                      </w:rPr>
                      <m:t>+</m:t>
                    </m:r>
                    <m:sSub>
                      <m:sSubPr>
                        <m:ctrlPr>
                          <w:rPr>
                            <w:rFonts w:ascii="Cambria Math" w:hAnsi="Times New Roman"/>
                            <w:i/>
                          </w:rPr>
                        </m:ctrlPr>
                      </m:sSubPr>
                      <m:e>
                        <m:r>
                          <w:rPr>
                            <w:rFonts w:ascii="Cambria Math" w:hAnsi="Cambria Math"/>
                          </w:rPr>
                          <m:t>p</m:t>
                        </m:r>
                      </m:e>
                      <m:sub>
                        <m:r>
                          <w:rPr>
                            <w:rFonts w:ascii="Cambria Math" w:hAnsi="Cambria Math"/>
                          </w:rPr>
                          <m:t>a</m:t>
                        </m:r>
                      </m:sub>
                    </m:sSub>
                    <m:func>
                      <m:funcPr>
                        <m:ctrlPr>
                          <w:rPr>
                            <w:rFonts w:ascii="Cambria Math" w:hAnsi="Times New Roman"/>
                            <w:i/>
                          </w:rPr>
                        </m:ctrlPr>
                      </m:funcPr>
                      <m:fName>
                        <m:r>
                          <m:rPr>
                            <m:sty m:val="p"/>
                          </m:rPr>
                          <w:rPr>
                            <w:rFonts w:ascii="Cambria Math" w:hAnsi="Times New Roman"/>
                          </w:rPr>
                          <m:t>tan</m:t>
                        </m:r>
                      </m:fName>
                      <m:e>
                        <m:r>
                          <w:rPr>
                            <w:rFonts w:ascii="Cambria Math" w:hAnsi="Cambria Math"/>
                          </w:rPr>
                          <m:t>β</m:t>
                        </m:r>
                        <m:r>
                          <w:rPr>
                            <w:rFonts w:ascii="Cambria Math" w:hAnsi="Times New Roman"/>
                          </w:rPr>
                          <m:t>)</m:t>
                        </m:r>
                      </m:e>
                    </m:func>
                  </m:e>
                </m:d>
              </m:e>
              <m:sup>
                <m:r>
                  <w:rPr>
                    <w:rFonts w:ascii="Cambria Math" w:hAnsi="Times New Roman"/>
                  </w:rPr>
                  <m:t>2</m:t>
                </m:r>
              </m:sup>
            </m:sSup>
          </m:e>
        </m:rad>
        <m:r>
          <w:rPr>
            <w:rFonts w:ascii="Cambria Math" w:hAnsi="Cambria Math"/>
          </w:rPr>
          <m:t>-α</m:t>
        </m:r>
        <m:d>
          <m:dPr>
            <m:ctrlPr>
              <w:rPr>
                <w:rFonts w:ascii="Cambria Math" w:hAnsi="Times New Roman"/>
                <w:i/>
              </w:rPr>
            </m:ctrlPr>
          </m:dPr>
          <m:e>
            <m:r>
              <w:rPr>
                <w:rFonts w:ascii="Cambria Math" w:hAnsi="Cambria Math"/>
              </w:rPr>
              <m:t>d</m:t>
            </m:r>
            <m:r>
              <w:rPr>
                <w:rFonts w:ascii="Cambria Math" w:hAnsi="Times New Roman"/>
              </w:rPr>
              <m:t>+</m:t>
            </m:r>
            <m:sSub>
              <m:sSubPr>
                <m:ctrlPr>
                  <w:rPr>
                    <w:rFonts w:ascii="Cambria Math" w:hAnsi="Times New Roman"/>
                    <w:i/>
                  </w:rPr>
                </m:ctrlPr>
              </m:sSubPr>
              <m:e>
                <m:r>
                  <w:rPr>
                    <w:rFonts w:ascii="Cambria Math" w:hAnsi="Cambria Math"/>
                  </w:rPr>
                  <m:t>p</m:t>
                </m:r>
              </m:e>
              <m:sub>
                <m:r>
                  <w:rPr>
                    <w:rFonts w:ascii="Cambria Math" w:hAnsi="Cambria Math"/>
                  </w:rPr>
                  <m:t>a</m:t>
                </m:r>
              </m:sub>
            </m:sSub>
            <m:func>
              <m:funcPr>
                <m:ctrlPr>
                  <w:rPr>
                    <w:rFonts w:ascii="Cambria Math" w:hAnsi="Times New Roman"/>
                    <w:i/>
                  </w:rPr>
                </m:ctrlPr>
              </m:funcPr>
              <m:fName>
                <m:r>
                  <m:rPr>
                    <m:sty m:val="p"/>
                  </m:rPr>
                  <w:rPr>
                    <w:rFonts w:ascii="Cambria Math" w:hAnsi="Times New Roman"/>
                  </w:rPr>
                  <m:t>tan</m:t>
                </m:r>
              </m:fName>
              <m:e>
                <m:r>
                  <w:rPr>
                    <w:rFonts w:ascii="Cambria Math" w:hAnsi="Cambria Math"/>
                  </w:rPr>
                  <m:t>β</m:t>
                </m:r>
              </m:e>
            </m:func>
          </m:e>
        </m:d>
        <m:r>
          <w:rPr>
            <w:rFonts w:ascii="Cambria Math" w:hAnsi="Times New Roman"/>
          </w:rPr>
          <m:t>=0</m:t>
        </m:r>
      </m:oMath>
      <w:r w:rsidRPr="00D029F7">
        <w:rPr>
          <w:rFonts w:ascii="Times New Roman" w:hAnsi="Times New Roman"/>
        </w:rPr>
        <w:tab/>
      </w:r>
      <w:r w:rsidRPr="00D029F7">
        <w:rPr>
          <w:rFonts w:ascii="Times New Roman" w:hAnsi="Times New Roman"/>
        </w:rPr>
        <w:tab/>
        <w:t xml:space="preserve"> (A.6)</w:t>
      </w:r>
    </w:p>
    <w:p w:rsidR="001E18F2" w:rsidRPr="00D029F7" w:rsidRDefault="001E18F2" w:rsidP="001E18F2">
      <w:pPr>
        <w:spacing w:line="480" w:lineRule="auto"/>
        <w:rPr>
          <w:rFonts w:ascii="Times New Roman" w:hAnsi="Times New Roman"/>
        </w:rPr>
      </w:pPr>
      <w:r w:rsidRPr="00D029F7">
        <w:rPr>
          <w:rFonts w:ascii="Times New Roman" w:hAnsi="Times New Roman"/>
        </w:rPr>
        <w:t>The plastic flow is defined by a flow potential that is associated in the cap region in the meridional plane and non-associated in the Drucker-Prager failure surface and transition regions. It consists in an elliptical portion in the cap region that is identical to the cap yield surface:</w:t>
      </w:r>
    </w:p>
    <w:p w:rsidR="001E18F2" w:rsidRPr="00D029F7" w:rsidRDefault="001E18F2" w:rsidP="001E18F2">
      <w:pPr>
        <w:spacing w:line="480" w:lineRule="auto"/>
        <w:jc w:val="center"/>
        <w:rPr>
          <w:rFonts w:ascii="Times New Roman" w:hAnsi="Times New Roman"/>
        </w:rPr>
      </w:pPr>
      <m:oMath>
        <m:sSub>
          <m:sSubPr>
            <m:ctrlPr>
              <w:rPr>
                <w:rFonts w:ascii="Cambria Math" w:hAnsi="Times New Roman"/>
                <w:i/>
              </w:rPr>
            </m:ctrlPr>
          </m:sSubPr>
          <m:e>
            <m:r>
              <w:rPr>
                <w:rFonts w:ascii="Cambria Math" w:hAnsi="Cambria Math"/>
              </w:rPr>
              <m:t>G</m:t>
            </m:r>
          </m:e>
          <m:sub>
            <m:r>
              <w:rPr>
                <w:rFonts w:ascii="Cambria Math" w:hAnsi="Cambria Math"/>
              </w:rPr>
              <m:t>c</m:t>
            </m:r>
          </m:sub>
        </m:sSub>
        <m:r>
          <w:rPr>
            <w:rFonts w:ascii="Cambria Math" w:hAnsi="Times New Roman"/>
          </w:rPr>
          <m:t>=</m:t>
        </m:r>
        <m:rad>
          <m:radPr>
            <m:degHide m:val="1"/>
            <m:ctrlPr>
              <w:rPr>
                <w:rFonts w:ascii="Cambria Math" w:hAnsi="Times New Roman"/>
                <w:i/>
              </w:rPr>
            </m:ctrlPr>
          </m:radPr>
          <m:deg/>
          <m:e>
            <m:sSup>
              <m:sSupPr>
                <m:ctrlPr>
                  <w:rPr>
                    <w:rFonts w:ascii="Cambria Math" w:hAnsi="Times New Roman"/>
                    <w:i/>
                  </w:rPr>
                </m:ctrlPr>
              </m:sSupPr>
              <m:e>
                <m:d>
                  <m:dPr>
                    <m:ctrlPr>
                      <w:rPr>
                        <w:rFonts w:ascii="Cambria Math" w:hAnsi="Times New Roman"/>
                        <w:i/>
                      </w:rPr>
                    </m:ctrlPr>
                  </m:dPr>
                  <m:e>
                    <m:r>
                      <w:rPr>
                        <w:rFonts w:ascii="Cambria Math" w:hAnsi="Cambria Math"/>
                      </w:rPr>
                      <m:t>p-</m:t>
                    </m:r>
                    <m:sSub>
                      <m:sSubPr>
                        <m:ctrlPr>
                          <w:rPr>
                            <w:rFonts w:ascii="Cambria Math" w:hAnsi="Times New Roman"/>
                            <w:i/>
                          </w:rPr>
                        </m:ctrlPr>
                      </m:sSubPr>
                      <m:e>
                        <m:r>
                          <w:rPr>
                            <w:rFonts w:ascii="Cambria Math" w:hAnsi="Cambria Math"/>
                          </w:rPr>
                          <m:t>p</m:t>
                        </m:r>
                      </m:e>
                      <m:sub>
                        <m:r>
                          <w:rPr>
                            <w:rFonts w:ascii="Cambria Math" w:hAnsi="Cambria Math"/>
                          </w:rPr>
                          <m:t>a</m:t>
                        </m:r>
                      </m:sub>
                    </m:sSub>
                  </m:e>
                </m:d>
              </m:e>
              <m:sup>
                <m:r>
                  <w:rPr>
                    <w:rFonts w:ascii="Cambria Math" w:hAnsi="Times New Roman"/>
                  </w:rPr>
                  <m:t>2</m:t>
                </m:r>
              </m:sup>
            </m:sSup>
            <m:r>
              <w:rPr>
                <w:rFonts w:ascii="Cambria Math" w:hAnsi="Times New Roman"/>
              </w:rPr>
              <m:t>+</m:t>
            </m:r>
            <m:sSup>
              <m:sSupPr>
                <m:ctrlPr>
                  <w:rPr>
                    <w:rFonts w:ascii="Cambria Math" w:hAnsi="Times New Roman"/>
                    <w:i/>
                  </w:rPr>
                </m:ctrlPr>
              </m:sSupPr>
              <m:e>
                <m:d>
                  <m:dPr>
                    <m:ctrlPr>
                      <w:rPr>
                        <w:rFonts w:ascii="Cambria Math" w:hAnsi="Times New Roman"/>
                        <w:i/>
                      </w:rPr>
                    </m:ctrlPr>
                  </m:dPr>
                  <m:e>
                    <m:f>
                      <m:fPr>
                        <m:ctrlPr>
                          <w:rPr>
                            <w:rFonts w:ascii="Cambria Math" w:hAnsi="Times New Roman"/>
                            <w:i/>
                          </w:rPr>
                        </m:ctrlPr>
                      </m:fPr>
                      <m:num>
                        <m:r>
                          <w:rPr>
                            <w:rFonts w:ascii="Cambria Math" w:hAnsi="Cambria Math"/>
                          </w:rPr>
                          <m:t>Rt</m:t>
                        </m:r>
                      </m:num>
                      <m:den>
                        <m:r>
                          <w:rPr>
                            <w:rFonts w:ascii="Cambria Math" w:hAnsi="Times New Roman"/>
                          </w:rPr>
                          <m:t>1+</m:t>
                        </m:r>
                        <m:r>
                          <w:rPr>
                            <w:rFonts w:ascii="Cambria Math" w:hAnsi="Cambria Math"/>
                          </w:rPr>
                          <m:t>α-</m:t>
                        </m:r>
                        <m:f>
                          <m:fPr>
                            <m:ctrlPr>
                              <w:rPr>
                                <w:rFonts w:ascii="Cambria Math" w:hAnsi="Times New Roman"/>
                                <w:i/>
                              </w:rPr>
                            </m:ctrlPr>
                          </m:fPr>
                          <m:num>
                            <m:r>
                              <w:rPr>
                                <w:rFonts w:ascii="Cambria Math" w:hAnsi="Cambria Math"/>
                              </w:rPr>
                              <m:t>α</m:t>
                            </m:r>
                          </m:num>
                          <m:den>
                            <m:func>
                              <m:funcPr>
                                <m:ctrlPr>
                                  <w:rPr>
                                    <w:rFonts w:ascii="Cambria Math" w:hAnsi="Times New Roman"/>
                                    <w:i/>
                                  </w:rPr>
                                </m:ctrlPr>
                              </m:funcPr>
                              <m:fName>
                                <m:r>
                                  <m:rPr>
                                    <m:sty m:val="p"/>
                                  </m:rPr>
                                  <w:rPr>
                                    <w:rFonts w:ascii="Cambria Math" w:hAnsi="Times New Roman"/>
                                  </w:rPr>
                                  <m:t>cos</m:t>
                                </m:r>
                              </m:fName>
                              <m:e>
                                <m:r>
                                  <w:rPr>
                                    <w:rFonts w:ascii="Cambria Math" w:hAnsi="Cambria Math"/>
                                  </w:rPr>
                                  <m:t>β</m:t>
                                </m:r>
                              </m:e>
                            </m:func>
                          </m:den>
                        </m:f>
                      </m:den>
                    </m:f>
                  </m:e>
                </m:d>
              </m:e>
              <m:sup>
                <m:r>
                  <w:rPr>
                    <w:rFonts w:ascii="Cambria Math" w:hAnsi="Times New Roman"/>
                  </w:rPr>
                  <m:t>2</m:t>
                </m:r>
              </m:sup>
            </m:sSup>
          </m:e>
        </m:rad>
      </m:oMath>
      <w:r w:rsidRPr="00D029F7">
        <w:rPr>
          <w:rFonts w:ascii="Times New Roman" w:hAnsi="Times New Roman"/>
        </w:rPr>
        <w:tab/>
      </w:r>
      <w:r w:rsidRPr="00D029F7">
        <w:rPr>
          <w:rFonts w:ascii="Times New Roman" w:hAnsi="Times New Roman"/>
        </w:rPr>
        <w:tab/>
        <w:t>(A.7)</w:t>
      </w:r>
    </w:p>
    <w:p w:rsidR="001E18F2" w:rsidRPr="00D029F7" w:rsidRDefault="001E18F2" w:rsidP="001E18F2">
      <w:pPr>
        <w:spacing w:line="480" w:lineRule="auto"/>
        <w:rPr>
          <w:rFonts w:ascii="Times New Roman" w:hAnsi="Times New Roman"/>
        </w:rPr>
      </w:pPr>
      <w:r w:rsidRPr="00D029F7">
        <w:rPr>
          <w:rFonts w:ascii="Times New Roman" w:hAnsi="Times New Roman"/>
        </w:rPr>
        <w:t>and another elliptical portion in the failure and transition regions:</w:t>
      </w:r>
    </w:p>
    <w:p w:rsidR="001E18F2" w:rsidRPr="0003242D" w:rsidRDefault="001E18F2" w:rsidP="001E18F2">
      <w:pPr>
        <w:spacing w:line="480" w:lineRule="auto"/>
        <w:jc w:val="center"/>
        <w:rPr>
          <w:rFonts w:ascii="Times New Roman" w:hAnsi="Times New Roman"/>
        </w:rPr>
      </w:pPr>
      <m:oMath>
        <m:sSub>
          <m:sSubPr>
            <m:ctrlPr>
              <w:rPr>
                <w:rFonts w:ascii="Cambria Math" w:hAnsi="Times New Roman"/>
                <w:i/>
              </w:rPr>
            </m:ctrlPr>
          </m:sSubPr>
          <m:e>
            <m:r>
              <w:rPr>
                <w:rFonts w:ascii="Cambria Math" w:hAnsi="Cambria Math"/>
              </w:rPr>
              <m:t>G</m:t>
            </m:r>
          </m:e>
          <m:sub>
            <m:r>
              <w:rPr>
                <w:rFonts w:ascii="Cambria Math" w:hAnsi="Cambria Math"/>
              </w:rPr>
              <m:t>s</m:t>
            </m:r>
          </m:sub>
        </m:sSub>
        <m:r>
          <w:rPr>
            <w:rFonts w:ascii="Cambria Math" w:hAnsi="Times New Roman"/>
          </w:rPr>
          <m:t>=</m:t>
        </m:r>
        <m:rad>
          <m:radPr>
            <m:degHide m:val="1"/>
            <m:ctrlPr>
              <w:rPr>
                <w:rFonts w:ascii="Cambria Math" w:hAnsi="Times New Roman"/>
                <w:i/>
              </w:rPr>
            </m:ctrlPr>
          </m:radPr>
          <m:deg/>
          <m:e>
            <m:sSup>
              <m:sSupPr>
                <m:ctrlPr>
                  <w:rPr>
                    <w:rFonts w:ascii="Cambria Math" w:hAnsi="Times New Roman"/>
                    <w:i/>
                  </w:rPr>
                </m:ctrlPr>
              </m:sSupPr>
              <m:e>
                <m:d>
                  <m:dPr>
                    <m:begChr m:val="["/>
                    <m:endChr m:val="]"/>
                    <m:ctrlPr>
                      <w:rPr>
                        <w:rFonts w:ascii="Cambria Math" w:hAnsi="Times New Roman"/>
                        <w:i/>
                      </w:rPr>
                    </m:ctrlPr>
                  </m:dPr>
                  <m:e>
                    <m:sSub>
                      <m:sSubPr>
                        <m:ctrlPr>
                          <w:rPr>
                            <w:rFonts w:ascii="Cambria Math" w:hAnsi="Times New Roman"/>
                            <w:i/>
                          </w:rPr>
                        </m:ctrlPr>
                      </m:sSubPr>
                      <m:e>
                        <m:r>
                          <w:rPr>
                            <w:rFonts w:ascii="Cambria Math" w:hAnsi="Times New Roman"/>
                          </w:rPr>
                          <m:t>(</m:t>
                        </m:r>
                        <m:r>
                          <w:rPr>
                            <w:rFonts w:ascii="Cambria Math" w:hAnsi="Cambria Math"/>
                          </w:rPr>
                          <m:t>p</m:t>
                        </m:r>
                      </m:e>
                      <m:sub>
                        <m:r>
                          <w:rPr>
                            <w:rFonts w:ascii="Cambria Math" w:hAnsi="Cambria Math"/>
                          </w:rPr>
                          <m:t>a</m:t>
                        </m:r>
                      </m:sub>
                    </m:sSub>
                    <m:r>
                      <w:rPr>
                        <w:rFonts w:ascii="Cambria Math" w:hAnsi="Cambria Math"/>
                      </w:rPr>
                      <m:t>-p</m:t>
                    </m:r>
                    <m:r>
                      <w:rPr>
                        <w:rFonts w:ascii="Cambria Math" w:hAnsi="Times New Roman"/>
                      </w:rPr>
                      <m:t>)</m:t>
                    </m:r>
                    <m:func>
                      <m:funcPr>
                        <m:ctrlPr>
                          <w:rPr>
                            <w:rFonts w:ascii="Cambria Math" w:hAnsi="Times New Roman"/>
                            <w:i/>
                          </w:rPr>
                        </m:ctrlPr>
                      </m:funcPr>
                      <m:fName>
                        <m:r>
                          <m:rPr>
                            <m:sty m:val="p"/>
                          </m:rPr>
                          <w:rPr>
                            <w:rFonts w:ascii="Cambria Math" w:hAnsi="Times New Roman"/>
                          </w:rPr>
                          <m:t>tan</m:t>
                        </m:r>
                      </m:fName>
                      <m:e>
                        <m:r>
                          <w:rPr>
                            <w:rFonts w:ascii="Cambria Math" w:hAnsi="Cambria Math"/>
                          </w:rPr>
                          <m:t>β</m:t>
                        </m:r>
                      </m:e>
                    </m:func>
                  </m:e>
                </m:d>
              </m:e>
              <m:sup>
                <m:r>
                  <w:rPr>
                    <w:rFonts w:ascii="Cambria Math" w:hAnsi="Times New Roman"/>
                  </w:rPr>
                  <m:t>2</m:t>
                </m:r>
              </m:sup>
            </m:sSup>
            <m:r>
              <w:rPr>
                <w:rFonts w:ascii="Cambria Math" w:hAnsi="Times New Roman"/>
              </w:rPr>
              <m:t>+</m:t>
            </m:r>
            <m:sSup>
              <m:sSupPr>
                <m:ctrlPr>
                  <w:rPr>
                    <w:rFonts w:ascii="Cambria Math" w:hAnsi="Times New Roman"/>
                    <w:i/>
                  </w:rPr>
                </m:ctrlPr>
              </m:sSupPr>
              <m:e>
                <m:d>
                  <m:dPr>
                    <m:ctrlPr>
                      <w:rPr>
                        <w:rFonts w:ascii="Cambria Math" w:hAnsi="Times New Roman"/>
                        <w:i/>
                      </w:rPr>
                    </m:ctrlPr>
                  </m:dPr>
                  <m:e>
                    <m:f>
                      <m:fPr>
                        <m:ctrlPr>
                          <w:rPr>
                            <w:rFonts w:ascii="Cambria Math" w:hAnsi="Times New Roman"/>
                            <w:i/>
                          </w:rPr>
                        </m:ctrlPr>
                      </m:fPr>
                      <m:num>
                        <m:r>
                          <w:rPr>
                            <w:rFonts w:ascii="Cambria Math" w:hAnsi="Cambria Math"/>
                          </w:rPr>
                          <m:t>t</m:t>
                        </m:r>
                      </m:num>
                      <m:den>
                        <m:r>
                          <w:rPr>
                            <w:rFonts w:ascii="Cambria Math" w:hAnsi="Times New Roman"/>
                          </w:rPr>
                          <m:t>1+</m:t>
                        </m:r>
                        <m:r>
                          <w:rPr>
                            <w:rFonts w:ascii="Cambria Math" w:hAnsi="Cambria Math"/>
                          </w:rPr>
                          <m:t>α-</m:t>
                        </m:r>
                        <m:f>
                          <m:fPr>
                            <m:ctrlPr>
                              <w:rPr>
                                <w:rFonts w:ascii="Cambria Math" w:hAnsi="Times New Roman"/>
                                <w:i/>
                              </w:rPr>
                            </m:ctrlPr>
                          </m:fPr>
                          <m:num>
                            <m:r>
                              <w:rPr>
                                <w:rFonts w:ascii="Cambria Math" w:hAnsi="Cambria Math"/>
                              </w:rPr>
                              <m:t>α</m:t>
                            </m:r>
                          </m:num>
                          <m:den>
                            <m:func>
                              <m:funcPr>
                                <m:ctrlPr>
                                  <w:rPr>
                                    <w:rFonts w:ascii="Cambria Math" w:hAnsi="Times New Roman"/>
                                    <w:i/>
                                  </w:rPr>
                                </m:ctrlPr>
                              </m:funcPr>
                              <m:fName>
                                <m:r>
                                  <m:rPr>
                                    <m:sty m:val="p"/>
                                  </m:rPr>
                                  <w:rPr>
                                    <w:rFonts w:ascii="Cambria Math" w:hAnsi="Times New Roman"/>
                                  </w:rPr>
                                  <m:t>cos</m:t>
                                </m:r>
                              </m:fName>
                              <m:e>
                                <m:r>
                                  <w:rPr>
                                    <w:rFonts w:ascii="Cambria Math" w:hAnsi="Cambria Math"/>
                                  </w:rPr>
                                  <m:t>β</m:t>
                                </m:r>
                              </m:e>
                            </m:func>
                          </m:den>
                        </m:f>
                      </m:den>
                    </m:f>
                  </m:e>
                </m:d>
              </m:e>
              <m:sup>
                <m:r>
                  <w:rPr>
                    <w:rFonts w:ascii="Cambria Math" w:hAnsi="Times New Roman"/>
                  </w:rPr>
                  <m:t>2</m:t>
                </m:r>
              </m:sup>
            </m:sSup>
          </m:e>
        </m:rad>
      </m:oMath>
      <w:r w:rsidRPr="00D029F7">
        <w:rPr>
          <w:rFonts w:ascii="Times New Roman" w:hAnsi="Times New Roman"/>
        </w:rPr>
        <w:t xml:space="preserve"> </w:t>
      </w:r>
      <w:r w:rsidRPr="00D029F7">
        <w:rPr>
          <w:rFonts w:ascii="Times New Roman" w:hAnsi="Times New Roman"/>
        </w:rPr>
        <w:tab/>
      </w:r>
      <w:r w:rsidRPr="00D029F7">
        <w:rPr>
          <w:rFonts w:ascii="Times New Roman" w:hAnsi="Times New Roman"/>
        </w:rPr>
        <w:tab/>
        <w:t>(A.8)</w:t>
      </w:r>
    </w:p>
    <w:p w:rsidR="008E5130" w:rsidRDefault="001E18F2">
      <w:bookmarkStart w:id="26" w:name="_GoBack"/>
      <w:bookmarkEnd w:id="26"/>
    </w:p>
    <w:sectPr w:rsidR="008E5130" w:rsidSect="001E18F2">
      <w:footerReference w:type="even" r:id="rId14"/>
      <w:footerReference w:type="default" r:id="rId15"/>
      <w:pgSz w:w="12240" w:h="15840"/>
      <w:pgMar w:top="1440" w:right="1440" w:bottom="1440" w:left="1440" w:header="0" w:footer="0" w:gutter="0"/>
      <w:cols w:space="475"/>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2E5" w:rsidRDefault="001E18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B12E5" w:rsidRDefault="001E18F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2E5" w:rsidRDefault="001E18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B12E5" w:rsidRDefault="001E18F2">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81ADC"/>
    <w:multiLevelType w:val="hybridMultilevel"/>
    <w:tmpl w:val="76981CB0"/>
    <w:lvl w:ilvl="0" w:tplc="936CFC50">
      <w:start w:val="7"/>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4A2BF0"/>
    <w:multiLevelType w:val="hybridMultilevel"/>
    <w:tmpl w:val="B504D70A"/>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2"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AD128C"/>
    <w:multiLevelType w:val="hybridMultilevel"/>
    <w:tmpl w:val="2228DC56"/>
    <w:lvl w:ilvl="0" w:tplc="E45C2814">
      <w:start w:val="1"/>
      <w:numFmt w:val="bullet"/>
      <w:lvlText w:val="-"/>
      <w:lvlJc w:val="left"/>
      <w:pPr>
        <w:ind w:left="720" w:hanging="360"/>
      </w:pPr>
      <w:rPr>
        <w:rFonts w:ascii="Times" w:eastAsia="Times New Roman" w:hAnsi="Times" w:cs="Time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46096"/>
    <w:multiLevelType w:val="multilevel"/>
    <w:tmpl w:val="0C0A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EB7200"/>
    <w:multiLevelType w:val="hybridMultilevel"/>
    <w:tmpl w:val="48B485B2"/>
    <w:lvl w:ilvl="0" w:tplc="0E182B2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8" w15:restartNumberingAfterBreak="0">
    <w:nsid w:val="326F0504"/>
    <w:multiLevelType w:val="hybridMultilevel"/>
    <w:tmpl w:val="4F644564"/>
    <w:lvl w:ilvl="0" w:tplc="03C2681A">
      <w:numFmt w:val="bullet"/>
      <w:lvlText w:val="-"/>
      <w:lvlJc w:val="left"/>
      <w:pPr>
        <w:ind w:left="720" w:hanging="360"/>
      </w:pPr>
      <w:rPr>
        <w:rFonts w:ascii="Times" w:eastAsia="Times New Roman"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2" w15:restartNumberingAfterBreak="0">
    <w:nsid w:val="3AE06B8D"/>
    <w:multiLevelType w:val="hybridMultilevel"/>
    <w:tmpl w:val="285CC142"/>
    <w:lvl w:ilvl="0" w:tplc="5ACC9B8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4" w15:restartNumberingAfterBreak="0">
    <w:nsid w:val="3EC260DA"/>
    <w:multiLevelType w:val="hybridMultilevel"/>
    <w:tmpl w:val="B900DE5E"/>
    <w:lvl w:ilvl="0" w:tplc="0CA6A80E">
      <w:start w:val="9"/>
      <w:numFmt w:val="bullet"/>
      <w:lvlText w:val="-"/>
      <w:lvlJc w:val="left"/>
      <w:pPr>
        <w:ind w:left="562" w:hanging="360"/>
      </w:pPr>
      <w:rPr>
        <w:rFonts w:ascii="Times" w:eastAsia="Times New Roman" w:hAnsi="Times" w:cs="Times" w:hint="default"/>
      </w:rPr>
    </w:lvl>
    <w:lvl w:ilvl="1" w:tplc="0C0A0003" w:tentative="1">
      <w:start w:val="1"/>
      <w:numFmt w:val="bullet"/>
      <w:lvlText w:val="o"/>
      <w:lvlJc w:val="left"/>
      <w:pPr>
        <w:ind w:left="1282" w:hanging="360"/>
      </w:pPr>
      <w:rPr>
        <w:rFonts w:ascii="Courier New" w:hAnsi="Courier New" w:cs="Courier New" w:hint="default"/>
      </w:rPr>
    </w:lvl>
    <w:lvl w:ilvl="2" w:tplc="0C0A0005" w:tentative="1">
      <w:start w:val="1"/>
      <w:numFmt w:val="bullet"/>
      <w:lvlText w:val=""/>
      <w:lvlJc w:val="left"/>
      <w:pPr>
        <w:ind w:left="2002" w:hanging="360"/>
      </w:pPr>
      <w:rPr>
        <w:rFonts w:ascii="Wingdings" w:hAnsi="Wingdings" w:hint="default"/>
      </w:rPr>
    </w:lvl>
    <w:lvl w:ilvl="3" w:tplc="0C0A0001" w:tentative="1">
      <w:start w:val="1"/>
      <w:numFmt w:val="bullet"/>
      <w:lvlText w:val=""/>
      <w:lvlJc w:val="left"/>
      <w:pPr>
        <w:ind w:left="2722" w:hanging="360"/>
      </w:pPr>
      <w:rPr>
        <w:rFonts w:ascii="Symbol" w:hAnsi="Symbol" w:hint="default"/>
      </w:rPr>
    </w:lvl>
    <w:lvl w:ilvl="4" w:tplc="0C0A0003" w:tentative="1">
      <w:start w:val="1"/>
      <w:numFmt w:val="bullet"/>
      <w:lvlText w:val="o"/>
      <w:lvlJc w:val="left"/>
      <w:pPr>
        <w:ind w:left="3442" w:hanging="360"/>
      </w:pPr>
      <w:rPr>
        <w:rFonts w:ascii="Courier New" w:hAnsi="Courier New" w:cs="Courier New" w:hint="default"/>
      </w:rPr>
    </w:lvl>
    <w:lvl w:ilvl="5" w:tplc="0C0A0005" w:tentative="1">
      <w:start w:val="1"/>
      <w:numFmt w:val="bullet"/>
      <w:lvlText w:val=""/>
      <w:lvlJc w:val="left"/>
      <w:pPr>
        <w:ind w:left="4162" w:hanging="360"/>
      </w:pPr>
      <w:rPr>
        <w:rFonts w:ascii="Wingdings" w:hAnsi="Wingdings" w:hint="default"/>
      </w:rPr>
    </w:lvl>
    <w:lvl w:ilvl="6" w:tplc="0C0A0001" w:tentative="1">
      <w:start w:val="1"/>
      <w:numFmt w:val="bullet"/>
      <w:lvlText w:val=""/>
      <w:lvlJc w:val="left"/>
      <w:pPr>
        <w:ind w:left="4882" w:hanging="360"/>
      </w:pPr>
      <w:rPr>
        <w:rFonts w:ascii="Symbol" w:hAnsi="Symbol" w:hint="default"/>
      </w:rPr>
    </w:lvl>
    <w:lvl w:ilvl="7" w:tplc="0C0A0003" w:tentative="1">
      <w:start w:val="1"/>
      <w:numFmt w:val="bullet"/>
      <w:lvlText w:val="o"/>
      <w:lvlJc w:val="left"/>
      <w:pPr>
        <w:ind w:left="5602" w:hanging="360"/>
      </w:pPr>
      <w:rPr>
        <w:rFonts w:ascii="Courier New" w:hAnsi="Courier New" w:cs="Courier New" w:hint="default"/>
      </w:rPr>
    </w:lvl>
    <w:lvl w:ilvl="8" w:tplc="0C0A0005" w:tentative="1">
      <w:start w:val="1"/>
      <w:numFmt w:val="bullet"/>
      <w:lvlText w:val=""/>
      <w:lvlJc w:val="left"/>
      <w:pPr>
        <w:ind w:left="6322" w:hanging="360"/>
      </w:pPr>
      <w:rPr>
        <w:rFonts w:ascii="Wingdings" w:hAnsi="Wingdings" w:hint="default"/>
      </w:rPr>
    </w:lvl>
  </w:abstractNum>
  <w:abstractNum w:abstractNumId="1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6" w15:restartNumberingAfterBreak="0">
    <w:nsid w:val="5EE65F7F"/>
    <w:multiLevelType w:val="hybridMultilevel"/>
    <w:tmpl w:val="A1163394"/>
    <w:lvl w:ilvl="0" w:tplc="7D18A572">
      <w:start w:val="1"/>
      <w:numFmt w:val="bullet"/>
      <w:lvlText w:val="-"/>
      <w:lvlJc w:val="left"/>
      <w:pPr>
        <w:ind w:left="423" w:hanging="360"/>
      </w:pPr>
      <w:rPr>
        <w:rFonts w:ascii="Times New Roman" w:eastAsia="Times New Roman" w:hAnsi="Times New Roman" w:cs="Times New Roman" w:hint="default"/>
      </w:rPr>
    </w:lvl>
    <w:lvl w:ilvl="1" w:tplc="0C0A0003" w:tentative="1">
      <w:start w:val="1"/>
      <w:numFmt w:val="bullet"/>
      <w:lvlText w:val="o"/>
      <w:lvlJc w:val="left"/>
      <w:pPr>
        <w:ind w:left="1143" w:hanging="360"/>
      </w:pPr>
      <w:rPr>
        <w:rFonts w:ascii="Courier New" w:hAnsi="Courier New" w:cs="Courier New" w:hint="default"/>
      </w:rPr>
    </w:lvl>
    <w:lvl w:ilvl="2" w:tplc="0C0A0005" w:tentative="1">
      <w:start w:val="1"/>
      <w:numFmt w:val="bullet"/>
      <w:lvlText w:val=""/>
      <w:lvlJc w:val="left"/>
      <w:pPr>
        <w:ind w:left="1863" w:hanging="360"/>
      </w:pPr>
      <w:rPr>
        <w:rFonts w:ascii="Wingdings" w:hAnsi="Wingdings" w:hint="default"/>
      </w:rPr>
    </w:lvl>
    <w:lvl w:ilvl="3" w:tplc="0C0A0001" w:tentative="1">
      <w:start w:val="1"/>
      <w:numFmt w:val="bullet"/>
      <w:lvlText w:val=""/>
      <w:lvlJc w:val="left"/>
      <w:pPr>
        <w:ind w:left="2583" w:hanging="360"/>
      </w:pPr>
      <w:rPr>
        <w:rFonts w:ascii="Symbol" w:hAnsi="Symbol" w:hint="default"/>
      </w:rPr>
    </w:lvl>
    <w:lvl w:ilvl="4" w:tplc="0C0A0003" w:tentative="1">
      <w:start w:val="1"/>
      <w:numFmt w:val="bullet"/>
      <w:lvlText w:val="o"/>
      <w:lvlJc w:val="left"/>
      <w:pPr>
        <w:ind w:left="3303" w:hanging="360"/>
      </w:pPr>
      <w:rPr>
        <w:rFonts w:ascii="Courier New" w:hAnsi="Courier New" w:cs="Courier New" w:hint="default"/>
      </w:rPr>
    </w:lvl>
    <w:lvl w:ilvl="5" w:tplc="0C0A0005" w:tentative="1">
      <w:start w:val="1"/>
      <w:numFmt w:val="bullet"/>
      <w:lvlText w:val=""/>
      <w:lvlJc w:val="left"/>
      <w:pPr>
        <w:ind w:left="4023" w:hanging="360"/>
      </w:pPr>
      <w:rPr>
        <w:rFonts w:ascii="Wingdings" w:hAnsi="Wingdings" w:hint="default"/>
      </w:rPr>
    </w:lvl>
    <w:lvl w:ilvl="6" w:tplc="0C0A0001" w:tentative="1">
      <w:start w:val="1"/>
      <w:numFmt w:val="bullet"/>
      <w:lvlText w:val=""/>
      <w:lvlJc w:val="left"/>
      <w:pPr>
        <w:ind w:left="4743" w:hanging="360"/>
      </w:pPr>
      <w:rPr>
        <w:rFonts w:ascii="Symbol" w:hAnsi="Symbol" w:hint="default"/>
      </w:rPr>
    </w:lvl>
    <w:lvl w:ilvl="7" w:tplc="0C0A0003" w:tentative="1">
      <w:start w:val="1"/>
      <w:numFmt w:val="bullet"/>
      <w:lvlText w:val="o"/>
      <w:lvlJc w:val="left"/>
      <w:pPr>
        <w:ind w:left="5463" w:hanging="360"/>
      </w:pPr>
      <w:rPr>
        <w:rFonts w:ascii="Courier New" w:hAnsi="Courier New" w:cs="Courier New" w:hint="default"/>
      </w:rPr>
    </w:lvl>
    <w:lvl w:ilvl="8" w:tplc="0C0A0005" w:tentative="1">
      <w:start w:val="1"/>
      <w:numFmt w:val="bullet"/>
      <w:lvlText w:val=""/>
      <w:lvlJc w:val="left"/>
      <w:pPr>
        <w:ind w:left="6183" w:hanging="360"/>
      </w:pPr>
      <w:rPr>
        <w:rFonts w:ascii="Wingdings" w:hAnsi="Wingdings" w:hint="default"/>
      </w:rPr>
    </w:lvl>
  </w:abstractNum>
  <w:abstractNum w:abstractNumId="17" w15:restartNumberingAfterBreak="0">
    <w:nsid w:val="6C9B39B3"/>
    <w:multiLevelType w:val="hybridMultilevel"/>
    <w:tmpl w:val="0410506C"/>
    <w:lvl w:ilvl="0" w:tplc="B5D899E2">
      <w:start w:val="66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E312939"/>
    <w:multiLevelType w:val="hybridMultilevel"/>
    <w:tmpl w:val="1B363608"/>
    <w:lvl w:ilvl="0" w:tplc="936CFC50">
      <w:start w:val="7"/>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9865B31"/>
    <w:multiLevelType w:val="hybridMultilevel"/>
    <w:tmpl w:val="FAF057EE"/>
    <w:lvl w:ilvl="0" w:tplc="E45C2814">
      <w:start w:val="1"/>
      <w:numFmt w:val="bullet"/>
      <w:lvlText w:val="-"/>
      <w:lvlJc w:val="left"/>
      <w:pPr>
        <w:ind w:left="720" w:hanging="360"/>
      </w:pPr>
      <w:rPr>
        <w:rFonts w:ascii="Times" w:eastAsia="Times New Roman" w:hAnsi="Times" w:cs="Time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5"/>
  </w:num>
  <w:num w:numId="4">
    <w:abstractNumId w:val="11"/>
  </w:num>
  <w:num w:numId="5">
    <w:abstractNumId w:val="9"/>
  </w:num>
  <w:num w:numId="6">
    <w:abstractNumId w:val="7"/>
  </w:num>
  <w:num w:numId="7">
    <w:abstractNumId w:val="4"/>
  </w:num>
  <w:num w:numId="8">
    <w:abstractNumId w:val="2"/>
  </w:num>
  <w:num w:numId="9">
    <w:abstractNumId w:val="5"/>
  </w:num>
  <w:num w:numId="10">
    <w:abstractNumId w:val="18"/>
  </w:num>
  <w:num w:numId="11">
    <w:abstractNumId w:val="0"/>
  </w:num>
  <w:num w:numId="12">
    <w:abstractNumId w:val="14"/>
  </w:num>
  <w:num w:numId="13">
    <w:abstractNumId w:val="8"/>
  </w:num>
  <w:num w:numId="14">
    <w:abstractNumId w:val="19"/>
  </w:num>
  <w:num w:numId="15">
    <w:abstractNumId w:val="3"/>
  </w:num>
  <w:num w:numId="16">
    <w:abstractNumId w:val="16"/>
  </w:num>
  <w:num w:numId="17">
    <w:abstractNumId w:val="1"/>
  </w:num>
  <w:num w:numId="18">
    <w:abstractNumId w:val="17"/>
  </w:num>
  <w:num w:numId="19">
    <w:abstractNumId w:val="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8F2"/>
    <w:rsid w:val="001E18F2"/>
    <w:rsid w:val="005333BD"/>
    <w:rsid w:val="00F35B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264BF8-1A70-45C6-925A-5FB338B4F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8F2"/>
    <w:pPr>
      <w:spacing w:after="200" w:line="240" w:lineRule="auto"/>
      <w:jc w:val="both"/>
    </w:pPr>
    <w:rPr>
      <w:rFonts w:ascii="Times" w:eastAsia="Times New Roman" w:hAnsi="Times"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1E18F2"/>
    <w:rPr>
      <w:color w:val="800080"/>
      <w:u w:val="single"/>
    </w:rPr>
  </w:style>
  <w:style w:type="paragraph" w:styleId="BodyText">
    <w:name w:val="Body Text"/>
    <w:basedOn w:val="Normal"/>
    <w:link w:val="BodyTextChar"/>
    <w:rsid w:val="001E18F2"/>
    <w:pPr>
      <w:jc w:val="center"/>
    </w:pPr>
    <w:rPr>
      <w:b/>
      <w:sz w:val="40"/>
    </w:rPr>
  </w:style>
  <w:style w:type="character" w:customStyle="1" w:styleId="BodyTextChar">
    <w:name w:val="Body Text Char"/>
    <w:basedOn w:val="DefaultParagraphFont"/>
    <w:link w:val="BodyText"/>
    <w:rsid w:val="001E18F2"/>
    <w:rPr>
      <w:rFonts w:ascii="Times" w:eastAsia="Times New Roman" w:hAnsi="Times" w:cs="Times New Roman"/>
      <w:b/>
      <w:sz w:val="40"/>
      <w:szCs w:val="20"/>
      <w:lang w:val="en-US"/>
    </w:rPr>
  </w:style>
  <w:style w:type="paragraph" w:styleId="FootnoteText">
    <w:name w:val="footnote text"/>
    <w:basedOn w:val="Normal"/>
    <w:next w:val="Normal"/>
    <w:link w:val="FootnoteTextChar"/>
    <w:semiHidden/>
    <w:rsid w:val="001E18F2"/>
  </w:style>
  <w:style w:type="character" w:customStyle="1" w:styleId="FootnoteTextChar">
    <w:name w:val="Footnote Text Char"/>
    <w:basedOn w:val="DefaultParagraphFont"/>
    <w:link w:val="FootnoteText"/>
    <w:semiHidden/>
    <w:rsid w:val="001E18F2"/>
    <w:rPr>
      <w:rFonts w:ascii="Times" w:eastAsia="Times New Roman" w:hAnsi="Times" w:cs="Times New Roman"/>
      <w:sz w:val="24"/>
      <w:szCs w:val="20"/>
      <w:lang w:val="en-US"/>
    </w:rPr>
  </w:style>
  <w:style w:type="character" w:styleId="Hyperlink">
    <w:name w:val="Hyperlink"/>
    <w:uiPriority w:val="99"/>
    <w:rsid w:val="001E18F2"/>
    <w:rPr>
      <w:color w:val="0000FF"/>
      <w:u w:val="single"/>
    </w:rPr>
  </w:style>
  <w:style w:type="paragraph" w:styleId="Footer">
    <w:name w:val="footer"/>
    <w:basedOn w:val="Normal"/>
    <w:link w:val="FooterChar"/>
    <w:rsid w:val="001E18F2"/>
    <w:pPr>
      <w:tabs>
        <w:tab w:val="center" w:pos="4320"/>
        <w:tab w:val="right" w:pos="8640"/>
      </w:tabs>
    </w:pPr>
  </w:style>
  <w:style w:type="character" w:customStyle="1" w:styleId="FooterChar">
    <w:name w:val="Footer Char"/>
    <w:basedOn w:val="DefaultParagraphFont"/>
    <w:link w:val="Footer"/>
    <w:rsid w:val="001E18F2"/>
    <w:rPr>
      <w:rFonts w:ascii="Times" w:eastAsia="Times New Roman" w:hAnsi="Times" w:cs="Times New Roman"/>
      <w:sz w:val="24"/>
      <w:szCs w:val="20"/>
      <w:lang w:val="en-US"/>
    </w:rPr>
  </w:style>
  <w:style w:type="character" w:styleId="PageNumber">
    <w:name w:val="page number"/>
    <w:basedOn w:val="DefaultParagraphFont"/>
    <w:rsid w:val="001E18F2"/>
  </w:style>
  <w:style w:type="paragraph" w:styleId="BalloonText">
    <w:name w:val="Balloon Text"/>
    <w:basedOn w:val="Normal"/>
    <w:link w:val="BalloonTextChar"/>
    <w:semiHidden/>
    <w:rsid w:val="001E18F2"/>
    <w:rPr>
      <w:rFonts w:ascii="Tahoma" w:hAnsi="Tahoma" w:cs="Tahoma"/>
      <w:sz w:val="16"/>
      <w:szCs w:val="16"/>
    </w:rPr>
  </w:style>
  <w:style w:type="character" w:customStyle="1" w:styleId="BalloonTextChar">
    <w:name w:val="Balloon Text Char"/>
    <w:basedOn w:val="DefaultParagraphFont"/>
    <w:link w:val="BalloonText"/>
    <w:semiHidden/>
    <w:rsid w:val="001E18F2"/>
    <w:rPr>
      <w:rFonts w:ascii="Tahoma" w:eastAsia="Times New Roman" w:hAnsi="Tahoma" w:cs="Tahoma"/>
      <w:sz w:val="16"/>
      <w:szCs w:val="16"/>
      <w:lang w:val="en-US"/>
    </w:rPr>
  </w:style>
  <w:style w:type="paragraph" w:customStyle="1" w:styleId="Default">
    <w:name w:val="Default"/>
    <w:rsid w:val="001E18F2"/>
    <w:pPr>
      <w:autoSpaceDE w:val="0"/>
      <w:autoSpaceDN w:val="0"/>
      <w:adjustRightInd w:val="0"/>
      <w:spacing w:after="0" w:line="240" w:lineRule="auto"/>
    </w:pPr>
    <w:rPr>
      <w:rFonts w:ascii="Symbol" w:eastAsia="Times New Roman" w:hAnsi="Symbol" w:cs="Symbol"/>
      <w:color w:val="000000"/>
      <w:sz w:val="24"/>
      <w:szCs w:val="24"/>
      <w:lang w:val="en-US"/>
    </w:rPr>
  </w:style>
  <w:style w:type="paragraph" w:styleId="ListParagraph">
    <w:name w:val="List Paragraph"/>
    <w:basedOn w:val="Normal"/>
    <w:uiPriority w:val="34"/>
    <w:qFormat/>
    <w:rsid w:val="001E18F2"/>
    <w:pPr>
      <w:spacing w:line="276" w:lineRule="auto"/>
      <w:ind w:left="720"/>
      <w:contextualSpacing/>
      <w:jc w:val="left"/>
    </w:pPr>
    <w:rPr>
      <w:rFonts w:ascii="Calibri" w:eastAsia="Calibri" w:hAnsi="Calibri"/>
      <w:sz w:val="22"/>
      <w:szCs w:val="22"/>
      <w:lang w:val="es-ES"/>
    </w:rPr>
  </w:style>
  <w:style w:type="paragraph" w:styleId="Caption">
    <w:name w:val="caption"/>
    <w:basedOn w:val="Normal"/>
    <w:next w:val="Normal"/>
    <w:uiPriority w:val="35"/>
    <w:unhideWhenUsed/>
    <w:qFormat/>
    <w:rsid w:val="001E18F2"/>
    <w:pPr>
      <w:jc w:val="left"/>
    </w:pPr>
    <w:rPr>
      <w:rFonts w:ascii="Calibri" w:eastAsia="Calibri" w:hAnsi="Calibri"/>
      <w:b/>
      <w:bCs/>
      <w:color w:val="4F81BD"/>
      <w:sz w:val="18"/>
      <w:szCs w:val="18"/>
      <w:lang w:val="es-ES"/>
    </w:rPr>
  </w:style>
  <w:style w:type="paragraph" w:styleId="NormalWeb">
    <w:name w:val="Normal (Web)"/>
    <w:basedOn w:val="Normal"/>
    <w:uiPriority w:val="99"/>
    <w:unhideWhenUsed/>
    <w:rsid w:val="001E18F2"/>
    <w:pPr>
      <w:spacing w:before="100" w:beforeAutospacing="1" w:after="100" w:afterAutospacing="1"/>
      <w:jc w:val="left"/>
    </w:pPr>
    <w:rPr>
      <w:rFonts w:ascii="Times New Roman" w:eastAsiaTheme="minorEastAsia" w:hAnsi="Times New Roman"/>
      <w:szCs w:val="24"/>
      <w:lang w:val="fr-FR" w:eastAsia="fr-FR"/>
    </w:rPr>
  </w:style>
  <w:style w:type="character" w:styleId="CommentReference">
    <w:name w:val="annotation reference"/>
    <w:basedOn w:val="DefaultParagraphFont"/>
    <w:rsid w:val="001E18F2"/>
    <w:rPr>
      <w:sz w:val="16"/>
      <w:szCs w:val="16"/>
    </w:rPr>
  </w:style>
  <w:style w:type="paragraph" w:styleId="CommentText">
    <w:name w:val="annotation text"/>
    <w:basedOn w:val="Normal"/>
    <w:link w:val="CommentTextChar"/>
    <w:rsid w:val="001E18F2"/>
    <w:rPr>
      <w:sz w:val="20"/>
    </w:rPr>
  </w:style>
  <w:style w:type="character" w:customStyle="1" w:styleId="CommentTextChar">
    <w:name w:val="Comment Text Char"/>
    <w:basedOn w:val="DefaultParagraphFont"/>
    <w:link w:val="CommentText"/>
    <w:rsid w:val="001E18F2"/>
    <w:rPr>
      <w:rFonts w:ascii="Times" w:eastAsia="Times New Roman" w:hAnsi="Times" w:cs="Times New Roman"/>
      <w:sz w:val="20"/>
      <w:szCs w:val="20"/>
      <w:lang w:val="en-US"/>
    </w:rPr>
  </w:style>
  <w:style w:type="paragraph" w:styleId="CommentSubject">
    <w:name w:val="annotation subject"/>
    <w:basedOn w:val="CommentText"/>
    <w:next w:val="CommentText"/>
    <w:link w:val="CommentSubjectChar"/>
    <w:rsid w:val="001E18F2"/>
    <w:rPr>
      <w:b/>
      <w:bCs/>
    </w:rPr>
  </w:style>
  <w:style w:type="character" w:customStyle="1" w:styleId="CommentSubjectChar">
    <w:name w:val="Comment Subject Char"/>
    <w:basedOn w:val="CommentTextChar"/>
    <w:link w:val="CommentSubject"/>
    <w:rsid w:val="001E18F2"/>
    <w:rPr>
      <w:rFonts w:ascii="Times" w:eastAsia="Times New Roman" w:hAnsi="Times" w:cs="Times New Roman"/>
      <w:b/>
      <w:bCs/>
      <w:sz w:val="20"/>
      <w:szCs w:val="20"/>
      <w:lang w:val="en-US"/>
    </w:rPr>
  </w:style>
  <w:style w:type="character" w:styleId="PlaceholderText">
    <w:name w:val="Placeholder Text"/>
    <w:basedOn w:val="DefaultParagraphFont"/>
    <w:uiPriority w:val="99"/>
    <w:semiHidden/>
    <w:rsid w:val="001E18F2"/>
    <w:rPr>
      <w:color w:val="808080"/>
    </w:rPr>
  </w:style>
  <w:style w:type="paragraph" w:customStyle="1" w:styleId="Title-Paper">
    <w:name w:val="Title-Paper"/>
    <w:basedOn w:val="Normal"/>
    <w:qFormat/>
    <w:rsid w:val="001E18F2"/>
    <w:pPr>
      <w:tabs>
        <w:tab w:val="left" w:pos="1"/>
        <w:tab w:val="left" w:pos="432"/>
      </w:tabs>
      <w:overflowPunct w:val="0"/>
      <w:autoSpaceDE w:val="0"/>
      <w:autoSpaceDN w:val="0"/>
      <w:adjustRightInd w:val="0"/>
      <w:spacing w:after="240" w:line="480" w:lineRule="auto"/>
      <w:ind w:firstLine="431"/>
      <w:jc w:val="center"/>
      <w:textAlignment w:val="baseline"/>
    </w:pPr>
    <w:rPr>
      <w:rFonts w:ascii="Times New Roman" w:hAnsi="Times New Roman"/>
      <w:b/>
      <w:sz w:val="36"/>
      <w:lang w:eastAsia="fr-BE"/>
    </w:rPr>
  </w:style>
  <w:style w:type="character" w:styleId="FootnoteReference">
    <w:name w:val="footnote reference"/>
    <w:basedOn w:val="DefaultParagraphFont"/>
    <w:rsid w:val="001E18F2"/>
    <w:rPr>
      <w:vertAlign w:val="superscript"/>
    </w:rPr>
  </w:style>
  <w:style w:type="table" w:styleId="TableGrid">
    <w:name w:val="Table Grid"/>
    <w:basedOn w:val="TableNormal"/>
    <w:uiPriority w:val="59"/>
    <w:rsid w:val="001E18F2"/>
    <w:pPr>
      <w:spacing w:after="0" w:line="240" w:lineRule="auto"/>
    </w:pPr>
    <w:rPr>
      <w:rFonts w:ascii="New York" w:eastAsia="Times New Roman" w:hAnsi="New York"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footer" Target="footer2.xml"/><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11213</Words>
  <Characters>63917</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74981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Nogiwa Valdez, Akemi A</dc:creator>
  <cp:keywords/>
  <dc:description/>
  <cp:lastModifiedBy>Nogiwa Valdez, Akemi A</cp:lastModifiedBy>
  <cp:revision>1</cp:revision>
  <dcterms:created xsi:type="dcterms:W3CDTF">2017-03-13T08:23:00Z</dcterms:created>
  <dcterms:modified xsi:type="dcterms:W3CDTF">2017-03-13T08:24:00Z</dcterms:modified>
</cp:coreProperties>
</file>